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6378" w14:textId="07F5A918" w:rsidR="00062426" w:rsidRDefault="00062426" w:rsidP="00553E8F">
      <w:pPr>
        <w:spacing w:line="480" w:lineRule="auto"/>
        <w:jc w:val="both"/>
        <w:rPr>
          <w:rFonts w:ascii="Arial" w:hAnsi="Arial" w:cs="Arial"/>
          <w:b/>
          <w:sz w:val="22"/>
          <w:szCs w:val="22"/>
        </w:rPr>
      </w:pPr>
      <w:r w:rsidRPr="00805A39">
        <w:rPr>
          <w:rFonts w:ascii="Arial" w:hAnsi="Arial" w:cs="Arial"/>
          <w:b/>
          <w:sz w:val="22"/>
          <w:szCs w:val="22"/>
        </w:rPr>
        <w:t>Title</w:t>
      </w:r>
    </w:p>
    <w:p w14:paraId="3CCBC757" w14:textId="4C65DF96" w:rsidR="00062426" w:rsidRDefault="00FA20E2" w:rsidP="00553E8F">
      <w:pPr>
        <w:spacing w:line="480" w:lineRule="auto"/>
        <w:jc w:val="both"/>
        <w:outlineLvl w:val="0"/>
        <w:rPr>
          <w:rFonts w:ascii="Arial" w:hAnsi="Arial" w:cs="Arial"/>
          <w:bCs/>
          <w:sz w:val="22"/>
          <w:szCs w:val="22"/>
        </w:rPr>
      </w:pPr>
      <w:r>
        <w:rPr>
          <w:rFonts w:ascii="Arial" w:hAnsi="Arial" w:cs="Arial"/>
          <w:bCs/>
          <w:sz w:val="22"/>
          <w:szCs w:val="22"/>
        </w:rPr>
        <w:t>Concentrations of e</w:t>
      </w:r>
      <w:r w:rsidR="00062426">
        <w:rPr>
          <w:rFonts w:ascii="Arial" w:hAnsi="Arial" w:cs="Arial"/>
          <w:bCs/>
          <w:sz w:val="22"/>
          <w:szCs w:val="22"/>
        </w:rPr>
        <w:t>favirenz</w:t>
      </w:r>
      <w:r>
        <w:rPr>
          <w:rFonts w:ascii="Arial" w:hAnsi="Arial" w:cs="Arial"/>
          <w:bCs/>
          <w:sz w:val="22"/>
          <w:szCs w:val="22"/>
        </w:rPr>
        <w:t xml:space="preserve">, </w:t>
      </w:r>
      <w:r w:rsidR="00062426">
        <w:rPr>
          <w:rFonts w:ascii="Arial" w:hAnsi="Arial" w:cs="Arial"/>
          <w:bCs/>
          <w:sz w:val="22"/>
          <w:szCs w:val="22"/>
        </w:rPr>
        <w:t>tenofovir</w:t>
      </w:r>
      <w:r>
        <w:rPr>
          <w:rFonts w:ascii="Arial" w:hAnsi="Arial" w:cs="Arial"/>
          <w:bCs/>
          <w:sz w:val="22"/>
          <w:szCs w:val="22"/>
        </w:rPr>
        <w:t xml:space="preserve">, and </w:t>
      </w:r>
      <w:r w:rsidR="00062426">
        <w:rPr>
          <w:rFonts w:ascii="Arial" w:hAnsi="Arial" w:cs="Arial"/>
          <w:bCs/>
          <w:sz w:val="22"/>
          <w:szCs w:val="22"/>
        </w:rPr>
        <w:t>emtricitabine in obesity: a cross-sectional study</w:t>
      </w:r>
    </w:p>
    <w:p w14:paraId="7B3F493E" w14:textId="77777777" w:rsidR="001A62B9" w:rsidRPr="00417FA0" w:rsidRDefault="001A62B9" w:rsidP="00553E8F">
      <w:pPr>
        <w:spacing w:line="480" w:lineRule="auto"/>
        <w:jc w:val="both"/>
        <w:outlineLvl w:val="0"/>
        <w:rPr>
          <w:rFonts w:ascii="Arial" w:hAnsi="Arial" w:cs="Arial"/>
          <w:bCs/>
          <w:sz w:val="22"/>
          <w:szCs w:val="22"/>
        </w:rPr>
      </w:pPr>
    </w:p>
    <w:p w14:paraId="70AB18CA" w14:textId="74E171F8" w:rsidR="00062426" w:rsidRDefault="00903DD7" w:rsidP="00553E8F">
      <w:pPr>
        <w:spacing w:line="480" w:lineRule="auto"/>
        <w:jc w:val="both"/>
        <w:outlineLvl w:val="0"/>
        <w:rPr>
          <w:rFonts w:ascii="Arial" w:hAnsi="Arial" w:cs="Arial"/>
          <w:b/>
          <w:sz w:val="22"/>
          <w:szCs w:val="22"/>
        </w:rPr>
      </w:pPr>
      <w:r>
        <w:rPr>
          <w:rFonts w:ascii="Arial" w:hAnsi="Arial" w:cs="Arial"/>
          <w:b/>
          <w:sz w:val="22"/>
          <w:szCs w:val="22"/>
        </w:rPr>
        <w:t>Running head</w:t>
      </w:r>
    </w:p>
    <w:p w14:paraId="7449CEBD" w14:textId="7D9F9546" w:rsidR="00553E8F" w:rsidRDefault="00553E8F" w:rsidP="00553E8F">
      <w:pPr>
        <w:spacing w:line="480" w:lineRule="auto"/>
        <w:jc w:val="both"/>
        <w:outlineLvl w:val="0"/>
        <w:rPr>
          <w:rFonts w:ascii="Arial" w:hAnsi="Arial" w:cs="Arial"/>
          <w:bCs/>
          <w:sz w:val="22"/>
          <w:szCs w:val="22"/>
        </w:rPr>
      </w:pPr>
      <w:r w:rsidRPr="00553E8F">
        <w:rPr>
          <w:rFonts w:ascii="Arial" w:hAnsi="Arial" w:cs="Arial"/>
          <w:bCs/>
          <w:sz w:val="22"/>
          <w:szCs w:val="22"/>
        </w:rPr>
        <w:t>ARV concentrations in obesity</w:t>
      </w:r>
    </w:p>
    <w:p w14:paraId="6E2EA154" w14:textId="77777777" w:rsidR="001961B5" w:rsidRPr="00553E8F" w:rsidRDefault="001961B5" w:rsidP="00553E8F">
      <w:pPr>
        <w:spacing w:line="480" w:lineRule="auto"/>
        <w:jc w:val="both"/>
        <w:outlineLvl w:val="0"/>
        <w:rPr>
          <w:rFonts w:ascii="Arial" w:hAnsi="Arial" w:cs="Arial"/>
          <w:bCs/>
          <w:sz w:val="22"/>
          <w:szCs w:val="22"/>
        </w:rPr>
      </w:pPr>
    </w:p>
    <w:p w14:paraId="6EE2E275" w14:textId="77777777" w:rsidR="00062426" w:rsidRPr="00805A39" w:rsidRDefault="00062426">
      <w:pPr>
        <w:spacing w:line="480" w:lineRule="auto"/>
        <w:jc w:val="both"/>
        <w:outlineLvl w:val="0"/>
        <w:rPr>
          <w:rFonts w:ascii="Arial" w:hAnsi="Arial" w:cs="Arial"/>
          <w:b/>
          <w:sz w:val="22"/>
          <w:szCs w:val="22"/>
        </w:rPr>
      </w:pPr>
      <w:r w:rsidRPr="00805A39">
        <w:rPr>
          <w:rFonts w:ascii="Arial" w:hAnsi="Arial" w:cs="Arial"/>
          <w:b/>
          <w:sz w:val="22"/>
          <w:szCs w:val="22"/>
        </w:rPr>
        <w:t>Author’s names</w:t>
      </w:r>
    </w:p>
    <w:p w14:paraId="1116A40F" w14:textId="18A59C1F" w:rsidR="00062426" w:rsidRPr="0011436B" w:rsidRDefault="00062426">
      <w:pPr>
        <w:spacing w:line="480" w:lineRule="auto"/>
        <w:jc w:val="both"/>
        <w:rPr>
          <w:rFonts w:ascii="Arial" w:hAnsi="Arial" w:cs="Arial"/>
          <w:sz w:val="22"/>
          <w:szCs w:val="22"/>
        </w:rPr>
      </w:pPr>
      <w:r>
        <w:rPr>
          <w:rFonts w:ascii="Arial" w:hAnsi="Arial" w:cs="Arial"/>
          <w:sz w:val="22"/>
          <w:szCs w:val="22"/>
        </w:rPr>
        <w:t>Toyosi. SOLANKE</w:t>
      </w:r>
      <w:r w:rsidRPr="00805A39">
        <w:rPr>
          <w:rFonts w:ascii="Arial" w:hAnsi="Arial" w:cs="Arial"/>
          <w:sz w:val="22"/>
          <w:szCs w:val="22"/>
          <w:vertAlign w:val="superscript"/>
        </w:rPr>
        <w:t>1</w:t>
      </w:r>
      <w:r w:rsidR="0093038C">
        <w:rPr>
          <w:rFonts w:ascii="Arial" w:hAnsi="Arial" w:cs="Arial"/>
          <w:sz w:val="22"/>
          <w:szCs w:val="22"/>
        </w:rPr>
        <w:t xml:space="preserve"> (MBChB)</w:t>
      </w:r>
      <w:r>
        <w:rPr>
          <w:rFonts w:ascii="Arial" w:hAnsi="Arial" w:cs="Arial"/>
          <w:sz w:val="22"/>
          <w:szCs w:val="22"/>
        </w:rPr>
        <w:t>, Festus. KAMAU</w:t>
      </w:r>
      <w:r w:rsidRPr="00805A39">
        <w:rPr>
          <w:rFonts w:ascii="Arial" w:hAnsi="Arial" w:cs="Arial"/>
          <w:sz w:val="22"/>
          <w:szCs w:val="22"/>
          <w:vertAlign w:val="superscript"/>
        </w:rPr>
        <w:t>2</w:t>
      </w:r>
      <w:r w:rsidR="0093038C">
        <w:rPr>
          <w:rFonts w:ascii="Arial" w:hAnsi="Arial" w:cs="Arial"/>
          <w:sz w:val="22"/>
          <w:szCs w:val="22"/>
          <w:vertAlign w:val="superscript"/>
        </w:rPr>
        <w:t xml:space="preserve"> </w:t>
      </w:r>
      <w:r w:rsidR="0093038C">
        <w:rPr>
          <w:rFonts w:ascii="Arial" w:hAnsi="Arial" w:cs="Arial"/>
          <w:sz w:val="22"/>
          <w:szCs w:val="22"/>
        </w:rPr>
        <w:t>(MBChB, PhD)</w:t>
      </w:r>
      <w:r>
        <w:rPr>
          <w:rFonts w:ascii="Arial" w:hAnsi="Arial" w:cs="Arial"/>
          <w:sz w:val="22"/>
          <w:szCs w:val="22"/>
        </w:rPr>
        <w:t>, Tonya. ESTERHUIZEN</w:t>
      </w:r>
      <w:r>
        <w:rPr>
          <w:rFonts w:ascii="Arial" w:hAnsi="Arial" w:cs="Arial"/>
          <w:sz w:val="22"/>
          <w:szCs w:val="22"/>
          <w:vertAlign w:val="superscript"/>
        </w:rPr>
        <w:t>3</w:t>
      </w:r>
      <w:r w:rsidR="0093038C">
        <w:rPr>
          <w:rFonts w:ascii="Arial" w:hAnsi="Arial" w:cs="Arial"/>
          <w:sz w:val="22"/>
          <w:szCs w:val="22"/>
        </w:rPr>
        <w:t xml:space="preserve"> (PhD)</w:t>
      </w:r>
      <w:r>
        <w:rPr>
          <w:rFonts w:ascii="Arial" w:hAnsi="Arial" w:cs="Arial"/>
          <w:sz w:val="22"/>
          <w:szCs w:val="22"/>
        </w:rPr>
        <w:t>, Gary. MAARTENS</w:t>
      </w:r>
      <w:r>
        <w:rPr>
          <w:rFonts w:ascii="Arial" w:hAnsi="Arial" w:cs="Arial"/>
          <w:sz w:val="22"/>
          <w:szCs w:val="22"/>
          <w:vertAlign w:val="superscript"/>
        </w:rPr>
        <w:t>4</w:t>
      </w:r>
      <w:r w:rsidR="0093038C">
        <w:rPr>
          <w:rFonts w:ascii="Arial" w:hAnsi="Arial" w:cs="Arial"/>
          <w:sz w:val="22"/>
          <w:szCs w:val="22"/>
        </w:rPr>
        <w:t xml:space="preserve"> (MBChB</w:t>
      </w:r>
      <w:r>
        <w:rPr>
          <w:rFonts w:ascii="Arial" w:hAnsi="Arial" w:cs="Arial"/>
          <w:sz w:val="22"/>
          <w:szCs w:val="22"/>
        </w:rPr>
        <w:t>,</w:t>
      </w:r>
      <w:r w:rsidR="00391EAF">
        <w:rPr>
          <w:rFonts w:ascii="Arial" w:hAnsi="Arial" w:cs="Arial"/>
          <w:sz w:val="22"/>
          <w:szCs w:val="22"/>
        </w:rPr>
        <w:t xml:space="preserve"> </w:t>
      </w:r>
      <w:proofErr w:type="spellStart"/>
      <w:r w:rsidR="00391EAF">
        <w:rPr>
          <w:rFonts w:ascii="Arial" w:hAnsi="Arial" w:cs="Arial"/>
          <w:sz w:val="22"/>
          <w:szCs w:val="22"/>
        </w:rPr>
        <w:t>MMed</w:t>
      </w:r>
      <w:proofErr w:type="spellEnd"/>
      <w:r w:rsidR="00391EAF">
        <w:rPr>
          <w:rFonts w:ascii="Arial" w:hAnsi="Arial" w:cs="Arial"/>
          <w:sz w:val="22"/>
          <w:szCs w:val="22"/>
        </w:rPr>
        <w:t>)</w:t>
      </w:r>
      <w:r>
        <w:rPr>
          <w:rFonts w:ascii="Arial" w:hAnsi="Arial" w:cs="Arial"/>
          <w:sz w:val="22"/>
          <w:szCs w:val="22"/>
        </w:rPr>
        <w:t xml:space="preserve"> Saye. KHOO</w:t>
      </w:r>
      <w:r>
        <w:rPr>
          <w:rFonts w:ascii="Arial" w:hAnsi="Arial" w:cs="Arial"/>
          <w:sz w:val="22"/>
          <w:szCs w:val="22"/>
          <w:vertAlign w:val="superscript"/>
        </w:rPr>
        <w:t>5</w:t>
      </w:r>
      <w:r w:rsidR="00391EAF">
        <w:rPr>
          <w:rFonts w:ascii="Arial" w:hAnsi="Arial" w:cs="Arial"/>
          <w:sz w:val="22"/>
          <w:szCs w:val="22"/>
        </w:rPr>
        <w:t xml:space="preserve"> (</w:t>
      </w:r>
      <w:r w:rsidR="0011436B">
        <w:rPr>
          <w:rFonts w:ascii="Arial" w:hAnsi="Arial" w:cs="Arial"/>
          <w:sz w:val="22"/>
          <w:szCs w:val="22"/>
        </w:rPr>
        <w:t>MBBS, MD</w:t>
      </w:r>
      <w:r w:rsidR="00391EAF">
        <w:rPr>
          <w:rFonts w:ascii="Arial" w:hAnsi="Arial" w:cs="Arial"/>
          <w:sz w:val="22"/>
          <w:szCs w:val="22"/>
        </w:rPr>
        <w:t>)</w:t>
      </w:r>
      <w:r>
        <w:rPr>
          <w:rFonts w:ascii="Arial" w:hAnsi="Arial" w:cs="Arial"/>
          <w:sz w:val="22"/>
          <w:szCs w:val="22"/>
        </w:rPr>
        <w:t>, John A. JOSKA</w:t>
      </w:r>
      <w:r>
        <w:rPr>
          <w:rFonts w:ascii="Arial" w:hAnsi="Arial" w:cs="Arial"/>
          <w:sz w:val="22"/>
          <w:szCs w:val="22"/>
          <w:vertAlign w:val="superscript"/>
        </w:rPr>
        <w:t>6</w:t>
      </w:r>
      <w:r w:rsidR="0011436B">
        <w:rPr>
          <w:rFonts w:ascii="Arial" w:hAnsi="Arial" w:cs="Arial"/>
          <w:sz w:val="22"/>
          <w:szCs w:val="22"/>
          <w:vertAlign w:val="superscript"/>
        </w:rPr>
        <w:t xml:space="preserve"> </w:t>
      </w:r>
      <w:r w:rsidR="0011436B">
        <w:rPr>
          <w:rFonts w:ascii="Arial" w:hAnsi="Arial" w:cs="Arial"/>
          <w:sz w:val="22"/>
          <w:szCs w:val="22"/>
        </w:rPr>
        <w:t>(MBChB, PhD),</w:t>
      </w:r>
      <w:r>
        <w:rPr>
          <w:rFonts w:ascii="Arial" w:hAnsi="Arial" w:cs="Arial"/>
          <w:sz w:val="22"/>
          <w:szCs w:val="22"/>
        </w:rPr>
        <w:t xml:space="preserve"> Tracy. KELLERMANN</w:t>
      </w:r>
      <w:r w:rsidRPr="00805A39">
        <w:rPr>
          <w:rFonts w:ascii="Arial" w:hAnsi="Arial" w:cs="Arial"/>
          <w:sz w:val="22"/>
          <w:szCs w:val="22"/>
          <w:vertAlign w:val="superscript"/>
        </w:rPr>
        <w:t>1</w:t>
      </w:r>
      <w:r w:rsidR="0011436B">
        <w:rPr>
          <w:rFonts w:ascii="Arial" w:hAnsi="Arial" w:cs="Arial"/>
          <w:sz w:val="22"/>
          <w:szCs w:val="22"/>
        </w:rPr>
        <w:t>(PhD)</w:t>
      </w:r>
      <w:r>
        <w:rPr>
          <w:rFonts w:ascii="Arial" w:hAnsi="Arial" w:cs="Arial"/>
          <w:sz w:val="22"/>
          <w:szCs w:val="22"/>
        </w:rPr>
        <w:t>, Hans. STRIJDOM</w:t>
      </w:r>
      <w:r w:rsidRPr="00805A39">
        <w:rPr>
          <w:rFonts w:ascii="Arial" w:hAnsi="Arial" w:cs="Arial"/>
          <w:sz w:val="22"/>
          <w:szCs w:val="22"/>
          <w:vertAlign w:val="superscript"/>
        </w:rPr>
        <w:t>2</w:t>
      </w:r>
      <w:r w:rsidR="0011436B">
        <w:rPr>
          <w:rFonts w:ascii="Arial" w:hAnsi="Arial" w:cs="Arial"/>
          <w:sz w:val="22"/>
          <w:szCs w:val="22"/>
        </w:rPr>
        <w:t xml:space="preserve"> (MBChB, PhD)</w:t>
      </w:r>
      <w:r>
        <w:rPr>
          <w:rFonts w:ascii="Arial" w:hAnsi="Arial" w:cs="Arial"/>
          <w:sz w:val="22"/>
          <w:szCs w:val="22"/>
        </w:rPr>
        <w:t xml:space="preserve">, </w:t>
      </w:r>
      <w:r w:rsidRPr="00663592">
        <w:rPr>
          <w:rFonts w:ascii="Arial" w:hAnsi="Arial" w:cs="Arial"/>
          <w:sz w:val="22"/>
          <w:szCs w:val="22"/>
        </w:rPr>
        <w:t>Eric H. DECLOEDT</w:t>
      </w:r>
      <w:r w:rsidRPr="00805A39">
        <w:rPr>
          <w:rFonts w:ascii="Arial" w:hAnsi="Arial" w:cs="Arial"/>
          <w:sz w:val="22"/>
          <w:szCs w:val="22"/>
          <w:vertAlign w:val="superscript"/>
        </w:rPr>
        <w:t>1</w:t>
      </w:r>
      <w:r w:rsidR="001961B5">
        <w:rPr>
          <w:rFonts w:ascii="Arial" w:hAnsi="Arial" w:cs="Arial"/>
          <w:sz w:val="22"/>
          <w:szCs w:val="22"/>
          <w:vertAlign w:val="superscript"/>
        </w:rPr>
        <w:t>*</w:t>
      </w:r>
      <w:r w:rsidR="0011436B">
        <w:rPr>
          <w:rFonts w:ascii="Arial" w:hAnsi="Arial" w:cs="Arial"/>
          <w:sz w:val="22"/>
          <w:szCs w:val="22"/>
        </w:rPr>
        <w:t xml:space="preserve"> (MBChB, PhD)</w:t>
      </w:r>
    </w:p>
    <w:p w14:paraId="2CA0892D" w14:textId="77777777" w:rsidR="00062426" w:rsidRDefault="00062426">
      <w:pPr>
        <w:spacing w:line="480" w:lineRule="auto"/>
        <w:jc w:val="both"/>
        <w:rPr>
          <w:rFonts w:ascii="Arial" w:hAnsi="Arial" w:cs="Arial"/>
          <w:sz w:val="22"/>
          <w:szCs w:val="22"/>
        </w:rPr>
      </w:pPr>
    </w:p>
    <w:p w14:paraId="25BB3FE4" w14:textId="77777777" w:rsidR="00062426" w:rsidRPr="00805A39" w:rsidRDefault="00062426" w:rsidP="00292D0F">
      <w:pPr>
        <w:pStyle w:val="NoSpacing"/>
        <w:spacing w:line="480" w:lineRule="auto"/>
        <w:jc w:val="both"/>
        <w:rPr>
          <w:rFonts w:ascii="Arial" w:hAnsi="Arial" w:cs="Arial"/>
          <w:sz w:val="22"/>
          <w:szCs w:val="22"/>
        </w:rPr>
      </w:pPr>
      <w:r w:rsidRPr="00805A39">
        <w:rPr>
          <w:rFonts w:ascii="Arial" w:hAnsi="Arial" w:cs="Arial"/>
          <w:sz w:val="22"/>
          <w:szCs w:val="22"/>
          <w:vertAlign w:val="superscript"/>
        </w:rPr>
        <w:t>1</w:t>
      </w:r>
      <w:r w:rsidRPr="00805A39">
        <w:rPr>
          <w:rFonts w:ascii="Arial" w:hAnsi="Arial" w:cs="Arial"/>
          <w:sz w:val="22"/>
          <w:szCs w:val="22"/>
        </w:rPr>
        <w:t xml:space="preserve"> Division of Clinical Pharmacology, Department of Medicine, Faculty of Medicine and Health Sciences, Stellenbosch University, </w:t>
      </w:r>
      <w:r>
        <w:rPr>
          <w:rFonts w:ascii="Arial" w:hAnsi="Arial" w:cs="Arial"/>
          <w:sz w:val="22"/>
          <w:szCs w:val="22"/>
        </w:rPr>
        <w:t xml:space="preserve">Cape Town, </w:t>
      </w:r>
      <w:r w:rsidRPr="00805A39">
        <w:rPr>
          <w:rFonts w:ascii="Arial" w:hAnsi="Arial" w:cs="Arial"/>
          <w:sz w:val="22"/>
          <w:szCs w:val="22"/>
        </w:rPr>
        <w:t>South Africa</w:t>
      </w:r>
    </w:p>
    <w:p w14:paraId="1B8EDEAE" w14:textId="4912BBB4" w:rsidR="00062426" w:rsidRDefault="00062426" w:rsidP="00292D0F">
      <w:pPr>
        <w:pStyle w:val="NoSpacing"/>
        <w:spacing w:line="480" w:lineRule="auto"/>
        <w:jc w:val="both"/>
        <w:rPr>
          <w:rFonts w:ascii="Arial" w:hAnsi="Arial" w:cs="Arial"/>
          <w:sz w:val="22"/>
          <w:szCs w:val="22"/>
        </w:rPr>
      </w:pPr>
      <w:r w:rsidRPr="00805A39">
        <w:rPr>
          <w:rFonts w:ascii="Arial" w:hAnsi="Arial" w:cs="Arial"/>
          <w:sz w:val="22"/>
          <w:szCs w:val="22"/>
          <w:vertAlign w:val="superscript"/>
        </w:rPr>
        <w:t>2</w:t>
      </w:r>
      <w:r>
        <w:rPr>
          <w:rFonts w:ascii="Arial" w:hAnsi="Arial" w:cs="Arial"/>
          <w:sz w:val="22"/>
          <w:szCs w:val="22"/>
          <w:vertAlign w:val="superscript"/>
        </w:rPr>
        <w:t xml:space="preserve"> </w:t>
      </w:r>
      <w:r>
        <w:rPr>
          <w:rFonts w:ascii="Arial" w:hAnsi="Arial" w:cs="Arial"/>
          <w:sz w:val="22"/>
          <w:szCs w:val="22"/>
        </w:rPr>
        <w:t xml:space="preserve">Centre for </w:t>
      </w:r>
      <w:r w:rsidRPr="002554B2">
        <w:rPr>
          <w:rFonts w:ascii="Arial" w:hAnsi="Arial" w:cs="Arial"/>
          <w:sz w:val="22"/>
          <w:szCs w:val="22"/>
        </w:rPr>
        <w:t>Cardio</w:t>
      </w:r>
      <w:r w:rsidR="00775B20" w:rsidRPr="002554B2">
        <w:rPr>
          <w:rFonts w:ascii="Arial" w:hAnsi="Arial" w:cs="Arial"/>
          <w:sz w:val="22"/>
          <w:szCs w:val="22"/>
        </w:rPr>
        <w:t>-</w:t>
      </w:r>
      <w:r w:rsidRPr="002554B2">
        <w:rPr>
          <w:rFonts w:ascii="Arial" w:hAnsi="Arial" w:cs="Arial"/>
          <w:sz w:val="22"/>
          <w:szCs w:val="22"/>
        </w:rPr>
        <w:t>metabolic</w:t>
      </w:r>
      <w:r>
        <w:rPr>
          <w:rFonts w:ascii="Arial" w:hAnsi="Arial" w:cs="Arial"/>
          <w:sz w:val="22"/>
          <w:szCs w:val="22"/>
        </w:rPr>
        <w:t xml:space="preserve"> Research in Africa (CARMA), </w:t>
      </w:r>
      <w:r w:rsidRPr="00805A39">
        <w:rPr>
          <w:rFonts w:ascii="Arial" w:hAnsi="Arial" w:cs="Arial"/>
          <w:sz w:val="22"/>
          <w:szCs w:val="22"/>
        </w:rPr>
        <w:t xml:space="preserve">Division of </w:t>
      </w:r>
      <w:r>
        <w:rPr>
          <w:rFonts w:ascii="Arial" w:hAnsi="Arial" w:cs="Arial"/>
          <w:sz w:val="22"/>
          <w:szCs w:val="22"/>
        </w:rPr>
        <w:t>Medical Physiology</w:t>
      </w:r>
      <w:r w:rsidRPr="00805A39">
        <w:rPr>
          <w:rFonts w:ascii="Arial" w:hAnsi="Arial" w:cs="Arial"/>
          <w:sz w:val="22"/>
          <w:szCs w:val="22"/>
        </w:rPr>
        <w:t xml:space="preserve">, Department of </w:t>
      </w:r>
      <w:r>
        <w:rPr>
          <w:rFonts w:ascii="Arial" w:hAnsi="Arial" w:cs="Arial"/>
          <w:sz w:val="22"/>
          <w:szCs w:val="22"/>
        </w:rPr>
        <w:t>Biomedical Sciences</w:t>
      </w:r>
      <w:r w:rsidRPr="00805A39">
        <w:rPr>
          <w:rFonts w:ascii="Arial" w:hAnsi="Arial" w:cs="Arial"/>
          <w:sz w:val="22"/>
          <w:szCs w:val="22"/>
        </w:rPr>
        <w:t xml:space="preserve">, Faculty of Medicine and Health Sciences, Stellenbosch University, </w:t>
      </w:r>
      <w:r>
        <w:rPr>
          <w:rFonts w:ascii="Arial" w:hAnsi="Arial" w:cs="Arial"/>
          <w:sz w:val="22"/>
          <w:szCs w:val="22"/>
        </w:rPr>
        <w:t xml:space="preserve">Cape Town, </w:t>
      </w:r>
      <w:r w:rsidRPr="00805A39">
        <w:rPr>
          <w:rFonts w:ascii="Arial" w:hAnsi="Arial" w:cs="Arial"/>
          <w:sz w:val="22"/>
          <w:szCs w:val="22"/>
        </w:rPr>
        <w:t>South Africa</w:t>
      </w:r>
    </w:p>
    <w:p w14:paraId="53016C50" w14:textId="77777777" w:rsidR="00062426" w:rsidRDefault="00062426" w:rsidP="00292D0F">
      <w:pPr>
        <w:spacing w:line="480" w:lineRule="auto"/>
        <w:jc w:val="both"/>
        <w:rPr>
          <w:rFonts w:ascii="Arial" w:hAnsi="Arial" w:cs="Arial"/>
          <w:sz w:val="22"/>
          <w:szCs w:val="22"/>
        </w:rPr>
      </w:pPr>
      <w:r>
        <w:rPr>
          <w:rFonts w:ascii="Arial" w:hAnsi="Arial" w:cs="Arial"/>
          <w:sz w:val="22"/>
          <w:szCs w:val="22"/>
          <w:vertAlign w:val="superscript"/>
        </w:rPr>
        <w:t xml:space="preserve">3 </w:t>
      </w:r>
      <w:r w:rsidRPr="00457AA4">
        <w:rPr>
          <w:rFonts w:ascii="Arial" w:hAnsi="Arial" w:cs="Arial"/>
          <w:sz w:val="22"/>
          <w:szCs w:val="22"/>
        </w:rPr>
        <w:t>Biostatistics Unit, Division of Epidemiology and Biostatistics, Department of Global Health, Stellenbosch University, Cape Town, South Africa</w:t>
      </w:r>
    </w:p>
    <w:p w14:paraId="78A50E41" w14:textId="77777777" w:rsidR="00062426" w:rsidRPr="00805A39" w:rsidRDefault="00062426" w:rsidP="00292D0F">
      <w:pPr>
        <w:spacing w:line="480" w:lineRule="auto"/>
        <w:jc w:val="both"/>
        <w:rPr>
          <w:rFonts w:ascii="Arial" w:hAnsi="Arial" w:cs="Arial"/>
          <w:sz w:val="22"/>
          <w:szCs w:val="22"/>
        </w:rPr>
      </w:pPr>
      <w:r>
        <w:rPr>
          <w:rFonts w:ascii="Arial" w:hAnsi="Arial" w:cs="Arial"/>
          <w:sz w:val="22"/>
          <w:szCs w:val="22"/>
          <w:vertAlign w:val="superscript"/>
        </w:rPr>
        <w:t>4</w:t>
      </w:r>
      <w:r w:rsidRPr="00805A39">
        <w:rPr>
          <w:rFonts w:ascii="Arial" w:hAnsi="Arial" w:cs="Arial"/>
          <w:sz w:val="22"/>
          <w:szCs w:val="22"/>
        </w:rPr>
        <w:t xml:space="preserve"> Division of Clinical Pharmacology, Department of Medicine, University of Cape Town, South Africa</w:t>
      </w:r>
    </w:p>
    <w:p w14:paraId="6F20C19B" w14:textId="77777777" w:rsidR="00062426" w:rsidRPr="00805A39" w:rsidRDefault="00062426" w:rsidP="00292D0F">
      <w:pPr>
        <w:pStyle w:val="NoSpacing"/>
        <w:spacing w:line="480" w:lineRule="auto"/>
        <w:jc w:val="both"/>
        <w:outlineLvl w:val="0"/>
        <w:rPr>
          <w:rFonts w:ascii="Arial" w:hAnsi="Arial" w:cs="Arial"/>
          <w:sz w:val="22"/>
          <w:szCs w:val="22"/>
        </w:rPr>
      </w:pPr>
      <w:r w:rsidRPr="00805A39">
        <w:rPr>
          <w:rFonts w:ascii="Arial" w:hAnsi="Arial" w:cs="Arial"/>
          <w:sz w:val="22"/>
          <w:szCs w:val="22"/>
          <w:vertAlign w:val="superscript"/>
        </w:rPr>
        <w:t>5</w:t>
      </w:r>
      <w:r w:rsidRPr="00805A39">
        <w:rPr>
          <w:rFonts w:ascii="Arial" w:hAnsi="Arial" w:cs="Arial"/>
          <w:sz w:val="22"/>
          <w:szCs w:val="22"/>
        </w:rPr>
        <w:t xml:space="preserve"> </w:t>
      </w:r>
      <w:r>
        <w:rPr>
          <w:rFonts w:ascii="Arial" w:hAnsi="Arial" w:cs="Arial"/>
          <w:sz w:val="22"/>
          <w:szCs w:val="22"/>
        </w:rPr>
        <w:t xml:space="preserve">Department of Molecular and Clinical Pharmacology, </w:t>
      </w:r>
      <w:r w:rsidRPr="00805A39">
        <w:rPr>
          <w:rFonts w:ascii="Arial" w:hAnsi="Arial" w:cs="Arial"/>
          <w:sz w:val="22"/>
          <w:szCs w:val="22"/>
        </w:rPr>
        <w:t>University of Liverpool</w:t>
      </w:r>
    </w:p>
    <w:p w14:paraId="46C50AF8" w14:textId="242BBACB" w:rsidR="001961B5" w:rsidRDefault="00062426" w:rsidP="00292D0F">
      <w:pPr>
        <w:pStyle w:val="NoSpacing"/>
        <w:spacing w:line="480" w:lineRule="auto"/>
        <w:jc w:val="both"/>
        <w:rPr>
          <w:rFonts w:ascii="Arial" w:hAnsi="Arial" w:cs="Arial"/>
          <w:sz w:val="22"/>
          <w:szCs w:val="22"/>
        </w:rPr>
      </w:pPr>
      <w:r>
        <w:rPr>
          <w:rFonts w:ascii="Arial" w:hAnsi="Arial" w:cs="Arial"/>
          <w:sz w:val="22"/>
          <w:szCs w:val="22"/>
          <w:vertAlign w:val="superscript"/>
        </w:rPr>
        <w:t>6</w:t>
      </w:r>
      <w:r w:rsidRPr="00805A39">
        <w:rPr>
          <w:rFonts w:ascii="Arial" w:hAnsi="Arial" w:cs="Arial"/>
          <w:sz w:val="22"/>
          <w:szCs w:val="22"/>
        </w:rPr>
        <w:t xml:space="preserve"> </w:t>
      </w:r>
      <w:r w:rsidR="009273B4">
        <w:rPr>
          <w:rFonts w:ascii="Arial" w:hAnsi="Arial" w:cs="Arial"/>
          <w:sz w:val="22"/>
          <w:szCs w:val="22"/>
        </w:rPr>
        <w:t xml:space="preserve">HIV Mental Health Research Unit, </w:t>
      </w:r>
      <w:r w:rsidRPr="00805A39">
        <w:rPr>
          <w:rFonts w:ascii="Arial" w:hAnsi="Arial" w:cs="Arial"/>
          <w:sz w:val="22"/>
          <w:szCs w:val="22"/>
        </w:rPr>
        <w:t>Division of Neuropsychiatry, Department of Psychiatry and Mental Health, University of Cape Town, South</w:t>
      </w:r>
      <w:r w:rsidR="00ED4DBD">
        <w:rPr>
          <w:rFonts w:ascii="Arial" w:hAnsi="Arial" w:cs="Arial"/>
          <w:sz w:val="22"/>
          <w:szCs w:val="22"/>
        </w:rPr>
        <w:t xml:space="preserve"> </w:t>
      </w:r>
      <w:r w:rsidRPr="00805A39">
        <w:rPr>
          <w:rFonts w:ascii="Arial" w:hAnsi="Arial" w:cs="Arial"/>
          <w:sz w:val="22"/>
          <w:szCs w:val="22"/>
        </w:rPr>
        <w:t>Africa</w:t>
      </w:r>
    </w:p>
    <w:p w14:paraId="3CA9C6A7" w14:textId="77777777" w:rsidR="001961B5" w:rsidRDefault="001961B5" w:rsidP="00292D0F">
      <w:pPr>
        <w:pStyle w:val="NoSpacing"/>
        <w:spacing w:line="480" w:lineRule="auto"/>
        <w:jc w:val="both"/>
        <w:rPr>
          <w:rFonts w:ascii="Arial" w:hAnsi="Arial" w:cs="Arial"/>
          <w:sz w:val="22"/>
          <w:szCs w:val="22"/>
        </w:rPr>
      </w:pPr>
    </w:p>
    <w:p w14:paraId="557F1495" w14:textId="77777777" w:rsidR="001961B5" w:rsidRPr="00805A39" w:rsidRDefault="001961B5" w:rsidP="001961B5">
      <w:pPr>
        <w:spacing w:line="480" w:lineRule="auto"/>
        <w:outlineLvl w:val="0"/>
        <w:rPr>
          <w:rFonts w:ascii="Arial" w:hAnsi="Arial" w:cs="Arial"/>
          <w:b/>
          <w:sz w:val="22"/>
          <w:szCs w:val="22"/>
        </w:rPr>
      </w:pPr>
      <w:r w:rsidRPr="00805A39">
        <w:rPr>
          <w:rFonts w:ascii="Arial" w:hAnsi="Arial" w:cs="Arial"/>
          <w:b/>
          <w:sz w:val="22"/>
          <w:szCs w:val="22"/>
        </w:rPr>
        <w:t>Corresponding author</w:t>
      </w:r>
    </w:p>
    <w:p w14:paraId="07457292" w14:textId="77777777" w:rsidR="001961B5" w:rsidRPr="00805A39" w:rsidRDefault="001961B5" w:rsidP="001961B5">
      <w:pPr>
        <w:spacing w:line="480" w:lineRule="auto"/>
        <w:outlineLvl w:val="0"/>
        <w:rPr>
          <w:rFonts w:ascii="Arial" w:hAnsi="Arial" w:cs="Arial"/>
          <w:sz w:val="22"/>
          <w:szCs w:val="22"/>
        </w:rPr>
      </w:pPr>
      <w:r w:rsidRPr="00805A39">
        <w:rPr>
          <w:rFonts w:ascii="Arial" w:hAnsi="Arial" w:cs="Arial"/>
          <w:sz w:val="22"/>
          <w:szCs w:val="22"/>
        </w:rPr>
        <w:t>Eric H DECLOEDT</w:t>
      </w:r>
    </w:p>
    <w:p w14:paraId="0E4907BC" w14:textId="613E1132" w:rsidR="001961B5" w:rsidRDefault="001961B5" w:rsidP="001961B5">
      <w:pPr>
        <w:spacing w:after="200" w:line="480" w:lineRule="auto"/>
        <w:rPr>
          <w:rFonts w:ascii="Arial" w:hAnsi="Arial" w:cs="Arial"/>
          <w:b/>
          <w:sz w:val="22"/>
          <w:szCs w:val="22"/>
        </w:rPr>
      </w:pPr>
      <w:r w:rsidRPr="00805A39">
        <w:rPr>
          <w:rFonts w:ascii="Arial" w:hAnsi="Arial" w:cs="Arial"/>
          <w:sz w:val="22"/>
          <w:szCs w:val="22"/>
        </w:rPr>
        <w:t>Division of Clinical Pharmacology, Department of Medicine, Faculty of Medicine and Health Sciences, Stellenbosch University, PO Box 241, Cape Town 8000, South Africa</w:t>
      </w:r>
      <w:r w:rsidRPr="00805A39">
        <w:rPr>
          <w:rFonts w:ascii="Arial" w:hAnsi="Arial" w:cs="Arial"/>
          <w:b/>
          <w:sz w:val="22"/>
          <w:szCs w:val="22"/>
        </w:rPr>
        <w:t xml:space="preserve"> </w:t>
      </w:r>
    </w:p>
    <w:p w14:paraId="22BA6FB8" w14:textId="36A8B3CD" w:rsidR="001961B5" w:rsidRDefault="00472559" w:rsidP="009335E0">
      <w:pPr>
        <w:spacing w:line="480" w:lineRule="auto"/>
        <w:rPr>
          <w:rStyle w:val="Hyperlink"/>
          <w:rFonts w:ascii="Arial" w:hAnsi="Arial" w:cs="Arial"/>
          <w:color w:val="auto"/>
          <w:sz w:val="22"/>
          <w:szCs w:val="22"/>
          <w:u w:val="none"/>
        </w:rPr>
      </w:pPr>
      <w:hyperlink r:id="rId8" w:history="1">
        <w:r w:rsidR="001961B5" w:rsidRPr="008D5206">
          <w:rPr>
            <w:rStyle w:val="Hyperlink"/>
            <w:rFonts w:ascii="Arial" w:hAnsi="Arial" w:cs="Arial"/>
            <w:color w:val="auto"/>
            <w:sz w:val="22"/>
            <w:szCs w:val="22"/>
            <w:u w:val="none"/>
          </w:rPr>
          <w:t>ericdecloedt@sun.ac.za</w:t>
        </w:r>
      </w:hyperlink>
      <w:r w:rsidR="00903DD7">
        <w:rPr>
          <w:rStyle w:val="Hyperlink"/>
          <w:rFonts w:ascii="Arial" w:hAnsi="Arial" w:cs="Arial"/>
          <w:color w:val="auto"/>
          <w:sz w:val="22"/>
          <w:szCs w:val="22"/>
          <w:u w:val="none"/>
        </w:rPr>
        <w:t>; +21 21 938 9340</w:t>
      </w:r>
    </w:p>
    <w:p w14:paraId="010682B0" w14:textId="77777777" w:rsidR="009335E0" w:rsidRDefault="009335E0" w:rsidP="009335E0">
      <w:pPr>
        <w:spacing w:line="480" w:lineRule="auto"/>
        <w:rPr>
          <w:rStyle w:val="Hyperlink"/>
          <w:rFonts w:ascii="Arial" w:hAnsi="Arial" w:cs="Arial"/>
          <w:color w:val="auto"/>
          <w:sz w:val="22"/>
          <w:szCs w:val="22"/>
          <w:u w:val="none"/>
        </w:rPr>
      </w:pPr>
    </w:p>
    <w:p w14:paraId="7BE83AC2" w14:textId="37E62F0A" w:rsidR="009335E0" w:rsidRPr="009335E0" w:rsidRDefault="009335E0" w:rsidP="001961B5">
      <w:pPr>
        <w:spacing w:after="200" w:line="480" w:lineRule="auto"/>
        <w:rPr>
          <w:rFonts w:ascii="Arial" w:hAnsi="Arial" w:cs="Arial"/>
          <w:b/>
          <w:bCs/>
          <w:sz w:val="22"/>
          <w:szCs w:val="22"/>
        </w:rPr>
      </w:pPr>
      <w:r w:rsidRPr="009335E0">
        <w:rPr>
          <w:rStyle w:val="Hyperlink"/>
          <w:rFonts w:ascii="Arial" w:hAnsi="Arial" w:cs="Arial"/>
          <w:b/>
          <w:bCs/>
          <w:color w:val="auto"/>
          <w:sz w:val="22"/>
          <w:szCs w:val="22"/>
          <w:u w:val="none"/>
        </w:rPr>
        <w:t>Meetings at which the data were presented</w:t>
      </w:r>
    </w:p>
    <w:p w14:paraId="2DB423F0" w14:textId="4C53CE6D" w:rsidR="00244E18" w:rsidRPr="00244E18" w:rsidRDefault="00244E18" w:rsidP="001A62B9">
      <w:pPr>
        <w:pStyle w:val="ydp262a78cfmsonormal"/>
        <w:spacing w:before="0" w:beforeAutospacing="0" w:line="480" w:lineRule="auto"/>
        <w:rPr>
          <w:rStyle w:val="Hyperlink"/>
          <w:rFonts w:ascii="Arial" w:eastAsiaTheme="minorEastAsia" w:hAnsi="Arial" w:cs="Arial"/>
          <w:color w:val="auto"/>
          <w:u w:val="none"/>
          <w:lang w:val="en-US" w:eastAsia="en-US"/>
        </w:rPr>
      </w:pPr>
      <w:r>
        <w:rPr>
          <w:rStyle w:val="Hyperlink"/>
          <w:rFonts w:ascii="Arial" w:eastAsiaTheme="minorEastAsia" w:hAnsi="Arial" w:cs="Arial"/>
          <w:color w:val="auto"/>
          <w:u w:val="none"/>
          <w:lang w:eastAsia="en-US"/>
        </w:rPr>
        <w:t>T</w:t>
      </w:r>
      <w:r w:rsidRPr="00244E18">
        <w:rPr>
          <w:rStyle w:val="Hyperlink"/>
          <w:rFonts w:ascii="Arial" w:eastAsiaTheme="minorEastAsia" w:hAnsi="Arial" w:cs="Arial"/>
          <w:color w:val="auto"/>
          <w:u w:val="none"/>
          <w:lang w:eastAsia="en-US"/>
        </w:rPr>
        <w:t xml:space="preserve">he Virtual 7th All Africa Congress of Pharmacology (ACP2021) scheduled from 15th to 17th </w:t>
      </w:r>
      <w:proofErr w:type="gramStart"/>
      <w:r w:rsidRPr="00244E18">
        <w:rPr>
          <w:rStyle w:val="Hyperlink"/>
          <w:rFonts w:ascii="Arial" w:eastAsiaTheme="minorEastAsia" w:hAnsi="Arial" w:cs="Arial"/>
          <w:color w:val="auto"/>
          <w:u w:val="none"/>
          <w:lang w:eastAsia="en-US"/>
        </w:rPr>
        <w:t>September,</w:t>
      </w:r>
      <w:proofErr w:type="gramEnd"/>
      <w:r w:rsidRPr="00244E18">
        <w:rPr>
          <w:rStyle w:val="Hyperlink"/>
          <w:rFonts w:ascii="Arial" w:eastAsiaTheme="minorEastAsia" w:hAnsi="Arial" w:cs="Arial"/>
          <w:color w:val="auto"/>
          <w:u w:val="none"/>
          <w:lang w:eastAsia="en-US"/>
        </w:rPr>
        <w:t xml:space="preserve"> 2021.</w:t>
      </w:r>
    </w:p>
    <w:p w14:paraId="0A805C1E" w14:textId="77777777" w:rsidR="00480413" w:rsidRDefault="00871168" w:rsidP="00292D0F">
      <w:pPr>
        <w:pStyle w:val="NoSpacing"/>
        <w:spacing w:line="480" w:lineRule="auto"/>
        <w:jc w:val="both"/>
        <w:rPr>
          <w:rFonts w:ascii="Arial" w:hAnsi="Arial" w:cs="Arial"/>
          <w:b/>
          <w:sz w:val="22"/>
          <w:szCs w:val="22"/>
        </w:rPr>
      </w:pPr>
      <w:r>
        <w:rPr>
          <w:rFonts w:ascii="Arial" w:hAnsi="Arial" w:cs="Arial"/>
          <w:b/>
          <w:sz w:val="22"/>
          <w:szCs w:val="22"/>
        </w:rPr>
        <w:t>Sources of support</w:t>
      </w:r>
    </w:p>
    <w:p w14:paraId="1362338E" w14:textId="070AEBBC" w:rsidR="00F40D99" w:rsidRPr="00062426" w:rsidRDefault="0073062A" w:rsidP="00292D0F">
      <w:pPr>
        <w:pStyle w:val="NoSpacing"/>
        <w:spacing w:line="480" w:lineRule="auto"/>
        <w:jc w:val="both"/>
        <w:rPr>
          <w:rFonts w:ascii="Arial" w:hAnsi="Arial" w:cs="Arial"/>
          <w:sz w:val="22"/>
          <w:szCs w:val="22"/>
        </w:rPr>
      </w:pPr>
      <w:r>
        <w:rPr>
          <w:rFonts w:ascii="Arial" w:hAnsi="Arial" w:cs="Arial"/>
          <w:sz w:val="22"/>
          <w:szCs w:val="22"/>
        </w:rPr>
        <w:t xml:space="preserve">Cape Town </w:t>
      </w:r>
      <w:r w:rsidR="00604608">
        <w:rPr>
          <w:rFonts w:ascii="Arial" w:hAnsi="Arial" w:cs="Arial"/>
          <w:sz w:val="22"/>
          <w:szCs w:val="22"/>
        </w:rPr>
        <w:t>c</w:t>
      </w:r>
      <w:r>
        <w:rPr>
          <w:rFonts w:ascii="Arial" w:hAnsi="Arial" w:cs="Arial"/>
          <w:sz w:val="22"/>
          <w:szCs w:val="22"/>
        </w:rPr>
        <w:t>ohort w</w:t>
      </w:r>
      <w:r w:rsidR="00480413">
        <w:rPr>
          <w:rFonts w:ascii="Arial" w:hAnsi="Arial" w:cs="Arial"/>
          <w:sz w:val="22"/>
          <w:szCs w:val="22"/>
        </w:rPr>
        <w:t>as supported by</w:t>
      </w:r>
      <w:r w:rsidR="00480413" w:rsidRPr="00805A39">
        <w:rPr>
          <w:rFonts w:ascii="Arial" w:hAnsi="Arial" w:cs="Arial"/>
          <w:sz w:val="22"/>
          <w:szCs w:val="22"/>
        </w:rPr>
        <w:t xml:space="preserve"> the South African Medical Research Council</w:t>
      </w:r>
      <w:r w:rsidR="00480413">
        <w:rPr>
          <w:rFonts w:ascii="Arial" w:hAnsi="Arial" w:cs="Arial"/>
          <w:sz w:val="22"/>
          <w:szCs w:val="22"/>
        </w:rPr>
        <w:t xml:space="preserve">, </w:t>
      </w:r>
      <w:r w:rsidR="00480413" w:rsidRPr="00805A39">
        <w:rPr>
          <w:rFonts w:ascii="Arial" w:hAnsi="Arial" w:cs="Arial"/>
          <w:sz w:val="22"/>
          <w:szCs w:val="22"/>
        </w:rPr>
        <w:t>the European and Developing Countries Clinical Trials Partnership (SP.2011.41304.065)</w:t>
      </w:r>
      <w:r w:rsidR="009663B1">
        <w:rPr>
          <w:rFonts w:ascii="Arial" w:hAnsi="Arial" w:cs="Arial"/>
          <w:sz w:val="22"/>
          <w:szCs w:val="22"/>
        </w:rPr>
        <w:t xml:space="preserve"> and</w:t>
      </w:r>
      <w:r w:rsidR="00480413">
        <w:rPr>
          <w:rFonts w:ascii="Arial" w:hAnsi="Arial" w:cs="Arial"/>
          <w:sz w:val="22"/>
          <w:szCs w:val="22"/>
        </w:rPr>
        <w:t xml:space="preserve"> the Stellenbosch University Undergraduate Research Fund</w:t>
      </w:r>
      <w:r w:rsidR="009663B1">
        <w:rPr>
          <w:rFonts w:ascii="Arial" w:hAnsi="Arial" w:cs="Arial"/>
          <w:sz w:val="22"/>
          <w:szCs w:val="22"/>
        </w:rPr>
        <w:t xml:space="preserve">. The </w:t>
      </w:r>
      <w:proofErr w:type="spellStart"/>
      <w:r w:rsidR="009663B1" w:rsidRPr="009663B1">
        <w:rPr>
          <w:rFonts w:ascii="Arial" w:hAnsi="Arial" w:cs="Arial"/>
          <w:sz w:val="22"/>
          <w:szCs w:val="22"/>
        </w:rPr>
        <w:t>EndoAfrica</w:t>
      </w:r>
      <w:proofErr w:type="spellEnd"/>
      <w:r w:rsidR="009663B1" w:rsidRPr="009663B1">
        <w:rPr>
          <w:rFonts w:ascii="Arial" w:hAnsi="Arial" w:cs="Arial"/>
          <w:sz w:val="22"/>
          <w:szCs w:val="22"/>
        </w:rPr>
        <w:t xml:space="preserve"> </w:t>
      </w:r>
      <w:r w:rsidR="00604608">
        <w:rPr>
          <w:rFonts w:ascii="Arial" w:hAnsi="Arial" w:cs="Arial"/>
          <w:sz w:val="22"/>
          <w:szCs w:val="22"/>
        </w:rPr>
        <w:t>c</w:t>
      </w:r>
      <w:r w:rsidR="009663B1">
        <w:rPr>
          <w:rFonts w:ascii="Arial" w:hAnsi="Arial" w:cs="Arial"/>
          <w:sz w:val="22"/>
          <w:szCs w:val="22"/>
        </w:rPr>
        <w:t>oh</w:t>
      </w:r>
      <w:r w:rsidR="001D134B">
        <w:rPr>
          <w:rFonts w:ascii="Arial" w:hAnsi="Arial" w:cs="Arial"/>
          <w:sz w:val="22"/>
          <w:szCs w:val="22"/>
        </w:rPr>
        <w:t>o</w:t>
      </w:r>
      <w:r w:rsidR="009663B1">
        <w:rPr>
          <w:rFonts w:ascii="Arial" w:hAnsi="Arial" w:cs="Arial"/>
          <w:sz w:val="22"/>
          <w:szCs w:val="22"/>
        </w:rPr>
        <w:t xml:space="preserve">rt was supported by </w:t>
      </w:r>
      <w:r w:rsidR="009663B1" w:rsidRPr="009663B1">
        <w:rPr>
          <w:rFonts w:ascii="Arial" w:hAnsi="Arial" w:cs="Arial"/>
          <w:sz w:val="22"/>
          <w:szCs w:val="22"/>
        </w:rPr>
        <w:t xml:space="preserve">the </w:t>
      </w:r>
      <w:proofErr w:type="spellStart"/>
      <w:r w:rsidR="009663B1" w:rsidRPr="009663B1">
        <w:rPr>
          <w:rFonts w:ascii="Arial" w:hAnsi="Arial" w:cs="Arial"/>
          <w:sz w:val="22"/>
          <w:szCs w:val="22"/>
        </w:rPr>
        <w:t>ERAfrica</w:t>
      </w:r>
      <w:proofErr w:type="spellEnd"/>
      <w:r w:rsidR="009663B1" w:rsidRPr="009663B1">
        <w:rPr>
          <w:rFonts w:ascii="Arial" w:hAnsi="Arial" w:cs="Arial"/>
          <w:sz w:val="22"/>
          <w:szCs w:val="22"/>
        </w:rPr>
        <w:t xml:space="preserve"> program of the EU 7th Framework Program. </w:t>
      </w:r>
      <w:r w:rsidR="001D134B">
        <w:rPr>
          <w:rFonts w:ascii="Arial" w:hAnsi="Arial" w:cs="Arial"/>
          <w:sz w:val="22"/>
          <w:szCs w:val="22"/>
        </w:rPr>
        <w:t xml:space="preserve">The </w:t>
      </w:r>
      <w:proofErr w:type="spellStart"/>
      <w:r w:rsidR="001D134B">
        <w:rPr>
          <w:rFonts w:ascii="Arial" w:hAnsi="Arial" w:cs="Arial"/>
          <w:sz w:val="22"/>
          <w:szCs w:val="22"/>
        </w:rPr>
        <w:t>EndoAfrica</w:t>
      </w:r>
      <w:proofErr w:type="spellEnd"/>
      <w:r w:rsidR="001D134B">
        <w:rPr>
          <w:rFonts w:ascii="Arial" w:hAnsi="Arial" w:cs="Arial"/>
          <w:sz w:val="22"/>
          <w:szCs w:val="22"/>
        </w:rPr>
        <w:t xml:space="preserve"> f</w:t>
      </w:r>
      <w:r w:rsidR="009663B1" w:rsidRPr="009663B1">
        <w:rPr>
          <w:rFonts w:ascii="Arial" w:hAnsi="Arial" w:cs="Arial"/>
          <w:sz w:val="22"/>
          <w:szCs w:val="22"/>
        </w:rPr>
        <w:t xml:space="preserve">unding </w:t>
      </w:r>
      <w:r w:rsidR="001D134B">
        <w:rPr>
          <w:rFonts w:ascii="Arial" w:hAnsi="Arial" w:cs="Arial"/>
          <w:sz w:val="22"/>
          <w:szCs w:val="22"/>
        </w:rPr>
        <w:t>wa</w:t>
      </w:r>
      <w:r w:rsidR="009663B1" w:rsidRPr="009663B1">
        <w:rPr>
          <w:rFonts w:ascii="Arial" w:hAnsi="Arial" w:cs="Arial"/>
          <w:sz w:val="22"/>
          <w:szCs w:val="22"/>
        </w:rPr>
        <w:t xml:space="preserve">s </w:t>
      </w:r>
      <w:r w:rsidR="001D134B" w:rsidRPr="009663B1">
        <w:rPr>
          <w:rFonts w:ascii="Arial" w:hAnsi="Arial" w:cs="Arial"/>
          <w:sz w:val="22"/>
          <w:szCs w:val="22"/>
        </w:rPr>
        <w:t>distributed</w:t>
      </w:r>
      <w:r w:rsidR="009663B1" w:rsidRPr="009663B1">
        <w:rPr>
          <w:rFonts w:ascii="Arial" w:hAnsi="Arial" w:cs="Arial"/>
          <w:sz w:val="22"/>
          <w:szCs w:val="22"/>
        </w:rPr>
        <w:t xml:space="preserve"> via the Department of Science and Technology in South Africa (contract number DST/CON 0077/2014), the Belgian Science Policy in Belgium (contract number BL/67/eranet03), and </w:t>
      </w:r>
      <w:proofErr w:type="spellStart"/>
      <w:r w:rsidR="009663B1" w:rsidRPr="009663B1">
        <w:rPr>
          <w:rFonts w:ascii="Arial" w:hAnsi="Arial" w:cs="Arial"/>
          <w:sz w:val="22"/>
          <w:szCs w:val="22"/>
        </w:rPr>
        <w:t>Österreichische</w:t>
      </w:r>
      <w:proofErr w:type="spellEnd"/>
      <w:r w:rsidR="009663B1" w:rsidRPr="009663B1">
        <w:rPr>
          <w:rFonts w:ascii="Arial" w:hAnsi="Arial" w:cs="Arial"/>
          <w:sz w:val="22"/>
          <w:szCs w:val="22"/>
        </w:rPr>
        <w:t xml:space="preserve"> Agentur für </w:t>
      </w:r>
      <w:proofErr w:type="spellStart"/>
      <w:r w:rsidR="009663B1" w:rsidRPr="009663B1">
        <w:rPr>
          <w:rFonts w:ascii="Arial" w:hAnsi="Arial" w:cs="Arial"/>
          <w:sz w:val="22"/>
          <w:szCs w:val="22"/>
        </w:rPr>
        <w:t>internationale</w:t>
      </w:r>
      <w:proofErr w:type="spellEnd"/>
      <w:r w:rsidR="009663B1" w:rsidRPr="009663B1">
        <w:rPr>
          <w:rFonts w:ascii="Arial" w:hAnsi="Arial" w:cs="Arial"/>
          <w:sz w:val="22"/>
          <w:szCs w:val="22"/>
        </w:rPr>
        <w:t xml:space="preserve"> </w:t>
      </w:r>
      <w:proofErr w:type="spellStart"/>
      <w:r w:rsidR="009663B1" w:rsidRPr="009663B1">
        <w:rPr>
          <w:rFonts w:ascii="Arial" w:hAnsi="Arial" w:cs="Arial"/>
          <w:sz w:val="22"/>
          <w:szCs w:val="22"/>
        </w:rPr>
        <w:t>Mobilität</w:t>
      </w:r>
      <w:proofErr w:type="spellEnd"/>
      <w:r w:rsidR="009663B1" w:rsidRPr="009663B1">
        <w:rPr>
          <w:rFonts w:ascii="Arial" w:hAnsi="Arial" w:cs="Arial"/>
          <w:sz w:val="22"/>
          <w:szCs w:val="22"/>
        </w:rPr>
        <w:t xml:space="preserve"> und </w:t>
      </w:r>
      <w:proofErr w:type="spellStart"/>
      <w:r w:rsidR="009663B1" w:rsidRPr="009663B1">
        <w:rPr>
          <w:rFonts w:ascii="Arial" w:hAnsi="Arial" w:cs="Arial"/>
          <w:sz w:val="22"/>
          <w:szCs w:val="22"/>
        </w:rPr>
        <w:t>Kooperation</w:t>
      </w:r>
      <w:proofErr w:type="spellEnd"/>
      <w:r w:rsidR="009663B1" w:rsidRPr="009663B1">
        <w:rPr>
          <w:rFonts w:ascii="Arial" w:hAnsi="Arial" w:cs="Arial"/>
          <w:sz w:val="22"/>
          <w:szCs w:val="22"/>
        </w:rPr>
        <w:t xml:space="preserve"> in </w:t>
      </w:r>
      <w:proofErr w:type="spellStart"/>
      <w:r w:rsidR="009663B1" w:rsidRPr="009663B1">
        <w:rPr>
          <w:rFonts w:ascii="Arial" w:hAnsi="Arial" w:cs="Arial"/>
          <w:sz w:val="22"/>
          <w:szCs w:val="22"/>
        </w:rPr>
        <w:t>Bildung</w:t>
      </w:r>
      <w:proofErr w:type="spellEnd"/>
      <w:r w:rsidR="009663B1" w:rsidRPr="009663B1">
        <w:rPr>
          <w:rFonts w:ascii="Arial" w:hAnsi="Arial" w:cs="Arial"/>
          <w:sz w:val="22"/>
          <w:szCs w:val="22"/>
        </w:rPr>
        <w:t xml:space="preserve">, </w:t>
      </w:r>
      <w:proofErr w:type="spellStart"/>
      <w:r w:rsidR="009663B1" w:rsidRPr="009663B1">
        <w:rPr>
          <w:rFonts w:ascii="Arial" w:hAnsi="Arial" w:cs="Arial"/>
          <w:sz w:val="22"/>
          <w:szCs w:val="22"/>
        </w:rPr>
        <w:t>Wissenschaft</w:t>
      </w:r>
      <w:proofErr w:type="spellEnd"/>
      <w:r w:rsidR="009663B1" w:rsidRPr="009663B1">
        <w:rPr>
          <w:rFonts w:ascii="Arial" w:hAnsi="Arial" w:cs="Arial"/>
          <w:sz w:val="22"/>
          <w:szCs w:val="22"/>
        </w:rPr>
        <w:t xml:space="preserve"> und </w:t>
      </w:r>
      <w:proofErr w:type="spellStart"/>
      <w:r w:rsidR="009663B1" w:rsidRPr="009663B1">
        <w:rPr>
          <w:rFonts w:ascii="Arial" w:hAnsi="Arial" w:cs="Arial"/>
          <w:sz w:val="22"/>
          <w:szCs w:val="22"/>
        </w:rPr>
        <w:t>Forschung</w:t>
      </w:r>
      <w:proofErr w:type="spellEnd"/>
      <w:r w:rsidR="009663B1" w:rsidRPr="009663B1">
        <w:rPr>
          <w:rFonts w:ascii="Arial" w:hAnsi="Arial" w:cs="Arial"/>
          <w:sz w:val="22"/>
          <w:szCs w:val="22"/>
        </w:rPr>
        <w:t xml:space="preserve">, </w:t>
      </w:r>
      <w:proofErr w:type="spellStart"/>
      <w:r w:rsidR="009663B1" w:rsidRPr="009663B1">
        <w:rPr>
          <w:rFonts w:ascii="Arial" w:hAnsi="Arial" w:cs="Arial"/>
          <w:sz w:val="22"/>
          <w:szCs w:val="22"/>
        </w:rPr>
        <w:t>OeAD</w:t>
      </w:r>
      <w:proofErr w:type="spellEnd"/>
      <w:r w:rsidR="009663B1" w:rsidRPr="009663B1">
        <w:rPr>
          <w:rFonts w:ascii="Arial" w:hAnsi="Arial" w:cs="Arial"/>
          <w:sz w:val="22"/>
          <w:szCs w:val="22"/>
        </w:rPr>
        <w:t xml:space="preserve"> GmbH (ÖAD) in Austria.</w:t>
      </w:r>
      <w:r w:rsidR="00F40D99" w:rsidRPr="00805A39">
        <w:rPr>
          <w:rFonts w:ascii="Arial" w:hAnsi="Arial" w:cs="Arial"/>
          <w:b/>
          <w:sz w:val="22"/>
          <w:szCs w:val="22"/>
        </w:rPr>
        <w:br w:type="page"/>
      </w:r>
    </w:p>
    <w:p w14:paraId="2052D3B1" w14:textId="77777777" w:rsidR="00213E90" w:rsidRPr="00D2356B" w:rsidRDefault="00213E90" w:rsidP="00213E90">
      <w:pPr>
        <w:pStyle w:val="Heading1"/>
        <w:ind w:firstLine="0"/>
        <w:rPr>
          <w:rFonts w:ascii="Arial" w:hAnsi="Arial" w:cs="Arial"/>
          <w:sz w:val="22"/>
          <w:szCs w:val="22"/>
          <w:lang w:val="en-AU"/>
        </w:rPr>
      </w:pPr>
      <w:r w:rsidRPr="00260CF6">
        <w:rPr>
          <w:rFonts w:ascii="Arial" w:hAnsi="Arial" w:cs="Arial"/>
          <w:sz w:val="22"/>
          <w:szCs w:val="22"/>
        </w:rPr>
        <w:lastRenderedPageBreak/>
        <w:t>Abstract</w:t>
      </w:r>
    </w:p>
    <w:p w14:paraId="248FF71B" w14:textId="77777777" w:rsidR="00213E90" w:rsidRDefault="00213E90" w:rsidP="00213E90">
      <w:pPr>
        <w:spacing w:line="480" w:lineRule="auto"/>
        <w:jc w:val="both"/>
        <w:outlineLvl w:val="0"/>
        <w:rPr>
          <w:rFonts w:ascii="Arial" w:hAnsi="Arial" w:cs="Arial"/>
          <w:b/>
          <w:sz w:val="22"/>
          <w:szCs w:val="22"/>
        </w:rPr>
      </w:pPr>
      <w:r>
        <w:rPr>
          <w:rFonts w:ascii="Arial" w:hAnsi="Arial" w:cs="Arial"/>
          <w:b/>
          <w:sz w:val="22"/>
          <w:szCs w:val="22"/>
        </w:rPr>
        <w:t>Background</w:t>
      </w:r>
    </w:p>
    <w:p w14:paraId="42079D6D" w14:textId="77777777" w:rsidR="00213E90" w:rsidRPr="00891A01" w:rsidRDefault="00213E90" w:rsidP="00213E90">
      <w:pPr>
        <w:spacing w:line="480" w:lineRule="auto"/>
        <w:jc w:val="both"/>
        <w:outlineLvl w:val="0"/>
        <w:rPr>
          <w:rFonts w:ascii="Arial" w:hAnsi="Arial" w:cs="Arial"/>
          <w:bCs/>
          <w:sz w:val="22"/>
          <w:szCs w:val="22"/>
        </w:rPr>
      </w:pPr>
      <w:r>
        <w:rPr>
          <w:rFonts w:ascii="Arial" w:hAnsi="Arial" w:cs="Arial"/>
          <w:bCs/>
          <w:sz w:val="22"/>
          <w:szCs w:val="22"/>
        </w:rPr>
        <w:t>Obesity is increasing worldwide including in people living with HIV (PLWH).</w:t>
      </w:r>
      <w:r w:rsidRPr="00062064">
        <w:rPr>
          <w:rFonts w:ascii="Arial" w:hAnsi="Arial" w:cs="Arial"/>
          <w:bCs/>
          <w:sz w:val="22"/>
          <w:szCs w:val="22"/>
        </w:rPr>
        <w:t xml:space="preserve"> </w:t>
      </w:r>
      <w:r>
        <w:rPr>
          <w:rFonts w:ascii="Arial" w:hAnsi="Arial" w:cs="Arial"/>
          <w:bCs/>
          <w:sz w:val="22"/>
          <w:szCs w:val="22"/>
        </w:rPr>
        <w:t xml:space="preserve">Antiretroviral pharmacokinetic data in obesity are limited. </w:t>
      </w:r>
    </w:p>
    <w:p w14:paraId="392F378A" w14:textId="77777777" w:rsidR="00213E90" w:rsidRDefault="00213E90" w:rsidP="00213E90">
      <w:pPr>
        <w:spacing w:line="480" w:lineRule="auto"/>
        <w:jc w:val="both"/>
        <w:outlineLvl w:val="0"/>
        <w:rPr>
          <w:rFonts w:ascii="Arial" w:hAnsi="Arial" w:cs="Arial"/>
          <w:b/>
          <w:sz w:val="22"/>
          <w:szCs w:val="22"/>
        </w:rPr>
      </w:pPr>
    </w:p>
    <w:p w14:paraId="637273E9" w14:textId="77777777" w:rsidR="00213E90" w:rsidRDefault="00213E90" w:rsidP="00213E90">
      <w:pPr>
        <w:spacing w:line="480" w:lineRule="auto"/>
        <w:jc w:val="both"/>
        <w:outlineLvl w:val="0"/>
        <w:rPr>
          <w:rFonts w:ascii="Arial" w:hAnsi="Arial" w:cs="Arial"/>
          <w:b/>
          <w:sz w:val="22"/>
          <w:szCs w:val="22"/>
        </w:rPr>
      </w:pPr>
      <w:r>
        <w:rPr>
          <w:rFonts w:ascii="Arial" w:hAnsi="Arial" w:cs="Arial"/>
          <w:b/>
          <w:sz w:val="22"/>
          <w:szCs w:val="22"/>
        </w:rPr>
        <w:t>Objectives</w:t>
      </w:r>
    </w:p>
    <w:p w14:paraId="38D59620" w14:textId="77777777" w:rsidR="00213E90" w:rsidRPr="00891A01" w:rsidRDefault="00213E90" w:rsidP="00213E90">
      <w:pPr>
        <w:spacing w:line="480" w:lineRule="auto"/>
        <w:jc w:val="both"/>
        <w:outlineLvl w:val="0"/>
        <w:rPr>
          <w:rFonts w:ascii="Arial" w:hAnsi="Arial" w:cs="Arial"/>
          <w:bCs/>
          <w:sz w:val="22"/>
          <w:szCs w:val="22"/>
        </w:rPr>
      </w:pPr>
      <w:r>
        <w:rPr>
          <w:rFonts w:ascii="Arial" w:hAnsi="Arial" w:cs="Arial"/>
          <w:bCs/>
          <w:sz w:val="22"/>
          <w:szCs w:val="22"/>
        </w:rPr>
        <w:t xml:space="preserve">To measure antiretroviral drug concentrations in obese and non-obese PLWH treated with the </w:t>
      </w:r>
      <w:r w:rsidRPr="00721F53">
        <w:rPr>
          <w:rFonts w:ascii="Arial" w:hAnsi="Arial"/>
          <w:sz w:val="22"/>
        </w:rPr>
        <w:t>fixe</w:t>
      </w:r>
      <w:r w:rsidRPr="00AD5152">
        <w:rPr>
          <w:rFonts w:ascii="Arial" w:hAnsi="Arial"/>
          <w:sz w:val="22"/>
        </w:rPr>
        <w:t>d</w:t>
      </w:r>
      <w:r w:rsidRPr="00AD5152">
        <w:rPr>
          <w:rFonts w:ascii="Arial" w:hAnsi="Arial" w:cs="Arial"/>
          <w:bCs/>
          <w:sz w:val="22"/>
          <w:szCs w:val="22"/>
        </w:rPr>
        <w:t>-</w:t>
      </w:r>
      <w:r>
        <w:rPr>
          <w:rFonts w:ascii="Arial" w:hAnsi="Arial" w:cs="Arial"/>
          <w:bCs/>
          <w:sz w:val="22"/>
          <w:szCs w:val="22"/>
        </w:rPr>
        <w:t xml:space="preserve"> </w:t>
      </w:r>
      <w:r w:rsidRPr="00721F53">
        <w:rPr>
          <w:rFonts w:ascii="Arial" w:hAnsi="Arial"/>
          <w:sz w:val="22"/>
        </w:rPr>
        <w:t>dose combination</w:t>
      </w:r>
      <w:r>
        <w:rPr>
          <w:rFonts w:ascii="Arial" w:hAnsi="Arial" w:cs="Arial"/>
          <w:bCs/>
          <w:sz w:val="22"/>
          <w:szCs w:val="22"/>
        </w:rPr>
        <w:t xml:space="preserve"> of efavirenz-tenofovir-emtricitabine. To determine pharmacokinetic differences across </w:t>
      </w:r>
      <w:r w:rsidRPr="00E73C9F">
        <w:rPr>
          <w:rFonts w:ascii="Arial" w:hAnsi="Arial" w:cs="Arial"/>
          <w:bCs/>
          <w:sz w:val="22"/>
          <w:szCs w:val="22"/>
        </w:rPr>
        <w:t>indicators of obesity</w:t>
      </w:r>
      <w:r>
        <w:rPr>
          <w:rFonts w:ascii="Arial" w:hAnsi="Arial" w:cs="Arial"/>
          <w:bCs/>
          <w:sz w:val="22"/>
          <w:szCs w:val="22"/>
        </w:rPr>
        <w:t xml:space="preserve"> and their associated immunovirological outcomes.</w:t>
      </w:r>
    </w:p>
    <w:p w14:paraId="74ED135A" w14:textId="77777777" w:rsidR="00213E90" w:rsidRPr="00805A39" w:rsidRDefault="00213E90" w:rsidP="00213E90">
      <w:pPr>
        <w:spacing w:line="480" w:lineRule="auto"/>
        <w:jc w:val="both"/>
        <w:outlineLvl w:val="0"/>
        <w:rPr>
          <w:rFonts w:ascii="Arial" w:hAnsi="Arial" w:cs="Arial"/>
          <w:b/>
          <w:sz w:val="22"/>
          <w:szCs w:val="22"/>
        </w:rPr>
      </w:pPr>
    </w:p>
    <w:p w14:paraId="460C59B5" w14:textId="77777777" w:rsidR="00213E90" w:rsidRPr="00360C5E" w:rsidRDefault="00213E90" w:rsidP="00213E90">
      <w:pPr>
        <w:autoSpaceDE w:val="0"/>
        <w:autoSpaceDN w:val="0"/>
        <w:adjustRightInd w:val="0"/>
        <w:spacing w:line="480" w:lineRule="auto"/>
        <w:jc w:val="both"/>
        <w:outlineLvl w:val="0"/>
        <w:rPr>
          <w:rFonts w:ascii="Arial" w:hAnsi="Arial" w:cs="Arial"/>
          <w:b/>
          <w:sz w:val="22"/>
          <w:szCs w:val="22"/>
        </w:rPr>
      </w:pPr>
      <w:r w:rsidRPr="00360C5E">
        <w:rPr>
          <w:rFonts w:ascii="Arial" w:hAnsi="Arial" w:cs="Arial"/>
          <w:b/>
          <w:sz w:val="22"/>
          <w:szCs w:val="22"/>
        </w:rPr>
        <w:t>Methods</w:t>
      </w:r>
    </w:p>
    <w:p w14:paraId="62DA51E3" w14:textId="77777777" w:rsidR="00213E90" w:rsidRPr="00360C5E" w:rsidRDefault="00213E90" w:rsidP="00213E90">
      <w:pPr>
        <w:spacing w:line="480" w:lineRule="auto"/>
        <w:jc w:val="both"/>
        <w:outlineLvl w:val="0"/>
        <w:rPr>
          <w:rFonts w:ascii="Arial" w:hAnsi="Arial" w:cs="Arial"/>
          <w:sz w:val="22"/>
          <w:szCs w:val="22"/>
        </w:rPr>
      </w:pPr>
      <w:r>
        <w:rPr>
          <w:rFonts w:ascii="Arial" w:hAnsi="Arial" w:cs="Arial"/>
          <w:bCs/>
          <w:iCs/>
          <w:sz w:val="22"/>
          <w:szCs w:val="22"/>
        </w:rPr>
        <w:t>We conducted a cross-sectional sample analysis</w:t>
      </w:r>
      <w:r w:rsidRPr="00360C5E">
        <w:rPr>
          <w:rFonts w:ascii="Arial" w:hAnsi="Arial" w:cs="Arial"/>
          <w:bCs/>
          <w:sz w:val="22"/>
          <w:szCs w:val="22"/>
        </w:rPr>
        <w:t xml:space="preserve"> of two cohort studies. </w:t>
      </w:r>
      <w:r w:rsidRPr="00360C5E">
        <w:rPr>
          <w:rFonts w:ascii="Arial" w:hAnsi="Arial" w:cs="Arial"/>
          <w:sz w:val="22"/>
          <w:szCs w:val="22"/>
        </w:rPr>
        <w:t>We measured mid-dose efavirenz, 8-hydroxy-efavirenz, tenofovir, and emtricitabine concentrations. Antiretroviral drug</w:t>
      </w:r>
      <w:r w:rsidRPr="00360C5E">
        <w:rPr>
          <w:rFonts w:ascii="Arial" w:hAnsi="Arial"/>
          <w:sz w:val="22"/>
        </w:rPr>
        <w:t xml:space="preserve"> concentrations </w:t>
      </w:r>
      <w:r w:rsidRPr="00360C5E">
        <w:rPr>
          <w:rFonts w:ascii="Arial" w:hAnsi="Arial" w:cs="Arial"/>
          <w:sz w:val="22"/>
          <w:szCs w:val="22"/>
        </w:rPr>
        <w:t xml:space="preserve">were </w:t>
      </w:r>
      <w:proofErr w:type="spellStart"/>
      <w:r w:rsidRPr="00360C5E">
        <w:rPr>
          <w:rFonts w:ascii="Arial" w:hAnsi="Arial" w:cs="Arial"/>
          <w:sz w:val="22"/>
          <w:szCs w:val="22"/>
        </w:rPr>
        <w:t>analysed</w:t>
      </w:r>
      <w:proofErr w:type="spellEnd"/>
      <w:r w:rsidRPr="00360C5E">
        <w:rPr>
          <w:rFonts w:ascii="Arial" w:hAnsi="Arial" w:cs="Arial"/>
          <w:sz w:val="22"/>
          <w:szCs w:val="22"/>
        </w:rPr>
        <w:t xml:space="preserve"> by </w:t>
      </w:r>
      <w:r w:rsidRPr="009E5E70">
        <w:rPr>
          <w:rFonts w:ascii="Arial" w:hAnsi="Arial" w:cs="Arial"/>
          <w:sz w:val="22"/>
          <w:szCs w:val="22"/>
        </w:rPr>
        <w:t>body-mass index</w:t>
      </w:r>
      <w:r w:rsidRPr="00360C5E">
        <w:rPr>
          <w:rFonts w:ascii="Arial" w:hAnsi="Arial" w:cs="Arial"/>
          <w:sz w:val="22"/>
          <w:szCs w:val="22"/>
        </w:rPr>
        <w:t xml:space="preserve"> (BMI), waist circumference (WC) and waist</w:t>
      </w:r>
      <w:r w:rsidRPr="009E5E70">
        <w:rPr>
          <w:rFonts w:ascii="Arial" w:hAnsi="Arial"/>
          <w:sz w:val="22"/>
        </w:rPr>
        <w:t>-</w:t>
      </w:r>
      <w:r w:rsidRPr="009E5E70">
        <w:rPr>
          <w:rFonts w:ascii="Arial" w:hAnsi="Arial" w:cs="Arial"/>
          <w:sz w:val="22"/>
          <w:szCs w:val="22"/>
        </w:rPr>
        <w:t>to-</w:t>
      </w:r>
      <w:r w:rsidRPr="00360C5E">
        <w:rPr>
          <w:rFonts w:ascii="Arial" w:hAnsi="Arial" w:cs="Arial"/>
          <w:sz w:val="22"/>
          <w:szCs w:val="22"/>
        </w:rPr>
        <w:t>hip ratio (WHR)</w:t>
      </w:r>
      <w:r w:rsidRPr="00360C5E">
        <w:rPr>
          <w:rFonts w:ascii="Arial" w:hAnsi="Arial"/>
          <w:sz w:val="22"/>
        </w:rPr>
        <w:t>.</w:t>
      </w:r>
      <w:r w:rsidRPr="00360C5E">
        <w:rPr>
          <w:rFonts w:ascii="Arial" w:hAnsi="Arial" w:cs="Arial"/>
          <w:sz w:val="22"/>
          <w:szCs w:val="22"/>
        </w:rPr>
        <w:t xml:space="preserve"> </w:t>
      </w:r>
    </w:p>
    <w:p w14:paraId="6C846933" w14:textId="77777777" w:rsidR="00213E90" w:rsidRPr="00360C5E" w:rsidRDefault="00213E90" w:rsidP="00213E90">
      <w:pPr>
        <w:spacing w:line="480" w:lineRule="auto"/>
        <w:jc w:val="both"/>
        <w:outlineLvl w:val="0"/>
        <w:rPr>
          <w:rFonts w:ascii="Arial" w:hAnsi="Arial" w:cs="Arial"/>
          <w:b/>
          <w:sz w:val="22"/>
          <w:szCs w:val="22"/>
        </w:rPr>
      </w:pPr>
    </w:p>
    <w:p w14:paraId="2EC4AD68" w14:textId="77777777" w:rsidR="00213E90" w:rsidRPr="00360C5E" w:rsidRDefault="00213E90" w:rsidP="00213E90">
      <w:pPr>
        <w:spacing w:line="480" w:lineRule="auto"/>
        <w:jc w:val="both"/>
        <w:outlineLvl w:val="0"/>
        <w:rPr>
          <w:rFonts w:ascii="Arial" w:hAnsi="Arial" w:cs="Arial"/>
          <w:b/>
          <w:sz w:val="22"/>
          <w:szCs w:val="22"/>
        </w:rPr>
      </w:pPr>
      <w:r w:rsidRPr="00360C5E">
        <w:rPr>
          <w:rFonts w:ascii="Arial" w:hAnsi="Arial" w:cs="Arial"/>
          <w:b/>
          <w:sz w:val="22"/>
          <w:szCs w:val="22"/>
        </w:rPr>
        <w:t>Results</w:t>
      </w:r>
    </w:p>
    <w:p w14:paraId="4A3D4D91" w14:textId="77777777" w:rsidR="00213E90" w:rsidRDefault="00213E90" w:rsidP="00213E90">
      <w:pPr>
        <w:spacing w:line="480" w:lineRule="auto"/>
        <w:jc w:val="both"/>
        <w:rPr>
          <w:rFonts w:ascii="Arial" w:hAnsi="Arial" w:cs="Arial"/>
          <w:sz w:val="22"/>
          <w:szCs w:val="22"/>
        </w:rPr>
      </w:pPr>
      <w:r w:rsidRPr="00360C5E">
        <w:rPr>
          <w:rFonts w:ascii="Arial" w:hAnsi="Arial" w:cs="Arial"/>
          <w:sz w:val="22"/>
          <w:szCs w:val="22"/>
        </w:rPr>
        <w:t xml:space="preserve">We studied 213 participants: general obesity was detected in </w:t>
      </w:r>
      <w:r>
        <w:rPr>
          <w:rFonts w:ascii="Arial" w:hAnsi="Arial" w:cs="Arial"/>
          <w:sz w:val="22"/>
          <w:szCs w:val="22"/>
        </w:rPr>
        <w:t>20.4%</w:t>
      </w:r>
      <w:r w:rsidRPr="00360C5E">
        <w:rPr>
          <w:rFonts w:ascii="Arial" w:hAnsi="Arial" w:cs="Arial"/>
          <w:sz w:val="22"/>
          <w:szCs w:val="22"/>
        </w:rPr>
        <w:t xml:space="preserve"> using BMI, </w:t>
      </w:r>
      <w:r w:rsidRPr="009E5E70">
        <w:rPr>
          <w:rFonts w:ascii="Arial" w:hAnsi="Arial" w:cs="Arial"/>
          <w:sz w:val="22"/>
          <w:szCs w:val="22"/>
        </w:rPr>
        <w:t>and abdominal obesity in</w:t>
      </w:r>
      <w:r w:rsidRPr="009E5E70">
        <w:rPr>
          <w:rFonts w:ascii="Arial" w:hAnsi="Arial"/>
          <w:sz w:val="22"/>
        </w:rPr>
        <w:t xml:space="preserve"> </w:t>
      </w:r>
      <w:r>
        <w:rPr>
          <w:rFonts w:ascii="Arial" w:hAnsi="Arial"/>
          <w:sz w:val="22"/>
        </w:rPr>
        <w:t xml:space="preserve">53.6% </w:t>
      </w:r>
      <w:r w:rsidRPr="009E5E70">
        <w:rPr>
          <w:rFonts w:ascii="Arial" w:hAnsi="Arial"/>
          <w:sz w:val="22"/>
        </w:rPr>
        <w:t xml:space="preserve">using WC and </w:t>
      </w:r>
      <w:r>
        <w:rPr>
          <w:rFonts w:ascii="Arial" w:hAnsi="Arial"/>
          <w:sz w:val="22"/>
        </w:rPr>
        <w:t>62.4%</w:t>
      </w:r>
      <w:r w:rsidRPr="009E5E70">
        <w:rPr>
          <w:rFonts w:ascii="Arial" w:hAnsi="Arial"/>
          <w:sz w:val="22"/>
        </w:rPr>
        <w:t xml:space="preserve"> using WHR</w:t>
      </w:r>
      <w:r w:rsidRPr="009E5E70">
        <w:rPr>
          <w:rFonts w:ascii="Arial" w:hAnsi="Arial" w:cs="Arial"/>
          <w:sz w:val="22"/>
          <w:szCs w:val="22"/>
        </w:rPr>
        <w:t xml:space="preserve"> respectively</w:t>
      </w:r>
      <w:r w:rsidRPr="00360C5E">
        <w:rPr>
          <w:rFonts w:ascii="Arial" w:hAnsi="Arial" w:cs="Arial"/>
          <w:sz w:val="22"/>
          <w:szCs w:val="22"/>
        </w:rPr>
        <w:t xml:space="preserve">. The </w:t>
      </w:r>
      <w:r>
        <w:rPr>
          <w:rFonts w:ascii="Arial" w:hAnsi="Arial" w:cs="Arial"/>
          <w:sz w:val="22"/>
          <w:szCs w:val="22"/>
        </w:rPr>
        <w:t xml:space="preserve">median </w:t>
      </w:r>
      <w:r w:rsidRPr="002C0E12">
        <w:rPr>
          <w:rFonts w:ascii="Arial" w:hAnsi="Arial" w:cs="Arial"/>
          <w:sz w:val="22"/>
          <w:szCs w:val="22"/>
        </w:rPr>
        <w:t>concentrations of all antiretroviral drugs were lower amongst obese participants determined by BMI and WC, with efavirenz showing greater differences than tenofovir or emtricitabine. For BMI, results were most striking for efavirenz (1752.3 ng/ml vs</w:t>
      </w:r>
      <w:r>
        <w:rPr>
          <w:rFonts w:ascii="Arial" w:hAnsi="Arial" w:cs="Arial"/>
          <w:sz w:val="22"/>
          <w:szCs w:val="22"/>
        </w:rPr>
        <w:t xml:space="preserve"> 2342.9 ng/ml, </w:t>
      </w:r>
      <w:r>
        <w:rPr>
          <w:rFonts w:ascii="Arial" w:hAnsi="Arial" w:cs="Arial"/>
          <w:i/>
          <w:iCs/>
          <w:sz w:val="22"/>
          <w:szCs w:val="22"/>
        </w:rPr>
        <w:t>P</w:t>
      </w:r>
      <w:r>
        <w:rPr>
          <w:rFonts w:ascii="Arial" w:hAnsi="Arial" w:cs="Arial"/>
          <w:sz w:val="22"/>
          <w:szCs w:val="22"/>
        </w:rPr>
        <w:t xml:space="preserve">=0.002) with lower concentrations in obese participants. Using WC, efavirenz (1845.8 ng/ml vs 2571.2 ng/ml, </w:t>
      </w:r>
      <w:r>
        <w:rPr>
          <w:rFonts w:ascii="Arial" w:hAnsi="Arial" w:cs="Arial"/>
          <w:i/>
          <w:iCs/>
          <w:sz w:val="22"/>
          <w:szCs w:val="22"/>
        </w:rPr>
        <w:t>P</w:t>
      </w:r>
      <w:r>
        <w:rPr>
          <w:rFonts w:ascii="Arial" w:hAnsi="Arial" w:cs="Arial"/>
          <w:sz w:val="22"/>
          <w:szCs w:val="22"/>
        </w:rPr>
        <w:t xml:space="preserve">&lt;0.001), tenofovir (65.8 ng/ml vs 73.2 ng/ml, </w:t>
      </w:r>
      <w:r>
        <w:rPr>
          <w:rFonts w:ascii="Arial" w:hAnsi="Arial" w:cs="Arial"/>
          <w:i/>
          <w:iCs/>
          <w:sz w:val="22"/>
          <w:szCs w:val="22"/>
        </w:rPr>
        <w:t>P</w:t>
      </w:r>
      <w:r>
        <w:rPr>
          <w:rFonts w:ascii="Arial" w:hAnsi="Arial" w:cs="Arial"/>
          <w:sz w:val="22"/>
          <w:szCs w:val="22"/>
        </w:rPr>
        <w:t xml:space="preserve">=0.036), and emtricitabine (159.5 ng/ml vs 221.0 ng/ml, </w:t>
      </w:r>
      <w:r>
        <w:rPr>
          <w:rFonts w:ascii="Arial" w:hAnsi="Arial" w:cs="Arial"/>
          <w:i/>
          <w:iCs/>
          <w:sz w:val="22"/>
          <w:szCs w:val="22"/>
        </w:rPr>
        <w:t>P</w:t>
      </w:r>
      <w:r>
        <w:rPr>
          <w:rFonts w:ascii="Arial" w:hAnsi="Arial" w:cs="Arial"/>
          <w:sz w:val="22"/>
          <w:szCs w:val="22"/>
        </w:rPr>
        <w:t>=0.005) concentrations were lower in obese participants. Eight-hydroxy-efavirenz concentrations were similar in non-obese and obese participants for</w:t>
      </w:r>
      <w:r w:rsidRPr="00101906">
        <w:rPr>
          <w:rFonts w:ascii="Arial" w:hAnsi="Arial" w:cs="Arial"/>
          <w:sz w:val="22"/>
          <w:szCs w:val="22"/>
        </w:rPr>
        <w:t xml:space="preserve"> </w:t>
      </w:r>
      <w:r>
        <w:rPr>
          <w:rFonts w:ascii="Arial" w:hAnsi="Arial" w:cs="Arial"/>
          <w:sz w:val="22"/>
          <w:szCs w:val="22"/>
        </w:rPr>
        <w:t>WC. Using WHR, the concentration</w:t>
      </w:r>
      <w:r w:rsidRPr="00101906">
        <w:rPr>
          <w:rFonts w:ascii="Arial" w:hAnsi="Arial" w:cs="Arial"/>
          <w:sz w:val="22"/>
          <w:szCs w:val="22"/>
        </w:rPr>
        <w:t>s</w:t>
      </w:r>
      <w:r>
        <w:rPr>
          <w:rFonts w:ascii="Arial" w:hAnsi="Arial" w:cs="Arial"/>
          <w:sz w:val="22"/>
          <w:szCs w:val="22"/>
        </w:rPr>
        <w:t xml:space="preserve"> of all antiretroviral drugs were lower in the obese population, most strikingly for emtricitabine (173.5 ng/ml vs 229.0 ng/ml, </w:t>
      </w:r>
      <w:r>
        <w:rPr>
          <w:rFonts w:ascii="Arial" w:hAnsi="Arial" w:cs="Arial"/>
          <w:i/>
          <w:iCs/>
          <w:sz w:val="22"/>
          <w:szCs w:val="22"/>
        </w:rPr>
        <w:t>P</w:t>
      </w:r>
      <w:r>
        <w:rPr>
          <w:rFonts w:ascii="Arial" w:hAnsi="Arial" w:cs="Arial"/>
          <w:sz w:val="22"/>
          <w:szCs w:val="22"/>
        </w:rPr>
        <w:t>=0.015). There were no immunovirological associations.</w:t>
      </w:r>
    </w:p>
    <w:p w14:paraId="2CD584E6" w14:textId="77777777" w:rsidR="00213E90" w:rsidRDefault="00213E90" w:rsidP="00213E90">
      <w:pPr>
        <w:spacing w:line="480" w:lineRule="auto"/>
        <w:jc w:val="both"/>
        <w:rPr>
          <w:rFonts w:ascii="Arial" w:hAnsi="Arial" w:cs="Arial"/>
          <w:sz w:val="22"/>
          <w:szCs w:val="22"/>
        </w:rPr>
      </w:pPr>
    </w:p>
    <w:p w14:paraId="16584180" w14:textId="77777777" w:rsidR="00213E90" w:rsidRPr="00805A39" w:rsidRDefault="00213E90" w:rsidP="00213E90">
      <w:pPr>
        <w:spacing w:line="480" w:lineRule="auto"/>
        <w:jc w:val="both"/>
        <w:outlineLvl w:val="0"/>
        <w:rPr>
          <w:rFonts w:ascii="Arial" w:hAnsi="Arial" w:cs="Arial"/>
          <w:b/>
          <w:sz w:val="22"/>
          <w:szCs w:val="22"/>
        </w:rPr>
      </w:pPr>
      <w:r w:rsidRPr="00805A39">
        <w:rPr>
          <w:rFonts w:ascii="Arial" w:hAnsi="Arial" w:cs="Arial"/>
          <w:b/>
          <w:sz w:val="22"/>
          <w:szCs w:val="22"/>
        </w:rPr>
        <w:t>Conclusion</w:t>
      </w:r>
    </w:p>
    <w:p w14:paraId="52D58C16" w14:textId="77777777" w:rsidR="00213E90" w:rsidRPr="00557536" w:rsidRDefault="00213E90" w:rsidP="00213E90">
      <w:pPr>
        <w:spacing w:line="480" w:lineRule="auto"/>
        <w:jc w:val="both"/>
        <w:rPr>
          <w:rFonts w:ascii="Arial" w:hAnsi="Arial" w:cs="Arial"/>
          <w:bCs/>
          <w:sz w:val="22"/>
          <w:szCs w:val="22"/>
        </w:rPr>
      </w:pPr>
      <w:r>
        <w:rPr>
          <w:rFonts w:ascii="Arial" w:hAnsi="Arial" w:cs="Arial"/>
          <w:sz w:val="22"/>
          <w:szCs w:val="22"/>
        </w:rPr>
        <w:lastRenderedPageBreak/>
        <w:t>We found lower antiretroviral concentrations in</w:t>
      </w:r>
      <w:r>
        <w:rPr>
          <w:rFonts w:ascii="Arial" w:hAnsi="Arial" w:cs="Arial"/>
          <w:bCs/>
          <w:sz w:val="22"/>
          <w:szCs w:val="22"/>
        </w:rPr>
        <w:t xml:space="preserve"> all obese groups; most strikingly in participants with </w:t>
      </w:r>
      <w:r w:rsidRPr="00AD5152">
        <w:rPr>
          <w:rFonts w:ascii="Arial" w:hAnsi="Arial" w:cs="Arial"/>
          <w:bCs/>
          <w:sz w:val="22"/>
          <w:szCs w:val="22"/>
        </w:rPr>
        <w:t>abdominal</w:t>
      </w:r>
      <w:r>
        <w:rPr>
          <w:rFonts w:ascii="Arial" w:hAnsi="Arial" w:cs="Arial"/>
          <w:bCs/>
          <w:sz w:val="22"/>
          <w:szCs w:val="22"/>
        </w:rPr>
        <w:t xml:space="preserve"> obesity determined by WC. Lower drug concentrations had no immunovirological associations. </w:t>
      </w:r>
    </w:p>
    <w:p w14:paraId="58AE9818" w14:textId="791F566C" w:rsidR="005F3755" w:rsidRPr="00557536" w:rsidRDefault="005F3755" w:rsidP="005F3755">
      <w:pPr>
        <w:spacing w:line="480" w:lineRule="auto"/>
        <w:jc w:val="both"/>
        <w:rPr>
          <w:rFonts w:ascii="Arial" w:hAnsi="Arial" w:cs="Arial"/>
          <w:bCs/>
          <w:sz w:val="22"/>
          <w:szCs w:val="22"/>
        </w:rPr>
      </w:pPr>
      <w:r>
        <w:rPr>
          <w:rFonts w:ascii="Arial" w:hAnsi="Arial" w:cs="Arial"/>
          <w:bCs/>
          <w:sz w:val="22"/>
          <w:szCs w:val="22"/>
        </w:rPr>
        <w:t xml:space="preserve"> </w:t>
      </w:r>
    </w:p>
    <w:p w14:paraId="17380470" w14:textId="77777777" w:rsidR="00ED4DBD" w:rsidRDefault="00ED4DBD" w:rsidP="00D02842">
      <w:pPr>
        <w:spacing w:line="480" w:lineRule="auto"/>
        <w:jc w:val="both"/>
        <w:rPr>
          <w:rFonts w:ascii="Arial" w:hAnsi="Arial" w:cs="Arial"/>
          <w:bCs/>
          <w:sz w:val="22"/>
          <w:szCs w:val="22"/>
        </w:rPr>
      </w:pPr>
    </w:p>
    <w:p w14:paraId="12BBD19D" w14:textId="06790A5D" w:rsidR="001A62B9" w:rsidRPr="005E3BAD" w:rsidRDefault="005E3BAD" w:rsidP="00D02842">
      <w:pPr>
        <w:spacing w:line="480" w:lineRule="auto"/>
        <w:jc w:val="both"/>
        <w:rPr>
          <w:rFonts w:ascii="Arial" w:hAnsi="Arial" w:cs="Arial"/>
          <w:b/>
          <w:sz w:val="22"/>
          <w:szCs w:val="22"/>
        </w:rPr>
      </w:pPr>
      <w:r w:rsidRPr="005E3BAD">
        <w:rPr>
          <w:rFonts w:ascii="Arial" w:hAnsi="Arial" w:cs="Arial"/>
          <w:b/>
          <w:sz w:val="22"/>
          <w:szCs w:val="22"/>
        </w:rPr>
        <w:t>Key words</w:t>
      </w:r>
    </w:p>
    <w:p w14:paraId="686B52B7" w14:textId="18ECABE5" w:rsidR="001A62B9" w:rsidRDefault="005E3BAD" w:rsidP="00D02842">
      <w:pPr>
        <w:spacing w:line="480" w:lineRule="auto"/>
        <w:jc w:val="both"/>
        <w:rPr>
          <w:rFonts w:ascii="Arial" w:hAnsi="Arial" w:cs="Arial"/>
          <w:bCs/>
          <w:sz w:val="22"/>
          <w:szCs w:val="22"/>
        </w:rPr>
        <w:sectPr w:rsidR="001A62B9" w:rsidSect="00170A6C">
          <w:footerReference w:type="even" r:id="rId9"/>
          <w:footerReference w:type="default" r:id="rId10"/>
          <w:pgSz w:w="11900" w:h="16840"/>
          <w:pgMar w:top="720" w:right="720" w:bottom="720" w:left="720" w:header="709" w:footer="709" w:gutter="0"/>
          <w:lnNumType w:countBy="1" w:restart="continuous"/>
          <w:cols w:space="708"/>
          <w:docGrid w:linePitch="360"/>
        </w:sectPr>
      </w:pPr>
      <w:r>
        <w:rPr>
          <w:rFonts w:ascii="Arial" w:hAnsi="Arial" w:cs="Arial"/>
          <w:bCs/>
          <w:sz w:val="22"/>
          <w:szCs w:val="22"/>
        </w:rPr>
        <w:t>Antiretrovirals, pharmacokinetics, efavirenz, tenofovir, emtricitabine, obesity</w:t>
      </w:r>
    </w:p>
    <w:p w14:paraId="4D53CC52" w14:textId="77777777" w:rsidR="002E5A39" w:rsidRPr="00260CF6" w:rsidRDefault="002E5A39">
      <w:pPr>
        <w:pStyle w:val="Heading1"/>
        <w:ind w:firstLine="0"/>
        <w:rPr>
          <w:rFonts w:ascii="Arial" w:hAnsi="Arial" w:cs="Arial"/>
          <w:sz w:val="22"/>
          <w:szCs w:val="22"/>
        </w:rPr>
      </w:pPr>
      <w:r w:rsidRPr="00260CF6">
        <w:rPr>
          <w:rFonts w:ascii="Arial" w:hAnsi="Arial" w:cs="Arial"/>
          <w:sz w:val="22"/>
          <w:szCs w:val="22"/>
        </w:rPr>
        <w:lastRenderedPageBreak/>
        <w:t>Introduction</w:t>
      </w:r>
    </w:p>
    <w:p w14:paraId="32DBBD00" w14:textId="57726659" w:rsidR="00B50D94" w:rsidRDefault="00CF7EBC">
      <w:pPr>
        <w:spacing w:line="480" w:lineRule="auto"/>
        <w:jc w:val="both"/>
        <w:rPr>
          <w:rFonts w:ascii="Arial" w:hAnsi="Arial" w:cs="Arial"/>
          <w:sz w:val="22"/>
          <w:szCs w:val="22"/>
        </w:rPr>
      </w:pPr>
      <w:r>
        <w:rPr>
          <w:rFonts w:ascii="Arial" w:hAnsi="Arial" w:cs="Arial"/>
          <w:bCs/>
          <w:sz w:val="22"/>
          <w:szCs w:val="22"/>
        </w:rPr>
        <w:t>Most p</w:t>
      </w:r>
      <w:r w:rsidR="000275CD">
        <w:rPr>
          <w:rFonts w:ascii="Arial" w:hAnsi="Arial" w:cs="Arial"/>
          <w:bCs/>
          <w:sz w:val="22"/>
          <w:szCs w:val="22"/>
        </w:rPr>
        <w:t xml:space="preserve">eople living with HIV (PLWH) </w:t>
      </w:r>
      <w:r w:rsidR="00386B63">
        <w:rPr>
          <w:rFonts w:ascii="Arial" w:hAnsi="Arial" w:cs="Arial"/>
          <w:bCs/>
          <w:sz w:val="22"/>
          <w:szCs w:val="22"/>
        </w:rPr>
        <w:t>initiated on</w:t>
      </w:r>
      <w:r w:rsidR="008C32F3">
        <w:rPr>
          <w:rFonts w:ascii="Arial" w:hAnsi="Arial" w:cs="Arial"/>
          <w:bCs/>
          <w:sz w:val="22"/>
          <w:szCs w:val="22"/>
        </w:rPr>
        <w:t xml:space="preserve"> antiretroviral therapy</w:t>
      </w:r>
      <w:r w:rsidR="002913F4">
        <w:rPr>
          <w:rFonts w:ascii="Arial" w:hAnsi="Arial" w:cs="Arial"/>
          <w:bCs/>
          <w:sz w:val="22"/>
          <w:szCs w:val="22"/>
        </w:rPr>
        <w:t xml:space="preserve"> (ART)</w:t>
      </w:r>
      <w:r w:rsidR="008C32F3">
        <w:rPr>
          <w:rFonts w:ascii="Arial" w:hAnsi="Arial" w:cs="Arial"/>
          <w:bCs/>
          <w:sz w:val="22"/>
          <w:szCs w:val="22"/>
        </w:rPr>
        <w:t xml:space="preserve"> </w:t>
      </w:r>
      <w:r w:rsidR="000275CD">
        <w:rPr>
          <w:rFonts w:ascii="Arial" w:hAnsi="Arial" w:cs="Arial"/>
          <w:bCs/>
          <w:sz w:val="22"/>
          <w:szCs w:val="22"/>
        </w:rPr>
        <w:t xml:space="preserve">gain </w:t>
      </w:r>
      <w:r w:rsidR="008C32F3">
        <w:rPr>
          <w:rFonts w:ascii="Arial" w:hAnsi="Arial" w:cs="Arial"/>
          <w:bCs/>
          <w:sz w:val="22"/>
          <w:szCs w:val="22"/>
        </w:rPr>
        <w:t>weight</w:t>
      </w:r>
      <w:r w:rsidR="009F4900">
        <w:rPr>
          <w:rFonts w:ascii="Arial" w:hAnsi="Arial" w:cs="Arial"/>
          <w:bCs/>
          <w:sz w:val="22"/>
          <w:szCs w:val="22"/>
        </w:rPr>
        <w:t xml:space="preserve"> </w:t>
      </w:r>
      <w:r w:rsidR="009F4900">
        <w:rPr>
          <w:rFonts w:ascii="Arial" w:hAnsi="Arial" w:cs="Arial"/>
          <w:bCs/>
          <w:sz w:val="22"/>
          <w:szCs w:val="22"/>
        </w:rPr>
        <w:fldChar w:fldCharType="begin" w:fldLock="1"/>
      </w:r>
      <w:r w:rsidR="009F4900">
        <w:rPr>
          <w:rFonts w:ascii="Arial" w:hAnsi="Arial" w:cs="Arial"/>
          <w:bCs/>
          <w:sz w:val="22"/>
          <w:szCs w:val="22"/>
        </w:rPr>
        <w:instrText>ADDIN CSL_CITATION {"citationItems":[{"id":"ITEM-1","itemData":{"DOI":"10.1080/09540121.2020.1770181","ISSN":"13600451","PMID":"32460518","abstract":"In the era of highly active antiretroviral therapy (HAART), obesity is increasingly being reported among people living with HIV (PLHIV). In this study, we reviewed published literature on body mass index (BMI) changes among treatment-naïve adult PLHIV who started HAART and remained on treatment for at least six months. Using the Preferred Reporting Items for Systematic Reviews and Meta-Analyses (PRISMA) guideline, four databases were searched, and results of included studies were synthesized to describe the BMI trend among PLHIV on treatment. The search generated 4948 studies, of which 30 were included in the qualitative synthesis and 18 were eligible for the meta-analysis. All the studies showed an increase in group BMI. HAART was associated with increase in BMI (pooled effect size [ES] = 1.58 kg/m2; 95% CI: 1.36, 1.81). The heterogeneity among the 18 studies was high (I 2 = 85%; p &lt;.01). Subgroup analyses showed pooled ES of 1.54 kg/m2 (95% CI: 1.21, 1.87) and 1.63 kg/m2 (95% CI: 1.34, 1.91) for studies with follow-up ≤1 year and &gt;1 year, respectively. We conclude that the greatest gain in BMI is in the initial 6–12 months on treatment, with minor gains in the second and subsequent years of treatment.","author":[{"dropping-particle":"","family":"Olawepo","given":"John O.","non-dropping-particle":"","parse-names":false,"suffix":""},{"dropping-particle":"","family":"Pharr","given":"Jennifer R.","non-dropping-particle":"","parse-names":false,"suffix":""},{"dropping-particle":"","family":"Cross","given":"Chad L.","non-dropping-particle":"","parse-names":false,"suffix":""},{"dropping-particle":"","family":"Kachen","given":"Axenya","non-dropping-particle":"","parse-names":false,"suffix":""},{"dropping-particle":"","family":"Olakunde","given":"Babayemi O.","non-dropping-particle":"","parse-names":false,"suffix":""},{"dropping-particle":"","family":"Sy","given":"Francisco S.","non-dropping-particle":"","parse-names":false,"suffix":""}],"container-title":"AIDS Care - Psychological and Socio-Medical Aspects of AIDS/HIV","id":"ITEM-1","issue":"3","issued":{"date-parts":[["2021"]]},"page":"326-336","publisher":"Taylor &amp; Francis","title":"Changes in body mass index among people living with HIV who are new on highly active antiretroviral therapy: a systematic review and meta-analysis","type":"article-journal","volume":"33"},"uris":["http://www.mendeley.com/documents/?uuid=3b0150f7-d458-4ef1-9c23-d8d9e32bc8f1"]}],"mendeley":{"formattedCitation":"&lt;sup&gt;1&lt;/sup&gt;","plainTextFormattedCitation":"1","previouslyFormattedCitation":"&lt;sup&gt;1&lt;/sup&gt;"},"properties":{"noteIndex":0},"schema":"https://github.com/citation-style-language/schema/raw/master/csl-citation.json"}</w:instrText>
      </w:r>
      <w:r w:rsidR="009F4900">
        <w:rPr>
          <w:rFonts w:ascii="Arial" w:hAnsi="Arial" w:cs="Arial"/>
          <w:bCs/>
          <w:sz w:val="22"/>
          <w:szCs w:val="22"/>
        </w:rPr>
        <w:fldChar w:fldCharType="separate"/>
      </w:r>
      <w:r w:rsidR="009F4900" w:rsidRPr="009F4900">
        <w:rPr>
          <w:rFonts w:ascii="Arial" w:hAnsi="Arial" w:cs="Arial"/>
          <w:bCs/>
          <w:noProof/>
          <w:sz w:val="22"/>
          <w:szCs w:val="22"/>
          <w:vertAlign w:val="superscript"/>
        </w:rPr>
        <w:t>1</w:t>
      </w:r>
      <w:r w:rsidR="009F4900">
        <w:rPr>
          <w:rFonts w:ascii="Arial" w:hAnsi="Arial" w:cs="Arial"/>
          <w:bCs/>
          <w:sz w:val="22"/>
          <w:szCs w:val="22"/>
        </w:rPr>
        <w:fldChar w:fldCharType="end"/>
      </w:r>
      <w:r w:rsidR="000275CD">
        <w:rPr>
          <w:rFonts w:ascii="Arial" w:hAnsi="Arial" w:cs="Arial"/>
          <w:bCs/>
          <w:sz w:val="22"/>
          <w:szCs w:val="22"/>
        </w:rPr>
        <w:t>.</w:t>
      </w:r>
      <w:r w:rsidR="000275CD" w:rsidRPr="00062064">
        <w:rPr>
          <w:rFonts w:ascii="Arial" w:hAnsi="Arial" w:cs="Arial"/>
          <w:bCs/>
          <w:sz w:val="22"/>
          <w:szCs w:val="22"/>
        </w:rPr>
        <w:t xml:space="preserve"> </w:t>
      </w:r>
      <w:r w:rsidR="002E5A39" w:rsidRPr="00B747E1">
        <w:rPr>
          <w:rFonts w:ascii="Arial" w:hAnsi="Arial" w:cs="Arial"/>
          <w:sz w:val="22"/>
          <w:szCs w:val="22"/>
        </w:rPr>
        <w:t>A Swiss HIV cohort study conducted over 22 years found a biphasic increase in</w:t>
      </w:r>
      <w:r w:rsidR="00387B06">
        <w:rPr>
          <w:rFonts w:ascii="Arial" w:hAnsi="Arial" w:cs="Arial"/>
          <w:sz w:val="22"/>
          <w:szCs w:val="22"/>
        </w:rPr>
        <w:t xml:space="preserve"> </w:t>
      </w:r>
      <w:r w:rsidR="00387B06" w:rsidRPr="00C95E98">
        <w:rPr>
          <w:rFonts w:ascii="Arial" w:hAnsi="Arial" w:cs="Arial"/>
          <w:bCs/>
          <w:sz w:val="22"/>
          <w:szCs w:val="22"/>
        </w:rPr>
        <w:t>body mass index</w:t>
      </w:r>
      <w:r w:rsidR="002E5A39" w:rsidRPr="00B747E1">
        <w:rPr>
          <w:rFonts w:ascii="Arial" w:hAnsi="Arial" w:cs="Arial"/>
          <w:sz w:val="22"/>
          <w:szCs w:val="22"/>
        </w:rPr>
        <w:t xml:space="preserve"> </w:t>
      </w:r>
      <w:r w:rsidR="00387B06">
        <w:rPr>
          <w:rFonts w:ascii="Arial" w:hAnsi="Arial" w:cs="Arial"/>
          <w:sz w:val="22"/>
          <w:szCs w:val="22"/>
        </w:rPr>
        <w:t>(</w:t>
      </w:r>
      <w:r w:rsidR="002E5A39" w:rsidRPr="00B747E1">
        <w:rPr>
          <w:rFonts w:ascii="Arial" w:hAnsi="Arial" w:cs="Arial"/>
          <w:sz w:val="22"/>
          <w:szCs w:val="22"/>
        </w:rPr>
        <w:t>BMI</w:t>
      </w:r>
      <w:r w:rsidR="00387B06">
        <w:rPr>
          <w:rFonts w:ascii="Arial" w:hAnsi="Arial" w:cs="Arial"/>
          <w:sz w:val="22"/>
          <w:szCs w:val="22"/>
        </w:rPr>
        <w:t>)</w:t>
      </w:r>
      <w:r w:rsidR="002E5A39" w:rsidRPr="00B747E1">
        <w:rPr>
          <w:rFonts w:ascii="Arial" w:hAnsi="Arial" w:cs="Arial"/>
          <w:sz w:val="22"/>
          <w:szCs w:val="22"/>
        </w:rPr>
        <w:t xml:space="preserve"> in the first 4 years after initiating antiretroviral therapy (ART)</w:t>
      </w:r>
      <w:r w:rsidR="002E5A39" w:rsidRPr="008F7509">
        <w:rPr>
          <w:rFonts w:ascii="Arial" w:hAnsi="Arial" w:cs="Arial"/>
          <w:sz w:val="22"/>
          <w:szCs w:val="22"/>
        </w:rPr>
        <w:t xml:space="preserve"> </w:t>
      </w:r>
      <w:r w:rsidR="002E5A39">
        <w:rPr>
          <w:rFonts w:ascii="Arial" w:hAnsi="Arial" w:cs="Arial"/>
          <w:sz w:val="22"/>
          <w:szCs w:val="22"/>
        </w:rPr>
        <w:fldChar w:fldCharType="begin" w:fldLock="1"/>
      </w:r>
      <w:r w:rsidR="009F4900">
        <w:rPr>
          <w:rFonts w:ascii="Arial" w:hAnsi="Arial" w:cs="Arial"/>
          <w:sz w:val="22"/>
          <w:szCs w:val="22"/>
        </w:rPr>
        <w:instrText>ADDIN CSL_CITATION {"citationItems":[{"id":"ITEM-1","itemData":{"DOI":"10.1093/o","author":[{"dropping-particle":"","family":"Hasse","given":"Barbara","non-dropping-particle":"","parse-names":false,"suffix":""},{"dropping-particle":"","family":"Iff","given":"Martin","non-dropping-particle":"","parse-names":false,"suffix":""},{"dropping-particle":"","family":"Ledergerber","given":"Bruno","non-dropping-particle":"","parse-names":false,"suffix":""},{"dropping-particle":"","family":"Calmy","given":"Alexandra","non-dropping-particle":"","parse-names":false,"suffix":""},{"dropping-particle":"","family":"Schmid","given":"Patrick","non-dropping-particle":"","parse-names":false,"suffix":""},{"dropping-particle":"","family":"Hauser","given":"Christoph","non-dropping-particle":"","parse-names":false,"suffix":""},{"dropping-particle":"","family":"Cavassini","given":"Matthias","non-dropping-particle":"","parse-names":false,"suffix":""}],"id":"ITEM-1","issue":"September","issued":{"date-parts":[["2017"]]},"page":"2633851","title":"Obesity Trends and Body Mass Index Changes After Starting Antiretroviral Treatment: The Swiss HIV Cohort Study","type":"article-journal","volume":"2"},"uris":["http://www.mendeley.com/documents/?uuid=ae6c6734-8d37-4121-b898-3fdc0fa4325f"]}],"mendeley":{"formattedCitation":"&lt;sup&gt;2&lt;/sup&gt;","plainTextFormattedCitation":"2","previouslyFormattedCitation":"&lt;sup&gt;2&lt;/sup&gt;"},"properties":{"noteIndex":0},"schema":"https://github.com/citation-style-language/schema/raw/master/csl-citation.json"}</w:instrText>
      </w:r>
      <w:r w:rsidR="002E5A39">
        <w:rPr>
          <w:rFonts w:ascii="Arial" w:hAnsi="Arial" w:cs="Arial"/>
          <w:sz w:val="22"/>
          <w:szCs w:val="22"/>
        </w:rPr>
        <w:fldChar w:fldCharType="separate"/>
      </w:r>
      <w:r w:rsidR="009F4900" w:rsidRPr="009F4900">
        <w:rPr>
          <w:rFonts w:ascii="Arial" w:hAnsi="Arial" w:cs="Arial"/>
          <w:noProof/>
          <w:sz w:val="22"/>
          <w:szCs w:val="22"/>
          <w:vertAlign w:val="superscript"/>
        </w:rPr>
        <w:t>2</w:t>
      </w:r>
      <w:r w:rsidR="002E5A39">
        <w:rPr>
          <w:rFonts w:ascii="Arial" w:hAnsi="Arial" w:cs="Arial"/>
          <w:sz w:val="22"/>
          <w:szCs w:val="22"/>
        </w:rPr>
        <w:fldChar w:fldCharType="end"/>
      </w:r>
      <w:r w:rsidR="002E5A39" w:rsidRPr="008F7509">
        <w:rPr>
          <w:rFonts w:ascii="Arial" w:hAnsi="Arial" w:cs="Arial"/>
          <w:sz w:val="22"/>
          <w:szCs w:val="22"/>
        </w:rPr>
        <w:t xml:space="preserve">. </w:t>
      </w:r>
      <w:r w:rsidR="002E5A39">
        <w:rPr>
          <w:rFonts w:ascii="Arial" w:hAnsi="Arial" w:cs="Arial"/>
          <w:sz w:val="22"/>
          <w:szCs w:val="22"/>
        </w:rPr>
        <w:t xml:space="preserve">Studies from sub-Saharan Africa, specifically South Africa, echo these findings </w:t>
      </w:r>
      <w:r w:rsidR="002E5A39">
        <w:rPr>
          <w:rFonts w:ascii="Arial" w:hAnsi="Arial" w:cs="Arial"/>
          <w:sz w:val="22"/>
          <w:szCs w:val="22"/>
        </w:rPr>
        <w:fldChar w:fldCharType="begin" w:fldLock="1"/>
      </w:r>
      <w:r w:rsidR="009F4900">
        <w:rPr>
          <w:rFonts w:ascii="Arial" w:hAnsi="Arial" w:cs="Arial"/>
          <w:sz w:val="22"/>
          <w:szCs w:val="22"/>
        </w:rPr>
        <w:instrText>ADDIN CSL_CITATION {"citationItems":[{"id":"ITEM-1","itemData":{"DOI":"10.1080/16070658.2017.1404299","ISSN":"16070658","abstract":"AbstractObjectives: A cross-sectional study was undertaken at Lancers Road Clinic, Durban, South Africa to determine body composition, haemoglobin, serum albumin and serum high sensitivity C-reactive protein (hs-CRP) levels in asymptomatic ART-naive HIV positive adults.Methods: All eligible adults attending the clinic were sampled. Body composition was assessed using deuterium dilution. Descriptive statistics, Wilcoxon rank-sum test, chi-square test, Fisher’s exact test and Spearman’s rank correlation coefficient were used for data analysis.Results: A total of 84 participants (CD4 count: 542.5 ± 145 cell/mm3) enrolled. The mean body mass index (BMI) was 29.5 (± 6.4) kg/m2 and the mean fat mass percentage was 44.9 (± 18.7). The prevalence of overweight (26.2%, 22/84) and obesity (46.4%, 39/84) was high. Mean haemoglobin (Hb) levels were 12.0 ± 1.6 g/dl. Mild, moderate and severe anaemia was present in 21.4% (18/84), 20.2% (17/84) and 1.2% (1/84) of patients, respectively. Mean albumin levels (36.2 ± 3.8 g/...","author":[{"dropping-particle":"","family":"Biggs","given":"Chara","non-dropping-particle":"","parse-names":false,"suffix":""},{"dropping-particle":"","family":"Spooner","given":"Elizabeth","non-dropping-particle":"","parse-names":false,"suffix":""}],"container-title":"South African Journal of Clinical Nutrition","id":"ITEM-1","issue":"4","issued":{"date-parts":[["2018"]]},"page":"78-83","publisher":"Taylor &amp; Francis","title":"Obesity and HIV: A compounding problem","type":"article-journal","volume":"31"},"uris":["http://www.mendeley.com/documents/?uuid=8c982ef5-e9de-4d85-87ab-ef5ec3a194a8"]}],"mendeley":{"formattedCitation":"&lt;sup&gt;3&lt;/sup&gt;","plainTextFormattedCitation":"3","previouslyFormattedCitation":"&lt;sup&gt;3&lt;/sup&gt;"},"properties":{"noteIndex":0},"schema":"https://github.com/citation-style-language/schema/raw/master/csl-citation.json"}</w:instrText>
      </w:r>
      <w:r w:rsidR="002E5A39">
        <w:rPr>
          <w:rFonts w:ascii="Arial" w:hAnsi="Arial" w:cs="Arial"/>
          <w:sz w:val="22"/>
          <w:szCs w:val="22"/>
        </w:rPr>
        <w:fldChar w:fldCharType="separate"/>
      </w:r>
      <w:r w:rsidR="009F4900" w:rsidRPr="009F4900">
        <w:rPr>
          <w:rFonts w:ascii="Arial" w:hAnsi="Arial" w:cs="Arial"/>
          <w:noProof/>
          <w:sz w:val="22"/>
          <w:szCs w:val="22"/>
          <w:vertAlign w:val="superscript"/>
        </w:rPr>
        <w:t>3</w:t>
      </w:r>
      <w:r w:rsidR="002E5A39">
        <w:rPr>
          <w:rFonts w:ascii="Arial" w:hAnsi="Arial" w:cs="Arial"/>
          <w:sz w:val="22"/>
          <w:szCs w:val="22"/>
        </w:rPr>
        <w:fldChar w:fldCharType="end"/>
      </w:r>
      <w:r w:rsidR="002E5A39" w:rsidRPr="008F7509">
        <w:rPr>
          <w:rFonts w:ascii="Arial" w:hAnsi="Arial" w:cs="Arial"/>
          <w:sz w:val="22"/>
          <w:szCs w:val="22"/>
        </w:rPr>
        <w:t>.</w:t>
      </w:r>
      <w:r w:rsidR="002E5A39">
        <w:rPr>
          <w:rFonts w:ascii="Arial" w:hAnsi="Arial" w:cs="Arial"/>
          <w:sz w:val="22"/>
          <w:szCs w:val="22"/>
        </w:rPr>
        <w:t xml:space="preserve"> </w:t>
      </w:r>
      <w:r w:rsidR="001E3C7F" w:rsidRPr="008F7509">
        <w:rPr>
          <w:rFonts w:ascii="Arial" w:hAnsi="Arial" w:cs="Arial"/>
          <w:sz w:val="22"/>
          <w:szCs w:val="22"/>
        </w:rPr>
        <w:t>BMI growth curve modelling done over 11 years on a cohort of HIV-</w:t>
      </w:r>
      <w:r w:rsidR="001E3C7F">
        <w:rPr>
          <w:rFonts w:ascii="Arial" w:hAnsi="Arial" w:cs="Arial"/>
          <w:sz w:val="22"/>
          <w:szCs w:val="22"/>
        </w:rPr>
        <w:t>positive</w:t>
      </w:r>
      <w:r w:rsidR="001E3C7F" w:rsidRPr="008F7509">
        <w:rPr>
          <w:rFonts w:ascii="Arial" w:hAnsi="Arial" w:cs="Arial"/>
          <w:sz w:val="22"/>
          <w:szCs w:val="22"/>
        </w:rPr>
        <w:t xml:space="preserve"> South Africans </w:t>
      </w:r>
      <w:r>
        <w:rPr>
          <w:rFonts w:ascii="Arial" w:hAnsi="Arial" w:cs="Arial"/>
          <w:sz w:val="22"/>
          <w:szCs w:val="22"/>
        </w:rPr>
        <w:t>reported</w:t>
      </w:r>
      <w:r w:rsidR="001E3C7F" w:rsidRPr="008F7509">
        <w:rPr>
          <w:rFonts w:ascii="Arial" w:hAnsi="Arial" w:cs="Arial"/>
          <w:sz w:val="22"/>
          <w:szCs w:val="22"/>
        </w:rPr>
        <w:t xml:space="preserve"> </w:t>
      </w:r>
      <w:r w:rsidR="001E3C7F">
        <w:rPr>
          <w:rFonts w:ascii="Arial" w:hAnsi="Arial" w:cs="Arial"/>
          <w:sz w:val="22"/>
          <w:szCs w:val="22"/>
        </w:rPr>
        <w:t>progress</w:t>
      </w:r>
      <w:r>
        <w:rPr>
          <w:rFonts w:ascii="Arial" w:hAnsi="Arial" w:cs="Arial"/>
          <w:sz w:val="22"/>
          <w:szCs w:val="22"/>
        </w:rPr>
        <w:t>iv</w:t>
      </w:r>
      <w:r w:rsidR="001E3C7F">
        <w:rPr>
          <w:rFonts w:ascii="Arial" w:hAnsi="Arial" w:cs="Arial"/>
          <w:sz w:val="22"/>
          <w:szCs w:val="22"/>
        </w:rPr>
        <w:t>e</w:t>
      </w:r>
      <w:r>
        <w:rPr>
          <w:rFonts w:ascii="Arial" w:hAnsi="Arial" w:cs="Arial"/>
          <w:sz w:val="22"/>
          <w:szCs w:val="22"/>
        </w:rPr>
        <w:t xml:space="preserve"> increases</w:t>
      </w:r>
      <w:r w:rsidR="001E3C7F">
        <w:rPr>
          <w:rFonts w:ascii="Arial" w:hAnsi="Arial" w:cs="Arial"/>
          <w:sz w:val="22"/>
          <w:szCs w:val="22"/>
        </w:rPr>
        <w:t xml:space="preserve"> with </w:t>
      </w:r>
      <w:r>
        <w:rPr>
          <w:rFonts w:ascii="Arial" w:hAnsi="Arial" w:cs="Arial"/>
          <w:sz w:val="22"/>
          <w:szCs w:val="22"/>
        </w:rPr>
        <w:t>ART</w:t>
      </w:r>
      <w:r w:rsidR="001E3C7F" w:rsidRPr="008F7509">
        <w:rPr>
          <w:rFonts w:ascii="Arial" w:hAnsi="Arial" w:cs="Arial"/>
          <w:sz w:val="22"/>
          <w:szCs w:val="22"/>
        </w:rPr>
        <w:t xml:space="preserve"> </w:t>
      </w:r>
      <w:r w:rsidR="001E3C7F">
        <w:rPr>
          <w:rFonts w:ascii="Arial" w:hAnsi="Arial" w:cs="Arial"/>
          <w:sz w:val="22"/>
          <w:szCs w:val="22"/>
        </w:rPr>
        <w:fldChar w:fldCharType="begin" w:fldLock="1"/>
      </w:r>
      <w:r w:rsidR="009F4900">
        <w:rPr>
          <w:rFonts w:ascii="Arial" w:hAnsi="Arial" w:cs="Arial"/>
          <w:sz w:val="22"/>
          <w:szCs w:val="22"/>
        </w:rPr>
        <w:instrText>ADDIN CSL_CITATION {"citationItems":[{"id":"ITEM-1","itemData":{"DOI":"10.1097/QAD.0000000000002302","ISBN":"0000000000","ISSN":"14735571","abstract":"Objective:Obesity is a major long-term concern in HIV-positive patients due to the pathogenic link between obesity and noncommunicable chronic diseases (NCDs). We aim to characterize changes in BMI over time on antiretroviral therapy (ART) and investigate the association between weight gain and survival in South Africa.Design and methods:A prospective cohort study among HIV-positive adults on first-line ART between April 2004 and 2015 in Johannesburg, South Africa. We used latent-class growth modelling (adjusted for age, sex and CD4+ cell count) to identify groups of individuals with similar patterns of change in BMI over time.Results:Eleven thousand, two hundred and sixty-three patients were included. The best fit model involved two linear and two quadratic trajectories. Thirty-five percent of patients were categorized into group one (mean BMI at ART initiation, 20.4 kg/m2; mean BMI after 8 years of follow-up, 20.9 kg/m2), 38% into group two (24.5-26.2 kg/m2), 21% into group three (29.5-32.6 kg/m2) and 6% into group four (36.5-40.0 kg/m2). Over the 8 years of follow-up, 6% of our cohort went down in BMI standard category, while 45% went up. The largest increase occurred in the first 12 months on ART. In years 2 through 8, we saw a more gradual increase in BMI.Conclusion:The largest gain in BMI in HIV patients occurred in the first year on ART. During follow-up, over 50% of our population changed BMI categories putting them at an increased risk for NCDs. Consistent counselling on nutritional and lifestyle changes could help improve ART patients' long-term health outcomes.","author":[{"dropping-particle":"","family":"Brennan","given":"Alana T.","non-dropping-particle":"","parse-names":false,"suffix":""},{"dropping-particle":"","family":"Berry","given":"Kaitlyn M.","non-dropping-particle":"","parse-names":false,"suffix":""},{"dropping-particle":"","family":"Rosen","given":"Sydney","non-dropping-particle":"","parse-names":false,"suffix":""},{"dropping-particle":"","family":"Stokes","given":"Andrew","non-dropping-particle":"","parse-names":false,"suffix":""},{"dropping-particle":"","family":"Crowther","given":"Nigel J.","non-dropping-particle":"","parse-names":false,"suffix":""},{"dropping-particle":"","family":"George","given":"Jaya","non-dropping-particle":"","parse-names":false,"suffix":""},{"dropping-particle":"","family":"Raal","given":"Frederick","non-dropping-particle":"","parse-names":false,"suffix":""},{"dropping-particle":"","family":"Cassim","given":"Naseem","non-dropping-particle":"","parse-names":false,"suffix":""},{"dropping-particle":"","family":"Sanne","given":"Ian","non-dropping-particle":"","parse-names":false,"suffix":""},{"dropping-particle":"","family":"Long","given":"Lawrence","non-dropping-particle":"","parse-names":false,"suffix":""},{"dropping-particle":"","family":"Fox","given":"Matthew P.","non-dropping-particle":"","parse-names":false,"suffix":""}],"container-title":"Aids","id":"ITEM-1","issue":"13","issued":{"date-parts":[["2019"]]},"page":"2049-2059","title":"Growth curve modelling to determine distinct BMI trajectory groups in HIV-positive adults on antiretroviral therapy in South Africa","type":"article-journal","volume":"33"},"uris":["http://www.mendeley.com/documents/?uuid=a64967a9-371d-4198-8291-af71b911a05c"]}],"mendeley":{"formattedCitation":"&lt;sup&gt;4&lt;/sup&gt;","plainTextFormattedCitation":"4","previouslyFormattedCitation":"&lt;sup&gt;4&lt;/sup&gt;"},"properties":{"noteIndex":0},"schema":"https://github.com/citation-style-language/schema/raw/master/csl-citation.json"}</w:instrText>
      </w:r>
      <w:r w:rsidR="001E3C7F">
        <w:rPr>
          <w:rFonts w:ascii="Arial" w:hAnsi="Arial" w:cs="Arial"/>
          <w:sz w:val="22"/>
          <w:szCs w:val="22"/>
        </w:rPr>
        <w:fldChar w:fldCharType="separate"/>
      </w:r>
      <w:r w:rsidR="009F4900" w:rsidRPr="009F4900">
        <w:rPr>
          <w:rFonts w:ascii="Arial" w:hAnsi="Arial" w:cs="Arial"/>
          <w:noProof/>
          <w:sz w:val="22"/>
          <w:szCs w:val="22"/>
          <w:vertAlign w:val="superscript"/>
        </w:rPr>
        <w:t>4</w:t>
      </w:r>
      <w:r w:rsidR="001E3C7F">
        <w:rPr>
          <w:rFonts w:ascii="Arial" w:hAnsi="Arial" w:cs="Arial"/>
          <w:sz w:val="22"/>
          <w:szCs w:val="22"/>
        </w:rPr>
        <w:fldChar w:fldCharType="end"/>
      </w:r>
      <w:r w:rsidR="001E3C7F" w:rsidRPr="008F7509">
        <w:rPr>
          <w:rFonts w:ascii="Arial" w:hAnsi="Arial" w:cs="Arial"/>
          <w:sz w:val="22"/>
          <w:szCs w:val="22"/>
        </w:rPr>
        <w:t>.</w:t>
      </w:r>
      <w:r w:rsidR="001E3C7F">
        <w:rPr>
          <w:rFonts w:ascii="Arial" w:hAnsi="Arial" w:cs="Arial"/>
          <w:sz w:val="22"/>
          <w:szCs w:val="22"/>
        </w:rPr>
        <w:t xml:space="preserve"> </w:t>
      </w:r>
      <w:r w:rsidR="00552989">
        <w:rPr>
          <w:rFonts w:ascii="Arial" w:hAnsi="Arial" w:cs="Arial"/>
          <w:sz w:val="22"/>
          <w:szCs w:val="22"/>
        </w:rPr>
        <w:t>A</w:t>
      </w:r>
      <w:r w:rsidR="004F2F53">
        <w:rPr>
          <w:rFonts w:ascii="Arial" w:hAnsi="Arial" w:cs="Arial"/>
          <w:sz w:val="22"/>
          <w:szCs w:val="22"/>
        </w:rPr>
        <w:t xml:space="preserve">n average </w:t>
      </w:r>
      <w:r w:rsidR="00552989">
        <w:rPr>
          <w:rFonts w:ascii="Arial" w:hAnsi="Arial" w:cs="Arial"/>
          <w:sz w:val="22"/>
          <w:szCs w:val="22"/>
        </w:rPr>
        <w:t xml:space="preserve">weight gain of </w:t>
      </w:r>
      <w:r w:rsidR="004F2F53">
        <w:rPr>
          <w:rFonts w:ascii="Arial" w:hAnsi="Arial" w:cs="Arial"/>
          <w:sz w:val="22"/>
          <w:szCs w:val="22"/>
        </w:rPr>
        <w:t xml:space="preserve">4.8 kg </w:t>
      </w:r>
      <w:r w:rsidR="0065408E">
        <w:rPr>
          <w:rFonts w:ascii="Arial" w:hAnsi="Arial" w:cs="Arial"/>
          <w:sz w:val="22"/>
          <w:szCs w:val="22"/>
        </w:rPr>
        <w:t>wa</w:t>
      </w:r>
      <w:r w:rsidR="00552989">
        <w:rPr>
          <w:rFonts w:ascii="Arial" w:hAnsi="Arial" w:cs="Arial"/>
          <w:sz w:val="22"/>
          <w:szCs w:val="22"/>
        </w:rPr>
        <w:t xml:space="preserve">s seen </w:t>
      </w:r>
      <w:r w:rsidR="004F2F53">
        <w:rPr>
          <w:rFonts w:ascii="Arial" w:hAnsi="Arial" w:cs="Arial"/>
          <w:sz w:val="22"/>
          <w:szCs w:val="22"/>
        </w:rPr>
        <w:t xml:space="preserve">after 144 weeks </w:t>
      </w:r>
      <w:r w:rsidR="00552989">
        <w:rPr>
          <w:rFonts w:ascii="Arial" w:hAnsi="Arial" w:cs="Arial"/>
          <w:sz w:val="22"/>
          <w:szCs w:val="22"/>
        </w:rPr>
        <w:t xml:space="preserve">of treatment </w:t>
      </w:r>
      <w:r w:rsidR="004F2F53">
        <w:rPr>
          <w:rFonts w:ascii="Arial" w:hAnsi="Arial" w:cs="Arial"/>
          <w:sz w:val="22"/>
          <w:szCs w:val="22"/>
        </w:rPr>
        <w:t xml:space="preserve">with efavirenz, tenofovir and emtricitabine (EFV, TFV and FTC) </w:t>
      </w:r>
      <w:r w:rsidR="004F2F53">
        <w:rPr>
          <w:rFonts w:ascii="Arial" w:hAnsi="Arial" w:cs="Arial"/>
          <w:sz w:val="22"/>
          <w:szCs w:val="22"/>
        </w:rPr>
        <w:fldChar w:fldCharType="begin" w:fldLock="1"/>
      </w:r>
      <w:r w:rsidR="009F4900">
        <w:rPr>
          <w:rFonts w:ascii="Arial" w:hAnsi="Arial" w:cs="Arial"/>
          <w:sz w:val="22"/>
          <w:szCs w:val="22"/>
        </w:rPr>
        <w:instrText>ADDIN CSL_CITATION {"citationItems":[{"id":"ITEM-1","itemData":{"DOI":"10.1093/o","abstract":"RAM","author":[{"dropping-particle":"","family":"Erlandson","given":"Kristine M.","non-dropping-particle":"","parse-names":false,"suffix":""},{"dropping-particle":"","family":"Taejaroenkul","given":"Sineenart","non-dropping-particle":"","parse-names":false,"suffix":""},{"dropping-particle":"","family":"Smeaton","given":"Laura","non-dropping-particle":"","parse-names":false,"suffix":""},{"dropping-particle":"","family":"Gupta","given":"Amita","non-dropping-particle":"","parse-names":false,"suffix":""},{"dropping-particle":"","family":"Singini","given":"Isaac L.","non-dropping-particle":"","parse-names":false,"suffix":""},{"dropping-particle":"","family":"Lama","given":"Javier R.","non-dropping-particle":"","parse-names":false,"suffix":""},{"dropping-particle":"","family":"Mngqibisa","given":"Rosie","non-dropping-particle":"","parse-names":false,"suffix":""},{"dropping-particle":"","family":"Firnhaber","given":"Cynthia","non-dropping-particle":"","parse-names":false,"suffix":""},{"dropping-particle":"","family":"Cardoso","given":"Sandra Wagner","non-dropping-particle":"","parse-names":false,"suffix":""},{"dropping-particle":"","family":"Kanyama","given":"Cecilia","non-dropping-particle":"","parse-names":false,"suffix":""},{"dropping-particle":"da","family":"Silva","given":"Andre L. Machado","non-dropping-particle":"","parse-names":false,"suffix":""},{"dropping-particle":"","family":"Hakim","given":"James G.","non-dropping-particle":"","parse-names":false,"suffix":""},{"dropping-particle":"","family":"Kumarasamy","given":"Nagalingeswaran","non-dropping-particle":"","parse-names":false,"suffix":""},{"dropping-particle":"","family":"Campbell","given":"Thomas B.","non-dropping-particle":"","parse-names":false,"suffix":""},{"dropping-particle":"","family":"Hughes","given":"Michael D.","non-dropping-particle":"","parse-names":false,"suffix":""}],"id":"ITEM-1","issue":"September","issued":{"date-parts":[["2017"]]},"page":"2633851","title":"A Randomized Comparison of Anthropomorphic Changes With Preferred and Alternative Efavirenz-Based Antiretroviral Regimens in Diverse Multinational Settings","type":"article-journal","volume":"2"},"uris":["http://www.mendeley.com/documents/?uuid=c50d1305-625c-40e7-acdf-b1846ab27cf0"]}],"mendeley":{"formattedCitation":"&lt;sup&gt;5&lt;/sup&gt;","plainTextFormattedCitation":"5","previouslyFormattedCitation":"&lt;sup&gt;5&lt;/sup&gt;"},"properties":{"noteIndex":0},"schema":"https://github.com/citation-style-language/schema/raw/master/csl-citation.json"}</w:instrText>
      </w:r>
      <w:r w:rsidR="004F2F53">
        <w:rPr>
          <w:rFonts w:ascii="Arial" w:hAnsi="Arial" w:cs="Arial"/>
          <w:sz w:val="22"/>
          <w:szCs w:val="22"/>
        </w:rPr>
        <w:fldChar w:fldCharType="separate"/>
      </w:r>
      <w:r w:rsidR="009F4900" w:rsidRPr="009F4900">
        <w:rPr>
          <w:rFonts w:ascii="Arial" w:hAnsi="Arial" w:cs="Arial"/>
          <w:noProof/>
          <w:sz w:val="22"/>
          <w:szCs w:val="22"/>
          <w:vertAlign w:val="superscript"/>
        </w:rPr>
        <w:t>5</w:t>
      </w:r>
      <w:r w:rsidR="004F2F53">
        <w:rPr>
          <w:rFonts w:ascii="Arial" w:hAnsi="Arial" w:cs="Arial"/>
          <w:sz w:val="22"/>
          <w:szCs w:val="22"/>
        </w:rPr>
        <w:fldChar w:fldCharType="end"/>
      </w:r>
      <w:r w:rsidR="00552989">
        <w:rPr>
          <w:rFonts w:ascii="Arial" w:hAnsi="Arial" w:cs="Arial"/>
          <w:sz w:val="22"/>
          <w:szCs w:val="22"/>
        </w:rPr>
        <w:t xml:space="preserve">. </w:t>
      </w:r>
      <w:r w:rsidR="00E43E8B" w:rsidRPr="00C95E98">
        <w:rPr>
          <w:rFonts w:ascii="Arial" w:hAnsi="Arial" w:cs="Arial"/>
          <w:bCs/>
          <w:sz w:val="22"/>
          <w:szCs w:val="22"/>
        </w:rPr>
        <w:t>In a cohort of South African female patients, obesity (BMI &gt; 30 kg/m</w:t>
      </w:r>
      <w:r w:rsidR="00E43E8B" w:rsidRPr="001963CE">
        <w:rPr>
          <w:rFonts w:ascii="Arial" w:hAnsi="Arial" w:cs="Arial"/>
          <w:bCs/>
          <w:sz w:val="22"/>
          <w:szCs w:val="22"/>
          <w:vertAlign w:val="superscript"/>
        </w:rPr>
        <w:t>2</w:t>
      </w:r>
      <w:r w:rsidR="00E43E8B" w:rsidRPr="00C95E98">
        <w:rPr>
          <w:rFonts w:ascii="Arial" w:hAnsi="Arial" w:cs="Arial"/>
          <w:bCs/>
          <w:sz w:val="22"/>
          <w:szCs w:val="22"/>
        </w:rPr>
        <w:t xml:space="preserve">) </w:t>
      </w:r>
      <w:r w:rsidR="00E43E8B">
        <w:rPr>
          <w:rFonts w:ascii="Arial" w:hAnsi="Arial" w:cs="Arial"/>
          <w:bCs/>
          <w:sz w:val="22"/>
          <w:szCs w:val="22"/>
        </w:rPr>
        <w:t xml:space="preserve">increased </w:t>
      </w:r>
      <w:r w:rsidR="00E43E8B" w:rsidRPr="00C95E98">
        <w:rPr>
          <w:rFonts w:ascii="Arial" w:hAnsi="Arial" w:cs="Arial"/>
          <w:bCs/>
          <w:sz w:val="22"/>
          <w:szCs w:val="22"/>
        </w:rPr>
        <w:t>by 13.5% (p=0.004) after 3 years on ART</w:t>
      </w:r>
      <w:r w:rsidR="009F4900">
        <w:rPr>
          <w:rFonts w:ascii="Arial" w:hAnsi="Arial" w:cs="Arial"/>
          <w:bCs/>
          <w:sz w:val="22"/>
          <w:szCs w:val="22"/>
        </w:rPr>
        <w:t xml:space="preserve"> </w:t>
      </w:r>
      <w:r w:rsidR="009F4900">
        <w:rPr>
          <w:rFonts w:ascii="Arial" w:hAnsi="Arial" w:cs="Arial"/>
          <w:bCs/>
          <w:sz w:val="22"/>
          <w:szCs w:val="22"/>
        </w:rPr>
        <w:fldChar w:fldCharType="begin" w:fldLock="1"/>
      </w:r>
      <w:r w:rsidR="009F4900">
        <w:rPr>
          <w:rFonts w:ascii="Arial" w:hAnsi="Arial" w:cs="Arial"/>
          <w:bCs/>
          <w:sz w:val="22"/>
          <w:szCs w:val="22"/>
        </w:rPr>
        <w:instrText>ADDIN CSL_CITATION {"citationItems":[{"id":"ITEM-1","itemData":{"DOI":"10.1097/QAI.0000000000001123","ISSN":"10779450","PMID":"27391387","abstract":"Background: Noncommunicable diseases are common among chronically infected patients with HIV in the developed world, but little is known about these conditions in African cohorts. We assessed the epidemiology of metabolic syndrome among young South African women during the first 3 years after HIV acquisition. Methods: A total of 160 women were followed prospectively in the CAPRISA 002 Acute Infection study. Metabolic syndrome was defined as a constellation of hyperlipidemia, hypertension, hyperglycemia/diabetes, and abdominal obesity. Time trends were assessed using generalized estimation equation models. Results: Median age was 24 years and body mass index 27 kg/m 2. Prevalence of metabolic syndrome at infection was 8.7% increasing to 19.2% over 36 months (P 0.001). The proportion of women with body mass index &gt;30 kg/m 2 increased from 34.4% to 47.7% (P 0.004), those with abnormal waist circumference and elevated blood pressure increased from 33.5% to 44.3% (P 0.060) and 23.8% to 43.9% (P &lt; 0.001), respectively. Incidence of metabolic syndrome was 9.13/100 person-years (95% CI: 6.02 to 13.28). Predictors of metabolic syndrome were age (per year increase odds ratio (OR) 1.12; 95% CI: 1.07 to 1.16), time postinfection (per year OR 1.47; 95% CI: 1.12 to 1.92), family history of diabetes (OR 3.13; 95% CI: 1.71 to 5.72), and the human leukocyte antigen (HLA)-B81:01 allele (OR 2.95; 95% CI: 1.21 to 7.17), whereas any HLA-B57 or B58:01 alleles were protective (OR 0.34; 95% CI: 0.15 to 0.77). HIV-1 RNA (OR 0.89; 95% CI: 0.62 to 1.27) and CD4 count (OR 1.03; 95% CI: 0.95 to 1.11) did not predict metabolic syndrome. Conclusions: The high burden of metabolic conditions in young South African HIV-infected women highlights the need to integrate noncommunicable disease and HIV care programs. Interventions to prevent cardiovascular disease must start at HIV diagnosis, rather than later during the disease course.","author":[{"dropping-particle":"","family":"Sobieszczyk","given":"Magdalena E.","non-dropping-particle":"","parse-names":false,"suffix":""},{"dropping-particle":"","family":"Werner","given":"Lise","non-dropping-particle":"","parse-names":false,"suffix":""},{"dropping-particle":"","family":"Mlisana","given":"Koleka","non-dropping-particle":"","parse-names":false,"suffix":""},{"dropping-particle":"","family":"Naicker","given":"Nivashnee","non-dropping-particle":"","parse-names":false,"suffix":""},{"dropping-particle":"","family":"Feinstein","given":"Addi","non-dropping-particle":"","parse-names":false,"suffix":""},{"dropping-particle":"","family":"Gray","given":"Clive M.","non-dropping-particle":"","parse-names":false,"suffix":""},{"dropping-particle":"","family":"Masson","given":"Lindi","non-dropping-particle":"","parse-names":false,"suffix":""},{"dropping-particle":"","family":"Passmore","given":"Jo Ann S.","non-dropping-particle":"","parse-names":false,"suffix":""},{"dropping-particle":"","family":"Williamson","given":"Carolyn","non-dropping-particle":"","parse-names":false,"suffix":""},{"dropping-particle":"","family":"Abdool Karim","given":"Quarraisha","non-dropping-particle":"","parse-names":false,"suffix":""},{"dropping-particle":"","family":"Abdool Karim","given":"Salim S.","non-dropping-particle":"","parse-names":false,"suffix":""},{"dropping-particle":"","family":"Garrett","given":"Nigel J.","non-dropping-particle":"","parse-names":false,"suffix":""}],"container-title":"Journal of Acquired Immune Deficiency Syndromes","id":"ITEM-1","issue":"4","issued":{"date-parts":[["2016"]]},"page":"438-445","title":"Metabolic syndrome after HIV acquisition in South African Women","type":"article-journal","volume":"73"},"uris":["http://www.mendeley.com/documents/?uuid=406e706f-f6d5-4ba4-b274-07cde362f960"]}],"mendeley":{"formattedCitation":"&lt;sup&gt;6&lt;/sup&gt;","plainTextFormattedCitation":"6","previouslyFormattedCitation":"&lt;sup&gt;6&lt;/sup&gt;"},"properties":{"noteIndex":0},"schema":"https://github.com/citation-style-language/schema/raw/master/csl-citation.json"}</w:instrText>
      </w:r>
      <w:r w:rsidR="009F4900">
        <w:rPr>
          <w:rFonts w:ascii="Arial" w:hAnsi="Arial" w:cs="Arial"/>
          <w:bCs/>
          <w:sz w:val="22"/>
          <w:szCs w:val="22"/>
        </w:rPr>
        <w:fldChar w:fldCharType="separate"/>
      </w:r>
      <w:r w:rsidR="009F4900" w:rsidRPr="009F4900">
        <w:rPr>
          <w:rFonts w:ascii="Arial" w:hAnsi="Arial" w:cs="Arial"/>
          <w:bCs/>
          <w:noProof/>
          <w:sz w:val="22"/>
          <w:szCs w:val="22"/>
          <w:vertAlign w:val="superscript"/>
        </w:rPr>
        <w:t>6</w:t>
      </w:r>
      <w:r w:rsidR="009F4900">
        <w:rPr>
          <w:rFonts w:ascii="Arial" w:hAnsi="Arial" w:cs="Arial"/>
          <w:bCs/>
          <w:sz w:val="22"/>
          <w:szCs w:val="22"/>
        </w:rPr>
        <w:fldChar w:fldCharType="end"/>
      </w:r>
      <w:r w:rsidR="00E43E8B" w:rsidRPr="00C95E98">
        <w:rPr>
          <w:rFonts w:ascii="Arial" w:hAnsi="Arial" w:cs="Arial"/>
          <w:bCs/>
          <w:sz w:val="22"/>
          <w:szCs w:val="22"/>
        </w:rPr>
        <w:t>.</w:t>
      </w:r>
      <w:r w:rsidR="00E43E8B">
        <w:rPr>
          <w:rFonts w:ascii="Arial" w:hAnsi="Arial" w:cs="Arial"/>
          <w:bCs/>
          <w:sz w:val="22"/>
          <w:szCs w:val="22"/>
        </w:rPr>
        <w:t xml:space="preserve"> </w:t>
      </w:r>
      <w:r w:rsidR="002E5A39">
        <w:rPr>
          <w:rFonts w:ascii="Arial" w:hAnsi="Arial" w:cs="Arial"/>
          <w:sz w:val="22"/>
          <w:szCs w:val="22"/>
        </w:rPr>
        <w:t xml:space="preserve">In addition to the increase in weight and BMI, there </w:t>
      </w:r>
      <w:r>
        <w:rPr>
          <w:rFonts w:ascii="Arial" w:hAnsi="Arial" w:cs="Arial"/>
          <w:sz w:val="22"/>
          <w:szCs w:val="22"/>
        </w:rPr>
        <w:t xml:space="preserve">are </w:t>
      </w:r>
      <w:r w:rsidR="002E5A39">
        <w:rPr>
          <w:rFonts w:ascii="Arial" w:hAnsi="Arial" w:cs="Arial"/>
          <w:sz w:val="22"/>
          <w:szCs w:val="22"/>
        </w:rPr>
        <w:t>also significant increase</w:t>
      </w:r>
      <w:r>
        <w:rPr>
          <w:rFonts w:ascii="Arial" w:hAnsi="Arial" w:cs="Arial"/>
          <w:sz w:val="22"/>
          <w:szCs w:val="22"/>
        </w:rPr>
        <w:t>s</w:t>
      </w:r>
      <w:r w:rsidR="002E5A39">
        <w:rPr>
          <w:rFonts w:ascii="Arial" w:hAnsi="Arial" w:cs="Arial"/>
          <w:sz w:val="22"/>
          <w:szCs w:val="22"/>
        </w:rPr>
        <w:t xml:space="preserve"> in mid-arm circumference, </w:t>
      </w:r>
      <w:r w:rsidR="001E3C7F" w:rsidRPr="00360C5E">
        <w:rPr>
          <w:rFonts w:ascii="Arial" w:hAnsi="Arial" w:cs="Arial"/>
          <w:sz w:val="22"/>
          <w:szCs w:val="22"/>
        </w:rPr>
        <w:t>waist circumference (</w:t>
      </w:r>
      <w:r w:rsidR="00A15165">
        <w:rPr>
          <w:rFonts w:ascii="Arial" w:hAnsi="Arial" w:cs="Arial"/>
          <w:sz w:val="22"/>
          <w:szCs w:val="22"/>
        </w:rPr>
        <w:t>WC</w:t>
      </w:r>
      <w:r w:rsidR="009E1178">
        <w:rPr>
          <w:rFonts w:ascii="Arial" w:hAnsi="Arial" w:cs="Arial"/>
          <w:sz w:val="22"/>
          <w:szCs w:val="22"/>
        </w:rPr>
        <w:t>)</w:t>
      </w:r>
      <w:r w:rsidR="002E5A39">
        <w:rPr>
          <w:rFonts w:ascii="Arial" w:hAnsi="Arial" w:cs="Arial"/>
          <w:sz w:val="22"/>
          <w:szCs w:val="22"/>
        </w:rPr>
        <w:t xml:space="preserve">, hip circumference and mid-thigh circumference </w:t>
      </w:r>
      <w:r w:rsidR="002E5A39">
        <w:rPr>
          <w:rFonts w:ascii="Arial" w:hAnsi="Arial" w:cs="Arial"/>
          <w:sz w:val="22"/>
          <w:szCs w:val="22"/>
        </w:rPr>
        <w:fldChar w:fldCharType="begin" w:fldLock="1"/>
      </w:r>
      <w:r w:rsidR="009F4900">
        <w:rPr>
          <w:rFonts w:ascii="Arial" w:hAnsi="Arial" w:cs="Arial"/>
          <w:sz w:val="22"/>
          <w:szCs w:val="22"/>
        </w:rPr>
        <w:instrText>ADDIN CSL_CITATION {"citationItems":[{"id":"ITEM-1","itemData":{"DOI":"10.1093/o","abstract":"RAM","author":[{"dropping-particle":"","family":"Erlandson","given":"Kristine M.","non-dropping-particle":"","parse-names":false,"suffix":""},{"dropping-particle":"","family":"Taejaroenkul","given":"Sineenart","non-dropping-particle":"","parse-names":false,"suffix":""},{"dropping-particle":"","family":"Smeaton","given":"Laura","non-dropping-particle":"","parse-names":false,"suffix":""},{"dropping-particle":"","family":"Gupta","given":"Amita","non-dropping-particle":"","parse-names":false,"suffix":""},{"dropping-particle":"","family":"Singini","given":"Isaac L.","non-dropping-particle":"","parse-names":false,"suffix":""},{"dropping-particle":"","family":"Lama","given":"Javier R.","non-dropping-particle":"","parse-names":false,"suffix":""},{"dropping-particle":"","family":"Mngqibisa","given":"Rosie","non-dropping-particle":"","parse-names":false,"suffix":""},{"dropping-particle":"","family":"Firnhaber","given":"Cynthia","non-dropping-particle":"","parse-names":false,"suffix":""},{"dropping-particle":"","family":"Cardoso","given":"Sandra Wagner","non-dropping-particle":"","parse-names":false,"suffix":""},{"dropping-particle":"","family":"Kanyama","given":"Cecilia","non-dropping-particle":"","parse-names":false,"suffix":""},{"dropping-particle":"da","family":"Silva","given":"Andre L. Machado","non-dropping-particle":"","parse-names":false,"suffix":""},{"dropping-particle":"","family":"Hakim","given":"James G.","non-dropping-particle":"","parse-names":false,"suffix":""},{"dropping-particle":"","family":"Kumarasamy","given":"Nagalingeswaran","non-dropping-particle":"","parse-names":false,"suffix":""},{"dropping-particle":"","family":"Campbell","given":"Thomas B.","non-dropping-particle":"","parse-names":false,"suffix":""},{"dropping-particle":"","family":"Hughes","given":"Michael D.","non-dropping-particle":"","parse-names":false,"suffix":""}],"id":"ITEM-1","issue":"September","issued":{"date-parts":[["2017"]]},"page":"2633851","title":"A Randomized Comparison of Anthropomorphic Changes With Preferred and Alternative Efavirenz-Based Antiretroviral Regimens in Diverse Multinational Settings","type":"article-journal","volume":"2"},"uris":["http://www.mendeley.com/documents/?uuid=c50d1305-625c-40e7-acdf-b1846ab27cf0"]}],"mendeley":{"formattedCitation":"&lt;sup&gt;5&lt;/sup&gt;","plainTextFormattedCitation":"5","previouslyFormattedCitation":"&lt;sup&gt;5&lt;/sup&gt;"},"properties":{"noteIndex":0},"schema":"https://github.com/citation-style-language/schema/raw/master/csl-citation.json"}</w:instrText>
      </w:r>
      <w:r w:rsidR="002E5A39">
        <w:rPr>
          <w:rFonts w:ascii="Arial" w:hAnsi="Arial" w:cs="Arial"/>
          <w:sz w:val="22"/>
          <w:szCs w:val="22"/>
        </w:rPr>
        <w:fldChar w:fldCharType="separate"/>
      </w:r>
      <w:r w:rsidR="009F4900" w:rsidRPr="009F4900">
        <w:rPr>
          <w:rFonts w:ascii="Arial" w:hAnsi="Arial" w:cs="Arial"/>
          <w:noProof/>
          <w:sz w:val="22"/>
          <w:szCs w:val="22"/>
          <w:vertAlign w:val="superscript"/>
        </w:rPr>
        <w:t>5</w:t>
      </w:r>
      <w:r w:rsidR="002E5A39">
        <w:rPr>
          <w:rFonts w:ascii="Arial" w:hAnsi="Arial" w:cs="Arial"/>
          <w:sz w:val="22"/>
          <w:szCs w:val="22"/>
        </w:rPr>
        <w:fldChar w:fldCharType="end"/>
      </w:r>
      <w:r w:rsidR="002E5A39">
        <w:rPr>
          <w:rFonts w:ascii="Arial" w:hAnsi="Arial" w:cs="Arial"/>
          <w:sz w:val="22"/>
          <w:szCs w:val="22"/>
        </w:rPr>
        <w:t>.</w:t>
      </w:r>
    </w:p>
    <w:p w14:paraId="69E62329" w14:textId="77777777" w:rsidR="00B50D94" w:rsidRDefault="00B50D94">
      <w:pPr>
        <w:spacing w:line="480" w:lineRule="auto"/>
        <w:jc w:val="both"/>
        <w:rPr>
          <w:rFonts w:ascii="Arial" w:hAnsi="Arial" w:cs="Arial"/>
          <w:sz w:val="22"/>
          <w:szCs w:val="22"/>
        </w:rPr>
      </w:pPr>
    </w:p>
    <w:p w14:paraId="17FF30C8" w14:textId="427EFB0D" w:rsidR="002E5A39" w:rsidRDefault="00736BD1">
      <w:pPr>
        <w:spacing w:line="480" w:lineRule="auto"/>
        <w:jc w:val="both"/>
        <w:rPr>
          <w:rFonts w:ascii="Arial" w:hAnsi="Arial" w:cs="Arial"/>
          <w:sz w:val="22"/>
          <w:szCs w:val="22"/>
        </w:rPr>
      </w:pPr>
      <w:r>
        <w:rPr>
          <w:rFonts w:ascii="Arial" w:hAnsi="Arial" w:cs="Arial"/>
          <w:sz w:val="22"/>
          <w:szCs w:val="22"/>
        </w:rPr>
        <w:t xml:space="preserve">WC and </w:t>
      </w:r>
      <w:r w:rsidR="00C26587" w:rsidRPr="00360C5E">
        <w:rPr>
          <w:rFonts w:ascii="Arial" w:hAnsi="Arial" w:cs="Arial"/>
          <w:sz w:val="22"/>
          <w:szCs w:val="22"/>
        </w:rPr>
        <w:t>waist</w:t>
      </w:r>
      <w:r w:rsidR="00C26587" w:rsidRPr="009E5E70">
        <w:rPr>
          <w:rFonts w:ascii="Arial" w:hAnsi="Arial"/>
          <w:sz w:val="22"/>
        </w:rPr>
        <w:t>-</w:t>
      </w:r>
      <w:r w:rsidR="00C26587" w:rsidRPr="009E5E70">
        <w:rPr>
          <w:rFonts w:ascii="Arial" w:hAnsi="Arial" w:cs="Arial"/>
          <w:sz w:val="22"/>
          <w:szCs w:val="22"/>
        </w:rPr>
        <w:t>to-</w:t>
      </w:r>
      <w:r w:rsidR="00C26587" w:rsidRPr="00360C5E">
        <w:rPr>
          <w:rFonts w:ascii="Arial" w:hAnsi="Arial" w:cs="Arial"/>
          <w:sz w:val="22"/>
          <w:szCs w:val="22"/>
        </w:rPr>
        <w:t>hip ratio (WHR)</w:t>
      </w:r>
      <w:r>
        <w:rPr>
          <w:rFonts w:ascii="Arial" w:hAnsi="Arial" w:cs="Arial"/>
          <w:sz w:val="22"/>
          <w:szCs w:val="22"/>
        </w:rPr>
        <w:t xml:space="preserve"> are of particular interest </w:t>
      </w:r>
      <w:r w:rsidR="009E1178">
        <w:rPr>
          <w:rFonts w:ascii="Arial" w:hAnsi="Arial" w:cs="Arial"/>
          <w:sz w:val="22"/>
          <w:szCs w:val="22"/>
        </w:rPr>
        <w:t xml:space="preserve">as </w:t>
      </w:r>
      <w:r w:rsidR="001C2043">
        <w:rPr>
          <w:rFonts w:ascii="Arial" w:hAnsi="Arial" w:cs="Arial"/>
          <w:sz w:val="22"/>
          <w:szCs w:val="22"/>
        </w:rPr>
        <w:t xml:space="preserve">they are markers of central obesity that </w:t>
      </w:r>
      <w:r w:rsidR="00CF7EBC">
        <w:rPr>
          <w:rFonts w:ascii="Arial" w:hAnsi="Arial" w:cs="Arial"/>
          <w:sz w:val="22"/>
          <w:szCs w:val="22"/>
        </w:rPr>
        <w:t>are</w:t>
      </w:r>
      <w:r w:rsidR="001C2043">
        <w:rPr>
          <w:rFonts w:ascii="Arial" w:hAnsi="Arial" w:cs="Arial"/>
          <w:sz w:val="22"/>
          <w:szCs w:val="22"/>
        </w:rPr>
        <w:t xml:space="preserve"> independent risk factors for cardiovascular morbidity. </w:t>
      </w:r>
      <w:r w:rsidR="009E1178">
        <w:rPr>
          <w:rFonts w:ascii="Arial" w:hAnsi="Arial" w:cs="Arial"/>
          <w:sz w:val="22"/>
          <w:szCs w:val="22"/>
        </w:rPr>
        <w:t xml:space="preserve">WC and WHR </w:t>
      </w:r>
      <w:r w:rsidR="001C2043">
        <w:rPr>
          <w:rFonts w:ascii="Arial" w:hAnsi="Arial" w:cs="Arial"/>
          <w:sz w:val="22"/>
          <w:szCs w:val="22"/>
        </w:rPr>
        <w:t>are also more sensitive predictors of cardio-metabolic risk than BMI</w:t>
      </w:r>
      <w:r w:rsidR="0071566B">
        <w:rPr>
          <w:rFonts w:ascii="Arial" w:hAnsi="Arial" w:cs="Arial"/>
          <w:sz w:val="22"/>
          <w:szCs w:val="22"/>
        </w:rPr>
        <w:t xml:space="preserve"> </w:t>
      </w:r>
      <w:r w:rsidR="0071566B">
        <w:rPr>
          <w:rFonts w:ascii="Arial" w:hAnsi="Arial" w:cs="Arial"/>
          <w:sz w:val="22"/>
          <w:szCs w:val="22"/>
        </w:rPr>
        <w:fldChar w:fldCharType="begin" w:fldLock="1"/>
      </w:r>
      <w:r w:rsidR="009F4900">
        <w:rPr>
          <w:rFonts w:ascii="Arial" w:hAnsi="Arial" w:cs="Arial"/>
          <w:sz w:val="22"/>
          <w:szCs w:val="22"/>
        </w:rPr>
        <w:instrText>ADDIN CSL_CITATION {"citationItems":[{"id":"ITEM-1","itemData":{"DOI":"10.1093/ajcn/nqy049","ISSN":"19383207","PMID":"29868914","abstract":"Background Body fat redistribution and metabolic abnormalities found in HIV patients receiving highly active antiretroviral therapy (HAART) contribute to an atherogenic profile, increasing cardiovascular disease risk. Objective We aimed to evaluate adiposity measures/indexes and propose cutoffs associated with predictors of cardiovascular disease risk in HIV patients on HAART. Design To evaluate cardiovascular disease risk in this cross-sectional study, we conducted electrocardiogram exams and stress electrocardiography, measured the ankle brachial index and blood pressure arterial hypertension, conducted lipid biochemical tests, and measured blood glucose. We measured circumferences [waist (WC), hip, thigh, calf, neck, trunk] and skinfold thicknesses (biceps, triceps, subscapular, suprailiac), conducted bioelectrical impedance analysis (BIA), and calculated indexes [body mass index, waist-to-hip ratio, waist-to-thigh ratio, waist-to-calf ratio, waist-to-height ratio (WHtR), trunk-to-arm ratio, body mass index corrected for body fat mass, Body Adiposity Index, conicity index, body shape index, fat mass (percentage), and phase angle]. For evaluating the performance of all adiposity measures/indexes, we used receiver operating characteristic (ROC) curves. Results Measures of central adiposity WC and WHtR showed the best performances - WC area under the curve (AUC) for men: 0.83 (95% CI: 0.78, 0.89; P &lt; 0.05); WC AUC for women: 0.86 (95% CI: 0.81, 0.91; P &lt; 0.05); WHtR AUC for men: 0.83 (95% CI: 0.78, 0.88; P &lt; 0.05); and WHtR AUC for women: 0.85 (95% CI: 0.80, 0.91; P &lt; 0.05). All adiposity measures/indexes presented different cutoffs from those proposed for the HIV seronegative population. The cutoffs for WC were 87.75 cm (sensitivity: 82.2%; specificity: 75.5%) for men and 90.5 cm (sensitivity: 84.0%; specificity: 73.0%) for women. Conclusions The measures/indexes of central adiposity presented excellent associations with predictors of cardiovascular disease risk, and the use of the cutoffs proposed in the present study aims to contribute to the early identification of increasing risk of cardiovascular diseases, enabling interventions. This trial was registered at the Brazilian clinical trials registry Registro brasileiro de ensaios clínicos (Rebec) as RBR-9rcxbq.","author":[{"dropping-particle":"","family":"Beraldo","given":"Rebeca A.","non-dropping-particle":"","parse-names":false,"suffix":""},{"dropping-particle":"","family":"Meliscki","given":"Gabriela C.","non-dropping-particle":"","parse-names":false,"suffix":""},{"dropping-particle":"","family":"Silva","given":"Bruna R.","non-dropping-particle":"","parse-names":false,"suffix":""},{"dropping-particle":"","family":"Navarro","given":"Anderson M.","non-dropping-particle":"","parse-names":false,"suffix":""},{"dropping-particle":"","family":"Bollela","given":"Valdes R.","non-dropping-particle":"","parse-names":false,"suffix":""},{"dropping-particle":"","family":"Schmidt","given":"André","non-dropping-particle":"","parse-names":false,"suffix":""},{"dropping-particle":"","family":"Foss-Freitas","given":"Maria C.","non-dropping-particle":"","parse-names":false,"suffix":""}],"container-title":"American Journal of Clinical Nutrition","id":"ITEM-1","issue":"6","issued":{"date-parts":[["2018"]]},"page":"883-893","title":"Anthropometric measures of central adiposity are highly concordant with predictors of cardiovascular disease risk in HIV patients","type":"article-journal","volume":"107"},"uris":["http://www.mendeley.com/documents/?uuid=17fbd450-3557-4780-b547-35e402eaa45c"]}],"mendeley":{"formattedCitation":"&lt;sup&gt;7&lt;/sup&gt;","plainTextFormattedCitation":"7","previouslyFormattedCitation":"&lt;sup&gt;7&lt;/sup&gt;"},"properties":{"noteIndex":0},"schema":"https://github.com/citation-style-language/schema/raw/master/csl-citation.json"}</w:instrText>
      </w:r>
      <w:r w:rsidR="0071566B">
        <w:rPr>
          <w:rFonts w:ascii="Arial" w:hAnsi="Arial" w:cs="Arial"/>
          <w:sz w:val="22"/>
          <w:szCs w:val="22"/>
        </w:rPr>
        <w:fldChar w:fldCharType="separate"/>
      </w:r>
      <w:r w:rsidR="009F4900" w:rsidRPr="009F4900">
        <w:rPr>
          <w:rFonts w:ascii="Arial" w:hAnsi="Arial" w:cs="Arial"/>
          <w:noProof/>
          <w:sz w:val="22"/>
          <w:szCs w:val="22"/>
          <w:vertAlign w:val="superscript"/>
        </w:rPr>
        <w:t>7</w:t>
      </w:r>
      <w:r w:rsidR="0071566B">
        <w:rPr>
          <w:rFonts w:ascii="Arial" w:hAnsi="Arial" w:cs="Arial"/>
          <w:sz w:val="22"/>
          <w:szCs w:val="22"/>
        </w:rPr>
        <w:fldChar w:fldCharType="end"/>
      </w:r>
      <w:r w:rsidR="0071566B" w:rsidRPr="00805A39">
        <w:rPr>
          <w:rFonts w:ascii="Arial" w:hAnsi="Arial" w:cs="Arial"/>
          <w:sz w:val="22"/>
          <w:szCs w:val="22"/>
          <w:vertAlign w:val="superscript"/>
        </w:rPr>
        <w:t>,</w:t>
      </w:r>
      <w:r w:rsidR="0071566B">
        <w:rPr>
          <w:rFonts w:ascii="Arial" w:hAnsi="Arial" w:cs="Arial"/>
          <w:sz w:val="22"/>
          <w:szCs w:val="22"/>
          <w:vertAlign w:val="superscript"/>
        </w:rPr>
        <w:fldChar w:fldCharType="begin" w:fldLock="1"/>
      </w:r>
      <w:r w:rsidR="009F4900">
        <w:rPr>
          <w:rFonts w:ascii="Arial" w:hAnsi="Arial" w:cs="Arial"/>
          <w:sz w:val="22"/>
          <w:szCs w:val="22"/>
          <w:vertAlign w:val="superscript"/>
        </w:rPr>
        <w:instrText>ADDIN CSL_CITATION {"citationItems":[{"id":"ITEM-1","itemData":{"DOI":"10.3389/fendo.2018.00705","ISSN":"1664-2392","abstract":"Since the introduction of combined antiretroviral therapy (cART) and more effective treatments for AIDS, there has been a dramatic shift from the weight loss and wasting that characterised HIV/AIDS (and still does in countries where cART is not readily available or is initiated late) to healthy weight, or even overweight and obesity at rates mirroring those seen in the general population. These trends are attributable to several factors, including the \"return to health\" weight gain with reversal of the catabolic effects of HIV-infection following cART-initiation, strategies for earlier cART-initiation in the course of HIV-infection which have prevented many people living with HIV-infection from developing wasting, in addition to exposure to the modern obesogenic environment. Older cART regimens were associated with increased risk of body fat partitioning disorders (lipodystrophy) and cardiometabolic complications including atherothrombotic cardiovascular disease (CVD) and diabetes mellitus. Whilst cART now avoids those medications implicated in causing lipodystrophy, long-term cardiometabolic data on more modern cART regimens are lacking. Longitudinal studies show increased rates of incident CVD and diabetes mellitus with weight gain in treated HIV-infection. Abdominal fat gain, weight gain, and rising body mass index (BMI) in the short-term during HIV treatment was found to increase incident diabetes risk. Rising BMI was associated with increased risk of incident CVD, however the relationship varied depending on pre-cART BMI category. In contrast, a protective association with mortality is evident, predominantly in the underweight and in resource-poor settings, where weight gain reflects access to cART and virological suppression. The question of how to best evaluate, manage (and perhaps constrain) weight gain during HIV treatment is of clinical relevance, especially in the current climate of increasingly widespread cART use, rising overweight, and obesity prevalence and growing metabolic and cardiovascular disease burden in people living with HIV-infection. Large prospective studies to further characterise the relationship between weight gain during HIV treatment and risk of diabetes, CVD and mortality are required.","author":[{"dropping-particle":"","family":"Kumar","given":"Shejil","non-dropping-particle":"","parse-names":false,"suffix":""},{"dropping-particle":"","family":"Samaras","given":"Katherine","non-dropping-particle":"","parse-names":false,"suffix":""}],"container-title":"Frontiers in Endocrinology","id":"ITEM-1","issue":"November","issued":{"date-parts":[["2018"]]},"page":"1-14","title":"The Impact of Weight Gain During HIV Treatment on Risk of Pre-diabetes, Diabetes Mellitus, Cardiovascular Disease, and Mortality","type":"article-journal","volume":"9"},"uris":["http://www.mendeley.com/documents/?uuid=4702fbbc-a9fc-4538-bb9b-5606764a86c9"]}],"mendeley":{"formattedCitation":"&lt;sup&gt;8&lt;/sup&gt;","plainTextFormattedCitation":"8","previouslyFormattedCitation":"&lt;sup&gt;8&lt;/sup&gt;"},"properties":{"noteIndex":0},"schema":"https://github.com/citation-style-language/schema/raw/master/csl-citation.json"}</w:instrText>
      </w:r>
      <w:r w:rsidR="0071566B">
        <w:rPr>
          <w:rFonts w:ascii="Arial" w:hAnsi="Arial" w:cs="Arial"/>
          <w:sz w:val="22"/>
          <w:szCs w:val="22"/>
          <w:vertAlign w:val="superscript"/>
        </w:rPr>
        <w:fldChar w:fldCharType="separate"/>
      </w:r>
      <w:r w:rsidR="009F4900" w:rsidRPr="009F4900">
        <w:rPr>
          <w:rFonts w:ascii="Arial" w:hAnsi="Arial" w:cs="Arial"/>
          <w:noProof/>
          <w:sz w:val="22"/>
          <w:szCs w:val="22"/>
          <w:vertAlign w:val="superscript"/>
        </w:rPr>
        <w:t>8</w:t>
      </w:r>
      <w:r w:rsidR="0071566B">
        <w:rPr>
          <w:rFonts w:ascii="Arial" w:hAnsi="Arial" w:cs="Arial"/>
          <w:sz w:val="22"/>
          <w:szCs w:val="22"/>
          <w:vertAlign w:val="superscript"/>
        </w:rPr>
        <w:fldChar w:fldCharType="end"/>
      </w:r>
      <w:r w:rsidR="0071566B" w:rsidRPr="00805A39">
        <w:rPr>
          <w:rFonts w:ascii="Arial" w:hAnsi="Arial" w:cs="Arial"/>
          <w:sz w:val="22"/>
          <w:szCs w:val="22"/>
          <w:vertAlign w:val="superscript"/>
        </w:rPr>
        <w:t>,</w:t>
      </w:r>
      <w:r w:rsidR="0071566B">
        <w:rPr>
          <w:rFonts w:ascii="Arial" w:hAnsi="Arial" w:cs="Arial"/>
          <w:sz w:val="22"/>
          <w:szCs w:val="22"/>
          <w:vertAlign w:val="superscript"/>
        </w:rPr>
        <w:fldChar w:fldCharType="begin" w:fldLock="1"/>
      </w:r>
      <w:r w:rsidR="009F4900">
        <w:rPr>
          <w:rFonts w:ascii="Arial" w:hAnsi="Arial" w:cs="Arial"/>
          <w:sz w:val="22"/>
          <w:szCs w:val="22"/>
          <w:vertAlign w:val="superscript"/>
        </w:rPr>
        <w:instrText>ADDIN CSL_CITATION {"citationItems":[{"id":"ITEM-1","itemData":{"DOI":"10.1097/MD.0000000000011639","ISBN":"0000000000","ISSN":"15365964","PMID":"30045310","abstract":"Background and aim: Several studies have identified that obesity and being overweight can increase the risk of developing myocardial infarction (MI). However, the predictive value of the central obesity index, that is, the waist-hip ratio (WHR), regarding MI risk remains unclear. This study aimed to provide a systematic review and meta-analysis of WHR as a predictor of MI incidence. Methods: This study used relevant keywords and MeSH terms to identify studies of MI risk and WHR from PubMed, Web of Science, Embase, and Cochrane databases in November 2017. Results: We conducted a meta-analysis of 12 case-control studies in 14 eligible trials and further explored whether the predictive value of WHR on MI risk varies according to sex. The results showed that a high WHR increased MI risk (pooled odds ratio [OR] 2.62, 95% confidence interval [CI] 2.02-3.39, P&lt;0.00001) and that elevated WHR is more strongly predictive of MI in women than in men (pooled OR 4.63, 95% CI 3.28-6.53 in women; pooled OR 2.71, 95% CI 2.15-3.41 in men). Conclusions: MI is significantly associated with increased WHR, with a stronger association among women.","author":[{"dropping-particle":"","family":"Cao","given":"Qinqin","non-dropping-particle":"","parse-names":false,"suffix":""},{"dropping-particle":"","family":"Yu","given":"Shui","non-dropping-particle":"","parse-names":false,"suffix":""},{"dropping-particle":"","family":"Xiong","given":"Wenji","non-dropping-particle":"","parse-names":false,"suffix":""},{"dropping-particle":"","family":"Li","given":"Yuewei","non-dropping-particle":"","parse-names":false,"suffix":""},{"dropping-particle":"","family":"Li","given":"Huimin","non-dropping-particle":"","parse-names":false,"suffix":""},{"dropping-particle":"","family":"Li","given":"Jinwei","non-dropping-particle":"","parse-names":false,"suffix":""},{"dropping-particle":"","family":"Li","given":"Feng","non-dropping-particle":"","parse-names":false,"suffix":""}],"container-title":"Medicine (United States)","id":"ITEM-1","issue":"30","issued":{"date-parts":[["2018"]]},"title":"Waist-hip ratio as a predictor of myocardial infarction risk A systematic review and meta-analysis","type":"article-journal","volume":"97"},"uris":["http://www.mendeley.com/documents/?uuid=871db272-a953-4bc3-80de-734135ff6011"]}],"mendeley":{"formattedCitation":"&lt;sup&gt;9&lt;/sup&gt;","plainTextFormattedCitation":"9","previouslyFormattedCitation":"&lt;sup&gt;9&lt;/sup&gt;"},"properties":{"noteIndex":0},"schema":"https://github.com/citation-style-language/schema/raw/master/csl-citation.json"}</w:instrText>
      </w:r>
      <w:r w:rsidR="0071566B">
        <w:rPr>
          <w:rFonts w:ascii="Arial" w:hAnsi="Arial" w:cs="Arial"/>
          <w:sz w:val="22"/>
          <w:szCs w:val="22"/>
          <w:vertAlign w:val="superscript"/>
        </w:rPr>
        <w:fldChar w:fldCharType="separate"/>
      </w:r>
      <w:r w:rsidR="009F4900" w:rsidRPr="009F4900">
        <w:rPr>
          <w:rFonts w:ascii="Arial" w:hAnsi="Arial" w:cs="Arial"/>
          <w:noProof/>
          <w:sz w:val="22"/>
          <w:szCs w:val="22"/>
          <w:vertAlign w:val="superscript"/>
        </w:rPr>
        <w:t>9</w:t>
      </w:r>
      <w:r w:rsidR="0071566B">
        <w:rPr>
          <w:rFonts w:ascii="Arial" w:hAnsi="Arial" w:cs="Arial"/>
          <w:sz w:val="22"/>
          <w:szCs w:val="22"/>
          <w:vertAlign w:val="superscript"/>
        </w:rPr>
        <w:fldChar w:fldCharType="end"/>
      </w:r>
      <w:r w:rsidR="0071566B">
        <w:rPr>
          <w:rFonts w:ascii="Arial" w:hAnsi="Arial" w:cs="Arial"/>
          <w:sz w:val="22"/>
          <w:szCs w:val="22"/>
        </w:rPr>
        <w:t>.</w:t>
      </w:r>
      <w:r w:rsidR="002E5A39">
        <w:rPr>
          <w:rFonts w:ascii="Arial" w:hAnsi="Arial" w:cs="Arial"/>
          <w:sz w:val="22"/>
          <w:szCs w:val="22"/>
        </w:rPr>
        <w:t xml:space="preserve"> </w:t>
      </w:r>
      <w:r w:rsidR="00CE1BCF">
        <w:rPr>
          <w:rFonts w:ascii="Arial" w:hAnsi="Arial" w:cs="Arial"/>
          <w:sz w:val="22"/>
          <w:szCs w:val="22"/>
        </w:rPr>
        <w:t xml:space="preserve">The presence of obesity in PLWH </w:t>
      </w:r>
      <w:r w:rsidR="00FA73F9">
        <w:rPr>
          <w:rFonts w:ascii="Arial" w:hAnsi="Arial" w:cs="Arial"/>
          <w:sz w:val="22"/>
          <w:szCs w:val="22"/>
        </w:rPr>
        <w:t xml:space="preserve">has a compounding deleterious effect on cardiovascular disease risk but </w:t>
      </w:r>
      <w:r w:rsidR="00CE1BCF">
        <w:rPr>
          <w:rFonts w:ascii="Arial" w:hAnsi="Arial" w:cs="Arial"/>
          <w:sz w:val="22"/>
          <w:szCs w:val="22"/>
        </w:rPr>
        <w:t xml:space="preserve">may </w:t>
      </w:r>
      <w:r w:rsidR="00FA73F9">
        <w:rPr>
          <w:rFonts w:ascii="Arial" w:hAnsi="Arial" w:cs="Arial"/>
          <w:sz w:val="22"/>
          <w:szCs w:val="22"/>
        </w:rPr>
        <w:t xml:space="preserve">also </w:t>
      </w:r>
      <w:r w:rsidR="00CE1BCF">
        <w:rPr>
          <w:rFonts w:ascii="Arial" w:hAnsi="Arial" w:cs="Arial"/>
          <w:sz w:val="22"/>
          <w:szCs w:val="22"/>
        </w:rPr>
        <w:t xml:space="preserve">effect antiretroviral drug concentrations </w:t>
      </w:r>
      <w:r w:rsidR="00CE1BCF">
        <w:rPr>
          <w:rFonts w:ascii="Arial" w:hAnsi="Arial" w:cs="Arial"/>
          <w:sz w:val="22"/>
          <w:szCs w:val="22"/>
        </w:rPr>
        <w:fldChar w:fldCharType="begin" w:fldLock="1"/>
      </w:r>
      <w:r w:rsidR="009F4900">
        <w:rPr>
          <w:rFonts w:ascii="Arial" w:hAnsi="Arial" w:cs="Arial"/>
          <w:sz w:val="22"/>
          <w:szCs w:val="22"/>
        </w:rPr>
        <w:instrText>ADDIN CSL_CITATION {"citationItems":[{"id":"ITEM-1","itemData":{"DOI":"10.1093/ajcn/nqy049","ISSN":"19383207","PMID":"29868914","abstract":"Background Body fat redistribution and metabolic abnormalities found in HIV patients receiving highly active antiretroviral therapy (HAART) contribute to an atherogenic profile, increasing cardiovascular disease risk. Objective We aimed to evaluate adiposity measures/indexes and propose cutoffs associated with predictors of cardiovascular disease risk in HIV patients on HAART. Design To evaluate cardiovascular disease risk in this cross-sectional study, we conducted electrocardiogram exams and stress electrocardiography, measured the ankle brachial index and blood pressure arterial hypertension, conducted lipid biochemical tests, and measured blood glucose. We measured circumferences [waist (WC), hip, thigh, calf, neck, trunk] and skinfold thicknesses (biceps, triceps, subscapular, suprailiac), conducted bioelectrical impedance analysis (BIA), and calculated indexes [body mass index, waist-to-hip ratio, waist-to-thigh ratio, waist-to-calf ratio, waist-to-height ratio (WHtR), trunk-to-arm ratio, body mass index corrected for body fat mass, Body Adiposity Index, conicity index, body shape index, fat mass (percentage), and phase angle]. For evaluating the performance of all adiposity measures/indexes, we used receiver operating characteristic (ROC) curves. Results Measures of central adiposity WC and WHtR showed the best performances - WC area under the curve (AUC) for men: 0.83 (95% CI: 0.78, 0.89; P &lt; 0.05); WC AUC for women: 0.86 (95% CI: 0.81, 0.91; P &lt; 0.05); WHtR AUC for men: 0.83 (95% CI: 0.78, 0.88; P &lt; 0.05); and WHtR AUC for women: 0.85 (95% CI: 0.80, 0.91; P &lt; 0.05). All adiposity measures/indexes presented different cutoffs from those proposed for the HIV seronegative population. The cutoffs for WC were 87.75 cm (sensitivity: 82.2%; specificity: 75.5%) for men and 90.5 cm (sensitivity: 84.0%; specificity: 73.0%) for women. Conclusions The measures/indexes of central adiposity presented excellent associations with predictors of cardiovascular disease risk, and the use of the cutoffs proposed in the present study aims to contribute to the early identification of increasing risk of cardiovascular diseases, enabling interventions. This trial was registered at the Brazilian clinical trials registry Registro brasileiro de ensaios clínicos (Rebec) as RBR-9rcxbq.","author":[{"dropping-particle":"","family":"Beraldo","given":"Rebeca A.","non-dropping-particle":"","parse-names":false,"suffix":""},{"dropping-particle":"","family":"Meliscki","given":"Gabriela C.","non-dropping-particle":"","parse-names":false,"suffix":""},{"dropping-particle":"","family":"Silva","given":"Bruna R.","non-dropping-particle":"","parse-names":false,"suffix":""},{"dropping-particle":"","family":"Navarro","given":"Anderson M.","non-dropping-particle":"","parse-names":false,"suffix":""},{"dropping-particle":"","family":"Bollela","given":"Valdes R.","non-dropping-particle":"","parse-names":false,"suffix":""},{"dropping-particle":"","family":"Schmidt","given":"André","non-dropping-particle":"","parse-names":false,"suffix":""},{"dropping-particle":"","family":"Foss-Freitas","given":"Maria C.","non-dropping-particle":"","parse-names":false,"suffix":""}],"container-title":"American Journal of Clinical Nutrition","id":"ITEM-1","issue":"6","issued":{"date-parts":[["2018"]]},"page":"883-893","title":"Anthropometric measures of central adiposity are highly concordant with predictors of cardiovascular disease risk in HIV patients","type":"article-journal","volume":"107"},"uris":["http://www.mendeley.com/documents/?uuid=17fbd450-3557-4780-b547-35e402eaa45c"]}],"mendeley":{"formattedCitation":"&lt;sup&gt;7&lt;/sup&gt;","plainTextFormattedCitation":"7","previouslyFormattedCitation":"&lt;sup&gt;7&lt;/sup&gt;"},"properties":{"noteIndex":0},"schema":"https://github.com/citation-style-language/schema/raw/master/csl-citation.json"}</w:instrText>
      </w:r>
      <w:r w:rsidR="00CE1BCF">
        <w:rPr>
          <w:rFonts w:ascii="Arial" w:hAnsi="Arial" w:cs="Arial"/>
          <w:sz w:val="22"/>
          <w:szCs w:val="22"/>
        </w:rPr>
        <w:fldChar w:fldCharType="separate"/>
      </w:r>
      <w:r w:rsidR="009F4900" w:rsidRPr="009F4900">
        <w:rPr>
          <w:rFonts w:ascii="Arial" w:hAnsi="Arial" w:cs="Arial"/>
          <w:noProof/>
          <w:sz w:val="22"/>
          <w:szCs w:val="22"/>
          <w:vertAlign w:val="superscript"/>
        </w:rPr>
        <w:t>7</w:t>
      </w:r>
      <w:r w:rsidR="00CE1BCF">
        <w:rPr>
          <w:rFonts w:ascii="Arial" w:hAnsi="Arial" w:cs="Arial"/>
          <w:sz w:val="22"/>
          <w:szCs w:val="22"/>
        </w:rPr>
        <w:fldChar w:fldCharType="end"/>
      </w:r>
      <w:r w:rsidR="00CE1BCF" w:rsidRPr="00805A39">
        <w:rPr>
          <w:rFonts w:ascii="Arial" w:hAnsi="Arial" w:cs="Arial"/>
          <w:sz w:val="22"/>
          <w:szCs w:val="22"/>
          <w:vertAlign w:val="superscript"/>
        </w:rPr>
        <w:t>,</w:t>
      </w:r>
      <w:r w:rsidR="00CE1BCF">
        <w:rPr>
          <w:rFonts w:ascii="Arial" w:hAnsi="Arial" w:cs="Arial"/>
          <w:sz w:val="22"/>
          <w:szCs w:val="22"/>
        </w:rPr>
        <w:fldChar w:fldCharType="begin" w:fldLock="1"/>
      </w:r>
      <w:r w:rsidR="009F4900">
        <w:rPr>
          <w:rFonts w:ascii="Arial" w:hAnsi="Arial" w:cs="Arial"/>
          <w:sz w:val="22"/>
          <w:szCs w:val="22"/>
        </w:rPr>
        <w:instrText>ADDIN CSL_CITATION {"citationItems":[{"id":"ITEM-1","itemData":{"DOI":"10.1093/jac/dkw527","ISSN":"0305-7453","author":[{"dropping-particle":"","family":"Madelain","given":"Vincent","non-dropping-particle":"","parse-names":false,"suffix":""},{"dropping-particle":"","family":"Le","given":"Minh P.","non-dropping-particle":"","parse-names":false,"suffix":""},{"dropping-particle":"","family":"Champenois","given":"Karen","non-dropping-particle":"","parse-names":false,"suffix":""},{"dropping-particle":"","family":"Yeni","given":"Patrick","non-dropping-particle":"","parse-names":false,"suffix":""},{"dropping-particle":"","family":"Joly","given":"Veronique","non-dropping-particle":"","parse-names":false,"suffix":""},{"dropping-particle":"","family":"Yazdanpanah","given":"Yazdan","non-dropping-particle":"","parse-names":false,"suffix":""},{"dropping-particle":"","family":"Landman","given":"Roland","non-dropping-particle":"","parse-names":false,"suffix":""},{"dropping-particle":"","family":"Descamps","given":"Diane","non-dropping-particle":"","parse-names":false,"suffix":""},{"dropping-particle":"","family":"Charpentier","given":"Charlotte","non-dropping-particle":"","parse-names":false,"suffix":""},{"dropping-particle":"","family":"Peytavin","given":"Gilles","non-dropping-particle":"","parse-names":false,"suffix":""}],"container-title":"Journal of Antimicrobial Chemotherapy","id":"ITEM-1","issue":"January","issued":{"date-parts":[["2016"]]},"page":"dkw527","title":"Impact of obesity on antiretroviral pharmacokinetics and immuno-virological response in HIV-infected patients: a case–control study","type":"article-journal"},"uris":["http://www.mendeley.com/documents/?uuid=817306a1-6f95-47d6-86ca-a67c40284b64"]}],"mendeley":{"formattedCitation":"&lt;sup&gt;10&lt;/sup&gt;","plainTextFormattedCitation":"10","previouslyFormattedCitation":"&lt;sup&gt;10&lt;/sup&gt;"},"properties":{"noteIndex":0},"schema":"https://github.com/citation-style-language/schema/raw/master/csl-citation.json"}</w:instrText>
      </w:r>
      <w:r w:rsidR="00CE1BCF">
        <w:rPr>
          <w:rFonts w:ascii="Arial" w:hAnsi="Arial" w:cs="Arial"/>
          <w:sz w:val="22"/>
          <w:szCs w:val="22"/>
        </w:rPr>
        <w:fldChar w:fldCharType="separate"/>
      </w:r>
      <w:r w:rsidR="009F4900" w:rsidRPr="009F4900">
        <w:rPr>
          <w:rFonts w:ascii="Arial" w:hAnsi="Arial" w:cs="Arial"/>
          <w:noProof/>
          <w:sz w:val="22"/>
          <w:szCs w:val="22"/>
          <w:vertAlign w:val="superscript"/>
        </w:rPr>
        <w:t>10</w:t>
      </w:r>
      <w:r w:rsidR="00CE1BCF">
        <w:rPr>
          <w:rFonts w:ascii="Arial" w:hAnsi="Arial" w:cs="Arial"/>
          <w:sz w:val="22"/>
          <w:szCs w:val="22"/>
        </w:rPr>
        <w:fldChar w:fldCharType="end"/>
      </w:r>
      <w:r w:rsidR="00CE1BCF">
        <w:rPr>
          <w:rFonts w:ascii="Arial" w:hAnsi="Arial" w:cs="Arial"/>
          <w:sz w:val="22"/>
          <w:szCs w:val="22"/>
        </w:rPr>
        <w:t>.</w:t>
      </w:r>
      <w:r w:rsidR="00FA73F9">
        <w:rPr>
          <w:rFonts w:ascii="Arial" w:hAnsi="Arial" w:cs="Arial"/>
          <w:sz w:val="22"/>
          <w:szCs w:val="22"/>
        </w:rPr>
        <w:t xml:space="preserve"> </w:t>
      </w:r>
      <w:r w:rsidR="002E5A39">
        <w:rPr>
          <w:rFonts w:ascii="Arial" w:hAnsi="Arial" w:cs="Arial"/>
          <w:sz w:val="22"/>
          <w:szCs w:val="22"/>
          <w:lang w:val="en-AU"/>
        </w:rPr>
        <w:t>Drug</w:t>
      </w:r>
      <w:r w:rsidR="002E5A39" w:rsidRPr="00216D11">
        <w:rPr>
          <w:rFonts w:ascii="Arial" w:hAnsi="Arial" w:cs="Arial"/>
          <w:sz w:val="22"/>
          <w:szCs w:val="22"/>
          <w:lang w:val="en-AU"/>
        </w:rPr>
        <w:t xml:space="preserve"> distribution </w:t>
      </w:r>
      <w:r w:rsidR="002E5A39">
        <w:rPr>
          <w:rFonts w:ascii="Arial" w:hAnsi="Arial" w:cs="Arial"/>
          <w:sz w:val="22"/>
          <w:szCs w:val="22"/>
          <w:lang w:val="en-AU"/>
        </w:rPr>
        <w:t>may be</w:t>
      </w:r>
      <w:r w:rsidR="002E5A39" w:rsidRPr="00216D11">
        <w:rPr>
          <w:rFonts w:ascii="Arial" w:hAnsi="Arial" w:cs="Arial"/>
          <w:sz w:val="22"/>
          <w:szCs w:val="22"/>
          <w:lang w:val="en-AU"/>
        </w:rPr>
        <w:t xml:space="preserve"> altered in obesity</w:t>
      </w:r>
      <w:r w:rsidR="003B4F32">
        <w:rPr>
          <w:rFonts w:ascii="Arial" w:hAnsi="Arial" w:cs="Arial"/>
          <w:sz w:val="22"/>
          <w:szCs w:val="22"/>
          <w:lang w:val="en-AU"/>
        </w:rPr>
        <w:t xml:space="preserve"> by various </w:t>
      </w:r>
      <w:r w:rsidR="008B0E56">
        <w:rPr>
          <w:rFonts w:ascii="Arial" w:hAnsi="Arial" w:cs="Arial"/>
          <w:sz w:val="22"/>
          <w:szCs w:val="22"/>
          <w:lang w:val="en-AU"/>
        </w:rPr>
        <w:t>factors. These include</w:t>
      </w:r>
      <w:r w:rsidR="003B4F32">
        <w:rPr>
          <w:rFonts w:ascii="Arial" w:hAnsi="Arial" w:cs="Arial"/>
          <w:sz w:val="22"/>
          <w:szCs w:val="22"/>
          <w:lang w:val="en-AU"/>
        </w:rPr>
        <w:t xml:space="preserve"> lipophilicity of the drug, ionization properties, </w:t>
      </w:r>
      <w:proofErr w:type="spellStart"/>
      <w:r w:rsidR="003B4F32">
        <w:rPr>
          <w:rFonts w:ascii="Arial" w:hAnsi="Arial" w:cs="Arial"/>
          <w:sz w:val="22"/>
          <w:szCs w:val="22"/>
          <w:lang w:val="en-AU"/>
        </w:rPr>
        <w:t>blood:plasma</w:t>
      </w:r>
      <w:proofErr w:type="spellEnd"/>
      <w:r w:rsidR="003B4F32">
        <w:rPr>
          <w:rFonts w:ascii="Arial" w:hAnsi="Arial" w:cs="Arial"/>
          <w:sz w:val="22"/>
          <w:szCs w:val="22"/>
          <w:lang w:val="en-AU"/>
        </w:rPr>
        <w:t xml:space="preserve"> ratio</w:t>
      </w:r>
      <w:r w:rsidR="008B0E56">
        <w:rPr>
          <w:rFonts w:ascii="Arial" w:hAnsi="Arial" w:cs="Arial"/>
          <w:sz w:val="22"/>
          <w:szCs w:val="22"/>
          <w:lang w:val="en-AU"/>
        </w:rPr>
        <w:t xml:space="preserve"> and protein binding</w:t>
      </w:r>
      <w:r w:rsidR="002E5A39">
        <w:rPr>
          <w:rFonts w:ascii="Arial" w:hAnsi="Arial" w:cs="Arial"/>
          <w:sz w:val="22"/>
          <w:szCs w:val="22"/>
          <w:lang w:val="en-AU"/>
        </w:rPr>
        <w:t xml:space="preserve"> </w:t>
      </w:r>
      <w:r w:rsidR="002E5A39" w:rsidRPr="00216D11">
        <w:rPr>
          <w:rFonts w:ascii="Arial" w:hAnsi="Arial" w:cs="Arial"/>
          <w:sz w:val="22"/>
          <w:szCs w:val="22"/>
          <w:lang w:val="en-AU"/>
        </w:rPr>
        <w:fldChar w:fldCharType="begin" w:fldLock="1"/>
      </w:r>
      <w:r w:rsidR="009F4900">
        <w:rPr>
          <w:rFonts w:ascii="Arial" w:hAnsi="Arial" w:cs="Arial"/>
          <w:sz w:val="22"/>
          <w:szCs w:val="22"/>
          <w:lang w:val="en-AU"/>
        </w:rPr>
        <w:instrText>ADDIN CSL_CITATION {"citationItems":[{"id":"ITEM-1","itemData":{"DOI":"10.2165/00003088-200039030-00004","ISSN":"03125963","abstract":"Obesity is a worldwide problem, with major health, social and economic implications. The adaptation of drug dosages to obese patients is a subject of concern, particularly for drugs with a narrow therapeutic index. The main factors that affect the tissue distribution of drugs are body composition, regional blood flow and the affinity of the drug for plasma proteins and/or tissue components. Obese people have larger absolute lean body masses as well as fat masses than non-obese individuals of the same age, gender and height. However, the percentage of fat per kg of total bodyweight (TBW) is markedly increased, whereas that chrome P450 isoforms are altered, but no clear overview of drug hepatic metabolism in obesity is currently available. Pharmacokinetic studies provide differing data on renal function in obese patients. This review analyses recent publications on several classes of drugs: antibacterials, anticancer drugs, psychotropic drugs, anticonvulsants, general anaesthetics, opioid analgesics, neuromuscular blockers, beta-blockers and drugs commonly used in the management of obesity. Pharmacokinetic studies in obesity show that the behaviour of molecules with weak or moderate lipophilicity (e.g. lithium and vecuronium) is generally rather predictable, as these drugs are distributed mainly in lean tissues. The dosage of these drugs should be based on the ideal bodyweight (IBW). However, some of these drugs (e.g. antibacterials and some anticancer drugs) are partly distributed in adipose tissues, and their dosage is based on IBW plus a percentage of the patient's excess bodyweight. There is no systematic relationship between the degree of lipophilicity of markedly lipophilic drugs (e.g. remifentanil and some beta-blockers) and their distribution in obese individuals. The distribution of a drug between fat and lean tissues may influence its pharmacokinetics in obese patients. Thus, the loading dose should be adjusted to the TBW or IBW, according to data from studies carried out in obese individuals. Adjustment of the maintenance dosage depends on the observed modifications in clearance. Our present knowledge of the influence of obesity on drug pharmacokinetics is limited. Drugs with a small therapeutic index should be used prudently and the dosage adjusted with the help of drug plasma concentrations.","author":[{"dropping-particle":"","family":"Cheymol","given":"Georges","non-dropping-particle":"","parse-names":false,"suffix":""}],"container-title":"Clinical Pharmacokinetics","id":"ITEM-1","issue":"3","issued":{"date-parts":[["2000"]]},"page":"215-231","title":"Effects of obesity on pharmacokinetics: Implications for drug therapy","type":"article-journal","volume":"39"},"uris":["http://www.mendeley.com/documents/?uuid=12c31636-21b8-4d84-90a1-90924de9894b"]}],"mendeley":{"formattedCitation":"&lt;sup&gt;11&lt;/sup&gt;","plainTextFormattedCitation":"11","previouslyFormattedCitation":"&lt;sup&gt;11&lt;/sup&gt;"},"properties":{"noteIndex":0},"schema":"https://github.com/citation-style-language/schema/raw/master/csl-citation.json"}</w:instrText>
      </w:r>
      <w:r w:rsidR="002E5A39" w:rsidRPr="00216D11">
        <w:rPr>
          <w:rFonts w:ascii="Arial" w:hAnsi="Arial" w:cs="Arial"/>
          <w:sz w:val="22"/>
          <w:szCs w:val="22"/>
          <w:lang w:val="en-AU"/>
        </w:rPr>
        <w:fldChar w:fldCharType="separate"/>
      </w:r>
      <w:r w:rsidR="009F4900" w:rsidRPr="009F4900">
        <w:rPr>
          <w:rFonts w:ascii="Arial" w:hAnsi="Arial" w:cs="Arial"/>
          <w:noProof/>
          <w:sz w:val="22"/>
          <w:szCs w:val="22"/>
          <w:vertAlign w:val="superscript"/>
          <w:lang w:val="en-AU"/>
        </w:rPr>
        <w:t>11</w:t>
      </w:r>
      <w:r w:rsidR="002E5A39" w:rsidRPr="00216D11">
        <w:rPr>
          <w:rFonts w:ascii="Arial" w:hAnsi="Arial" w:cs="Arial"/>
          <w:sz w:val="22"/>
          <w:szCs w:val="22"/>
        </w:rPr>
        <w:fldChar w:fldCharType="end"/>
      </w:r>
      <w:r w:rsidR="00E81D26" w:rsidRPr="00805A39">
        <w:rPr>
          <w:rFonts w:ascii="Arial" w:hAnsi="Arial" w:cs="Arial"/>
          <w:sz w:val="22"/>
          <w:szCs w:val="22"/>
          <w:vertAlign w:val="superscript"/>
        </w:rPr>
        <w:t>,</w:t>
      </w:r>
      <w:r w:rsidR="002E5A39" w:rsidRPr="00216D11">
        <w:rPr>
          <w:rFonts w:ascii="Arial" w:hAnsi="Arial" w:cs="Arial"/>
          <w:sz w:val="22"/>
          <w:szCs w:val="22"/>
          <w:lang w:val="en-AU"/>
        </w:rPr>
        <w:fldChar w:fldCharType="begin" w:fldLock="1"/>
      </w:r>
      <w:r w:rsidR="009F4900">
        <w:rPr>
          <w:rFonts w:ascii="Arial" w:hAnsi="Arial" w:cs="Arial"/>
          <w:sz w:val="22"/>
          <w:szCs w:val="22"/>
          <w:lang w:val="en-AU"/>
        </w:rPr>
        <w:instrText>ADDIN CSL_CITATION {"citationItems":[{"id":"ITEM-1","itemData":{"DOI":"10.2165/11318100-000000000-00000","ISBN":"0312-5963 (Print)\\r0312-5963 (Linking)","ISSN":"03125963","PMID":"20067334","abstract":"The prevalence of obesity has dramatically increased in recent years and now includes a significant proportion of the world's children, adolescents and adults. Obesity is linked to a number of co-morbidities, the most prominent being type 2 diabetes mellitus. While many agents are available to treat these conditions, the current knowledge regarding their disposition in the obese remains limited. Over the years, both direct and indirect methodologies have been utilized to assess body composition. Commonly used direct measures include underwater weighing, skinfold measurement, bioelectrical impedance analysis and dual-energy x-ray absorptiometry. Unfortunately, these methods are not readily available to the majority of clinicians. As a result, a number of indirect measures to assess body composition have been developed. Indirect measures rely on patient attributes such as height, bodyweight and sex. These size metrics are often utilized clinically and include body mass index (BMI), body surface area (BSA), ideal bodyweight (IBW), percent IBW, adjusted bodyweight, lean bodyweight (LBW) and predicted normal weight (PNWT). An understanding of how the volume of distribution (V(d)) of a drug changes in the obese is critical, as this parameter determines loading-dose selection. The V(d) of a drug is dependent upon its physiochemical properties, the degree of plasma protein binding and tissue blood flow. Obesity does not appear to have an impact on drug binding to albumin; however, data regarding alpha(1)-acid glycoprotein binding have been contradictory. A reduction in tissue blood flow and alterations in cardiac structure and function have been noted in obese individuals. At the present time, a universal size descriptor to describe the V(d) of all drugs in obese and lean individuals does not exist. Drug clearance (CL) is the primary determinant to consider when designing a maintenance dose regimen. CL is largely controlled by hepatic and renal physiology. In the obese, increases in cytochrome P450 2E1 activity and phase II conjugation activity have been observed. The effects of obesity on renal tubular secretion, tubular reabsorption, and glomerular filtration have not been fully elucidated. As with the V(d), a single, well validated size metric to characterize drug CL in the obese does not currently exist. Therefore, clinicians should apply a weight-normalized maintenance dose, using a size descriptor that corrects for differences in absolute CL between obese…","author":[{"dropping-particle":"","family":"Hanley","given":"Michael J.","non-dropping-particle":"","parse-names":false,"suffix":""},{"dropping-particle":"","family":"Abernethy","given":"Darrell R.","non-dropping-particle":"","parse-names":false,"suffix":""},{"dropping-particle":"","family":"Greenblatt","given":"David J.","non-dropping-particle":"","parse-names":false,"suffix":""}],"container-title":"Clinical Pharmacokinetics","id":"ITEM-1","issue":"2","issued":{"date-parts":[["2010"]]},"page":"71-87","title":"Effect of obesity on the pharmacokinetics of drugs in humans","type":"article-journal","volume":"49"},"uris":["http://www.mendeley.com/documents/?uuid=dbfa8bdd-8d1c-4675-b7cb-6a07c300b091"]}],"mendeley":{"formattedCitation":"&lt;sup&gt;12&lt;/sup&gt;","plainTextFormattedCitation":"12","previouslyFormattedCitation":"&lt;sup&gt;12&lt;/sup&gt;"},"properties":{"noteIndex":0},"schema":"https://github.com/citation-style-language/schema/raw/master/csl-citation.json"}</w:instrText>
      </w:r>
      <w:r w:rsidR="002E5A39" w:rsidRPr="00216D11">
        <w:rPr>
          <w:rFonts w:ascii="Arial" w:hAnsi="Arial" w:cs="Arial"/>
          <w:sz w:val="22"/>
          <w:szCs w:val="22"/>
          <w:lang w:val="en-AU"/>
        </w:rPr>
        <w:fldChar w:fldCharType="separate"/>
      </w:r>
      <w:r w:rsidR="009F4900" w:rsidRPr="009F4900">
        <w:rPr>
          <w:rFonts w:ascii="Arial" w:hAnsi="Arial" w:cs="Arial"/>
          <w:noProof/>
          <w:sz w:val="22"/>
          <w:szCs w:val="22"/>
          <w:vertAlign w:val="superscript"/>
          <w:lang w:val="en-AU"/>
        </w:rPr>
        <w:t>12</w:t>
      </w:r>
      <w:r w:rsidR="002E5A39" w:rsidRPr="00216D11">
        <w:rPr>
          <w:rFonts w:ascii="Arial" w:hAnsi="Arial" w:cs="Arial"/>
          <w:sz w:val="22"/>
          <w:szCs w:val="22"/>
        </w:rPr>
        <w:fldChar w:fldCharType="end"/>
      </w:r>
      <w:r w:rsidR="003B4F32" w:rsidRPr="000E71EE">
        <w:rPr>
          <w:rFonts w:ascii="Arial" w:hAnsi="Arial" w:cs="Arial"/>
          <w:sz w:val="22"/>
          <w:szCs w:val="22"/>
          <w:vertAlign w:val="superscript"/>
        </w:rPr>
        <w:t>,</w:t>
      </w:r>
      <w:r w:rsidR="003B4F32">
        <w:rPr>
          <w:rFonts w:ascii="Arial" w:hAnsi="Arial" w:cs="Arial"/>
          <w:sz w:val="22"/>
          <w:szCs w:val="22"/>
          <w:vertAlign w:val="superscript"/>
        </w:rPr>
        <w:fldChar w:fldCharType="begin" w:fldLock="1"/>
      </w:r>
      <w:r w:rsidR="003B4F32">
        <w:rPr>
          <w:rFonts w:ascii="Arial" w:hAnsi="Arial" w:cs="Arial"/>
          <w:sz w:val="22"/>
          <w:szCs w:val="22"/>
          <w:vertAlign w:val="superscript"/>
        </w:rPr>
        <w:instrText>ADDIN CSL_CITATION {"citationItems":[{"id":"ITEM-1","itemData":{"DOI":"10.1080/17425255.2018.1440287","ISSN":"17447607","abstract":"Introduction: The rising prevalence of obesity confronts clinicians with dosing problems in the (extreme) overweight population. Obesity has a great impact on key organs that play a role in the pharmacokinetics (PK) and pharmacodynamics (PD) of drugs, however the ultimate impact of these changes on how to adapt the dose may not always be known. Areas covered: In this review, physiological changes associated with obesity are discussed. An overview is provided on the alterations in absorption, distribution, drug metabolism and clearance in (morbid) obesity focusing on general principles that can be extracted from pharmacokinetic studies. Also, relevant pharmacodynamic considerations in obesity are discussed. Expert opinion: Over the last two decades, increased knowledge is generated on PK and PD in obesity. Future research should focus on filling in the knowledge gaps that remain, especially in connecting obesity-related physiological changes with changes in PK and/or PD and vice versa. Ultimately, this knowledge can be used to develop physiologically based PK and PD models on the basis of quantitative systems pharmacology principles. Moreover, efforts should focus on thorough prospective evaluation of developed model-based doses with subsequent implementation of these dosing recommendations in clinical practice.","author":[{"dropping-particle":"","family":"Smit","given":"Cornelis","non-dropping-particle":"","parse-names":false,"suffix":""},{"dropping-particle":"","family":"Hoogd","given":"Sjoerd","non-dropping-particle":"De","parse-names":false,"suffix":""},{"dropping-particle":"","family":"Brüggemann","given":"Roger J.M.","non-dropping-particle":"","parse-names":false,"suffix":""},{"dropping-particle":"","family":"Knibbe","given":"Catherijne A.J.","non-dropping-particle":"","parse-names":false,"suffix":""}],"container-title":"Expert Opinion on Drug Metabolism and Toxicology","id":"ITEM-1","issue":"3","issued":{"date-parts":[["2018"]]},"page":"275-285","publisher":"Taylor &amp; Francis","title":"Obesity and drug pharmacology: a review of the influence of obesity on pharmacokinetic and pharmacodynamic parameters","type":"article-journal","volume":"14"},"uris":["http://www.mendeley.com/documents/?uuid=51a877cc-1868-44b7-97b6-4c9856b0f635"]}],"mendeley":{"formattedCitation":"&lt;sup&gt;13&lt;/sup&gt;","plainTextFormattedCitation":"13","previouslyFormattedCitation":"&lt;sup&gt;13&lt;/sup&gt;"},"properties":{"noteIndex":0},"schema":"https://github.com/citation-style-language/schema/raw/master/csl-citation.json"}</w:instrText>
      </w:r>
      <w:r w:rsidR="003B4F32">
        <w:rPr>
          <w:rFonts w:ascii="Arial" w:hAnsi="Arial" w:cs="Arial"/>
          <w:sz w:val="22"/>
          <w:szCs w:val="22"/>
          <w:vertAlign w:val="superscript"/>
        </w:rPr>
        <w:fldChar w:fldCharType="separate"/>
      </w:r>
      <w:r w:rsidR="003B4F32" w:rsidRPr="003B4F32">
        <w:rPr>
          <w:rFonts w:ascii="Arial" w:hAnsi="Arial" w:cs="Arial"/>
          <w:noProof/>
          <w:sz w:val="22"/>
          <w:szCs w:val="22"/>
          <w:vertAlign w:val="superscript"/>
        </w:rPr>
        <w:t>13</w:t>
      </w:r>
      <w:r w:rsidR="003B4F32">
        <w:rPr>
          <w:rFonts w:ascii="Arial" w:hAnsi="Arial" w:cs="Arial"/>
          <w:sz w:val="22"/>
          <w:szCs w:val="22"/>
          <w:vertAlign w:val="superscript"/>
        </w:rPr>
        <w:fldChar w:fldCharType="end"/>
      </w:r>
      <w:r w:rsidR="002E5A39" w:rsidRPr="00216D11">
        <w:rPr>
          <w:rFonts w:ascii="Arial" w:hAnsi="Arial" w:cs="Arial"/>
          <w:sz w:val="22"/>
          <w:szCs w:val="22"/>
          <w:lang w:val="en-AU"/>
        </w:rPr>
        <w:t>.</w:t>
      </w:r>
      <w:r w:rsidR="00FA73F9">
        <w:rPr>
          <w:rFonts w:ascii="Arial" w:hAnsi="Arial" w:cs="Arial"/>
          <w:sz w:val="22"/>
          <w:szCs w:val="22"/>
          <w:lang w:val="en-AU"/>
        </w:rPr>
        <w:t xml:space="preserve"> However, </w:t>
      </w:r>
      <w:r w:rsidR="00FA73F9">
        <w:rPr>
          <w:rFonts w:ascii="Arial" w:hAnsi="Arial" w:cs="Arial"/>
          <w:sz w:val="22"/>
          <w:szCs w:val="22"/>
        </w:rPr>
        <w:t>d</w:t>
      </w:r>
      <w:r w:rsidR="002E5A39">
        <w:rPr>
          <w:rFonts w:ascii="Arial" w:hAnsi="Arial" w:cs="Arial"/>
          <w:sz w:val="22"/>
          <w:szCs w:val="22"/>
        </w:rPr>
        <w:t xml:space="preserve">ata on the effect of obesity on antiretroviral pharmacokinetics and treatment outcomes are limited. </w:t>
      </w:r>
    </w:p>
    <w:p w14:paraId="33FF2161" w14:textId="77777777" w:rsidR="002E5A39" w:rsidRDefault="002E5A39" w:rsidP="00292D0F">
      <w:pPr>
        <w:spacing w:line="480" w:lineRule="auto"/>
        <w:jc w:val="both"/>
        <w:rPr>
          <w:rFonts w:ascii="Arial" w:hAnsi="Arial" w:cs="Arial"/>
          <w:sz w:val="22"/>
          <w:szCs w:val="22"/>
          <w:lang w:val="en-AU"/>
        </w:rPr>
      </w:pPr>
    </w:p>
    <w:p w14:paraId="4F85B1EA" w14:textId="14334D2A" w:rsidR="002E5A39" w:rsidRPr="002070A1" w:rsidRDefault="002E5A39" w:rsidP="00292D0F">
      <w:pPr>
        <w:spacing w:line="480" w:lineRule="auto"/>
        <w:jc w:val="both"/>
        <w:rPr>
          <w:rFonts w:ascii="Arial" w:hAnsi="Arial" w:cs="Arial"/>
          <w:sz w:val="22"/>
          <w:szCs w:val="22"/>
        </w:rPr>
      </w:pPr>
      <w:r>
        <w:rPr>
          <w:rFonts w:ascii="Arial" w:hAnsi="Arial" w:cs="Arial"/>
          <w:sz w:val="22"/>
          <w:szCs w:val="22"/>
        </w:rPr>
        <w:t>A</w:t>
      </w:r>
      <w:r w:rsidRPr="008F7509">
        <w:rPr>
          <w:rFonts w:ascii="Arial" w:hAnsi="Arial" w:cs="Arial"/>
          <w:sz w:val="22"/>
          <w:szCs w:val="22"/>
        </w:rPr>
        <w:t xml:space="preserve"> Brazil</w:t>
      </w:r>
      <w:r>
        <w:rPr>
          <w:rFonts w:ascii="Arial" w:hAnsi="Arial" w:cs="Arial"/>
          <w:sz w:val="22"/>
          <w:szCs w:val="22"/>
        </w:rPr>
        <w:t>ian</w:t>
      </w:r>
      <w:r w:rsidRPr="008F7509">
        <w:rPr>
          <w:rFonts w:ascii="Arial" w:hAnsi="Arial" w:cs="Arial"/>
          <w:sz w:val="22"/>
          <w:szCs w:val="22"/>
        </w:rPr>
        <w:t xml:space="preserve"> </w:t>
      </w:r>
      <w:r>
        <w:rPr>
          <w:rFonts w:ascii="Arial" w:hAnsi="Arial" w:cs="Arial"/>
          <w:sz w:val="22"/>
          <w:szCs w:val="22"/>
        </w:rPr>
        <w:t xml:space="preserve">study measured </w:t>
      </w:r>
      <w:r w:rsidRPr="008F7509">
        <w:rPr>
          <w:rFonts w:ascii="Arial" w:hAnsi="Arial" w:cs="Arial"/>
          <w:sz w:val="22"/>
          <w:szCs w:val="22"/>
        </w:rPr>
        <w:t>plasma concentration</w:t>
      </w:r>
      <w:r>
        <w:rPr>
          <w:rFonts w:ascii="Arial" w:hAnsi="Arial" w:cs="Arial"/>
          <w:sz w:val="22"/>
          <w:szCs w:val="22"/>
        </w:rPr>
        <w:t>s</w:t>
      </w:r>
      <w:r w:rsidRPr="008F7509">
        <w:rPr>
          <w:rFonts w:ascii="Arial" w:hAnsi="Arial" w:cs="Arial"/>
          <w:sz w:val="22"/>
          <w:szCs w:val="22"/>
        </w:rPr>
        <w:t xml:space="preserve"> of </w:t>
      </w:r>
      <w:r>
        <w:rPr>
          <w:rFonts w:ascii="Arial" w:hAnsi="Arial" w:cs="Arial"/>
          <w:sz w:val="22"/>
          <w:szCs w:val="22"/>
        </w:rPr>
        <w:t>41</w:t>
      </w:r>
      <w:r w:rsidRPr="008F7509">
        <w:rPr>
          <w:rFonts w:ascii="Arial" w:hAnsi="Arial" w:cs="Arial"/>
          <w:sz w:val="22"/>
          <w:szCs w:val="22"/>
        </w:rPr>
        <w:t xml:space="preserve"> </w:t>
      </w:r>
      <w:r w:rsidR="005513F1">
        <w:rPr>
          <w:rFonts w:ascii="Arial" w:hAnsi="Arial" w:cs="Arial"/>
          <w:sz w:val="22"/>
          <w:szCs w:val="22"/>
        </w:rPr>
        <w:t>PLWH</w:t>
      </w:r>
      <w:r>
        <w:rPr>
          <w:rFonts w:ascii="Arial" w:hAnsi="Arial" w:cs="Arial"/>
          <w:sz w:val="22"/>
          <w:szCs w:val="22"/>
        </w:rPr>
        <w:t xml:space="preserve"> on </w:t>
      </w:r>
      <w:r w:rsidR="00563558">
        <w:rPr>
          <w:rFonts w:ascii="Arial" w:hAnsi="Arial" w:cs="Arial"/>
          <w:sz w:val="22"/>
          <w:szCs w:val="22"/>
        </w:rPr>
        <w:t>EFV</w:t>
      </w:r>
      <w:r>
        <w:rPr>
          <w:rFonts w:ascii="Arial" w:hAnsi="Arial" w:cs="Arial"/>
          <w:sz w:val="22"/>
          <w:szCs w:val="22"/>
        </w:rPr>
        <w:t>-based regimens</w:t>
      </w:r>
      <w:r w:rsidRPr="008F7509">
        <w:rPr>
          <w:rFonts w:ascii="Arial" w:hAnsi="Arial" w:cs="Arial"/>
          <w:sz w:val="22"/>
          <w:szCs w:val="22"/>
        </w:rPr>
        <w:t xml:space="preserve"> </w:t>
      </w:r>
      <w:r>
        <w:rPr>
          <w:rFonts w:ascii="Arial" w:hAnsi="Arial" w:cs="Arial"/>
          <w:sz w:val="22"/>
          <w:szCs w:val="22"/>
        </w:rPr>
        <w:t>and</w:t>
      </w:r>
      <w:r w:rsidRPr="008F7509">
        <w:rPr>
          <w:rFonts w:ascii="Arial" w:hAnsi="Arial" w:cs="Arial"/>
          <w:sz w:val="22"/>
          <w:szCs w:val="22"/>
        </w:rPr>
        <w:t xml:space="preserve"> found that lower body weight correlated </w:t>
      </w:r>
      <w:r w:rsidR="00C8705F">
        <w:rPr>
          <w:rFonts w:ascii="Arial" w:hAnsi="Arial" w:cs="Arial"/>
          <w:sz w:val="22"/>
          <w:szCs w:val="22"/>
        </w:rPr>
        <w:t>with</w:t>
      </w:r>
      <w:r w:rsidR="00C8705F" w:rsidRPr="008F7509">
        <w:rPr>
          <w:rFonts w:ascii="Arial" w:hAnsi="Arial" w:cs="Arial"/>
          <w:sz w:val="22"/>
          <w:szCs w:val="22"/>
        </w:rPr>
        <w:t xml:space="preserve"> </w:t>
      </w:r>
      <w:r w:rsidRPr="008F7509">
        <w:rPr>
          <w:rFonts w:ascii="Arial" w:hAnsi="Arial" w:cs="Arial"/>
          <w:sz w:val="22"/>
          <w:szCs w:val="22"/>
        </w:rPr>
        <w:t xml:space="preserve">higher concentrations of </w:t>
      </w:r>
      <w:r w:rsidR="00563558">
        <w:rPr>
          <w:rFonts w:ascii="Arial" w:hAnsi="Arial" w:cs="Arial"/>
          <w:sz w:val="22"/>
          <w:szCs w:val="22"/>
        </w:rPr>
        <w:t>EFV</w:t>
      </w:r>
      <w:r w:rsidR="00272823">
        <w:rPr>
          <w:rFonts w:ascii="Arial" w:hAnsi="Arial" w:cs="Arial"/>
          <w:sz w:val="22"/>
          <w:szCs w:val="22"/>
        </w:rPr>
        <w:t xml:space="preserve">. All participants in the study were virologically suppressed, despite 17% of EFV plasma concentrations being lower than the therapeutic range of 1000 – 4000 ng/ml </w:t>
      </w:r>
      <w:r>
        <w:rPr>
          <w:rFonts w:ascii="Arial" w:hAnsi="Arial" w:cs="Arial"/>
          <w:sz w:val="22"/>
          <w:szCs w:val="22"/>
        </w:rPr>
        <w:fldChar w:fldCharType="begin" w:fldLock="1"/>
      </w:r>
      <w:r w:rsidR="00FE7C39">
        <w:rPr>
          <w:rFonts w:ascii="Arial" w:hAnsi="Arial" w:cs="Arial"/>
          <w:sz w:val="22"/>
          <w:szCs w:val="22"/>
        </w:rPr>
        <w:instrText>ADDIN CSL_CITATION {"citationItems":[{"id":"ITEM-1","itemData":{"DOI":"10.1093/jac/dkr360","ISSN":"03057453","PMID":"21890538","abstract":"Background: Efavirenz is among the most widely used antiretroviral drugs. Increased efavirenz exposure has been associated with CNS side effects and also with the chance of emergence of resistance upon treatment interruptions. The objective of this study was to evaluate factors associated with efavirenz plasma concentrations in a cohort of HIV-infected individuals. Methods: From July 2009 to March 2010, HIV-infected patients with efavirenz as part of antiretroviral therapy (600 mg at night), undetectable viral load for at least 1 year and CD4 cell count .200 cells/mm3 were consecutively enrolled at the HIV/AIDS ambulatory care unit in southern Brazil. Plasma samples were taken 18-23 h after efavirenz last dose and analysed by validated ultra-performance liquid chromatography. Results: Forty-one subjects were included (21 females). Mean age and weight were 45.4 years and 70.9 kg, respectively. Mean efavirenz plasma concentration was 2.20+2.17 mg/L. Most plasma concentrations (73%) were within the therapeutic window (1-4 mg/L); 17% were below and 10% above the limits. There were no significant associations between efavirenz concentration and age, CD4 cell count, time on antiretroviral treatment and gender. There was significant and inverse correlation between efavirenz concentrations and body weight (P=0.013) and body mass index (P=0.001). Conclusions: In this cohort of well-controlled HIV-positive individuals, patients with lower weight or body mass index had a higher chance of presenting elevated plasma concentrations of efavirenz. Therapeutic drug monitoring to adjust dose might be a helpful tool to decrease efavirenz dose in order to minimize costs and adverse effects. © The Author 2011. Published by Oxford University Press on behalf of the British Society for Antimicrobial Chemotherapy. All rights reserved.","author":[{"dropping-particle":"","family":"Poeta","given":"Julia","non-dropping-particle":"","parse-names":false,"suffix":""},{"dropping-particle":"","family":"Linden","given":"Rafael","non-dropping-particle":"","parse-names":false,"suffix":""},{"dropping-particle":"","family":"Antunes","given":"Marina Venzon","non-dropping-particle":"","parse-names":false,"suffix":""},{"dropping-particle":"","family":"Real","given":"Lucia","non-dropping-particle":"","parse-names":false,"suffix":""},{"dropping-particle":"","family":"Menezes","given":"Andréia Magalhães","non-dropping-particle":"","parse-names":false,"suffix":""},{"dropping-particle":"","family":"Ribeiro","given":"Jorge P.","non-dropping-particle":"","parse-names":false,"suffix":""},{"dropping-particle":"","family":"Sprinz","given":"Eduardo","non-dropping-particle":"","parse-names":false,"suffix":""}],"container-title":"Journal of Antimicrobial Chemotherapy","id":"ITEM-1","issue":"11","issued":{"date-parts":[["2011"]]},"page":"2601-2604","title":"Plasma concentrations of efavirenz are associated with body weight in HIV-positive individuals","type":"article-journal","volume":"66"},"uris":["http://www.mendeley.com/documents/?uuid=e76a1543-92ce-408f-b579-63e25d73bc46"]}],"mendeley":{"formattedCitation":"&lt;sup&gt;14&lt;/sup&gt;","plainTextFormattedCitation":"14","previouslyFormattedCitation":"&lt;sup&gt;15&lt;/sup&gt;"},"properties":{"noteIndex":0},"schema":"https://github.com/citation-style-language/schema/raw/master/csl-citation.json"}</w:instrText>
      </w:r>
      <w:r>
        <w:rPr>
          <w:rFonts w:ascii="Arial" w:hAnsi="Arial" w:cs="Arial"/>
          <w:sz w:val="22"/>
          <w:szCs w:val="22"/>
        </w:rPr>
        <w:fldChar w:fldCharType="separate"/>
      </w:r>
      <w:r w:rsidR="00FE7C39" w:rsidRPr="00FE7C39">
        <w:rPr>
          <w:rFonts w:ascii="Arial" w:hAnsi="Arial" w:cs="Arial"/>
          <w:noProof/>
          <w:sz w:val="22"/>
          <w:szCs w:val="22"/>
          <w:vertAlign w:val="superscript"/>
        </w:rPr>
        <w:t>14</w:t>
      </w:r>
      <w:r>
        <w:rPr>
          <w:rFonts w:ascii="Arial" w:hAnsi="Arial" w:cs="Arial"/>
          <w:sz w:val="22"/>
          <w:szCs w:val="22"/>
        </w:rPr>
        <w:fldChar w:fldCharType="end"/>
      </w:r>
      <w:r w:rsidRPr="008F7509">
        <w:rPr>
          <w:rFonts w:ascii="Arial" w:hAnsi="Arial" w:cs="Arial"/>
          <w:sz w:val="22"/>
          <w:szCs w:val="22"/>
        </w:rPr>
        <w:t xml:space="preserve">. </w:t>
      </w:r>
      <w:r>
        <w:rPr>
          <w:rFonts w:ascii="Arial" w:hAnsi="Arial" w:cs="Arial"/>
          <w:sz w:val="22"/>
          <w:szCs w:val="22"/>
          <w:lang w:val="en-AU"/>
        </w:rPr>
        <w:t>A</w:t>
      </w:r>
      <w:r w:rsidRPr="00776591">
        <w:rPr>
          <w:rFonts w:ascii="Arial" w:hAnsi="Arial" w:cs="Arial"/>
          <w:sz w:val="22"/>
          <w:szCs w:val="22"/>
          <w:lang w:val="en-AU"/>
        </w:rPr>
        <w:t xml:space="preserve"> French study</w:t>
      </w:r>
      <w:r>
        <w:rPr>
          <w:rFonts w:ascii="Arial" w:hAnsi="Arial" w:cs="Arial"/>
          <w:sz w:val="22"/>
          <w:szCs w:val="22"/>
          <w:lang w:val="en-AU"/>
        </w:rPr>
        <w:t xml:space="preserve"> </w:t>
      </w:r>
      <w:r w:rsidRPr="00776591">
        <w:rPr>
          <w:rFonts w:ascii="Arial" w:hAnsi="Arial" w:cs="Arial"/>
          <w:sz w:val="22"/>
          <w:szCs w:val="22"/>
          <w:lang w:val="en-AU"/>
        </w:rPr>
        <w:t>investigated the effect of obesity on antiretroviral drug concentrations as well as on the immun</w:t>
      </w:r>
      <w:r w:rsidR="00C8705F">
        <w:rPr>
          <w:rFonts w:ascii="Arial" w:hAnsi="Arial" w:cs="Arial"/>
          <w:sz w:val="22"/>
          <w:szCs w:val="22"/>
          <w:lang w:val="en-AU"/>
        </w:rPr>
        <w:t>o</w:t>
      </w:r>
      <w:r w:rsidRPr="00776591">
        <w:rPr>
          <w:rFonts w:ascii="Arial" w:hAnsi="Arial" w:cs="Arial"/>
          <w:sz w:val="22"/>
          <w:szCs w:val="22"/>
          <w:lang w:val="en-AU"/>
        </w:rPr>
        <w:t xml:space="preserve">virological response </w:t>
      </w:r>
      <w:r w:rsidRPr="00776591">
        <w:rPr>
          <w:rFonts w:ascii="Arial" w:hAnsi="Arial" w:cs="Arial"/>
          <w:sz w:val="22"/>
          <w:szCs w:val="22"/>
          <w:lang w:val="en-AU"/>
        </w:rPr>
        <w:fldChar w:fldCharType="begin" w:fldLock="1"/>
      </w:r>
      <w:r w:rsidR="009F4900">
        <w:rPr>
          <w:rFonts w:ascii="Arial" w:hAnsi="Arial" w:cs="Arial"/>
          <w:sz w:val="22"/>
          <w:szCs w:val="22"/>
          <w:lang w:val="en-AU"/>
        </w:rPr>
        <w:instrText>ADDIN CSL_CITATION {"citationItems":[{"id":"ITEM-1","itemData":{"DOI":"10.1093/jac/dkw527","ISSN":"0305-7453","author":[{"dropping-particle":"","family":"Madelain","given":"Vincent","non-dropping-particle":"","parse-names":false,"suffix":""},{"dropping-particle":"","family":"Le","given":"Minh P.","non-dropping-particle":"","parse-names":false,"suffix":""},{"dropping-particle":"","family":"Champenois","given":"Karen","non-dropping-particle":"","parse-names":false,"suffix":""},{"dropping-particle":"","family":"Yeni","given":"Patrick","non-dropping-particle":"","parse-names":false,"suffix":""},{"dropping-particle":"","family":"Joly","given":"Veronique","non-dropping-particle":"","parse-names":false,"suffix":""},{"dropping-particle":"","family":"Yazdanpanah","given":"Yazdan","non-dropping-particle":"","parse-names":false,"suffix":""},{"dropping-particle":"","family":"Landman","given":"Roland","non-dropping-particle":"","parse-names":false,"suffix":""},{"dropping-particle":"","family":"Descamps","given":"Diane","non-dropping-particle":"","parse-names":false,"suffix":""},{"dropping-particle":"","family":"Charpentier","given":"Charlotte","non-dropping-particle":"","parse-names":false,"suffix":""},{"dropping-particle":"","family":"Peytavin","given":"Gilles","non-dropping-particle":"","parse-names":false,"suffix":""}],"container-title":"Journal of Antimicrobial Chemotherapy","id":"ITEM-1","issue":"January","issued":{"date-parts":[["2016"]]},"page":"dkw527","title":"Impact of obesity on antiretroviral pharmacokinetics and immuno-virological response in HIV-infected patients: a case–control study","type":"article-journal"},"uris":["http://www.mendeley.com/documents/?uuid=817306a1-6f95-47d6-86ca-a67c40284b64"]}],"mendeley":{"formattedCitation":"&lt;sup&gt;10&lt;/sup&gt;","plainTextFormattedCitation":"10","previouslyFormattedCitation":"&lt;sup&gt;10&lt;/sup&gt;"},"properties":{"noteIndex":0},"schema":"https://github.com/citation-style-language/schema/raw/master/csl-citation.json"}</w:instrText>
      </w:r>
      <w:r w:rsidRPr="00776591">
        <w:rPr>
          <w:rFonts w:ascii="Arial" w:hAnsi="Arial" w:cs="Arial"/>
          <w:sz w:val="22"/>
          <w:szCs w:val="22"/>
          <w:lang w:val="en-AU"/>
        </w:rPr>
        <w:fldChar w:fldCharType="separate"/>
      </w:r>
      <w:r w:rsidR="009F4900" w:rsidRPr="009F4900">
        <w:rPr>
          <w:rFonts w:ascii="Arial" w:hAnsi="Arial" w:cs="Arial"/>
          <w:noProof/>
          <w:sz w:val="22"/>
          <w:szCs w:val="22"/>
          <w:vertAlign w:val="superscript"/>
          <w:lang w:val="en-AU"/>
        </w:rPr>
        <w:t>10</w:t>
      </w:r>
      <w:r w:rsidRPr="00776591">
        <w:rPr>
          <w:rFonts w:ascii="Arial" w:hAnsi="Arial" w:cs="Arial"/>
          <w:sz w:val="22"/>
          <w:szCs w:val="22"/>
        </w:rPr>
        <w:fldChar w:fldCharType="end"/>
      </w:r>
      <w:r w:rsidRPr="00776591">
        <w:rPr>
          <w:rFonts w:ascii="Arial" w:hAnsi="Arial" w:cs="Arial"/>
          <w:sz w:val="22"/>
          <w:szCs w:val="22"/>
          <w:lang w:val="en-AU"/>
        </w:rPr>
        <w:t xml:space="preserve">. </w:t>
      </w:r>
      <w:r>
        <w:rPr>
          <w:rFonts w:ascii="Arial" w:hAnsi="Arial" w:cs="Arial"/>
          <w:sz w:val="22"/>
          <w:szCs w:val="22"/>
          <w:lang w:val="en-AU"/>
        </w:rPr>
        <w:t>This</w:t>
      </w:r>
      <w:r w:rsidRPr="00776591">
        <w:rPr>
          <w:rFonts w:ascii="Arial" w:hAnsi="Arial" w:cs="Arial"/>
          <w:sz w:val="22"/>
          <w:szCs w:val="22"/>
          <w:lang w:val="en-AU"/>
        </w:rPr>
        <w:t xml:space="preserve"> study included a total of </w:t>
      </w:r>
      <w:r>
        <w:rPr>
          <w:rFonts w:ascii="Arial" w:hAnsi="Arial" w:cs="Arial"/>
          <w:sz w:val="22"/>
          <w:szCs w:val="22"/>
          <w:lang w:val="en-AU"/>
        </w:rPr>
        <w:t>129</w:t>
      </w:r>
      <w:r w:rsidRPr="00776591">
        <w:rPr>
          <w:rFonts w:ascii="Arial" w:hAnsi="Arial" w:cs="Arial"/>
          <w:sz w:val="22"/>
          <w:szCs w:val="22"/>
          <w:lang w:val="en-AU"/>
        </w:rPr>
        <w:t xml:space="preserve"> participants </w:t>
      </w:r>
      <w:r>
        <w:rPr>
          <w:rFonts w:ascii="Arial" w:hAnsi="Arial" w:cs="Arial"/>
          <w:sz w:val="22"/>
          <w:szCs w:val="22"/>
          <w:lang w:val="en-AU"/>
        </w:rPr>
        <w:t xml:space="preserve">on an </w:t>
      </w:r>
      <w:r w:rsidR="00563558">
        <w:rPr>
          <w:rFonts w:ascii="Arial" w:hAnsi="Arial" w:cs="Arial"/>
          <w:sz w:val="22"/>
          <w:szCs w:val="22"/>
          <w:lang w:val="en-AU"/>
        </w:rPr>
        <w:t>EFV</w:t>
      </w:r>
      <w:r>
        <w:rPr>
          <w:rFonts w:ascii="Arial" w:hAnsi="Arial" w:cs="Arial"/>
          <w:sz w:val="22"/>
          <w:szCs w:val="22"/>
          <w:lang w:val="en-AU"/>
        </w:rPr>
        <w:t xml:space="preserve">-based regimen. </w:t>
      </w:r>
      <w:r w:rsidR="00563558">
        <w:rPr>
          <w:rFonts w:ascii="Arial" w:hAnsi="Arial" w:cs="Arial"/>
          <w:sz w:val="22"/>
          <w:szCs w:val="22"/>
          <w:lang w:val="en-AU"/>
        </w:rPr>
        <w:t xml:space="preserve">TFV </w:t>
      </w:r>
      <w:r>
        <w:rPr>
          <w:rFonts w:ascii="Arial" w:hAnsi="Arial" w:cs="Arial"/>
          <w:sz w:val="22"/>
          <w:szCs w:val="22"/>
          <w:lang w:val="en-AU"/>
        </w:rPr>
        <w:t xml:space="preserve">and </w:t>
      </w:r>
      <w:r w:rsidR="00563558">
        <w:rPr>
          <w:rFonts w:ascii="Arial" w:hAnsi="Arial" w:cs="Arial"/>
          <w:sz w:val="22"/>
          <w:szCs w:val="22"/>
          <w:lang w:val="en-AU"/>
        </w:rPr>
        <w:t xml:space="preserve">FTC </w:t>
      </w:r>
      <w:r>
        <w:rPr>
          <w:rFonts w:ascii="Arial" w:hAnsi="Arial" w:cs="Arial"/>
          <w:sz w:val="22"/>
          <w:szCs w:val="22"/>
          <w:lang w:val="en-AU"/>
        </w:rPr>
        <w:t>concentrations were also analysed in this study</w:t>
      </w:r>
      <w:r w:rsidRPr="00776591">
        <w:rPr>
          <w:rFonts w:ascii="Arial" w:hAnsi="Arial" w:cs="Arial"/>
          <w:sz w:val="22"/>
          <w:szCs w:val="22"/>
          <w:lang w:val="en-AU"/>
        </w:rPr>
        <w:t xml:space="preserve">. Statistically significant results were found for </w:t>
      </w:r>
      <w:r w:rsidR="00563558">
        <w:rPr>
          <w:rFonts w:ascii="Arial" w:hAnsi="Arial" w:cs="Arial"/>
          <w:sz w:val="22"/>
          <w:szCs w:val="22"/>
          <w:lang w:val="en-AU"/>
        </w:rPr>
        <w:t xml:space="preserve">EFV </w:t>
      </w:r>
      <w:r>
        <w:rPr>
          <w:rFonts w:ascii="Arial" w:hAnsi="Arial" w:cs="Arial"/>
          <w:sz w:val="22"/>
          <w:szCs w:val="22"/>
          <w:lang w:val="en-AU"/>
        </w:rPr>
        <w:t xml:space="preserve">and </w:t>
      </w:r>
      <w:r w:rsidR="00563558">
        <w:rPr>
          <w:rFonts w:ascii="Arial" w:hAnsi="Arial" w:cs="Arial"/>
          <w:sz w:val="22"/>
          <w:szCs w:val="22"/>
          <w:lang w:val="en-AU"/>
        </w:rPr>
        <w:t>TFV</w:t>
      </w:r>
      <w:r w:rsidRPr="00776591">
        <w:rPr>
          <w:rFonts w:ascii="Arial" w:hAnsi="Arial" w:cs="Arial"/>
          <w:sz w:val="22"/>
          <w:szCs w:val="22"/>
          <w:lang w:val="en-AU"/>
        </w:rPr>
        <w:t>, with lower concentrations in obesity by 2</w:t>
      </w:r>
      <w:r>
        <w:rPr>
          <w:rFonts w:ascii="Arial" w:hAnsi="Arial" w:cs="Arial"/>
          <w:sz w:val="22"/>
          <w:szCs w:val="22"/>
          <w:lang w:val="en-AU"/>
        </w:rPr>
        <w:t>6</w:t>
      </w:r>
      <w:r w:rsidRPr="00776591">
        <w:rPr>
          <w:rFonts w:ascii="Arial" w:hAnsi="Arial" w:cs="Arial"/>
          <w:sz w:val="22"/>
          <w:szCs w:val="22"/>
          <w:lang w:val="en-AU"/>
        </w:rPr>
        <w:t xml:space="preserve"> and 2</w:t>
      </w:r>
      <w:r>
        <w:rPr>
          <w:rFonts w:ascii="Arial" w:hAnsi="Arial" w:cs="Arial"/>
          <w:sz w:val="22"/>
          <w:szCs w:val="22"/>
          <w:lang w:val="en-AU"/>
        </w:rPr>
        <w:t>3</w:t>
      </w:r>
      <w:r w:rsidRPr="00776591">
        <w:rPr>
          <w:rFonts w:ascii="Arial" w:hAnsi="Arial" w:cs="Arial"/>
          <w:sz w:val="22"/>
          <w:szCs w:val="22"/>
          <w:lang w:val="en-AU"/>
        </w:rPr>
        <w:t xml:space="preserve"> percent respectively. No difference was found for </w:t>
      </w:r>
      <w:r w:rsidR="00563558">
        <w:rPr>
          <w:rFonts w:ascii="Arial" w:hAnsi="Arial" w:cs="Arial"/>
          <w:sz w:val="22"/>
          <w:szCs w:val="22"/>
          <w:lang w:val="en-AU"/>
        </w:rPr>
        <w:t xml:space="preserve">FTC </w:t>
      </w:r>
      <w:r w:rsidRPr="00776591">
        <w:rPr>
          <w:rFonts w:ascii="Arial" w:hAnsi="Arial" w:cs="Arial"/>
          <w:sz w:val="22"/>
          <w:szCs w:val="22"/>
          <w:lang w:val="en-AU"/>
        </w:rPr>
        <w:fldChar w:fldCharType="begin" w:fldLock="1"/>
      </w:r>
      <w:r w:rsidR="009F4900">
        <w:rPr>
          <w:rFonts w:ascii="Arial" w:hAnsi="Arial" w:cs="Arial"/>
          <w:sz w:val="22"/>
          <w:szCs w:val="22"/>
          <w:lang w:val="en-AU"/>
        </w:rPr>
        <w:instrText>ADDIN CSL_CITATION {"citationItems":[{"id":"ITEM-1","itemData":{"DOI":"10.1093/jac/dkw527","ISSN":"0305-7453","author":[{"dropping-particle":"","family":"Madelain","given":"Vincent","non-dropping-particle":"","parse-names":false,"suffix":""},{"dropping-particle":"","family":"Le","given":"Minh P.","non-dropping-particle":"","parse-names":false,"suffix":""},{"dropping-particle":"","family":"Champenois","given":"Karen","non-dropping-particle":"","parse-names":false,"suffix":""},{"dropping-particle":"","family":"Yeni","given":"Patrick","non-dropping-particle":"","parse-names":false,"suffix":""},{"dropping-particle":"","family":"Joly","given":"Veronique","non-dropping-particle":"","parse-names":false,"suffix":""},{"dropping-particle":"","family":"Yazdanpanah","given":"Yazdan","non-dropping-particle":"","parse-names":false,"suffix":""},{"dropping-particle":"","family":"Landman","given":"Roland","non-dropping-particle":"","parse-names":false,"suffix":""},{"dropping-particle":"","family":"Descamps","given":"Diane","non-dropping-particle":"","parse-names":false,"suffix":""},{"dropping-particle":"","family":"Charpentier","given":"Charlotte","non-dropping-particle":"","parse-names":false,"suffix":""},{"dropping-particle":"","family":"Peytavin","given":"Gilles","non-dropping-particle":"","parse-names":false,"suffix":""}],"container-title":"Journal of Antimicrobial Chemotherapy","id":"ITEM-1","issue":"January","issued":{"date-parts":[["2016"]]},"page":"dkw527","title":"Impact of obesity on antiretroviral pharmacokinetics and immuno-virological response in HIV-infected patients: a case–control study","type":"article-journal"},"uris":["http://www.mendeley.com/documents/?uuid=817306a1-6f95-47d6-86ca-a67c40284b64"]}],"mendeley":{"formattedCitation":"&lt;sup&gt;10&lt;/sup&gt;","plainTextFormattedCitation":"10","previouslyFormattedCitation":"&lt;sup&gt;10&lt;/sup&gt;"},"properties":{"noteIndex":0},"schema":"https://github.com/citation-style-language/schema/raw/master/csl-citation.json"}</w:instrText>
      </w:r>
      <w:r w:rsidRPr="00776591">
        <w:rPr>
          <w:rFonts w:ascii="Arial" w:hAnsi="Arial" w:cs="Arial"/>
          <w:sz w:val="22"/>
          <w:szCs w:val="22"/>
          <w:lang w:val="en-AU"/>
        </w:rPr>
        <w:fldChar w:fldCharType="separate"/>
      </w:r>
      <w:r w:rsidR="009F4900" w:rsidRPr="009F4900">
        <w:rPr>
          <w:rFonts w:ascii="Arial" w:hAnsi="Arial" w:cs="Arial"/>
          <w:noProof/>
          <w:sz w:val="22"/>
          <w:szCs w:val="22"/>
          <w:vertAlign w:val="superscript"/>
          <w:lang w:val="en-AU"/>
        </w:rPr>
        <w:t>10</w:t>
      </w:r>
      <w:r w:rsidRPr="00776591">
        <w:rPr>
          <w:rFonts w:ascii="Arial" w:hAnsi="Arial" w:cs="Arial"/>
          <w:sz w:val="22"/>
          <w:szCs w:val="22"/>
        </w:rPr>
        <w:fldChar w:fldCharType="end"/>
      </w:r>
      <w:r w:rsidRPr="00776591">
        <w:rPr>
          <w:rFonts w:ascii="Arial" w:hAnsi="Arial" w:cs="Arial"/>
          <w:sz w:val="22"/>
          <w:szCs w:val="22"/>
          <w:lang w:val="en-AU"/>
        </w:rPr>
        <w:t xml:space="preserve">. </w:t>
      </w:r>
      <w:r>
        <w:rPr>
          <w:rFonts w:ascii="Arial" w:hAnsi="Arial" w:cs="Arial"/>
          <w:sz w:val="22"/>
          <w:szCs w:val="22"/>
          <w:lang w:val="en-AU"/>
        </w:rPr>
        <w:t xml:space="preserve">The </w:t>
      </w:r>
      <w:r w:rsidRPr="00776591">
        <w:rPr>
          <w:rFonts w:ascii="Arial" w:hAnsi="Arial" w:cs="Arial"/>
          <w:sz w:val="22"/>
          <w:szCs w:val="22"/>
          <w:lang w:val="en-AU"/>
        </w:rPr>
        <w:t>lower</w:t>
      </w:r>
      <w:r>
        <w:rPr>
          <w:rFonts w:ascii="Arial" w:hAnsi="Arial" w:cs="Arial"/>
          <w:sz w:val="22"/>
          <w:szCs w:val="22"/>
          <w:lang w:val="en-AU"/>
        </w:rPr>
        <w:t xml:space="preserve"> </w:t>
      </w:r>
      <w:r w:rsidR="00563558">
        <w:rPr>
          <w:rFonts w:ascii="Arial" w:hAnsi="Arial" w:cs="Arial"/>
          <w:sz w:val="22"/>
          <w:szCs w:val="22"/>
          <w:lang w:val="en-AU"/>
        </w:rPr>
        <w:t xml:space="preserve">EFV </w:t>
      </w:r>
      <w:r>
        <w:rPr>
          <w:rFonts w:ascii="Arial" w:hAnsi="Arial" w:cs="Arial"/>
          <w:sz w:val="22"/>
          <w:szCs w:val="22"/>
          <w:lang w:val="en-AU"/>
        </w:rPr>
        <w:t xml:space="preserve">and </w:t>
      </w:r>
      <w:r w:rsidR="00563558">
        <w:rPr>
          <w:rFonts w:ascii="Arial" w:hAnsi="Arial" w:cs="Arial"/>
          <w:sz w:val="22"/>
          <w:szCs w:val="22"/>
          <w:lang w:val="en-AU"/>
        </w:rPr>
        <w:t xml:space="preserve">TFV </w:t>
      </w:r>
      <w:r w:rsidRPr="00776591">
        <w:rPr>
          <w:rFonts w:ascii="Arial" w:hAnsi="Arial" w:cs="Arial"/>
          <w:sz w:val="22"/>
          <w:szCs w:val="22"/>
          <w:lang w:val="en-AU"/>
        </w:rPr>
        <w:t xml:space="preserve">concentrations were </w:t>
      </w:r>
      <w:r>
        <w:rPr>
          <w:rFonts w:ascii="Arial" w:hAnsi="Arial" w:cs="Arial"/>
          <w:sz w:val="22"/>
          <w:szCs w:val="22"/>
          <w:lang w:val="en-AU"/>
        </w:rPr>
        <w:t>not associated with viral suppression</w:t>
      </w:r>
      <w:r w:rsidRPr="00776591">
        <w:rPr>
          <w:rFonts w:ascii="Arial" w:hAnsi="Arial" w:cs="Arial"/>
          <w:sz w:val="22"/>
          <w:szCs w:val="22"/>
          <w:lang w:val="en-AU"/>
        </w:rPr>
        <w:t xml:space="preserve">. </w:t>
      </w:r>
      <w:r>
        <w:rPr>
          <w:rFonts w:ascii="Arial" w:hAnsi="Arial" w:cs="Arial"/>
          <w:sz w:val="22"/>
          <w:szCs w:val="22"/>
        </w:rPr>
        <w:t>Data on the pharmacokinetic profile in obese PLWH from</w:t>
      </w:r>
      <w:r w:rsidRPr="008F7509">
        <w:rPr>
          <w:rFonts w:ascii="Arial" w:hAnsi="Arial" w:cs="Arial"/>
          <w:sz w:val="22"/>
          <w:szCs w:val="22"/>
        </w:rPr>
        <w:t xml:space="preserve"> Africa</w:t>
      </w:r>
      <w:r>
        <w:rPr>
          <w:rFonts w:ascii="Arial" w:hAnsi="Arial" w:cs="Arial"/>
          <w:sz w:val="22"/>
          <w:szCs w:val="22"/>
        </w:rPr>
        <w:t xml:space="preserve">n and other low to middle income countries </w:t>
      </w:r>
      <w:r>
        <w:rPr>
          <w:rFonts w:ascii="Arial" w:hAnsi="Arial" w:cs="Arial"/>
          <w:sz w:val="22"/>
          <w:szCs w:val="22"/>
        </w:rPr>
        <w:lastRenderedPageBreak/>
        <w:t xml:space="preserve">are limited. Furthermore, antiretroviral pharmacokinetic associations with </w:t>
      </w:r>
      <w:r w:rsidR="00A15165">
        <w:rPr>
          <w:rFonts w:ascii="Arial" w:hAnsi="Arial" w:cs="Arial"/>
          <w:sz w:val="22"/>
          <w:szCs w:val="22"/>
        </w:rPr>
        <w:t>WC</w:t>
      </w:r>
      <w:r>
        <w:rPr>
          <w:rFonts w:ascii="Arial" w:hAnsi="Arial" w:cs="Arial"/>
          <w:sz w:val="22"/>
          <w:szCs w:val="22"/>
        </w:rPr>
        <w:t xml:space="preserve"> and waist-hip ratio</w:t>
      </w:r>
      <w:r w:rsidR="00A15165">
        <w:rPr>
          <w:rFonts w:ascii="Arial" w:hAnsi="Arial" w:cs="Arial"/>
          <w:sz w:val="22"/>
          <w:szCs w:val="22"/>
        </w:rPr>
        <w:t xml:space="preserve"> (WHR</w:t>
      </w:r>
      <w:r w:rsidR="00A931F0">
        <w:rPr>
          <w:rFonts w:ascii="Arial" w:hAnsi="Arial" w:cs="Arial"/>
          <w:sz w:val="22"/>
          <w:szCs w:val="22"/>
        </w:rPr>
        <w:t>)</w:t>
      </w:r>
      <w:r>
        <w:rPr>
          <w:rFonts w:ascii="Arial" w:hAnsi="Arial" w:cs="Arial"/>
          <w:sz w:val="22"/>
          <w:szCs w:val="22"/>
        </w:rPr>
        <w:t>, estimate</w:t>
      </w:r>
      <w:r w:rsidR="00C8705F">
        <w:rPr>
          <w:rFonts w:ascii="Arial" w:hAnsi="Arial" w:cs="Arial"/>
          <w:sz w:val="22"/>
          <w:szCs w:val="22"/>
        </w:rPr>
        <w:t>s</w:t>
      </w:r>
      <w:r>
        <w:rPr>
          <w:rFonts w:ascii="Arial" w:hAnsi="Arial" w:cs="Arial"/>
          <w:sz w:val="22"/>
          <w:szCs w:val="22"/>
        </w:rPr>
        <w:t xml:space="preserve"> of abdominal fat</w:t>
      </w:r>
      <w:r w:rsidR="00C8705F">
        <w:rPr>
          <w:rFonts w:ascii="Arial" w:hAnsi="Arial" w:cs="Arial"/>
          <w:sz w:val="22"/>
          <w:szCs w:val="22"/>
        </w:rPr>
        <w:t>,</w:t>
      </w:r>
      <w:r>
        <w:rPr>
          <w:rFonts w:ascii="Arial" w:hAnsi="Arial" w:cs="Arial"/>
          <w:sz w:val="22"/>
          <w:szCs w:val="22"/>
        </w:rPr>
        <w:t xml:space="preserve"> have not been described. The pharmacokinetics of 8-hydroxy-efavirenz</w:t>
      </w:r>
      <w:r w:rsidR="00956A2B">
        <w:rPr>
          <w:rFonts w:ascii="Arial" w:hAnsi="Arial" w:cs="Arial"/>
          <w:sz w:val="22"/>
          <w:szCs w:val="22"/>
        </w:rPr>
        <w:t xml:space="preserve"> (8-OH-EFV)</w:t>
      </w:r>
      <w:r>
        <w:rPr>
          <w:rFonts w:ascii="Arial" w:hAnsi="Arial" w:cs="Arial"/>
          <w:sz w:val="22"/>
          <w:szCs w:val="22"/>
        </w:rPr>
        <w:t xml:space="preserve">, the primary metabolite of </w:t>
      </w:r>
      <w:r w:rsidR="00956A2B">
        <w:rPr>
          <w:rFonts w:ascii="Arial" w:hAnsi="Arial" w:cs="Arial"/>
          <w:sz w:val="22"/>
          <w:szCs w:val="22"/>
        </w:rPr>
        <w:t>EFV</w:t>
      </w:r>
      <w:r>
        <w:rPr>
          <w:rFonts w:ascii="Arial" w:hAnsi="Arial" w:cs="Arial"/>
          <w:sz w:val="22"/>
          <w:szCs w:val="22"/>
        </w:rPr>
        <w:t>, in obese PLWH has not been described.</w:t>
      </w:r>
      <w:r w:rsidR="00E12F0F">
        <w:rPr>
          <w:rFonts w:ascii="Arial" w:hAnsi="Arial" w:cs="Arial"/>
          <w:sz w:val="22"/>
          <w:szCs w:val="22"/>
        </w:rPr>
        <w:t xml:space="preserve"> </w:t>
      </w:r>
      <w:r w:rsidR="006204FE">
        <w:rPr>
          <w:rFonts w:ascii="Arial" w:hAnsi="Arial" w:cs="Arial"/>
          <w:sz w:val="22"/>
          <w:szCs w:val="22"/>
        </w:rPr>
        <w:t xml:space="preserve">EFV is predominantly </w:t>
      </w:r>
      <w:proofErr w:type="spellStart"/>
      <w:r w:rsidR="006204FE">
        <w:rPr>
          <w:rFonts w:ascii="Arial" w:hAnsi="Arial" w:cs="Arial"/>
          <w:sz w:val="22"/>
          <w:szCs w:val="22"/>
        </w:rPr>
        <w:t>metabolised</w:t>
      </w:r>
      <w:proofErr w:type="spellEnd"/>
      <w:r w:rsidR="006204FE">
        <w:rPr>
          <w:rFonts w:ascii="Arial" w:hAnsi="Arial" w:cs="Arial"/>
          <w:sz w:val="22"/>
          <w:szCs w:val="22"/>
        </w:rPr>
        <w:t xml:space="preserve"> by </w:t>
      </w:r>
      <w:r w:rsidR="006204FE">
        <w:rPr>
          <w:rFonts w:ascii="Arial" w:hAnsi="Arial" w:cs="Arial"/>
          <w:bCs/>
          <w:sz w:val="22"/>
          <w:szCs w:val="22"/>
        </w:rPr>
        <w:t>CYP2B6 to 8-OH-EFV</w:t>
      </w:r>
      <w:r w:rsidR="009F4900">
        <w:rPr>
          <w:rFonts w:ascii="Arial" w:hAnsi="Arial" w:cs="Arial"/>
          <w:bCs/>
          <w:sz w:val="22"/>
          <w:szCs w:val="22"/>
        </w:rPr>
        <w:t xml:space="preserve"> </w:t>
      </w:r>
      <w:r w:rsidR="009F4900">
        <w:rPr>
          <w:rFonts w:ascii="Arial" w:hAnsi="Arial" w:cs="Arial"/>
          <w:sz w:val="22"/>
          <w:szCs w:val="22"/>
          <w:vertAlign w:val="superscript"/>
        </w:rPr>
        <w:fldChar w:fldCharType="begin" w:fldLock="1"/>
      </w:r>
      <w:r w:rsidR="00FE7C39">
        <w:rPr>
          <w:rFonts w:ascii="Arial" w:hAnsi="Arial" w:cs="Arial"/>
          <w:sz w:val="22"/>
          <w:szCs w:val="22"/>
          <w:vertAlign w:val="superscript"/>
        </w:rPr>
        <w:instrText>ADDIN CSL_CITATION {"citationItems":[{"id":"ITEM-1","itemData":{"DOI":"10.1093/cid/ciaa1073","ISSN":"1058-4838","abstract":"Background. Dolutegravir is associated with more weight gain than efavirenz. Loss-of-function polymorphisms in CYP2B6 result in higher efavirenz concentrations, which we hypothesized would impair weight gain among people living with human immu-nodeficiency virus (HIV; PLWH) starting efavirenz-based antiretroviral therapy (ART). Methods. We studied ART-naive participants from the ADVANCE study randomized to the efavirenz /emtricitabine/tenofovir disoproxil fumarate (TDF) and dolutegravir/emtricitabine/TDF arms. We compared changes in weight and regional fat on DXA from baseline to week 48 between CYP2B6 metabolizer genotypes in the efavirenz arm, and with the dolutegravir arm. Results. There were 342 participants in the dolutegravir arm and 168 in the efavirenz arm who consented to genotyping. Baseline characteristics were similar. Weight gain was greater in women than men. In the efavirenz arm CYP2B6 metaboliser genotype was associated with weight gain (P = .009), with extensive metabolizers gaining the most weight, and with changes in regional fat in women, but not in men. Weight gain was similar in CYP2B6 extensive metabolizers in the efavirenz arm and in the dolutegravir arm (P = .836). The following variables were independently associated with weight gain in all participants: baseline CD4 count, baseline human immunodeficiency virus type 1 (HIV-1) RNA, and CYP2B6 metaboliser genotype. Conclusions. CYP2B6 metaboliser genotype was associated with weight gain in PLWH starting efavirenz-based ART. Weight gain was similar between CYP2B6 extensive metabolizers in the efavirenz arm and in the dolutegravir arm, suggesting that impaired weight gain among CYP2B6 slow or intermediate metabolizers could explain the increased weight gain on dolutegravir compared with efavirenz observed in ADVANCE and other studies.","author":[{"dropping-particle":"","family":"Griesel","given":"Rulan","non-dropping-particle":"","parse-names":false,"suffix":""},{"dropping-particle":"","family":"Maartens","given":"Gary","non-dropping-particle":"","parse-names":false,"suffix":""},{"dropping-particle":"","family":"Chirehwa","given":"Maxwell","non-dropping-particle":"","parse-names":false,"suffix":""},{"dropping-particle":"","family":"Sokhela","given":"Simiso","non-dropping-particle":"","parse-names":false,"suffix":""},{"dropping-particle":"","family":"Akpomiemie","given":"Godspower","non-dropping-particle":"","parse-names":false,"suffix":""},{"dropping-particle":"","family":"Moorhouse","given":"Michelle","non-dropping-particle":"","parse-names":false,"suffix":""},{"dropping-particle":"","family":"Venter","given":"Francois","non-dropping-particle":"","parse-names":false,"suffix":""},{"dropping-particle":"","family":"Sinxadi","given":"Phumla","non-dropping-particle":"","parse-names":false,"suffix":""}],"container-title":"Clinical Infectious Diseases","id":"ITEM-1","issue":"Xx","issued":{"date-parts":[["2020"]]},"page":"2-9","title":"CYP2B6 Genotype and Weight Gain Differences Between Dolutegravir and Efavirenz","type":"article-journal"},"uris":["http://www.mendeley.com/documents/?uuid=0000770b-5c2f-4b68-87c9-a3987785105f"]}],"mendeley":{"formattedCitation":"&lt;sup&gt;15&lt;/sup&gt;","plainTextFormattedCitation":"15","previouslyFormattedCitation":"&lt;sup&gt;16&lt;/sup&gt;"},"properties":{"noteIndex":0},"schema":"https://github.com/citation-style-language/schema/raw/master/csl-citation.json"}</w:instrText>
      </w:r>
      <w:r w:rsidR="009F4900">
        <w:rPr>
          <w:rFonts w:ascii="Arial" w:hAnsi="Arial" w:cs="Arial"/>
          <w:sz w:val="22"/>
          <w:szCs w:val="22"/>
          <w:vertAlign w:val="superscript"/>
        </w:rPr>
        <w:fldChar w:fldCharType="separate"/>
      </w:r>
      <w:r w:rsidR="00FE7C39" w:rsidRPr="00FE7C39">
        <w:rPr>
          <w:rFonts w:ascii="Arial" w:hAnsi="Arial" w:cs="Arial"/>
          <w:noProof/>
          <w:sz w:val="22"/>
          <w:szCs w:val="22"/>
          <w:vertAlign w:val="superscript"/>
        </w:rPr>
        <w:t>15</w:t>
      </w:r>
      <w:r w:rsidR="009F4900">
        <w:rPr>
          <w:rFonts w:ascii="Arial" w:hAnsi="Arial" w:cs="Arial"/>
          <w:sz w:val="22"/>
          <w:szCs w:val="22"/>
          <w:vertAlign w:val="superscript"/>
        </w:rPr>
        <w:fldChar w:fldCharType="end"/>
      </w:r>
      <w:r w:rsidR="009F4900" w:rsidRPr="00805A39">
        <w:rPr>
          <w:rFonts w:ascii="Arial" w:hAnsi="Arial" w:cs="Arial"/>
          <w:sz w:val="22"/>
          <w:szCs w:val="22"/>
          <w:vertAlign w:val="superscript"/>
        </w:rPr>
        <w:t>,</w:t>
      </w:r>
      <w:r w:rsidR="009F4900">
        <w:rPr>
          <w:rFonts w:ascii="Arial" w:hAnsi="Arial" w:cs="Arial"/>
          <w:sz w:val="22"/>
          <w:szCs w:val="22"/>
          <w:vertAlign w:val="superscript"/>
        </w:rPr>
        <w:fldChar w:fldCharType="begin" w:fldLock="1"/>
      </w:r>
      <w:r w:rsidR="00FE7C39">
        <w:rPr>
          <w:rFonts w:ascii="Arial" w:hAnsi="Arial" w:cs="Arial" w:hint="eastAsia"/>
          <w:sz w:val="22"/>
          <w:szCs w:val="22"/>
          <w:vertAlign w:val="superscript"/>
        </w:rPr>
        <w:instrText>ADDIN CSL_CITATION {"citationItems":[{"id":"ITEM-1","itemData":{"DOI":"10.1097/FPC.0b013e32835a450b","ISSN":"17446880","PMID":"23080225","abstract":"OBJECTIVES: Prior candidate gene studies have associated CYP2B6 516G</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T [rs3745274] and 983T</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C [rs28399499]</w:instrText>
      </w:r>
      <w:r w:rsidR="00FE7C39">
        <w:rPr>
          <w:rFonts w:ascii="Arial" w:hAnsi="Arial" w:cs="Arial"/>
          <w:sz w:val="22"/>
          <w:szCs w:val="22"/>
          <w:vertAlign w:val="superscript"/>
        </w:rPr>
        <w:instrText xml:space="preserve"> with increased plasma efavirenz exposure. We sought to identify novel variants associated with efavirenz pharmacokinetics. MATERIALS AND METHODS: Antiretroviral therapy-naive AIDS Clinical Trials Group studies A5202, A5095, and ACTG 384 included plasma sampling for efavirenz pharmacokinetics. Log-transformed trough efavirenz concentrations (Cmin) were previously estimated by population pharmacokinetic modeling. Stored DNA was genotyped with Illumina HumanHap 650Y or 1MDuo platforms, complemented by addit</w:instrText>
      </w:r>
      <w:r w:rsidR="00FE7C39">
        <w:rPr>
          <w:rFonts w:ascii="Arial" w:hAnsi="Arial" w:cs="Arial" w:hint="eastAsia"/>
          <w:sz w:val="22"/>
          <w:szCs w:val="22"/>
          <w:vertAlign w:val="superscript"/>
        </w:rPr>
        <w:instrText>ional targeted genotyping of CYP2B6 and CYP2A6 with MassARRAY iPLEX Gold. Associations were identified by linear regression, which included principal component vectors to adjust for genetic ancestry. RESULTS: Among 856 individuals, CYP2B6 516G</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T was associated with efavirenz estimated Cmin (P=8.5</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10). After adjusting for CYP2B6 516G</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T, CYP2B6 983T</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C was associated (P=9.9</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10). After adjusting for both CYP2B6 516G</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T and 983T</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C, a CYP2B6 variant (rs4803419) in intron 3 was associated (P=4.4</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10). After adjust</w:instrText>
      </w:r>
      <w:r w:rsidR="00FE7C39">
        <w:rPr>
          <w:rFonts w:ascii="Arial" w:hAnsi="Arial" w:cs="Arial"/>
          <w:sz w:val="22"/>
          <w:szCs w:val="22"/>
          <w:vertAlign w:val="superscript"/>
        </w:rPr>
        <w:instrText>ing for all the three variants, non-CYP2B6 polymorphisms were associated at P-value less than 5×10. In a separate cohort of 240 individuals, only the three CYP2B6 polymorphisms replicated. These three polymorphisms explained 34% of interindividual variability in efavirenz estimated Cmin. The extensive metabolizer phenotype was best defined by the absence of all three polymorphisms. CONCLUSION: Three CYP2B6 polymorphisms were independently associated with efavirenz estimated Cmin at genome-wide significance, and explained one-third of interindividual variability. These data will inform continued efforts to translate pharmacogenomic knowledge into optimal efavirenz utilization. © 2012 Wolters Kluwer Health | Lippincott Williams &amp; Wilkins.","author":[{"dropping-particle":"","family":"Holzinger","given":"Emily R.","non-dropping-particle":"","parse-names":false,"suffix":""},{"dropping-particle":"","family":"Grady","given":"Benjamin","non-dropping-particle":"","parse-names":false,"suffix":""},{"dropping-particle":"","family":"Ritchie","given":"Marylyn D.","non-dropping-particle":"","parse-names":false,"suffix":""},{"dropping-particle":"","family":"Ribaudo","given":"Heather J.","non-dropping-particle":"","parse-names":false,"suffix":""},{"dropping-particle":"","family":"Acosta","given":"Edward P.","non-dropping-particle":"","parse-names":false,"suffix":""},{"dropping-particle":"","family":"Morse","given":"Gene D.","non-dropping-particle":"","parse-names":false,"suffix":""},{"dropping-particle":"","family":"Gulick","given":"Roy M.","non-dropping-particle":"","parse-names":false,"suffix":""},{"dropping-particle":"","family":"Robbins","given":"Gregory K.","non-dropping-particle":"","parse-names":false,"suffix":""},{"dropping-particle":"","family":"Clifford","given":"David B.","non-dropping-particle":"","parse-names":false,"suffix":""},{"dropping-particle":"","family":"Daar","given":"Eric S.","non-dropping-particle":"","parse-names":false,"suffix":""},{"dropping-particle":"","family":"McLaren","given":"Paul","non-dropping-particle":"","parse-names":false,"suffix":""},{"dropping-particle":"","family":"Haas","given":"David W.","non-dropping-particle":"","parse-names":false,"suffix":""}],"container-title":"Pharmacogenetics and Genomics","id":"ITEM-1","issue":"12","issued":{"date-parts":[["2012"]]},"page":"858-867","title":"Genome-wide association study of plasma efavirenz pharmacokinetics in AIDS Clinical Trials Group protocols implicates several CYP2B6 variants","type":"article-journal","volume":"22"},"uris":["http://www.mendeley.com/documents/?uuid=317c7d93-36eb-4bf9-8c5e-4693e8dcc437"]}],"mendeley":{"formattedCitation":"&lt;sup&gt;16&lt;/sup&gt;","plainTextFormattedCitation":"16","previouslyFormattedCitation":"&lt;sup&gt;17&lt;/sup&gt;"},"properties":{"noteIndex":0},"schema":"https://github.com/citation-style-language/schema/raw/master/csl-citation.json"}</w:instrText>
      </w:r>
      <w:r w:rsidR="009F4900">
        <w:rPr>
          <w:rFonts w:ascii="Arial" w:hAnsi="Arial" w:cs="Arial"/>
          <w:sz w:val="22"/>
          <w:szCs w:val="22"/>
          <w:vertAlign w:val="superscript"/>
        </w:rPr>
        <w:fldChar w:fldCharType="separate"/>
      </w:r>
      <w:r w:rsidR="00FE7C39" w:rsidRPr="00FE7C39">
        <w:rPr>
          <w:rFonts w:ascii="Arial" w:hAnsi="Arial" w:cs="Arial"/>
          <w:noProof/>
          <w:sz w:val="22"/>
          <w:szCs w:val="22"/>
          <w:vertAlign w:val="superscript"/>
        </w:rPr>
        <w:t>16</w:t>
      </w:r>
      <w:r w:rsidR="009F4900">
        <w:rPr>
          <w:rFonts w:ascii="Arial" w:hAnsi="Arial" w:cs="Arial"/>
          <w:sz w:val="22"/>
          <w:szCs w:val="22"/>
          <w:vertAlign w:val="superscript"/>
        </w:rPr>
        <w:fldChar w:fldCharType="end"/>
      </w:r>
      <w:r w:rsidR="006204FE">
        <w:rPr>
          <w:rFonts w:ascii="Arial" w:hAnsi="Arial" w:cs="Arial"/>
          <w:bCs/>
          <w:sz w:val="22"/>
          <w:szCs w:val="22"/>
        </w:rPr>
        <w:t>.</w:t>
      </w:r>
      <w:r w:rsidR="00EB44BA">
        <w:rPr>
          <w:rFonts w:ascii="Arial" w:hAnsi="Arial" w:cs="Arial"/>
          <w:bCs/>
          <w:sz w:val="22"/>
          <w:szCs w:val="22"/>
        </w:rPr>
        <w:t xml:space="preserve"> Weight gain is </w:t>
      </w:r>
      <w:r w:rsidR="005A2F5A">
        <w:rPr>
          <w:rFonts w:ascii="Arial" w:hAnsi="Arial" w:cs="Arial"/>
          <w:bCs/>
          <w:sz w:val="22"/>
          <w:szCs w:val="22"/>
        </w:rPr>
        <w:t xml:space="preserve">associated with </w:t>
      </w:r>
      <w:r w:rsidR="00EB44BA">
        <w:rPr>
          <w:rFonts w:ascii="Arial" w:hAnsi="Arial" w:cs="Arial"/>
          <w:bCs/>
          <w:sz w:val="22"/>
          <w:szCs w:val="22"/>
        </w:rPr>
        <w:t xml:space="preserve">EFV </w:t>
      </w:r>
      <w:r w:rsidR="000F0A3E" w:rsidRPr="00805A39">
        <w:rPr>
          <w:rFonts w:ascii="Arial" w:hAnsi="Arial" w:cs="Arial"/>
          <w:sz w:val="22"/>
          <w:szCs w:val="22"/>
        </w:rPr>
        <w:t xml:space="preserve">cytochrome P450 (CYP) </w:t>
      </w:r>
      <w:r w:rsidR="000F0A3E">
        <w:rPr>
          <w:rFonts w:ascii="Arial" w:hAnsi="Arial" w:cs="Arial"/>
          <w:bCs/>
          <w:sz w:val="22"/>
          <w:szCs w:val="22"/>
        </w:rPr>
        <w:t>2B6</w:t>
      </w:r>
      <w:r w:rsidR="000F0A3E" w:rsidRPr="006C4B45">
        <w:rPr>
          <w:rFonts w:ascii="Arial" w:hAnsi="Arial" w:cs="Arial"/>
          <w:bCs/>
          <w:sz w:val="22"/>
          <w:szCs w:val="22"/>
        </w:rPr>
        <w:t xml:space="preserve"> </w:t>
      </w:r>
      <w:r w:rsidR="000F0A3E">
        <w:rPr>
          <w:rFonts w:ascii="Arial" w:hAnsi="Arial" w:cs="Arial"/>
          <w:bCs/>
          <w:sz w:val="22"/>
          <w:szCs w:val="22"/>
        </w:rPr>
        <w:t>(</w:t>
      </w:r>
      <w:r w:rsidR="00EB44BA" w:rsidRPr="00FE7C39">
        <w:rPr>
          <w:rFonts w:ascii="Arial" w:hAnsi="Arial" w:cs="Arial"/>
          <w:bCs/>
          <w:i/>
          <w:iCs/>
          <w:sz w:val="22"/>
          <w:szCs w:val="22"/>
        </w:rPr>
        <w:t>CYP2B6</w:t>
      </w:r>
      <w:r w:rsidR="000F0A3E">
        <w:rPr>
          <w:rFonts w:ascii="Arial" w:hAnsi="Arial" w:cs="Arial"/>
          <w:bCs/>
          <w:sz w:val="22"/>
          <w:szCs w:val="22"/>
        </w:rPr>
        <w:t>)</w:t>
      </w:r>
      <w:r w:rsidR="00EB44BA">
        <w:rPr>
          <w:rFonts w:ascii="Arial" w:hAnsi="Arial" w:cs="Arial"/>
          <w:bCs/>
          <w:sz w:val="22"/>
          <w:szCs w:val="22"/>
        </w:rPr>
        <w:t xml:space="preserve"> </w:t>
      </w:r>
      <w:proofErr w:type="spellStart"/>
      <w:r w:rsidR="00EB44BA">
        <w:rPr>
          <w:rFonts w:ascii="Arial" w:hAnsi="Arial" w:cs="Arial"/>
          <w:bCs/>
          <w:sz w:val="22"/>
          <w:szCs w:val="22"/>
        </w:rPr>
        <w:t>metaboliser</w:t>
      </w:r>
      <w:proofErr w:type="spellEnd"/>
      <w:r w:rsidR="00C8705F">
        <w:rPr>
          <w:rFonts w:ascii="Arial" w:hAnsi="Arial" w:cs="Arial"/>
          <w:bCs/>
          <w:sz w:val="22"/>
          <w:szCs w:val="22"/>
        </w:rPr>
        <w:t xml:space="preserve"> genotype</w:t>
      </w:r>
      <w:r w:rsidR="00EB44BA">
        <w:rPr>
          <w:rFonts w:ascii="Arial" w:hAnsi="Arial" w:cs="Arial"/>
          <w:bCs/>
          <w:sz w:val="22"/>
          <w:szCs w:val="22"/>
        </w:rPr>
        <w:t>s</w:t>
      </w:r>
      <w:r w:rsidR="00C8705F">
        <w:rPr>
          <w:rFonts w:ascii="Arial" w:hAnsi="Arial" w:cs="Arial"/>
          <w:bCs/>
          <w:sz w:val="22"/>
          <w:szCs w:val="22"/>
        </w:rPr>
        <w:t xml:space="preserve">, with extensive </w:t>
      </w:r>
      <w:proofErr w:type="spellStart"/>
      <w:r w:rsidR="00C8705F">
        <w:rPr>
          <w:rFonts w:ascii="Arial" w:hAnsi="Arial" w:cs="Arial"/>
          <w:bCs/>
          <w:sz w:val="22"/>
          <w:szCs w:val="22"/>
        </w:rPr>
        <w:t>metabolisers</w:t>
      </w:r>
      <w:proofErr w:type="spellEnd"/>
      <w:r w:rsidR="00C8705F">
        <w:rPr>
          <w:rFonts w:ascii="Arial" w:hAnsi="Arial" w:cs="Arial"/>
          <w:bCs/>
          <w:sz w:val="22"/>
          <w:szCs w:val="22"/>
        </w:rPr>
        <w:t xml:space="preserve"> gaining the most weight and slow </w:t>
      </w:r>
      <w:proofErr w:type="spellStart"/>
      <w:r w:rsidR="00C8705F">
        <w:rPr>
          <w:rFonts w:ascii="Arial" w:hAnsi="Arial" w:cs="Arial"/>
          <w:bCs/>
          <w:sz w:val="22"/>
          <w:szCs w:val="22"/>
        </w:rPr>
        <w:t>metabolisers</w:t>
      </w:r>
      <w:proofErr w:type="spellEnd"/>
      <w:r w:rsidR="00C8705F">
        <w:rPr>
          <w:rFonts w:ascii="Arial" w:hAnsi="Arial" w:cs="Arial"/>
          <w:bCs/>
          <w:sz w:val="22"/>
          <w:szCs w:val="22"/>
        </w:rPr>
        <w:t xml:space="preserve"> gaining the least weight;</w:t>
      </w:r>
      <w:r w:rsidR="008B07A5">
        <w:rPr>
          <w:rFonts w:ascii="Arial" w:hAnsi="Arial" w:cs="Arial"/>
          <w:bCs/>
          <w:sz w:val="22"/>
          <w:szCs w:val="22"/>
        </w:rPr>
        <w:t xml:space="preserve"> the mechanism is </w:t>
      </w:r>
      <w:proofErr w:type="spellStart"/>
      <w:r w:rsidR="000B3354">
        <w:rPr>
          <w:rFonts w:ascii="Arial" w:hAnsi="Arial" w:cs="Arial"/>
          <w:bCs/>
          <w:sz w:val="22"/>
          <w:szCs w:val="22"/>
        </w:rPr>
        <w:t>hypothesised</w:t>
      </w:r>
      <w:proofErr w:type="spellEnd"/>
      <w:r w:rsidR="000B3354">
        <w:rPr>
          <w:rFonts w:ascii="Arial" w:hAnsi="Arial" w:cs="Arial"/>
          <w:bCs/>
          <w:sz w:val="22"/>
          <w:szCs w:val="22"/>
        </w:rPr>
        <w:t xml:space="preserve"> to be due to off-target</w:t>
      </w:r>
      <w:r w:rsidR="008B07A5">
        <w:rPr>
          <w:rFonts w:ascii="Arial" w:hAnsi="Arial" w:cs="Arial"/>
          <w:bCs/>
          <w:sz w:val="22"/>
          <w:szCs w:val="22"/>
        </w:rPr>
        <w:t xml:space="preserve"> </w:t>
      </w:r>
      <w:r w:rsidR="00C8705F">
        <w:rPr>
          <w:rFonts w:ascii="Arial" w:hAnsi="Arial" w:cs="Arial"/>
          <w:bCs/>
          <w:sz w:val="22"/>
          <w:szCs w:val="22"/>
        </w:rPr>
        <w:t xml:space="preserve">concentration-dependent </w:t>
      </w:r>
      <w:r w:rsidR="00774CDA">
        <w:rPr>
          <w:rFonts w:ascii="Arial" w:hAnsi="Arial" w:cs="Arial"/>
          <w:bCs/>
          <w:sz w:val="22"/>
          <w:szCs w:val="22"/>
        </w:rPr>
        <w:t>EFV mediated toxicity</w:t>
      </w:r>
      <w:r w:rsidR="00E01854">
        <w:rPr>
          <w:rFonts w:ascii="Arial" w:hAnsi="Arial" w:cs="Arial"/>
          <w:bCs/>
          <w:sz w:val="22"/>
          <w:szCs w:val="22"/>
        </w:rPr>
        <w:t xml:space="preserve"> and impaired adipocyte differentiation</w:t>
      </w:r>
      <w:r w:rsidR="00242B46">
        <w:rPr>
          <w:rFonts w:ascii="Arial" w:hAnsi="Arial" w:cs="Arial"/>
          <w:bCs/>
          <w:sz w:val="22"/>
          <w:szCs w:val="22"/>
        </w:rPr>
        <w:t xml:space="preserve"> in slow and intermediate </w:t>
      </w:r>
      <w:proofErr w:type="spellStart"/>
      <w:r w:rsidR="00242B46">
        <w:rPr>
          <w:rFonts w:ascii="Arial" w:hAnsi="Arial" w:cs="Arial"/>
          <w:bCs/>
          <w:sz w:val="22"/>
          <w:szCs w:val="22"/>
        </w:rPr>
        <w:t>metabolisers</w:t>
      </w:r>
      <w:proofErr w:type="spellEnd"/>
      <w:r w:rsidR="00E01854">
        <w:rPr>
          <w:rFonts w:ascii="Arial" w:hAnsi="Arial" w:cs="Arial"/>
          <w:bCs/>
          <w:sz w:val="22"/>
          <w:szCs w:val="22"/>
        </w:rPr>
        <w:t xml:space="preserve">. Chronic central nervous system (CNS) efavirenz toxicity </w:t>
      </w:r>
      <w:r w:rsidR="00DA5471">
        <w:rPr>
          <w:rFonts w:ascii="Arial" w:hAnsi="Arial" w:cs="Arial"/>
          <w:bCs/>
          <w:sz w:val="22"/>
          <w:szCs w:val="22"/>
        </w:rPr>
        <w:t>could also impair appetite</w:t>
      </w:r>
      <w:r w:rsidR="00E01854">
        <w:rPr>
          <w:rFonts w:ascii="Arial" w:hAnsi="Arial" w:cs="Arial"/>
          <w:bCs/>
          <w:sz w:val="22"/>
          <w:szCs w:val="22"/>
        </w:rPr>
        <w:t xml:space="preserve"> </w:t>
      </w:r>
      <w:r w:rsidR="00E01854">
        <w:rPr>
          <w:rFonts w:ascii="Arial" w:hAnsi="Arial" w:cs="Arial"/>
          <w:bCs/>
          <w:sz w:val="22"/>
          <w:szCs w:val="22"/>
        </w:rPr>
        <w:fldChar w:fldCharType="begin" w:fldLock="1"/>
      </w:r>
      <w:r w:rsidR="00FE7C39">
        <w:rPr>
          <w:rFonts w:ascii="Arial" w:hAnsi="Arial" w:cs="Arial"/>
          <w:bCs/>
          <w:sz w:val="22"/>
          <w:szCs w:val="22"/>
        </w:rPr>
        <w:instrText>ADDIN CSL_CITATION {"citationItems":[{"id":"ITEM-1","itemData":{"DOI":"10.1093/cid/ciaa1073","ISSN":"1058-4838","abstract":"Background. Dolutegravir is associated with more weight gain than efavirenz. Loss-of-function polymorphisms in CYP2B6 result in higher efavirenz concentrations, which we hypothesized would impair weight gain among people living with human immu-nodeficiency virus (HIV; PLWH) starting efavirenz-based antiretroviral therapy (ART). Methods. We studied ART-naive participants from the ADVANCE study randomized to the efavirenz /emtricitabine/tenofovir disoproxil fumarate (TDF) and dolutegravir/emtricitabine/TDF arms. We compared changes in weight and regional fat on DXA from baseline to week 48 between CYP2B6 metabolizer genotypes in the efavirenz arm, and with the dolutegravir arm. Results. There were 342 participants in the dolutegravir arm and 168 in the efavirenz arm who consented to genotyping. Baseline characteristics were similar. Weight gain was greater in women than men. In the efavirenz arm CYP2B6 metaboliser genotype was associated with weight gain (P = .009), with extensive metabolizers gaining the most weight, and with changes in regional fat in women, but not in men. Weight gain was similar in CYP2B6 extensive metabolizers in the efavirenz arm and in the dolutegravir arm (P = .836). The following variables were independently associated with weight gain in all participants: baseline CD4 count, baseline human immunodeficiency virus type 1 (HIV-1) RNA, and CYP2B6 metaboliser genotype. Conclusions. CYP2B6 metaboliser genotype was associated with weight gain in PLWH starting efavirenz-based ART. Weight gain was similar between CYP2B6 extensive metabolizers in the efavirenz arm and in the dolutegravir arm, suggesting that impaired weight gain among CYP2B6 slow or intermediate metabolizers could explain the increased weight gain on dolutegravir compared with efavirenz observed in ADVANCE and other studies.","author":[{"dropping-particle":"","family":"Griesel","given":"Rulan","non-dropping-particle":"","parse-names":false,"suffix":""},{"dropping-particle":"","family":"Maartens","given":"Gary","non-dropping-particle":"","parse-names":false,"suffix":""},{"dropping-particle":"","family":"Chirehwa","given":"Maxwell","non-dropping-particle":"","parse-names":false,"suffix":""},{"dropping-particle":"","family":"Sokhela","given":"Simiso","non-dropping-particle":"","parse-names":false,"suffix":""},{"dropping-particle":"","family":"Akpomiemie","given":"Godspower","non-dropping-particle":"","parse-names":false,"suffix":""},{"dropping-particle":"","family":"Moorhouse","given":"Michelle","non-dropping-particle":"","parse-names":false,"suffix":""},{"dropping-particle":"","family":"Venter","given":"Francois","non-dropping-particle":"","parse-names":false,"suffix":""},{"dropping-particle":"","family":"Sinxadi","given":"Phumla","non-dropping-particle":"","parse-names":false,"suffix":""}],"container-title":"Clinical Infectious Diseases","id":"ITEM-1","issue":"Xx","issued":{"date-parts":[["2020"]]},"page":"2-9","title":"CYP2B6 Genotype and Weight Gain Differences Between Dolutegravir and Efavirenz","type":"article-journal"},"uris":["http://www.mendeley.com/documents/?uuid=0000770b-5c2f-4b68-87c9-a3987785105f"]}],"mendeley":{"formattedCitation":"&lt;sup&gt;15&lt;/sup&gt;","plainTextFormattedCitation":"15","previouslyFormattedCitation":"&lt;sup&gt;16&lt;/sup&gt;"},"properties":{"noteIndex":0},"schema":"https://github.com/citation-style-language/schema/raw/master/csl-citation.json"}</w:instrText>
      </w:r>
      <w:r w:rsidR="00E01854">
        <w:rPr>
          <w:rFonts w:ascii="Arial" w:hAnsi="Arial" w:cs="Arial"/>
          <w:bCs/>
          <w:sz w:val="22"/>
          <w:szCs w:val="22"/>
        </w:rPr>
        <w:fldChar w:fldCharType="separate"/>
      </w:r>
      <w:r w:rsidR="00FE7C39" w:rsidRPr="00FE7C39">
        <w:rPr>
          <w:rFonts w:ascii="Arial" w:hAnsi="Arial" w:cs="Arial"/>
          <w:bCs/>
          <w:noProof/>
          <w:sz w:val="22"/>
          <w:szCs w:val="22"/>
          <w:vertAlign w:val="superscript"/>
        </w:rPr>
        <w:t>15</w:t>
      </w:r>
      <w:r w:rsidR="00E01854">
        <w:rPr>
          <w:rFonts w:ascii="Arial" w:hAnsi="Arial" w:cs="Arial"/>
          <w:bCs/>
          <w:sz w:val="22"/>
          <w:szCs w:val="22"/>
        </w:rPr>
        <w:fldChar w:fldCharType="end"/>
      </w:r>
      <w:r w:rsidR="00B20121">
        <w:rPr>
          <w:rFonts w:ascii="Arial" w:hAnsi="Arial" w:cs="Arial"/>
          <w:bCs/>
          <w:sz w:val="22"/>
          <w:szCs w:val="22"/>
        </w:rPr>
        <w:t>.</w:t>
      </w:r>
      <w:r w:rsidR="006204FE">
        <w:rPr>
          <w:rFonts w:ascii="Arial" w:hAnsi="Arial" w:cs="Arial"/>
          <w:bCs/>
          <w:sz w:val="22"/>
          <w:szCs w:val="22"/>
        </w:rPr>
        <w:t xml:space="preserve"> The formation of </w:t>
      </w:r>
      <w:r w:rsidR="00E97CED">
        <w:rPr>
          <w:rFonts w:ascii="Arial" w:hAnsi="Arial" w:cs="Arial"/>
          <w:bCs/>
          <w:sz w:val="22"/>
          <w:szCs w:val="22"/>
        </w:rPr>
        <w:t>8-OH-EFV</w:t>
      </w:r>
      <w:r w:rsidR="006204FE">
        <w:rPr>
          <w:rFonts w:ascii="Arial" w:hAnsi="Arial" w:cs="Arial"/>
          <w:bCs/>
          <w:sz w:val="22"/>
          <w:szCs w:val="22"/>
        </w:rPr>
        <w:t xml:space="preserve"> </w:t>
      </w:r>
      <w:r w:rsidR="00E97CED">
        <w:rPr>
          <w:rFonts w:ascii="Arial" w:hAnsi="Arial" w:cs="Arial"/>
          <w:bCs/>
          <w:sz w:val="22"/>
          <w:szCs w:val="22"/>
        </w:rPr>
        <w:t>has been hypothesized</w:t>
      </w:r>
      <w:r w:rsidR="00E96CFA">
        <w:rPr>
          <w:rFonts w:ascii="Arial" w:hAnsi="Arial" w:cs="Arial"/>
          <w:bCs/>
          <w:sz w:val="22"/>
          <w:szCs w:val="22"/>
        </w:rPr>
        <w:t xml:space="preserve"> but not clinically proven</w:t>
      </w:r>
      <w:r w:rsidR="00E97CED">
        <w:rPr>
          <w:rFonts w:ascii="Arial" w:hAnsi="Arial" w:cs="Arial"/>
          <w:bCs/>
          <w:sz w:val="22"/>
          <w:szCs w:val="22"/>
        </w:rPr>
        <w:t xml:space="preserve"> to be </w:t>
      </w:r>
      <w:r w:rsidR="00E12F0F">
        <w:rPr>
          <w:rFonts w:ascii="Arial" w:hAnsi="Arial" w:cs="Arial"/>
          <w:bCs/>
          <w:sz w:val="22"/>
          <w:szCs w:val="22"/>
        </w:rPr>
        <w:t xml:space="preserve">associated </w:t>
      </w:r>
      <w:r w:rsidR="00E97CED">
        <w:rPr>
          <w:rFonts w:ascii="Arial" w:hAnsi="Arial" w:cs="Arial"/>
          <w:bCs/>
          <w:sz w:val="22"/>
          <w:szCs w:val="22"/>
        </w:rPr>
        <w:t xml:space="preserve">with </w:t>
      </w:r>
      <w:r w:rsidR="00E12F0F">
        <w:rPr>
          <w:rFonts w:ascii="Arial" w:hAnsi="Arial" w:cs="Arial"/>
          <w:bCs/>
          <w:sz w:val="22"/>
          <w:szCs w:val="22"/>
        </w:rPr>
        <w:t>neurotoxicity in PWLH</w:t>
      </w:r>
      <w:r w:rsidR="00C8705F">
        <w:rPr>
          <w:rFonts w:ascii="Arial" w:hAnsi="Arial" w:cs="Arial"/>
          <w:bCs/>
          <w:sz w:val="22"/>
          <w:szCs w:val="22"/>
        </w:rPr>
        <w:t>;</w:t>
      </w:r>
      <w:r w:rsidR="00695CE9">
        <w:rPr>
          <w:rFonts w:ascii="Arial" w:hAnsi="Arial" w:cs="Arial"/>
          <w:bCs/>
          <w:sz w:val="22"/>
          <w:szCs w:val="22"/>
        </w:rPr>
        <w:t xml:space="preserve"> its association with weight gain is unknown</w:t>
      </w:r>
      <w:r w:rsidR="009F4900">
        <w:rPr>
          <w:rFonts w:ascii="Arial" w:hAnsi="Arial" w:cs="Arial"/>
          <w:bCs/>
          <w:sz w:val="22"/>
          <w:szCs w:val="22"/>
        </w:rPr>
        <w:t xml:space="preserve"> </w:t>
      </w:r>
      <w:r w:rsidR="009F4900">
        <w:rPr>
          <w:rFonts w:ascii="Arial" w:hAnsi="Arial" w:cs="Arial"/>
          <w:bCs/>
          <w:sz w:val="22"/>
          <w:szCs w:val="22"/>
        </w:rPr>
        <w:fldChar w:fldCharType="begin" w:fldLock="1"/>
      </w:r>
      <w:r w:rsidR="00FE7C39">
        <w:rPr>
          <w:rFonts w:ascii="Arial" w:hAnsi="Arial" w:cs="Arial"/>
          <w:bCs/>
          <w:sz w:val="22"/>
          <w:szCs w:val="22"/>
        </w:rPr>
        <w:instrText>ADDIN CSL_CITATION {"citationItems":[{"id":"ITEM-1","itemData":{"DOI":"10.1007/s13365-012-0120-3","ISSN":"13550284","PMID":"22811264","abstract":"Combination antiretroviral therapy (CART) has proven to effectively suppress systemic HIV burden, however, poor penetration into the central nervous system (CNS) provides incomplete protection. Although the severity of HIV-associated neurocognitive disorders (HAND) has been reduced, neurological disease is expected to exert an increasing burden as HIV-infected patients live longer. Strategies to enhance penetration of antiretroviral compounds into the CNS could help to control HIV replication in this reservoir but also carries an increased risk of neurotoxicity. Efforts to target antiretroviral compounds to the CNS will have to balance these risks against the potential gain. Unfortunately, little information is available on the actions of antiretroviral compounds in the CNS, particularly at concentrations that provide effective virus suppression. The current studies evaluated the direct effects of 15 antiretroviral compounds on neurons to begin to provide basic neurotoxicity data that will serve as a foundation for the development of dosing and drug selection guidelines. Using sensitive indices of neural damage, we found a wide range of toxicities, with median toxic concentrations ranging from 2 to 10,000 ng/ml. Some toxic concentrations overlapped concentrations currently seen in the CSF but the level of toxicity was generally modest at clinically relevant concentrations. Highest neurotoxicities were associated with abacavir, efavarenz, etravirine, nevaripine, and atazanavir, while the lowest were with darunavir, emtracitabine, tenofovir, and maraviroc. No additive effects were seen with combinations used clinically. These data provide initial evidence useful for the development of treatment strategies that might reduce the risk of antiretroviral neurotoxicity. © Journal of NeuroVirology, Inc. 2012.","author":[{"dropping-particle":"","family":"Robertson","given":"Kevin","non-dropping-particle":"","parse-names":false,"suffix":""},{"dropping-particle":"","family":"Liner","given":"Jeff","non-dropping-particle":"","parse-names":false,"suffix":""},{"dropping-particle":"","family":"Meeker","given":"Rick B.","non-dropping-particle":"","parse-names":false,"suffix":""}],"container-title":"Journal of NeuroVirology","id":"ITEM-1","issue":"5","issued":{"date-parts":[["2012"]]},"page":"388-399","title":"Antiretroviral neurotoxicity","type":"article-journal","volume":"18"},"uris":["http://www.mendeley.com/documents/?uuid=d0370e07-bff2-4277-a72c-bca02b84598e"]}],"mendeley":{"formattedCitation":"&lt;sup&gt;17&lt;/sup&gt;","plainTextFormattedCitation":"17","previouslyFormattedCitation":"&lt;sup&gt;18&lt;/sup&gt;"},"properties":{"noteIndex":0},"schema":"https://github.com/citation-style-language/schema/raw/master/csl-citation.json"}</w:instrText>
      </w:r>
      <w:r w:rsidR="009F4900">
        <w:rPr>
          <w:rFonts w:ascii="Arial" w:hAnsi="Arial" w:cs="Arial"/>
          <w:bCs/>
          <w:sz w:val="22"/>
          <w:szCs w:val="22"/>
        </w:rPr>
        <w:fldChar w:fldCharType="separate"/>
      </w:r>
      <w:r w:rsidR="00FE7C39" w:rsidRPr="00FE7C39">
        <w:rPr>
          <w:rFonts w:ascii="Arial" w:hAnsi="Arial" w:cs="Arial"/>
          <w:bCs/>
          <w:noProof/>
          <w:sz w:val="22"/>
          <w:szCs w:val="22"/>
          <w:vertAlign w:val="superscript"/>
        </w:rPr>
        <w:t>17</w:t>
      </w:r>
      <w:r w:rsidR="009F4900">
        <w:rPr>
          <w:rFonts w:ascii="Arial" w:hAnsi="Arial" w:cs="Arial"/>
          <w:bCs/>
          <w:sz w:val="22"/>
          <w:szCs w:val="22"/>
        </w:rPr>
        <w:fldChar w:fldCharType="end"/>
      </w:r>
      <w:r w:rsidR="009F4900" w:rsidRPr="00805A39">
        <w:rPr>
          <w:rFonts w:ascii="Arial" w:hAnsi="Arial" w:cs="Arial"/>
          <w:sz w:val="22"/>
          <w:szCs w:val="22"/>
          <w:vertAlign w:val="superscript"/>
        </w:rPr>
        <w:t>,</w:t>
      </w:r>
      <w:r w:rsidR="009F4900">
        <w:rPr>
          <w:rFonts w:ascii="Arial" w:hAnsi="Arial" w:cs="Arial"/>
          <w:sz w:val="22"/>
          <w:szCs w:val="22"/>
          <w:vertAlign w:val="superscript"/>
        </w:rPr>
        <w:fldChar w:fldCharType="begin" w:fldLock="1"/>
      </w:r>
      <w:r w:rsidR="00FE7C39">
        <w:rPr>
          <w:rFonts w:ascii="Arial" w:hAnsi="Arial" w:cs="Arial"/>
          <w:sz w:val="22"/>
          <w:szCs w:val="22"/>
          <w:vertAlign w:val="superscript"/>
        </w:rPr>
        <w:instrText>ADDIN CSL_CITATION {"citationItems":[{"id":"ITEM-1","itemData":{"DOI":"10.1124/jpet.112.195701","ISSN":"00223565","PMID":"22984227","abstract":"Despite combination antiretroviral therapies (cARTs), a significant proportion of HIV-infected patients develop HIV-associated neurocognitive disorders (HAND). Ongoing viral replication in the central nervous system (CNS) caused by poor brain penetration of cART may contribute to HAND. However, it has also been proposed that the toxic effects of long-term cART may contribute to HAND. A better understanding of the neurotoxic potential of cART is critically needed in light of the use of CNS-penetrating cARTs to contend with the virus reservoir in the brain. The efavirenz (EFV) metabolites 7-hydroxyefavirenz (7-OH-EFV) and 8-hydroxyefavirenz (8-OH-EFV) were synthesized and purified, and their chemical structures were confirmed by mass spectrometry and NMR. The effects of EFV, 7-OH-EFV, and 8-OH-EFV on calcium, dendritic spine morphology, and survival were determined in primary neurons. EFV, 7-OH-EFV, and 8-OH-EFV each induced neuronal damage in a dose-dependent manner. However, 8-OH-EFV was at least an order of magnitude more toxic than EFV or 7-OH-EFV, inducing considerable damage to dendritic spines at a 10 nM concentration. The 8-OH-EFV metabolite evoked calcium flux in neurons, which was mediated primarily by L-type voltage-operated calcium channels (VOCCs). Blockade of L-type VOCCs protected dendritic spines from 8-OH-EFV-induced damage. Concentrations of EFV and 8-OH-EFV in the cerebral spinal fluid of HIV-infected subjects taking EFV were within the range that damaged neurons in culture. These findings demonstrate that the 8-OH metabolite of EFV is a potent neurotoxin and highlight the importance of directly determining the effects of antiretroviral drugs and drug metabolites on neurons and other brain cells. © 2012 by The American Society for Pharmacology and Experimental Therapeutics.","author":[{"dropping-particle":"","family":"Tovar-y-Romo","given":"Luis B.","non-dropping-particle":"","parse-names":false,"suffix":""},{"dropping-particle":"","family":"Bumpus","given":"Namandjé N.","non-dropping-particle":"","parse-names":false,"suffix":""},{"dropping-particle":"","family":"Pomerantz","given":"Daniel","non-dropping-particle":"","parse-names":false,"suffix":""},{"dropping-particle":"","family":"Avery","given":"Lindsay B.","non-dropping-particle":"","parse-names":false,"suffix":""},{"dropping-particle":"","family":"Sacktor","given":"Ned","non-dropping-particle":"","parse-names":false,"suffix":""},{"dropping-particle":"","family":"McArthur","given":"Justin C.","non-dropping-particle":"","parse-names":false,"suffix":""},{"dropping-particle":"","family":"Haughey","given":"Norman J.","non-dropping-particle":"","parse-names":false,"suffix":""}],"container-title":"Journal of Pharmacology and Experimental Therapeutics","id":"ITEM-1","issue":"3","issued":{"date-parts":[["2012"]]},"page":"696-703","title":"Dendritic spine injury induced by the 8-hydroxy metabolite of efavirenz","type":"article-journal","volume":"343"},"uris":["http://www.mendeley.com/documents/?uuid=df335e41-0220-4e48-83ec-465cfe9295bb"]}],"mendeley":{"formattedCitation":"&lt;sup&gt;18&lt;/sup&gt;","plainTextFormattedCitation":"18","previouslyFormattedCitation":"&lt;sup&gt;19&lt;/sup&gt;"},"properties":{"noteIndex":0},"schema":"https://github.com/citation-style-language/schema/raw/master/csl-citation.json"}</w:instrText>
      </w:r>
      <w:r w:rsidR="009F4900">
        <w:rPr>
          <w:rFonts w:ascii="Arial" w:hAnsi="Arial" w:cs="Arial"/>
          <w:sz w:val="22"/>
          <w:szCs w:val="22"/>
          <w:vertAlign w:val="superscript"/>
        </w:rPr>
        <w:fldChar w:fldCharType="separate"/>
      </w:r>
      <w:r w:rsidR="00FE7C39" w:rsidRPr="00FE7C39">
        <w:rPr>
          <w:rFonts w:ascii="Arial" w:hAnsi="Arial" w:cs="Arial"/>
          <w:noProof/>
          <w:sz w:val="22"/>
          <w:szCs w:val="22"/>
          <w:vertAlign w:val="superscript"/>
        </w:rPr>
        <w:t>18</w:t>
      </w:r>
      <w:r w:rsidR="009F4900">
        <w:rPr>
          <w:rFonts w:ascii="Arial" w:hAnsi="Arial" w:cs="Arial"/>
          <w:sz w:val="22"/>
          <w:szCs w:val="22"/>
          <w:vertAlign w:val="superscript"/>
        </w:rPr>
        <w:fldChar w:fldCharType="end"/>
      </w:r>
      <w:r w:rsidR="009F4900" w:rsidRPr="00805A39">
        <w:rPr>
          <w:rFonts w:ascii="Arial" w:hAnsi="Arial" w:cs="Arial"/>
          <w:sz w:val="22"/>
          <w:szCs w:val="22"/>
          <w:vertAlign w:val="superscript"/>
        </w:rPr>
        <w:t>,</w:t>
      </w:r>
      <w:r w:rsidR="009F4900">
        <w:rPr>
          <w:rFonts w:ascii="Arial" w:hAnsi="Arial" w:cs="Arial"/>
          <w:sz w:val="22"/>
          <w:szCs w:val="22"/>
          <w:vertAlign w:val="superscript"/>
        </w:rPr>
        <w:fldChar w:fldCharType="begin" w:fldLock="1"/>
      </w:r>
      <w:r w:rsidR="00FE7C39">
        <w:rPr>
          <w:rFonts w:ascii="Arial" w:hAnsi="Arial" w:cs="Arial"/>
          <w:sz w:val="22"/>
          <w:szCs w:val="22"/>
          <w:vertAlign w:val="superscript"/>
        </w:rPr>
        <w:instrText xml:space="preserve">ADDIN CSL_CITATION {"citationItems":[{"id":"ITEM-1","itemData":{"DOI":"10.1093/jac/dky481","ISSN":"0305-7453","PMID":"30535366","abstract":"Background There are limited data on the pharmacogenetics and pharmacokinetics of the CNS penetration of efavirenz. Objectives We investigated genetic polymorphisms associated with CSF concentrations of efavirenz and its metabolites and explored the relationships with neurocognitive performance. Methods We included 47 HIV-infected South African black adults with and without HIV-associated neurocognitive disorder on efavirenz/tenofovir/emtricitabine and collected paired plasma-CSF samples. We considered 2049 SNPs, including SNPs known to affect plasma efavirenz exposure, from potentially relevant genes (ABCC5, ABCG2, ABCB1, SLCO2B1, SCLO1A2, ABCC4, CYP2B6 and CYP2A6) and 880 met a linkage disequilibrium (LD)-pruning threshold. Results We identified 9 slow, 21 intermediate and 17 extensive metabolizers. The CYP2B6 983 genotype in multivariate analyses predicted log10-transformed concentrations of plasma efavirenz (β = 0.38, P = 2.7 × 10-03), plasma 7-hydroxy-efavirenz (β = 0.59, P = 3.7 × 10-03), plasma 8-hydroxy-efavirenz:efavirenz ratio (β = -0.31, P = 1.8 × 10-04) and CSF efavirenz (β = 0.36, P = 0.01). Lower plasma </w:instrText>
      </w:r>
      <w:r w:rsidR="00FE7C39">
        <w:rPr>
          <w:rFonts w:ascii="Arial" w:hAnsi="Arial" w:cs="Arial" w:hint="eastAsia"/>
          <w:sz w:val="22"/>
          <w:szCs w:val="22"/>
          <w:vertAlign w:val="superscript"/>
        </w:rPr>
        <w:instrText>7-hydroxy-efavirenz concentrations were independently associated with CYP2A6 rs10853742 (</w:instrText>
      </w:r>
      <w:r w:rsidR="00FE7C39">
        <w:rPr>
          <w:rFonts w:ascii="Arial" w:hAnsi="Arial" w:cs="Arial" w:hint="eastAsia"/>
          <w:sz w:val="22"/>
          <w:szCs w:val="22"/>
          <w:vertAlign w:val="superscript"/>
        </w:rPr>
        <w:instrText>β</w:instrText>
      </w:r>
      <w:r w:rsidR="00FE7C39">
        <w:rPr>
          <w:rFonts w:ascii="Arial" w:hAnsi="Arial" w:cs="Arial" w:hint="eastAsia"/>
          <w:sz w:val="22"/>
          <w:szCs w:val="22"/>
          <w:vertAlign w:val="superscript"/>
        </w:rPr>
        <w:instrText xml:space="preserve"> = -0.55, P = 3.5 </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 xml:space="preserve"> 10-05), ABCB1 rs115780656 (</w:instrText>
      </w:r>
      <w:r w:rsidR="00FE7C39">
        <w:rPr>
          <w:rFonts w:ascii="Arial" w:hAnsi="Arial" w:cs="Arial" w:hint="eastAsia"/>
          <w:sz w:val="22"/>
          <w:szCs w:val="22"/>
          <w:vertAlign w:val="superscript"/>
        </w:rPr>
        <w:instrText>β</w:instrText>
      </w:r>
      <w:r w:rsidR="00FE7C39">
        <w:rPr>
          <w:rFonts w:ascii="Arial" w:hAnsi="Arial" w:cs="Arial" w:hint="eastAsia"/>
          <w:sz w:val="22"/>
          <w:szCs w:val="22"/>
          <w:vertAlign w:val="superscript"/>
        </w:rPr>
        <w:instrText xml:space="preserve"> = -0.65, P = 4.1 </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 xml:space="preserve"> 10-05) and CYP2A6 -48A</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C (</w:instrText>
      </w:r>
      <w:r w:rsidR="00FE7C39">
        <w:rPr>
          <w:rFonts w:ascii="Arial" w:hAnsi="Arial" w:cs="Arial" w:hint="eastAsia"/>
          <w:sz w:val="22"/>
          <w:szCs w:val="22"/>
          <w:vertAlign w:val="superscript"/>
        </w:rPr>
        <w:instrText>β</w:instrText>
      </w:r>
      <w:r w:rsidR="00FE7C39">
        <w:rPr>
          <w:rFonts w:ascii="Arial" w:hAnsi="Arial" w:cs="Arial" w:hint="eastAsia"/>
          <w:sz w:val="22"/>
          <w:szCs w:val="22"/>
          <w:vertAlign w:val="superscript"/>
        </w:rPr>
        <w:instrText xml:space="preserve"> = -0.59, P = 0.01). CYP2A6 -48A</w:instrText>
      </w:r>
      <w:r w:rsidR="00FE7C39">
        <w:rPr>
          <w:rFonts w:ascii="Arial" w:hAnsi="Arial" w:cs="Arial" w:hint="eastAsia"/>
          <w:sz w:val="22"/>
          <w:szCs w:val="22"/>
          <w:vertAlign w:val="superscript"/>
        </w:rPr>
        <w:instrText>→</w:instrText>
      </w:r>
      <w:r w:rsidR="00FE7C39">
        <w:rPr>
          <w:rFonts w:ascii="Arial" w:hAnsi="Arial" w:cs="Arial" w:hint="eastAsia"/>
          <w:sz w:val="22"/>
          <w:szCs w:val="22"/>
          <w:vertAlign w:val="superscript"/>
        </w:rPr>
        <w:instrText>C was independently associated with h</w:instrText>
      </w:r>
      <w:r w:rsidR="00FE7C39">
        <w:rPr>
          <w:rFonts w:ascii="Arial" w:hAnsi="Arial" w:cs="Arial"/>
          <w:sz w:val="22"/>
          <w:szCs w:val="22"/>
          <w:vertAlign w:val="superscript"/>
        </w:rPr>
        <w:instrText>igher CSF 8-hydroxy-efavirenz:efavirenz ratio (β = 0.54, P = 0.048). CYP2B6 rs2279345 polymorphism was associated with lower plasma 7-hydroxy-efavirenz:efavirenz ratio in multivariate analyses (P &lt; 0.05). No polymorphisms were associated with CSF:plasma ratios of efavirenz, plasma or CSF concentrations of 8-hydroxy-efavirenz or neurocognitive performance. Conclusions We identified novel genetic associations with plasma efavirenz, plasma 7-hydroxy-efavirenz, plasma 7-hydroxy-efavirenz:efavirenz ratio, plasma 8-hydroxy-efavirenz:efavirenz ratio, CSF efavirenz and CSF 8-hydroxy-efavirenz:efavirenz ratio.","author":[{"dropping-particle":"","family":"Decloedt","given":"Eric","non-dropping-particle":"","parse-names":false,"suffix":""},{"dropping-particle":"","family":"Joska","given":"John A","non-dropping-particle":"","parse-names":false,"suffix":""},{"dropping-particle":"","family":"Wiesner","given":"Lubbe","non-dropping-particle":"","parse-names":false,"suffix":""},{"dropping-particle":"","family":"Khoo","given":"Saye","non-dropping-particle":"","parse-names":false,"suffix":""},{"dropping-particle":"","family":"Maartens","given":"Gary","non-dropping-particle":"","parse-names":false,"suffix":""},{"dropping-particle":"","family":"Zyl","given":"Gert U","non-dropping-particle":"van","parse-names":false,"suffix":""},{"dropping-particle":"","family":"Haas","given":"David W","non-dropping-particle":"","parse-names":false,"suffix":""},{"dropping-particle":"","family":"Sinxadi","given":"Phumla Z","non-dropping-particle":"","parse-names":false,"suffix":""}],"container-title":"Journal of Antimicrobial Chemotherapy","id":"ITEM-1","issued":{"date-parts":[["2019"]]},"title":"Pharmacogenetics and pharmacokinetics of CNS penetration of efavirenz and its metabolites","type":"article-journal"},"uris":["http://www.mendeley.com/documents/?uuid=7641d8bb-6824-4291-8906-e9e984ef05fc"]}],"mendeley":{"formattedCitation":"&lt;sup&gt;19&lt;/sup&gt;","plainTextFormattedCitation":"19","previouslyFormattedCitation":"&lt;sup&gt;20&lt;/sup&gt;"},"properties":{"noteIndex":0},"schema":"https://github.com/citation-style-language/schema/raw/master/csl-citation.json"}</w:instrText>
      </w:r>
      <w:r w:rsidR="009F4900">
        <w:rPr>
          <w:rFonts w:ascii="Arial" w:hAnsi="Arial" w:cs="Arial"/>
          <w:sz w:val="22"/>
          <w:szCs w:val="22"/>
          <w:vertAlign w:val="superscript"/>
        </w:rPr>
        <w:fldChar w:fldCharType="separate"/>
      </w:r>
      <w:r w:rsidR="00FE7C39" w:rsidRPr="00FE7C39">
        <w:rPr>
          <w:rFonts w:ascii="Arial" w:hAnsi="Arial" w:cs="Arial"/>
          <w:noProof/>
          <w:sz w:val="22"/>
          <w:szCs w:val="22"/>
          <w:vertAlign w:val="superscript"/>
        </w:rPr>
        <w:t>19</w:t>
      </w:r>
      <w:r w:rsidR="009F4900">
        <w:rPr>
          <w:rFonts w:ascii="Arial" w:hAnsi="Arial" w:cs="Arial"/>
          <w:sz w:val="22"/>
          <w:szCs w:val="22"/>
          <w:vertAlign w:val="superscript"/>
        </w:rPr>
        <w:fldChar w:fldCharType="end"/>
      </w:r>
      <w:r w:rsidR="007006E1">
        <w:rPr>
          <w:rFonts w:ascii="Arial" w:hAnsi="Arial" w:cs="Arial"/>
          <w:bCs/>
          <w:sz w:val="22"/>
          <w:szCs w:val="22"/>
        </w:rPr>
        <w:t>.</w:t>
      </w:r>
      <w:r w:rsidR="007F1EA6">
        <w:rPr>
          <w:rFonts w:ascii="Arial" w:hAnsi="Arial" w:cs="Arial"/>
          <w:bCs/>
          <w:sz w:val="22"/>
          <w:szCs w:val="22"/>
        </w:rPr>
        <w:t xml:space="preserve"> </w:t>
      </w:r>
    </w:p>
    <w:p w14:paraId="57074675" w14:textId="77777777" w:rsidR="002E5A39" w:rsidRPr="008F7509" w:rsidRDefault="002E5A39" w:rsidP="00292D0F">
      <w:pPr>
        <w:spacing w:line="480" w:lineRule="auto"/>
        <w:jc w:val="both"/>
        <w:rPr>
          <w:rFonts w:ascii="Arial" w:hAnsi="Arial" w:cs="Arial"/>
          <w:sz w:val="22"/>
          <w:szCs w:val="22"/>
        </w:rPr>
      </w:pPr>
    </w:p>
    <w:p w14:paraId="4D26D849" w14:textId="5D9F1B57" w:rsidR="002E5A39" w:rsidRDefault="002E5A39" w:rsidP="00292D0F">
      <w:pPr>
        <w:spacing w:line="480" w:lineRule="auto"/>
        <w:jc w:val="both"/>
        <w:rPr>
          <w:rFonts w:ascii="Arial" w:hAnsi="Arial" w:cs="Arial"/>
          <w:sz w:val="22"/>
          <w:szCs w:val="22"/>
        </w:rPr>
      </w:pPr>
      <w:r>
        <w:rPr>
          <w:rFonts w:ascii="Arial" w:hAnsi="Arial" w:cs="Arial"/>
          <w:sz w:val="22"/>
          <w:szCs w:val="22"/>
        </w:rPr>
        <w:t xml:space="preserve">In the present study we </w:t>
      </w:r>
      <w:r w:rsidRPr="008F7509">
        <w:rPr>
          <w:rFonts w:ascii="Arial" w:hAnsi="Arial" w:cs="Arial"/>
          <w:sz w:val="22"/>
          <w:szCs w:val="22"/>
        </w:rPr>
        <w:t>investigate</w:t>
      </w:r>
      <w:r>
        <w:rPr>
          <w:rFonts w:ascii="Arial" w:hAnsi="Arial" w:cs="Arial"/>
          <w:sz w:val="22"/>
          <w:szCs w:val="22"/>
        </w:rPr>
        <w:t>d</w:t>
      </w:r>
      <w:r w:rsidRPr="008F7509">
        <w:rPr>
          <w:rFonts w:ascii="Arial" w:hAnsi="Arial" w:cs="Arial"/>
          <w:sz w:val="22"/>
          <w:szCs w:val="22"/>
        </w:rPr>
        <w:t xml:space="preserve"> the pharmacokinetics of </w:t>
      </w:r>
      <w:r w:rsidR="00956A2B">
        <w:rPr>
          <w:rFonts w:ascii="Arial" w:hAnsi="Arial" w:cs="Arial"/>
          <w:sz w:val="22"/>
          <w:szCs w:val="22"/>
        </w:rPr>
        <w:t>EFV</w:t>
      </w:r>
      <w:r>
        <w:rPr>
          <w:rFonts w:ascii="Arial" w:hAnsi="Arial" w:cs="Arial"/>
          <w:sz w:val="22"/>
          <w:szCs w:val="22"/>
        </w:rPr>
        <w:t>, 8-</w:t>
      </w:r>
      <w:r w:rsidR="00956A2B">
        <w:rPr>
          <w:rFonts w:ascii="Arial" w:hAnsi="Arial" w:cs="Arial"/>
          <w:sz w:val="22"/>
          <w:szCs w:val="22"/>
        </w:rPr>
        <w:t>OH</w:t>
      </w:r>
      <w:r>
        <w:rPr>
          <w:rFonts w:ascii="Arial" w:hAnsi="Arial" w:cs="Arial"/>
          <w:sz w:val="22"/>
          <w:szCs w:val="22"/>
        </w:rPr>
        <w:t>-</w:t>
      </w:r>
      <w:r w:rsidR="00956A2B">
        <w:rPr>
          <w:rFonts w:ascii="Arial" w:hAnsi="Arial" w:cs="Arial"/>
          <w:sz w:val="22"/>
          <w:szCs w:val="22"/>
        </w:rPr>
        <w:t>EFV</w:t>
      </w:r>
      <w:r>
        <w:rPr>
          <w:rFonts w:ascii="Arial" w:hAnsi="Arial" w:cs="Arial"/>
          <w:sz w:val="22"/>
          <w:szCs w:val="22"/>
        </w:rPr>
        <w:t xml:space="preserve">, </w:t>
      </w:r>
      <w:r w:rsidR="00956A2B">
        <w:rPr>
          <w:rFonts w:ascii="Arial" w:hAnsi="Arial" w:cs="Arial"/>
          <w:sz w:val="22"/>
          <w:szCs w:val="22"/>
        </w:rPr>
        <w:t>TFV</w:t>
      </w:r>
      <w:r>
        <w:rPr>
          <w:rFonts w:ascii="Arial" w:hAnsi="Arial" w:cs="Arial"/>
          <w:sz w:val="22"/>
          <w:szCs w:val="22"/>
        </w:rPr>
        <w:t xml:space="preserve">, and </w:t>
      </w:r>
      <w:r w:rsidR="00956A2B">
        <w:rPr>
          <w:rFonts w:ascii="Arial" w:hAnsi="Arial" w:cs="Arial"/>
          <w:sz w:val="22"/>
          <w:szCs w:val="22"/>
        </w:rPr>
        <w:t>FTC</w:t>
      </w:r>
      <w:r w:rsidDel="00E440DA">
        <w:rPr>
          <w:rFonts w:ascii="Arial" w:hAnsi="Arial" w:cs="Arial"/>
          <w:sz w:val="22"/>
          <w:szCs w:val="22"/>
        </w:rPr>
        <w:t xml:space="preserve"> </w:t>
      </w:r>
      <w:r>
        <w:rPr>
          <w:rFonts w:ascii="Arial" w:hAnsi="Arial" w:cs="Arial"/>
          <w:sz w:val="22"/>
          <w:szCs w:val="22"/>
        </w:rPr>
        <w:t xml:space="preserve">in obese and non-obese PLWH from South Africa using mid-dose sampling. We assessed </w:t>
      </w:r>
      <w:r w:rsidRPr="008F7509">
        <w:rPr>
          <w:rFonts w:ascii="Arial" w:hAnsi="Arial" w:cs="Arial"/>
          <w:sz w:val="22"/>
          <w:szCs w:val="22"/>
        </w:rPr>
        <w:t>difference</w:t>
      </w:r>
      <w:r>
        <w:rPr>
          <w:rFonts w:ascii="Arial" w:hAnsi="Arial" w:cs="Arial"/>
          <w:sz w:val="22"/>
          <w:szCs w:val="22"/>
        </w:rPr>
        <w:t>s</w:t>
      </w:r>
      <w:r w:rsidRPr="008F7509">
        <w:rPr>
          <w:rFonts w:ascii="Arial" w:hAnsi="Arial" w:cs="Arial"/>
          <w:sz w:val="22"/>
          <w:szCs w:val="22"/>
        </w:rPr>
        <w:t xml:space="preserve"> in pharmacokinetics</w:t>
      </w:r>
      <w:r>
        <w:rPr>
          <w:rFonts w:ascii="Arial" w:hAnsi="Arial" w:cs="Arial"/>
          <w:sz w:val="22"/>
          <w:szCs w:val="22"/>
        </w:rPr>
        <w:t xml:space="preserve"> using BMI, </w:t>
      </w:r>
      <w:r w:rsidR="00A931F0">
        <w:rPr>
          <w:rFonts w:ascii="Arial" w:hAnsi="Arial" w:cs="Arial"/>
          <w:sz w:val="22"/>
          <w:szCs w:val="22"/>
        </w:rPr>
        <w:t>WC</w:t>
      </w:r>
      <w:r w:rsidRPr="008F7509">
        <w:rPr>
          <w:rFonts w:ascii="Arial" w:hAnsi="Arial" w:cs="Arial"/>
          <w:sz w:val="22"/>
          <w:szCs w:val="22"/>
        </w:rPr>
        <w:t xml:space="preserve"> and </w:t>
      </w:r>
      <w:r w:rsidR="00A931F0">
        <w:rPr>
          <w:rFonts w:ascii="Arial" w:hAnsi="Arial" w:cs="Arial"/>
          <w:sz w:val="22"/>
          <w:szCs w:val="22"/>
        </w:rPr>
        <w:t>WHR</w:t>
      </w:r>
      <w:r w:rsidRPr="008F7509">
        <w:rPr>
          <w:rFonts w:ascii="Arial" w:hAnsi="Arial" w:cs="Arial"/>
          <w:sz w:val="22"/>
          <w:szCs w:val="22"/>
        </w:rPr>
        <w:t xml:space="preserve"> </w:t>
      </w:r>
      <w:r>
        <w:rPr>
          <w:rFonts w:ascii="Arial" w:hAnsi="Arial" w:cs="Arial"/>
          <w:sz w:val="22"/>
          <w:szCs w:val="22"/>
        </w:rPr>
        <w:t>as measures of obesity</w:t>
      </w:r>
      <w:r w:rsidR="00B036E5">
        <w:rPr>
          <w:rFonts w:ascii="Arial" w:hAnsi="Arial" w:cs="Arial"/>
          <w:sz w:val="22"/>
          <w:szCs w:val="22"/>
        </w:rPr>
        <w:t xml:space="preserve"> </w:t>
      </w:r>
      <w:r w:rsidR="00B036E5" w:rsidRPr="002554B2">
        <w:rPr>
          <w:rFonts w:ascii="Arial" w:hAnsi="Arial" w:cs="Arial"/>
          <w:sz w:val="22"/>
          <w:szCs w:val="22"/>
        </w:rPr>
        <w:t>and abdominal obesity</w:t>
      </w:r>
      <w:r w:rsidRPr="008F7509">
        <w:rPr>
          <w:rFonts w:ascii="Arial" w:hAnsi="Arial" w:cs="Arial"/>
          <w:sz w:val="22"/>
          <w:szCs w:val="22"/>
        </w:rPr>
        <w:t>.</w:t>
      </w:r>
      <w:r>
        <w:rPr>
          <w:rFonts w:ascii="Arial" w:hAnsi="Arial" w:cs="Arial"/>
          <w:sz w:val="22"/>
          <w:szCs w:val="22"/>
        </w:rPr>
        <w:t xml:space="preserve"> </w:t>
      </w:r>
      <w:r w:rsidR="00C8705F">
        <w:rPr>
          <w:rFonts w:ascii="Arial" w:hAnsi="Arial" w:cs="Arial"/>
          <w:sz w:val="22"/>
          <w:szCs w:val="22"/>
        </w:rPr>
        <w:t>Finally</w:t>
      </w:r>
      <w:r>
        <w:rPr>
          <w:rFonts w:ascii="Arial" w:hAnsi="Arial" w:cs="Arial"/>
          <w:sz w:val="22"/>
          <w:szCs w:val="22"/>
        </w:rPr>
        <w:t xml:space="preserve">, we explored differences in the immunovirological </w:t>
      </w:r>
      <w:r w:rsidR="002554B2">
        <w:rPr>
          <w:rFonts w:ascii="Arial" w:hAnsi="Arial" w:cs="Arial"/>
          <w:sz w:val="22"/>
          <w:szCs w:val="22"/>
        </w:rPr>
        <w:t>parameters</w:t>
      </w:r>
      <w:r w:rsidR="0009614A">
        <w:rPr>
          <w:rFonts w:ascii="Arial" w:hAnsi="Arial" w:cs="Arial"/>
          <w:sz w:val="22"/>
          <w:szCs w:val="22"/>
        </w:rPr>
        <w:t xml:space="preserve"> (HIV viral load and CD4+ T cell count)</w:t>
      </w:r>
      <w:r>
        <w:rPr>
          <w:rFonts w:ascii="Arial" w:hAnsi="Arial" w:cs="Arial"/>
          <w:sz w:val="22"/>
          <w:szCs w:val="22"/>
        </w:rPr>
        <w:t xml:space="preserve"> in the obese and non-obese groups.</w:t>
      </w:r>
    </w:p>
    <w:p w14:paraId="76BDD32A" w14:textId="77777777" w:rsidR="0058224E" w:rsidRDefault="0058224E" w:rsidP="00292D0F">
      <w:pPr>
        <w:spacing w:line="480" w:lineRule="auto"/>
        <w:jc w:val="both"/>
        <w:rPr>
          <w:rFonts w:ascii="Arial" w:hAnsi="Arial" w:cs="Arial"/>
          <w:sz w:val="22"/>
          <w:szCs w:val="22"/>
        </w:rPr>
      </w:pPr>
    </w:p>
    <w:p w14:paraId="30EE912F" w14:textId="77777777" w:rsidR="000309E3" w:rsidRPr="00260CF6" w:rsidRDefault="000309E3">
      <w:pPr>
        <w:pStyle w:val="Heading1"/>
        <w:ind w:firstLine="0"/>
        <w:rPr>
          <w:rFonts w:ascii="Arial" w:hAnsi="Arial" w:cs="Arial"/>
          <w:sz w:val="22"/>
          <w:szCs w:val="22"/>
        </w:rPr>
      </w:pPr>
      <w:r w:rsidRPr="00260CF6">
        <w:rPr>
          <w:rFonts w:ascii="Arial" w:hAnsi="Arial" w:cs="Arial"/>
          <w:sz w:val="22"/>
          <w:szCs w:val="22"/>
        </w:rPr>
        <w:t>Methods</w:t>
      </w:r>
    </w:p>
    <w:p w14:paraId="4D36CA7F" w14:textId="0DA09623" w:rsidR="000309E3" w:rsidRDefault="00950E86" w:rsidP="00292D0F">
      <w:pPr>
        <w:spacing w:line="480" w:lineRule="auto"/>
        <w:jc w:val="both"/>
        <w:rPr>
          <w:rFonts w:ascii="Arial" w:hAnsi="Arial" w:cs="Arial"/>
          <w:sz w:val="22"/>
          <w:szCs w:val="22"/>
        </w:rPr>
      </w:pPr>
      <w:r>
        <w:rPr>
          <w:rFonts w:ascii="Arial" w:hAnsi="Arial" w:cs="Arial"/>
          <w:b/>
          <w:i/>
          <w:sz w:val="22"/>
          <w:szCs w:val="22"/>
        </w:rPr>
        <w:t>Participants</w:t>
      </w:r>
      <w:r w:rsidR="000309E3" w:rsidRPr="00805A39">
        <w:rPr>
          <w:rFonts w:ascii="Arial" w:hAnsi="Arial" w:cs="Arial"/>
          <w:b/>
          <w:i/>
          <w:sz w:val="22"/>
          <w:szCs w:val="22"/>
        </w:rPr>
        <w:t xml:space="preserve">: </w:t>
      </w:r>
      <w:r w:rsidR="007E39B2" w:rsidRPr="00360C5E">
        <w:rPr>
          <w:rFonts w:ascii="Arial" w:hAnsi="Arial" w:cs="Arial"/>
          <w:bCs/>
          <w:sz w:val="22"/>
          <w:szCs w:val="22"/>
        </w:rPr>
        <w:t>We conducted a retrospective cross-sectional secondary data analysis</w:t>
      </w:r>
      <w:r w:rsidR="000309E3">
        <w:rPr>
          <w:rFonts w:ascii="Arial" w:hAnsi="Arial" w:cs="Arial"/>
          <w:bCs/>
          <w:iCs/>
          <w:sz w:val="22"/>
          <w:szCs w:val="22"/>
        </w:rPr>
        <w:t xml:space="preserve"> </w:t>
      </w:r>
      <w:r w:rsidR="000F62E1">
        <w:rPr>
          <w:rFonts w:ascii="Arial" w:hAnsi="Arial" w:cs="Arial"/>
          <w:bCs/>
          <w:iCs/>
          <w:sz w:val="22"/>
          <w:szCs w:val="22"/>
        </w:rPr>
        <w:t xml:space="preserve">from </w:t>
      </w:r>
      <w:r w:rsidR="000309E3">
        <w:rPr>
          <w:rFonts w:ascii="Arial" w:hAnsi="Arial" w:cs="Arial"/>
          <w:bCs/>
          <w:iCs/>
          <w:sz w:val="22"/>
          <w:szCs w:val="22"/>
        </w:rPr>
        <w:t>two separate cohort studies</w:t>
      </w:r>
      <w:r w:rsidR="0079072D">
        <w:rPr>
          <w:rFonts w:ascii="Arial" w:hAnsi="Arial" w:cs="Arial"/>
          <w:bCs/>
          <w:iCs/>
          <w:sz w:val="22"/>
          <w:szCs w:val="22"/>
        </w:rPr>
        <w:t>:</w:t>
      </w:r>
      <w:r w:rsidR="00AA5548">
        <w:rPr>
          <w:rFonts w:ascii="Arial" w:hAnsi="Arial" w:cs="Arial"/>
          <w:bCs/>
          <w:iCs/>
          <w:sz w:val="22"/>
          <w:szCs w:val="22"/>
        </w:rPr>
        <w:t xml:space="preserve"> a </w:t>
      </w:r>
      <w:r w:rsidR="00C71AD5">
        <w:rPr>
          <w:rFonts w:ascii="Arial" w:hAnsi="Arial" w:cs="Arial"/>
          <w:bCs/>
          <w:iCs/>
          <w:sz w:val="22"/>
          <w:szCs w:val="22"/>
        </w:rPr>
        <w:t>Cape Town cohort</w:t>
      </w:r>
      <w:r w:rsidR="00AA5548">
        <w:rPr>
          <w:rFonts w:ascii="Arial" w:hAnsi="Arial" w:cs="Arial"/>
          <w:bCs/>
          <w:iCs/>
          <w:sz w:val="22"/>
          <w:szCs w:val="22"/>
        </w:rPr>
        <w:t xml:space="preserve"> </w:t>
      </w:r>
      <w:r w:rsidR="00C412AF">
        <w:rPr>
          <w:rFonts w:ascii="Arial" w:hAnsi="Arial" w:cs="Arial"/>
          <w:bCs/>
          <w:iCs/>
          <w:sz w:val="22"/>
          <w:szCs w:val="22"/>
        </w:rPr>
        <w:t xml:space="preserve">and </w:t>
      </w:r>
      <w:r w:rsidR="000F62E1">
        <w:rPr>
          <w:rFonts w:ascii="Arial" w:hAnsi="Arial" w:cs="Arial"/>
          <w:bCs/>
          <w:iCs/>
          <w:sz w:val="22"/>
          <w:szCs w:val="22"/>
        </w:rPr>
        <w:t xml:space="preserve">a </w:t>
      </w:r>
      <w:r w:rsidR="003B10A9">
        <w:rPr>
          <w:rFonts w:ascii="Arial" w:hAnsi="Arial" w:cs="Arial"/>
          <w:bCs/>
          <w:iCs/>
          <w:sz w:val="22"/>
          <w:szCs w:val="22"/>
        </w:rPr>
        <w:t xml:space="preserve">cohort study </w:t>
      </w:r>
      <w:r w:rsidR="0034776E">
        <w:rPr>
          <w:rFonts w:ascii="Arial" w:hAnsi="Arial" w:cs="Arial"/>
          <w:bCs/>
          <w:iCs/>
          <w:sz w:val="22"/>
          <w:szCs w:val="22"/>
        </w:rPr>
        <w:t>which includ</w:t>
      </w:r>
      <w:r w:rsidR="00C71AD5">
        <w:rPr>
          <w:rFonts w:ascii="Arial" w:hAnsi="Arial" w:cs="Arial"/>
          <w:bCs/>
          <w:iCs/>
          <w:sz w:val="22"/>
          <w:szCs w:val="22"/>
        </w:rPr>
        <w:t>ed</w:t>
      </w:r>
      <w:r w:rsidR="0034776E">
        <w:rPr>
          <w:rFonts w:ascii="Arial" w:hAnsi="Arial" w:cs="Arial"/>
          <w:bCs/>
          <w:iCs/>
          <w:sz w:val="22"/>
          <w:szCs w:val="22"/>
        </w:rPr>
        <w:t xml:space="preserve"> participants </w:t>
      </w:r>
      <w:r w:rsidR="003B10A9">
        <w:rPr>
          <w:rFonts w:ascii="Arial" w:hAnsi="Arial" w:cs="Arial"/>
          <w:bCs/>
          <w:iCs/>
          <w:sz w:val="22"/>
          <w:szCs w:val="22"/>
        </w:rPr>
        <w:t>from the surrounding areas of Cape Town</w:t>
      </w:r>
      <w:r w:rsidR="000F62E1">
        <w:rPr>
          <w:rFonts w:ascii="Arial" w:hAnsi="Arial" w:cs="Arial"/>
          <w:bCs/>
          <w:iCs/>
          <w:sz w:val="22"/>
          <w:szCs w:val="22"/>
        </w:rPr>
        <w:t xml:space="preserve"> (</w:t>
      </w:r>
      <w:proofErr w:type="spellStart"/>
      <w:r w:rsidR="000F62E1">
        <w:rPr>
          <w:rFonts w:ascii="Arial" w:hAnsi="Arial" w:cs="Arial"/>
          <w:bCs/>
          <w:iCs/>
          <w:sz w:val="22"/>
          <w:szCs w:val="22"/>
        </w:rPr>
        <w:t>EndoAfrica</w:t>
      </w:r>
      <w:proofErr w:type="spellEnd"/>
      <w:r w:rsidR="00C71AD5">
        <w:rPr>
          <w:rFonts w:ascii="Arial" w:hAnsi="Arial" w:cs="Arial"/>
          <w:bCs/>
          <w:iCs/>
          <w:sz w:val="22"/>
          <w:szCs w:val="22"/>
        </w:rPr>
        <w:t xml:space="preserve"> cohort</w:t>
      </w:r>
      <w:r w:rsidR="000F62E1">
        <w:rPr>
          <w:rFonts w:ascii="Arial" w:hAnsi="Arial" w:cs="Arial"/>
          <w:bCs/>
          <w:iCs/>
          <w:sz w:val="22"/>
          <w:szCs w:val="22"/>
        </w:rPr>
        <w:t xml:space="preserve">) </w:t>
      </w:r>
      <w:r w:rsidR="000309E3">
        <w:rPr>
          <w:rFonts w:ascii="Arial" w:hAnsi="Arial" w:cs="Arial"/>
          <w:sz w:val="22"/>
          <w:szCs w:val="22"/>
        </w:rPr>
        <w:fldChar w:fldCharType="begin" w:fldLock="1"/>
      </w:r>
      <w:r w:rsidR="00FE7C39">
        <w:rPr>
          <w:rFonts w:ascii="Arial" w:hAnsi="Arial" w:cs="Arial"/>
          <w:sz w:val="22"/>
          <w:szCs w:val="22"/>
        </w:rPr>
        <w:instrText xml:space="preserve">ADDIN CSL_CITATION {"citationItems":[{"id":"ITEM-1","itemData":{"DOI":"10.1093/jac/dky481","ISSN":"0305-7453","PMID":"30535366","abstract":"Background There are limited data on the pharmacogenetics and pharmacokinetics of the CNS penetration of efavirenz. Objectives We investigated genetic polymorphisms associated with CSF concentrations of efavirenz and its metabolites and explored the relationships with neurocognitive performance. Methods We included 47 HIV-infected South African black adults with and without HIV-associated neurocognitive disorder on efavirenz/tenofovir/emtricitabine and collected paired plasma-CSF samples. We considered 2049 SNPs, including SNPs known to affect plasma efavirenz exposure, from potentially relevant genes (ABCC5, ABCG2, ABCB1, SLCO2B1, SCLO1A2, ABCC4, CYP2B6 and CYP2A6) and 880 met a linkage disequilibrium (LD)-pruning threshold. Results We identified 9 slow, 21 intermediate and 17 extensive metabolizers. The CYP2B6 983 genotype in multivariate analyses predicted log10-transformed concentrations of plasma efavirenz (β = 0.38, P = 2.7 × 10-03), plasma 7-hydroxy-efavirenz (β = 0.59, P = 3.7 × 10-03), plasma 8-hydroxy-efavirenz:efavirenz ratio (β = -0.31, P = 1.8 × 10-04) and CSF efavirenz (β = 0.36, P = 0.01). Lower plasma </w:instrText>
      </w:r>
      <w:r w:rsidR="00FE7C39">
        <w:rPr>
          <w:rFonts w:ascii="Arial" w:hAnsi="Arial" w:cs="Arial" w:hint="eastAsia"/>
          <w:sz w:val="22"/>
          <w:szCs w:val="22"/>
        </w:rPr>
        <w:instrText>7-hydroxy-efavirenz concentrations were independently associated with CYP2A6 rs10853742 (</w:instrText>
      </w:r>
      <w:r w:rsidR="00FE7C39">
        <w:rPr>
          <w:rFonts w:ascii="Arial" w:hAnsi="Arial" w:cs="Arial" w:hint="eastAsia"/>
          <w:sz w:val="22"/>
          <w:szCs w:val="22"/>
        </w:rPr>
        <w:instrText>β</w:instrText>
      </w:r>
      <w:r w:rsidR="00FE7C39">
        <w:rPr>
          <w:rFonts w:ascii="Arial" w:hAnsi="Arial" w:cs="Arial" w:hint="eastAsia"/>
          <w:sz w:val="22"/>
          <w:szCs w:val="22"/>
        </w:rPr>
        <w:instrText xml:space="preserve"> = -0.55, P = 3.5 </w:instrText>
      </w:r>
      <w:r w:rsidR="00FE7C39">
        <w:rPr>
          <w:rFonts w:ascii="Arial" w:hAnsi="Arial" w:cs="Arial" w:hint="eastAsia"/>
          <w:sz w:val="22"/>
          <w:szCs w:val="22"/>
        </w:rPr>
        <w:instrText>×</w:instrText>
      </w:r>
      <w:r w:rsidR="00FE7C39">
        <w:rPr>
          <w:rFonts w:ascii="Arial" w:hAnsi="Arial" w:cs="Arial" w:hint="eastAsia"/>
          <w:sz w:val="22"/>
          <w:szCs w:val="22"/>
        </w:rPr>
        <w:instrText xml:space="preserve"> 10-05), ABCB1 rs115780656 (</w:instrText>
      </w:r>
      <w:r w:rsidR="00FE7C39">
        <w:rPr>
          <w:rFonts w:ascii="Arial" w:hAnsi="Arial" w:cs="Arial" w:hint="eastAsia"/>
          <w:sz w:val="22"/>
          <w:szCs w:val="22"/>
        </w:rPr>
        <w:instrText>β</w:instrText>
      </w:r>
      <w:r w:rsidR="00FE7C39">
        <w:rPr>
          <w:rFonts w:ascii="Arial" w:hAnsi="Arial" w:cs="Arial" w:hint="eastAsia"/>
          <w:sz w:val="22"/>
          <w:szCs w:val="22"/>
        </w:rPr>
        <w:instrText xml:space="preserve"> = -0.65, P = 4.1 </w:instrText>
      </w:r>
      <w:r w:rsidR="00FE7C39">
        <w:rPr>
          <w:rFonts w:ascii="Arial" w:hAnsi="Arial" w:cs="Arial" w:hint="eastAsia"/>
          <w:sz w:val="22"/>
          <w:szCs w:val="22"/>
        </w:rPr>
        <w:instrText>×</w:instrText>
      </w:r>
      <w:r w:rsidR="00FE7C39">
        <w:rPr>
          <w:rFonts w:ascii="Arial" w:hAnsi="Arial" w:cs="Arial" w:hint="eastAsia"/>
          <w:sz w:val="22"/>
          <w:szCs w:val="22"/>
        </w:rPr>
        <w:instrText xml:space="preserve"> 10-05) and CYP2A6 -48A</w:instrText>
      </w:r>
      <w:r w:rsidR="00FE7C39">
        <w:rPr>
          <w:rFonts w:ascii="Arial" w:hAnsi="Arial" w:cs="Arial" w:hint="eastAsia"/>
          <w:sz w:val="22"/>
          <w:szCs w:val="22"/>
        </w:rPr>
        <w:instrText>→</w:instrText>
      </w:r>
      <w:r w:rsidR="00FE7C39">
        <w:rPr>
          <w:rFonts w:ascii="Arial" w:hAnsi="Arial" w:cs="Arial" w:hint="eastAsia"/>
          <w:sz w:val="22"/>
          <w:szCs w:val="22"/>
        </w:rPr>
        <w:instrText>C (</w:instrText>
      </w:r>
      <w:r w:rsidR="00FE7C39">
        <w:rPr>
          <w:rFonts w:ascii="Arial" w:hAnsi="Arial" w:cs="Arial" w:hint="eastAsia"/>
          <w:sz w:val="22"/>
          <w:szCs w:val="22"/>
        </w:rPr>
        <w:instrText>β</w:instrText>
      </w:r>
      <w:r w:rsidR="00FE7C39">
        <w:rPr>
          <w:rFonts w:ascii="Arial" w:hAnsi="Arial" w:cs="Arial" w:hint="eastAsia"/>
          <w:sz w:val="22"/>
          <w:szCs w:val="22"/>
        </w:rPr>
        <w:instrText xml:space="preserve"> = -0.59, P = 0.01). CYP2A6 -48A</w:instrText>
      </w:r>
      <w:r w:rsidR="00FE7C39">
        <w:rPr>
          <w:rFonts w:ascii="Arial" w:hAnsi="Arial" w:cs="Arial" w:hint="eastAsia"/>
          <w:sz w:val="22"/>
          <w:szCs w:val="22"/>
        </w:rPr>
        <w:instrText>→</w:instrText>
      </w:r>
      <w:r w:rsidR="00FE7C39">
        <w:rPr>
          <w:rFonts w:ascii="Arial" w:hAnsi="Arial" w:cs="Arial" w:hint="eastAsia"/>
          <w:sz w:val="22"/>
          <w:szCs w:val="22"/>
        </w:rPr>
        <w:instrText>C was independently associated with h</w:instrText>
      </w:r>
      <w:r w:rsidR="00FE7C39">
        <w:rPr>
          <w:rFonts w:ascii="Arial" w:hAnsi="Arial" w:cs="Arial"/>
          <w:sz w:val="22"/>
          <w:szCs w:val="22"/>
        </w:rPr>
        <w:instrText>igher CSF 8-hydroxy-efavirenz:efavirenz ratio (β = 0.54, P = 0.048). CYP2B6 rs2279345 polymorphism was associated with lower plasma 7-hydroxy-efavirenz:efavirenz ratio in multivariate analyses (P &lt; 0.05). No polymorphisms were associated with CSF:plasma ratios of efavirenz, plasma or CSF concentrations of 8-hydroxy-efavirenz or neurocognitive performance. Conclusions We identified novel genetic associations with plasma efavirenz, plasma 7-hydroxy-efavirenz, plasma 7-hydroxy-efavirenz:efavirenz ratio, plasma 8-hydroxy-efavirenz:efavirenz ratio, CSF efavirenz and CSF 8-hydroxy-efavirenz:efavirenz ratio.","author":[{"dropping-particle":"","family":"Decloedt","given":"Eric","non-dropping-particle":"","parse-names":false,"suffix":""},{"dropping-particle":"","family":"Joska","given":"John A","non-dropping-particle":"","parse-names":false,"suffix":""},{"dropping-particle":"","family":"Wiesner","given":"Lubbe","non-dropping-particle":"","parse-names":false,"suffix":""},{"dropping-particle":"","family":"Khoo","given":"Saye","non-dropping-particle":"","parse-names":false,"suffix":""},{"dropping-particle":"","family":"Maartens","given":"Gary","non-dropping-particle":"","parse-names":false,"suffix":""},{"dropping-particle":"","family":"Zyl","given":"Gert U","non-dropping-particle":"van","parse-names":false,"suffix":""},{"dropping-particle":"","family":"Haas","given":"David W","non-dropping-particle":"","parse-names":false,"suffix":""},{"dropping-particle":"","family":"Sinxadi","given":"Phumla Z","non-dropping-particle":"","parse-names":false,"suffix":""}],"container-title":"Journal of Antimicrobial Chemotherapy","id":"ITEM-1","issued":{"date-parts":[["2019"]]},"title":"Pharmacogenetics and pharmacokinetics of CNS penetration of efavirenz and its metabolites","type":"article-journal"},"uris":["http://www.mendeley.com/documents/?uuid=7641d8bb-6824-4291-8906-e9e984ef05fc"]}],"mendeley":{"formattedCitation":"&lt;sup&gt;19&lt;/sup&gt;","plainTextFormattedCitation":"19","previouslyFormattedCitation":"&lt;sup&gt;20&lt;/sup&gt;"},"properties":{"noteIndex":0},"schema":"https://github.com/citation-style-language/schema/raw/master/csl-citation.json"}</w:instrText>
      </w:r>
      <w:r w:rsidR="000309E3">
        <w:rPr>
          <w:rFonts w:ascii="Arial" w:hAnsi="Arial" w:cs="Arial"/>
          <w:sz w:val="22"/>
          <w:szCs w:val="22"/>
        </w:rPr>
        <w:fldChar w:fldCharType="separate"/>
      </w:r>
      <w:r w:rsidR="00FE7C39" w:rsidRPr="00FE7C39">
        <w:rPr>
          <w:rFonts w:ascii="Arial" w:hAnsi="Arial" w:cs="Arial"/>
          <w:noProof/>
          <w:sz w:val="22"/>
          <w:szCs w:val="22"/>
          <w:vertAlign w:val="superscript"/>
        </w:rPr>
        <w:t>19</w:t>
      </w:r>
      <w:r w:rsidR="000309E3">
        <w:rPr>
          <w:rFonts w:ascii="Arial" w:hAnsi="Arial" w:cs="Arial"/>
          <w:sz w:val="22"/>
          <w:szCs w:val="22"/>
        </w:rPr>
        <w:fldChar w:fldCharType="end"/>
      </w:r>
      <w:r w:rsidR="000309E3" w:rsidRPr="000E71EE">
        <w:rPr>
          <w:rFonts w:ascii="Arial" w:hAnsi="Arial" w:cs="Arial"/>
          <w:sz w:val="22"/>
          <w:szCs w:val="22"/>
          <w:vertAlign w:val="superscript"/>
        </w:rPr>
        <w:t>,</w:t>
      </w:r>
      <w:r w:rsidR="000309E3">
        <w:rPr>
          <w:rFonts w:ascii="Arial" w:hAnsi="Arial" w:cs="Arial"/>
          <w:sz w:val="22"/>
          <w:szCs w:val="22"/>
        </w:rPr>
        <w:fldChar w:fldCharType="begin" w:fldLock="1"/>
      </w:r>
      <w:r w:rsidR="00FE7C39">
        <w:rPr>
          <w:rFonts w:ascii="Arial" w:hAnsi="Arial" w:cs="Arial"/>
          <w:sz w:val="22"/>
          <w:szCs w:val="22"/>
        </w:rPr>
        <w:instrText>ADDIN CSL_CITATION {"citationItems":[{"id":"ITEM-1","itemData":{"DOI":"10.1186/s12879-016-2158-y","ISSN":"14712334","PMID":"28061822","abstract":"BACKGROUND There is growing evidence of an interaction between HIV-infection, anti-retroviral therapy (ART) and cardiovascular diseases (CVD). Epidemiological studies in Europe and North America have been observing a shift towards an increased incidence of coronary heart disease and acute myocardial infarctions in HIV-infected populations compared to the general population even after adjusting for traditional cardiovascular risk factors. Despite South Africa (and sub-Saharan Africa, SSA) being regarded as the epicentre of the global HIV epidemic, very little is known about the prevalence of cardiovascular risk factors and precursors of vascular disease in HIV-infected populations in this region. The knowledge gap is further widened by the paucity of data from prospective studies. We present the rationale, objectives and key methodological features of the EndoAfrica study, which aims to determine whether HIV-infection and ART are associated with altered cardiovascular risk and changes in vascular endothelial structure and function in adults living in the Western Cape Province of South Africa. METHODS In this longitudinal study, comprehensive cardiovascular assessments of HIV-negative and HIV-positive (with and without ART) study participants are performed by clinical and biochemical screening for traditional cardiovascular risk factors and biomarkers of CVD. Vascular and endothelial function is determined by brachial artery flow-mediated dilatation (FMD), carotid-intima-thickness (IMT) measurements and quantitative retinal blood vessel analyses, complemented by vascular endothelial biomarker assays. Finally, we aim to statistically determine whether HIV-infection and/or ART are associated with increased cardiovascular risk and vascular endothelial dysfunction, and determine whether there is progression/regression in these endpoints 18 months after the baseline assessments. DISCUSSION The EndoAfrica study provides a unique opportunity to recruit a cohort of HIV-infected patients and HIV-negative controls who will be comprehensively and longitudinally assessed for cardiovascular risk and disease profile with vascular endothelial function as a potentially important intermediate cardiovascular phenotype. To our knowledge, it is the first time that such a systematic study has been established in the context of SSA and South Africa.","author":[{"dropping-particle":"","family":"Strijdom","given":"Hans","non-dropping-particle":"","parse-names":false,"suffix":""},{"dropping-particle":"","family":"Boever","given":"Patrick","non-dropping-particle":"De","parse-names":false,"suffix":""},{"dropping-particle":"","family":"Walzl","given":"Gerhard","non-dropping-particle":"","parse-names":false,"suffix":""},{"dropping-particle":"","family":"Essop","given":"M. Faadiel","non-dropping-particle":"","parse-names":false,"suffix":""},{"dropping-particle":"","family":"Nawrot","given":"Tim S.","non-dropping-particle":"","parse-names":false,"suffix":""},{"dropping-particle":"","family":"Webster","given":"Ingrid","non-dropping-particle":"","parse-names":false,"suffix":""},{"dropping-particle":"","family":"Westcott","given":"Corli","non-dropping-particle":"","parse-names":false,"suffix":""},{"dropping-particle":"","family":"Mashele","given":"Nyiko","non-dropping-particle":"","parse-names":false,"suffix":""},{"dropping-particle":"","family":"Everson","given":"Frans","non-dropping-particle":"","parse-names":false,"suffix":""},{"dropping-particle":"","family":"Malherbe","given":"Stephanus T.","non-dropping-particle":"","parse-names":false,"suffix":""},{"dropping-particle":"","family":"Stanley","given":"Kim","non-dropping-particle":"","parse-names":false,"suffix":""},{"dropping-particle":"","family":"Kessler","given":"Harald H.","non-dropping-particle":"","parse-names":false,"suffix":""},{"dropping-particle":"","family":"Stelzl","given":"Evelyn","non-dropping-particle":"","parse-names":false,"suffix":""},{"dropping-particle":"","family":"Goswami","given":"Nandu","non-dropping-particle":"","parse-names":false,"suffix":""}],"container-title":"BMC Infectious Diseases","id":"ITEM-1","issue":"1","issued":{"date-parts":[["2017"]]},"page":"1-9","publisher":"BMC Infectious Diseases","title":"Cardiovascular risk and endothelial function in people living with HIV/AIDS: Design of the multi-site, longitudinal EndoAfrica study in the Western Cape Province of South Africa","type":"article-journal","volume":"17"},"uris":["http://www.mendeley.com/documents/?uuid=40332d4b-c69b-4395-bd89-1d0157d91990"]}],"mendeley":{"formattedCitation":"&lt;sup&gt;20&lt;/sup&gt;","plainTextFormattedCitation":"20","previouslyFormattedCitation":"&lt;sup&gt;21&lt;/sup&gt;"},"properties":{"noteIndex":0},"schema":"https://github.com/citation-style-language/schema/raw/master/csl-citation.json"}</w:instrText>
      </w:r>
      <w:r w:rsidR="000309E3">
        <w:rPr>
          <w:rFonts w:ascii="Arial" w:hAnsi="Arial" w:cs="Arial"/>
          <w:sz w:val="22"/>
          <w:szCs w:val="22"/>
        </w:rPr>
        <w:fldChar w:fldCharType="separate"/>
      </w:r>
      <w:r w:rsidR="00FE7C39" w:rsidRPr="00FE7C39">
        <w:rPr>
          <w:rFonts w:ascii="Arial" w:hAnsi="Arial" w:cs="Arial"/>
          <w:noProof/>
          <w:sz w:val="22"/>
          <w:szCs w:val="22"/>
          <w:vertAlign w:val="superscript"/>
        </w:rPr>
        <w:t>20</w:t>
      </w:r>
      <w:r w:rsidR="000309E3">
        <w:rPr>
          <w:rFonts w:ascii="Arial" w:hAnsi="Arial" w:cs="Arial"/>
          <w:sz w:val="22"/>
          <w:szCs w:val="22"/>
        </w:rPr>
        <w:fldChar w:fldCharType="end"/>
      </w:r>
      <w:r w:rsidR="000309E3">
        <w:rPr>
          <w:rFonts w:ascii="Arial" w:hAnsi="Arial" w:cs="Arial"/>
          <w:sz w:val="22"/>
          <w:szCs w:val="22"/>
        </w:rPr>
        <w:t>.</w:t>
      </w:r>
      <w:r w:rsidR="000309E3" w:rsidRPr="00D04B64">
        <w:rPr>
          <w:rFonts w:ascii="Arial" w:hAnsi="Arial" w:cs="Arial"/>
          <w:sz w:val="22"/>
          <w:szCs w:val="22"/>
        </w:rPr>
        <w:t xml:space="preserve"> </w:t>
      </w:r>
      <w:r w:rsidR="006B5431">
        <w:rPr>
          <w:rFonts w:ascii="Arial" w:hAnsi="Arial" w:cs="Arial"/>
          <w:sz w:val="22"/>
          <w:szCs w:val="22"/>
        </w:rPr>
        <w:t xml:space="preserve">Participants were included in this study if they were PLWH, over the age of 18 and on the antiretroviral regimen of EFV-TFV-FTC. </w:t>
      </w:r>
      <w:r w:rsidR="000215D8">
        <w:rPr>
          <w:rFonts w:ascii="Arial" w:hAnsi="Arial" w:cs="Arial"/>
          <w:sz w:val="22"/>
          <w:szCs w:val="22"/>
        </w:rPr>
        <w:t>We collected the following p</w:t>
      </w:r>
      <w:r w:rsidR="000309E3">
        <w:rPr>
          <w:rFonts w:ascii="Arial" w:hAnsi="Arial" w:cs="Arial"/>
          <w:sz w:val="22"/>
          <w:szCs w:val="22"/>
        </w:rPr>
        <w:t>articipant variables at</w:t>
      </w:r>
      <w:r w:rsidR="000215D8">
        <w:rPr>
          <w:rFonts w:ascii="Arial" w:hAnsi="Arial" w:cs="Arial"/>
          <w:sz w:val="22"/>
          <w:szCs w:val="22"/>
        </w:rPr>
        <w:t xml:space="preserve"> the</w:t>
      </w:r>
      <w:r w:rsidR="000309E3">
        <w:rPr>
          <w:rFonts w:ascii="Arial" w:hAnsi="Arial" w:cs="Arial"/>
          <w:sz w:val="22"/>
          <w:szCs w:val="22"/>
        </w:rPr>
        <w:t xml:space="preserve"> time of </w:t>
      </w:r>
      <w:r w:rsidR="00CA5149">
        <w:rPr>
          <w:rFonts w:ascii="Arial" w:hAnsi="Arial" w:cs="Arial"/>
          <w:sz w:val="22"/>
          <w:szCs w:val="22"/>
        </w:rPr>
        <w:t>pharmacokinetic</w:t>
      </w:r>
      <w:r w:rsidR="000309E3">
        <w:rPr>
          <w:rFonts w:ascii="Arial" w:hAnsi="Arial" w:cs="Arial"/>
          <w:sz w:val="22"/>
          <w:szCs w:val="22"/>
        </w:rPr>
        <w:t xml:space="preserve"> sampling</w:t>
      </w:r>
      <w:r w:rsidR="000215D8">
        <w:rPr>
          <w:rFonts w:ascii="Arial" w:hAnsi="Arial" w:cs="Arial"/>
          <w:sz w:val="22"/>
          <w:szCs w:val="22"/>
        </w:rPr>
        <w:t xml:space="preserve">: demographics, </w:t>
      </w:r>
      <w:r w:rsidR="000309E3">
        <w:rPr>
          <w:rFonts w:ascii="Arial" w:hAnsi="Arial" w:cs="Arial"/>
          <w:sz w:val="22"/>
          <w:szCs w:val="22"/>
        </w:rPr>
        <w:t xml:space="preserve">CD4+ T cell count, HIV viral load, time on ART, BMI, </w:t>
      </w:r>
      <w:r w:rsidR="00A931F0">
        <w:rPr>
          <w:rFonts w:ascii="Arial" w:hAnsi="Arial" w:cs="Arial"/>
          <w:sz w:val="22"/>
          <w:szCs w:val="22"/>
        </w:rPr>
        <w:t>WC</w:t>
      </w:r>
      <w:r w:rsidR="000309E3">
        <w:rPr>
          <w:rFonts w:ascii="Arial" w:hAnsi="Arial" w:cs="Arial"/>
          <w:sz w:val="22"/>
          <w:szCs w:val="22"/>
        </w:rPr>
        <w:t xml:space="preserve"> and </w:t>
      </w:r>
      <w:r w:rsidR="00A931F0">
        <w:rPr>
          <w:rFonts w:ascii="Arial" w:hAnsi="Arial" w:cs="Arial"/>
          <w:sz w:val="22"/>
          <w:szCs w:val="22"/>
        </w:rPr>
        <w:t>WHR</w:t>
      </w:r>
      <w:r w:rsidR="000309E3">
        <w:rPr>
          <w:rFonts w:ascii="Arial" w:hAnsi="Arial" w:cs="Arial"/>
          <w:sz w:val="22"/>
          <w:szCs w:val="22"/>
        </w:rPr>
        <w:t xml:space="preserve">. </w:t>
      </w:r>
      <w:r w:rsidR="00D0158F">
        <w:rPr>
          <w:rFonts w:ascii="Arial" w:hAnsi="Arial" w:cs="Arial"/>
          <w:sz w:val="22"/>
          <w:szCs w:val="22"/>
        </w:rPr>
        <w:t xml:space="preserve">We defined </w:t>
      </w:r>
      <w:r w:rsidR="000309E3">
        <w:rPr>
          <w:rFonts w:ascii="Arial" w:hAnsi="Arial" w:cs="Arial"/>
          <w:sz w:val="22"/>
          <w:szCs w:val="22"/>
        </w:rPr>
        <w:t xml:space="preserve">obesity as </w:t>
      </w:r>
      <w:r w:rsidR="00D0158F">
        <w:rPr>
          <w:rFonts w:ascii="Arial" w:hAnsi="Arial" w:cs="Arial"/>
          <w:sz w:val="22"/>
          <w:szCs w:val="22"/>
        </w:rPr>
        <w:t>a</w:t>
      </w:r>
      <w:r w:rsidR="000309E3">
        <w:rPr>
          <w:rFonts w:ascii="Arial" w:hAnsi="Arial" w:cs="Arial"/>
          <w:sz w:val="22"/>
          <w:szCs w:val="22"/>
        </w:rPr>
        <w:t xml:space="preserve"> BMI value </w:t>
      </w:r>
      <w:r w:rsidR="000309E3" w:rsidRPr="0042288A">
        <w:rPr>
          <w:rFonts w:ascii="Arial" w:hAnsi="Arial" w:cs="Arial"/>
          <w:sz w:val="22"/>
          <w:szCs w:val="22"/>
        </w:rPr>
        <w:t>≥</w:t>
      </w:r>
      <w:r w:rsidR="000309E3">
        <w:rPr>
          <w:rFonts w:ascii="Arial" w:hAnsi="Arial" w:cs="Arial"/>
          <w:sz w:val="22"/>
          <w:szCs w:val="22"/>
        </w:rPr>
        <w:t>30</w:t>
      </w:r>
      <w:r w:rsidR="00276554">
        <w:rPr>
          <w:rFonts w:ascii="Arial" w:hAnsi="Arial" w:cs="Arial"/>
          <w:sz w:val="22"/>
          <w:szCs w:val="22"/>
        </w:rPr>
        <w:t xml:space="preserve"> </w:t>
      </w:r>
      <w:r w:rsidR="00276554" w:rsidRPr="00D04B64">
        <w:rPr>
          <w:rFonts w:ascii="Arial" w:hAnsi="Arial" w:cs="Arial"/>
          <w:sz w:val="22"/>
          <w:szCs w:val="22"/>
        </w:rPr>
        <w:t>kg/m</w:t>
      </w:r>
      <w:r w:rsidR="00276554">
        <w:rPr>
          <w:rFonts w:ascii="Arial" w:hAnsi="Arial" w:cs="Arial"/>
          <w:sz w:val="22"/>
          <w:szCs w:val="22"/>
        </w:rPr>
        <w:t>²</w:t>
      </w:r>
      <w:r w:rsidR="008B0758">
        <w:rPr>
          <w:rFonts w:ascii="Arial" w:hAnsi="Arial" w:cs="Arial"/>
          <w:sz w:val="22"/>
          <w:szCs w:val="22"/>
        </w:rPr>
        <w:t xml:space="preserve"> for all participants</w:t>
      </w:r>
      <w:r w:rsidR="000309E3">
        <w:rPr>
          <w:rFonts w:ascii="Arial" w:hAnsi="Arial" w:cs="Arial"/>
          <w:sz w:val="22"/>
          <w:szCs w:val="22"/>
        </w:rPr>
        <w:t xml:space="preserve"> </w:t>
      </w:r>
      <w:r w:rsidR="000309E3">
        <w:rPr>
          <w:rFonts w:ascii="Arial" w:hAnsi="Arial" w:cs="Arial"/>
          <w:sz w:val="22"/>
          <w:szCs w:val="22"/>
        </w:rPr>
        <w:fldChar w:fldCharType="begin" w:fldLock="1"/>
      </w:r>
      <w:r w:rsidR="00FE7C39">
        <w:rPr>
          <w:rFonts w:ascii="Arial" w:hAnsi="Arial" w:cs="Arial"/>
          <w:sz w:val="22"/>
          <w:szCs w:val="22"/>
        </w:rPr>
        <w:instrText>ADDIN CSL_CITATION {"citationItems":[{"id":"ITEM-1","itemData":{"URL":"https://www.who.int/en/news-room/fact-sheets/detail/obesity-and-overweight","accessed":{"date-parts":[["2019","3","1"]]},"author":[{"dropping-particle":"","family":"World Health Organization","given":"","non-dropping-particle":"","parse-names":false,"suffix":""}],"id":"ITEM-1","issued":{"date-parts":[["0"]]},"title":"Obesity and overweight","type":"webpage"},"uris":["http://www.mendeley.com/documents/?uuid=72a9fb54-6681-3bda-b74e-7a1b9d08b8d3"]}],"mendeley":{"formattedCitation":"&lt;sup&gt;21&lt;/sup&gt;","plainTextFormattedCitation":"21","previouslyFormattedCitation":"&lt;sup&gt;22&lt;/sup&gt;"},"properties":{"noteIndex":0},"schema":"https://github.com/citation-style-language/schema/raw/master/csl-citation.json"}</w:instrText>
      </w:r>
      <w:r w:rsidR="000309E3">
        <w:rPr>
          <w:rFonts w:ascii="Arial" w:hAnsi="Arial" w:cs="Arial"/>
          <w:sz w:val="22"/>
          <w:szCs w:val="22"/>
        </w:rPr>
        <w:fldChar w:fldCharType="separate"/>
      </w:r>
      <w:r w:rsidR="00FE7C39" w:rsidRPr="00FE7C39">
        <w:rPr>
          <w:rFonts w:ascii="Arial" w:hAnsi="Arial" w:cs="Arial"/>
          <w:noProof/>
          <w:sz w:val="22"/>
          <w:szCs w:val="22"/>
          <w:vertAlign w:val="superscript"/>
        </w:rPr>
        <w:t>21</w:t>
      </w:r>
      <w:r w:rsidR="000309E3">
        <w:rPr>
          <w:rFonts w:ascii="Arial" w:hAnsi="Arial" w:cs="Arial"/>
          <w:sz w:val="22"/>
          <w:szCs w:val="22"/>
        </w:rPr>
        <w:fldChar w:fldCharType="end"/>
      </w:r>
      <w:r w:rsidR="000309E3">
        <w:rPr>
          <w:rFonts w:ascii="Arial" w:hAnsi="Arial" w:cs="Arial"/>
          <w:sz w:val="22"/>
          <w:szCs w:val="22"/>
        </w:rPr>
        <w:t>.</w:t>
      </w:r>
      <w:r w:rsidR="00D0158F">
        <w:rPr>
          <w:rFonts w:ascii="Arial" w:hAnsi="Arial" w:cs="Arial"/>
          <w:sz w:val="22"/>
          <w:szCs w:val="22"/>
        </w:rPr>
        <w:t xml:space="preserve"> </w:t>
      </w:r>
      <w:r w:rsidR="00F239F8" w:rsidRPr="002554B2">
        <w:rPr>
          <w:rFonts w:ascii="Arial" w:hAnsi="Arial" w:cs="Arial"/>
          <w:sz w:val="22"/>
          <w:szCs w:val="22"/>
        </w:rPr>
        <w:t>Abdominal o</w:t>
      </w:r>
      <w:r w:rsidR="000309E3" w:rsidRPr="002554B2">
        <w:rPr>
          <w:rFonts w:ascii="Arial" w:hAnsi="Arial" w:cs="Arial"/>
          <w:sz w:val="22"/>
          <w:szCs w:val="22"/>
        </w:rPr>
        <w:t>bes</w:t>
      </w:r>
      <w:r w:rsidR="00F239F8" w:rsidRPr="002554B2">
        <w:rPr>
          <w:rFonts w:ascii="Arial" w:hAnsi="Arial" w:cs="Arial"/>
          <w:sz w:val="22"/>
          <w:szCs w:val="22"/>
        </w:rPr>
        <w:t>ity</w:t>
      </w:r>
      <w:r w:rsidR="00A63460" w:rsidRPr="002554B2">
        <w:rPr>
          <w:rFonts w:ascii="Arial" w:hAnsi="Arial" w:cs="Arial"/>
          <w:sz w:val="22"/>
          <w:szCs w:val="22"/>
        </w:rPr>
        <w:t xml:space="preserve"> </w:t>
      </w:r>
      <w:r w:rsidR="00F239F8" w:rsidRPr="002554B2">
        <w:rPr>
          <w:rFonts w:ascii="Arial" w:hAnsi="Arial" w:cs="Arial"/>
          <w:sz w:val="22"/>
          <w:szCs w:val="22"/>
        </w:rPr>
        <w:t xml:space="preserve">in </w:t>
      </w:r>
      <w:r w:rsidR="00A63460" w:rsidRPr="002554B2">
        <w:rPr>
          <w:rFonts w:ascii="Arial" w:hAnsi="Arial"/>
          <w:sz w:val="22"/>
        </w:rPr>
        <w:t xml:space="preserve">men </w:t>
      </w:r>
      <w:r w:rsidR="00A63460" w:rsidRPr="002554B2">
        <w:rPr>
          <w:rFonts w:ascii="Arial" w:hAnsi="Arial" w:cs="Arial"/>
          <w:sz w:val="22"/>
          <w:szCs w:val="22"/>
        </w:rPr>
        <w:t>w</w:t>
      </w:r>
      <w:r w:rsidR="00F239F8" w:rsidRPr="002554B2">
        <w:rPr>
          <w:rFonts w:ascii="Arial" w:hAnsi="Arial" w:cs="Arial"/>
          <w:sz w:val="22"/>
          <w:szCs w:val="22"/>
        </w:rPr>
        <w:t>as</w:t>
      </w:r>
      <w:r w:rsidR="00A63460" w:rsidRPr="002554B2">
        <w:rPr>
          <w:rFonts w:ascii="Arial" w:hAnsi="Arial"/>
          <w:sz w:val="22"/>
        </w:rPr>
        <w:t xml:space="preserve"> </w:t>
      </w:r>
      <w:r w:rsidR="000309E3" w:rsidRPr="002554B2">
        <w:rPr>
          <w:rFonts w:ascii="Arial" w:hAnsi="Arial"/>
          <w:sz w:val="22"/>
        </w:rPr>
        <w:t xml:space="preserve">defined </w:t>
      </w:r>
      <w:r w:rsidR="001A708B" w:rsidRPr="002554B2">
        <w:rPr>
          <w:rFonts w:ascii="Arial" w:hAnsi="Arial"/>
          <w:sz w:val="22"/>
        </w:rPr>
        <w:t>as</w:t>
      </w:r>
      <w:r w:rsidR="000309E3" w:rsidRPr="002554B2">
        <w:rPr>
          <w:rFonts w:ascii="Arial" w:hAnsi="Arial"/>
          <w:sz w:val="22"/>
        </w:rPr>
        <w:t xml:space="preserve"> measurements of </w:t>
      </w:r>
      <w:r w:rsidR="00F239F8" w:rsidRPr="002554B2">
        <w:rPr>
          <w:rFonts w:ascii="Arial" w:hAnsi="Arial" w:cs="Arial"/>
          <w:sz w:val="22"/>
          <w:szCs w:val="22"/>
        </w:rPr>
        <w:t>WC</w:t>
      </w:r>
      <w:r w:rsidR="000309E3" w:rsidRPr="002554B2">
        <w:rPr>
          <w:rFonts w:ascii="Arial" w:hAnsi="Arial" w:cs="Arial"/>
          <w:sz w:val="22"/>
          <w:szCs w:val="22"/>
        </w:rPr>
        <w:t xml:space="preserve"> </w:t>
      </w:r>
      <w:r w:rsidR="000309E3" w:rsidRPr="002554B2">
        <w:rPr>
          <w:rFonts w:ascii="Arial" w:hAnsi="Arial"/>
          <w:sz w:val="22"/>
        </w:rPr>
        <w:t xml:space="preserve">≥94 cm and </w:t>
      </w:r>
      <w:r w:rsidR="00F239F8" w:rsidRPr="002554B2">
        <w:rPr>
          <w:rFonts w:ascii="Arial" w:hAnsi="Arial" w:cs="Arial"/>
          <w:sz w:val="22"/>
          <w:szCs w:val="22"/>
        </w:rPr>
        <w:t xml:space="preserve">WHR </w:t>
      </w:r>
      <w:r w:rsidR="000309E3" w:rsidRPr="002554B2">
        <w:rPr>
          <w:rFonts w:ascii="Arial" w:hAnsi="Arial" w:cs="Arial"/>
          <w:sz w:val="22"/>
          <w:szCs w:val="22"/>
        </w:rPr>
        <w:t xml:space="preserve"> </w:t>
      </w:r>
      <w:r w:rsidR="000309E3" w:rsidRPr="002554B2">
        <w:rPr>
          <w:rFonts w:ascii="Arial" w:hAnsi="Arial"/>
          <w:sz w:val="22"/>
        </w:rPr>
        <w:t>≥0.9 respectively</w:t>
      </w:r>
      <w:r w:rsidR="00F239F8" w:rsidRPr="002554B2">
        <w:rPr>
          <w:rFonts w:ascii="Arial" w:hAnsi="Arial" w:cs="Arial"/>
          <w:sz w:val="22"/>
          <w:szCs w:val="22"/>
        </w:rPr>
        <w:t>,</w:t>
      </w:r>
      <w:r w:rsidR="001A708B">
        <w:rPr>
          <w:rFonts w:ascii="Arial" w:hAnsi="Arial" w:cs="Arial"/>
          <w:sz w:val="22"/>
          <w:szCs w:val="22"/>
        </w:rPr>
        <w:t xml:space="preserve"> and for</w:t>
      </w:r>
      <w:r w:rsidR="000309E3">
        <w:rPr>
          <w:rFonts w:ascii="Arial" w:hAnsi="Arial" w:cs="Arial"/>
          <w:sz w:val="22"/>
          <w:szCs w:val="22"/>
        </w:rPr>
        <w:t xml:space="preserve"> </w:t>
      </w:r>
      <w:r w:rsidR="001A708B">
        <w:rPr>
          <w:rFonts w:ascii="Arial" w:hAnsi="Arial" w:cs="Arial"/>
          <w:sz w:val="22"/>
          <w:szCs w:val="22"/>
        </w:rPr>
        <w:t>women</w:t>
      </w:r>
      <w:r w:rsidR="001A708B" w:rsidRPr="001A708B">
        <w:rPr>
          <w:rFonts w:ascii="Arial" w:hAnsi="Arial" w:cs="Arial"/>
          <w:sz w:val="22"/>
          <w:szCs w:val="22"/>
        </w:rPr>
        <w:t xml:space="preserve"> </w:t>
      </w:r>
      <w:r w:rsidR="001A708B">
        <w:rPr>
          <w:rFonts w:ascii="Arial" w:hAnsi="Arial" w:cs="Arial"/>
          <w:sz w:val="22"/>
          <w:szCs w:val="22"/>
        </w:rPr>
        <w:t xml:space="preserve">measurements of </w:t>
      </w:r>
      <w:r w:rsidR="001A708B" w:rsidRPr="0042288A">
        <w:rPr>
          <w:rFonts w:ascii="Arial" w:hAnsi="Arial" w:cs="Arial"/>
          <w:sz w:val="22"/>
          <w:szCs w:val="22"/>
        </w:rPr>
        <w:t>≥</w:t>
      </w:r>
      <w:r w:rsidR="001A708B">
        <w:rPr>
          <w:rFonts w:ascii="Arial" w:hAnsi="Arial" w:cs="Arial"/>
          <w:sz w:val="22"/>
          <w:szCs w:val="22"/>
        </w:rPr>
        <w:t xml:space="preserve">80 cm and </w:t>
      </w:r>
      <w:r w:rsidR="001A708B" w:rsidRPr="0042288A">
        <w:rPr>
          <w:rFonts w:ascii="Arial" w:hAnsi="Arial" w:cs="Arial"/>
          <w:sz w:val="22"/>
          <w:szCs w:val="22"/>
        </w:rPr>
        <w:t>≥</w:t>
      </w:r>
      <w:r w:rsidR="001A708B">
        <w:rPr>
          <w:rFonts w:ascii="Arial" w:hAnsi="Arial" w:cs="Arial"/>
          <w:sz w:val="22"/>
          <w:szCs w:val="22"/>
        </w:rPr>
        <w:t>0.85 respectively</w:t>
      </w:r>
      <w:r w:rsidR="00E10D8A">
        <w:rPr>
          <w:rFonts w:ascii="Arial" w:hAnsi="Arial" w:cs="Arial"/>
          <w:sz w:val="22"/>
          <w:szCs w:val="22"/>
        </w:rPr>
        <w:t xml:space="preserve"> </w:t>
      </w:r>
      <w:r w:rsidR="00E10D8A">
        <w:rPr>
          <w:rFonts w:ascii="Arial" w:hAnsi="Arial" w:cs="Arial"/>
          <w:sz w:val="22"/>
          <w:szCs w:val="22"/>
        </w:rPr>
        <w:fldChar w:fldCharType="begin" w:fldLock="1"/>
      </w:r>
      <w:r w:rsidR="00FE7C39">
        <w:rPr>
          <w:rFonts w:ascii="Arial" w:hAnsi="Arial" w:cs="Arial"/>
          <w:sz w:val="22"/>
          <w:szCs w:val="22"/>
        </w:rPr>
        <w:instrText>ADDIN CSL_CITATION {"citationItems":[{"id":"ITEM-1","itemData":{"DOI":"10.1016/b978-0-12-816093-0.00003-3","ISBN":"9780128160930","abstract":"Body mass index (BMI), waist circumference (WC), waist-hip ratio (WHR) and waist-height ratio (WHtR) are different measures used to estimate the body fat content; however, comparison to a gold standard test is practically difficult. BMI is easy to perform but it does not differentiate lean and fat masses. WC strongly correlates with BMI regarding prediction of the cardiovascular and metabolic risk. The clinical utility of measuring the WHR has receded in recent years due to its weaker association with cardiovascular and metabolic risk factors when compared with other clinical adiposity measures. Universal cutoffs for BMI, WC, and WHR are not appropriate to be used worldwide and each parameter should be ethnically tailored. WHtR corrects for the height of each individual allowing for a unified cutoff to be used and it proved as effective as previous measures if not superior to them. The assumption that certain body proportions or reassuring laboratory parameters may confer healthiness to a subset of obese individuals is misleading as obesity is always a pathologic state.","author":[{"dropping-particle":"","family":"Baioumi","given":"Alaa Youssef Ahmed Ahmed","non-dropping-particle":"","parse-names":false,"suffix":""}],"container-title":"Nutrition in the Prevention and Treatment of Abdominal Obesity","edition":"2","id":"ITEM-1","issued":{"date-parts":[["2019"]]},"number-of-pages":"29-40","publisher":"Elsevier Inc.","title":"Comparing Measures of Obesity: Waist Circumference, Waist-Hip, and Waist-Height Ratios","type":"book"},"uris":["http://www.mendeley.com/documents/?uuid=dd0252be-718a-472a-952a-56eb2430dabe"]}],"mendeley":{"formattedCitation":"&lt;sup&gt;22&lt;/sup&gt;","plainTextFormattedCitation":"22","previouslyFormattedCitation":"&lt;sup&gt;23&lt;/sup&gt;"},"properties":{"noteIndex":0},"schema":"https://github.com/citation-style-language/schema/raw/master/csl-citation.json"}</w:instrText>
      </w:r>
      <w:r w:rsidR="00E10D8A">
        <w:rPr>
          <w:rFonts w:ascii="Arial" w:hAnsi="Arial" w:cs="Arial"/>
          <w:sz w:val="22"/>
          <w:szCs w:val="22"/>
        </w:rPr>
        <w:fldChar w:fldCharType="separate"/>
      </w:r>
      <w:r w:rsidR="00FE7C39" w:rsidRPr="00FE7C39">
        <w:rPr>
          <w:rFonts w:ascii="Arial" w:hAnsi="Arial" w:cs="Arial"/>
          <w:noProof/>
          <w:sz w:val="22"/>
          <w:szCs w:val="22"/>
          <w:vertAlign w:val="superscript"/>
        </w:rPr>
        <w:t>22</w:t>
      </w:r>
      <w:r w:rsidR="00E10D8A">
        <w:rPr>
          <w:rFonts w:ascii="Arial" w:hAnsi="Arial" w:cs="Arial"/>
          <w:sz w:val="22"/>
          <w:szCs w:val="22"/>
        </w:rPr>
        <w:fldChar w:fldCharType="end"/>
      </w:r>
      <w:r w:rsidR="000309E3" w:rsidRPr="000E71EE">
        <w:rPr>
          <w:rFonts w:ascii="Arial" w:hAnsi="Arial" w:cs="Arial"/>
          <w:sz w:val="22"/>
          <w:szCs w:val="22"/>
          <w:vertAlign w:val="superscript"/>
        </w:rPr>
        <w:t>,</w:t>
      </w:r>
      <w:r w:rsidR="000309E3">
        <w:rPr>
          <w:rFonts w:ascii="Arial" w:hAnsi="Arial" w:cs="Arial"/>
          <w:sz w:val="22"/>
          <w:szCs w:val="22"/>
        </w:rPr>
        <w:fldChar w:fldCharType="begin" w:fldLock="1"/>
      </w:r>
      <w:r w:rsidR="00FE7C39">
        <w:rPr>
          <w:rFonts w:ascii="Arial" w:hAnsi="Arial" w:cs="Arial"/>
          <w:sz w:val="22"/>
          <w:szCs w:val="22"/>
        </w:rPr>
        <w:instrText>ADDIN CSL_CITATION {"citationItems":[{"id":"ITEM-1","itemData":{"DOI":"10.1038/ejcn.2009.139","ISBN":"1476-5640 (Electronic)\\n1476-5640 (Linking)","ISSN":"1476-5640","PMID":"19935820","abstract":"The World Health Organization (WHO) Expert Consultation on Waist Circumference and Waist–Hip Ratio was held in Geneva, Switzerland on 8–11 December 2008. The consultation was organized by WHO’s Department of Nutrition for Health and Development, in collaboration with the Department of Chronic Diseases and Health</w:instrText>
      </w:r>
      <w:r w:rsidR="00FE7C39">
        <w:rPr>
          <w:rFonts w:ascii="Arial" w:hAnsi="Arial" w:cs="Arial" w:hint="eastAsia"/>
          <w:sz w:val="22"/>
          <w:szCs w:val="22"/>
        </w:rPr>
        <w:instrText xml:space="preserve"> Promotion. It was opened by Dr Ala Alwan, WHO Assistant Director</w:instrText>
      </w:r>
      <w:r w:rsidR="00FE7C39">
        <w:rPr>
          <w:rFonts w:ascii="Arial" w:hAnsi="Arial" w:cs="Arial" w:hint="eastAsia"/>
          <w:sz w:val="22"/>
          <w:szCs w:val="22"/>
        </w:rPr>
        <w:instrText>‐</w:instrText>
      </w:r>
      <w:r w:rsidR="00FE7C39">
        <w:rPr>
          <w:rFonts w:ascii="Arial" w:hAnsi="Arial" w:cs="Arial" w:hint="eastAsia"/>
          <w:sz w:val="22"/>
          <w:szCs w:val="22"/>
        </w:rPr>
        <w:instrText xml:space="preserve">General for Noncommunicable Diseases and Mental Health. The consultation was convened as part of WHO's: </w:instrText>
      </w:r>
      <w:r w:rsidR="00FE7C39">
        <w:rPr>
          <w:rFonts w:ascii="Arial" w:hAnsi="Arial" w:cs="Arial" w:hint="eastAsia"/>
          <w:sz w:val="22"/>
          <w:szCs w:val="22"/>
        </w:rPr>
        <w:instrText>•</w:instrText>
      </w:r>
      <w:r w:rsidR="00FE7C39">
        <w:rPr>
          <w:rFonts w:ascii="Arial" w:hAnsi="Arial" w:cs="Arial" w:hint="eastAsia"/>
          <w:sz w:val="22"/>
          <w:szCs w:val="22"/>
        </w:rPr>
        <w:instrText xml:space="preserve"> efforts in implementing the recommendations made at the WHO Consultation on Appropriate Body Mass Index for Asian Populations (WHO, 2004); </w:instrText>
      </w:r>
      <w:r w:rsidR="00FE7C39">
        <w:rPr>
          <w:rFonts w:ascii="Arial" w:hAnsi="Arial" w:cs="Arial" w:hint="eastAsia"/>
          <w:sz w:val="22"/>
          <w:szCs w:val="22"/>
        </w:rPr>
        <w:instrText>•</w:instrText>
      </w:r>
      <w:r w:rsidR="00FE7C39">
        <w:rPr>
          <w:rFonts w:ascii="Arial" w:hAnsi="Arial" w:cs="Arial" w:hint="eastAsia"/>
          <w:sz w:val="22"/>
          <w:szCs w:val="22"/>
        </w:rPr>
        <w:instrText xml:space="preserve"> response to the emerging problem of obesity and related chronic diseases, in particular in low</w:instrText>
      </w:r>
      <w:r w:rsidR="00FE7C39">
        <w:rPr>
          <w:rFonts w:ascii="Arial" w:hAnsi="Arial" w:cs="Arial" w:hint="eastAsia"/>
          <w:sz w:val="22"/>
          <w:szCs w:val="22"/>
        </w:rPr>
        <w:instrText>‐</w:instrText>
      </w:r>
      <w:r w:rsidR="00FE7C39">
        <w:rPr>
          <w:rFonts w:ascii="Arial" w:hAnsi="Arial" w:cs="Arial" w:hint="eastAsia"/>
          <w:sz w:val="22"/>
          <w:szCs w:val="22"/>
        </w:rPr>
        <w:instrText xml:space="preserve"> and middle</w:instrText>
      </w:r>
      <w:r w:rsidR="00FE7C39">
        <w:rPr>
          <w:rFonts w:ascii="Arial" w:hAnsi="Arial" w:cs="Arial" w:hint="eastAsia"/>
          <w:sz w:val="22"/>
          <w:szCs w:val="22"/>
        </w:rPr>
        <w:instrText>‐</w:instrText>
      </w:r>
      <w:r w:rsidR="00FE7C39">
        <w:rPr>
          <w:rFonts w:ascii="Arial" w:hAnsi="Arial" w:cs="Arial" w:hint="eastAsia"/>
          <w:sz w:val="22"/>
          <w:szCs w:val="22"/>
        </w:rPr>
        <w:instrText>income countries.","author":[{"dropping-particle":"","family":"World Health Organization",</w:instrText>
      </w:r>
      <w:r w:rsidR="00FE7C39">
        <w:rPr>
          <w:rFonts w:ascii="Arial" w:hAnsi="Arial" w:cs="Arial"/>
          <w:sz w:val="22"/>
          <w:szCs w:val="22"/>
        </w:rPr>
        <w:instrText>"given":"","non-dropping-particle":"","parse-names":false,"suffix":""}],"container-title":"Report of a WHO Expert Consultation","id":"ITEM-1","issue":"December","issued":{"date-parts":[["2011"]]},"page":"8-11","title":"Waist Circumference and Waist-Hip Ratio","type":"article-journal"},"uris":["http://www.mendeley.com/documents/?uuid=9c23f08e-85e1-496a-a947-e4fd381f06d7"]}],"mendeley":{"formattedCitation":"&lt;sup&gt;23&lt;/sup&gt;","plainTextFormattedCitation":"23","previouslyFormattedCitation":"&lt;sup&gt;24&lt;/sup&gt;"},"properties":{"noteIndex":0},"schema":"https://github.com/citation-style-language/schema/raw/master/csl-citation.json"}</w:instrText>
      </w:r>
      <w:r w:rsidR="000309E3">
        <w:rPr>
          <w:rFonts w:ascii="Arial" w:hAnsi="Arial" w:cs="Arial"/>
          <w:sz w:val="22"/>
          <w:szCs w:val="22"/>
        </w:rPr>
        <w:fldChar w:fldCharType="separate"/>
      </w:r>
      <w:r w:rsidR="00FE7C39" w:rsidRPr="00FE7C39">
        <w:rPr>
          <w:rFonts w:ascii="Arial" w:hAnsi="Arial" w:cs="Arial"/>
          <w:noProof/>
          <w:sz w:val="22"/>
          <w:szCs w:val="22"/>
          <w:vertAlign w:val="superscript"/>
        </w:rPr>
        <w:t>23</w:t>
      </w:r>
      <w:r w:rsidR="000309E3">
        <w:rPr>
          <w:rFonts w:ascii="Arial" w:hAnsi="Arial" w:cs="Arial"/>
          <w:sz w:val="22"/>
          <w:szCs w:val="22"/>
        </w:rPr>
        <w:fldChar w:fldCharType="end"/>
      </w:r>
      <w:r w:rsidR="000309E3">
        <w:rPr>
          <w:rFonts w:ascii="Arial" w:hAnsi="Arial" w:cs="Arial"/>
          <w:sz w:val="22"/>
          <w:szCs w:val="22"/>
        </w:rPr>
        <w:t>.</w:t>
      </w:r>
      <w:r w:rsidR="006B5431">
        <w:rPr>
          <w:rFonts w:ascii="Arial" w:hAnsi="Arial" w:cs="Arial"/>
          <w:sz w:val="22"/>
          <w:szCs w:val="22"/>
        </w:rPr>
        <w:t xml:space="preserve"> </w:t>
      </w:r>
      <w:r w:rsidR="004449DF">
        <w:rPr>
          <w:rFonts w:ascii="Arial" w:hAnsi="Arial" w:cs="Arial"/>
          <w:sz w:val="22"/>
          <w:szCs w:val="22"/>
        </w:rPr>
        <w:t xml:space="preserve">We included </w:t>
      </w:r>
      <w:r w:rsidR="006B5431">
        <w:rPr>
          <w:rFonts w:ascii="Arial" w:hAnsi="Arial" w:cs="Arial"/>
          <w:sz w:val="22"/>
          <w:szCs w:val="22"/>
        </w:rPr>
        <w:t xml:space="preserve">213 participants. </w:t>
      </w:r>
      <w:r w:rsidR="003C0205">
        <w:rPr>
          <w:rFonts w:ascii="Arial" w:hAnsi="Arial" w:cs="Arial"/>
          <w:sz w:val="22"/>
          <w:szCs w:val="22"/>
        </w:rPr>
        <w:t>N</w:t>
      </w:r>
      <w:r w:rsidR="006B5431">
        <w:rPr>
          <w:rFonts w:ascii="Arial" w:hAnsi="Arial" w:cs="Arial"/>
          <w:sz w:val="22"/>
          <w:szCs w:val="22"/>
        </w:rPr>
        <w:t>ot all participants had complete data capturing</w:t>
      </w:r>
      <w:r w:rsidR="00176723">
        <w:rPr>
          <w:rFonts w:ascii="Arial" w:hAnsi="Arial" w:cs="Arial"/>
          <w:sz w:val="22"/>
          <w:szCs w:val="22"/>
        </w:rPr>
        <w:t xml:space="preserve"> and were only included in the</w:t>
      </w:r>
      <w:r w:rsidR="00DA057B">
        <w:rPr>
          <w:rFonts w:ascii="Arial" w:hAnsi="Arial" w:cs="Arial"/>
          <w:sz w:val="22"/>
          <w:szCs w:val="22"/>
        </w:rPr>
        <w:t xml:space="preserve"> part of the</w:t>
      </w:r>
      <w:r w:rsidR="00176723">
        <w:rPr>
          <w:rFonts w:ascii="Arial" w:hAnsi="Arial" w:cs="Arial"/>
          <w:sz w:val="22"/>
          <w:szCs w:val="22"/>
        </w:rPr>
        <w:t xml:space="preserve"> analysis where their </w:t>
      </w:r>
      <w:r w:rsidR="00DA057B">
        <w:rPr>
          <w:rFonts w:ascii="Arial" w:hAnsi="Arial" w:cs="Arial"/>
          <w:sz w:val="22"/>
          <w:szCs w:val="22"/>
        </w:rPr>
        <w:t>anthropometric measurements were available.</w:t>
      </w:r>
      <w:r w:rsidR="006B5431">
        <w:rPr>
          <w:rFonts w:ascii="Arial" w:hAnsi="Arial" w:cs="Arial"/>
          <w:sz w:val="22"/>
          <w:szCs w:val="22"/>
        </w:rPr>
        <w:t xml:space="preserve"> For example, participants</w:t>
      </w:r>
      <w:r w:rsidR="00815264">
        <w:rPr>
          <w:rFonts w:ascii="Arial" w:hAnsi="Arial" w:cs="Arial"/>
          <w:sz w:val="22"/>
          <w:szCs w:val="22"/>
        </w:rPr>
        <w:t xml:space="preserve"> with missing</w:t>
      </w:r>
      <w:r w:rsidR="006B5431">
        <w:rPr>
          <w:rFonts w:ascii="Arial" w:hAnsi="Arial" w:cs="Arial"/>
          <w:sz w:val="22"/>
          <w:szCs w:val="22"/>
        </w:rPr>
        <w:t xml:space="preserve"> height w</w:t>
      </w:r>
      <w:r w:rsidR="00815264">
        <w:rPr>
          <w:rFonts w:ascii="Arial" w:hAnsi="Arial" w:cs="Arial"/>
          <w:sz w:val="22"/>
          <w:szCs w:val="22"/>
        </w:rPr>
        <w:t xml:space="preserve">ere not included in the BMI analysis. </w:t>
      </w:r>
      <w:r w:rsidR="00097647">
        <w:rPr>
          <w:rFonts w:ascii="Arial" w:hAnsi="Arial" w:cs="Arial"/>
          <w:sz w:val="22"/>
          <w:szCs w:val="22"/>
        </w:rPr>
        <w:t>We indicated the number of participants in</w:t>
      </w:r>
      <w:r w:rsidR="00FB5D7D">
        <w:rPr>
          <w:rFonts w:ascii="Arial" w:hAnsi="Arial" w:cs="Arial"/>
          <w:sz w:val="22"/>
          <w:szCs w:val="22"/>
        </w:rPr>
        <w:t xml:space="preserve">cluded in each analysis. </w:t>
      </w:r>
      <w:r w:rsidR="007E1F4A">
        <w:rPr>
          <w:rFonts w:ascii="Arial" w:hAnsi="Arial" w:cs="Arial"/>
          <w:sz w:val="22"/>
          <w:szCs w:val="22"/>
        </w:rPr>
        <w:t>I</w:t>
      </w:r>
      <w:r w:rsidR="007E1F4A" w:rsidRPr="00D04B64">
        <w:rPr>
          <w:rFonts w:ascii="Arial" w:hAnsi="Arial" w:cs="Arial"/>
          <w:sz w:val="22"/>
          <w:szCs w:val="22"/>
        </w:rPr>
        <w:t xml:space="preserve">nformed consent </w:t>
      </w:r>
      <w:r w:rsidR="007E1F4A">
        <w:rPr>
          <w:rFonts w:ascii="Arial" w:hAnsi="Arial" w:cs="Arial"/>
          <w:sz w:val="22"/>
          <w:szCs w:val="22"/>
        </w:rPr>
        <w:t xml:space="preserve">was obtained </w:t>
      </w:r>
      <w:r w:rsidR="007E1F4A">
        <w:rPr>
          <w:rFonts w:ascii="Arial" w:hAnsi="Arial" w:cs="Arial"/>
          <w:sz w:val="22"/>
          <w:szCs w:val="22"/>
        </w:rPr>
        <w:lastRenderedPageBreak/>
        <w:t xml:space="preserve">from all the participants before performing study procedures. </w:t>
      </w:r>
      <w:r w:rsidR="0036047B">
        <w:rPr>
          <w:rFonts w:ascii="Arial" w:hAnsi="Arial" w:cs="Arial"/>
          <w:bCs/>
          <w:iCs/>
          <w:sz w:val="22"/>
          <w:szCs w:val="22"/>
        </w:rPr>
        <w:t xml:space="preserve">The study was approved by </w:t>
      </w:r>
      <w:r w:rsidR="0036047B" w:rsidRPr="00D04B64">
        <w:rPr>
          <w:rFonts w:ascii="Arial" w:hAnsi="Arial" w:cs="Arial"/>
          <w:bCs/>
          <w:iCs/>
          <w:sz w:val="22"/>
          <w:szCs w:val="22"/>
        </w:rPr>
        <w:t>the Stellenbosch University Undergraduate Research Ethics Committee (UREC Reference #: U19/07/029).</w:t>
      </w:r>
    </w:p>
    <w:p w14:paraId="4A0355CF" w14:textId="32D75E8F" w:rsidR="000309E3" w:rsidRDefault="000309E3" w:rsidP="00292D0F">
      <w:pPr>
        <w:spacing w:line="480" w:lineRule="auto"/>
        <w:jc w:val="both"/>
        <w:rPr>
          <w:rFonts w:ascii="Arial" w:hAnsi="Arial" w:cs="Arial"/>
          <w:b/>
          <w:i/>
          <w:sz w:val="22"/>
          <w:szCs w:val="22"/>
        </w:rPr>
      </w:pPr>
    </w:p>
    <w:p w14:paraId="0B536540" w14:textId="05B6F896" w:rsidR="0079072D" w:rsidRDefault="0079072D" w:rsidP="00292D0F">
      <w:pPr>
        <w:spacing w:line="480" w:lineRule="auto"/>
        <w:jc w:val="both"/>
        <w:rPr>
          <w:rFonts w:ascii="Arial" w:hAnsi="Arial" w:cs="Arial"/>
          <w:sz w:val="22"/>
          <w:szCs w:val="22"/>
        </w:rPr>
      </w:pPr>
      <w:r>
        <w:rPr>
          <w:rFonts w:ascii="Arial" w:hAnsi="Arial" w:cs="Arial"/>
          <w:b/>
          <w:i/>
          <w:sz w:val="22"/>
          <w:szCs w:val="22"/>
        </w:rPr>
        <w:t xml:space="preserve">Pharmacokinetic sampling: </w:t>
      </w:r>
      <w:r w:rsidR="005A7D62">
        <w:rPr>
          <w:rFonts w:ascii="Arial" w:hAnsi="Arial" w:cs="Arial"/>
          <w:sz w:val="22"/>
          <w:szCs w:val="22"/>
        </w:rPr>
        <w:t>Fasting s</w:t>
      </w:r>
      <w:r w:rsidR="00FD0597">
        <w:rPr>
          <w:rFonts w:ascii="Arial" w:hAnsi="Arial" w:cs="Arial"/>
          <w:sz w:val="22"/>
          <w:szCs w:val="22"/>
        </w:rPr>
        <w:t>ampl</w:t>
      </w:r>
      <w:r w:rsidR="00465DC9">
        <w:rPr>
          <w:rFonts w:ascii="Arial" w:hAnsi="Arial" w:cs="Arial"/>
          <w:sz w:val="22"/>
          <w:szCs w:val="22"/>
        </w:rPr>
        <w:t>es</w:t>
      </w:r>
      <w:r w:rsidR="00FD0597">
        <w:rPr>
          <w:rFonts w:ascii="Arial" w:hAnsi="Arial" w:cs="Arial"/>
          <w:sz w:val="22"/>
          <w:szCs w:val="22"/>
        </w:rPr>
        <w:t xml:space="preserve"> w</w:t>
      </w:r>
      <w:r w:rsidR="00465DC9">
        <w:rPr>
          <w:rFonts w:ascii="Arial" w:hAnsi="Arial" w:cs="Arial"/>
          <w:sz w:val="22"/>
          <w:szCs w:val="22"/>
        </w:rPr>
        <w:t>ere</w:t>
      </w:r>
      <w:r w:rsidR="00FD0597">
        <w:rPr>
          <w:rFonts w:ascii="Arial" w:hAnsi="Arial" w:cs="Arial"/>
          <w:sz w:val="22"/>
          <w:szCs w:val="22"/>
        </w:rPr>
        <w:t xml:space="preserve"> </w:t>
      </w:r>
      <w:r w:rsidR="00465DC9">
        <w:rPr>
          <w:rFonts w:ascii="Arial" w:hAnsi="Arial" w:cs="Arial"/>
          <w:sz w:val="22"/>
          <w:szCs w:val="22"/>
        </w:rPr>
        <w:t>taken</w:t>
      </w:r>
      <w:r w:rsidR="00FD0597">
        <w:rPr>
          <w:rFonts w:ascii="Arial" w:hAnsi="Arial" w:cs="Arial"/>
          <w:sz w:val="22"/>
          <w:szCs w:val="22"/>
        </w:rPr>
        <w:t xml:space="preserve"> in the morning</w:t>
      </w:r>
      <w:r w:rsidR="009A5E1A">
        <w:rPr>
          <w:rFonts w:ascii="Arial" w:hAnsi="Arial" w:cs="Arial"/>
          <w:sz w:val="22"/>
          <w:szCs w:val="22"/>
        </w:rPr>
        <w:t>, 10-20 hours</w:t>
      </w:r>
      <w:r w:rsidR="00FD0597">
        <w:rPr>
          <w:rFonts w:ascii="Arial" w:hAnsi="Arial" w:cs="Arial"/>
          <w:sz w:val="22"/>
          <w:szCs w:val="22"/>
        </w:rPr>
        <w:t xml:space="preserve"> after </w:t>
      </w:r>
      <w:r w:rsidR="0084416F">
        <w:rPr>
          <w:rFonts w:ascii="Arial" w:hAnsi="Arial" w:cs="Arial"/>
          <w:sz w:val="22"/>
          <w:szCs w:val="22"/>
        </w:rPr>
        <w:t xml:space="preserve">the </w:t>
      </w:r>
      <w:r w:rsidR="00FD0597">
        <w:rPr>
          <w:rFonts w:ascii="Arial" w:hAnsi="Arial" w:cs="Arial"/>
          <w:sz w:val="22"/>
          <w:szCs w:val="22"/>
        </w:rPr>
        <w:t>evening dos</w:t>
      </w:r>
      <w:r w:rsidR="0084416F">
        <w:rPr>
          <w:rFonts w:ascii="Arial" w:hAnsi="Arial" w:cs="Arial"/>
          <w:sz w:val="22"/>
          <w:szCs w:val="22"/>
        </w:rPr>
        <w:t>e</w:t>
      </w:r>
      <w:r w:rsidR="000D06A3" w:rsidRPr="000D06A3">
        <w:rPr>
          <w:rFonts w:ascii="Arial" w:hAnsi="Arial" w:cs="Arial"/>
          <w:sz w:val="22"/>
          <w:szCs w:val="22"/>
        </w:rPr>
        <w:t xml:space="preserve"> </w:t>
      </w:r>
      <w:r w:rsidR="000D06A3">
        <w:rPr>
          <w:rFonts w:ascii="Arial" w:hAnsi="Arial" w:cs="Arial"/>
          <w:sz w:val="22"/>
          <w:szCs w:val="22"/>
        </w:rPr>
        <w:t>(mid-dosing)</w:t>
      </w:r>
      <w:r w:rsidR="00FD0597">
        <w:rPr>
          <w:rFonts w:ascii="Arial" w:hAnsi="Arial" w:cs="Arial"/>
          <w:sz w:val="22"/>
          <w:szCs w:val="22"/>
        </w:rPr>
        <w:t>.</w:t>
      </w:r>
      <w:r w:rsidR="00A06E94">
        <w:rPr>
          <w:rFonts w:ascii="Arial" w:hAnsi="Arial" w:cs="Arial"/>
          <w:sz w:val="22"/>
          <w:szCs w:val="22"/>
        </w:rPr>
        <w:t xml:space="preserve"> </w:t>
      </w:r>
      <w:r w:rsidR="00DA639E">
        <w:rPr>
          <w:rFonts w:ascii="Arial" w:hAnsi="Arial" w:cs="Arial"/>
          <w:sz w:val="22"/>
          <w:szCs w:val="22"/>
        </w:rPr>
        <w:t xml:space="preserve">The Cape Town cohort recorded the </w:t>
      </w:r>
      <w:r w:rsidR="00B6222B">
        <w:rPr>
          <w:rFonts w:ascii="Arial" w:hAnsi="Arial" w:cs="Arial"/>
          <w:sz w:val="22"/>
          <w:szCs w:val="22"/>
        </w:rPr>
        <w:t xml:space="preserve">self-reported </w:t>
      </w:r>
      <w:r w:rsidR="00E975D5">
        <w:rPr>
          <w:rFonts w:ascii="Arial" w:hAnsi="Arial" w:cs="Arial"/>
          <w:sz w:val="22"/>
          <w:szCs w:val="22"/>
        </w:rPr>
        <w:t xml:space="preserve">ART </w:t>
      </w:r>
      <w:r w:rsidR="00B6222B">
        <w:rPr>
          <w:rFonts w:ascii="Arial" w:hAnsi="Arial" w:cs="Arial"/>
          <w:sz w:val="22"/>
          <w:szCs w:val="22"/>
        </w:rPr>
        <w:t>dosing</w:t>
      </w:r>
      <w:r w:rsidR="00E975D5">
        <w:rPr>
          <w:rFonts w:ascii="Arial" w:hAnsi="Arial" w:cs="Arial"/>
          <w:sz w:val="22"/>
          <w:szCs w:val="22"/>
        </w:rPr>
        <w:t xml:space="preserve"> time</w:t>
      </w:r>
      <w:r w:rsidR="00B6222B">
        <w:rPr>
          <w:rFonts w:ascii="Arial" w:hAnsi="Arial" w:cs="Arial"/>
          <w:sz w:val="22"/>
          <w:szCs w:val="22"/>
        </w:rPr>
        <w:t>. The</w:t>
      </w:r>
      <w:r w:rsidR="00E975D5">
        <w:rPr>
          <w:rFonts w:ascii="Arial" w:hAnsi="Arial" w:cs="Arial"/>
          <w:sz w:val="22"/>
          <w:szCs w:val="22"/>
        </w:rPr>
        <w:t xml:space="preserve"> </w:t>
      </w:r>
      <w:proofErr w:type="spellStart"/>
      <w:r w:rsidR="00E975D5">
        <w:rPr>
          <w:rFonts w:ascii="Arial" w:hAnsi="Arial" w:cs="Arial"/>
          <w:sz w:val="22"/>
          <w:szCs w:val="22"/>
        </w:rPr>
        <w:t>EndoAfrica</w:t>
      </w:r>
      <w:proofErr w:type="spellEnd"/>
      <w:r w:rsidR="00E975D5">
        <w:rPr>
          <w:rFonts w:ascii="Arial" w:hAnsi="Arial" w:cs="Arial"/>
          <w:sz w:val="22"/>
          <w:szCs w:val="22"/>
        </w:rPr>
        <w:t xml:space="preserve"> cohort investigators </w:t>
      </w:r>
      <w:r w:rsidR="00A06E94">
        <w:rPr>
          <w:rFonts w:ascii="Arial" w:hAnsi="Arial" w:cs="Arial"/>
          <w:sz w:val="22"/>
          <w:szCs w:val="22"/>
        </w:rPr>
        <w:t>reminded</w:t>
      </w:r>
      <w:r w:rsidR="00E975D5">
        <w:rPr>
          <w:rFonts w:ascii="Arial" w:hAnsi="Arial" w:cs="Arial"/>
          <w:sz w:val="22"/>
          <w:szCs w:val="22"/>
        </w:rPr>
        <w:t xml:space="preserve"> participants</w:t>
      </w:r>
      <w:r w:rsidR="00A06E94">
        <w:rPr>
          <w:rFonts w:ascii="Arial" w:hAnsi="Arial" w:cs="Arial"/>
          <w:sz w:val="22"/>
          <w:szCs w:val="22"/>
        </w:rPr>
        <w:t xml:space="preserve"> both one week before and on the day of their last dose</w:t>
      </w:r>
      <w:r w:rsidR="001D022A">
        <w:rPr>
          <w:rFonts w:ascii="Arial" w:hAnsi="Arial" w:cs="Arial"/>
          <w:sz w:val="22"/>
          <w:szCs w:val="22"/>
        </w:rPr>
        <w:t xml:space="preserve"> (</w:t>
      </w:r>
      <w:r w:rsidR="00A06E94">
        <w:rPr>
          <w:rFonts w:ascii="Arial" w:hAnsi="Arial" w:cs="Arial"/>
          <w:sz w:val="22"/>
          <w:szCs w:val="22"/>
        </w:rPr>
        <w:t>prior to sampling</w:t>
      </w:r>
      <w:r w:rsidR="001D022A">
        <w:rPr>
          <w:rFonts w:ascii="Arial" w:hAnsi="Arial" w:cs="Arial"/>
          <w:sz w:val="22"/>
          <w:szCs w:val="22"/>
        </w:rPr>
        <w:t>)</w:t>
      </w:r>
      <w:r w:rsidR="00A06E94">
        <w:rPr>
          <w:rFonts w:ascii="Arial" w:hAnsi="Arial" w:cs="Arial"/>
          <w:sz w:val="22"/>
          <w:szCs w:val="22"/>
        </w:rPr>
        <w:t xml:space="preserve"> </w:t>
      </w:r>
      <w:r w:rsidR="00F10587">
        <w:rPr>
          <w:rFonts w:ascii="Arial" w:hAnsi="Arial" w:cs="Arial"/>
          <w:sz w:val="22"/>
          <w:szCs w:val="22"/>
        </w:rPr>
        <w:t>of</w:t>
      </w:r>
      <w:r w:rsidR="00A06E94">
        <w:rPr>
          <w:rFonts w:ascii="Arial" w:hAnsi="Arial" w:cs="Arial"/>
          <w:sz w:val="22"/>
          <w:szCs w:val="22"/>
        </w:rPr>
        <w:t xml:space="preserve"> </w:t>
      </w:r>
      <w:r w:rsidR="00DA639E">
        <w:rPr>
          <w:rFonts w:ascii="Arial" w:hAnsi="Arial" w:cs="Arial"/>
          <w:sz w:val="22"/>
          <w:szCs w:val="22"/>
        </w:rPr>
        <w:t xml:space="preserve">the time </w:t>
      </w:r>
      <w:r w:rsidR="00A06E94">
        <w:rPr>
          <w:rFonts w:ascii="Arial" w:hAnsi="Arial" w:cs="Arial"/>
          <w:sz w:val="22"/>
          <w:szCs w:val="22"/>
        </w:rPr>
        <w:t>the</w:t>
      </w:r>
      <w:r w:rsidR="001D022A">
        <w:rPr>
          <w:rFonts w:ascii="Arial" w:hAnsi="Arial" w:cs="Arial"/>
          <w:sz w:val="22"/>
          <w:szCs w:val="22"/>
        </w:rPr>
        <w:t xml:space="preserve">y should take their </w:t>
      </w:r>
      <w:r w:rsidR="00C7139A">
        <w:rPr>
          <w:rFonts w:ascii="Arial" w:hAnsi="Arial" w:cs="Arial"/>
          <w:sz w:val="22"/>
          <w:szCs w:val="22"/>
        </w:rPr>
        <w:t>ART</w:t>
      </w:r>
      <w:r w:rsidR="00A06E94">
        <w:rPr>
          <w:rFonts w:ascii="Arial" w:hAnsi="Arial" w:cs="Arial"/>
          <w:sz w:val="22"/>
          <w:szCs w:val="22"/>
        </w:rPr>
        <w:t>.</w:t>
      </w:r>
      <w:r w:rsidR="00C7139A">
        <w:rPr>
          <w:rFonts w:ascii="Arial" w:hAnsi="Arial" w:cs="Arial"/>
          <w:sz w:val="22"/>
          <w:szCs w:val="22"/>
        </w:rPr>
        <w:t xml:space="preserve"> </w:t>
      </w:r>
      <w:r w:rsidR="006F0A0D">
        <w:rPr>
          <w:rFonts w:ascii="Arial" w:hAnsi="Arial" w:cs="Arial"/>
          <w:sz w:val="22"/>
          <w:szCs w:val="22"/>
        </w:rPr>
        <w:t xml:space="preserve">The </w:t>
      </w:r>
      <w:r w:rsidR="00C7139A">
        <w:rPr>
          <w:rFonts w:ascii="Arial" w:hAnsi="Arial" w:cs="Arial"/>
          <w:sz w:val="22"/>
          <w:szCs w:val="22"/>
        </w:rPr>
        <w:t>time of dosing</w:t>
      </w:r>
      <w:r w:rsidR="006F0A0D">
        <w:rPr>
          <w:rFonts w:ascii="Arial" w:hAnsi="Arial" w:cs="Arial"/>
          <w:sz w:val="22"/>
          <w:szCs w:val="22"/>
        </w:rPr>
        <w:t xml:space="preserve"> </w:t>
      </w:r>
      <w:r w:rsidR="00D7377C">
        <w:rPr>
          <w:rFonts w:ascii="Arial" w:hAnsi="Arial" w:cs="Arial"/>
          <w:sz w:val="22"/>
          <w:szCs w:val="22"/>
        </w:rPr>
        <w:t>was</w:t>
      </w:r>
      <w:r w:rsidR="006F0A0D">
        <w:rPr>
          <w:rFonts w:ascii="Arial" w:hAnsi="Arial" w:cs="Arial"/>
          <w:sz w:val="22"/>
          <w:szCs w:val="22"/>
        </w:rPr>
        <w:t xml:space="preserve"> not </w:t>
      </w:r>
      <w:proofErr w:type="gramStart"/>
      <w:r w:rsidR="006F0A0D">
        <w:rPr>
          <w:rFonts w:ascii="Arial" w:hAnsi="Arial" w:cs="Arial"/>
          <w:sz w:val="22"/>
          <w:szCs w:val="22"/>
        </w:rPr>
        <w:t>recorded</w:t>
      </w:r>
      <w:proofErr w:type="gramEnd"/>
      <w:r w:rsidR="00C7139A">
        <w:rPr>
          <w:rFonts w:ascii="Arial" w:hAnsi="Arial" w:cs="Arial"/>
          <w:sz w:val="22"/>
          <w:szCs w:val="22"/>
        </w:rPr>
        <w:t xml:space="preserve"> and </w:t>
      </w:r>
      <w:r w:rsidR="006F0A0D">
        <w:rPr>
          <w:rFonts w:ascii="Arial" w:hAnsi="Arial" w:cs="Arial"/>
          <w:sz w:val="22"/>
          <w:szCs w:val="22"/>
        </w:rPr>
        <w:t xml:space="preserve">investigators </w:t>
      </w:r>
      <w:r w:rsidR="00C7139A">
        <w:rPr>
          <w:rFonts w:ascii="Arial" w:hAnsi="Arial" w:cs="Arial"/>
          <w:sz w:val="22"/>
          <w:szCs w:val="22"/>
        </w:rPr>
        <w:t xml:space="preserve">assumed </w:t>
      </w:r>
      <w:r w:rsidR="00DA639E">
        <w:rPr>
          <w:rFonts w:ascii="Arial" w:hAnsi="Arial" w:cs="Arial"/>
          <w:sz w:val="22"/>
          <w:szCs w:val="22"/>
        </w:rPr>
        <w:t>the dosing instructions were followed</w:t>
      </w:r>
      <w:r w:rsidR="00C7139A">
        <w:rPr>
          <w:rFonts w:ascii="Arial" w:hAnsi="Arial" w:cs="Arial"/>
          <w:sz w:val="22"/>
          <w:szCs w:val="22"/>
        </w:rPr>
        <w:t>.</w:t>
      </w:r>
      <w:r w:rsidR="009A5E1A">
        <w:rPr>
          <w:rFonts w:ascii="Arial" w:hAnsi="Arial" w:cs="Arial"/>
          <w:sz w:val="22"/>
          <w:szCs w:val="22"/>
        </w:rPr>
        <w:t xml:space="preserve"> A single sample was taken</w:t>
      </w:r>
      <w:r w:rsidR="00FB0355">
        <w:rPr>
          <w:rFonts w:ascii="Arial" w:hAnsi="Arial" w:cs="Arial"/>
          <w:sz w:val="22"/>
          <w:szCs w:val="22"/>
        </w:rPr>
        <w:t>, with the time of sampling being recorded</w:t>
      </w:r>
      <w:r w:rsidR="00465DC9">
        <w:rPr>
          <w:rFonts w:ascii="Arial" w:hAnsi="Arial" w:cs="Arial"/>
          <w:sz w:val="22"/>
          <w:szCs w:val="22"/>
        </w:rPr>
        <w:t>.</w:t>
      </w:r>
      <w:r w:rsidR="0084416F">
        <w:rPr>
          <w:rFonts w:ascii="Arial" w:hAnsi="Arial" w:cs="Arial"/>
          <w:sz w:val="22"/>
          <w:szCs w:val="22"/>
        </w:rPr>
        <w:t xml:space="preserve"> </w:t>
      </w:r>
      <w:r w:rsidRPr="00D04B64">
        <w:rPr>
          <w:rFonts w:ascii="Arial" w:hAnsi="Arial" w:cs="Arial"/>
          <w:sz w:val="22"/>
          <w:szCs w:val="22"/>
        </w:rPr>
        <w:t xml:space="preserve">The blood samples were centrifuged within an hour of collection </w:t>
      </w:r>
      <w:r w:rsidR="00FE2F7D">
        <w:rPr>
          <w:rFonts w:ascii="Arial" w:hAnsi="Arial" w:cs="Arial"/>
          <w:sz w:val="22"/>
          <w:szCs w:val="22"/>
        </w:rPr>
        <w:t xml:space="preserve">and </w:t>
      </w:r>
      <w:r w:rsidRPr="00D04B64">
        <w:rPr>
          <w:rFonts w:ascii="Arial" w:hAnsi="Arial" w:cs="Arial"/>
          <w:sz w:val="22"/>
          <w:szCs w:val="22"/>
        </w:rPr>
        <w:t>stored at -80°</w:t>
      </w:r>
      <w:r>
        <w:rPr>
          <w:rFonts w:ascii="Arial" w:hAnsi="Arial" w:cs="Arial"/>
          <w:sz w:val="22"/>
          <w:szCs w:val="22"/>
        </w:rPr>
        <w:t>C</w:t>
      </w:r>
      <w:r w:rsidR="00FD0597">
        <w:rPr>
          <w:rFonts w:ascii="Arial" w:hAnsi="Arial" w:cs="Arial"/>
          <w:sz w:val="22"/>
          <w:szCs w:val="22"/>
        </w:rPr>
        <w:t xml:space="preserve"> until analysis</w:t>
      </w:r>
      <w:r>
        <w:rPr>
          <w:rFonts w:ascii="Arial" w:hAnsi="Arial" w:cs="Arial"/>
          <w:sz w:val="22"/>
          <w:szCs w:val="22"/>
        </w:rPr>
        <w:t>.</w:t>
      </w:r>
      <w:r w:rsidR="000823EA">
        <w:rPr>
          <w:rFonts w:ascii="Arial" w:hAnsi="Arial" w:cs="Arial"/>
          <w:sz w:val="22"/>
          <w:szCs w:val="22"/>
        </w:rPr>
        <w:t xml:space="preserve"> Pharmacokinetic sampling </w:t>
      </w:r>
      <w:r w:rsidR="00CC4A86">
        <w:rPr>
          <w:rFonts w:ascii="Arial" w:hAnsi="Arial" w:cs="Arial"/>
          <w:sz w:val="22"/>
          <w:szCs w:val="22"/>
        </w:rPr>
        <w:t>was</w:t>
      </w:r>
      <w:r w:rsidR="00A75779">
        <w:rPr>
          <w:rFonts w:ascii="Arial" w:hAnsi="Arial" w:cs="Arial"/>
          <w:sz w:val="22"/>
          <w:szCs w:val="22"/>
        </w:rPr>
        <w:t xml:space="preserve"> done in the Cape Town cohort as part of the study procedures, while pharmacokinetic analys</w:t>
      </w:r>
      <w:r w:rsidR="00F97CA0">
        <w:rPr>
          <w:rFonts w:ascii="Arial" w:hAnsi="Arial" w:cs="Arial"/>
          <w:sz w:val="22"/>
          <w:szCs w:val="22"/>
        </w:rPr>
        <w:t>e</w:t>
      </w:r>
      <w:r w:rsidR="00A75779">
        <w:rPr>
          <w:rFonts w:ascii="Arial" w:hAnsi="Arial" w:cs="Arial"/>
          <w:sz w:val="22"/>
          <w:szCs w:val="22"/>
        </w:rPr>
        <w:t xml:space="preserve">s were done retrospectively on stored samples from the </w:t>
      </w:r>
      <w:proofErr w:type="spellStart"/>
      <w:r w:rsidR="00A75779">
        <w:rPr>
          <w:rFonts w:ascii="Arial" w:hAnsi="Arial" w:cs="Arial"/>
          <w:sz w:val="22"/>
          <w:szCs w:val="22"/>
        </w:rPr>
        <w:t>EndoAfrica</w:t>
      </w:r>
      <w:proofErr w:type="spellEnd"/>
      <w:r w:rsidR="00A75779">
        <w:rPr>
          <w:rFonts w:ascii="Arial" w:hAnsi="Arial" w:cs="Arial"/>
          <w:sz w:val="22"/>
          <w:szCs w:val="22"/>
        </w:rPr>
        <w:t xml:space="preserve"> cohort.</w:t>
      </w:r>
    </w:p>
    <w:p w14:paraId="7290B5EB" w14:textId="642E6BE6" w:rsidR="005950B4" w:rsidRDefault="005950B4" w:rsidP="00292D0F">
      <w:pPr>
        <w:spacing w:line="480" w:lineRule="auto"/>
        <w:jc w:val="both"/>
        <w:rPr>
          <w:rFonts w:ascii="Arial" w:hAnsi="Arial" w:cs="Arial"/>
          <w:sz w:val="22"/>
          <w:szCs w:val="22"/>
        </w:rPr>
      </w:pPr>
    </w:p>
    <w:p w14:paraId="3915ECDE" w14:textId="71BAEB13" w:rsidR="0073261B" w:rsidRDefault="0073261B">
      <w:pPr>
        <w:spacing w:line="480" w:lineRule="auto"/>
        <w:jc w:val="both"/>
        <w:rPr>
          <w:rFonts w:ascii="Arial" w:hAnsi="Arial" w:cs="Arial"/>
          <w:sz w:val="22"/>
          <w:szCs w:val="22"/>
        </w:rPr>
      </w:pPr>
      <w:r>
        <w:rPr>
          <w:rFonts w:ascii="Arial" w:hAnsi="Arial" w:cs="Arial"/>
          <w:b/>
          <w:i/>
          <w:sz w:val="22"/>
          <w:szCs w:val="22"/>
        </w:rPr>
        <w:t>EFV, TFV, FTC</w:t>
      </w:r>
      <w:r w:rsidRPr="00805A39">
        <w:rPr>
          <w:rFonts w:ascii="Arial" w:hAnsi="Arial" w:cs="Arial"/>
          <w:b/>
          <w:i/>
          <w:sz w:val="22"/>
          <w:szCs w:val="22"/>
        </w:rPr>
        <w:t xml:space="preserve"> </w:t>
      </w:r>
      <w:r>
        <w:rPr>
          <w:rFonts w:ascii="Arial" w:hAnsi="Arial" w:cs="Arial"/>
          <w:b/>
          <w:i/>
          <w:sz w:val="22"/>
          <w:szCs w:val="22"/>
        </w:rPr>
        <w:t>and 8-OH-EFV measuremen</w:t>
      </w:r>
      <w:r w:rsidRPr="002554B2">
        <w:rPr>
          <w:rFonts w:ascii="Arial" w:hAnsi="Arial" w:cs="Arial"/>
          <w:b/>
          <w:i/>
          <w:sz w:val="22"/>
          <w:szCs w:val="22"/>
        </w:rPr>
        <w:t>t</w:t>
      </w:r>
      <w:r w:rsidR="00EE5023" w:rsidRPr="002554B2">
        <w:rPr>
          <w:rFonts w:ascii="Arial" w:hAnsi="Arial" w:cs="Arial"/>
          <w:b/>
          <w:i/>
          <w:sz w:val="22"/>
          <w:szCs w:val="22"/>
        </w:rPr>
        <w:t>s</w:t>
      </w:r>
      <w:r w:rsidRPr="00805A39">
        <w:rPr>
          <w:rFonts w:ascii="Arial" w:hAnsi="Arial" w:cs="Arial"/>
          <w:b/>
          <w:i/>
          <w:sz w:val="22"/>
          <w:szCs w:val="22"/>
        </w:rPr>
        <w:t>:</w:t>
      </w:r>
      <w:r w:rsidRPr="00805A39">
        <w:rPr>
          <w:rFonts w:ascii="Arial" w:hAnsi="Arial" w:cs="Arial"/>
          <w:b/>
          <w:sz w:val="22"/>
          <w:szCs w:val="22"/>
        </w:rPr>
        <w:t xml:space="preserve"> </w:t>
      </w:r>
      <w:r>
        <w:rPr>
          <w:rFonts w:ascii="Arial" w:hAnsi="Arial" w:cs="Arial"/>
          <w:sz w:val="22"/>
          <w:szCs w:val="22"/>
        </w:rPr>
        <w:t>Drug assays were</w:t>
      </w:r>
      <w:r w:rsidRPr="00805A39">
        <w:rPr>
          <w:rFonts w:ascii="Arial" w:hAnsi="Arial" w:cs="Arial"/>
          <w:sz w:val="22"/>
          <w:szCs w:val="22"/>
        </w:rPr>
        <w:t xml:space="preserve"> performed at </w:t>
      </w:r>
      <w:r>
        <w:rPr>
          <w:rFonts w:ascii="Arial" w:hAnsi="Arial" w:cs="Arial"/>
          <w:sz w:val="22"/>
          <w:szCs w:val="22"/>
        </w:rPr>
        <w:t>3</w:t>
      </w:r>
      <w:r w:rsidRPr="00805A39">
        <w:rPr>
          <w:rFonts w:ascii="Arial" w:hAnsi="Arial" w:cs="Arial"/>
          <w:sz w:val="22"/>
          <w:szCs w:val="22"/>
        </w:rPr>
        <w:t xml:space="preserve"> laboratories.</w:t>
      </w:r>
      <w:r>
        <w:rPr>
          <w:rFonts w:ascii="Arial" w:hAnsi="Arial" w:cs="Arial"/>
          <w:sz w:val="22"/>
          <w:szCs w:val="22"/>
        </w:rPr>
        <w:t xml:space="preserve"> The Cape Town cohort samples were </w:t>
      </w:r>
      <w:proofErr w:type="spellStart"/>
      <w:r>
        <w:rPr>
          <w:rFonts w:ascii="Arial" w:hAnsi="Arial" w:cs="Arial"/>
          <w:sz w:val="22"/>
          <w:szCs w:val="22"/>
        </w:rPr>
        <w:t>analysed</w:t>
      </w:r>
      <w:proofErr w:type="spellEnd"/>
      <w:r>
        <w:rPr>
          <w:rFonts w:ascii="Arial" w:hAnsi="Arial" w:cs="Arial"/>
          <w:sz w:val="22"/>
          <w:szCs w:val="22"/>
        </w:rPr>
        <w:t xml:space="preserve"> in the </w:t>
      </w:r>
      <w:r w:rsidRPr="00805A39">
        <w:rPr>
          <w:rFonts w:ascii="Arial" w:hAnsi="Arial" w:cs="Arial"/>
          <w:sz w:val="22"/>
          <w:szCs w:val="22"/>
        </w:rPr>
        <w:t>Division of Clinical Pharmacology at the University of Cape Town</w:t>
      </w:r>
      <w:r>
        <w:rPr>
          <w:rFonts w:ascii="Arial" w:hAnsi="Arial" w:cs="Arial"/>
          <w:sz w:val="22"/>
          <w:szCs w:val="22"/>
        </w:rPr>
        <w:t xml:space="preserve"> (UCT) and in t</w:t>
      </w:r>
      <w:r w:rsidRPr="00805A39">
        <w:rPr>
          <w:rFonts w:ascii="Arial" w:hAnsi="Arial" w:cs="Arial"/>
          <w:sz w:val="22"/>
          <w:szCs w:val="22"/>
        </w:rPr>
        <w:t>he Bioanalytical Facility, Department of Molecular and Clinical Pharmacology</w:t>
      </w:r>
      <w:r>
        <w:rPr>
          <w:rFonts w:ascii="Arial" w:hAnsi="Arial" w:cs="Arial"/>
          <w:sz w:val="22"/>
          <w:szCs w:val="22"/>
        </w:rPr>
        <w:t>,</w:t>
      </w:r>
      <w:r w:rsidRPr="00805A39">
        <w:rPr>
          <w:rFonts w:ascii="Arial" w:hAnsi="Arial" w:cs="Arial"/>
          <w:sz w:val="22"/>
          <w:szCs w:val="22"/>
        </w:rPr>
        <w:t xml:space="preserve"> at the University of Liverpool</w:t>
      </w:r>
      <w:r>
        <w:rPr>
          <w:rFonts w:ascii="Arial" w:hAnsi="Arial" w:cs="Arial"/>
          <w:sz w:val="22"/>
          <w:szCs w:val="22"/>
        </w:rPr>
        <w:t xml:space="preserve"> (UL); while the </w:t>
      </w:r>
      <w:proofErr w:type="spellStart"/>
      <w:r>
        <w:rPr>
          <w:rFonts w:ascii="Arial" w:hAnsi="Arial" w:cs="Arial"/>
          <w:sz w:val="22"/>
          <w:szCs w:val="22"/>
        </w:rPr>
        <w:t>EndoAfrica</w:t>
      </w:r>
      <w:proofErr w:type="spellEnd"/>
      <w:r>
        <w:rPr>
          <w:rFonts w:ascii="Arial" w:hAnsi="Arial" w:cs="Arial"/>
          <w:sz w:val="22"/>
          <w:szCs w:val="22"/>
        </w:rPr>
        <w:t xml:space="preserve"> cohort samples were </w:t>
      </w:r>
      <w:proofErr w:type="spellStart"/>
      <w:r>
        <w:rPr>
          <w:rFonts w:ascii="Arial" w:hAnsi="Arial" w:cs="Arial"/>
          <w:sz w:val="22"/>
          <w:szCs w:val="22"/>
        </w:rPr>
        <w:t>analysed</w:t>
      </w:r>
      <w:proofErr w:type="spellEnd"/>
      <w:r>
        <w:rPr>
          <w:rFonts w:ascii="Arial" w:hAnsi="Arial" w:cs="Arial"/>
          <w:sz w:val="22"/>
          <w:szCs w:val="22"/>
        </w:rPr>
        <w:t xml:space="preserve"> in the a</w:t>
      </w:r>
      <w:r w:rsidRPr="00805A39">
        <w:rPr>
          <w:rFonts w:ascii="Arial" w:hAnsi="Arial" w:cs="Arial"/>
          <w:sz w:val="22"/>
          <w:szCs w:val="22"/>
        </w:rPr>
        <w:t xml:space="preserve">nalytical </w:t>
      </w:r>
      <w:r>
        <w:rPr>
          <w:rFonts w:ascii="Arial" w:hAnsi="Arial" w:cs="Arial"/>
          <w:sz w:val="22"/>
          <w:szCs w:val="22"/>
        </w:rPr>
        <w:t>l</w:t>
      </w:r>
      <w:r w:rsidRPr="00805A39">
        <w:rPr>
          <w:rFonts w:ascii="Arial" w:hAnsi="Arial" w:cs="Arial"/>
          <w:sz w:val="22"/>
          <w:szCs w:val="22"/>
        </w:rPr>
        <w:t xml:space="preserve">aboratory in the Division of Clinical Pharmacology at </w:t>
      </w:r>
      <w:r>
        <w:rPr>
          <w:rFonts w:ascii="Arial" w:hAnsi="Arial" w:cs="Arial"/>
          <w:sz w:val="22"/>
          <w:szCs w:val="22"/>
        </w:rPr>
        <w:t xml:space="preserve">Stellenbosch University (SU). </w:t>
      </w:r>
      <w:r w:rsidRPr="00805A39">
        <w:rPr>
          <w:rFonts w:ascii="Arial" w:hAnsi="Arial" w:cs="Arial"/>
          <w:sz w:val="22"/>
          <w:szCs w:val="22"/>
        </w:rPr>
        <w:t xml:space="preserve"> The </w:t>
      </w:r>
      <w:r>
        <w:rPr>
          <w:rFonts w:ascii="Arial" w:hAnsi="Arial" w:cs="Arial"/>
          <w:sz w:val="22"/>
          <w:szCs w:val="22"/>
        </w:rPr>
        <w:t>a</w:t>
      </w:r>
      <w:r w:rsidRPr="00805A39">
        <w:rPr>
          <w:rFonts w:ascii="Arial" w:hAnsi="Arial" w:cs="Arial"/>
          <w:sz w:val="22"/>
          <w:szCs w:val="22"/>
        </w:rPr>
        <w:t xml:space="preserve">nalytical </w:t>
      </w:r>
      <w:r>
        <w:rPr>
          <w:rFonts w:ascii="Arial" w:hAnsi="Arial" w:cs="Arial"/>
          <w:sz w:val="22"/>
          <w:szCs w:val="22"/>
        </w:rPr>
        <w:t>l</w:t>
      </w:r>
      <w:r w:rsidRPr="00805A39">
        <w:rPr>
          <w:rFonts w:ascii="Arial" w:hAnsi="Arial" w:cs="Arial"/>
          <w:sz w:val="22"/>
          <w:szCs w:val="22"/>
        </w:rPr>
        <w:t xml:space="preserve">aboratory in the Division of Clinical Pharmacology at </w:t>
      </w:r>
      <w:r>
        <w:rPr>
          <w:rFonts w:ascii="Arial" w:hAnsi="Arial" w:cs="Arial"/>
          <w:sz w:val="22"/>
          <w:szCs w:val="22"/>
        </w:rPr>
        <w:t>UCT</w:t>
      </w:r>
      <w:r w:rsidRPr="00805A39">
        <w:rPr>
          <w:rFonts w:ascii="Arial" w:hAnsi="Arial" w:cs="Arial"/>
          <w:sz w:val="22"/>
          <w:szCs w:val="22"/>
        </w:rPr>
        <w:t xml:space="preserve"> </w:t>
      </w:r>
      <w:r>
        <w:rPr>
          <w:rFonts w:ascii="Arial" w:hAnsi="Arial" w:cs="Arial"/>
          <w:sz w:val="22"/>
          <w:szCs w:val="22"/>
        </w:rPr>
        <w:t>measured total EFV, TFV and FTC concentrations in plasma using</w:t>
      </w:r>
      <w:r w:rsidRPr="00805A39">
        <w:rPr>
          <w:rFonts w:ascii="Arial" w:hAnsi="Arial" w:cs="Arial"/>
          <w:sz w:val="22"/>
          <w:szCs w:val="22"/>
        </w:rPr>
        <w:t xml:space="preserve"> validated</w:t>
      </w:r>
      <w:r>
        <w:rPr>
          <w:rFonts w:ascii="Arial" w:hAnsi="Arial" w:cs="Arial"/>
          <w:sz w:val="22"/>
          <w:szCs w:val="22"/>
        </w:rPr>
        <w:t xml:space="preserve"> </w:t>
      </w:r>
      <w:r w:rsidRPr="00805A39">
        <w:rPr>
          <w:rFonts w:ascii="Arial" w:hAnsi="Arial" w:cs="Arial"/>
          <w:sz w:val="22"/>
          <w:szCs w:val="22"/>
        </w:rPr>
        <w:t>liquid chromatography tandem mass spectrometry (LC</w:t>
      </w:r>
      <w:r w:rsidR="00327E2B">
        <w:rPr>
          <w:rFonts w:ascii="Arial" w:hAnsi="Arial" w:cs="Arial"/>
          <w:sz w:val="22"/>
          <w:szCs w:val="22"/>
        </w:rPr>
        <w:t>-</w:t>
      </w:r>
      <w:r w:rsidRPr="00805A39">
        <w:rPr>
          <w:rFonts w:ascii="Arial" w:hAnsi="Arial" w:cs="Arial"/>
          <w:sz w:val="22"/>
          <w:szCs w:val="22"/>
        </w:rPr>
        <w:t>MS</w:t>
      </w:r>
      <w:r w:rsidR="00327E2B">
        <w:rPr>
          <w:rFonts w:ascii="Arial" w:hAnsi="Arial" w:cs="Arial"/>
          <w:sz w:val="22"/>
          <w:szCs w:val="22"/>
        </w:rPr>
        <w:t>/</w:t>
      </w:r>
      <w:r w:rsidRPr="00805A39">
        <w:rPr>
          <w:rFonts w:ascii="Arial" w:hAnsi="Arial" w:cs="Arial"/>
          <w:sz w:val="22"/>
          <w:szCs w:val="22"/>
        </w:rPr>
        <w:t>MS)</w:t>
      </w:r>
      <w:r>
        <w:rPr>
          <w:rFonts w:ascii="Arial" w:hAnsi="Arial" w:cs="Arial"/>
          <w:sz w:val="22"/>
          <w:szCs w:val="22"/>
        </w:rPr>
        <w:t xml:space="preserve"> assays</w:t>
      </w:r>
      <w:r w:rsidRPr="00805A39">
        <w:rPr>
          <w:rFonts w:ascii="Arial" w:hAnsi="Arial" w:cs="Arial"/>
          <w:sz w:val="22"/>
          <w:szCs w:val="22"/>
        </w:rPr>
        <w:t>. The laboratory subscribes to the National Institute of Allergies and Infectious Di</w:t>
      </w:r>
      <w:r>
        <w:rPr>
          <w:rFonts w:ascii="Arial" w:hAnsi="Arial" w:cs="Arial"/>
          <w:sz w:val="22"/>
          <w:szCs w:val="22"/>
        </w:rPr>
        <w:t>se</w:t>
      </w:r>
      <w:r w:rsidRPr="00805A39">
        <w:rPr>
          <w:rFonts w:ascii="Arial" w:hAnsi="Arial" w:cs="Arial"/>
          <w:sz w:val="22"/>
          <w:szCs w:val="22"/>
        </w:rPr>
        <w:t xml:space="preserve">ases Division of AIDS Clinical Pharmacology Quality Assurance Antiretroviral Proficiency Testing Program. </w:t>
      </w:r>
      <w:r>
        <w:rPr>
          <w:rFonts w:ascii="Arial" w:hAnsi="Arial" w:cs="Arial"/>
          <w:sz w:val="22"/>
          <w:szCs w:val="22"/>
        </w:rPr>
        <w:t>L</w:t>
      </w:r>
      <w:r w:rsidRPr="00805A39">
        <w:rPr>
          <w:rFonts w:ascii="Arial" w:hAnsi="Arial" w:cs="Arial"/>
          <w:sz w:val="22"/>
          <w:szCs w:val="22"/>
        </w:rPr>
        <w:t>ower limit</w:t>
      </w:r>
      <w:r>
        <w:rPr>
          <w:rFonts w:ascii="Arial" w:hAnsi="Arial" w:cs="Arial"/>
          <w:sz w:val="22"/>
          <w:szCs w:val="22"/>
        </w:rPr>
        <w:t>s</w:t>
      </w:r>
      <w:r w:rsidRPr="00805A39">
        <w:rPr>
          <w:rFonts w:ascii="Arial" w:hAnsi="Arial" w:cs="Arial"/>
          <w:sz w:val="22"/>
          <w:szCs w:val="22"/>
        </w:rPr>
        <w:t xml:space="preserve"> of quantification</w:t>
      </w:r>
      <w:r>
        <w:rPr>
          <w:rFonts w:ascii="Arial" w:hAnsi="Arial" w:cs="Arial"/>
          <w:sz w:val="22"/>
          <w:szCs w:val="22"/>
        </w:rPr>
        <w:t xml:space="preserve"> (LLQ)</w:t>
      </w:r>
      <w:r w:rsidRPr="00805A39">
        <w:rPr>
          <w:rFonts w:ascii="Arial" w:hAnsi="Arial" w:cs="Arial"/>
          <w:sz w:val="22"/>
          <w:szCs w:val="22"/>
        </w:rPr>
        <w:t xml:space="preserve"> for plasma</w:t>
      </w:r>
      <w:r>
        <w:rPr>
          <w:rFonts w:ascii="Arial" w:hAnsi="Arial" w:cs="Arial"/>
          <w:sz w:val="22"/>
          <w:szCs w:val="22"/>
        </w:rPr>
        <w:t xml:space="preserve"> EFV, TFV</w:t>
      </w:r>
      <w:r w:rsidRPr="00805A39">
        <w:rPr>
          <w:rFonts w:ascii="Arial" w:hAnsi="Arial" w:cs="Arial"/>
          <w:sz w:val="22"/>
          <w:szCs w:val="22"/>
        </w:rPr>
        <w:t xml:space="preserve"> and </w:t>
      </w:r>
      <w:r>
        <w:rPr>
          <w:rFonts w:ascii="Arial" w:hAnsi="Arial" w:cs="Arial"/>
          <w:sz w:val="22"/>
          <w:szCs w:val="22"/>
        </w:rPr>
        <w:t>FTC</w:t>
      </w:r>
      <w:r w:rsidRPr="00805A39">
        <w:rPr>
          <w:rFonts w:ascii="Arial" w:hAnsi="Arial" w:cs="Arial"/>
          <w:sz w:val="22"/>
          <w:szCs w:val="22"/>
        </w:rPr>
        <w:t xml:space="preserve"> were 19.5 ng/ml, 10.0 ng/</w:t>
      </w:r>
      <w:proofErr w:type="gramStart"/>
      <w:r w:rsidRPr="00805A39">
        <w:rPr>
          <w:rFonts w:ascii="Arial" w:hAnsi="Arial" w:cs="Arial"/>
          <w:sz w:val="22"/>
          <w:szCs w:val="22"/>
        </w:rPr>
        <w:t>ml</w:t>
      </w:r>
      <w:proofErr w:type="gramEnd"/>
      <w:r w:rsidRPr="00805A39">
        <w:rPr>
          <w:rFonts w:ascii="Arial" w:hAnsi="Arial" w:cs="Arial"/>
          <w:sz w:val="22"/>
          <w:szCs w:val="22"/>
        </w:rPr>
        <w:t xml:space="preserve"> and 37.5 ng/ml</w:t>
      </w:r>
      <w:r>
        <w:rPr>
          <w:rFonts w:ascii="Arial" w:hAnsi="Arial" w:cs="Arial"/>
          <w:sz w:val="22"/>
          <w:szCs w:val="22"/>
        </w:rPr>
        <w:t>,</w:t>
      </w:r>
      <w:r w:rsidRPr="00805A39">
        <w:rPr>
          <w:rFonts w:ascii="Arial" w:hAnsi="Arial" w:cs="Arial"/>
          <w:sz w:val="22"/>
          <w:szCs w:val="22"/>
        </w:rPr>
        <w:t xml:space="preserve"> respectively</w:t>
      </w:r>
      <w:r>
        <w:rPr>
          <w:rFonts w:ascii="Arial" w:hAnsi="Arial" w:cs="Arial"/>
          <w:sz w:val="22"/>
          <w:szCs w:val="22"/>
        </w:rPr>
        <w:t xml:space="preserve">.  </w:t>
      </w:r>
      <w:r w:rsidRPr="00805A39">
        <w:rPr>
          <w:rFonts w:ascii="Arial" w:hAnsi="Arial" w:cs="Arial"/>
          <w:sz w:val="22"/>
          <w:szCs w:val="22"/>
        </w:rPr>
        <w:t xml:space="preserve">The Bioanalytical Facility, Department of Molecular and Clinical Pharmacology at the </w:t>
      </w:r>
      <w:r>
        <w:rPr>
          <w:rFonts w:ascii="Arial" w:hAnsi="Arial" w:cs="Arial"/>
          <w:sz w:val="22"/>
          <w:szCs w:val="22"/>
        </w:rPr>
        <w:t xml:space="preserve">UL measured total </w:t>
      </w:r>
      <w:r w:rsidRPr="00805A39">
        <w:rPr>
          <w:rFonts w:ascii="Arial" w:hAnsi="Arial" w:cs="Arial"/>
          <w:sz w:val="22"/>
          <w:szCs w:val="22"/>
        </w:rPr>
        <w:t>plasma 8-OH-EFV concentrations in plasma us</w:t>
      </w:r>
      <w:r>
        <w:rPr>
          <w:rFonts w:ascii="Arial" w:hAnsi="Arial" w:cs="Arial"/>
          <w:sz w:val="22"/>
          <w:szCs w:val="22"/>
        </w:rPr>
        <w:t>ing</w:t>
      </w:r>
      <w:r w:rsidRPr="00805A39">
        <w:rPr>
          <w:rFonts w:ascii="Arial" w:hAnsi="Arial" w:cs="Arial"/>
          <w:sz w:val="22"/>
          <w:szCs w:val="22"/>
        </w:rPr>
        <w:t xml:space="preserve"> validated</w:t>
      </w:r>
      <w:r>
        <w:rPr>
          <w:rFonts w:ascii="Arial" w:hAnsi="Arial" w:cs="Arial"/>
          <w:sz w:val="22"/>
          <w:szCs w:val="22"/>
        </w:rPr>
        <w:t xml:space="preserve"> </w:t>
      </w:r>
      <w:r w:rsidRPr="00805A39">
        <w:rPr>
          <w:rFonts w:ascii="Arial" w:hAnsi="Arial" w:cs="Arial"/>
          <w:sz w:val="22"/>
          <w:szCs w:val="22"/>
        </w:rPr>
        <w:t>LC</w:t>
      </w:r>
      <w:r w:rsidR="00327E2B">
        <w:rPr>
          <w:rFonts w:ascii="Arial" w:hAnsi="Arial" w:cs="Arial"/>
          <w:sz w:val="22"/>
          <w:szCs w:val="22"/>
        </w:rPr>
        <w:t>-</w:t>
      </w:r>
      <w:r w:rsidRPr="00805A39">
        <w:rPr>
          <w:rFonts w:ascii="Arial" w:hAnsi="Arial" w:cs="Arial"/>
          <w:sz w:val="22"/>
          <w:szCs w:val="22"/>
        </w:rPr>
        <w:t>MS</w:t>
      </w:r>
      <w:r w:rsidR="00327E2B">
        <w:rPr>
          <w:rFonts w:ascii="Arial" w:hAnsi="Arial" w:cs="Arial"/>
          <w:sz w:val="22"/>
          <w:szCs w:val="22"/>
        </w:rPr>
        <w:t>/</w:t>
      </w:r>
      <w:r w:rsidRPr="00805A39">
        <w:rPr>
          <w:rFonts w:ascii="Arial" w:hAnsi="Arial" w:cs="Arial"/>
          <w:sz w:val="22"/>
          <w:szCs w:val="22"/>
        </w:rPr>
        <w:t>MS</w:t>
      </w:r>
      <w:r>
        <w:rPr>
          <w:rFonts w:ascii="Arial" w:hAnsi="Arial" w:cs="Arial"/>
          <w:sz w:val="22"/>
          <w:szCs w:val="22"/>
        </w:rPr>
        <w:t xml:space="preserve"> assays</w:t>
      </w:r>
      <w:r w:rsidR="00937570">
        <w:rPr>
          <w:rFonts w:ascii="Arial" w:hAnsi="Arial" w:cs="Arial"/>
          <w:sz w:val="22"/>
          <w:szCs w:val="22"/>
        </w:rPr>
        <w:t xml:space="preserve"> </w:t>
      </w:r>
      <w:r>
        <w:rPr>
          <w:rFonts w:ascii="Arial" w:hAnsi="Arial" w:cs="Arial"/>
          <w:sz w:val="22"/>
          <w:szCs w:val="22"/>
        </w:rPr>
        <w:fldChar w:fldCharType="begin" w:fldLock="1"/>
      </w:r>
      <w:r w:rsidR="00FE7C39">
        <w:rPr>
          <w:rFonts w:ascii="Arial" w:hAnsi="Arial" w:cs="Arial"/>
          <w:sz w:val="22"/>
          <w:szCs w:val="22"/>
        </w:rPr>
        <w:instrText>ADDIN CSL_CITATION {"citationItems":[{"id":"ITEM-1","itemData":{"DOI":"10.1128/AAC.00280-16","ISSN":"10986596","PMID":"27161633","abstract":"Efavirenz (EFZ) has been associated with neuropsychiatric side effects. Recently, the 8-hydroxy-EFZ (8OH-EFZ) metabolite has been shown to be a potent neurotoxin in vitro, inducing neuronal damage at concentrations of 3.3 ng/ml. EFZ induced similar neuronal damage at concentrations of 31.6 ng/ml. We investigated the effect of genotype and blood-brain barrier integrity on EFZ metabolite concentrations in cerebrospinal fluid (CSF). We measured CSF drug concentrations in subjects from two separate study populations: 47 subjects with tuberculous meningitis (TBM) coinfection in Vietnam receiving 800 mg EFZ with standard antituberculous treatment and 25 subjects from the PARTITION study in the United Kingdom without central nervous system infection receiving 600 mg EFZ. EFZ and metabolite concentrations in CSF and plasma were measured and compared with estimates of effecti</w:instrText>
      </w:r>
      <w:r w:rsidR="00FE7C39">
        <w:rPr>
          <w:rFonts w:ascii="Arial" w:hAnsi="Arial" w:cs="Arial" w:hint="eastAsia"/>
          <w:sz w:val="22"/>
          <w:szCs w:val="22"/>
        </w:rPr>
        <w:instrText>veness and neurotoxicity from available published in vitro and in vivo data. The effect of the CYP2B6 c.516G</w:instrText>
      </w:r>
      <w:r w:rsidR="00FE7C39">
        <w:rPr>
          <w:rFonts w:ascii="Arial" w:hAnsi="Arial" w:cs="Arial" w:hint="eastAsia"/>
          <w:sz w:val="22"/>
          <w:szCs w:val="22"/>
        </w:rPr>
        <w:instrText>→</w:instrText>
      </w:r>
      <w:r w:rsidR="00FE7C39">
        <w:rPr>
          <w:rFonts w:ascii="Arial" w:hAnsi="Arial" w:cs="Arial" w:hint="eastAsia"/>
          <w:sz w:val="22"/>
          <w:szCs w:val="22"/>
        </w:rPr>
        <w:instrText xml:space="preserve">T genotype (GG genotype, fast EFV metabolizer status; GT genotype, intermediate EFV metabolizer status; TT genotype, slow EFV metabolizer status) </w:instrText>
      </w:r>
      <w:r w:rsidR="00FE7C39">
        <w:rPr>
          <w:rFonts w:ascii="Arial" w:hAnsi="Arial" w:cs="Arial"/>
          <w:sz w:val="22"/>
          <w:szCs w:val="22"/>
        </w:rPr>
        <w:instrText>was examined. The mean CSF concentrations of EFZ and 8OH-EFZ in the TBM group were 60.3 and 39.3 ng/ml, respectively, and those in the no-TBM group were 15.0 and 5.9 ng/ml, respectively. Plasma EFZ and 8OH-EFZ concentrations were similar between the two groups. CSF EFZ concentrations were above the in vitro toxic concentration in 76% of samples (GG genotype, 61%; GT genotype, 90%; TT genotype, 100%) in the TBM group and 13% of samples (GG genotype, 0%; GT genotype, 18%; TT genotype, 50%) in the no-TBM group. CSF 8OH-EFZ concentrations were above the in vitro toxic concentration in 98% of the TBM group and 87% of the no-TBM group; levels were independent of genotype but correlated with the CSF/plasma albumin ratio. Potentially neurotoxic concentrations of 8OH-EFZ are frequently observed in CSF independently of the CYP2B6 genotype, particularly in those with impaired blood-brain barrier integrity.","author":[{"dropping-particle":"","family":"Nightingale","given":"Sam","non-dropping-particle":"","parse-names":false,"suffix":""},{"dropping-particle":"","family":"Chau","given":"Tran Thi Hong","non-dropping-particle":"","parse-names":false,"suffix":""},{"dropping-particle":"","family":"Fisher","given":"Martin","non-dropping-particle":"","parse-names":false,"suffix":""},{"dropping-particle":"","family":"Nelson","given":"Mark","non-dropping-particle":"","parse-names":false,"suffix":""},{"dropping-particle":"","family":"Winston","given":"Alan","non-dropping-particle":"","parse-names":false,"suffix":""},{"dropping-particle":"","family":"Else","given":"Laura","non-dropping-particle":"","parse-names":false,"suffix":""},{"dropping-particle":"","family":"Carr","given":"Daniel F.","non-dropping-particle":"","parse-names":false,"suffix":""},{"dropping-particle":"","family":"Taylor","given":"Steven","non-dropping-particle":"","parse-names":false,"suffix":""},{"dropping-particle":"","family":"Ustianowski","given":"Andrew","non-dropping-particle":"","parse-names":false,"suffix":""},{"dropping-particle":"","family":"Back","given":"David","non-dropping-particle":"","parse-names":false,"suffix":""},{"dropping-particle":"","family":"Pirmohamed","given":"Munir","non-dropping-particle":"","parse-names":false,"suffix":""},{"dropping-particle":"","family":"Solomon","given":"Tom","non-dropping-particle":"","parse-names":false,"suffix":""},{"dropping-particle":"","family":"Farrar","given":"Jeremy","non-dropping-particle":"","parse-names":false,"suffix":""},{"dropping-particle":"","family":"Törok","given":"M. Estée","non-dropping-particle":"","parse-names":false,"suffix":""},{"dropping-particle":"","family":"Khoo","given":"Saye","non-dropping-particle":"","parse-names":false,"suffix":""}],"container-title":"Antimicrobial Agents and Chemotherapy","id":"ITEM-1","issue":"8","issued":{"da</w:instrText>
      </w:r>
      <w:r w:rsidR="00FE7C39">
        <w:rPr>
          <w:rFonts w:ascii="Arial" w:hAnsi="Arial" w:cs="Arial" w:hint="eastAsia"/>
          <w:sz w:val="22"/>
          <w:szCs w:val="22"/>
        </w:rPr>
        <w:instrText>te-parts":[["2016"]]},"page":"4511-4518","title":"Efavirenz and metabolites in cerebrospinal fluid: Relationship with CYP2B6 c.516G</w:instrText>
      </w:r>
      <w:r w:rsidR="00FE7C39">
        <w:rPr>
          <w:rFonts w:ascii="Arial" w:hAnsi="Arial" w:cs="Arial" w:hint="eastAsia"/>
          <w:sz w:val="22"/>
          <w:szCs w:val="22"/>
        </w:rPr>
        <w:instrText>→</w:instrText>
      </w:r>
      <w:r w:rsidR="00FE7C39">
        <w:rPr>
          <w:rFonts w:ascii="Arial" w:hAnsi="Arial" w:cs="Arial" w:hint="eastAsia"/>
          <w:sz w:val="22"/>
          <w:szCs w:val="22"/>
        </w:rPr>
        <w:instrText>T genotype and perturbed blood-brain barrier due to tuberculous meningitis","type":"article-journal","volume":"60"},"uris":</w:instrText>
      </w:r>
      <w:r w:rsidR="00FE7C39">
        <w:rPr>
          <w:rFonts w:ascii="Arial" w:hAnsi="Arial" w:cs="Arial"/>
          <w:sz w:val="22"/>
          <w:szCs w:val="22"/>
        </w:rPr>
        <w:instrText>["http://www.mendeley.com/documents/?uuid=8939bf02-8102-4102-8d54-f55619e17c71"]}],"mendeley":{"formattedCitation":"&lt;sup&gt;24&lt;/sup&gt;","plainTextFormattedCitation":"24","previouslyFormattedCitation":"&lt;sup&gt;25&lt;/sup&gt;"},"properties":{"noteIndex":0},"schema":"https://github.com/citation-style-language/schema/raw/master/csl-citation.json"}</w:instrText>
      </w:r>
      <w:r>
        <w:rPr>
          <w:rFonts w:ascii="Arial" w:hAnsi="Arial" w:cs="Arial"/>
          <w:sz w:val="22"/>
          <w:szCs w:val="22"/>
        </w:rPr>
        <w:fldChar w:fldCharType="separate"/>
      </w:r>
      <w:r w:rsidR="00FE7C39" w:rsidRPr="00FE7C39">
        <w:rPr>
          <w:rFonts w:ascii="Arial" w:hAnsi="Arial" w:cs="Arial"/>
          <w:noProof/>
          <w:sz w:val="22"/>
          <w:szCs w:val="22"/>
          <w:vertAlign w:val="superscript"/>
        </w:rPr>
        <w:t>24</w:t>
      </w:r>
      <w:r>
        <w:rPr>
          <w:rFonts w:ascii="Arial" w:hAnsi="Arial" w:cs="Arial"/>
          <w:sz w:val="22"/>
          <w:szCs w:val="22"/>
        </w:rPr>
        <w:fldChar w:fldCharType="end"/>
      </w:r>
      <w:r w:rsidRPr="00805A39">
        <w:rPr>
          <w:rFonts w:ascii="Arial" w:hAnsi="Arial" w:cs="Arial"/>
          <w:sz w:val="22"/>
          <w:szCs w:val="22"/>
        </w:rPr>
        <w:t xml:space="preserve">. </w:t>
      </w:r>
      <w:r>
        <w:rPr>
          <w:rFonts w:ascii="Arial" w:hAnsi="Arial" w:cs="Arial"/>
          <w:sz w:val="22"/>
          <w:szCs w:val="22"/>
        </w:rPr>
        <w:t xml:space="preserve">The LLQ </w:t>
      </w:r>
      <w:r w:rsidRPr="00805A39">
        <w:rPr>
          <w:rFonts w:ascii="Arial" w:hAnsi="Arial" w:cs="Arial"/>
          <w:sz w:val="22"/>
          <w:szCs w:val="22"/>
        </w:rPr>
        <w:t xml:space="preserve">for plasma 8-OH-EFV </w:t>
      </w:r>
      <w:r>
        <w:rPr>
          <w:rFonts w:ascii="Arial" w:hAnsi="Arial" w:cs="Arial"/>
          <w:sz w:val="22"/>
          <w:szCs w:val="22"/>
        </w:rPr>
        <w:t xml:space="preserve">was </w:t>
      </w:r>
      <w:r w:rsidRPr="00805A39">
        <w:rPr>
          <w:rFonts w:ascii="Arial" w:hAnsi="Arial" w:cs="Arial"/>
          <w:sz w:val="22"/>
          <w:szCs w:val="22"/>
        </w:rPr>
        <w:t>5.0</w:t>
      </w:r>
      <w:r>
        <w:rPr>
          <w:rFonts w:ascii="Arial" w:hAnsi="Arial" w:cs="Arial"/>
          <w:sz w:val="22"/>
          <w:szCs w:val="22"/>
        </w:rPr>
        <w:t xml:space="preserve"> </w:t>
      </w:r>
      <w:r w:rsidRPr="00805A39">
        <w:rPr>
          <w:rFonts w:ascii="Arial" w:hAnsi="Arial" w:cs="Arial"/>
          <w:sz w:val="22"/>
          <w:szCs w:val="22"/>
        </w:rPr>
        <w:t>ng/ml</w:t>
      </w:r>
      <w:r>
        <w:rPr>
          <w:rFonts w:ascii="Arial" w:hAnsi="Arial" w:cs="Arial"/>
          <w:sz w:val="22"/>
          <w:szCs w:val="22"/>
        </w:rPr>
        <w:t xml:space="preserve">. </w:t>
      </w:r>
      <w:r w:rsidRPr="00805A39">
        <w:rPr>
          <w:rFonts w:ascii="Arial" w:hAnsi="Arial" w:cs="Arial"/>
          <w:sz w:val="22"/>
          <w:szCs w:val="22"/>
        </w:rPr>
        <w:t xml:space="preserve">The </w:t>
      </w:r>
      <w:r>
        <w:rPr>
          <w:rFonts w:ascii="Arial" w:hAnsi="Arial" w:cs="Arial"/>
          <w:sz w:val="22"/>
          <w:szCs w:val="22"/>
        </w:rPr>
        <w:t>a</w:t>
      </w:r>
      <w:r w:rsidRPr="00805A39">
        <w:rPr>
          <w:rFonts w:ascii="Arial" w:hAnsi="Arial" w:cs="Arial"/>
          <w:sz w:val="22"/>
          <w:szCs w:val="22"/>
        </w:rPr>
        <w:t xml:space="preserve">nalytical </w:t>
      </w:r>
      <w:r>
        <w:rPr>
          <w:rFonts w:ascii="Arial" w:hAnsi="Arial" w:cs="Arial"/>
          <w:sz w:val="22"/>
          <w:szCs w:val="22"/>
        </w:rPr>
        <w:t>l</w:t>
      </w:r>
      <w:r w:rsidRPr="00805A39">
        <w:rPr>
          <w:rFonts w:ascii="Arial" w:hAnsi="Arial" w:cs="Arial"/>
          <w:sz w:val="22"/>
          <w:szCs w:val="22"/>
        </w:rPr>
        <w:t xml:space="preserve">aboratory in the Division of Clinical Pharmacology at </w:t>
      </w:r>
      <w:r>
        <w:rPr>
          <w:rFonts w:ascii="Arial" w:hAnsi="Arial" w:cs="Arial"/>
          <w:sz w:val="22"/>
          <w:szCs w:val="22"/>
        </w:rPr>
        <w:t>SU</w:t>
      </w:r>
      <w:r w:rsidRPr="00805A39">
        <w:rPr>
          <w:rFonts w:ascii="Arial" w:hAnsi="Arial" w:cs="Arial"/>
          <w:sz w:val="22"/>
          <w:szCs w:val="22"/>
        </w:rPr>
        <w:t xml:space="preserve"> </w:t>
      </w:r>
      <w:r>
        <w:rPr>
          <w:rFonts w:ascii="Arial" w:hAnsi="Arial" w:cs="Arial"/>
          <w:sz w:val="22"/>
          <w:szCs w:val="22"/>
        </w:rPr>
        <w:t xml:space="preserve">quantified total EFV, TFV, FTC and 8-OH-EFV in plasma samples from the </w:t>
      </w:r>
      <w:proofErr w:type="spellStart"/>
      <w:r>
        <w:rPr>
          <w:rFonts w:ascii="Arial" w:hAnsi="Arial" w:cs="Arial"/>
          <w:sz w:val="22"/>
          <w:szCs w:val="22"/>
        </w:rPr>
        <w:t>EndoAfrica</w:t>
      </w:r>
      <w:proofErr w:type="spellEnd"/>
      <w:r>
        <w:rPr>
          <w:rFonts w:ascii="Arial" w:hAnsi="Arial" w:cs="Arial"/>
          <w:sz w:val="22"/>
          <w:szCs w:val="22"/>
        </w:rPr>
        <w:t xml:space="preserve"> cohort using</w:t>
      </w:r>
      <w:r w:rsidRPr="00805A39">
        <w:rPr>
          <w:rFonts w:ascii="Arial" w:hAnsi="Arial" w:cs="Arial"/>
          <w:sz w:val="22"/>
          <w:szCs w:val="22"/>
        </w:rPr>
        <w:t xml:space="preserve"> validated</w:t>
      </w:r>
      <w:r>
        <w:rPr>
          <w:rFonts w:ascii="Arial" w:hAnsi="Arial" w:cs="Arial"/>
          <w:sz w:val="22"/>
          <w:szCs w:val="22"/>
        </w:rPr>
        <w:t xml:space="preserve"> LC</w:t>
      </w:r>
      <w:r w:rsidR="00327E2B">
        <w:rPr>
          <w:rFonts w:ascii="Arial" w:hAnsi="Arial" w:cs="Arial"/>
          <w:sz w:val="22"/>
          <w:szCs w:val="22"/>
        </w:rPr>
        <w:t>-</w:t>
      </w:r>
      <w:r>
        <w:rPr>
          <w:rFonts w:ascii="Arial" w:hAnsi="Arial" w:cs="Arial"/>
          <w:sz w:val="22"/>
          <w:szCs w:val="22"/>
        </w:rPr>
        <w:t>MS</w:t>
      </w:r>
      <w:r w:rsidR="00327E2B">
        <w:rPr>
          <w:rFonts w:ascii="Arial" w:hAnsi="Arial" w:cs="Arial"/>
          <w:sz w:val="22"/>
          <w:szCs w:val="22"/>
        </w:rPr>
        <w:t>/</w:t>
      </w:r>
      <w:r>
        <w:rPr>
          <w:rFonts w:ascii="Arial" w:hAnsi="Arial" w:cs="Arial"/>
          <w:sz w:val="22"/>
          <w:szCs w:val="22"/>
        </w:rPr>
        <w:t>MS</w:t>
      </w:r>
      <w:r w:rsidRPr="00805A39">
        <w:rPr>
          <w:rFonts w:ascii="Arial" w:hAnsi="Arial" w:cs="Arial"/>
          <w:sz w:val="22"/>
          <w:szCs w:val="22"/>
        </w:rPr>
        <w:t xml:space="preserve"> </w:t>
      </w:r>
      <w:r>
        <w:rPr>
          <w:rFonts w:ascii="Arial" w:hAnsi="Arial" w:cs="Arial"/>
          <w:sz w:val="22"/>
          <w:szCs w:val="22"/>
        </w:rPr>
        <w:t xml:space="preserve">assays. LLQ </w:t>
      </w:r>
      <w:r w:rsidRPr="00805A39">
        <w:rPr>
          <w:rFonts w:ascii="Arial" w:hAnsi="Arial" w:cs="Arial"/>
          <w:sz w:val="22"/>
          <w:szCs w:val="22"/>
        </w:rPr>
        <w:t>for plasma</w:t>
      </w:r>
      <w:r>
        <w:rPr>
          <w:rFonts w:ascii="Arial" w:hAnsi="Arial" w:cs="Arial"/>
          <w:sz w:val="22"/>
          <w:szCs w:val="22"/>
        </w:rPr>
        <w:t xml:space="preserve"> EFV,</w:t>
      </w:r>
      <w:r w:rsidRPr="00805A39">
        <w:rPr>
          <w:rFonts w:ascii="Arial" w:hAnsi="Arial" w:cs="Arial"/>
          <w:sz w:val="22"/>
          <w:szCs w:val="22"/>
        </w:rPr>
        <w:t xml:space="preserve"> </w:t>
      </w:r>
      <w:r>
        <w:rPr>
          <w:rFonts w:ascii="Arial" w:hAnsi="Arial" w:cs="Arial"/>
          <w:sz w:val="22"/>
          <w:szCs w:val="22"/>
        </w:rPr>
        <w:t>TFV,</w:t>
      </w:r>
      <w:r w:rsidRPr="00805A39">
        <w:rPr>
          <w:rFonts w:ascii="Arial" w:hAnsi="Arial" w:cs="Arial"/>
          <w:sz w:val="22"/>
          <w:szCs w:val="22"/>
        </w:rPr>
        <w:t xml:space="preserve"> </w:t>
      </w:r>
      <w:r>
        <w:rPr>
          <w:rFonts w:ascii="Arial" w:hAnsi="Arial" w:cs="Arial"/>
          <w:sz w:val="22"/>
          <w:szCs w:val="22"/>
        </w:rPr>
        <w:t>FTC</w:t>
      </w:r>
      <w:r w:rsidRPr="00805A39">
        <w:rPr>
          <w:rFonts w:ascii="Arial" w:hAnsi="Arial" w:cs="Arial"/>
          <w:sz w:val="22"/>
          <w:szCs w:val="22"/>
        </w:rPr>
        <w:t xml:space="preserve"> </w:t>
      </w:r>
      <w:r>
        <w:rPr>
          <w:rFonts w:ascii="Arial" w:hAnsi="Arial" w:cs="Arial"/>
          <w:sz w:val="22"/>
          <w:szCs w:val="22"/>
        </w:rPr>
        <w:t xml:space="preserve">and 8-OH EFV </w:t>
      </w:r>
      <w:r w:rsidRPr="00805A39">
        <w:rPr>
          <w:rFonts w:ascii="Arial" w:hAnsi="Arial" w:cs="Arial"/>
          <w:sz w:val="22"/>
          <w:szCs w:val="22"/>
        </w:rPr>
        <w:t xml:space="preserve">were </w:t>
      </w:r>
      <w:r>
        <w:rPr>
          <w:rFonts w:ascii="Arial" w:hAnsi="Arial" w:cs="Arial"/>
          <w:sz w:val="22"/>
          <w:szCs w:val="22"/>
        </w:rPr>
        <w:t>35 ng/ml, 10 ng/ml, 10 ng/</w:t>
      </w:r>
      <w:proofErr w:type="gramStart"/>
      <w:r>
        <w:rPr>
          <w:rFonts w:ascii="Arial" w:hAnsi="Arial" w:cs="Arial"/>
          <w:sz w:val="22"/>
          <w:szCs w:val="22"/>
        </w:rPr>
        <w:t>ml</w:t>
      </w:r>
      <w:proofErr w:type="gramEnd"/>
      <w:r>
        <w:rPr>
          <w:rFonts w:ascii="Arial" w:hAnsi="Arial" w:cs="Arial"/>
          <w:sz w:val="22"/>
          <w:szCs w:val="22"/>
        </w:rPr>
        <w:t xml:space="preserve"> and 10ng/ml,</w:t>
      </w:r>
      <w:r w:rsidRPr="00805A39">
        <w:rPr>
          <w:rFonts w:ascii="Arial" w:hAnsi="Arial" w:cs="Arial"/>
          <w:sz w:val="22"/>
          <w:szCs w:val="22"/>
        </w:rPr>
        <w:t xml:space="preserve"> respectively</w:t>
      </w:r>
      <w:r>
        <w:rPr>
          <w:rFonts w:ascii="Arial" w:hAnsi="Arial" w:cs="Arial"/>
          <w:sz w:val="22"/>
          <w:szCs w:val="22"/>
        </w:rPr>
        <w:t xml:space="preserve">.  </w:t>
      </w:r>
      <w:r w:rsidRPr="00805A39">
        <w:rPr>
          <w:rFonts w:ascii="Arial" w:hAnsi="Arial" w:cs="Arial"/>
          <w:sz w:val="22"/>
          <w:szCs w:val="22"/>
        </w:rPr>
        <w:t xml:space="preserve">Concentrations below </w:t>
      </w:r>
      <w:r>
        <w:rPr>
          <w:rFonts w:ascii="Arial" w:hAnsi="Arial" w:cs="Arial"/>
          <w:sz w:val="22"/>
          <w:szCs w:val="22"/>
        </w:rPr>
        <w:t xml:space="preserve">LLQ were </w:t>
      </w:r>
      <w:r w:rsidR="002554B2">
        <w:rPr>
          <w:rFonts w:ascii="Arial" w:hAnsi="Arial" w:cs="Arial"/>
          <w:sz w:val="22"/>
          <w:szCs w:val="22"/>
        </w:rPr>
        <w:t xml:space="preserve">excluded </w:t>
      </w:r>
      <w:r w:rsidR="00AF7689">
        <w:rPr>
          <w:rFonts w:ascii="Arial" w:hAnsi="Arial" w:cs="Arial"/>
          <w:sz w:val="22"/>
          <w:szCs w:val="22"/>
        </w:rPr>
        <w:t>from the analysis</w:t>
      </w:r>
      <w:r w:rsidRPr="00805A39">
        <w:rPr>
          <w:rFonts w:ascii="Arial" w:hAnsi="Arial" w:cs="Arial"/>
          <w:sz w:val="22"/>
          <w:szCs w:val="22"/>
        </w:rPr>
        <w:t xml:space="preserve">. </w:t>
      </w:r>
    </w:p>
    <w:p w14:paraId="7379C099" w14:textId="77777777" w:rsidR="0079072D" w:rsidRDefault="0079072D" w:rsidP="00292D0F">
      <w:pPr>
        <w:spacing w:line="480" w:lineRule="auto"/>
        <w:jc w:val="both"/>
        <w:rPr>
          <w:rFonts w:ascii="Arial" w:hAnsi="Arial" w:cs="Arial"/>
          <w:b/>
          <w:i/>
          <w:sz w:val="22"/>
          <w:szCs w:val="22"/>
        </w:rPr>
      </w:pPr>
    </w:p>
    <w:p w14:paraId="3394F8F2" w14:textId="72DC5BD3" w:rsidR="000309E3" w:rsidRPr="008D61C8" w:rsidRDefault="000309E3" w:rsidP="00292D0F">
      <w:pPr>
        <w:spacing w:line="480" w:lineRule="auto"/>
        <w:jc w:val="both"/>
        <w:rPr>
          <w:rFonts w:ascii="Arial" w:hAnsi="Arial" w:cs="Arial"/>
          <w:bCs/>
          <w:iCs/>
          <w:sz w:val="22"/>
          <w:szCs w:val="22"/>
        </w:rPr>
      </w:pPr>
      <w:r>
        <w:rPr>
          <w:rFonts w:ascii="Arial" w:hAnsi="Arial" w:cs="Arial"/>
          <w:b/>
          <w:i/>
          <w:sz w:val="22"/>
          <w:szCs w:val="22"/>
        </w:rPr>
        <w:t>Immunovirological</w:t>
      </w:r>
      <w:r w:rsidRPr="00805A39">
        <w:rPr>
          <w:rFonts w:ascii="Arial" w:hAnsi="Arial" w:cs="Arial"/>
          <w:b/>
          <w:i/>
          <w:sz w:val="22"/>
          <w:szCs w:val="22"/>
        </w:rPr>
        <w:t xml:space="preserve"> </w:t>
      </w:r>
      <w:r>
        <w:rPr>
          <w:rFonts w:ascii="Arial" w:hAnsi="Arial" w:cs="Arial"/>
          <w:b/>
          <w:i/>
          <w:sz w:val="22"/>
          <w:szCs w:val="22"/>
        </w:rPr>
        <w:t>measuremen</w:t>
      </w:r>
      <w:r w:rsidRPr="002554B2">
        <w:rPr>
          <w:rFonts w:ascii="Arial" w:hAnsi="Arial" w:cs="Arial"/>
          <w:b/>
          <w:i/>
          <w:sz w:val="22"/>
          <w:szCs w:val="22"/>
        </w:rPr>
        <w:t>t</w:t>
      </w:r>
      <w:r w:rsidR="00EE5023" w:rsidRPr="002554B2">
        <w:rPr>
          <w:rFonts w:ascii="Arial" w:hAnsi="Arial" w:cs="Arial"/>
          <w:b/>
          <w:i/>
          <w:sz w:val="22"/>
          <w:szCs w:val="22"/>
        </w:rPr>
        <w:t>s</w:t>
      </w:r>
      <w:r w:rsidRPr="00805A39">
        <w:rPr>
          <w:rFonts w:ascii="Arial" w:hAnsi="Arial" w:cs="Arial"/>
          <w:b/>
          <w:i/>
          <w:sz w:val="22"/>
          <w:szCs w:val="22"/>
        </w:rPr>
        <w:t>:</w:t>
      </w:r>
      <w:r>
        <w:rPr>
          <w:rFonts w:ascii="Arial" w:hAnsi="Arial" w:cs="Arial"/>
          <w:b/>
          <w:i/>
          <w:sz w:val="22"/>
          <w:szCs w:val="22"/>
        </w:rPr>
        <w:t xml:space="preserve"> </w:t>
      </w:r>
      <w:r>
        <w:rPr>
          <w:rFonts w:ascii="Arial" w:hAnsi="Arial" w:cs="Arial"/>
          <w:bCs/>
          <w:iCs/>
          <w:sz w:val="22"/>
          <w:szCs w:val="22"/>
        </w:rPr>
        <w:t xml:space="preserve">HIV-1 RNA </w:t>
      </w:r>
      <w:r w:rsidR="000A3EFF">
        <w:rPr>
          <w:rFonts w:ascii="Arial" w:hAnsi="Arial" w:cs="Arial"/>
          <w:bCs/>
          <w:iCs/>
          <w:sz w:val="22"/>
          <w:szCs w:val="22"/>
        </w:rPr>
        <w:t xml:space="preserve">from the </w:t>
      </w:r>
      <w:proofErr w:type="spellStart"/>
      <w:r w:rsidR="000A3EFF">
        <w:rPr>
          <w:rFonts w:ascii="Arial" w:hAnsi="Arial" w:cs="Arial"/>
          <w:bCs/>
          <w:iCs/>
          <w:sz w:val="22"/>
          <w:szCs w:val="22"/>
        </w:rPr>
        <w:t>EndoAfrica</w:t>
      </w:r>
      <w:proofErr w:type="spellEnd"/>
      <w:r w:rsidR="000A3EFF">
        <w:rPr>
          <w:rFonts w:ascii="Arial" w:hAnsi="Arial" w:cs="Arial"/>
          <w:bCs/>
          <w:iCs/>
          <w:sz w:val="22"/>
          <w:szCs w:val="22"/>
        </w:rPr>
        <w:t xml:space="preserve"> cohort were </w:t>
      </w:r>
      <w:proofErr w:type="spellStart"/>
      <w:r w:rsidR="000A3EFF">
        <w:rPr>
          <w:rFonts w:ascii="Arial" w:hAnsi="Arial" w:cs="Arial"/>
          <w:bCs/>
          <w:iCs/>
          <w:sz w:val="22"/>
          <w:szCs w:val="22"/>
        </w:rPr>
        <w:t>analysed</w:t>
      </w:r>
      <w:proofErr w:type="spellEnd"/>
      <w:r w:rsidR="000A3EFF">
        <w:rPr>
          <w:rFonts w:ascii="Arial" w:hAnsi="Arial" w:cs="Arial"/>
          <w:bCs/>
          <w:iCs/>
          <w:sz w:val="22"/>
          <w:szCs w:val="22"/>
        </w:rPr>
        <w:t xml:space="preserve"> </w:t>
      </w:r>
      <w:r>
        <w:rPr>
          <w:rFonts w:ascii="Arial" w:hAnsi="Arial" w:cs="Arial"/>
          <w:bCs/>
          <w:iCs/>
          <w:sz w:val="22"/>
          <w:szCs w:val="22"/>
        </w:rPr>
        <w:t xml:space="preserve">by the National Health Laboratory Service (NHLS) using the Roche COBAS </w:t>
      </w:r>
      <w:proofErr w:type="spellStart"/>
      <w:r>
        <w:rPr>
          <w:rFonts w:ascii="Arial" w:hAnsi="Arial" w:cs="Arial"/>
          <w:bCs/>
          <w:iCs/>
          <w:sz w:val="22"/>
          <w:szCs w:val="22"/>
        </w:rPr>
        <w:t>AmpliPrep</w:t>
      </w:r>
      <w:proofErr w:type="spellEnd"/>
      <w:r>
        <w:rPr>
          <w:rFonts w:ascii="Arial" w:hAnsi="Arial" w:cs="Arial"/>
          <w:bCs/>
          <w:iCs/>
          <w:sz w:val="22"/>
          <w:szCs w:val="22"/>
        </w:rPr>
        <w:t xml:space="preserve">/TaqMan HIV-1 Test, v2. HIV-1 RNA concentrations </w:t>
      </w:r>
      <w:r w:rsidR="000A3EFF">
        <w:rPr>
          <w:rFonts w:ascii="Arial" w:hAnsi="Arial" w:cs="Arial"/>
          <w:bCs/>
          <w:iCs/>
          <w:sz w:val="22"/>
          <w:szCs w:val="22"/>
        </w:rPr>
        <w:t>from the Cape Town</w:t>
      </w:r>
      <w:r>
        <w:rPr>
          <w:rFonts w:ascii="Arial" w:hAnsi="Arial" w:cs="Arial"/>
          <w:bCs/>
          <w:iCs/>
          <w:sz w:val="22"/>
          <w:szCs w:val="22"/>
        </w:rPr>
        <w:t xml:space="preserve"> cohort were measured using </w:t>
      </w:r>
      <w:r>
        <w:rPr>
          <w:rFonts w:ascii="Arial" w:hAnsi="Arial" w:cs="Arial"/>
          <w:sz w:val="22"/>
          <w:szCs w:val="22"/>
        </w:rPr>
        <w:t xml:space="preserve">the </w:t>
      </w:r>
      <w:r w:rsidRPr="0008791D">
        <w:rPr>
          <w:rFonts w:ascii="Arial" w:hAnsi="Arial" w:cs="Arial"/>
          <w:sz w:val="22"/>
          <w:szCs w:val="22"/>
        </w:rPr>
        <w:t xml:space="preserve">Abbott </w:t>
      </w:r>
      <w:proofErr w:type="spellStart"/>
      <w:r w:rsidRPr="0008791D">
        <w:rPr>
          <w:rFonts w:ascii="Arial" w:hAnsi="Arial" w:cs="Arial"/>
          <w:sz w:val="22"/>
          <w:szCs w:val="22"/>
        </w:rPr>
        <w:t>RealTi</w:t>
      </w:r>
      <w:r w:rsidRPr="005B5C64">
        <w:rPr>
          <w:rFonts w:ascii="Arial" w:hAnsi="Arial" w:cs="Arial"/>
          <w:i/>
          <w:sz w:val="22"/>
          <w:szCs w:val="22"/>
        </w:rPr>
        <w:t>m</w:t>
      </w:r>
      <w:r w:rsidRPr="0008791D">
        <w:rPr>
          <w:rFonts w:ascii="Arial" w:hAnsi="Arial" w:cs="Arial"/>
          <w:sz w:val="22"/>
          <w:szCs w:val="22"/>
        </w:rPr>
        <w:t>e</w:t>
      </w:r>
      <w:proofErr w:type="spellEnd"/>
      <w:r w:rsidRPr="0008791D">
        <w:rPr>
          <w:rFonts w:ascii="Arial" w:hAnsi="Arial" w:cs="Arial"/>
          <w:sz w:val="22"/>
          <w:szCs w:val="22"/>
        </w:rPr>
        <w:t xml:space="preserve"> HIV-1 assay</w:t>
      </w:r>
      <w:r>
        <w:rPr>
          <w:rFonts w:ascii="Arial" w:hAnsi="Arial" w:cs="Arial"/>
          <w:sz w:val="22"/>
          <w:szCs w:val="22"/>
        </w:rPr>
        <w:t xml:space="preserve"> (</w:t>
      </w:r>
      <w:r w:rsidRPr="0008791D">
        <w:rPr>
          <w:rFonts w:ascii="Arial" w:hAnsi="Arial" w:cs="Arial"/>
          <w:sz w:val="22"/>
          <w:szCs w:val="22"/>
        </w:rPr>
        <w:t>Abbott Park, Illinois, U.S.A</w:t>
      </w:r>
      <w:r w:rsidRPr="00805A39">
        <w:rPr>
          <w:rFonts w:ascii="Arial" w:hAnsi="Arial" w:cs="Arial"/>
          <w:sz w:val="22"/>
          <w:szCs w:val="22"/>
        </w:rPr>
        <w:t>.</w:t>
      </w:r>
      <w:r>
        <w:rPr>
          <w:rFonts w:ascii="Arial" w:hAnsi="Arial" w:cs="Arial"/>
          <w:sz w:val="22"/>
          <w:szCs w:val="22"/>
        </w:rPr>
        <w:t xml:space="preserve">). </w:t>
      </w:r>
      <w:r w:rsidR="00325C86">
        <w:rPr>
          <w:rFonts w:ascii="Arial" w:hAnsi="Arial" w:cs="Arial"/>
          <w:sz w:val="22"/>
          <w:szCs w:val="22"/>
        </w:rPr>
        <w:t>P</w:t>
      </w:r>
      <w:r>
        <w:rPr>
          <w:rFonts w:ascii="Arial" w:hAnsi="Arial" w:cs="Arial"/>
          <w:sz w:val="22"/>
          <w:szCs w:val="22"/>
        </w:rPr>
        <w:t xml:space="preserve">articipants were considered virologically suppressed with a with a viral load of </w:t>
      </w:r>
      <w:r w:rsidRPr="006B67DC">
        <w:rPr>
          <w:rFonts w:ascii="Arial" w:hAnsi="Arial" w:cs="Arial"/>
          <w:sz w:val="22"/>
          <w:szCs w:val="22"/>
        </w:rPr>
        <w:t>≤</w:t>
      </w:r>
      <w:r>
        <w:rPr>
          <w:rFonts w:ascii="Arial" w:hAnsi="Arial" w:cs="Arial"/>
          <w:sz w:val="22"/>
          <w:szCs w:val="22"/>
        </w:rPr>
        <w:t xml:space="preserve"> 50 copies per ml.</w:t>
      </w:r>
      <w:r w:rsidR="0017782B">
        <w:rPr>
          <w:rFonts w:ascii="Arial" w:hAnsi="Arial" w:cs="Arial"/>
          <w:sz w:val="22"/>
          <w:szCs w:val="22"/>
        </w:rPr>
        <w:t xml:space="preserve"> CD4 counts from both cohorts were </w:t>
      </w:r>
      <w:proofErr w:type="spellStart"/>
      <w:r w:rsidR="0017782B">
        <w:rPr>
          <w:rFonts w:ascii="Arial" w:hAnsi="Arial" w:cs="Arial"/>
          <w:sz w:val="22"/>
          <w:szCs w:val="22"/>
        </w:rPr>
        <w:t>analysed</w:t>
      </w:r>
      <w:proofErr w:type="spellEnd"/>
      <w:r w:rsidR="0017782B">
        <w:rPr>
          <w:rFonts w:ascii="Arial" w:hAnsi="Arial" w:cs="Arial"/>
          <w:sz w:val="22"/>
          <w:szCs w:val="22"/>
        </w:rPr>
        <w:t xml:space="preserve"> by the NHLS using flow cytometry with the Beckman Coulter FC</w:t>
      </w:r>
      <w:r w:rsidR="00320B34">
        <w:rPr>
          <w:rFonts w:ascii="Arial" w:hAnsi="Arial" w:cs="Arial"/>
          <w:sz w:val="22"/>
          <w:szCs w:val="22"/>
        </w:rPr>
        <w:t>500 MPL.</w:t>
      </w:r>
    </w:p>
    <w:p w14:paraId="751F2AA9" w14:textId="77777777" w:rsidR="000309E3" w:rsidRDefault="000309E3" w:rsidP="00292D0F">
      <w:pPr>
        <w:spacing w:line="480" w:lineRule="auto"/>
        <w:jc w:val="both"/>
        <w:rPr>
          <w:rFonts w:ascii="Arial" w:hAnsi="Arial" w:cs="Arial"/>
          <w:b/>
          <w:i/>
          <w:sz w:val="22"/>
          <w:szCs w:val="22"/>
        </w:rPr>
      </w:pPr>
    </w:p>
    <w:p w14:paraId="59C03F5B" w14:textId="58C24636" w:rsidR="003820D6" w:rsidRDefault="000309E3" w:rsidP="00292D0F">
      <w:pPr>
        <w:spacing w:line="480" w:lineRule="auto"/>
        <w:jc w:val="both"/>
        <w:rPr>
          <w:rFonts w:ascii="Arial" w:hAnsi="Arial" w:cs="Arial"/>
          <w:bCs/>
          <w:iCs/>
          <w:sz w:val="22"/>
          <w:szCs w:val="22"/>
        </w:rPr>
      </w:pPr>
      <w:r>
        <w:rPr>
          <w:rFonts w:ascii="Arial" w:hAnsi="Arial" w:cs="Arial"/>
          <w:b/>
          <w:i/>
          <w:sz w:val="22"/>
          <w:szCs w:val="22"/>
        </w:rPr>
        <w:t>Statistical analysis</w:t>
      </w:r>
      <w:r w:rsidRPr="00D04B64">
        <w:rPr>
          <w:rFonts w:ascii="Arial" w:hAnsi="Arial" w:cs="Arial"/>
          <w:bCs/>
          <w:iCs/>
          <w:sz w:val="22"/>
          <w:szCs w:val="22"/>
        </w:rPr>
        <w:t xml:space="preserve">: </w:t>
      </w:r>
      <w:r w:rsidR="0035377C" w:rsidRPr="00D04B64">
        <w:rPr>
          <w:rFonts w:ascii="Arial" w:hAnsi="Arial" w:cs="Arial"/>
          <w:bCs/>
          <w:iCs/>
          <w:sz w:val="22"/>
          <w:szCs w:val="22"/>
        </w:rPr>
        <w:t>Analys</w:t>
      </w:r>
      <w:r w:rsidR="00EE5023" w:rsidRPr="002554B2">
        <w:rPr>
          <w:rFonts w:ascii="Arial" w:hAnsi="Arial" w:cs="Arial"/>
          <w:bCs/>
          <w:iCs/>
          <w:sz w:val="22"/>
          <w:szCs w:val="22"/>
        </w:rPr>
        <w:t>e</w:t>
      </w:r>
      <w:r w:rsidR="0035377C" w:rsidRPr="00D04B64">
        <w:rPr>
          <w:rFonts w:ascii="Arial" w:hAnsi="Arial" w:cs="Arial"/>
          <w:bCs/>
          <w:iCs/>
          <w:sz w:val="22"/>
          <w:szCs w:val="22"/>
        </w:rPr>
        <w:t xml:space="preserve">s </w:t>
      </w:r>
      <w:r w:rsidR="0035377C">
        <w:rPr>
          <w:rFonts w:ascii="Arial" w:hAnsi="Arial" w:cs="Arial"/>
          <w:bCs/>
          <w:iCs/>
          <w:sz w:val="22"/>
          <w:szCs w:val="22"/>
        </w:rPr>
        <w:t>were</w:t>
      </w:r>
      <w:r w:rsidR="0035377C" w:rsidRPr="00D04B64">
        <w:rPr>
          <w:rFonts w:ascii="Arial" w:hAnsi="Arial" w:cs="Arial"/>
          <w:bCs/>
          <w:iCs/>
          <w:sz w:val="22"/>
          <w:szCs w:val="22"/>
        </w:rPr>
        <w:t xml:space="preserve"> performed by</w:t>
      </w:r>
      <w:r w:rsidR="00635BA8">
        <w:rPr>
          <w:rFonts w:ascii="Arial" w:hAnsi="Arial" w:cs="Arial"/>
          <w:bCs/>
          <w:iCs/>
          <w:sz w:val="22"/>
          <w:szCs w:val="22"/>
        </w:rPr>
        <w:t xml:space="preserve"> </w:t>
      </w:r>
      <w:r w:rsidR="00635BA8" w:rsidRPr="00635BA8">
        <w:rPr>
          <w:rFonts w:ascii="Arial" w:hAnsi="Arial" w:cs="Arial"/>
          <w:bCs/>
          <w:iCs/>
          <w:sz w:val="22"/>
          <w:szCs w:val="22"/>
          <w:lang w:val="en-AU"/>
        </w:rPr>
        <w:t>Pearson’s r correlation</w:t>
      </w:r>
      <w:r w:rsidR="00635BA8">
        <w:rPr>
          <w:rFonts w:ascii="Arial" w:hAnsi="Arial" w:cs="Arial"/>
          <w:bCs/>
          <w:iCs/>
          <w:sz w:val="22"/>
          <w:szCs w:val="22"/>
        </w:rPr>
        <w:t xml:space="preserve"> and</w:t>
      </w:r>
      <w:r w:rsidR="0035377C" w:rsidRPr="00D04B64">
        <w:rPr>
          <w:rFonts w:ascii="Arial" w:hAnsi="Arial" w:cs="Arial"/>
          <w:bCs/>
          <w:iCs/>
          <w:sz w:val="22"/>
          <w:szCs w:val="22"/>
        </w:rPr>
        <w:t xml:space="preserve"> </w:t>
      </w:r>
      <w:proofErr w:type="spellStart"/>
      <w:r w:rsidR="0035377C" w:rsidRPr="00D04B64">
        <w:rPr>
          <w:rFonts w:ascii="Arial" w:hAnsi="Arial" w:cs="Arial"/>
          <w:bCs/>
          <w:iCs/>
          <w:sz w:val="22"/>
          <w:szCs w:val="22"/>
        </w:rPr>
        <w:t>dichotomising</w:t>
      </w:r>
      <w:proofErr w:type="spellEnd"/>
      <w:r w:rsidR="00635BA8">
        <w:rPr>
          <w:rFonts w:ascii="Arial" w:hAnsi="Arial" w:cs="Arial"/>
          <w:bCs/>
          <w:iCs/>
          <w:sz w:val="22"/>
          <w:szCs w:val="22"/>
        </w:rPr>
        <w:t xml:space="preserve"> of</w:t>
      </w:r>
      <w:r w:rsidR="0035377C" w:rsidRPr="00D04B64">
        <w:rPr>
          <w:rFonts w:ascii="Arial" w:hAnsi="Arial" w:cs="Arial"/>
          <w:bCs/>
          <w:iCs/>
          <w:sz w:val="22"/>
          <w:szCs w:val="22"/>
        </w:rPr>
        <w:t xml:space="preserve"> BMI, </w:t>
      </w:r>
      <w:r w:rsidR="00A931F0">
        <w:rPr>
          <w:rFonts w:ascii="Arial" w:hAnsi="Arial" w:cs="Arial"/>
          <w:bCs/>
          <w:iCs/>
          <w:sz w:val="22"/>
          <w:szCs w:val="22"/>
        </w:rPr>
        <w:t xml:space="preserve">WC </w:t>
      </w:r>
      <w:r w:rsidR="0035377C" w:rsidRPr="00D04B64">
        <w:rPr>
          <w:rFonts w:ascii="Arial" w:hAnsi="Arial" w:cs="Arial"/>
          <w:bCs/>
          <w:iCs/>
          <w:sz w:val="22"/>
          <w:szCs w:val="22"/>
        </w:rPr>
        <w:t xml:space="preserve">and </w:t>
      </w:r>
      <w:r w:rsidR="00A931F0">
        <w:rPr>
          <w:rFonts w:ascii="Arial" w:hAnsi="Arial" w:cs="Arial"/>
          <w:bCs/>
          <w:iCs/>
          <w:sz w:val="22"/>
          <w:szCs w:val="22"/>
        </w:rPr>
        <w:t>WHR</w:t>
      </w:r>
      <w:r w:rsidR="0035377C" w:rsidRPr="00D04B64">
        <w:rPr>
          <w:rFonts w:ascii="Arial" w:hAnsi="Arial" w:cs="Arial"/>
          <w:bCs/>
          <w:iCs/>
          <w:sz w:val="22"/>
          <w:szCs w:val="22"/>
        </w:rPr>
        <w:t xml:space="preserve">. </w:t>
      </w:r>
      <w:r w:rsidRPr="00D04B64">
        <w:rPr>
          <w:rFonts w:ascii="Arial" w:hAnsi="Arial" w:cs="Arial"/>
          <w:bCs/>
          <w:iCs/>
          <w:sz w:val="22"/>
          <w:szCs w:val="22"/>
        </w:rPr>
        <w:t xml:space="preserve">Pharmacokinetic data distribution </w:t>
      </w:r>
      <w:r>
        <w:rPr>
          <w:rFonts w:ascii="Arial" w:hAnsi="Arial" w:cs="Arial"/>
          <w:bCs/>
          <w:iCs/>
          <w:sz w:val="22"/>
          <w:szCs w:val="22"/>
        </w:rPr>
        <w:t>was</w:t>
      </w:r>
      <w:r w:rsidRPr="00D04B64">
        <w:rPr>
          <w:rFonts w:ascii="Arial" w:hAnsi="Arial" w:cs="Arial"/>
          <w:bCs/>
          <w:iCs/>
          <w:sz w:val="22"/>
          <w:szCs w:val="22"/>
        </w:rPr>
        <w:t xml:space="preserve"> </w:t>
      </w:r>
      <w:r w:rsidR="00F97CA0" w:rsidRPr="00D04B64">
        <w:rPr>
          <w:rFonts w:ascii="Arial" w:hAnsi="Arial" w:cs="Arial"/>
          <w:bCs/>
          <w:iCs/>
          <w:sz w:val="22"/>
          <w:szCs w:val="22"/>
        </w:rPr>
        <w:t>assessed,</w:t>
      </w:r>
      <w:r w:rsidRPr="00D04B64">
        <w:rPr>
          <w:rFonts w:ascii="Arial" w:hAnsi="Arial" w:cs="Arial"/>
          <w:bCs/>
          <w:iCs/>
          <w:sz w:val="22"/>
          <w:szCs w:val="22"/>
        </w:rPr>
        <w:t xml:space="preserve"> and non-normal distributed data expressed as medians</w:t>
      </w:r>
      <w:r>
        <w:rPr>
          <w:rFonts w:ascii="Arial" w:hAnsi="Arial" w:cs="Arial"/>
          <w:bCs/>
          <w:iCs/>
          <w:sz w:val="22"/>
          <w:szCs w:val="22"/>
        </w:rPr>
        <w:t xml:space="preserve"> and interquartile range</w:t>
      </w:r>
      <w:r w:rsidRPr="00D04B64">
        <w:rPr>
          <w:rFonts w:ascii="Arial" w:hAnsi="Arial" w:cs="Arial"/>
          <w:bCs/>
          <w:iCs/>
          <w:sz w:val="22"/>
          <w:szCs w:val="22"/>
        </w:rPr>
        <w:t xml:space="preserve"> (IQR).</w:t>
      </w:r>
      <w:r w:rsidR="00175A7B">
        <w:rPr>
          <w:rFonts w:ascii="Arial" w:hAnsi="Arial" w:cs="Arial"/>
          <w:bCs/>
          <w:iCs/>
          <w:sz w:val="22"/>
          <w:szCs w:val="22"/>
        </w:rPr>
        <w:t xml:space="preserve"> Quantile regression was employed to control for differences in dose-sampling ti</w:t>
      </w:r>
      <w:r w:rsidR="00405993">
        <w:rPr>
          <w:rFonts w:ascii="Arial" w:hAnsi="Arial" w:cs="Arial"/>
          <w:bCs/>
          <w:iCs/>
          <w:sz w:val="22"/>
          <w:szCs w:val="22"/>
        </w:rPr>
        <w:t>me</w:t>
      </w:r>
      <w:r w:rsidR="00175A7B">
        <w:rPr>
          <w:rFonts w:ascii="Arial" w:hAnsi="Arial" w:cs="Arial"/>
          <w:bCs/>
          <w:iCs/>
          <w:sz w:val="22"/>
          <w:szCs w:val="22"/>
        </w:rPr>
        <w:t>.</w:t>
      </w:r>
      <w:r w:rsidR="00405993">
        <w:rPr>
          <w:rFonts w:ascii="Arial" w:hAnsi="Arial" w:cs="Arial"/>
          <w:bCs/>
          <w:iCs/>
          <w:sz w:val="22"/>
          <w:szCs w:val="22"/>
        </w:rPr>
        <w:t xml:space="preserve"> The regression holds time after dose (TAD) constant, nullifying the effect of TAD on antiretroviral drug concentrations. Antiretroviral drug concentrations were then modelled for the 25</w:t>
      </w:r>
      <w:r w:rsidR="00405993" w:rsidRPr="00405993">
        <w:rPr>
          <w:rFonts w:ascii="Arial" w:hAnsi="Arial" w:cs="Arial"/>
          <w:bCs/>
          <w:iCs/>
          <w:sz w:val="22"/>
          <w:szCs w:val="22"/>
          <w:vertAlign w:val="superscript"/>
        </w:rPr>
        <w:t>th</w:t>
      </w:r>
      <w:r w:rsidR="00405993">
        <w:rPr>
          <w:rFonts w:ascii="Arial" w:hAnsi="Arial" w:cs="Arial"/>
          <w:bCs/>
          <w:iCs/>
          <w:sz w:val="22"/>
          <w:szCs w:val="22"/>
        </w:rPr>
        <w:t>, 50</w:t>
      </w:r>
      <w:r w:rsidR="00405993" w:rsidRPr="00405993">
        <w:rPr>
          <w:rFonts w:ascii="Arial" w:hAnsi="Arial" w:cs="Arial"/>
          <w:bCs/>
          <w:iCs/>
          <w:sz w:val="22"/>
          <w:szCs w:val="22"/>
          <w:vertAlign w:val="superscript"/>
        </w:rPr>
        <w:t>th</w:t>
      </w:r>
      <w:r w:rsidR="00405993">
        <w:rPr>
          <w:rFonts w:ascii="Arial" w:hAnsi="Arial" w:cs="Arial"/>
          <w:bCs/>
          <w:iCs/>
          <w:sz w:val="22"/>
          <w:szCs w:val="22"/>
        </w:rPr>
        <w:t>, and 75</w:t>
      </w:r>
      <w:r w:rsidR="00405993" w:rsidRPr="00405993">
        <w:rPr>
          <w:rFonts w:ascii="Arial" w:hAnsi="Arial" w:cs="Arial"/>
          <w:bCs/>
          <w:iCs/>
          <w:sz w:val="22"/>
          <w:szCs w:val="22"/>
          <w:vertAlign w:val="superscript"/>
        </w:rPr>
        <w:t>th</w:t>
      </w:r>
      <w:r w:rsidR="00405993">
        <w:rPr>
          <w:rFonts w:ascii="Arial" w:hAnsi="Arial" w:cs="Arial"/>
          <w:bCs/>
          <w:iCs/>
          <w:sz w:val="22"/>
          <w:szCs w:val="22"/>
        </w:rPr>
        <w:t xml:space="preserve"> quantiles for the obese and non-obese groups observed in this study (BMI, WC, WHR). P-values were calculated for both TAD and measures of obesity (BMI, WC, WHR) to express the impact they had on drug concentrations in each quantile. </w:t>
      </w:r>
      <w:r w:rsidRPr="00D04B64">
        <w:rPr>
          <w:rFonts w:ascii="Arial" w:hAnsi="Arial" w:cs="Arial"/>
          <w:bCs/>
          <w:iCs/>
          <w:sz w:val="22"/>
          <w:szCs w:val="22"/>
        </w:rPr>
        <w:t>We perform</w:t>
      </w:r>
      <w:r>
        <w:rPr>
          <w:rFonts w:ascii="Arial" w:hAnsi="Arial" w:cs="Arial"/>
          <w:bCs/>
          <w:iCs/>
          <w:sz w:val="22"/>
          <w:szCs w:val="22"/>
        </w:rPr>
        <w:t>ed</w:t>
      </w:r>
      <w:r w:rsidRPr="00D04B64">
        <w:rPr>
          <w:rFonts w:ascii="Arial" w:hAnsi="Arial" w:cs="Arial"/>
          <w:bCs/>
          <w:iCs/>
          <w:sz w:val="22"/>
          <w:szCs w:val="22"/>
        </w:rPr>
        <w:t xml:space="preserve"> statistical analysis using </w:t>
      </w:r>
      <w:r w:rsidRPr="00341A27">
        <w:rPr>
          <w:rFonts w:ascii="Arial" w:hAnsi="Arial" w:cs="Arial"/>
          <w:bCs/>
          <w:iCs/>
          <w:sz w:val="22"/>
          <w:szCs w:val="22"/>
        </w:rPr>
        <w:t xml:space="preserve">IBM Corp. </w:t>
      </w:r>
      <w:r>
        <w:rPr>
          <w:rFonts w:ascii="Arial" w:hAnsi="Arial" w:cs="Arial"/>
          <w:bCs/>
          <w:iCs/>
          <w:sz w:val="22"/>
          <w:szCs w:val="22"/>
        </w:rPr>
        <w:t>(</w:t>
      </w:r>
      <w:r w:rsidRPr="00341A27">
        <w:rPr>
          <w:rFonts w:ascii="Arial" w:hAnsi="Arial" w:cs="Arial"/>
          <w:bCs/>
          <w:iCs/>
          <w:sz w:val="22"/>
          <w:szCs w:val="22"/>
        </w:rPr>
        <w:t>IBM SPSS Statistics for Windows, Version 2</w:t>
      </w:r>
      <w:r>
        <w:rPr>
          <w:rFonts w:ascii="Arial" w:hAnsi="Arial" w:cs="Arial"/>
          <w:bCs/>
          <w:iCs/>
          <w:sz w:val="22"/>
          <w:szCs w:val="22"/>
        </w:rPr>
        <w:t>6</w:t>
      </w:r>
      <w:r w:rsidRPr="00341A27">
        <w:rPr>
          <w:rFonts w:ascii="Arial" w:hAnsi="Arial" w:cs="Arial"/>
          <w:bCs/>
          <w:iCs/>
          <w:sz w:val="22"/>
          <w:szCs w:val="22"/>
        </w:rPr>
        <w:t>.0. Armonk, NY: IBM Corp</w:t>
      </w:r>
      <w:r>
        <w:rPr>
          <w:rFonts w:ascii="Arial" w:hAnsi="Arial" w:cs="Arial"/>
          <w:bCs/>
          <w:iCs/>
          <w:sz w:val="22"/>
          <w:szCs w:val="22"/>
        </w:rPr>
        <w:t>)</w:t>
      </w:r>
      <w:r w:rsidRPr="00D04B64">
        <w:rPr>
          <w:rFonts w:ascii="Arial" w:hAnsi="Arial" w:cs="Arial"/>
          <w:bCs/>
          <w:iCs/>
          <w:sz w:val="22"/>
          <w:szCs w:val="22"/>
        </w:rPr>
        <w:t>. Graphs w</w:t>
      </w:r>
      <w:r>
        <w:rPr>
          <w:rFonts w:ascii="Arial" w:hAnsi="Arial" w:cs="Arial"/>
          <w:bCs/>
          <w:iCs/>
          <w:sz w:val="22"/>
          <w:szCs w:val="22"/>
        </w:rPr>
        <w:t>ere</w:t>
      </w:r>
      <w:r w:rsidRPr="00D04B64">
        <w:rPr>
          <w:rFonts w:ascii="Arial" w:hAnsi="Arial" w:cs="Arial"/>
          <w:bCs/>
          <w:iCs/>
          <w:sz w:val="22"/>
          <w:szCs w:val="22"/>
        </w:rPr>
        <w:t xml:space="preserve"> </w:t>
      </w:r>
      <w:r>
        <w:rPr>
          <w:rFonts w:ascii="Arial" w:hAnsi="Arial" w:cs="Arial"/>
          <w:bCs/>
          <w:iCs/>
          <w:sz w:val="22"/>
          <w:szCs w:val="22"/>
        </w:rPr>
        <w:t>generated</w:t>
      </w:r>
      <w:r w:rsidRPr="00D04B64">
        <w:rPr>
          <w:rFonts w:ascii="Arial" w:hAnsi="Arial" w:cs="Arial"/>
          <w:bCs/>
          <w:iCs/>
          <w:sz w:val="22"/>
          <w:szCs w:val="22"/>
        </w:rPr>
        <w:t xml:space="preserve"> using </w:t>
      </w:r>
      <w:r w:rsidRPr="008444B8">
        <w:rPr>
          <w:rFonts w:ascii="Arial" w:hAnsi="Arial" w:cs="Arial"/>
          <w:bCs/>
          <w:iCs/>
          <w:sz w:val="22"/>
          <w:szCs w:val="22"/>
        </w:rPr>
        <w:t xml:space="preserve">GraphPad Prism 8.4.3 (471) </w:t>
      </w:r>
      <w:r>
        <w:rPr>
          <w:rFonts w:ascii="Arial" w:hAnsi="Arial" w:cs="Arial"/>
          <w:bCs/>
          <w:iCs/>
          <w:sz w:val="22"/>
          <w:szCs w:val="22"/>
        </w:rPr>
        <w:t>(</w:t>
      </w:r>
      <w:r w:rsidRPr="008444B8">
        <w:rPr>
          <w:rFonts w:ascii="Arial" w:hAnsi="Arial" w:cs="Arial"/>
          <w:bCs/>
          <w:iCs/>
          <w:sz w:val="22"/>
          <w:szCs w:val="22"/>
        </w:rPr>
        <w:t xml:space="preserve">Macintosh Version by Software </w:t>
      </w:r>
      <w:proofErr w:type="spellStart"/>
      <w:r w:rsidRPr="008444B8">
        <w:rPr>
          <w:rFonts w:ascii="Arial" w:hAnsi="Arial" w:cs="Arial"/>
          <w:bCs/>
          <w:iCs/>
          <w:sz w:val="22"/>
          <w:szCs w:val="22"/>
        </w:rPr>
        <w:t>MacKiev</w:t>
      </w:r>
      <w:proofErr w:type="spellEnd"/>
      <w:r w:rsidRPr="00292D0F">
        <w:rPr>
          <w:rFonts w:ascii="Arial" w:hAnsi="Arial" w:cs="Arial"/>
          <w:bCs/>
          <w:iCs/>
          <w:sz w:val="22"/>
          <w:szCs w:val="22"/>
          <w:vertAlign w:val="superscript"/>
        </w:rPr>
        <w:t>©</w:t>
      </w:r>
      <w:r w:rsidRPr="008444B8">
        <w:rPr>
          <w:rFonts w:ascii="Arial" w:hAnsi="Arial" w:cs="Arial"/>
          <w:bCs/>
          <w:iCs/>
          <w:sz w:val="22"/>
          <w:szCs w:val="22"/>
        </w:rPr>
        <w:t xml:space="preserve"> 1994-202</w:t>
      </w:r>
      <w:r w:rsidR="00F02987">
        <w:rPr>
          <w:rFonts w:ascii="Arial" w:hAnsi="Arial" w:cs="Arial"/>
          <w:bCs/>
          <w:iCs/>
          <w:sz w:val="22"/>
          <w:szCs w:val="22"/>
        </w:rPr>
        <w:t>1</w:t>
      </w:r>
      <w:r w:rsidRPr="008444B8">
        <w:rPr>
          <w:rFonts w:ascii="Arial" w:hAnsi="Arial" w:cs="Arial"/>
          <w:bCs/>
          <w:iCs/>
          <w:sz w:val="22"/>
          <w:szCs w:val="22"/>
        </w:rPr>
        <w:t xml:space="preserve"> GraphPad Software, LLC</w:t>
      </w:r>
      <w:r>
        <w:rPr>
          <w:rFonts w:ascii="Arial" w:hAnsi="Arial" w:cs="Arial"/>
          <w:bCs/>
          <w:iCs/>
          <w:sz w:val="22"/>
          <w:szCs w:val="22"/>
        </w:rPr>
        <w:t>)</w:t>
      </w:r>
      <w:r w:rsidRPr="008444B8">
        <w:rPr>
          <w:rFonts w:ascii="Arial" w:hAnsi="Arial" w:cs="Arial"/>
          <w:bCs/>
          <w:iCs/>
          <w:sz w:val="22"/>
          <w:szCs w:val="22"/>
        </w:rPr>
        <w:t>.</w:t>
      </w:r>
    </w:p>
    <w:p w14:paraId="300C73B0" w14:textId="77777777" w:rsidR="003948C4" w:rsidRDefault="003948C4" w:rsidP="00292D0F">
      <w:pPr>
        <w:spacing w:line="480" w:lineRule="auto"/>
        <w:jc w:val="both"/>
        <w:rPr>
          <w:rFonts w:ascii="Arial" w:hAnsi="Arial" w:cs="Arial"/>
          <w:bCs/>
          <w:iCs/>
          <w:sz w:val="22"/>
          <w:szCs w:val="22"/>
        </w:rPr>
      </w:pPr>
    </w:p>
    <w:p w14:paraId="06AE0D45" w14:textId="77777777" w:rsidR="000309E3" w:rsidRPr="00CC42F1" w:rsidRDefault="000309E3" w:rsidP="00CC42F1">
      <w:pPr>
        <w:spacing w:line="480" w:lineRule="auto"/>
        <w:jc w:val="both"/>
        <w:rPr>
          <w:b/>
          <w:bCs/>
        </w:rPr>
      </w:pPr>
      <w:r w:rsidRPr="00CC42F1">
        <w:rPr>
          <w:rFonts w:ascii="Arial" w:hAnsi="Arial" w:cs="Arial"/>
          <w:b/>
          <w:bCs/>
          <w:sz w:val="22"/>
          <w:szCs w:val="22"/>
        </w:rPr>
        <w:t>Results</w:t>
      </w:r>
    </w:p>
    <w:p w14:paraId="5E3FB707" w14:textId="041658B2" w:rsidR="000309E3" w:rsidRPr="009C15AF" w:rsidRDefault="000309E3" w:rsidP="00292D0F">
      <w:pPr>
        <w:spacing w:line="480" w:lineRule="auto"/>
        <w:jc w:val="both"/>
        <w:rPr>
          <w:rFonts w:ascii="Arial" w:hAnsi="Arial" w:cs="Arial"/>
          <w:sz w:val="22"/>
          <w:szCs w:val="22"/>
        </w:rPr>
      </w:pPr>
      <w:r w:rsidRPr="00D97165">
        <w:rPr>
          <w:rFonts w:ascii="Arial" w:hAnsi="Arial" w:cs="Arial"/>
          <w:b/>
          <w:i/>
          <w:sz w:val="22"/>
          <w:szCs w:val="22"/>
        </w:rPr>
        <w:t>Study participant characteristics</w:t>
      </w:r>
      <w:r>
        <w:rPr>
          <w:rFonts w:ascii="Arial" w:hAnsi="Arial" w:cs="Arial"/>
          <w:b/>
          <w:i/>
          <w:sz w:val="22"/>
          <w:szCs w:val="22"/>
        </w:rPr>
        <w:t>:</w:t>
      </w:r>
      <w:r>
        <w:rPr>
          <w:rFonts w:ascii="Arial" w:hAnsi="Arial" w:cs="Arial"/>
          <w:bCs/>
          <w:iCs/>
          <w:sz w:val="22"/>
          <w:szCs w:val="22"/>
        </w:rPr>
        <w:t xml:space="preserve"> </w:t>
      </w:r>
      <w:r w:rsidR="00B73650">
        <w:rPr>
          <w:rFonts w:ascii="Arial" w:hAnsi="Arial" w:cs="Arial"/>
          <w:bCs/>
          <w:iCs/>
          <w:sz w:val="22"/>
          <w:szCs w:val="22"/>
        </w:rPr>
        <w:t xml:space="preserve">We included </w:t>
      </w:r>
      <w:r>
        <w:rPr>
          <w:rFonts w:ascii="Arial" w:hAnsi="Arial" w:cs="Arial"/>
          <w:bCs/>
          <w:iCs/>
          <w:sz w:val="22"/>
          <w:szCs w:val="22"/>
        </w:rPr>
        <w:t>213 participants</w:t>
      </w:r>
      <w:r w:rsidR="00B73650">
        <w:rPr>
          <w:rFonts w:ascii="Arial" w:hAnsi="Arial" w:cs="Arial"/>
          <w:bCs/>
          <w:iCs/>
          <w:sz w:val="22"/>
          <w:szCs w:val="22"/>
        </w:rPr>
        <w:t xml:space="preserve"> in our study</w:t>
      </w:r>
      <w:r w:rsidR="00A42B15">
        <w:rPr>
          <w:rFonts w:ascii="Arial" w:hAnsi="Arial" w:cs="Arial"/>
          <w:bCs/>
          <w:iCs/>
          <w:sz w:val="22"/>
          <w:szCs w:val="22"/>
        </w:rPr>
        <w:t xml:space="preserve"> </w:t>
      </w:r>
      <w:r w:rsidR="00A42B15" w:rsidRPr="00805A39">
        <w:rPr>
          <w:rFonts w:ascii="Arial" w:hAnsi="Arial" w:cs="Arial"/>
          <w:sz w:val="22"/>
          <w:szCs w:val="22"/>
        </w:rPr>
        <w:t>(</w:t>
      </w:r>
      <w:r w:rsidR="00A42B15" w:rsidRPr="0010712D">
        <w:rPr>
          <w:rFonts w:ascii="Arial" w:hAnsi="Arial" w:cs="Arial"/>
          <w:b/>
          <w:bCs/>
          <w:sz w:val="22"/>
          <w:szCs w:val="22"/>
        </w:rPr>
        <w:t>Figure 1</w:t>
      </w:r>
      <w:r w:rsidR="00A42B15">
        <w:rPr>
          <w:rFonts w:ascii="Arial" w:hAnsi="Arial" w:cs="Arial"/>
          <w:sz w:val="22"/>
          <w:szCs w:val="22"/>
        </w:rPr>
        <w:t>)</w:t>
      </w:r>
      <w:r w:rsidR="00D3089B">
        <w:rPr>
          <w:rFonts w:ascii="Arial" w:hAnsi="Arial" w:cs="Arial"/>
          <w:sz w:val="22"/>
          <w:szCs w:val="22"/>
        </w:rPr>
        <w:t xml:space="preserve">, 43 </w:t>
      </w:r>
      <w:r w:rsidR="009C15AF">
        <w:rPr>
          <w:rFonts w:ascii="Arial" w:hAnsi="Arial" w:cs="Arial"/>
          <w:sz w:val="22"/>
          <w:szCs w:val="22"/>
        </w:rPr>
        <w:t>and 170 participants f</w:t>
      </w:r>
      <w:r w:rsidR="00E65E12">
        <w:rPr>
          <w:rFonts w:ascii="Arial" w:hAnsi="Arial" w:cs="Arial"/>
          <w:sz w:val="22"/>
          <w:szCs w:val="22"/>
        </w:rPr>
        <w:t>rom the Cape Town</w:t>
      </w:r>
      <w:r w:rsidR="009C15AF">
        <w:rPr>
          <w:rFonts w:ascii="Arial" w:hAnsi="Arial" w:cs="Arial"/>
          <w:sz w:val="22"/>
          <w:szCs w:val="22"/>
        </w:rPr>
        <w:t xml:space="preserve"> and </w:t>
      </w:r>
      <w:proofErr w:type="spellStart"/>
      <w:r w:rsidR="009C15AF">
        <w:rPr>
          <w:rFonts w:ascii="Arial" w:hAnsi="Arial" w:cs="Arial"/>
          <w:sz w:val="22"/>
          <w:szCs w:val="22"/>
        </w:rPr>
        <w:t>EndoAfrica</w:t>
      </w:r>
      <w:proofErr w:type="spellEnd"/>
      <w:r w:rsidR="00E65E12">
        <w:rPr>
          <w:rFonts w:ascii="Arial" w:hAnsi="Arial" w:cs="Arial"/>
          <w:sz w:val="22"/>
          <w:szCs w:val="22"/>
        </w:rPr>
        <w:t xml:space="preserve"> cohort</w:t>
      </w:r>
      <w:r w:rsidR="009C15AF">
        <w:rPr>
          <w:rFonts w:ascii="Arial" w:hAnsi="Arial" w:cs="Arial"/>
          <w:sz w:val="22"/>
          <w:szCs w:val="22"/>
        </w:rPr>
        <w:t>s respectively</w:t>
      </w:r>
      <w:r w:rsidR="004A5B5A">
        <w:rPr>
          <w:rFonts w:ascii="Arial" w:hAnsi="Arial" w:cs="Arial"/>
          <w:sz w:val="22"/>
          <w:szCs w:val="22"/>
        </w:rPr>
        <w:t>.</w:t>
      </w:r>
      <w:r w:rsidR="009C15AF">
        <w:rPr>
          <w:rFonts w:ascii="Arial" w:hAnsi="Arial" w:cs="Arial"/>
          <w:sz w:val="22"/>
          <w:szCs w:val="22"/>
        </w:rPr>
        <w:t xml:space="preserve"> </w:t>
      </w:r>
      <w:r w:rsidR="00764E1F">
        <w:rPr>
          <w:rFonts w:ascii="Arial" w:hAnsi="Arial" w:cs="Arial"/>
          <w:bCs/>
          <w:iCs/>
          <w:sz w:val="22"/>
          <w:szCs w:val="22"/>
        </w:rPr>
        <w:t>T</w:t>
      </w:r>
      <w:r w:rsidR="00A42B15">
        <w:rPr>
          <w:rFonts w:ascii="Arial" w:hAnsi="Arial" w:cs="Arial"/>
          <w:bCs/>
          <w:iCs/>
          <w:sz w:val="22"/>
          <w:szCs w:val="22"/>
        </w:rPr>
        <w:t>he</w:t>
      </w:r>
      <w:r w:rsidR="00543D45">
        <w:rPr>
          <w:rFonts w:ascii="Arial" w:hAnsi="Arial" w:cs="Arial"/>
          <w:bCs/>
          <w:iCs/>
          <w:sz w:val="22"/>
          <w:szCs w:val="22"/>
        </w:rPr>
        <w:t xml:space="preserve"> baseline characteristics </w:t>
      </w:r>
      <w:r w:rsidR="00764E1F">
        <w:rPr>
          <w:rFonts w:ascii="Arial" w:hAnsi="Arial" w:cs="Arial"/>
          <w:bCs/>
          <w:iCs/>
          <w:sz w:val="22"/>
          <w:szCs w:val="22"/>
        </w:rPr>
        <w:t xml:space="preserve">are described </w:t>
      </w:r>
      <w:r w:rsidR="00543D45">
        <w:rPr>
          <w:rFonts w:ascii="Arial" w:hAnsi="Arial" w:cs="Arial"/>
          <w:bCs/>
          <w:iCs/>
          <w:sz w:val="22"/>
          <w:szCs w:val="22"/>
        </w:rPr>
        <w:t xml:space="preserve">in </w:t>
      </w:r>
      <w:r w:rsidRPr="00E504BE">
        <w:rPr>
          <w:rFonts w:ascii="Arial" w:hAnsi="Arial" w:cs="Arial"/>
          <w:b/>
          <w:iCs/>
          <w:sz w:val="22"/>
          <w:szCs w:val="22"/>
        </w:rPr>
        <w:t>Table 1</w:t>
      </w:r>
      <w:r>
        <w:rPr>
          <w:rFonts w:ascii="Arial" w:hAnsi="Arial" w:cs="Arial"/>
          <w:bCs/>
          <w:iCs/>
          <w:sz w:val="22"/>
          <w:szCs w:val="22"/>
        </w:rPr>
        <w:t xml:space="preserve">.  </w:t>
      </w:r>
      <w:r w:rsidR="003C1516">
        <w:rPr>
          <w:rFonts w:ascii="Arial" w:hAnsi="Arial" w:cs="Arial"/>
          <w:bCs/>
          <w:iCs/>
          <w:sz w:val="22"/>
          <w:szCs w:val="22"/>
        </w:rPr>
        <w:t>Fem</w:t>
      </w:r>
      <w:r w:rsidR="00AA106C">
        <w:rPr>
          <w:rFonts w:ascii="Arial" w:hAnsi="Arial" w:cs="Arial"/>
          <w:bCs/>
          <w:iCs/>
          <w:sz w:val="22"/>
          <w:szCs w:val="22"/>
        </w:rPr>
        <w:t xml:space="preserve">ale participants had </w:t>
      </w:r>
      <w:r w:rsidR="003C1516">
        <w:rPr>
          <w:rFonts w:ascii="Arial" w:hAnsi="Arial" w:cs="Arial"/>
          <w:bCs/>
          <w:iCs/>
          <w:sz w:val="22"/>
          <w:szCs w:val="22"/>
        </w:rPr>
        <w:t xml:space="preserve">higher </w:t>
      </w:r>
      <w:r w:rsidR="00AA106C">
        <w:rPr>
          <w:rFonts w:ascii="Arial" w:hAnsi="Arial" w:cs="Arial"/>
          <w:bCs/>
          <w:iCs/>
          <w:sz w:val="22"/>
          <w:szCs w:val="22"/>
        </w:rPr>
        <w:t>BMI</w:t>
      </w:r>
      <w:r w:rsidR="003C1516">
        <w:rPr>
          <w:rFonts w:ascii="Arial" w:hAnsi="Arial" w:cs="Arial"/>
          <w:bCs/>
          <w:iCs/>
          <w:sz w:val="22"/>
          <w:szCs w:val="22"/>
        </w:rPr>
        <w:t>s</w:t>
      </w:r>
      <w:r w:rsidR="006C4C1D">
        <w:rPr>
          <w:rFonts w:ascii="Arial" w:hAnsi="Arial" w:cs="Arial"/>
          <w:bCs/>
          <w:iCs/>
          <w:sz w:val="22"/>
          <w:szCs w:val="22"/>
        </w:rPr>
        <w:t>, WCs and</w:t>
      </w:r>
      <w:r w:rsidR="00DC326C">
        <w:rPr>
          <w:rFonts w:ascii="Arial" w:hAnsi="Arial" w:cs="Arial"/>
          <w:bCs/>
          <w:iCs/>
          <w:sz w:val="22"/>
          <w:szCs w:val="22"/>
        </w:rPr>
        <w:t xml:space="preserve"> </w:t>
      </w:r>
      <w:r w:rsidR="00AA106C">
        <w:rPr>
          <w:rFonts w:ascii="Arial" w:hAnsi="Arial" w:cs="Arial"/>
          <w:bCs/>
          <w:iCs/>
          <w:sz w:val="22"/>
          <w:szCs w:val="22"/>
        </w:rPr>
        <w:t>CD4</w:t>
      </w:r>
      <w:r w:rsidR="00E87278">
        <w:rPr>
          <w:rFonts w:ascii="Arial" w:hAnsi="Arial" w:cs="Arial"/>
          <w:bCs/>
          <w:iCs/>
          <w:sz w:val="22"/>
          <w:szCs w:val="22"/>
        </w:rPr>
        <w:t xml:space="preserve"> </w:t>
      </w:r>
      <w:r w:rsidR="00AA106C">
        <w:rPr>
          <w:rFonts w:ascii="Arial" w:hAnsi="Arial" w:cs="Arial"/>
          <w:bCs/>
          <w:iCs/>
          <w:sz w:val="22"/>
          <w:szCs w:val="22"/>
        </w:rPr>
        <w:t>count</w:t>
      </w:r>
      <w:r w:rsidR="00DC326C">
        <w:rPr>
          <w:rFonts w:ascii="Arial" w:hAnsi="Arial" w:cs="Arial"/>
          <w:bCs/>
          <w:iCs/>
          <w:sz w:val="22"/>
          <w:szCs w:val="22"/>
        </w:rPr>
        <w:t>s</w:t>
      </w:r>
      <w:r w:rsidR="00AA106C">
        <w:rPr>
          <w:rFonts w:ascii="Arial" w:hAnsi="Arial" w:cs="Arial"/>
          <w:bCs/>
          <w:iCs/>
          <w:sz w:val="22"/>
          <w:szCs w:val="22"/>
        </w:rPr>
        <w:t xml:space="preserve">. </w:t>
      </w:r>
    </w:p>
    <w:p w14:paraId="4D5D72C4" w14:textId="3B2E97A3" w:rsidR="000309E3" w:rsidRDefault="000309E3" w:rsidP="00292D0F">
      <w:pPr>
        <w:spacing w:line="480" w:lineRule="auto"/>
        <w:jc w:val="both"/>
        <w:rPr>
          <w:rFonts w:ascii="Arial" w:hAnsi="Arial" w:cs="Arial"/>
          <w:sz w:val="22"/>
          <w:szCs w:val="22"/>
        </w:rPr>
      </w:pPr>
    </w:p>
    <w:p w14:paraId="3A70614D" w14:textId="66BE2AE5" w:rsidR="00D11CE3" w:rsidRPr="00F06CB3" w:rsidRDefault="005A2F40" w:rsidP="00292D0F">
      <w:pPr>
        <w:spacing w:line="480" w:lineRule="auto"/>
        <w:jc w:val="both"/>
        <w:rPr>
          <w:rFonts w:ascii="Arial" w:hAnsi="Arial" w:cs="Arial"/>
          <w:sz w:val="22"/>
          <w:szCs w:val="22"/>
        </w:rPr>
      </w:pPr>
      <w:r>
        <w:rPr>
          <w:rFonts w:ascii="Arial" w:hAnsi="Arial" w:cs="Arial"/>
          <w:b/>
          <w:i/>
          <w:sz w:val="22"/>
          <w:szCs w:val="22"/>
        </w:rPr>
        <w:t>EFV and 8-OH-EFV p</w:t>
      </w:r>
      <w:r w:rsidR="00F63FF8" w:rsidRPr="00E9190B">
        <w:rPr>
          <w:rFonts w:ascii="Arial" w:hAnsi="Arial" w:cs="Arial"/>
          <w:b/>
          <w:i/>
          <w:sz w:val="22"/>
          <w:szCs w:val="22"/>
        </w:rPr>
        <w:t>harmacokinetics</w:t>
      </w:r>
      <w:r w:rsidR="00F63FF8">
        <w:rPr>
          <w:rFonts w:ascii="Arial" w:hAnsi="Arial" w:cs="Arial"/>
          <w:b/>
          <w:i/>
          <w:sz w:val="22"/>
          <w:szCs w:val="22"/>
        </w:rPr>
        <w:t>:</w:t>
      </w:r>
      <w:r w:rsidR="00F63FF8">
        <w:rPr>
          <w:rFonts w:ascii="Arial" w:hAnsi="Arial" w:cs="Arial"/>
          <w:bCs/>
          <w:iCs/>
          <w:sz w:val="22"/>
          <w:szCs w:val="22"/>
        </w:rPr>
        <w:t xml:space="preserve"> </w:t>
      </w:r>
      <w:r w:rsidR="00CD4B57">
        <w:rPr>
          <w:rFonts w:ascii="Arial" w:hAnsi="Arial" w:cs="Arial"/>
          <w:bCs/>
          <w:iCs/>
          <w:sz w:val="22"/>
          <w:szCs w:val="22"/>
        </w:rPr>
        <w:t xml:space="preserve">The </w:t>
      </w:r>
      <w:r w:rsidR="00133263">
        <w:rPr>
          <w:rFonts w:ascii="Arial" w:hAnsi="Arial" w:cs="Arial"/>
          <w:bCs/>
          <w:iCs/>
          <w:sz w:val="22"/>
          <w:szCs w:val="22"/>
        </w:rPr>
        <w:t xml:space="preserve">pharmacokinetic results are </w:t>
      </w:r>
      <w:proofErr w:type="spellStart"/>
      <w:r w:rsidR="00133263">
        <w:rPr>
          <w:rFonts w:ascii="Arial" w:hAnsi="Arial" w:cs="Arial"/>
          <w:bCs/>
          <w:iCs/>
          <w:sz w:val="22"/>
          <w:szCs w:val="22"/>
        </w:rPr>
        <w:t>summarised</w:t>
      </w:r>
      <w:proofErr w:type="spellEnd"/>
      <w:r w:rsidR="00133263">
        <w:rPr>
          <w:rFonts w:ascii="Arial" w:hAnsi="Arial" w:cs="Arial"/>
          <w:bCs/>
          <w:iCs/>
          <w:sz w:val="22"/>
          <w:szCs w:val="22"/>
        </w:rPr>
        <w:t xml:space="preserve"> in </w:t>
      </w:r>
      <w:r w:rsidR="00133263" w:rsidRPr="00F87FF7">
        <w:rPr>
          <w:rFonts w:ascii="Arial" w:hAnsi="Arial" w:cs="Arial"/>
          <w:b/>
          <w:iCs/>
          <w:sz w:val="22"/>
          <w:szCs w:val="22"/>
        </w:rPr>
        <w:t>Table 2</w:t>
      </w:r>
      <w:r w:rsidR="00133263">
        <w:rPr>
          <w:rFonts w:ascii="Arial" w:hAnsi="Arial" w:cs="Arial"/>
          <w:bCs/>
          <w:iCs/>
          <w:sz w:val="22"/>
          <w:szCs w:val="22"/>
        </w:rPr>
        <w:t>.</w:t>
      </w:r>
      <w:r w:rsidR="00056146">
        <w:rPr>
          <w:rFonts w:ascii="Arial" w:hAnsi="Arial" w:cs="Arial"/>
          <w:bCs/>
          <w:iCs/>
          <w:sz w:val="22"/>
          <w:szCs w:val="22"/>
        </w:rPr>
        <w:t xml:space="preserve"> We found a </w:t>
      </w:r>
      <w:r w:rsidR="00D7377C">
        <w:rPr>
          <w:rFonts w:ascii="Arial" w:hAnsi="Arial" w:cs="Arial"/>
          <w:bCs/>
          <w:iCs/>
          <w:sz w:val="22"/>
          <w:szCs w:val="22"/>
        </w:rPr>
        <w:t xml:space="preserve">sex </w:t>
      </w:r>
      <w:r w:rsidR="00056146">
        <w:rPr>
          <w:rFonts w:ascii="Arial" w:hAnsi="Arial" w:cs="Arial"/>
          <w:bCs/>
          <w:iCs/>
          <w:sz w:val="22"/>
          <w:szCs w:val="22"/>
        </w:rPr>
        <w:t>difference in concentrations</w:t>
      </w:r>
      <w:r w:rsidR="008E6297">
        <w:rPr>
          <w:rFonts w:ascii="Arial" w:hAnsi="Arial" w:cs="Arial"/>
          <w:bCs/>
          <w:iCs/>
          <w:sz w:val="22"/>
          <w:szCs w:val="22"/>
        </w:rPr>
        <w:t xml:space="preserve"> with males having higher concentrations</w:t>
      </w:r>
      <w:r w:rsidR="002E6B0F">
        <w:rPr>
          <w:rFonts w:ascii="Arial" w:hAnsi="Arial" w:cs="Arial"/>
          <w:bCs/>
          <w:iCs/>
          <w:sz w:val="22"/>
          <w:szCs w:val="22"/>
        </w:rPr>
        <w:t xml:space="preserve"> of EFV, TFV and FTC</w:t>
      </w:r>
      <w:r w:rsidR="006F6AEB">
        <w:rPr>
          <w:rFonts w:ascii="Arial" w:hAnsi="Arial" w:cs="Arial"/>
          <w:bCs/>
          <w:iCs/>
          <w:sz w:val="22"/>
          <w:szCs w:val="22"/>
        </w:rPr>
        <w:t xml:space="preserve"> with </w:t>
      </w:r>
      <w:r w:rsidR="007641CE">
        <w:rPr>
          <w:rFonts w:ascii="Arial" w:hAnsi="Arial" w:cs="Arial"/>
          <w:bCs/>
          <w:iCs/>
          <w:sz w:val="22"/>
          <w:szCs w:val="22"/>
        </w:rPr>
        <w:t xml:space="preserve">a </w:t>
      </w:r>
      <w:r w:rsidR="00134ED6">
        <w:rPr>
          <w:rFonts w:ascii="Arial" w:hAnsi="Arial" w:cs="Arial"/>
          <w:bCs/>
          <w:iCs/>
          <w:sz w:val="22"/>
          <w:szCs w:val="22"/>
        </w:rPr>
        <w:t>significant</w:t>
      </w:r>
      <w:r w:rsidR="006F6AEB">
        <w:rPr>
          <w:rFonts w:ascii="Arial" w:hAnsi="Arial" w:cs="Arial"/>
          <w:bCs/>
          <w:iCs/>
          <w:sz w:val="22"/>
          <w:szCs w:val="22"/>
        </w:rPr>
        <w:t xml:space="preserve"> difference of </w:t>
      </w:r>
      <w:r w:rsidR="00137BAC">
        <w:rPr>
          <w:rFonts w:ascii="Arial" w:hAnsi="Arial" w:cs="Arial"/>
          <w:bCs/>
          <w:iCs/>
          <w:sz w:val="22"/>
          <w:szCs w:val="22"/>
        </w:rPr>
        <w:t>FTC (P</w:t>
      </w:r>
      <w:r w:rsidR="00BB64D6">
        <w:rPr>
          <w:rFonts w:ascii="Arial" w:hAnsi="Arial" w:cs="Arial"/>
          <w:bCs/>
          <w:iCs/>
          <w:sz w:val="22"/>
          <w:szCs w:val="22"/>
        </w:rPr>
        <w:t>&lt;0.001)</w:t>
      </w:r>
      <w:r w:rsidR="00CC4A86">
        <w:rPr>
          <w:rFonts w:ascii="Arial" w:hAnsi="Arial" w:cs="Arial"/>
          <w:bCs/>
          <w:iCs/>
          <w:sz w:val="22"/>
          <w:szCs w:val="22"/>
        </w:rPr>
        <w:t>, these results were however confounded by BMI</w:t>
      </w:r>
      <w:r w:rsidR="00056146">
        <w:rPr>
          <w:rFonts w:ascii="Arial" w:hAnsi="Arial" w:cs="Arial"/>
          <w:bCs/>
          <w:iCs/>
          <w:sz w:val="22"/>
          <w:szCs w:val="22"/>
        </w:rPr>
        <w:t xml:space="preserve">. </w:t>
      </w:r>
      <w:r w:rsidR="00D7377C">
        <w:rPr>
          <w:rFonts w:ascii="Arial" w:hAnsi="Arial" w:cs="Arial"/>
          <w:bCs/>
          <w:iCs/>
          <w:sz w:val="22"/>
          <w:szCs w:val="22"/>
        </w:rPr>
        <w:t>By contrast</w:t>
      </w:r>
      <w:r w:rsidR="00BB64D6">
        <w:rPr>
          <w:rFonts w:ascii="Arial" w:hAnsi="Arial" w:cs="Arial"/>
          <w:bCs/>
          <w:iCs/>
          <w:sz w:val="22"/>
          <w:szCs w:val="22"/>
        </w:rPr>
        <w:t xml:space="preserve">, </w:t>
      </w:r>
      <w:r w:rsidR="00200033">
        <w:rPr>
          <w:rFonts w:ascii="Arial" w:hAnsi="Arial" w:cs="Arial"/>
          <w:bCs/>
          <w:iCs/>
          <w:sz w:val="22"/>
          <w:szCs w:val="22"/>
        </w:rPr>
        <w:t xml:space="preserve">males </w:t>
      </w:r>
      <w:r w:rsidR="00BB64D6">
        <w:rPr>
          <w:rFonts w:ascii="Arial" w:hAnsi="Arial" w:cs="Arial"/>
          <w:bCs/>
          <w:iCs/>
          <w:sz w:val="22"/>
          <w:szCs w:val="22"/>
        </w:rPr>
        <w:t xml:space="preserve">had lower 8-OH-EFV </w:t>
      </w:r>
      <w:r w:rsidR="00BB64D6" w:rsidRPr="003C01AD">
        <w:rPr>
          <w:rFonts w:ascii="Arial" w:hAnsi="Arial" w:cs="Arial"/>
          <w:bCs/>
          <w:iCs/>
          <w:sz w:val="22"/>
          <w:szCs w:val="22"/>
        </w:rPr>
        <w:t>concentrations</w:t>
      </w:r>
      <w:r w:rsidR="00F63FF8" w:rsidRPr="003C01AD">
        <w:rPr>
          <w:rFonts w:ascii="Arial" w:hAnsi="Arial" w:cs="Arial"/>
          <w:sz w:val="22"/>
          <w:szCs w:val="22"/>
        </w:rPr>
        <w:t xml:space="preserve"> </w:t>
      </w:r>
      <w:r w:rsidR="00F63FF8" w:rsidRPr="00CC4A86">
        <w:rPr>
          <w:rFonts w:ascii="Arial" w:hAnsi="Arial" w:cs="Arial"/>
          <w:bCs/>
          <w:sz w:val="22"/>
          <w:szCs w:val="22"/>
        </w:rPr>
        <w:t>(</w:t>
      </w:r>
      <w:r w:rsidR="00F63FF8" w:rsidRPr="00CC4A86">
        <w:rPr>
          <w:rFonts w:ascii="Arial" w:hAnsi="Arial" w:cs="Arial"/>
          <w:bCs/>
          <w:iCs/>
          <w:sz w:val="22"/>
          <w:szCs w:val="22"/>
        </w:rPr>
        <w:t>P</w:t>
      </w:r>
      <w:r w:rsidR="00F63FF8" w:rsidRPr="00CC4A86">
        <w:rPr>
          <w:rFonts w:ascii="Arial" w:hAnsi="Arial" w:cs="Arial"/>
          <w:bCs/>
          <w:i/>
          <w:iCs/>
          <w:sz w:val="22"/>
          <w:szCs w:val="22"/>
        </w:rPr>
        <w:t xml:space="preserve"> </w:t>
      </w:r>
      <w:r w:rsidR="00F63FF8" w:rsidRPr="00CC4A86">
        <w:rPr>
          <w:rFonts w:ascii="Arial" w:hAnsi="Arial" w:cs="Arial"/>
          <w:bCs/>
          <w:sz w:val="22"/>
          <w:szCs w:val="22"/>
        </w:rPr>
        <w:t>= 0.0</w:t>
      </w:r>
      <w:r w:rsidR="00A81AA0" w:rsidRPr="00CC4A86">
        <w:rPr>
          <w:rFonts w:ascii="Arial" w:hAnsi="Arial" w:cs="Arial"/>
          <w:bCs/>
          <w:sz w:val="22"/>
          <w:szCs w:val="22"/>
        </w:rPr>
        <w:t>18</w:t>
      </w:r>
      <w:r w:rsidR="00F63FF8" w:rsidRPr="00CC4A86">
        <w:rPr>
          <w:rFonts w:ascii="Arial" w:hAnsi="Arial" w:cs="Arial"/>
          <w:bCs/>
          <w:sz w:val="22"/>
          <w:szCs w:val="22"/>
        </w:rPr>
        <w:t>)</w:t>
      </w:r>
      <w:r w:rsidR="00F63FF8" w:rsidRPr="003C01AD">
        <w:rPr>
          <w:rFonts w:ascii="Arial" w:hAnsi="Arial" w:cs="Arial"/>
          <w:sz w:val="22"/>
          <w:szCs w:val="22"/>
        </w:rPr>
        <w:t>.</w:t>
      </w:r>
      <w:r w:rsidR="00F63FF8">
        <w:rPr>
          <w:rFonts w:ascii="Arial" w:hAnsi="Arial" w:cs="Arial"/>
          <w:sz w:val="22"/>
          <w:szCs w:val="22"/>
        </w:rPr>
        <w:t xml:space="preserve"> </w:t>
      </w:r>
      <w:r w:rsidR="002E5C19">
        <w:rPr>
          <w:rFonts w:ascii="Arial" w:hAnsi="Arial" w:cs="Arial"/>
          <w:sz w:val="22"/>
          <w:szCs w:val="22"/>
        </w:rPr>
        <w:t xml:space="preserve">EFV </w:t>
      </w:r>
      <w:r w:rsidR="00F50A05">
        <w:rPr>
          <w:rFonts w:ascii="Arial" w:hAnsi="Arial" w:cs="Arial"/>
          <w:sz w:val="22"/>
          <w:szCs w:val="22"/>
        </w:rPr>
        <w:t xml:space="preserve">concentrations were lower in all obese groups </w:t>
      </w:r>
      <w:r w:rsidR="00F364E9">
        <w:rPr>
          <w:rFonts w:ascii="Arial" w:hAnsi="Arial" w:cs="Arial"/>
          <w:sz w:val="22"/>
          <w:szCs w:val="22"/>
        </w:rPr>
        <w:t xml:space="preserve">when </w:t>
      </w:r>
      <w:r w:rsidR="00F364E9">
        <w:rPr>
          <w:rFonts w:ascii="Arial" w:hAnsi="Arial" w:cs="Arial"/>
          <w:sz w:val="22"/>
          <w:szCs w:val="22"/>
        </w:rPr>
        <w:lastRenderedPageBreak/>
        <w:t>compared to</w:t>
      </w:r>
      <w:r w:rsidR="00F50A05">
        <w:rPr>
          <w:rFonts w:ascii="Arial" w:hAnsi="Arial" w:cs="Arial"/>
          <w:sz w:val="22"/>
          <w:szCs w:val="22"/>
        </w:rPr>
        <w:t xml:space="preserve"> the non-obese group</w:t>
      </w:r>
      <w:r w:rsidR="00F364E9">
        <w:rPr>
          <w:rFonts w:ascii="Arial" w:hAnsi="Arial" w:cs="Arial"/>
          <w:sz w:val="22"/>
          <w:szCs w:val="22"/>
        </w:rPr>
        <w:t xml:space="preserve">s. Differences were most striking for </w:t>
      </w:r>
      <w:r w:rsidR="002E5C19">
        <w:rPr>
          <w:rFonts w:ascii="Arial" w:hAnsi="Arial" w:cs="Arial"/>
          <w:sz w:val="22"/>
          <w:szCs w:val="22"/>
        </w:rPr>
        <w:t>WC</w:t>
      </w:r>
      <w:r w:rsidR="00F364E9">
        <w:rPr>
          <w:rFonts w:ascii="Arial" w:hAnsi="Arial" w:cs="Arial"/>
          <w:sz w:val="22"/>
          <w:szCs w:val="22"/>
        </w:rPr>
        <w:t xml:space="preserve"> with </w:t>
      </w:r>
      <w:r w:rsidR="005B494C">
        <w:rPr>
          <w:rFonts w:ascii="Arial" w:hAnsi="Arial" w:cs="Arial"/>
          <w:sz w:val="22"/>
          <w:szCs w:val="22"/>
        </w:rPr>
        <w:t xml:space="preserve">a </w:t>
      </w:r>
      <w:r w:rsidR="00F364E9">
        <w:rPr>
          <w:rFonts w:ascii="Arial" w:hAnsi="Arial" w:cs="Arial"/>
          <w:sz w:val="22"/>
          <w:szCs w:val="22"/>
        </w:rPr>
        <w:t>median</w:t>
      </w:r>
      <w:r w:rsidR="005B494C">
        <w:rPr>
          <w:rFonts w:ascii="Arial" w:hAnsi="Arial" w:cs="Arial"/>
          <w:sz w:val="22"/>
          <w:szCs w:val="22"/>
        </w:rPr>
        <w:t xml:space="preserve"> (IQR)</w:t>
      </w:r>
      <w:r w:rsidR="00F364E9">
        <w:rPr>
          <w:rFonts w:ascii="Arial" w:hAnsi="Arial" w:cs="Arial"/>
          <w:sz w:val="22"/>
          <w:szCs w:val="22"/>
        </w:rPr>
        <w:t xml:space="preserve"> </w:t>
      </w:r>
      <w:r w:rsidR="00D62326">
        <w:rPr>
          <w:rFonts w:ascii="Arial" w:hAnsi="Arial" w:cs="Arial"/>
          <w:sz w:val="22"/>
          <w:szCs w:val="22"/>
        </w:rPr>
        <w:t xml:space="preserve">of </w:t>
      </w:r>
      <w:r w:rsidR="00F364E9" w:rsidRPr="00F364E9">
        <w:rPr>
          <w:rFonts w:ascii="Arial" w:hAnsi="Arial" w:cs="Arial"/>
          <w:sz w:val="22"/>
          <w:szCs w:val="22"/>
        </w:rPr>
        <w:t>2571.2 (1675.4</w:t>
      </w:r>
      <w:r w:rsidR="00D62326">
        <w:rPr>
          <w:rFonts w:ascii="Arial" w:hAnsi="Arial" w:cs="Arial"/>
          <w:sz w:val="22"/>
          <w:szCs w:val="22"/>
        </w:rPr>
        <w:t xml:space="preserve"> – </w:t>
      </w:r>
      <w:r w:rsidR="00F364E9" w:rsidRPr="00F364E9">
        <w:rPr>
          <w:rFonts w:ascii="Arial" w:hAnsi="Arial" w:cs="Arial"/>
          <w:sz w:val="22"/>
          <w:szCs w:val="22"/>
        </w:rPr>
        <w:t>3866.6) ng/ml vs 1845.8 (1388.3</w:t>
      </w:r>
      <w:r w:rsidR="00D62326">
        <w:rPr>
          <w:rFonts w:ascii="Arial" w:hAnsi="Arial" w:cs="Arial"/>
          <w:sz w:val="22"/>
          <w:szCs w:val="22"/>
        </w:rPr>
        <w:t xml:space="preserve"> – </w:t>
      </w:r>
      <w:r w:rsidR="00F364E9" w:rsidRPr="00F364E9">
        <w:rPr>
          <w:rFonts w:ascii="Arial" w:hAnsi="Arial" w:cs="Arial"/>
          <w:sz w:val="22"/>
          <w:szCs w:val="22"/>
        </w:rPr>
        <w:t xml:space="preserve">2499.6) ng/ml </w:t>
      </w:r>
      <w:r w:rsidR="00F364E9" w:rsidRPr="00F06CB3">
        <w:rPr>
          <w:rFonts w:ascii="Arial" w:hAnsi="Arial" w:cs="Arial"/>
          <w:sz w:val="22"/>
          <w:szCs w:val="22"/>
        </w:rPr>
        <w:t>(P = &lt;0.001).</w:t>
      </w:r>
      <w:r w:rsidR="00D62326">
        <w:rPr>
          <w:rFonts w:ascii="Arial" w:hAnsi="Arial" w:cs="Arial"/>
          <w:sz w:val="22"/>
          <w:szCs w:val="22"/>
        </w:rPr>
        <w:t xml:space="preserve"> Eight</w:t>
      </w:r>
      <w:r w:rsidR="00D11CE3" w:rsidRPr="00F06CB3">
        <w:rPr>
          <w:rFonts w:ascii="Arial" w:hAnsi="Arial" w:cs="Arial"/>
          <w:sz w:val="22"/>
          <w:szCs w:val="22"/>
        </w:rPr>
        <w:t>-</w:t>
      </w:r>
      <w:r w:rsidR="002E5C19">
        <w:rPr>
          <w:rFonts w:ascii="Arial" w:hAnsi="Arial" w:cs="Arial"/>
          <w:sz w:val="22"/>
          <w:szCs w:val="22"/>
        </w:rPr>
        <w:t>OH</w:t>
      </w:r>
      <w:r w:rsidR="00D11CE3" w:rsidRPr="00F06CB3">
        <w:rPr>
          <w:rFonts w:ascii="Arial" w:hAnsi="Arial" w:cs="Arial"/>
          <w:sz w:val="22"/>
          <w:szCs w:val="22"/>
        </w:rPr>
        <w:t>-</w:t>
      </w:r>
      <w:r w:rsidR="002E5C19">
        <w:rPr>
          <w:rFonts w:ascii="Arial" w:hAnsi="Arial" w:cs="Arial"/>
          <w:sz w:val="22"/>
          <w:szCs w:val="22"/>
        </w:rPr>
        <w:t>EFV</w:t>
      </w:r>
      <w:r w:rsidR="00F50A05" w:rsidRPr="00F9401E">
        <w:rPr>
          <w:rFonts w:ascii="Arial" w:hAnsi="Arial" w:cs="Arial"/>
          <w:sz w:val="22"/>
          <w:szCs w:val="22"/>
        </w:rPr>
        <w:t xml:space="preserve"> </w:t>
      </w:r>
      <w:r w:rsidR="00F50A05" w:rsidRPr="00F06CB3">
        <w:rPr>
          <w:rFonts w:ascii="Arial" w:hAnsi="Arial" w:cs="Arial"/>
          <w:sz w:val="22"/>
          <w:szCs w:val="22"/>
        </w:rPr>
        <w:t xml:space="preserve">concentrations </w:t>
      </w:r>
      <w:r w:rsidR="0037405E">
        <w:rPr>
          <w:rFonts w:ascii="Arial" w:hAnsi="Arial" w:cs="Arial"/>
          <w:sz w:val="22"/>
          <w:szCs w:val="22"/>
        </w:rPr>
        <w:t>were not differen</w:t>
      </w:r>
      <w:r w:rsidR="003C1516">
        <w:rPr>
          <w:rFonts w:ascii="Arial" w:hAnsi="Arial" w:cs="Arial"/>
          <w:sz w:val="22"/>
          <w:szCs w:val="22"/>
        </w:rPr>
        <w:t xml:space="preserve">t between the obese and non-obese </w:t>
      </w:r>
      <w:proofErr w:type="gramStart"/>
      <w:r w:rsidR="003C1516">
        <w:rPr>
          <w:rFonts w:ascii="Arial" w:hAnsi="Arial" w:cs="Arial"/>
          <w:sz w:val="22"/>
          <w:szCs w:val="22"/>
        </w:rPr>
        <w:t>participants, but</w:t>
      </w:r>
      <w:proofErr w:type="gramEnd"/>
      <w:r w:rsidR="003C1516">
        <w:rPr>
          <w:rFonts w:ascii="Arial" w:hAnsi="Arial" w:cs="Arial"/>
          <w:sz w:val="22"/>
          <w:szCs w:val="22"/>
        </w:rPr>
        <w:t xml:space="preserve"> were lower </w:t>
      </w:r>
      <w:r w:rsidR="0080702E">
        <w:rPr>
          <w:rFonts w:ascii="Arial" w:hAnsi="Arial" w:cs="Arial"/>
          <w:sz w:val="22"/>
          <w:szCs w:val="22"/>
        </w:rPr>
        <w:t>in</w:t>
      </w:r>
      <w:r w:rsidR="003C1516">
        <w:rPr>
          <w:rFonts w:ascii="Arial" w:hAnsi="Arial" w:cs="Arial"/>
          <w:sz w:val="22"/>
          <w:szCs w:val="22"/>
        </w:rPr>
        <w:t xml:space="preserve"> male </w:t>
      </w:r>
      <w:r w:rsidR="0080702E">
        <w:rPr>
          <w:rFonts w:ascii="Arial" w:hAnsi="Arial" w:cs="Arial"/>
          <w:sz w:val="22"/>
          <w:szCs w:val="22"/>
        </w:rPr>
        <w:t xml:space="preserve">than </w:t>
      </w:r>
      <w:r w:rsidR="003C1516">
        <w:rPr>
          <w:rFonts w:ascii="Arial" w:hAnsi="Arial" w:cs="Arial"/>
          <w:sz w:val="22"/>
          <w:szCs w:val="22"/>
        </w:rPr>
        <w:t>female participants (</w:t>
      </w:r>
      <w:r w:rsidR="00263B10">
        <w:rPr>
          <w:rFonts w:ascii="Arial" w:hAnsi="Arial" w:cs="Arial"/>
          <w:sz w:val="22"/>
          <w:szCs w:val="22"/>
        </w:rPr>
        <w:t xml:space="preserve">P = </w:t>
      </w:r>
      <w:r w:rsidR="00DC326C" w:rsidRPr="00292D0F">
        <w:rPr>
          <w:rFonts w:ascii="Arial" w:hAnsi="Arial" w:cs="Arial"/>
          <w:sz w:val="22"/>
          <w:szCs w:val="22"/>
        </w:rPr>
        <w:t>0.018</w:t>
      </w:r>
      <w:r w:rsidR="00DC326C">
        <w:rPr>
          <w:rFonts w:ascii="Arial" w:hAnsi="Arial" w:cs="Arial"/>
          <w:sz w:val="22"/>
          <w:szCs w:val="22"/>
        </w:rPr>
        <w:t>)</w:t>
      </w:r>
      <w:r w:rsidR="00263B10">
        <w:rPr>
          <w:rFonts w:ascii="Arial" w:hAnsi="Arial" w:cs="Arial"/>
          <w:sz w:val="22"/>
          <w:szCs w:val="22"/>
        </w:rPr>
        <w:t>.</w:t>
      </w:r>
    </w:p>
    <w:p w14:paraId="2603618F" w14:textId="08A5C6A9" w:rsidR="000309E3" w:rsidRPr="00F06CB3" w:rsidRDefault="000309E3" w:rsidP="00292D0F">
      <w:pPr>
        <w:spacing w:line="480" w:lineRule="auto"/>
        <w:jc w:val="both"/>
        <w:rPr>
          <w:rFonts w:ascii="Arial" w:hAnsi="Arial" w:cs="Arial"/>
          <w:sz w:val="22"/>
          <w:szCs w:val="22"/>
        </w:rPr>
      </w:pPr>
    </w:p>
    <w:p w14:paraId="6FAF4149" w14:textId="39CCCE08" w:rsidR="00F06CB3" w:rsidRPr="00F06CB3" w:rsidRDefault="00263B10" w:rsidP="00292D0F">
      <w:pPr>
        <w:spacing w:line="480" w:lineRule="auto"/>
        <w:jc w:val="both"/>
        <w:rPr>
          <w:rFonts w:ascii="Arial" w:hAnsi="Arial" w:cs="Arial"/>
          <w:sz w:val="22"/>
          <w:szCs w:val="22"/>
        </w:rPr>
      </w:pPr>
      <w:r>
        <w:rPr>
          <w:rFonts w:ascii="Arial" w:hAnsi="Arial" w:cs="Arial"/>
          <w:b/>
          <w:i/>
          <w:sz w:val="22"/>
          <w:szCs w:val="22"/>
        </w:rPr>
        <w:t>TFV p</w:t>
      </w:r>
      <w:r w:rsidRPr="00E9190B">
        <w:rPr>
          <w:rFonts w:ascii="Arial" w:hAnsi="Arial" w:cs="Arial"/>
          <w:b/>
          <w:i/>
          <w:sz w:val="22"/>
          <w:szCs w:val="22"/>
        </w:rPr>
        <w:t>harmacokinetics</w:t>
      </w:r>
      <w:r>
        <w:rPr>
          <w:rFonts w:ascii="Arial" w:hAnsi="Arial" w:cs="Arial"/>
          <w:b/>
          <w:i/>
          <w:sz w:val="22"/>
          <w:szCs w:val="22"/>
        </w:rPr>
        <w:t>:</w:t>
      </w:r>
      <w:r>
        <w:rPr>
          <w:rFonts w:ascii="Arial" w:hAnsi="Arial" w:cs="Arial"/>
          <w:bCs/>
          <w:iCs/>
          <w:sz w:val="22"/>
          <w:szCs w:val="22"/>
        </w:rPr>
        <w:t xml:space="preserve"> </w:t>
      </w:r>
      <w:r w:rsidR="002E5C19">
        <w:rPr>
          <w:rFonts w:ascii="Arial" w:hAnsi="Arial" w:cs="Arial"/>
          <w:sz w:val="22"/>
          <w:szCs w:val="22"/>
        </w:rPr>
        <w:t>TFV</w:t>
      </w:r>
      <w:r w:rsidR="002E5C19" w:rsidRPr="00F06CB3">
        <w:rPr>
          <w:rFonts w:ascii="Arial" w:hAnsi="Arial" w:cs="Arial"/>
          <w:sz w:val="22"/>
          <w:szCs w:val="22"/>
        </w:rPr>
        <w:t xml:space="preserve"> </w:t>
      </w:r>
      <w:r w:rsidR="00F06CB3" w:rsidRPr="00F06CB3">
        <w:rPr>
          <w:rFonts w:ascii="Arial" w:hAnsi="Arial" w:cs="Arial"/>
          <w:sz w:val="22"/>
          <w:szCs w:val="22"/>
        </w:rPr>
        <w:t xml:space="preserve">concentrations were lower in all obese groups when compared to the non-obese groups. Differences were most striking for </w:t>
      </w:r>
      <w:r w:rsidR="002E5C19">
        <w:rPr>
          <w:rFonts w:ascii="Arial" w:hAnsi="Arial" w:cs="Arial"/>
          <w:sz w:val="22"/>
          <w:szCs w:val="22"/>
        </w:rPr>
        <w:t>WC</w:t>
      </w:r>
      <w:r w:rsidR="00F06CB3" w:rsidRPr="00F06CB3">
        <w:rPr>
          <w:rFonts w:ascii="Arial" w:hAnsi="Arial" w:cs="Arial"/>
          <w:sz w:val="22"/>
          <w:szCs w:val="22"/>
        </w:rPr>
        <w:t xml:space="preserve"> with the median and interquartile range being 7</w:t>
      </w:r>
      <w:r w:rsidR="00A8262E">
        <w:rPr>
          <w:rFonts w:ascii="Arial" w:hAnsi="Arial" w:cs="Arial"/>
          <w:sz w:val="22"/>
          <w:szCs w:val="22"/>
        </w:rPr>
        <w:t>3.2</w:t>
      </w:r>
      <w:r w:rsidR="00F06CB3" w:rsidRPr="00F06CB3">
        <w:rPr>
          <w:rFonts w:ascii="Arial" w:hAnsi="Arial" w:cs="Arial"/>
          <w:sz w:val="22"/>
          <w:szCs w:val="22"/>
        </w:rPr>
        <w:t xml:space="preserve"> (55.</w:t>
      </w:r>
      <w:r w:rsidR="00A8262E">
        <w:rPr>
          <w:rFonts w:ascii="Arial" w:hAnsi="Arial" w:cs="Arial"/>
          <w:sz w:val="22"/>
          <w:szCs w:val="22"/>
        </w:rPr>
        <w:t>6</w:t>
      </w:r>
      <w:r w:rsidR="008E34DC">
        <w:rPr>
          <w:rFonts w:ascii="Arial" w:hAnsi="Arial" w:cs="Arial"/>
          <w:sz w:val="22"/>
          <w:szCs w:val="22"/>
        </w:rPr>
        <w:t xml:space="preserve"> – </w:t>
      </w:r>
      <w:r w:rsidR="00F06CB3" w:rsidRPr="00F06CB3">
        <w:rPr>
          <w:rFonts w:ascii="Arial" w:hAnsi="Arial" w:cs="Arial"/>
          <w:sz w:val="22"/>
          <w:szCs w:val="22"/>
        </w:rPr>
        <w:t>101.</w:t>
      </w:r>
      <w:r w:rsidR="00A8262E">
        <w:rPr>
          <w:rFonts w:ascii="Arial" w:hAnsi="Arial" w:cs="Arial"/>
          <w:sz w:val="22"/>
          <w:szCs w:val="22"/>
        </w:rPr>
        <w:t>5</w:t>
      </w:r>
      <w:r w:rsidR="00F06CB3" w:rsidRPr="00F06CB3">
        <w:rPr>
          <w:rFonts w:ascii="Arial" w:hAnsi="Arial" w:cs="Arial"/>
          <w:sz w:val="22"/>
          <w:szCs w:val="22"/>
        </w:rPr>
        <w:t>) ng/ml vs 6</w:t>
      </w:r>
      <w:r w:rsidR="00A8262E">
        <w:rPr>
          <w:rFonts w:ascii="Arial" w:hAnsi="Arial" w:cs="Arial"/>
          <w:sz w:val="22"/>
          <w:szCs w:val="22"/>
        </w:rPr>
        <w:t>5.8</w:t>
      </w:r>
      <w:r w:rsidR="00F06CB3" w:rsidRPr="00F06CB3">
        <w:rPr>
          <w:rFonts w:ascii="Arial" w:hAnsi="Arial" w:cs="Arial"/>
          <w:sz w:val="22"/>
          <w:szCs w:val="22"/>
        </w:rPr>
        <w:t xml:space="preserve"> (</w:t>
      </w:r>
      <w:r w:rsidR="00A8262E">
        <w:rPr>
          <w:rFonts w:ascii="Arial" w:hAnsi="Arial" w:cs="Arial"/>
          <w:sz w:val="22"/>
          <w:szCs w:val="22"/>
        </w:rPr>
        <w:t>50.7</w:t>
      </w:r>
      <w:r w:rsidR="008E34DC">
        <w:rPr>
          <w:rFonts w:ascii="Arial" w:hAnsi="Arial" w:cs="Arial"/>
          <w:sz w:val="22"/>
          <w:szCs w:val="22"/>
        </w:rPr>
        <w:t xml:space="preserve"> – </w:t>
      </w:r>
      <w:r w:rsidR="00F06CB3" w:rsidRPr="00F06CB3">
        <w:rPr>
          <w:rFonts w:ascii="Arial" w:hAnsi="Arial" w:cs="Arial"/>
          <w:sz w:val="22"/>
          <w:szCs w:val="22"/>
        </w:rPr>
        <w:t>8</w:t>
      </w:r>
      <w:r w:rsidR="00A8262E">
        <w:rPr>
          <w:rFonts w:ascii="Arial" w:hAnsi="Arial" w:cs="Arial"/>
          <w:sz w:val="22"/>
          <w:szCs w:val="22"/>
        </w:rPr>
        <w:t>7.3</w:t>
      </w:r>
      <w:r w:rsidR="00F06CB3" w:rsidRPr="00F06CB3">
        <w:rPr>
          <w:rFonts w:ascii="Arial" w:hAnsi="Arial" w:cs="Arial"/>
          <w:sz w:val="22"/>
          <w:szCs w:val="22"/>
        </w:rPr>
        <w:t>) ng/ml (P = 0.0</w:t>
      </w:r>
      <w:r w:rsidR="00A8262E">
        <w:rPr>
          <w:rFonts w:ascii="Arial" w:hAnsi="Arial" w:cs="Arial"/>
          <w:sz w:val="22"/>
          <w:szCs w:val="22"/>
        </w:rPr>
        <w:t>36</w:t>
      </w:r>
      <w:r w:rsidR="00F06CB3" w:rsidRPr="00F06CB3">
        <w:rPr>
          <w:rFonts w:ascii="Arial" w:hAnsi="Arial" w:cs="Arial"/>
          <w:sz w:val="22"/>
          <w:szCs w:val="22"/>
        </w:rPr>
        <w:t>).</w:t>
      </w:r>
    </w:p>
    <w:p w14:paraId="6D881C0C" w14:textId="77777777" w:rsidR="0079433C" w:rsidRDefault="0079433C" w:rsidP="00292D0F">
      <w:pPr>
        <w:spacing w:line="480" w:lineRule="auto"/>
        <w:jc w:val="both"/>
        <w:rPr>
          <w:rFonts w:ascii="Arial" w:hAnsi="Arial" w:cs="Arial"/>
          <w:sz w:val="22"/>
          <w:szCs w:val="22"/>
        </w:rPr>
      </w:pPr>
    </w:p>
    <w:p w14:paraId="7D5CB1C8" w14:textId="4FA9A76F" w:rsidR="00F06CB3" w:rsidRDefault="00263B10" w:rsidP="00292D0F">
      <w:pPr>
        <w:spacing w:line="480" w:lineRule="auto"/>
        <w:jc w:val="both"/>
        <w:rPr>
          <w:rFonts w:ascii="Arial" w:hAnsi="Arial" w:cs="Arial"/>
          <w:sz w:val="22"/>
          <w:szCs w:val="22"/>
        </w:rPr>
      </w:pPr>
      <w:r>
        <w:rPr>
          <w:rFonts w:ascii="Arial" w:hAnsi="Arial" w:cs="Arial"/>
          <w:b/>
          <w:i/>
          <w:sz w:val="22"/>
          <w:szCs w:val="22"/>
        </w:rPr>
        <w:t>FTC p</w:t>
      </w:r>
      <w:r w:rsidRPr="00E9190B">
        <w:rPr>
          <w:rFonts w:ascii="Arial" w:hAnsi="Arial" w:cs="Arial"/>
          <w:b/>
          <w:i/>
          <w:sz w:val="22"/>
          <w:szCs w:val="22"/>
        </w:rPr>
        <w:t>harmacokinetics</w:t>
      </w:r>
      <w:r>
        <w:rPr>
          <w:rFonts w:ascii="Arial" w:hAnsi="Arial" w:cs="Arial"/>
          <w:b/>
          <w:i/>
          <w:sz w:val="22"/>
          <w:szCs w:val="22"/>
        </w:rPr>
        <w:t>:</w:t>
      </w:r>
      <w:r>
        <w:rPr>
          <w:rFonts w:ascii="Arial" w:hAnsi="Arial" w:cs="Arial"/>
          <w:bCs/>
          <w:iCs/>
          <w:sz w:val="22"/>
          <w:szCs w:val="22"/>
        </w:rPr>
        <w:t xml:space="preserve"> </w:t>
      </w:r>
      <w:r w:rsidR="002E5C19">
        <w:rPr>
          <w:rFonts w:ascii="Arial" w:hAnsi="Arial" w:cs="Arial"/>
          <w:sz w:val="22"/>
          <w:szCs w:val="22"/>
        </w:rPr>
        <w:t xml:space="preserve">FTC </w:t>
      </w:r>
      <w:r w:rsidR="00F06CB3" w:rsidRPr="00F06CB3">
        <w:rPr>
          <w:rFonts w:ascii="Arial" w:hAnsi="Arial" w:cs="Arial"/>
          <w:sz w:val="22"/>
          <w:szCs w:val="22"/>
        </w:rPr>
        <w:t xml:space="preserve">concentrations were lower in all obese groups when compared to the non-obese groups. Differences were most striking for </w:t>
      </w:r>
      <w:r w:rsidR="002E5C19">
        <w:rPr>
          <w:rFonts w:ascii="Arial" w:hAnsi="Arial" w:cs="Arial"/>
          <w:sz w:val="22"/>
          <w:szCs w:val="22"/>
        </w:rPr>
        <w:t>WC</w:t>
      </w:r>
      <w:r w:rsidR="00F06CB3" w:rsidRPr="00F06CB3">
        <w:rPr>
          <w:rFonts w:ascii="Arial" w:hAnsi="Arial" w:cs="Arial"/>
          <w:sz w:val="22"/>
          <w:szCs w:val="22"/>
        </w:rPr>
        <w:t xml:space="preserve"> with the median and interquartile range being 22</w:t>
      </w:r>
      <w:r w:rsidR="00A8262E">
        <w:rPr>
          <w:rFonts w:ascii="Arial" w:hAnsi="Arial" w:cs="Arial"/>
          <w:sz w:val="22"/>
          <w:szCs w:val="22"/>
        </w:rPr>
        <w:t>1.0</w:t>
      </w:r>
      <w:r w:rsidR="00F06CB3" w:rsidRPr="00F06CB3">
        <w:rPr>
          <w:rFonts w:ascii="Arial" w:hAnsi="Arial" w:cs="Arial"/>
          <w:sz w:val="22"/>
          <w:szCs w:val="22"/>
        </w:rPr>
        <w:t xml:space="preserve"> (132.0</w:t>
      </w:r>
      <w:r w:rsidR="008E34DC">
        <w:rPr>
          <w:rFonts w:ascii="Arial" w:hAnsi="Arial" w:cs="Arial"/>
          <w:sz w:val="22"/>
          <w:szCs w:val="22"/>
        </w:rPr>
        <w:t xml:space="preserve"> – </w:t>
      </w:r>
      <w:r w:rsidR="00A8262E">
        <w:rPr>
          <w:rFonts w:ascii="Arial" w:hAnsi="Arial" w:cs="Arial"/>
          <w:sz w:val="22"/>
          <w:szCs w:val="22"/>
        </w:rPr>
        <w:t>300.0</w:t>
      </w:r>
      <w:r w:rsidR="00F06CB3" w:rsidRPr="00F06CB3">
        <w:rPr>
          <w:rFonts w:ascii="Arial" w:hAnsi="Arial" w:cs="Arial"/>
          <w:sz w:val="22"/>
          <w:szCs w:val="22"/>
        </w:rPr>
        <w:t>) ng/ml vs 15</w:t>
      </w:r>
      <w:r w:rsidR="00A8262E">
        <w:rPr>
          <w:rFonts w:ascii="Arial" w:hAnsi="Arial" w:cs="Arial"/>
          <w:sz w:val="22"/>
          <w:szCs w:val="22"/>
        </w:rPr>
        <w:t>9</w:t>
      </w:r>
      <w:r w:rsidR="00F06CB3" w:rsidRPr="00F06CB3">
        <w:rPr>
          <w:rFonts w:ascii="Arial" w:hAnsi="Arial" w:cs="Arial"/>
          <w:sz w:val="22"/>
          <w:szCs w:val="22"/>
        </w:rPr>
        <w:t>.5 (</w:t>
      </w:r>
      <w:r w:rsidR="00A8262E">
        <w:rPr>
          <w:rFonts w:ascii="Arial" w:hAnsi="Arial" w:cs="Arial"/>
          <w:sz w:val="22"/>
          <w:szCs w:val="22"/>
        </w:rPr>
        <w:t>108.5</w:t>
      </w:r>
      <w:r w:rsidR="008E34DC">
        <w:rPr>
          <w:rFonts w:ascii="Arial" w:hAnsi="Arial" w:cs="Arial"/>
          <w:sz w:val="22"/>
          <w:szCs w:val="22"/>
        </w:rPr>
        <w:t xml:space="preserve"> – </w:t>
      </w:r>
      <w:r w:rsidR="00F06CB3" w:rsidRPr="00F06CB3">
        <w:rPr>
          <w:rFonts w:ascii="Arial" w:hAnsi="Arial" w:cs="Arial"/>
          <w:sz w:val="22"/>
          <w:szCs w:val="22"/>
        </w:rPr>
        <w:t>2</w:t>
      </w:r>
      <w:r w:rsidR="00A8262E">
        <w:rPr>
          <w:rFonts w:ascii="Arial" w:hAnsi="Arial" w:cs="Arial"/>
          <w:sz w:val="22"/>
          <w:szCs w:val="22"/>
        </w:rPr>
        <w:t>25.5</w:t>
      </w:r>
      <w:r w:rsidR="00F06CB3" w:rsidRPr="00F06CB3">
        <w:rPr>
          <w:rFonts w:ascii="Arial" w:hAnsi="Arial" w:cs="Arial"/>
          <w:sz w:val="22"/>
          <w:szCs w:val="22"/>
        </w:rPr>
        <w:t>) ng/ml (P = 0.00</w:t>
      </w:r>
      <w:r w:rsidR="00A8262E">
        <w:rPr>
          <w:rFonts w:ascii="Arial" w:hAnsi="Arial" w:cs="Arial"/>
          <w:sz w:val="22"/>
          <w:szCs w:val="22"/>
        </w:rPr>
        <w:t>5</w:t>
      </w:r>
      <w:r w:rsidR="00F06CB3" w:rsidRPr="00F06CB3">
        <w:rPr>
          <w:rFonts w:ascii="Arial" w:hAnsi="Arial" w:cs="Arial"/>
          <w:sz w:val="22"/>
          <w:szCs w:val="22"/>
        </w:rPr>
        <w:t>).</w:t>
      </w:r>
    </w:p>
    <w:p w14:paraId="4F4EF975" w14:textId="284A654A" w:rsidR="00175A7B" w:rsidRDefault="00175A7B" w:rsidP="00292D0F">
      <w:pPr>
        <w:spacing w:line="480" w:lineRule="auto"/>
        <w:jc w:val="both"/>
        <w:rPr>
          <w:rFonts w:ascii="Arial" w:hAnsi="Arial" w:cs="Arial"/>
          <w:sz w:val="22"/>
          <w:szCs w:val="22"/>
        </w:rPr>
      </w:pPr>
    </w:p>
    <w:p w14:paraId="491C94D5" w14:textId="24C51E64" w:rsidR="00175A7B" w:rsidRPr="00F87FF7" w:rsidRDefault="00175A7B" w:rsidP="00292D0F">
      <w:pPr>
        <w:spacing w:line="480" w:lineRule="auto"/>
        <w:jc w:val="both"/>
        <w:rPr>
          <w:rFonts w:ascii="Arial" w:hAnsi="Arial" w:cs="Arial"/>
          <w:sz w:val="22"/>
          <w:szCs w:val="22"/>
        </w:rPr>
      </w:pPr>
      <w:r>
        <w:rPr>
          <w:rFonts w:ascii="Arial" w:hAnsi="Arial" w:cs="Arial"/>
          <w:b/>
          <w:i/>
          <w:sz w:val="22"/>
          <w:szCs w:val="22"/>
        </w:rPr>
        <w:t>Quantile regression:</w:t>
      </w:r>
      <w:r w:rsidR="00136A55">
        <w:rPr>
          <w:rFonts w:ascii="Arial" w:hAnsi="Arial" w:cs="Arial"/>
          <w:b/>
          <w:i/>
          <w:sz w:val="22"/>
          <w:szCs w:val="22"/>
        </w:rPr>
        <w:t xml:space="preserve"> </w:t>
      </w:r>
      <w:r w:rsidR="000275F4">
        <w:rPr>
          <w:rFonts w:ascii="Arial" w:hAnsi="Arial" w:cs="Arial"/>
          <w:sz w:val="22"/>
          <w:szCs w:val="22"/>
        </w:rPr>
        <w:t xml:space="preserve">Our regression findings are </w:t>
      </w:r>
      <w:proofErr w:type="spellStart"/>
      <w:r w:rsidR="00E87278">
        <w:rPr>
          <w:rFonts w:ascii="Arial" w:hAnsi="Arial" w:cs="Arial"/>
          <w:sz w:val="22"/>
          <w:szCs w:val="22"/>
        </w:rPr>
        <w:t>summarised</w:t>
      </w:r>
      <w:proofErr w:type="spellEnd"/>
      <w:r w:rsidR="000275F4">
        <w:rPr>
          <w:rFonts w:ascii="Arial" w:hAnsi="Arial" w:cs="Arial"/>
          <w:sz w:val="22"/>
          <w:szCs w:val="22"/>
        </w:rPr>
        <w:t xml:space="preserve"> in </w:t>
      </w:r>
      <w:r w:rsidR="000275F4">
        <w:rPr>
          <w:rFonts w:ascii="Arial" w:hAnsi="Arial" w:cs="Arial"/>
          <w:b/>
          <w:bCs/>
          <w:sz w:val="22"/>
          <w:szCs w:val="22"/>
        </w:rPr>
        <w:t>Table 3</w:t>
      </w:r>
      <w:r w:rsidR="000275F4">
        <w:rPr>
          <w:rFonts w:ascii="Arial" w:hAnsi="Arial" w:cs="Arial"/>
          <w:sz w:val="22"/>
          <w:szCs w:val="22"/>
        </w:rPr>
        <w:t xml:space="preserve">. We found that EFV and TFV concentrations were not influenced by TAD for any measure of obesity. </w:t>
      </w:r>
      <w:r w:rsidR="00CC42F1">
        <w:rPr>
          <w:rFonts w:ascii="Arial" w:hAnsi="Arial" w:cs="Arial"/>
          <w:sz w:val="22"/>
          <w:szCs w:val="22"/>
        </w:rPr>
        <w:t>Eight</w:t>
      </w:r>
      <w:r w:rsidR="000275F4">
        <w:rPr>
          <w:rFonts w:ascii="Arial" w:hAnsi="Arial" w:cs="Arial"/>
          <w:sz w:val="22"/>
          <w:szCs w:val="22"/>
        </w:rPr>
        <w:t>-OH EFV concentrations were strikingly influenced by TAD in the BMI and WC categories</w:t>
      </w:r>
      <w:r w:rsidR="006B398A">
        <w:rPr>
          <w:rFonts w:ascii="Arial" w:hAnsi="Arial" w:cs="Arial"/>
          <w:sz w:val="22"/>
          <w:szCs w:val="22"/>
        </w:rPr>
        <w:t xml:space="preserve"> across quantiles</w:t>
      </w:r>
      <w:r w:rsidR="000275F4">
        <w:rPr>
          <w:rFonts w:ascii="Arial" w:hAnsi="Arial" w:cs="Arial"/>
          <w:sz w:val="22"/>
          <w:szCs w:val="22"/>
        </w:rPr>
        <w:t xml:space="preserve"> </w:t>
      </w:r>
      <w:r w:rsidR="000257A6">
        <w:rPr>
          <w:rFonts w:ascii="Arial" w:hAnsi="Arial" w:cs="Arial"/>
          <w:sz w:val="22"/>
          <w:szCs w:val="22"/>
        </w:rPr>
        <w:t>w</w:t>
      </w:r>
      <w:r w:rsidR="000275F4">
        <w:rPr>
          <w:rFonts w:ascii="Arial" w:hAnsi="Arial" w:cs="Arial"/>
          <w:sz w:val="22"/>
          <w:szCs w:val="22"/>
        </w:rPr>
        <w:t xml:space="preserve">here an increase in TAD led to a marked increase in 8-OH EFV concentration. </w:t>
      </w:r>
      <w:r w:rsidR="006B398A">
        <w:rPr>
          <w:rFonts w:ascii="Arial" w:hAnsi="Arial" w:cs="Arial"/>
          <w:sz w:val="22"/>
          <w:szCs w:val="22"/>
        </w:rPr>
        <w:t xml:space="preserve">FTC concentrations were influenced by TAD </w:t>
      </w:r>
      <w:r w:rsidR="00FB7DF9">
        <w:rPr>
          <w:rFonts w:ascii="Arial" w:hAnsi="Arial" w:cs="Arial"/>
          <w:sz w:val="22"/>
          <w:szCs w:val="22"/>
        </w:rPr>
        <w:t>and</w:t>
      </w:r>
      <w:r w:rsidR="006B398A">
        <w:rPr>
          <w:rFonts w:ascii="Arial" w:hAnsi="Arial" w:cs="Arial"/>
          <w:sz w:val="22"/>
          <w:szCs w:val="22"/>
        </w:rPr>
        <w:t xml:space="preserve"> FTC concentrations were notably affected by TAD in both the 50</w:t>
      </w:r>
      <w:r w:rsidR="006B398A" w:rsidRPr="0024061C">
        <w:rPr>
          <w:rFonts w:ascii="Arial" w:hAnsi="Arial" w:cs="Arial"/>
          <w:sz w:val="22"/>
          <w:szCs w:val="22"/>
          <w:vertAlign w:val="superscript"/>
        </w:rPr>
        <w:t>th</w:t>
      </w:r>
      <w:r w:rsidR="006B398A">
        <w:rPr>
          <w:rFonts w:ascii="Arial" w:hAnsi="Arial" w:cs="Arial"/>
          <w:sz w:val="22"/>
          <w:szCs w:val="22"/>
        </w:rPr>
        <w:t xml:space="preserve"> and 75</w:t>
      </w:r>
      <w:r w:rsidR="006B398A" w:rsidRPr="0024061C">
        <w:rPr>
          <w:rFonts w:ascii="Arial" w:hAnsi="Arial" w:cs="Arial"/>
          <w:sz w:val="22"/>
          <w:szCs w:val="22"/>
          <w:vertAlign w:val="superscript"/>
        </w:rPr>
        <w:t>th</w:t>
      </w:r>
      <w:r w:rsidR="006B398A">
        <w:rPr>
          <w:rFonts w:ascii="Arial" w:hAnsi="Arial" w:cs="Arial"/>
          <w:sz w:val="22"/>
          <w:szCs w:val="22"/>
        </w:rPr>
        <w:t xml:space="preserve"> quantiles. Even after adjusting for TAD, WC still had a striking impact on FTC concentrations both the 50</w:t>
      </w:r>
      <w:r w:rsidR="006B398A" w:rsidRPr="0024061C">
        <w:rPr>
          <w:rFonts w:ascii="Arial" w:hAnsi="Arial" w:cs="Arial"/>
          <w:sz w:val="22"/>
          <w:szCs w:val="22"/>
          <w:vertAlign w:val="superscript"/>
        </w:rPr>
        <w:t>th</w:t>
      </w:r>
      <w:r w:rsidR="006B398A">
        <w:rPr>
          <w:rFonts w:ascii="Arial" w:hAnsi="Arial" w:cs="Arial"/>
          <w:sz w:val="22"/>
          <w:szCs w:val="22"/>
        </w:rPr>
        <w:t xml:space="preserve"> and 75</w:t>
      </w:r>
      <w:r w:rsidR="006B398A" w:rsidRPr="0024061C">
        <w:rPr>
          <w:rFonts w:ascii="Arial" w:hAnsi="Arial" w:cs="Arial"/>
          <w:sz w:val="22"/>
          <w:szCs w:val="22"/>
          <w:vertAlign w:val="superscript"/>
        </w:rPr>
        <w:t>th</w:t>
      </w:r>
      <w:r w:rsidR="006B398A">
        <w:rPr>
          <w:rFonts w:ascii="Arial" w:hAnsi="Arial" w:cs="Arial"/>
          <w:sz w:val="22"/>
          <w:szCs w:val="22"/>
        </w:rPr>
        <w:t xml:space="preserve"> quantiles. For BMI, FTC concentrations were markedly influenced by TAD in the 50</w:t>
      </w:r>
      <w:r w:rsidR="006B398A" w:rsidRPr="0024061C">
        <w:rPr>
          <w:rFonts w:ascii="Arial" w:hAnsi="Arial" w:cs="Arial"/>
          <w:sz w:val="22"/>
          <w:szCs w:val="22"/>
          <w:vertAlign w:val="superscript"/>
        </w:rPr>
        <w:t>th</w:t>
      </w:r>
      <w:r w:rsidR="006B398A">
        <w:rPr>
          <w:rFonts w:ascii="Arial" w:hAnsi="Arial" w:cs="Arial"/>
          <w:sz w:val="22"/>
          <w:szCs w:val="22"/>
        </w:rPr>
        <w:t xml:space="preserve"> and 75</w:t>
      </w:r>
      <w:r w:rsidR="006B398A" w:rsidRPr="0024061C">
        <w:rPr>
          <w:rFonts w:ascii="Arial" w:hAnsi="Arial" w:cs="Arial"/>
          <w:sz w:val="22"/>
          <w:szCs w:val="22"/>
          <w:vertAlign w:val="superscript"/>
        </w:rPr>
        <w:t>th</w:t>
      </w:r>
      <w:r w:rsidR="006B398A">
        <w:rPr>
          <w:rFonts w:ascii="Arial" w:hAnsi="Arial" w:cs="Arial"/>
          <w:sz w:val="22"/>
          <w:szCs w:val="22"/>
          <w:vertAlign w:val="superscript"/>
        </w:rPr>
        <w:t xml:space="preserve"> </w:t>
      </w:r>
      <w:r w:rsidR="006B398A">
        <w:rPr>
          <w:rFonts w:ascii="Arial" w:hAnsi="Arial" w:cs="Arial"/>
          <w:sz w:val="22"/>
          <w:szCs w:val="22"/>
        </w:rPr>
        <w:t>quantiles. Whereas for WHR, FTC concentrations were markedly influenced by TAD in the 75</w:t>
      </w:r>
      <w:r w:rsidR="006B398A" w:rsidRPr="004F6826">
        <w:rPr>
          <w:rFonts w:ascii="Arial" w:hAnsi="Arial" w:cs="Arial"/>
          <w:sz w:val="22"/>
          <w:szCs w:val="22"/>
          <w:vertAlign w:val="superscript"/>
        </w:rPr>
        <w:t>th</w:t>
      </w:r>
      <w:r w:rsidR="006B398A">
        <w:rPr>
          <w:rFonts w:ascii="Arial" w:hAnsi="Arial" w:cs="Arial"/>
          <w:sz w:val="22"/>
          <w:szCs w:val="22"/>
          <w:vertAlign w:val="superscript"/>
        </w:rPr>
        <w:t xml:space="preserve"> </w:t>
      </w:r>
      <w:r w:rsidR="006B398A">
        <w:rPr>
          <w:rFonts w:ascii="Arial" w:hAnsi="Arial" w:cs="Arial"/>
          <w:sz w:val="22"/>
          <w:szCs w:val="22"/>
        </w:rPr>
        <w:t xml:space="preserve">quantile. However, even when adjusting for TAD, FTC concentrations </w:t>
      </w:r>
      <w:r w:rsidR="00FB7DF9">
        <w:rPr>
          <w:rFonts w:ascii="Arial" w:hAnsi="Arial" w:cs="Arial"/>
          <w:sz w:val="22"/>
          <w:szCs w:val="22"/>
        </w:rPr>
        <w:t>we</w:t>
      </w:r>
      <w:r w:rsidR="006B398A">
        <w:rPr>
          <w:rFonts w:ascii="Arial" w:hAnsi="Arial" w:cs="Arial"/>
          <w:sz w:val="22"/>
          <w:szCs w:val="22"/>
        </w:rPr>
        <w:t>re lower in the obese population across all measures of obesity investigated.</w:t>
      </w:r>
    </w:p>
    <w:p w14:paraId="0672159C" w14:textId="77777777" w:rsidR="00FE5A15" w:rsidRDefault="00FE5A15" w:rsidP="00292D0F">
      <w:pPr>
        <w:spacing w:line="480" w:lineRule="auto"/>
        <w:jc w:val="both"/>
        <w:rPr>
          <w:rFonts w:ascii="Arial" w:hAnsi="Arial" w:cs="Arial"/>
          <w:bCs/>
          <w:iCs/>
          <w:sz w:val="22"/>
          <w:szCs w:val="22"/>
        </w:rPr>
      </w:pPr>
    </w:p>
    <w:p w14:paraId="102D7C92" w14:textId="126591CD" w:rsidR="00FE5A15" w:rsidRPr="00116CAE" w:rsidRDefault="00414608" w:rsidP="00FE5A15">
      <w:pPr>
        <w:spacing w:line="480" w:lineRule="auto"/>
        <w:jc w:val="both"/>
        <w:rPr>
          <w:rFonts w:ascii="Arial" w:hAnsi="Arial" w:cs="Arial"/>
          <w:b/>
          <w:iCs/>
          <w:sz w:val="22"/>
          <w:szCs w:val="22"/>
        </w:rPr>
      </w:pPr>
      <w:r>
        <w:rPr>
          <w:rFonts w:ascii="Arial" w:hAnsi="Arial" w:cs="Arial"/>
          <w:b/>
          <w:i/>
          <w:sz w:val="22"/>
          <w:szCs w:val="22"/>
        </w:rPr>
        <w:t>Immunovirological assessment</w:t>
      </w:r>
      <w:r w:rsidR="00FE5A15">
        <w:rPr>
          <w:rFonts w:ascii="Arial" w:hAnsi="Arial" w:cs="Arial"/>
          <w:b/>
          <w:i/>
          <w:sz w:val="22"/>
          <w:szCs w:val="22"/>
        </w:rPr>
        <w:t>:</w:t>
      </w:r>
      <w:r w:rsidR="00FE5A15">
        <w:rPr>
          <w:rFonts w:ascii="Arial" w:hAnsi="Arial" w:cs="Arial"/>
          <w:bCs/>
          <w:iCs/>
          <w:sz w:val="22"/>
          <w:szCs w:val="22"/>
        </w:rPr>
        <w:t xml:space="preserve"> 164/208 participants were virally suppressed, results </w:t>
      </w:r>
      <w:r w:rsidR="00EE5023" w:rsidRPr="00514FA3">
        <w:rPr>
          <w:rFonts w:ascii="Arial" w:hAnsi="Arial" w:cs="Arial"/>
          <w:bCs/>
          <w:iCs/>
          <w:sz w:val="22"/>
          <w:szCs w:val="22"/>
        </w:rPr>
        <w:t>are</w:t>
      </w:r>
      <w:r w:rsidR="00FE5A15" w:rsidRPr="00514FA3">
        <w:rPr>
          <w:rFonts w:ascii="Arial" w:hAnsi="Arial" w:cs="Arial"/>
          <w:bCs/>
          <w:iCs/>
          <w:sz w:val="22"/>
          <w:szCs w:val="22"/>
        </w:rPr>
        <w:t xml:space="preserve"> </w:t>
      </w:r>
      <w:r w:rsidR="00EE5023" w:rsidRPr="00514FA3">
        <w:rPr>
          <w:rFonts w:ascii="Arial" w:hAnsi="Arial" w:cs="Arial"/>
          <w:bCs/>
          <w:iCs/>
          <w:sz w:val="22"/>
          <w:szCs w:val="22"/>
        </w:rPr>
        <w:t>shown</w:t>
      </w:r>
      <w:r w:rsidR="00FE5A15">
        <w:rPr>
          <w:rFonts w:ascii="Arial" w:hAnsi="Arial" w:cs="Arial"/>
          <w:bCs/>
          <w:iCs/>
          <w:sz w:val="22"/>
          <w:szCs w:val="22"/>
        </w:rPr>
        <w:t xml:space="preserve"> in </w:t>
      </w:r>
      <w:r w:rsidR="00FE5A15">
        <w:rPr>
          <w:rFonts w:ascii="Arial" w:hAnsi="Arial" w:cs="Arial"/>
          <w:b/>
          <w:iCs/>
          <w:sz w:val="22"/>
          <w:szCs w:val="22"/>
        </w:rPr>
        <w:t>Table 2</w:t>
      </w:r>
      <w:r w:rsidR="00FE5A15">
        <w:rPr>
          <w:rFonts w:ascii="Arial" w:hAnsi="Arial" w:cs="Arial"/>
          <w:bCs/>
          <w:iCs/>
          <w:sz w:val="22"/>
          <w:szCs w:val="22"/>
        </w:rPr>
        <w:t xml:space="preserve"> </w:t>
      </w:r>
      <w:r w:rsidR="00FE5A15">
        <w:rPr>
          <w:rFonts w:ascii="Arial" w:hAnsi="Arial" w:cs="Arial"/>
          <w:bCs/>
          <w:iCs/>
          <w:sz w:val="22"/>
          <w:szCs w:val="22"/>
        </w:rPr>
        <w:fldChar w:fldCharType="begin" w:fldLock="1"/>
      </w:r>
      <w:r w:rsidR="00FE7C39">
        <w:rPr>
          <w:rFonts w:ascii="Arial" w:hAnsi="Arial" w:cs="Arial"/>
          <w:bCs/>
          <w:iCs/>
          <w:sz w:val="22"/>
          <w:szCs w:val="22"/>
        </w:rPr>
        <w:instrText>ADDIN CSL_CITATION {"citationItems":[{"id":"ITEM-1","itemData":{"DOI":"10.1097/QAD.0000000000002457","ISBN":"0647510863","ISSN":"14735571","PMID":"31821189","abstract":"Objective:To describe viral load levels among pregnant women and factors associated with failure to achieve viral suppression (viral load ≤50 copies/ml) during pregnancy.Design:Between 1 October and 15 November 2017, a cross-sectional survey was conducted among 15-49-year-old pregnant women attending antenatal care (ANC) at 1595 nationally representative public facilities.Methods:Blood specimens were taken from each pregnant woman and tested for HIV. Viral load testing was done on all HIV-positive specimens. Demographic and clinical data were extracted from medical records or self-reported. Survey logistic regression examined factors associated with failure to achieve viral suppression.Result:Of 10052 HIV-positive participants with viral load data, 56.2% were virally suppressed. Participants initiating antiretroviral therapy (ART) prior to pregnancy had higher viral suppression (71.0%) by their third trimester compared with participants initiating ART during pregnancy (59.3%). Booking for ANC during the third trimester vs. earlier: [adjusted odds ratio (AOR) 1.8, 95% confidence interval (CI):1.4-2.3], low frequency of ANC visits (AOR for 2 ANC visits vs. ≥4 ANC visits: 2.0, 95% CI:1.7-2.4), delayed initiation of ART (AOR for ART initiated at the second trimester vs. before pregnancy:2.2, 95% CI:1.8-2.7), and younger age (AOR for 15-24 vs. 35-49 years: 1.4, 95% CI:1.2-1.8) were associated with failure to achieve viral suppression during the third trimester.Conclusion:Failure to achieve viral suppression was primarily associated with late ANC booking and late initiation of ART. Efforts to improve early ANC booking and early ART initiation in the general population would help improve viral suppression rates among pregnant women. In addition, the study found, despite initiating ART prior to pregnancy, more than one quarter of participants did not achieve viral suppression in their third trimester. This highlights the need to closely monitor viral load and strengthen counselling and support services for ART adherence.","author":[{"dropping-particle":"","family":"Woldesenbet","given":"Selamawit A.","non-dropping-particle":"","parse-names":false,"suffix":""},{"dropping-particle":"","family":"Kufa","given":"Tendesayi","non-dropping-particle":"","parse-names":false,"suffix":""},{"dropping-particle":"","family":"Barron","given":"Peter","non-dropping-particle":"","parse-names":false,"suffix":""},{"dropping-particle":"","family":"Chirombo","given":"Brian C.","non-dropping-particle":"","parse-names":false,"suffix":""},{"dropping-particle":"","family":"Cheyip","given":"Mireille","non-dropping-particle":"","parse-names":false,"suffix":""},{"dropping-particle":"","family":"Ayalew","given":"Kassahun","non-dropping-particle":"","parse-names":false,"suffix":""},{"dropping-particle":"","family":"Lombard","given":"Carl","non-dropping-particle":"","parse-names":false,"suffix":""},{"dropping-particle":"","family":"Manda","given":"Samuel","non-dropping-particle":"","parse-names":false,"suffix":""},{"dropping-particle":"","family":"DIallo","given":"Karidia","non-dropping-particle":"","parse-names":false,"suffix":""},{"dropping-particle":"","family":"Pillay","given":"Yogan","non-dropping-particle":"","parse-names":false,"suffix":""},{"dropping-particle":"","family":"Puren","given":"Adrian J.","non-dropping-particle":"","parse-names":false,"suffix":""}],"container-title":"Aids","id":"ITEM-1","issue":"4","issued":{"date-parts":[["2020"]]},"page":"589-597","title":"Viral suppression and factors associated with failure to achieve viral suppression among pregnant women in South Africa","type":"article-journal","volume":"34"},"uris":["http://www.mendeley.com/documents/?uuid=e597a217-fa76-4e9e-8f4d-fd40ed48ea89"]}],"mendeley":{"formattedCitation":"&lt;sup&gt;25&lt;/sup&gt;","plainTextFormattedCitation":"25","previouslyFormattedCitation":"&lt;sup&gt;26&lt;/sup&gt;"},"properties":{"noteIndex":0},"schema":"https://github.com/citation-style-language/schema/raw/master/csl-citation.json"}</w:instrText>
      </w:r>
      <w:r w:rsidR="00FE5A15">
        <w:rPr>
          <w:rFonts w:ascii="Arial" w:hAnsi="Arial" w:cs="Arial"/>
          <w:bCs/>
          <w:iCs/>
          <w:sz w:val="22"/>
          <w:szCs w:val="22"/>
        </w:rPr>
        <w:fldChar w:fldCharType="separate"/>
      </w:r>
      <w:r w:rsidR="00FE7C39" w:rsidRPr="00FE7C39">
        <w:rPr>
          <w:rFonts w:ascii="Arial" w:hAnsi="Arial" w:cs="Arial"/>
          <w:bCs/>
          <w:iCs/>
          <w:noProof/>
          <w:sz w:val="22"/>
          <w:szCs w:val="22"/>
          <w:vertAlign w:val="superscript"/>
        </w:rPr>
        <w:t>25</w:t>
      </w:r>
      <w:r w:rsidR="00FE5A15">
        <w:rPr>
          <w:rFonts w:ascii="Arial" w:hAnsi="Arial" w:cs="Arial"/>
          <w:bCs/>
          <w:iCs/>
          <w:sz w:val="22"/>
          <w:szCs w:val="22"/>
        </w:rPr>
        <w:fldChar w:fldCharType="end"/>
      </w:r>
      <w:r w:rsidR="00FE5A15">
        <w:rPr>
          <w:rFonts w:ascii="Arial" w:hAnsi="Arial" w:cs="Arial"/>
          <w:bCs/>
          <w:iCs/>
          <w:sz w:val="22"/>
          <w:szCs w:val="22"/>
        </w:rPr>
        <w:t xml:space="preserve">. </w:t>
      </w:r>
      <w:r>
        <w:rPr>
          <w:rFonts w:ascii="Arial" w:hAnsi="Arial" w:cs="Arial"/>
          <w:bCs/>
          <w:iCs/>
          <w:sz w:val="22"/>
          <w:szCs w:val="22"/>
        </w:rPr>
        <w:t xml:space="preserve"> We found no </w:t>
      </w:r>
      <w:r w:rsidR="00E15B8F">
        <w:rPr>
          <w:rFonts w:ascii="Arial" w:hAnsi="Arial" w:cs="Arial"/>
          <w:bCs/>
          <w:iCs/>
          <w:sz w:val="22"/>
          <w:szCs w:val="22"/>
        </w:rPr>
        <w:t>sex</w:t>
      </w:r>
      <w:r>
        <w:rPr>
          <w:rFonts w:ascii="Arial" w:hAnsi="Arial" w:cs="Arial"/>
          <w:bCs/>
          <w:iCs/>
          <w:sz w:val="22"/>
          <w:szCs w:val="22"/>
        </w:rPr>
        <w:t xml:space="preserve"> difference in the</w:t>
      </w:r>
      <w:r w:rsidR="000363A4">
        <w:rPr>
          <w:rFonts w:ascii="Arial" w:hAnsi="Arial" w:cs="Arial"/>
          <w:bCs/>
          <w:iCs/>
          <w:sz w:val="22"/>
          <w:szCs w:val="22"/>
        </w:rPr>
        <w:t xml:space="preserve"> rate</w:t>
      </w:r>
      <w:r>
        <w:rPr>
          <w:rFonts w:ascii="Arial" w:hAnsi="Arial" w:cs="Arial"/>
          <w:bCs/>
          <w:iCs/>
          <w:sz w:val="22"/>
          <w:szCs w:val="22"/>
        </w:rPr>
        <w:t xml:space="preserve"> of viral suppression.</w:t>
      </w:r>
      <w:r>
        <w:rPr>
          <w:rFonts w:ascii="Arial" w:hAnsi="Arial" w:cs="Arial"/>
          <w:b/>
          <w:iCs/>
          <w:sz w:val="22"/>
          <w:szCs w:val="22"/>
        </w:rPr>
        <w:t xml:space="preserve"> </w:t>
      </w:r>
      <w:r w:rsidR="00FE5A15">
        <w:rPr>
          <w:rFonts w:ascii="Arial" w:hAnsi="Arial" w:cs="Arial"/>
          <w:bCs/>
          <w:iCs/>
          <w:sz w:val="22"/>
          <w:szCs w:val="22"/>
        </w:rPr>
        <w:t>Women had higher CD4 counts than men, but this was confounded by BMI (</w:t>
      </w:r>
      <w:r w:rsidR="00FE5A15">
        <w:rPr>
          <w:rFonts w:ascii="Arial" w:hAnsi="Arial" w:cs="Arial"/>
          <w:b/>
          <w:iCs/>
          <w:sz w:val="22"/>
          <w:szCs w:val="22"/>
        </w:rPr>
        <w:t>Table 1</w:t>
      </w:r>
      <w:r w:rsidR="00FE5A15">
        <w:rPr>
          <w:rFonts w:ascii="Arial" w:hAnsi="Arial" w:cs="Arial"/>
          <w:bCs/>
          <w:iCs/>
          <w:sz w:val="22"/>
          <w:szCs w:val="22"/>
        </w:rPr>
        <w:t xml:space="preserve">). </w:t>
      </w:r>
    </w:p>
    <w:p w14:paraId="3D7619F2" w14:textId="3C10AE9A" w:rsidR="00FE5A15" w:rsidRDefault="00FE5A15" w:rsidP="00FE5A15">
      <w:pPr>
        <w:spacing w:line="480" w:lineRule="auto"/>
        <w:jc w:val="both"/>
        <w:rPr>
          <w:rFonts w:ascii="Arial" w:hAnsi="Arial" w:cs="Arial"/>
          <w:bCs/>
          <w:iCs/>
          <w:sz w:val="22"/>
          <w:szCs w:val="22"/>
        </w:rPr>
      </w:pPr>
    </w:p>
    <w:p w14:paraId="68197747" w14:textId="54BE34E8" w:rsidR="00FE5A15" w:rsidRDefault="00414608" w:rsidP="00FE5A15">
      <w:pPr>
        <w:spacing w:line="480" w:lineRule="auto"/>
        <w:jc w:val="both"/>
        <w:rPr>
          <w:rFonts w:ascii="Arial" w:hAnsi="Arial" w:cs="Arial"/>
          <w:sz w:val="22"/>
          <w:szCs w:val="22"/>
        </w:rPr>
      </w:pPr>
      <w:r w:rsidRPr="00116CAE">
        <w:rPr>
          <w:rFonts w:ascii="Arial" w:hAnsi="Arial" w:cs="Arial"/>
          <w:b/>
          <w:bCs/>
          <w:i/>
          <w:iCs/>
          <w:sz w:val="22"/>
          <w:szCs w:val="22"/>
        </w:rPr>
        <w:lastRenderedPageBreak/>
        <w:t>BMI</w:t>
      </w:r>
      <w:r w:rsidR="00FE5A15">
        <w:rPr>
          <w:rFonts w:ascii="Arial" w:hAnsi="Arial" w:cs="Arial"/>
          <w:b/>
          <w:i/>
          <w:sz w:val="22"/>
          <w:szCs w:val="22"/>
        </w:rPr>
        <w:t xml:space="preserve"> </w:t>
      </w:r>
      <w:r w:rsidR="00F85D86">
        <w:rPr>
          <w:rFonts w:ascii="Arial" w:hAnsi="Arial" w:cs="Arial"/>
          <w:b/>
          <w:i/>
          <w:sz w:val="22"/>
          <w:szCs w:val="22"/>
        </w:rPr>
        <w:t>immunovirology</w:t>
      </w:r>
      <w:r w:rsidR="00FE5A15">
        <w:rPr>
          <w:rFonts w:ascii="Arial" w:hAnsi="Arial" w:cs="Arial"/>
          <w:b/>
          <w:i/>
          <w:sz w:val="22"/>
          <w:szCs w:val="22"/>
        </w:rPr>
        <w:t>:</w:t>
      </w:r>
      <w:r w:rsidR="00FE5A15">
        <w:rPr>
          <w:rFonts w:ascii="Arial" w:hAnsi="Arial" w:cs="Arial"/>
          <w:bCs/>
          <w:iCs/>
          <w:sz w:val="22"/>
          <w:szCs w:val="22"/>
        </w:rPr>
        <w:t xml:space="preserve"> </w:t>
      </w:r>
      <w:r w:rsidR="00C47ECB">
        <w:rPr>
          <w:rFonts w:ascii="Arial" w:hAnsi="Arial" w:cs="Arial"/>
          <w:sz w:val="22"/>
          <w:szCs w:val="22"/>
        </w:rPr>
        <w:t>Prevalence</w:t>
      </w:r>
      <w:r>
        <w:rPr>
          <w:rFonts w:ascii="Arial" w:hAnsi="Arial" w:cs="Arial"/>
          <w:sz w:val="22"/>
          <w:szCs w:val="22"/>
        </w:rPr>
        <w:t xml:space="preserve"> of viral suppression were similar in the obese group when compared to the non-obese group</w:t>
      </w:r>
      <w:r w:rsidR="008E34DC">
        <w:rPr>
          <w:rFonts w:ascii="Arial" w:hAnsi="Arial" w:cs="Arial"/>
          <w:sz w:val="22"/>
          <w:szCs w:val="22"/>
        </w:rPr>
        <w:t xml:space="preserve"> for BMI</w:t>
      </w:r>
      <w:r>
        <w:rPr>
          <w:rFonts w:ascii="Arial" w:hAnsi="Arial" w:cs="Arial"/>
          <w:sz w:val="22"/>
          <w:szCs w:val="22"/>
        </w:rPr>
        <w:t xml:space="preserve">, </w:t>
      </w:r>
      <w:r w:rsidR="008E34DC">
        <w:rPr>
          <w:rFonts w:ascii="Arial" w:hAnsi="Arial" w:cs="Arial"/>
          <w:sz w:val="22"/>
          <w:szCs w:val="22"/>
        </w:rPr>
        <w:t>even though the obese groups had lower ART drug concentrations</w:t>
      </w:r>
      <w:r>
        <w:rPr>
          <w:rFonts w:ascii="Arial" w:hAnsi="Arial" w:cs="Arial"/>
          <w:sz w:val="22"/>
          <w:szCs w:val="22"/>
        </w:rPr>
        <w:t>.</w:t>
      </w:r>
      <w:r w:rsidR="008E34DC">
        <w:rPr>
          <w:rFonts w:ascii="Arial" w:hAnsi="Arial" w:cs="Arial"/>
          <w:sz w:val="22"/>
          <w:szCs w:val="22"/>
        </w:rPr>
        <w:t xml:space="preserve"> Alternatively, CD4 counts of the obese group w</w:t>
      </w:r>
      <w:r w:rsidR="00116CAE">
        <w:rPr>
          <w:rFonts w:ascii="Arial" w:hAnsi="Arial" w:cs="Arial"/>
          <w:sz w:val="22"/>
          <w:szCs w:val="22"/>
        </w:rPr>
        <w:t xml:space="preserve">as </w:t>
      </w:r>
      <w:r w:rsidR="008E34DC">
        <w:rPr>
          <w:rFonts w:ascii="Arial" w:hAnsi="Arial" w:cs="Arial"/>
          <w:sz w:val="22"/>
          <w:szCs w:val="22"/>
        </w:rPr>
        <w:t>strikingly higher, despite them having lower ART drug concentrations. T</w:t>
      </w:r>
      <w:r w:rsidR="008E34DC" w:rsidRPr="00F06CB3">
        <w:rPr>
          <w:rFonts w:ascii="Arial" w:hAnsi="Arial" w:cs="Arial"/>
          <w:sz w:val="22"/>
          <w:szCs w:val="22"/>
        </w:rPr>
        <w:t xml:space="preserve">he median and interquartile range being </w:t>
      </w:r>
      <w:r w:rsidR="008E34DC">
        <w:rPr>
          <w:rFonts w:ascii="Arial" w:hAnsi="Arial" w:cs="Arial"/>
          <w:sz w:val="22"/>
          <w:szCs w:val="22"/>
        </w:rPr>
        <w:t>480</w:t>
      </w:r>
      <w:r w:rsidR="008E34DC" w:rsidRPr="00F06CB3">
        <w:rPr>
          <w:rFonts w:ascii="Arial" w:hAnsi="Arial" w:cs="Arial"/>
          <w:sz w:val="22"/>
          <w:szCs w:val="22"/>
        </w:rPr>
        <w:t xml:space="preserve"> (</w:t>
      </w:r>
      <w:r w:rsidR="00116CAE" w:rsidRPr="00116CAE">
        <w:rPr>
          <w:rFonts w:ascii="Arial" w:hAnsi="Arial" w:cs="Arial"/>
          <w:sz w:val="22"/>
          <w:szCs w:val="22"/>
        </w:rPr>
        <w:t>351.8 – 660.3</w:t>
      </w:r>
      <w:r w:rsidR="008E34DC" w:rsidRPr="00F06CB3">
        <w:rPr>
          <w:rFonts w:ascii="Arial" w:hAnsi="Arial" w:cs="Arial"/>
          <w:sz w:val="22"/>
          <w:szCs w:val="22"/>
        </w:rPr>
        <w:t xml:space="preserve">) </w:t>
      </w:r>
      <w:r w:rsidR="008E34DC" w:rsidRPr="0042288A">
        <w:rPr>
          <w:rFonts w:ascii="Arial" w:hAnsi="Arial" w:cs="Arial"/>
          <w:sz w:val="22"/>
          <w:szCs w:val="22"/>
        </w:rPr>
        <w:t>cells/mm³</w:t>
      </w:r>
      <w:r w:rsidR="008E34DC">
        <w:rPr>
          <w:rFonts w:ascii="Arial" w:hAnsi="Arial" w:cs="Arial"/>
          <w:sz w:val="22"/>
          <w:szCs w:val="22"/>
        </w:rPr>
        <w:t xml:space="preserve"> </w:t>
      </w:r>
      <w:r w:rsidR="008E34DC" w:rsidRPr="00F06CB3">
        <w:rPr>
          <w:rFonts w:ascii="Arial" w:hAnsi="Arial" w:cs="Arial"/>
          <w:sz w:val="22"/>
          <w:szCs w:val="22"/>
        </w:rPr>
        <w:t xml:space="preserve">vs </w:t>
      </w:r>
      <w:r w:rsidR="008E34DC">
        <w:rPr>
          <w:rFonts w:ascii="Arial" w:hAnsi="Arial" w:cs="Arial"/>
          <w:sz w:val="22"/>
          <w:szCs w:val="22"/>
        </w:rPr>
        <w:t>565</w:t>
      </w:r>
      <w:r w:rsidR="008E34DC" w:rsidRPr="00F06CB3">
        <w:rPr>
          <w:rFonts w:ascii="Arial" w:hAnsi="Arial" w:cs="Arial"/>
          <w:sz w:val="22"/>
          <w:szCs w:val="22"/>
        </w:rPr>
        <w:t xml:space="preserve"> (</w:t>
      </w:r>
      <w:r w:rsidR="00116CAE" w:rsidRPr="00116CAE">
        <w:rPr>
          <w:rFonts w:ascii="Arial" w:hAnsi="Arial" w:cs="Arial"/>
          <w:sz w:val="22"/>
          <w:szCs w:val="22"/>
        </w:rPr>
        <w:t>339.0 – 792.3</w:t>
      </w:r>
      <w:r w:rsidR="008E34DC" w:rsidRPr="00F06CB3">
        <w:rPr>
          <w:rFonts w:ascii="Arial" w:hAnsi="Arial" w:cs="Arial"/>
          <w:sz w:val="22"/>
          <w:szCs w:val="22"/>
        </w:rPr>
        <w:t xml:space="preserve">) </w:t>
      </w:r>
      <w:r w:rsidR="008E34DC" w:rsidRPr="0042288A">
        <w:rPr>
          <w:rFonts w:ascii="Arial" w:hAnsi="Arial" w:cs="Arial"/>
          <w:sz w:val="22"/>
          <w:szCs w:val="22"/>
        </w:rPr>
        <w:t>cells/mm³</w:t>
      </w:r>
      <w:r w:rsidR="008E34DC">
        <w:rPr>
          <w:rFonts w:ascii="Arial" w:hAnsi="Arial" w:cs="Arial"/>
          <w:sz w:val="22"/>
          <w:szCs w:val="22"/>
        </w:rPr>
        <w:t xml:space="preserve"> </w:t>
      </w:r>
      <w:r w:rsidR="008E34DC" w:rsidRPr="00F06CB3">
        <w:rPr>
          <w:rFonts w:ascii="Arial" w:hAnsi="Arial" w:cs="Arial"/>
          <w:sz w:val="22"/>
          <w:szCs w:val="22"/>
        </w:rPr>
        <w:t>(P = 0.0</w:t>
      </w:r>
      <w:r w:rsidR="008E34DC">
        <w:rPr>
          <w:rFonts w:ascii="Arial" w:hAnsi="Arial" w:cs="Arial"/>
          <w:sz w:val="22"/>
          <w:szCs w:val="22"/>
        </w:rPr>
        <w:t>45</w:t>
      </w:r>
      <w:r w:rsidR="008E34DC" w:rsidRPr="00F06CB3">
        <w:rPr>
          <w:rFonts w:ascii="Arial" w:hAnsi="Arial" w:cs="Arial"/>
          <w:sz w:val="22"/>
          <w:szCs w:val="22"/>
        </w:rPr>
        <w:t>).</w:t>
      </w:r>
    </w:p>
    <w:p w14:paraId="4ECEC535" w14:textId="77777777" w:rsidR="00414608" w:rsidRPr="00F06CB3" w:rsidRDefault="00414608" w:rsidP="00FE5A15">
      <w:pPr>
        <w:spacing w:line="480" w:lineRule="auto"/>
        <w:jc w:val="both"/>
        <w:rPr>
          <w:rFonts w:ascii="Arial" w:hAnsi="Arial" w:cs="Arial"/>
          <w:sz w:val="22"/>
          <w:szCs w:val="22"/>
        </w:rPr>
      </w:pPr>
    </w:p>
    <w:p w14:paraId="789881F5" w14:textId="0DA1EECD" w:rsidR="00414608" w:rsidRPr="00F87FF7" w:rsidRDefault="00414608" w:rsidP="00414608">
      <w:pPr>
        <w:spacing w:line="480" w:lineRule="auto"/>
        <w:jc w:val="both"/>
        <w:rPr>
          <w:rFonts w:ascii="Arial" w:hAnsi="Arial" w:cs="Arial"/>
          <w:sz w:val="22"/>
          <w:szCs w:val="22"/>
        </w:rPr>
      </w:pPr>
      <w:r>
        <w:rPr>
          <w:rFonts w:ascii="Arial" w:hAnsi="Arial" w:cs="Arial"/>
          <w:b/>
          <w:i/>
          <w:sz w:val="22"/>
          <w:szCs w:val="22"/>
        </w:rPr>
        <w:t>WC immunovirology:</w:t>
      </w:r>
      <w:r>
        <w:rPr>
          <w:rFonts w:ascii="Arial" w:hAnsi="Arial" w:cs="Arial"/>
          <w:bCs/>
          <w:iCs/>
          <w:sz w:val="22"/>
          <w:szCs w:val="22"/>
        </w:rPr>
        <w:t xml:space="preserve"> </w:t>
      </w:r>
      <w:r w:rsidR="00C47ECB">
        <w:rPr>
          <w:rFonts w:ascii="Arial" w:hAnsi="Arial" w:cs="Arial"/>
          <w:sz w:val="22"/>
          <w:szCs w:val="22"/>
        </w:rPr>
        <w:t>Prevalence</w:t>
      </w:r>
      <w:r w:rsidR="008E34DC">
        <w:rPr>
          <w:rFonts w:ascii="Arial" w:hAnsi="Arial" w:cs="Arial"/>
          <w:sz w:val="22"/>
          <w:szCs w:val="22"/>
        </w:rPr>
        <w:t xml:space="preserve"> of viral suppression were similar in the obese group</w:t>
      </w:r>
      <w:r w:rsidR="00116CAE">
        <w:rPr>
          <w:rFonts w:ascii="Arial" w:hAnsi="Arial" w:cs="Arial"/>
          <w:sz w:val="22"/>
          <w:szCs w:val="22"/>
        </w:rPr>
        <w:t xml:space="preserve"> </w:t>
      </w:r>
      <w:r w:rsidR="008E34DC">
        <w:rPr>
          <w:rFonts w:ascii="Arial" w:hAnsi="Arial" w:cs="Arial"/>
          <w:sz w:val="22"/>
          <w:szCs w:val="22"/>
        </w:rPr>
        <w:t>when compared to the non-obese groups for WC, even though the obese groups had lower ART drug concentrations.</w:t>
      </w:r>
      <w:r w:rsidR="00116CAE">
        <w:rPr>
          <w:rFonts w:ascii="Arial" w:hAnsi="Arial" w:cs="Arial"/>
          <w:sz w:val="22"/>
          <w:szCs w:val="22"/>
        </w:rPr>
        <w:t xml:space="preserve"> There was no striking difference in the CD4 counts of the obese and non-obese groups for WC.</w:t>
      </w:r>
    </w:p>
    <w:p w14:paraId="3401C5BF" w14:textId="77777777" w:rsidR="00FE5A15" w:rsidRDefault="00FE5A15" w:rsidP="00FE5A15">
      <w:pPr>
        <w:spacing w:line="480" w:lineRule="auto"/>
        <w:jc w:val="both"/>
        <w:rPr>
          <w:rFonts w:ascii="Arial" w:hAnsi="Arial" w:cs="Arial"/>
          <w:sz w:val="22"/>
          <w:szCs w:val="22"/>
        </w:rPr>
      </w:pPr>
    </w:p>
    <w:p w14:paraId="54B606FD" w14:textId="553D249F" w:rsidR="00116CAE" w:rsidRPr="00F87FF7" w:rsidRDefault="00414608" w:rsidP="00116CAE">
      <w:pPr>
        <w:spacing w:line="480" w:lineRule="auto"/>
        <w:jc w:val="both"/>
        <w:rPr>
          <w:rFonts w:ascii="Arial" w:hAnsi="Arial" w:cs="Arial"/>
          <w:sz w:val="22"/>
          <w:szCs w:val="22"/>
        </w:rPr>
      </w:pPr>
      <w:r>
        <w:rPr>
          <w:rFonts w:ascii="Arial" w:hAnsi="Arial" w:cs="Arial"/>
          <w:b/>
          <w:i/>
          <w:sz w:val="22"/>
          <w:szCs w:val="22"/>
        </w:rPr>
        <w:t>WHR</w:t>
      </w:r>
      <w:r w:rsidR="00FE5A15">
        <w:rPr>
          <w:rFonts w:ascii="Arial" w:hAnsi="Arial" w:cs="Arial"/>
          <w:b/>
          <w:i/>
          <w:sz w:val="22"/>
          <w:szCs w:val="22"/>
        </w:rPr>
        <w:t xml:space="preserve"> </w:t>
      </w:r>
      <w:r w:rsidR="00F85D86">
        <w:rPr>
          <w:rFonts w:ascii="Arial" w:hAnsi="Arial" w:cs="Arial"/>
          <w:b/>
          <w:i/>
          <w:sz w:val="22"/>
          <w:szCs w:val="22"/>
        </w:rPr>
        <w:t>immunovirology</w:t>
      </w:r>
      <w:r w:rsidR="00FE5A15">
        <w:rPr>
          <w:rFonts w:ascii="Arial" w:hAnsi="Arial" w:cs="Arial"/>
          <w:b/>
          <w:i/>
          <w:sz w:val="22"/>
          <w:szCs w:val="22"/>
        </w:rPr>
        <w:t>:</w:t>
      </w:r>
      <w:r w:rsidR="00FE5A15">
        <w:rPr>
          <w:rFonts w:ascii="Arial" w:hAnsi="Arial" w:cs="Arial"/>
          <w:bCs/>
          <w:iCs/>
          <w:sz w:val="22"/>
          <w:szCs w:val="22"/>
        </w:rPr>
        <w:t xml:space="preserve"> </w:t>
      </w:r>
      <w:r w:rsidR="00C47ECB">
        <w:rPr>
          <w:rFonts w:ascii="Arial" w:hAnsi="Arial" w:cs="Arial"/>
          <w:sz w:val="22"/>
          <w:szCs w:val="22"/>
        </w:rPr>
        <w:t>Prevalence</w:t>
      </w:r>
      <w:r w:rsidR="008E34DC">
        <w:rPr>
          <w:rFonts w:ascii="Arial" w:hAnsi="Arial" w:cs="Arial"/>
          <w:sz w:val="22"/>
          <w:szCs w:val="22"/>
        </w:rPr>
        <w:t xml:space="preserve"> of viral suppression were similar in the obese group when compared to the non-obese group for WHR, even though the obese groups had lower ART drug concentrations.</w:t>
      </w:r>
      <w:r w:rsidR="00116CAE" w:rsidRPr="00116CAE">
        <w:rPr>
          <w:rFonts w:ascii="Arial" w:hAnsi="Arial" w:cs="Arial"/>
          <w:sz w:val="22"/>
          <w:szCs w:val="22"/>
        </w:rPr>
        <w:t xml:space="preserve"> </w:t>
      </w:r>
      <w:r w:rsidR="00116CAE">
        <w:rPr>
          <w:rFonts w:ascii="Arial" w:hAnsi="Arial" w:cs="Arial"/>
          <w:sz w:val="22"/>
          <w:szCs w:val="22"/>
        </w:rPr>
        <w:t>There was no striking difference in the CD4 counts of the obese and non-obese groups for WHR.</w:t>
      </w:r>
    </w:p>
    <w:p w14:paraId="430BF9E4" w14:textId="6636F2CC" w:rsidR="00FE5A15" w:rsidRPr="00F87FF7" w:rsidRDefault="00FE5A15" w:rsidP="00FE5A15">
      <w:pPr>
        <w:spacing w:line="480" w:lineRule="auto"/>
        <w:jc w:val="both"/>
        <w:rPr>
          <w:rFonts w:ascii="Arial" w:hAnsi="Arial" w:cs="Arial"/>
          <w:sz w:val="22"/>
          <w:szCs w:val="22"/>
        </w:rPr>
      </w:pPr>
    </w:p>
    <w:p w14:paraId="750DFDF9" w14:textId="7C73687A" w:rsidR="001E1DCC" w:rsidRPr="00260CF6" w:rsidRDefault="004B60D0">
      <w:pPr>
        <w:pStyle w:val="Heading1"/>
        <w:ind w:firstLine="0"/>
        <w:rPr>
          <w:rFonts w:ascii="Arial" w:hAnsi="Arial" w:cs="Arial"/>
          <w:sz w:val="22"/>
          <w:szCs w:val="22"/>
        </w:rPr>
      </w:pPr>
      <w:r w:rsidRPr="00260CF6">
        <w:rPr>
          <w:rFonts w:ascii="Arial" w:hAnsi="Arial" w:cs="Arial"/>
          <w:sz w:val="22"/>
          <w:szCs w:val="22"/>
        </w:rPr>
        <w:t>Discussion</w:t>
      </w:r>
    </w:p>
    <w:p w14:paraId="2B7A7A46" w14:textId="52E45B76" w:rsidR="001C3356" w:rsidRDefault="006443D9" w:rsidP="00292D0F">
      <w:pPr>
        <w:spacing w:line="480" w:lineRule="auto"/>
        <w:jc w:val="both"/>
        <w:outlineLvl w:val="0"/>
        <w:rPr>
          <w:rFonts w:ascii="Arial" w:hAnsi="Arial" w:cs="Arial"/>
          <w:bCs/>
          <w:sz w:val="22"/>
          <w:szCs w:val="22"/>
        </w:rPr>
      </w:pPr>
      <w:r>
        <w:rPr>
          <w:rFonts w:ascii="Arial" w:hAnsi="Arial" w:cs="Arial"/>
          <w:bCs/>
          <w:sz w:val="22"/>
          <w:szCs w:val="22"/>
        </w:rPr>
        <w:t xml:space="preserve">We investigated the pharmacokinetics of mid-dose </w:t>
      </w:r>
      <w:r w:rsidR="00A52637">
        <w:rPr>
          <w:rFonts w:ascii="Arial" w:hAnsi="Arial" w:cs="Arial"/>
          <w:bCs/>
          <w:sz w:val="22"/>
          <w:szCs w:val="22"/>
        </w:rPr>
        <w:t>EFV</w:t>
      </w:r>
      <w:r w:rsidR="00FB73DD">
        <w:rPr>
          <w:rFonts w:ascii="Arial" w:hAnsi="Arial" w:cs="Arial"/>
          <w:bCs/>
          <w:sz w:val="22"/>
          <w:szCs w:val="22"/>
        </w:rPr>
        <w:t>, 8-</w:t>
      </w:r>
      <w:r w:rsidR="00A52637">
        <w:rPr>
          <w:rFonts w:ascii="Arial" w:hAnsi="Arial" w:cs="Arial"/>
          <w:bCs/>
          <w:sz w:val="22"/>
          <w:szCs w:val="22"/>
        </w:rPr>
        <w:t>OH</w:t>
      </w:r>
      <w:r w:rsidR="00FB73DD">
        <w:rPr>
          <w:rFonts w:ascii="Arial" w:hAnsi="Arial" w:cs="Arial"/>
          <w:bCs/>
          <w:sz w:val="22"/>
          <w:szCs w:val="22"/>
        </w:rPr>
        <w:t>-</w:t>
      </w:r>
      <w:r w:rsidR="00A52637">
        <w:rPr>
          <w:rFonts w:ascii="Arial" w:hAnsi="Arial" w:cs="Arial"/>
          <w:bCs/>
          <w:sz w:val="22"/>
          <w:szCs w:val="22"/>
        </w:rPr>
        <w:t>EFV</w:t>
      </w:r>
      <w:r w:rsidR="00FB73DD">
        <w:rPr>
          <w:rFonts w:ascii="Arial" w:hAnsi="Arial" w:cs="Arial"/>
          <w:bCs/>
          <w:sz w:val="22"/>
          <w:szCs w:val="22"/>
        </w:rPr>
        <w:t xml:space="preserve">, </w:t>
      </w:r>
      <w:r w:rsidR="00A52637">
        <w:rPr>
          <w:rFonts w:ascii="Arial" w:hAnsi="Arial" w:cs="Arial"/>
          <w:bCs/>
          <w:sz w:val="22"/>
          <w:szCs w:val="22"/>
        </w:rPr>
        <w:t>TFV</w:t>
      </w:r>
      <w:r w:rsidR="00FB73DD">
        <w:rPr>
          <w:rFonts w:ascii="Arial" w:hAnsi="Arial" w:cs="Arial"/>
          <w:bCs/>
          <w:sz w:val="22"/>
          <w:szCs w:val="22"/>
        </w:rPr>
        <w:t xml:space="preserve">, and </w:t>
      </w:r>
      <w:r w:rsidR="00A52637">
        <w:rPr>
          <w:rFonts w:ascii="Arial" w:hAnsi="Arial" w:cs="Arial"/>
          <w:bCs/>
          <w:sz w:val="22"/>
          <w:szCs w:val="22"/>
        </w:rPr>
        <w:t>FTC</w:t>
      </w:r>
      <w:r w:rsidR="00FB73DD">
        <w:rPr>
          <w:rFonts w:ascii="Arial" w:hAnsi="Arial" w:cs="Arial"/>
          <w:bCs/>
          <w:sz w:val="22"/>
          <w:szCs w:val="22"/>
        </w:rPr>
        <w:t xml:space="preserve"> </w:t>
      </w:r>
      <w:r w:rsidR="001C3356">
        <w:rPr>
          <w:rFonts w:ascii="Arial" w:hAnsi="Arial" w:cs="Arial"/>
          <w:bCs/>
          <w:sz w:val="22"/>
          <w:szCs w:val="22"/>
        </w:rPr>
        <w:t xml:space="preserve">and associated immunovirological </w:t>
      </w:r>
      <w:r w:rsidR="00C47ECB">
        <w:rPr>
          <w:rFonts w:ascii="Arial" w:hAnsi="Arial" w:cs="Arial"/>
          <w:bCs/>
          <w:sz w:val="22"/>
          <w:szCs w:val="22"/>
        </w:rPr>
        <w:t xml:space="preserve">parameters </w:t>
      </w:r>
      <w:r w:rsidR="00FB73DD">
        <w:rPr>
          <w:rFonts w:ascii="Arial" w:hAnsi="Arial" w:cs="Arial"/>
          <w:bCs/>
          <w:sz w:val="22"/>
          <w:szCs w:val="22"/>
        </w:rPr>
        <w:t xml:space="preserve">between obese and non-obese </w:t>
      </w:r>
      <w:r w:rsidR="00F455D6" w:rsidRPr="00C47ECB">
        <w:rPr>
          <w:rFonts w:ascii="Arial" w:hAnsi="Arial" w:cs="Arial"/>
          <w:bCs/>
          <w:sz w:val="22"/>
          <w:szCs w:val="22"/>
        </w:rPr>
        <w:t>individuals sampled from two cohorts in Cape Town and surrounds</w:t>
      </w:r>
      <w:r w:rsidR="00F455D6">
        <w:rPr>
          <w:rFonts w:ascii="Arial" w:hAnsi="Arial" w:cs="Arial"/>
          <w:bCs/>
          <w:sz w:val="22"/>
          <w:szCs w:val="22"/>
        </w:rPr>
        <w:t>.</w:t>
      </w:r>
      <w:r w:rsidR="00FB73DD">
        <w:rPr>
          <w:rFonts w:ascii="Arial" w:hAnsi="Arial" w:cs="Arial"/>
          <w:bCs/>
          <w:sz w:val="22"/>
          <w:szCs w:val="22"/>
        </w:rPr>
        <w:t xml:space="preserve"> </w:t>
      </w:r>
      <w:r w:rsidR="005E35AD">
        <w:rPr>
          <w:rFonts w:ascii="Arial" w:hAnsi="Arial" w:cs="Arial"/>
          <w:bCs/>
          <w:sz w:val="22"/>
          <w:szCs w:val="22"/>
        </w:rPr>
        <w:t>To our knowledge, o</w:t>
      </w:r>
      <w:r w:rsidR="00DD58B9">
        <w:rPr>
          <w:rFonts w:ascii="Arial" w:hAnsi="Arial" w:cs="Arial"/>
          <w:bCs/>
          <w:sz w:val="22"/>
          <w:szCs w:val="22"/>
        </w:rPr>
        <w:t>ur</w:t>
      </w:r>
      <w:r w:rsidR="00FB73DD">
        <w:rPr>
          <w:rFonts w:ascii="Arial" w:hAnsi="Arial" w:cs="Arial"/>
          <w:bCs/>
          <w:sz w:val="22"/>
          <w:szCs w:val="22"/>
        </w:rPr>
        <w:t xml:space="preserve"> study </w:t>
      </w:r>
      <w:r w:rsidR="00F76137">
        <w:rPr>
          <w:rFonts w:ascii="Arial" w:hAnsi="Arial" w:cs="Arial"/>
          <w:bCs/>
          <w:sz w:val="22"/>
          <w:szCs w:val="22"/>
        </w:rPr>
        <w:t>uniquely describe</w:t>
      </w:r>
      <w:r w:rsidR="00DD70C1">
        <w:rPr>
          <w:rFonts w:ascii="Arial" w:hAnsi="Arial" w:cs="Arial"/>
          <w:bCs/>
          <w:sz w:val="22"/>
          <w:szCs w:val="22"/>
        </w:rPr>
        <w:t>s</w:t>
      </w:r>
      <w:r w:rsidR="00F76137">
        <w:rPr>
          <w:rFonts w:ascii="Arial" w:hAnsi="Arial" w:cs="Arial"/>
          <w:bCs/>
          <w:sz w:val="22"/>
          <w:szCs w:val="22"/>
        </w:rPr>
        <w:t xml:space="preserve"> the </w:t>
      </w:r>
      <w:r w:rsidR="00FB73DD">
        <w:rPr>
          <w:rFonts w:ascii="Arial" w:hAnsi="Arial" w:cs="Arial"/>
          <w:bCs/>
          <w:sz w:val="22"/>
          <w:szCs w:val="22"/>
        </w:rPr>
        <w:t>pharmacokinetics of 8-</w:t>
      </w:r>
      <w:r w:rsidR="00A52637">
        <w:rPr>
          <w:rFonts w:ascii="Arial" w:hAnsi="Arial" w:cs="Arial"/>
          <w:bCs/>
          <w:sz w:val="22"/>
          <w:szCs w:val="22"/>
        </w:rPr>
        <w:t>OH</w:t>
      </w:r>
      <w:r w:rsidR="00FB73DD">
        <w:rPr>
          <w:rFonts w:ascii="Arial" w:hAnsi="Arial" w:cs="Arial"/>
          <w:bCs/>
          <w:sz w:val="22"/>
          <w:szCs w:val="22"/>
        </w:rPr>
        <w:t>-</w:t>
      </w:r>
      <w:r w:rsidR="00A52637">
        <w:rPr>
          <w:rFonts w:ascii="Arial" w:hAnsi="Arial" w:cs="Arial"/>
          <w:bCs/>
          <w:sz w:val="22"/>
          <w:szCs w:val="22"/>
        </w:rPr>
        <w:t>EFV</w:t>
      </w:r>
      <w:r w:rsidR="00FB73DD">
        <w:rPr>
          <w:rFonts w:ascii="Arial" w:hAnsi="Arial" w:cs="Arial"/>
          <w:bCs/>
          <w:sz w:val="22"/>
          <w:szCs w:val="22"/>
        </w:rPr>
        <w:t xml:space="preserve"> in obesity and </w:t>
      </w:r>
      <w:r w:rsidR="00F76137">
        <w:rPr>
          <w:rFonts w:ascii="Arial" w:hAnsi="Arial" w:cs="Arial"/>
          <w:bCs/>
          <w:sz w:val="22"/>
          <w:szCs w:val="22"/>
        </w:rPr>
        <w:t>described</w:t>
      </w:r>
      <w:r w:rsidR="001C3356">
        <w:rPr>
          <w:rFonts w:ascii="Arial" w:hAnsi="Arial" w:cs="Arial"/>
          <w:bCs/>
          <w:sz w:val="22"/>
          <w:szCs w:val="22"/>
        </w:rPr>
        <w:t xml:space="preserve"> the pharmacokinetics of </w:t>
      </w:r>
      <w:r w:rsidR="00A52637">
        <w:rPr>
          <w:rFonts w:ascii="Arial" w:hAnsi="Arial" w:cs="Arial"/>
          <w:bCs/>
          <w:sz w:val="22"/>
          <w:szCs w:val="22"/>
        </w:rPr>
        <w:t>EFV</w:t>
      </w:r>
      <w:r w:rsidR="001C3356">
        <w:rPr>
          <w:rFonts w:ascii="Arial" w:hAnsi="Arial" w:cs="Arial"/>
          <w:bCs/>
          <w:sz w:val="22"/>
          <w:szCs w:val="22"/>
        </w:rPr>
        <w:t>-</w:t>
      </w:r>
      <w:r w:rsidR="00A52637">
        <w:rPr>
          <w:rFonts w:ascii="Arial" w:hAnsi="Arial" w:cs="Arial"/>
          <w:bCs/>
          <w:sz w:val="22"/>
          <w:szCs w:val="22"/>
        </w:rPr>
        <w:t>TFV</w:t>
      </w:r>
      <w:r w:rsidR="001C3356">
        <w:rPr>
          <w:rFonts w:ascii="Arial" w:hAnsi="Arial" w:cs="Arial"/>
          <w:bCs/>
          <w:sz w:val="22"/>
          <w:szCs w:val="22"/>
        </w:rPr>
        <w:t>-</w:t>
      </w:r>
      <w:r w:rsidR="00A52637">
        <w:rPr>
          <w:rFonts w:ascii="Arial" w:hAnsi="Arial" w:cs="Arial"/>
          <w:bCs/>
          <w:sz w:val="22"/>
          <w:szCs w:val="22"/>
        </w:rPr>
        <w:t>FTC</w:t>
      </w:r>
      <w:r w:rsidR="001C3356">
        <w:rPr>
          <w:rFonts w:ascii="Arial" w:hAnsi="Arial" w:cs="Arial"/>
          <w:bCs/>
          <w:sz w:val="22"/>
          <w:szCs w:val="22"/>
        </w:rPr>
        <w:t xml:space="preserve"> in obesity </w:t>
      </w:r>
      <w:r w:rsidR="008B3AC6">
        <w:rPr>
          <w:rFonts w:ascii="Arial" w:hAnsi="Arial" w:cs="Arial"/>
          <w:bCs/>
          <w:sz w:val="22"/>
          <w:szCs w:val="22"/>
        </w:rPr>
        <w:t>using</w:t>
      </w:r>
      <w:r w:rsidR="001C3356">
        <w:rPr>
          <w:rFonts w:ascii="Arial" w:hAnsi="Arial" w:cs="Arial"/>
          <w:bCs/>
          <w:sz w:val="22"/>
          <w:szCs w:val="22"/>
        </w:rPr>
        <w:t xml:space="preserve"> </w:t>
      </w:r>
      <w:r w:rsidR="003118D0">
        <w:rPr>
          <w:rFonts w:ascii="Arial" w:hAnsi="Arial" w:cs="Arial"/>
          <w:bCs/>
          <w:sz w:val="22"/>
          <w:szCs w:val="22"/>
        </w:rPr>
        <w:t>WC</w:t>
      </w:r>
      <w:r w:rsidR="001C3356">
        <w:rPr>
          <w:rFonts w:ascii="Arial" w:hAnsi="Arial" w:cs="Arial"/>
          <w:bCs/>
          <w:sz w:val="22"/>
          <w:szCs w:val="22"/>
        </w:rPr>
        <w:t xml:space="preserve"> and </w:t>
      </w:r>
      <w:r w:rsidR="003118D0">
        <w:rPr>
          <w:rFonts w:ascii="Arial" w:hAnsi="Arial" w:cs="Arial"/>
          <w:bCs/>
          <w:sz w:val="22"/>
          <w:szCs w:val="22"/>
        </w:rPr>
        <w:t>WHR</w:t>
      </w:r>
      <w:r w:rsidR="001C3356">
        <w:rPr>
          <w:rFonts w:ascii="Arial" w:hAnsi="Arial" w:cs="Arial"/>
          <w:bCs/>
          <w:sz w:val="22"/>
          <w:szCs w:val="22"/>
        </w:rPr>
        <w:t xml:space="preserve"> </w:t>
      </w:r>
      <w:r w:rsidR="00F455D6" w:rsidRPr="00C47ECB">
        <w:rPr>
          <w:rFonts w:ascii="Arial" w:hAnsi="Arial" w:cs="Arial"/>
          <w:bCs/>
          <w:sz w:val="22"/>
          <w:szCs w:val="22"/>
        </w:rPr>
        <w:t>as markers of abdominal obesity</w:t>
      </w:r>
      <w:r w:rsidR="00F455D6">
        <w:rPr>
          <w:rFonts w:ascii="Arial" w:hAnsi="Arial" w:cs="Arial"/>
          <w:bCs/>
          <w:sz w:val="22"/>
          <w:szCs w:val="22"/>
        </w:rPr>
        <w:t>,</w:t>
      </w:r>
      <w:r w:rsidR="001C3356">
        <w:rPr>
          <w:rFonts w:ascii="Arial" w:hAnsi="Arial" w:cs="Arial"/>
          <w:bCs/>
          <w:sz w:val="22"/>
          <w:szCs w:val="22"/>
        </w:rPr>
        <w:t xml:space="preserve"> in addition to BMI.</w:t>
      </w:r>
      <w:r w:rsidR="00F76137">
        <w:rPr>
          <w:rFonts w:ascii="Arial" w:hAnsi="Arial" w:cs="Arial"/>
          <w:bCs/>
          <w:sz w:val="22"/>
          <w:szCs w:val="22"/>
        </w:rPr>
        <w:t xml:space="preserve"> </w:t>
      </w:r>
      <w:r w:rsidR="001C3356">
        <w:rPr>
          <w:rFonts w:ascii="Arial" w:hAnsi="Arial" w:cs="Arial"/>
          <w:bCs/>
          <w:sz w:val="22"/>
          <w:szCs w:val="22"/>
        </w:rPr>
        <w:t xml:space="preserve">Concentrations of </w:t>
      </w:r>
      <w:r w:rsidR="009F76FD">
        <w:rPr>
          <w:rFonts w:ascii="Arial" w:hAnsi="Arial" w:cs="Arial"/>
          <w:bCs/>
          <w:iCs/>
          <w:sz w:val="22"/>
          <w:szCs w:val="22"/>
        </w:rPr>
        <w:t>EFV, TFV and FTC</w:t>
      </w:r>
      <w:r w:rsidR="009F76FD" w:rsidDel="009F76FD">
        <w:rPr>
          <w:rFonts w:ascii="Arial" w:hAnsi="Arial" w:cs="Arial"/>
          <w:bCs/>
          <w:sz w:val="22"/>
          <w:szCs w:val="22"/>
        </w:rPr>
        <w:t xml:space="preserve"> </w:t>
      </w:r>
      <w:r w:rsidR="001C3356">
        <w:rPr>
          <w:rFonts w:ascii="Arial" w:hAnsi="Arial" w:cs="Arial"/>
          <w:bCs/>
          <w:sz w:val="22"/>
          <w:szCs w:val="22"/>
        </w:rPr>
        <w:t xml:space="preserve">were consistently lower in the obese groups, with the most striking findings seen in the </w:t>
      </w:r>
      <w:r w:rsidR="00F455D6" w:rsidRPr="00C47ECB">
        <w:rPr>
          <w:rFonts w:ascii="Arial" w:hAnsi="Arial" w:cs="Arial"/>
          <w:bCs/>
          <w:sz w:val="22"/>
          <w:szCs w:val="22"/>
        </w:rPr>
        <w:t xml:space="preserve">abdominally </w:t>
      </w:r>
      <w:r w:rsidR="001C3356" w:rsidRPr="00C47ECB">
        <w:rPr>
          <w:rFonts w:ascii="Arial" w:hAnsi="Arial"/>
          <w:sz w:val="22"/>
        </w:rPr>
        <w:t>obese</w:t>
      </w:r>
      <w:r w:rsidR="001C3356">
        <w:rPr>
          <w:rFonts w:ascii="Arial" w:hAnsi="Arial" w:cs="Arial"/>
          <w:bCs/>
          <w:sz w:val="22"/>
          <w:szCs w:val="22"/>
        </w:rPr>
        <w:t xml:space="preserve"> </w:t>
      </w:r>
      <w:r w:rsidR="008B3AC6">
        <w:rPr>
          <w:rFonts w:ascii="Arial" w:hAnsi="Arial" w:cs="Arial"/>
          <w:bCs/>
          <w:sz w:val="22"/>
          <w:szCs w:val="22"/>
        </w:rPr>
        <w:t>compared to</w:t>
      </w:r>
      <w:r w:rsidR="001C3356">
        <w:rPr>
          <w:rFonts w:ascii="Arial" w:hAnsi="Arial" w:cs="Arial"/>
          <w:bCs/>
          <w:sz w:val="22"/>
          <w:szCs w:val="22"/>
        </w:rPr>
        <w:t xml:space="preserve"> non-obese groups defined by </w:t>
      </w:r>
      <w:r w:rsidR="003118D0">
        <w:rPr>
          <w:rFonts w:ascii="Arial" w:hAnsi="Arial" w:cs="Arial"/>
          <w:bCs/>
          <w:sz w:val="22"/>
          <w:szCs w:val="22"/>
        </w:rPr>
        <w:t>WC</w:t>
      </w:r>
      <w:r w:rsidR="001C3356">
        <w:rPr>
          <w:rFonts w:ascii="Arial" w:hAnsi="Arial" w:cs="Arial"/>
          <w:bCs/>
          <w:sz w:val="22"/>
          <w:szCs w:val="22"/>
        </w:rPr>
        <w:t xml:space="preserve"> </w:t>
      </w:r>
      <w:r w:rsidR="001C3356" w:rsidRPr="002F2933">
        <w:rPr>
          <w:rFonts w:ascii="Arial" w:hAnsi="Arial" w:cs="Arial"/>
          <w:bCs/>
          <w:sz w:val="22"/>
          <w:szCs w:val="22"/>
        </w:rPr>
        <w:t>(</w:t>
      </w:r>
      <w:r w:rsidR="001C3356">
        <w:rPr>
          <w:rFonts w:ascii="Arial" w:hAnsi="Arial" w:cs="Arial"/>
          <w:b/>
          <w:sz w:val="22"/>
          <w:szCs w:val="22"/>
        </w:rPr>
        <w:t>Figure 2</w:t>
      </w:r>
      <w:r w:rsidR="001C3356" w:rsidRPr="002F2933">
        <w:rPr>
          <w:rFonts w:ascii="Arial" w:hAnsi="Arial" w:cs="Arial"/>
          <w:bCs/>
          <w:sz w:val="22"/>
          <w:szCs w:val="22"/>
        </w:rPr>
        <w:t>)</w:t>
      </w:r>
      <w:r w:rsidR="001C3356">
        <w:rPr>
          <w:rFonts w:ascii="Arial" w:hAnsi="Arial" w:cs="Arial"/>
          <w:bCs/>
          <w:sz w:val="22"/>
          <w:szCs w:val="22"/>
        </w:rPr>
        <w:t xml:space="preserve">. </w:t>
      </w:r>
      <w:r w:rsidR="00AE5F33">
        <w:rPr>
          <w:rFonts w:ascii="Arial" w:hAnsi="Arial" w:cs="Arial"/>
          <w:bCs/>
          <w:sz w:val="22"/>
          <w:szCs w:val="22"/>
        </w:rPr>
        <w:t>C</w:t>
      </w:r>
      <w:r w:rsidR="001C3356">
        <w:rPr>
          <w:rFonts w:ascii="Arial" w:hAnsi="Arial" w:cs="Arial"/>
          <w:bCs/>
          <w:sz w:val="22"/>
          <w:szCs w:val="22"/>
        </w:rPr>
        <w:t xml:space="preserve">oncentrations of </w:t>
      </w:r>
      <w:r w:rsidR="006E6497">
        <w:rPr>
          <w:rFonts w:ascii="Arial" w:hAnsi="Arial" w:cs="Arial"/>
          <w:bCs/>
          <w:iCs/>
          <w:sz w:val="22"/>
          <w:szCs w:val="22"/>
        </w:rPr>
        <w:t xml:space="preserve">8-OH-EFV </w:t>
      </w:r>
      <w:r w:rsidR="001C3356">
        <w:rPr>
          <w:rFonts w:ascii="Arial" w:hAnsi="Arial" w:cs="Arial"/>
          <w:bCs/>
          <w:sz w:val="22"/>
          <w:szCs w:val="22"/>
        </w:rPr>
        <w:t>were</w:t>
      </w:r>
      <w:r w:rsidR="00267955">
        <w:rPr>
          <w:rFonts w:ascii="Arial" w:hAnsi="Arial" w:cs="Arial"/>
          <w:bCs/>
          <w:sz w:val="22"/>
          <w:szCs w:val="22"/>
        </w:rPr>
        <w:t xml:space="preserve"> similar in obese and non-obese participants, but higher in male participants. </w:t>
      </w:r>
      <w:r w:rsidR="001C3356">
        <w:rPr>
          <w:rFonts w:ascii="Arial" w:hAnsi="Arial" w:cs="Arial"/>
          <w:bCs/>
          <w:sz w:val="22"/>
          <w:szCs w:val="22"/>
        </w:rPr>
        <w:t xml:space="preserve">No associated immunovirological differences were </w:t>
      </w:r>
      <w:r w:rsidR="00267955">
        <w:rPr>
          <w:rFonts w:ascii="Arial" w:hAnsi="Arial" w:cs="Arial"/>
          <w:bCs/>
          <w:sz w:val="22"/>
          <w:szCs w:val="22"/>
        </w:rPr>
        <w:t xml:space="preserve">noted </w:t>
      </w:r>
      <w:r w:rsidR="001C3356">
        <w:rPr>
          <w:rFonts w:ascii="Arial" w:hAnsi="Arial" w:cs="Arial"/>
          <w:bCs/>
          <w:sz w:val="22"/>
          <w:szCs w:val="22"/>
        </w:rPr>
        <w:t>between the obese and non-obese groups.</w:t>
      </w:r>
    </w:p>
    <w:p w14:paraId="1064409C" w14:textId="7ACFC55A" w:rsidR="001C3356" w:rsidRDefault="001C3356" w:rsidP="00292D0F">
      <w:pPr>
        <w:spacing w:line="480" w:lineRule="auto"/>
        <w:jc w:val="both"/>
        <w:outlineLvl w:val="0"/>
        <w:rPr>
          <w:rFonts w:ascii="Arial" w:hAnsi="Arial" w:cs="Arial"/>
          <w:bCs/>
          <w:sz w:val="22"/>
          <w:szCs w:val="22"/>
        </w:rPr>
      </w:pPr>
    </w:p>
    <w:p w14:paraId="37DC1CB0" w14:textId="77A3E49A" w:rsidR="00684DD6" w:rsidRDefault="009B22E7" w:rsidP="00292D0F">
      <w:pPr>
        <w:spacing w:line="480" w:lineRule="auto"/>
        <w:jc w:val="both"/>
        <w:outlineLvl w:val="0"/>
        <w:rPr>
          <w:rFonts w:ascii="Arial" w:hAnsi="Arial" w:cs="Arial"/>
          <w:bCs/>
          <w:sz w:val="22"/>
          <w:szCs w:val="22"/>
        </w:rPr>
      </w:pPr>
      <w:r>
        <w:rPr>
          <w:rFonts w:ascii="Arial" w:hAnsi="Arial" w:cs="Arial"/>
          <w:bCs/>
          <w:sz w:val="22"/>
          <w:szCs w:val="22"/>
        </w:rPr>
        <w:t xml:space="preserve">We </w:t>
      </w:r>
      <w:r w:rsidR="00EC361D">
        <w:rPr>
          <w:rFonts w:ascii="Arial" w:hAnsi="Arial" w:cs="Arial"/>
          <w:bCs/>
          <w:sz w:val="22"/>
          <w:szCs w:val="22"/>
        </w:rPr>
        <w:t xml:space="preserve">anticipated </w:t>
      </w:r>
      <w:r>
        <w:rPr>
          <w:rFonts w:ascii="Arial" w:hAnsi="Arial" w:cs="Arial"/>
          <w:bCs/>
          <w:sz w:val="22"/>
          <w:szCs w:val="22"/>
        </w:rPr>
        <w:t xml:space="preserve">lower concentrations of </w:t>
      </w:r>
      <w:r w:rsidR="006E6497">
        <w:rPr>
          <w:rFonts w:ascii="Arial" w:hAnsi="Arial" w:cs="Arial"/>
          <w:bCs/>
          <w:iCs/>
          <w:sz w:val="22"/>
          <w:szCs w:val="22"/>
        </w:rPr>
        <w:t>EFV, TFV and FTC</w:t>
      </w:r>
      <w:r w:rsidR="006E6497" w:rsidDel="009F76FD">
        <w:rPr>
          <w:rFonts w:ascii="Arial" w:hAnsi="Arial" w:cs="Arial"/>
          <w:bCs/>
          <w:sz w:val="22"/>
          <w:szCs w:val="22"/>
        </w:rPr>
        <w:t xml:space="preserve"> </w:t>
      </w:r>
      <w:r>
        <w:rPr>
          <w:rFonts w:ascii="Arial" w:hAnsi="Arial" w:cs="Arial"/>
          <w:bCs/>
          <w:sz w:val="22"/>
          <w:szCs w:val="22"/>
        </w:rPr>
        <w:t>in the obese groups</w:t>
      </w:r>
      <w:r w:rsidR="00916581">
        <w:rPr>
          <w:rFonts w:ascii="Arial" w:hAnsi="Arial" w:cs="Arial"/>
          <w:bCs/>
          <w:sz w:val="22"/>
          <w:szCs w:val="22"/>
        </w:rPr>
        <w:t xml:space="preserve"> due to </w:t>
      </w:r>
      <w:r w:rsidR="003B4F32">
        <w:rPr>
          <w:rFonts w:ascii="Arial" w:hAnsi="Arial" w:cs="Arial"/>
          <w:bCs/>
          <w:sz w:val="22"/>
          <w:szCs w:val="22"/>
        </w:rPr>
        <w:t>associated changes in the volume of distribution of these antiretroviral drugs</w:t>
      </w:r>
      <w:r w:rsidR="00916581">
        <w:rPr>
          <w:rFonts w:ascii="Arial" w:hAnsi="Arial" w:cs="Arial"/>
          <w:bCs/>
          <w:sz w:val="22"/>
          <w:szCs w:val="22"/>
        </w:rPr>
        <w:t xml:space="preserve"> </w:t>
      </w:r>
      <w:r w:rsidR="003B4F32">
        <w:rPr>
          <w:rFonts w:ascii="Arial" w:hAnsi="Arial" w:cs="Arial"/>
          <w:bCs/>
          <w:sz w:val="22"/>
          <w:szCs w:val="22"/>
        </w:rPr>
        <w:fldChar w:fldCharType="begin" w:fldLock="1"/>
      </w:r>
      <w:r w:rsidR="00FE7C39">
        <w:rPr>
          <w:rFonts w:ascii="Arial" w:hAnsi="Arial" w:cs="Arial"/>
          <w:bCs/>
          <w:sz w:val="22"/>
          <w:szCs w:val="22"/>
        </w:rPr>
        <w:instrText>ADDIN CSL_CITATION {"citationItems":[{"id":"ITEM-1","itemData":{"DOI":"10.1080/17425255.2018.1440287","ISSN":"17447607","abstract":"Introduction: The rising prevalence of obesity confronts clinicians with dosing problems in the (extreme) overweight population. Obesity has a great impact on key organs that play a role in the pharmacokinetics (PK) and pharmacodynamics (PD) of drugs, however the ultimate impact of these changes on how to adapt the dose may not always be known. Areas covered: In this review, physiological changes associated with obesity are discussed. An overview is provided on the alterations in absorption, distribution, drug metabolism and clearance in (morbid) obesity focusing on general principles that can be extracted from pharmacokinetic studies. Also, relevant pharmacodynamic considerations in obesity are discussed. Expert opinion: Over the last two decades, increased knowledge is generated on PK and PD in obesity. Future research should focus on filling in the knowledge gaps that remain, especially in connecting obesity-related physiological changes with changes in PK and/or PD and vice versa. Ultimately, this knowledge can be used to develop physiologically based PK and PD models on the basis of quantitative systems pharmacology principles. Moreover, efforts should focus on thorough prospective evaluation of developed model-based doses with subsequent implementation of these dosing recommendations in clinical practice.","author":[{"dropping-particle":"","family":"Smit","given":"Cornelis","non-dropping-particle":"","parse-names":false,"suffix":""},{"dropping-particle":"","family":"Hoogd","given":"Sjoerd","non-dropping-particle":"De","parse-names":false,"suffix":""},{"dropping-particle":"","family":"Brüggemann","given":"Roger J.M.","non-dropping-particle":"","parse-names":false,"suffix":""},{"dropping-particle":"","family":"Knibbe","given":"Catherijne A.J.","non-dropping-particle":"","parse-names":false,"suffix":""}],"container-title":"Expert Opinion on Drug Metabolism and Toxicology","id":"ITEM-1","issue":"3","issued":{"date-parts":[["2018"]]},"page":"275-285","publisher":"Taylor &amp; Francis","title":"Obesity and drug pharmacology: a review of the influence of obesity on pharmacokinetic and pharmacodynamic parameters","type":"article-journal","volume":"14"},"uris":["http://www.mendeley.com/documents/?uuid=51a877cc-1868-44b7-97b6-4c9856b0f635"]}],"mendeley":{"formattedCitation":"&lt;sup&gt;13&lt;/sup&gt;","plainTextFormattedCitation":"13","previouslyFormattedCitation":"&lt;sup&gt;13&lt;/sup&gt;"},"properties":{"noteIndex":0},"schema":"https://github.com/citation-style-language/schema/raw/master/csl-citation.json"}</w:instrText>
      </w:r>
      <w:r w:rsidR="003B4F32">
        <w:rPr>
          <w:rFonts w:ascii="Arial" w:hAnsi="Arial" w:cs="Arial"/>
          <w:bCs/>
          <w:sz w:val="22"/>
          <w:szCs w:val="22"/>
        </w:rPr>
        <w:fldChar w:fldCharType="separate"/>
      </w:r>
      <w:r w:rsidR="003B4F32" w:rsidRPr="003B4F32">
        <w:rPr>
          <w:rFonts w:ascii="Arial" w:hAnsi="Arial" w:cs="Arial"/>
          <w:bCs/>
          <w:noProof/>
          <w:sz w:val="22"/>
          <w:szCs w:val="22"/>
          <w:vertAlign w:val="superscript"/>
        </w:rPr>
        <w:t>13</w:t>
      </w:r>
      <w:r w:rsidR="003B4F32">
        <w:rPr>
          <w:rFonts w:ascii="Arial" w:hAnsi="Arial" w:cs="Arial"/>
          <w:bCs/>
          <w:sz w:val="22"/>
          <w:szCs w:val="22"/>
        </w:rPr>
        <w:fldChar w:fldCharType="end"/>
      </w:r>
      <w:r w:rsidR="003B4F32" w:rsidRPr="000E71EE">
        <w:rPr>
          <w:rFonts w:ascii="Arial" w:hAnsi="Arial" w:cs="Arial"/>
          <w:sz w:val="22"/>
          <w:szCs w:val="22"/>
          <w:vertAlign w:val="superscript"/>
        </w:rPr>
        <w:t>,</w:t>
      </w:r>
      <w:r>
        <w:rPr>
          <w:rFonts w:ascii="Arial" w:hAnsi="Arial" w:cs="Arial"/>
          <w:sz w:val="22"/>
          <w:szCs w:val="22"/>
          <w:vertAlign w:val="superscript"/>
        </w:rPr>
        <w:fldChar w:fldCharType="begin" w:fldLock="1"/>
      </w:r>
      <w:r w:rsidR="00FE7C39">
        <w:rPr>
          <w:rFonts w:ascii="Arial" w:hAnsi="Arial" w:cs="Arial"/>
          <w:sz w:val="22"/>
          <w:szCs w:val="22"/>
          <w:vertAlign w:val="superscript"/>
        </w:rPr>
        <w:instrText>ADDIN CSL_CITATION {"citationItems":[{"id":"ITEM-1","itemData":{"DOI":"10.1016/j.ejps.2018.07.037","ISSN":"18790720","abstract":"The current investigation entails systematic development of EFV (Efavirenz) loaded isotropic mixture prepared with long chain triglycerides for obliterating food associated variability and minimizing the erratic absorption behavior. For this purpose, the optimized isotropic mixture (EF1) consists of Maisine 35-1 (20%), Transcutol HP (17.7% w/w) and Cremophor RH 40:Labrasol (1:1) (62.3% w/w) was formulated by employing D-optimal mixture design that after numerical optimization showed highest desirability of 0.995. Further, the dissolution behavior of EFV suspension in biorelevant dissolution media's simulate the fed and fasted small intestine conditions, clearly anticipated that there is an influence of food effect for EFV. However, when EFV loaded into isotropic mixture, the food effect was abolished and no significant difference was seen in biorelevant dissolution media's. The tissue distribution of EFV from EF1 follows order: blood plasma &gt; heart &gt; brain &gt; lymph nodes &gt; liver. Interestingly, the in-vivo animal pharmacokinetic performance showed positive food effect after administration of EFV suspension and marketed formulation. However, the developed formulation (EF1) nullifies this food effect. In nutshell, these studies suggested significant enhancement in the biopharmaceutical attributes of a stable and robust EFV loaded isotropic mixture.","author":[{"dropping-particle":"","family":"Kamboj","given":"Sunil","non-dropping-particle":"","parse-names":false,"suffix":""},{"dropping-particle":"","family":"Sethi","given":"Sheshank","non-dropping-particle":"","parse-names":false,"suffix":""},{"dropping-particle":"","family":"Rana","given":"Vikas","non-dropping-particle":"","parse-names":false,"suffix":""}],"container-title":"European Journal of Pharmaceutical Sciences","id":"ITEM-1","issue":"February","issued":{"date-parts":[["2018"]]},"page":"199-216","title":"Lipid based delivery of Efavirenz: An answer to its erratic absorption and food effect","type":"article-journal","volume":"123"},"uris":["http://www.mendeley.com/documents/?uuid=bbfd7ab4-2337-44d4-860f-aab19d98f3e2"]}],"mendeley":{"formattedCitation":"&lt;sup&gt;26&lt;/sup&gt;","plainTextFormattedCitation":"26","previouslyFormattedCitation":"&lt;sup&gt;27&lt;/sup&gt;"},"properties":{"noteIndex":0},"schema":"https://github.com/citation-style-language/schema/raw/master/csl-citation.json"}</w:instrText>
      </w:r>
      <w:r>
        <w:rPr>
          <w:rFonts w:ascii="Arial" w:hAnsi="Arial" w:cs="Arial"/>
          <w:sz w:val="22"/>
          <w:szCs w:val="22"/>
          <w:vertAlign w:val="superscript"/>
        </w:rPr>
        <w:fldChar w:fldCharType="separate"/>
      </w:r>
      <w:r w:rsidR="00FE7C39" w:rsidRPr="00FE7C39">
        <w:rPr>
          <w:rFonts w:ascii="Arial" w:hAnsi="Arial" w:cs="Arial"/>
          <w:noProof/>
          <w:sz w:val="22"/>
          <w:szCs w:val="22"/>
          <w:vertAlign w:val="superscript"/>
        </w:rPr>
        <w:t>26</w:t>
      </w:r>
      <w:r>
        <w:rPr>
          <w:rFonts w:ascii="Arial" w:hAnsi="Arial" w:cs="Arial"/>
          <w:sz w:val="22"/>
          <w:szCs w:val="22"/>
          <w:vertAlign w:val="superscript"/>
        </w:rPr>
        <w:fldChar w:fldCharType="end"/>
      </w:r>
      <w:r>
        <w:rPr>
          <w:rFonts w:ascii="Arial" w:hAnsi="Arial" w:cs="Arial"/>
          <w:sz w:val="22"/>
          <w:szCs w:val="22"/>
          <w:vertAlign w:val="superscript"/>
        </w:rPr>
        <w:t xml:space="preserve"> </w:t>
      </w:r>
      <w:r>
        <w:rPr>
          <w:rFonts w:ascii="Arial" w:hAnsi="Arial" w:cs="Arial"/>
          <w:bCs/>
          <w:sz w:val="22"/>
          <w:szCs w:val="22"/>
        </w:rPr>
        <w:t xml:space="preserve">. </w:t>
      </w:r>
      <w:r w:rsidR="00EC361D">
        <w:rPr>
          <w:rFonts w:ascii="Arial" w:hAnsi="Arial" w:cs="Arial"/>
          <w:bCs/>
          <w:sz w:val="22"/>
          <w:szCs w:val="22"/>
        </w:rPr>
        <w:t xml:space="preserve">Our findings echo </w:t>
      </w:r>
      <w:r w:rsidR="00EC361D" w:rsidRPr="00C47ECB">
        <w:rPr>
          <w:rFonts w:ascii="Arial" w:hAnsi="Arial" w:cs="Arial"/>
          <w:bCs/>
          <w:sz w:val="22"/>
          <w:szCs w:val="22"/>
        </w:rPr>
        <w:t>th</w:t>
      </w:r>
      <w:r w:rsidR="00F455D6" w:rsidRPr="00C47ECB">
        <w:rPr>
          <w:rFonts w:ascii="Arial" w:hAnsi="Arial" w:cs="Arial"/>
          <w:bCs/>
          <w:sz w:val="22"/>
          <w:szCs w:val="22"/>
        </w:rPr>
        <w:t>ose</w:t>
      </w:r>
      <w:r w:rsidR="00EC361D">
        <w:rPr>
          <w:rFonts w:ascii="Arial" w:hAnsi="Arial" w:cs="Arial"/>
          <w:bCs/>
          <w:sz w:val="22"/>
          <w:szCs w:val="22"/>
        </w:rPr>
        <w:t xml:space="preserve"> of others</w:t>
      </w:r>
      <w:r w:rsidR="009A577C">
        <w:rPr>
          <w:rFonts w:ascii="Arial" w:hAnsi="Arial" w:cs="Arial"/>
          <w:bCs/>
          <w:sz w:val="22"/>
          <w:szCs w:val="22"/>
        </w:rPr>
        <w:t xml:space="preserve"> </w:t>
      </w:r>
      <w:r w:rsidR="009A577C">
        <w:rPr>
          <w:rFonts w:ascii="Arial" w:hAnsi="Arial" w:cs="Arial"/>
          <w:bCs/>
          <w:sz w:val="22"/>
          <w:szCs w:val="22"/>
        </w:rPr>
        <w:fldChar w:fldCharType="begin" w:fldLock="1"/>
      </w:r>
      <w:r w:rsidR="009F4900">
        <w:rPr>
          <w:rFonts w:ascii="Arial" w:hAnsi="Arial" w:cs="Arial"/>
          <w:bCs/>
          <w:sz w:val="22"/>
          <w:szCs w:val="22"/>
        </w:rPr>
        <w:instrText>ADDIN CSL_CITATION {"citationItems":[{"id":"ITEM-1","itemData":{"DOI":"10.1093/jac/dkw527","ISSN":"0305-7453","author":[{"dropping-particle":"","family":"Madelain","given":"Vincent","non-dropping-particle":"","parse-names":false,"suffix":""},{"dropping-particle":"","family":"Le","given":"Minh P.","non-dropping-particle":"","parse-names":false,"suffix":""},{"dropping-particle":"","family":"Champenois","given":"Karen","non-dropping-particle":"","parse-names":false,"suffix":""},{"dropping-particle":"","family":"Yeni","given":"Patrick","non-dropping-particle":"","parse-names":false,"suffix":""},{"dropping-particle":"","family":"Joly","given":"Veronique","non-dropping-particle":"","parse-names":false,"suffix":""},{"dropping-particle":"","family":"Yazdanpanah","given":"Yazdan","non-dropping-particle":"","parse-names":false,"suffix":""},{"dropping-particle":"","family":"Landman","given":"Roland","non-dropping-particle":"","parse-names":false,"suffix":""},{"dropping-particle":"","family":"Descamps","given":"Diane","non-dropping-particle":"","parse-names":false,"suffix":""},{"dropping-particle":"","family":"Charpentier","given":"Charlotte","non-dropping-particle":"","parse-names":false,"suffix":""},{"dropping-particle":"","family":"Peytavin","given":"Gilles","non-dropping-particle":"","parse-names":false,"suffix":""}],"container-title":"Journal of Antimicrobial Chemotherapy","id":"ITEM-1","issue":"January","issued":{"date-parts":[["2016"]]},"page":"dkw527","title":"Impact of obesity on antiretroviral pharmacokinetics and immuno-virological response in HIV-infected patients: a case–control study","type":"article-journal"},"uris":["http://www.mendeley.com/documents/?uuid=817306a1-6f95-47d6-86ca-a67c40284b64"]}],"mendeley":{"formattedCitation":"&lt;sup&gt;10&lt;/sup&gt;","plainTextFormattedCitation":"10","previouslyFormattedCitation":"&lt;sup&gt;10&lt;/sup&gt;"},"properties":{"noteIndex":0},"schema":"https://github.com/citation-style-language/schema/raw/master/csl-citation.json"}</w:instrText>
      </w:r>
      <w:r w:rsidR="009A577C">
        <w:rPr>
          <w:rFonts w:ascii="Arial" w:hAnsi="Arial" w:cs="Arial"/>
          <w:bCs/>
          <w:sz w:val="22"/>
          <w:szCs w:val="22"/>
        </w:rPr>
        <w:fldChar w:fldCharType="separate"/>
      </w:r>
      <w:r w:rsidR="009F4900" w:rsidRPr="009F4900">
        <w:rPr>
          <w:rFonts w:ascii="Arial" w:hAnsi="Arial" w:cs="Arial"/>
          <w:bCs/>
          <w:noProof/>
          <w:sz w:val="22"/>
          <w:szCs w:val="22"/>
          <w:vertAlign w:val="superscript"/>
        </w:rPr>
        <w:t>10</w:t>
      </w:r>
      <w:r w:rsidR="009A577C">
        <w:rPr>
          <w:rFonts w:ascii="Arial" w:hAnsi="Arial" w:cs="Arial"/>
          <w:bCs/>
          <w:sz w:val="22"/>
          <w:szCs w:val="22"/>
        </w:rPr>
        <w:fldChar w:fldCharType="end"/>
      </w:r>
      <w:r w:rsidR="00EC361D">
        <w:rPr>
          <w:rFonts w:ascii="Arial" w:hAnsi="Arial" w:cs="Arial"/>
          <w:bCs/>
          <w:sz w:val="22"/>
          <w:szCs w:val="22"/>
        </w:rPr>
        <w:t xml:space="preserve">. </w:t>
      </w:r>
      <w:r>
        <w:rPr>
          <w:rFonts w:ascii="Arial" w:hAnsi="Arial" w:cs="Arial"/>
          <w:bCs/>
          <w:sz w:val="22"/>
          <w:szCs w:val="22"/>
        </w:rPr>
        <w:t xml:space="preserve">Data </w:t>
      </w:r>
      <w:r w:rsidR="00EE276B">
        <w:rPr>
          <w:rFonts w:ascii="Arial" w:hAnsi="Arial" w:cs="Arial"/>
          <w:bCs/>
          <w:sz w:val="22"/>
          <w:szCs w:val="22"/>
        </w:rPr>
        <w:t>are</w:t>
      </w:r>
      <w:r>
        <w:rPr>
          <w:rFonts w:ascii="Arial" w:hAnsi="Arial" w:cs="Arial"/>
          <w:bCs/>
          <w:sz w:val="22"/>
          <w:szCs w:val="22"/>
        </w:rPr>
        <w:t xml:space="preserve"> emerging </w:t>
      </w:r>
      <w:r w:rsidR="006C4B45">
        <w:rPr>
          <w:rFonts w:ascii="Arial" w:hAnsi="Arial" w:cs="Arial"/>
          <w:bCs/>
          <w:sz w:val="22"/>
          <w:szCs w:val="22"/>
        </w:rPr>
        <w:t>associating</w:t>
      </w:r>
      <w:r w:rsidR="00CF1A15">
        <w:rPr>
          <w:rFonts w:ascii="Arial" w:hAnsi="Arial" w:cs="Arial"/>
          <w:bCs/>
          <w:sz w:val="22"/>
          <w:szCs w:val="22"/>
        </w:rPr>
        <w:t xml:space="preserve"> EFV extensive</w:t>
      </w:r>
      <w:r w:rsidR="006C4B45" w:rsidRPr="00FE7C39">
        <w:rPr>
          <w:rFonts w:ascii="Arial" w:hAnsi="Arial" w:cs="Arial"/>
          <w:bCs/>
          <w:i/>
          <w:iCs/>
          <w:sz w:val="22"/>
          <w:szCs w:val="22"/>
        </w:rPr>
        <w:t xml:space="preserve"> </w:t>
      </w:r>
      <w:r w:rsidR="00AE3BA4" w:rsidRPr="00FE7C39">
        <w:rPr>
          <w:rFonts w:ascii="Arial" w:hAnsi="Arial" w:cs="Arial"/>
          <w:i/>
          <w:iCs/>
          <w:sz w:val="22"/>
          <w:szCs w:val="22"/>
        </w:rPr>
        <w:t>CYP</w:t>
      </w:r>
      <w:r w:rsidRPr="00FE7C39">
        <w:rPr>
          <w:rFonts w:ascii="Arial" w:hAnsi="Arial" w:cs="Arial"/>
          <w:bCs/>
          <w:i/>
          <w:iCs/>
          <w:sz w:val="22"/>
          <w:szCs w:val="22"/>
        </w:rPr>
        <w:t>2B6</w:t>
      </w:r>
      <w:r w:rsidR="006C4B45" w:rsidRPr="006C4B45">
        <w:rPr>
          <w:rFonts w:ascii="Arial" w:hAnsi="Arial" w:cs="Arial"/>
          <w:bCs/>
          <w:sz w:val="22"/>
          <w:szCs w:val="22"/>
        </w:rPr>
        <w:t xml:space="preserve"> </w:t>
      </w:r>
      <w:proofErr w:type="spellStart"/>
      <w:r w:rsidR="006C4B45">
        <w:rPr>
          <w:rFonts w:ascii="Arial" w:hAnsi="Arial" w:cs="Arial"/>
          <w:bCs/>
          <w:sz w:val="22"/>
          <w:szCs w:val="22"/>
        </w:rPr>
        <w:t>metaboliser</w:t>
      </w:r>
      <w:proofErr w:type="spellEnd"/>
      <w:r w:rsidR="006C4B45">
        <w:rPr>
          <w:rFonts w:ascii="Arial" w:hAnsi="Arial" w:cs="Arial"/>
          <w:bCs/>
          <w:sz w:val="22"/>
          <w:szCs w:val="22"/>
        </w:rPr>
        <w:t xml:space="preserve"> status</w:t>
      </w:r>
      <w:r w:rsidR="0029305C">
        <w:rPr>
          <w:rFonts w:ascii="Arial" w:hAnsi="Arial" w:cs="Arial"/>
          <w:bCs/>
          <w:sz w:val="22"/>
          <w:szCs w:val="22"/>
        </w:rPr>
        <w:t xml:space="preserve"> with obesity</w:t>
      </w:r>
      <w:r w:rsidR="002E608E">
        <w:rPr>
          <w:rFonts w:ascii="Arial" w:hAnsi="Arial" w:cs="Arial"/>
          <w:bCs/>
          <w:sz w:val="22"/>
          <w:szCs w:val="22"/>
        </w:rPr>
        <w:t xml:space="preserve"> with </w:t>
      </w:r>
      <w:r>
        <w:rPr>
          <w:rFonts w:ascii="Arial" w:hAnsi="Arial" w:cs="Arial"/>
          <w:bCs/>
          <w:sz w:val="22"/>
          <w:szCs w:val="22"/>
        </w:rPr>
        <w:t xml:space="preserve">extensive </w:t>
      </w:r>
      <w:r w:rsidR="00C32EF6">
        <w:rPr>
          <w:rFonts w:ascii="Arial" w:hAnsi="Arial" w:cs="Arial"/>
          <w:bCs/>
          <w:sz w:val="22"/>
          <w:szCs w:val="22"/>
        </w:rPr>
        <w:t xml:space="preserve">CYP2B6 </w:t>
      </w:r>
      <w:proofErr w:type="spellStart"/>
      <w:r w:rsidR="00C32EF6">
        <w:rPr>
          <w:rFonts w:ascii="Arial" w:hAnsi="Arial" w:cs="Arial"/>
          <w:bCs/>
          <w:sz w:val="22"/>
          <w:szCs w:val="22"/>
        </w:rPr>
        <w:lastRenderedPageBreak/>
        <w:t>metabolisers</w:t>
      </w:r>
      <w:proofErr w:type="spellEnd"/>
      <w:r w:rsidR="00C32EF6">
        <w:rPr>
          <w:rFonts w:ascii="Arial" w:hAnsi="Arial" w:cs="Arial"/>
          <w:bCs/>
          <w:sz w:val="22"/>
          <w:szCs w:val="22"/>
        </w:rPr>
        <w:t xml:space="preserve"> gain</w:t>
      </w:r>
      <w:r w:rsidR="002E608E">
        <w:rPr>
          <w:rFonts w:ascii="Arial" w:hAnsi="Arial" w:cs="Arial"/>
          <w:bCs/>
          <w:sz w:val="22"/>
          <w:szCs w:val="22"/>
        </w:rPr>
        <w:t>ing</w:t>
      </w:r>
      <w:r w:rsidR="00C32EF6">
        <w:rPr>
          <w:rFonts w:ascii="Arial" w:hAnsi="Arial" w:cs="Arial"/>
          <w:bCs/>
          <w:sz w:val="22"/>
          <w:szCs w:val="22"/>
        </w:rPr>
        <w:t xml:space="preserve"> the most weight when started on an </w:t>
      </w:r>
      <w:r w:rsidR="002E608E">
        <w:rPr>
          <w:rFonts w:ascii="Arial" w:hAnsi="Arial" w:cs="Arial"/>
          <w:bCs/>
          <w:sz w:val="22"/>
          <w:szCs w:val="22"/>
        </w:rPr>
        <w:t>EFV</w:t>
      </w:r>
      <w:r w:rsidR="0024061C">
        <w:rPr>
          <w:rFonts w:ascii="Arial" w:hAnsi="Arial" w:cs="Arial"/>
          <w:bCs/>
          <w:sz w:val="22"/>
          <w:szCs w:val="22"/>
        </w:rPr>
        <w:t xml:space="preserve"> based regimen</w:t>
      </w:r>
      <w:r w:rsidR="00C32EF6">
        <w:rPr>
          <w:rFonts w:ascii="Arial" w:hAnsi="Arial" w:cs="Arial"/>
          <w:bCs/>
          <w:sz w:val="22"/>
          <w:szCs w:val="22"/>
        </w:rPr>
        <w:t xml:space="preserve"> </w:t>
      </w:r>
      <w:r w:rsidR="00A23C32">
        <w:rPr>
          <w:rFonts w:ascii="Arial" w:hAnsi="Arial" w:cs="Arial"/>
          <w:bCs/>
          <w:sz w:val="22"/>
          <w:szCs w:val="22"/>
        </w:rPr>
        <w:fldChar w:fldCharType="begin" w:fldLock="1"/>
      </w:r>
      <w:r w:rsidR="00FE7C39">
        <w:rPr>
          <w:rFonts w:ascii="Arial" w:hAnsi="Arial" w:cs="Arial"/>
          <w:bCs/>
          <w:sz w:val="22"/>
          <w:szCs w:val="22"/>
        </w:rPr>
        <w:instrText>ADDIN CSL_CITATION {"citationItems":[{"id":"ITEM-1","itemData":{"DOI":"10.1093/cid/ciaa1073","ISSN":"1058-4838","abstract":"Background. Dolutegravir is associated with more weight gain than efavirenz. Loss-of-function polymorphisms in CYP2B6 result in higher efavirenz concentrations, which we hypothesized would impair weight gain among people living with human immu-nodeficiency virus (HIV; PLWH) starting efavirenz-based antiretroviral therapy (ART). Methods. We studied ART-naive participants from the ADVANCE study randomized to the efavirenz /emtricitabine/tenofovir disoproxil fumarate (TDF) and dolutegravir/emtricitabine/TDF arms. We compared changes in weight and regional fat on DXA from baseline to week 48 between CYP2B6 metabolizer genotypes in the efavirenz arm, and with the dolutegravir arm. Results. There were 342 participants in the dolutegravir arm and 168 in the efavirenz arm who consented to genotyping. Baseline characteristics were similar. Weight gain was greater in women than men. In the efavirenz arm CYP2B6 metaboliser genotype was associated with weight gain (P = .009), with extensive metabolizers gaining the most weight, and with changes in regional fat in women, but not in men. Weight gain was similar in CYP2B6 extensive metabolizers in the efavirenz arm and in the dolutegravir arm (P = .836). The following variables were independently associated with weight gain in all participants: baseline CD4 count, baseline human immunodeficiency virus type 1 (HIV-1) RNA, and CYP2B6 metaboliser genotype. Conclusions. CYP2B6 metaboliser genotype was associated with weight gain in PLWH starting efavirenz-based ART. Weight gain was similar between CYP2B6 extensive metabolizers in the efavirenz arm and in the dolutegravir arm, suggesting that impaired weight gain among CYP2B6 slow or intermediate metabolizers could explain the increased weight gain on dolutegravir compared with efavirenz observed in ADVANCE and other studies.","author":[{"dropping-particle":"","family":"Griesel","given":"Rulan","non-dropping-particle":"","parse-names":false,"suffix":""},{"dropping-particle":"","family":"Maartens","given":"Gary","non-dropping-particle":"","parse-names":false,"suffix":""},{"dropping-particle":"","family":"Chirehwa","given":"Maxwell","non-dropping-particle":"","parse-names":false,"suffix":""},{"dropping-particle":"","family":"Sokhela","given":"Simiso","non-dropping-particle":"","parse-names":false,"suffix":""},{"dropping-particle":"","family":"Akpomiemie","given":"Godspower","non-dropping-particle":"","parse-names":false,"suffix":""},{"dropping-particle":"","family":"Moorhouse","given":"Michelle","non-dropping-particle":"","parse-names":false,"suffix":""},{"dropping-particle":"","family":"Venter","given":"Francois","non-dropping-particle":"","parse-names":false,"suffix":""},{"dropping-particle":"","family":"Sinxadi","given":"Phumla","non-dropping-particle":"","parse-names":false,"suffix":""}],"container-title":"Clinical Infectious Diseases","id":"ITEM-1","issue":"Xx","issued":{"date-parts":[["2020"]]},"page":"2-9","title":"CYP2B6 Genotype and Weight Gain Differences Between Dolutegravir and Efavirenz","type":"article-journal"},"uris":["http://www.mendeley.com/documents/?uuid=0000770b-5c2f-4b68-87c9-a3987785105f"]}],"mendeley":{"formattedCitation":"&lt;sup&gt;15&lt;/sup&gt;","plainTextFormattedCitation":"15","previouslyFormattedCitation":"&lt;sup&gt;16&lt;/sup&gt;"},"properties":{"noteIndex":0},"schema":"https://github.com/citation-style-language/schema/raw/master/csl-citation.json"}</w:instrText>
      </w:r>
      <w:r w:rsidR="00A23C32">
        <w:rPr>
          <w:rFonts w:ascii="Arial" w:hAnsi="Arial" w:cs="Arial"/>
          <w:bCs/>
          <w:sz w:val="22"/>
          <w:szCs w:val="22"/>
        </w:rPr>
        <w:fldChar w:fldCharType="separate"/>
      </w:r>
      <w:r w:rsidR="00FE7C39" w:rsidRPr="00FE7C39">
        <w:rPr>
          <w:rFonts w:ascii="Arial" w:hAnsi="Arial" w:cs="Arial"/>
          <w:bCs/>
          <w:noProof/>
          <w:sz w:val="22"/>
          <w:szCs w:val="22"/>
          <w:vertAlign w:val="superscript"/>
        </w:rPr>
        <w:t>15</w:t>
      </w:r>
      <w:r w:rsidR="00A23C32">
        <w:rPr>
          <w:rFonts w:ascii="Arial" w:hAnsi="Arial" w:cs="Arial"/>
          <w:bCs/>
          <w:sz w:val="22"/>
          <w:szCs w:val="22"/>
        </w:rPr>
        <w:fldChar w:fldCharType="end"/>
      </w:r>
      <w:r w:rsidR="00AE12A9">
        <w:rPr>
          <w:rFonts w:ascii="Arial" w:hAnsi="Arial" w:cs="Arial"/>
          <w:bCs/>
          <w:sz w:val="22"/>
          <w:szCs w:val="22"/>
        </w:rPr>
        <w:t>.</w:t>
      </w:r>
      <w:r w:rsidR="002E608E">
        <w:rPr>
          <w:rFonts w:ascii="Arial" w:hAnsi="Arial" w:cs="Arial"/>
          <w:bCs/>
          <w:sz w:val="22"/>
          <w:szCs w:val="22"/>
        </w:rPr>
        <w:t xml:space="preserve"> </w:t>
      </w:r>
      <w:r w:rsidR="00AE3BA4">
        <w:rPr>
          <w:rFonts w:ascii="Arial" w:hAnsi="Arial" w:cs="Arial"/>
          <w:sz w:val="22"/>
          <w:szCs w:val="22"/>
        </w:rPr>
        <w:t xml:space="preserve">EFV </w:t>
      </w:r>
      <w:r w:rsidR="00AE3BA4" w:rsidRPr="00805A39">
        <w:rPr>
          <w:rFonts w:ascii="Arial" w:hAnsi="Arial" w:cs="Arial"/>
          <w:sz w:val="22"/>
          <w:szCs w:val="22"/>
        </w:rPr>
        <w:t xml:space="preserve">is </w:t>
      </w:r>
      <w:r w:rsidR="00AE3BA4">
        <w:rPr>
          <w:rFonts w:ascii="Arial" w:hAnsi="Arial" w:cs="Arial"/>
          <w:sz w:val="22"/>
          <w:szCs w:val="22"/>
        </w:rPr>
        <w:t xml:space="preserve">primarily </w:t>
      </w:r>
      <w:proofErr w:type="spellStart"/>
      <w:r w:rsidR="00AE3BA4" w:rsidRPr="00805A39">
        <w:rPr>
          <w:rFonts w:ascii="Arial" w:hAnsi="Arial" w:cs="Arial"/>
          <w:sz w:val="22"/>
          <w:szCs w:val="22"/>
        </w:rPr>
        <w:t>metaboli</w:t>
      </w:r>
      <w:r w:rsidR="003118D0">
        <w:rPr>
          <w:rFonts w:ascii="Arial" w:hAnsi="Arial" w:cs="Arial"/>
          <w:sz w:val="22"/>
          <w:szCs w:val="22"/>
        </w:rPr>
        <w:t>s</w:t>
      </w:r>
      <w:r w:rsidR="00AE3BA4" w:rsidRPr="00805A39">
        <w:rPr>
          <w:rFonts w:ascii="Arial" w:hAnsi="Arial" w:cs="Arial"/>
          <w:sz w:val="22"/>
          <w:szCs w:val="22"/>
        </w:rPr>
        <w:t>ed</w:t>
      </w:r>
      <w:proofErr w:type="spellEnd"/>
      <w:r w:rsidR="00AE3BA4" w:rsidRPr="00805A39">
        <w:rPr>
          <w:rFonts w:ascii="Arial" w:hAnsi="Arial" w:cs="Arial"/>
          <w:sz w:val="22"/>
          <w:szCs w:val="22"/>
        </w:rPr>
        <w:t xml:space="preserve"> by CYP</w:t>
      </w:r>
      <w:r w:rsidR="00AE3BA4" w:rsidRPr="00420012">
        <w:rPr>
          <w:rFonts w:ascii="Arial" w:hAnsi="Arial" w:cs="Arial"/>
          <w:sz w:val="22"/>
          <w:szCs w:val="22"/>
        </w:rPr>
        <w:t>2B6</w:t>
      </w:r>
      <w:r w:rsidR="00AE3BA4" w:rsidRPr="00C073F9">
        <w:rPr>
          <w:rFonts w:ascii="Arial" w:hAnsi="Arial" w:cs="Arial"/>
          <w:sz w:val="22"/>
          <w:szCs w:val="22"/>
        </w:rPr>
        <w:t xml:space="preserve"> </w:t>
      </w:r>
      <w:r w:rsidR="00AE3BA4" w:rsidRPr="00805A39">
        <w:rPr>
          <w:rFonts w:ascii="Arial" w:hAnsi="Arial" w:cs="Arial"/>
          <w:sz w:val="22"/>
          <w:szCs w:val="22"/>
        </w:rPr>
        <w:t>into 8-</w:t>
      </w:r>
      <w:r w:rsidR="00AE3BA4">
        <w:rPr>
          <w:rFonts w:ascii="Arial" w:hAnsi="Arial" w:cs="Arial"/>
          <w:sz w:val="22"/>
          <w:szCs w:val="22"/>
        </w:rPr>
        <w:t>OH</w:t>
      </w:r>
      <w:r w:rsidR="00AE3BA4" w:rsidRPr="00805A39">
        <w:rPr>
          <w:rFonts w:ascii="Arial" w:hAnsi="Arial" w:cs="Arial"/>
          <w:sz w:val="22"/>
          <w:szCs w:val="22"/>
        </w:rPr>
        <w:t>-</w:t>
      </w:r>
      <w:proofErr w:type="gramStart"/>
      <w:r w:rsidR="00AE3BA4">
        <w:rPr>
          <w:rFonts w:ascii="Arial" w:hAnsi="Arial" w:cs="Arial"/>
          <w:sz w:val="22"/>
          <w:szCs w:val="22"/>
        </w:rPr>
        <w:t>EFV</w:t>
      </w:r>
      <w:proofErr w:type="gramEnd"/>
      <w:r w:rsidR="009A577C">
        <w:rPr>
          <w:rFonts w:ascii="Arial" w:hAnsi="Arial" w:cs="Arial"/>
          <w:sz w:val="22"/>
          <w:szCs w:val="22"/>
        </w:rPr>
        <w:t xml:space="preserve"> </w:t>
      </w:r>
      <w:r w:rsidR="007D1D7A">
        <w:rPr>
          <w:rFonts w:ascii="Arial" w:hAnsi="Arial" w:cs="Arial"/>
          <w:sz w:val="22"/>
          <w:szCs w:val="22"/>
        </w:rPr>
        <w:t>and we</w:t>
      </w:r>
      <w:r w:rsidR="00C32EF6">
        <w:rPr>
          <w:rFonts w:ascii="Arial" w:hAnsi="Arial" w:cs="Arial"/>
          <w:bCs/>
          <w:sz w:val="22"/>
          <w:szCs w:val="22"/>
        </w:rPr>
        <w:t xml:space="preserve"> </w:t>
      </w:r>
      <w:proofErr w:type="spellStart"/>
      <w:r w:rsidR="003F6858">
        <w:rPr>
          <w:rFonts w:ascii="Arial" w:hAnsi="Arial" w:cs="Arial"/>
          <w:bCs/>
          <w:sz w:val="22"/>
          <w:szCs w:val="22"/>
        </w:rPr>
        <w:t>hypothesised</w:t>
      </w:r>
      <w:proofErr w:type="spellEnd"/>
      <w:r w:rsidR="003F6858">
        <w:rPr>
          <w:rFonts w:ascii="Arial" w:hAnsi="Arial" w:cs="Arial"/>
          <w:bCs/>
          <w:sz w:val="22"/>
          <w:szCs w:val="22"/>
        </w:rPr>
        <w:t xml:space="preserve"> </w:t>
      </w:r>
      <w:r w:rsidR="00C32EF6">
        <w:rPr>
          <w:rFonts w:ascii="Arial" w:hAnsi="Arial" w:cs="Arial"/>
          <w:bCs/>
          <w:sz w:val="22"/>
          <w:szCs w:val="22"/>
        </w:rPr>
        <w:t>that 8-</w:t>
      </w:r>
      <w:r w:rsidR="009D550F">
        <w:rPr>
          <w:rFonts w:ascii="Arial" w:hAnsi="Arial" w:cs="Arial"/>
          <w:bCs/>
          <w:sz w:val="22"/>
          <w:szCs w:val="22"/>
        </w:rPr>
        <w:t>OH</w:t>
      </w:r>
      <w:r w:rsidR="00C32EF6">
        <w:rPr>
          <w:rFonts w:ascii="Arial" w:hAnsi="Arial" w:cs="Arial"/>
          <w:bCs/>
          <w:sz w:val="22"/>
          <w:szCs w:val="22"/>
        </w:rPr>
        <w:t>-</w:t>
      </w:r>
      <w:r w:rsidR="009D550F">
        <w:rPr>
          <w:rFonts w:ascii="Arial" w:hAnsi="Arial" w:cs="Arial"/>
          <w:bCs/>
          <w:sz w:val="22"/>
          <w:szCs w:val="22"/>
        </w:rPr>
        <w:t>EFV</w:t>
      </w:r>
      <w:r w:rsidR="00C32EF6">
        <w:rPr>
          <w:rFonts w:ascii="Arial" w:hAnsi="Arial" w:cs="Arial"/>
          <w:bCs/>
          <w:sz w:val="22"/>
          <w:szCs w:val="22"/>
        </w:rPr>
        <w:t xml:space="preserve"> concentrations would be higher in </w:t>
      </w:r>
      <w:r w:rsidR="00C32EF6" w:rsidRPr="00F029FF">
        <w:rPr>
          <w:rFonts w:ascii="Arial" w:hAnsi="Arial" w:cs="Arial"/>
          <w:bCs/>
          <w:sz w:val="22"/>
          <w:szCs w:val="22"/>
        </w:rPr>
        <w:t xml:space="preserve">the obese group </w:t>
      </w:r>
      <w:r w:rsidR="009D550F" w:rsidRPr="00F029FF">
        <w:rPr>
          <w:rFonts w:ascii="Arial" w:hAnsi="Arial" w:cs="Arial"/>
          <w:bCs/>
          <w:sz w:val="22"/>
          <w:szCs w:val="22"/>
        </w:rPr>
        <w:t xml:space="preserve">based on this </w:t>
      </w:r>
      <w:r w:rsidR="00234DAF" w:rsidRPr="00F029FF">
        <w:rPr>
          <w:rFonts w:ascii="Arial" w:hAnsi="Arial" w:cs="Arial"/>
          <w:bCs/>
          <w:sz w:val="22"/>
          <w:szCs w:val="22"/>
        </w:rPr>
        <w:t>association</w:t>
      </w:r>
      <w:r w:rsidR="007D1D7A" w:rsidRPr="00F029FF">
        <w:rPr>
          <w:rFonts w:ascii="Arial" w:hAnsi="Arial" w:cs="Arial"/>
          <w:bCs/>
          <w:sz w:val="22"/>
          <w:szCs w:val="22"/>
        </w:rPr>
        <w:t xml:space="preserve">. </w:t>
      </w:r>
      <w:r w:rsidR="003F6858">
        <w:rPr>
          <w:rFonts w:ascii="Arial" w:hAnsi="Arial" w:cs="Arial"/>
          <w:bCs/>
          <w:sz w:val="22"/>
          <w:szCs w:val="22"/>
        </w:rPr>
        <w:t xml:space="preserve">We found </w:t>
      </w:r>
      <w:r w:rsidR="00EC7603">
        <w:rPr>
          <w:rFonts w:ascii="Arial" w:hAnsi="Arial" w:cs="Arial"/>
          <w:bCs/>
          <w:sz w:val="22"/>
          <w:szCs w:val="22"/>
        </w:rPr>
        <w:t>t</w:t>
      </w:r>
      <w:r w:rsidR="003F6858">
        <w:rPr>
          <w:rFonts w:ascii="Arial" w:hAnsi="Arial" w:cs="Arial"/>
          <w:bCs/>
          <w:sz w:val="22"/>
          <w:szCs w:val="22"/>
        </w:rPr>
        <w:t>h</w:t>
      </w:r>
      <w:r w:rsidR="00EC7603">
        <w:rPr>
          <w:rFonts w:ascii="Arial" w:hAnsi="Arial" w:cs="Arial"/>
          <w:bCs/>
          <w:sz w:val="22"/>
          <w:szCs w:val="22"/>
        </w:rPr>
        <w:t>at 8-OH-EFV concen</w:t>
      </w:r>
      <w:r w:rsidR="00A216D5">
        <w:rPr>
          <w:rFonts w:ascii="Arial" w:hAnsi="Arial" w:cs="Arial"/>
          <w:bCs/>
          <w:sz w:val="22"/>
          <w:szCs w:val="22"/>
        </w:rPr>
        <w:t xml:space="preserve">trations </w:t>
      </w:r>
      <w:r w:rsidR="00D96851">
        <w:rPr>
          <w:rFonts w:ascii="Arial" w:hAnsi="Arial" w:cs="Arial"/>
          <w:bCs/>
          <w:sz w:val="22"/>
          <w:szCs w:val="22"/>
        </w:rPr>
        <w:t xml:space="preserve">were similar in </w:t>
      </w:r>
      <w:r w:rsidR="002478B3">
        <w:rPr>
          <w:rFonts w:ascii="Arial" w:hAnsi="Arial" w:cs="Arial"/>
          <w:bCs/>
          <w:sz w:val="22"/>
          <w:szCs w:val="22"/>
        </w:rPr>
        <w:t xml:space="preserve">non-obese and </w:t>
      </w:r>
      <w:r w:rsidR="00D96851">
        <w:rPr>
          <w:rFonts w:ascii="Arial" w:hAnsi="Arial" w:cs="Arial"/>
          <w:bCs/>
          <w:sz w:val="22"/>
          <w:szCs w:val="22"/>
        </w:rPr>
        <w:t>obese</w:t>
      </w:r>
      <w:r w:rsidR="002E64A5">
        <w:rPr>
          <w:rFonts w:ascii="Arial" w:hAnsi="Arial" w:cs="Arial"/>
          <w:bCs/>
          <w:sz w:val="22"/>
          <w:szCs w:val="22"/>
        </w:rPr>
        <w:t xml:space="preserve"> </w:t>
      </w:r>
      <w:proofErr w:type="gramStart"/>
      <w:r w:rsidR="000363A4">
        <w:rPr>
          <w:rFonts w:ascii="Arial" w:hAnsi="Arial" w:cs="Arial"/>
          <w:bCs/>
          <w:sz w:val="22"/>
          <w:szCs w:val="22"/>
        </w:rPr>
        <w:t>participants</w:t>
      </w:r>
      <w:proofErr w:type="gramEnd"/>
      <w:r w:rsidR="000363A4">
        <w:rPr>
          <w:rFonts w:ascii="Arial" w:hAnsi="Arial" w:cs="Arial"/>
          <w:bCs/>
          <w:sz w:val="22"/>
          <w:szCs w:val="22"/>
        </w:rPr>
        <w:t xml:space="preserve"> </w:t>
      </w:r>
      <w:r w:rsidR="002E64A5">
        <w:rPr>
          <w:rFonts w:ascii="Arial" w:hAnsi="Arial" w:cs="Arial"/>
          <w:bCs/>
          <w:sz w:val="22"/>
          <w:szCs w:val="22"/>
        </w:rPr>
        <w:t>and it may be explained by differences in fat partitioning</w:t>
      </w:r>
      <w:r w:rsidR="00FB3B95">
        <w:rPr>
          <w:rFonts w:ascii="Arial" w:hAnsi="Arial" w:cs="Arial"/>
          <w:bCs/>
          <w:sz w:val="22"/>
          <w:szCs w:val="22"/>
        </w:rPr>
        <w:t>.</w:t>
      </w:r>
      <w:r w:rsidR="006C5CD1">
        <w:rPr>
          <w:rFonts w:ascii="Arial" w:hAnsi="Arial" w:cs="Arial"/>
          <w:bCs/>
          <w:sz w:val="22"/>
          <w:szCs w:val="22"/>
        </w:rPr>
        <w:t xml:space="preserve"> </w:t>
      </w:r>
      <w:r w:rsidR="006C5CD1" w:rsidRPr="00A02A41">
        <w:rPr>
          <w:rFonts w:ascii="Arial" w:hAnsi="Arial" w:cs="Arial"/>
          <w:bCs/>
          <w:sz w:val="22"/>
          <w:szCs w:val="22"/>
        </w:rPr>
        <w:t xml:space="preserve">We previously did not find an association between EFV </w:t>
      </w:r>
      <w:proofErr w:type="spellStart"/>
      <w:r w:rsidR="006C5CD1" w:rsidRPr="00A02A41">
        <w:rPr>
          <w:rFonts w:ascii="Arial" w:hAnsi="Arial" w:cs="Arial"/>
          <w:bCs/>
          <w:sz w:val="22"/>
          <w:szCs w:val="22"/>
        </w:rPr>
        <w:t>metaboliser</w:t>
      </w:r>
      <w:proofErr w:type="spellEnd"/>
      <w:r w:rsidR="006C5CD1" w:rsidRPr="00A02A41">
        <w:rPr>
          <w:rFonts w:ascii="Arial" w:hAnsi="Arial" w:cs="Arial"/>
          <w:bCs/>
          <w:sz w:val="22"/>
          <w:szCs w:val="22"/>
        </w:rPr>
        <w:t xml:space="preserve"> status and 8-OH-EFV in plasma </w:t>
      </w:r>
      <w:r w:rsidR="006C5CD1">
        <w:rPr>
          <w:rFonts w:ascii="Arial" w:hAnsi="Arial" w:cs="Arial"/>
          <w:bCs/>
          <w:sz w:val="22"/>
          <w:szCs w:val="22"/>
        </w:rPr>
        <w:t>in the Cape Town cohort</w:t>
      </w:r>
      <w:r w:rsidR="009F4900">
        <w:rPr>
          <w:rFonts w:ascii="Arial" w:hAnsi="Arial" w:cs="Arial"/>
          <w:bCs/>
          <w:sz w:val="22"/>
          <w:szCs w:val="22"/>
        </w:rPr>
        <w:t xml:space="preserve"> </w:t>
      </w:r>
      <w:r w:rsidR="009F4900">
        <w:rPr>
          <w:rFonts w:ascii="Arial" w:hAnsi="Arial" w:cs="Arial"/>
          <w:bCs/>
          <w:sz w:val="22"/>
          <w:szCs w:val="22"/>
        </w:rPr>
        <w:fldChar w:fldCharType="begin" w:fldLock="1"/>
      </w:r>
      <w:r w:rsidR="00FE7C39">
        <w:rPr>
          <w:rFonts w:ascii="Arial" w:hAnsi="Arial" w:cs="Arial"/>
          <w:bCs/>
          <w:sz w:val="22"/>
          <w:szCs w:val="22"/>
        </w:rPr>
        <w:instrText xml:space="preserve">ADDIN CSL_CITATION {"citationItems":[{"id":"ITEM-1","itemData":{"DOI":"10.1093/jac/dky481","ISSN":"0305-7453","PMID":"30535366","abstract":"Background There are limited data on the pharmacogenetics and pharmacokinetics of the CNS penetration of efavirenz. Objectives We investigated genetic polymorphisms associated with CSF concentrations of efavirenz and its metabolites and explored the relationships with neurocognitive performance. Methods We included 47 HIV-infected South African black adults with and without HIV-associated neurocognitive disorder on efavirenz/tenofovir/emtricitabine and collected paired plasma-CSF samples. We considered 2049 SNPs, including SNPs known to affect plasma efavirenz exposure, from potentially relevant genes (ABCC5, ABCG2, ABCB1, SLCO2B1, SCLO1A2, ABCC4, CYP2B6 and CYP2A6) and 880 met a linkage disequilibrium (LD)-pruning threshold. Results We identified 9 slow, 21 intermediate and 17 extensive metabolizers. The CYP2B6 983 genotype in multivariate analyses predicted log10-transformed concentrations of plasma efavirenz (β = 0.38, P = 2.7 × 10-03), plasma 7-hydroxy-efavirenz (β = 0.59, P = 3.7 × 10-03), plasma 8-hydroxy-efavirenz:efavirenz ratio (β = -0.31, P = 1.8 × 10-04) and CSF efavirenz (β = 0.36, P = 0.01). Lower plasma </w:instrText>
      </w:r>
      <w:r w:rsidR="00FE7C39">
        <w:rPr>
          <w:rFonts w:ascii="Arial" w:hAnsi="Arial" w:cs="Arial" w:hint="eastAsia"/>
          <w:bCs/>
          <w:sz w:val="22"/>
          <w:szCs w:val="22"/>
        </w:rPr>
        <w:instrText>7-hydroxy-efavirenz concentrations were independently associated with CYP2A6 rs10853742 (</w:instrText>
      </w:r>
      <w:r w:rsidR="00FE7C39">
        <w:rPr>
          <w:rFonts w:ascii="Arial" w:hAnsi="Arial" w:cs="Arial" w:hint="eastAsia"/>
          <w:bCs/>
          <w:sz w:val="22"/>
          <w:szCs w:val="22"/>
        </w:rPr>
        <w:instrText>β</w:instrText>
      </w:r>
      <w:r w:rsidR="00FE7C39">
        <w:rPr>
          <w:rFonts w:ascii="Arial" w:hAnsi="Arial" w:cs="Arial" w:hint="eastAsia"/>
          <w:bCs/>
          <w:sz w:val="22"/>
          <w:szCs w:val="22"/>
        </w:rPr>
        <w:instrText xml:space="preserve"> = -0.55, P = 3.5 </w:instrText>
      </w:r>
      <w:r w:rsidR="00FE7C39">
        <w:rPr>
          <w:rFonts w:ascii="Arial" w:hAnsi="Arial" w:cs="Arial" w:hint="eastAsia"/>
          <w:bCs/>
          <w:sz w:val="22"/>
          <w:szCs w:val="22"/>
        </w:rPr>
        <w:instrText>×</w:instrText>
      </w:r>
      <w:r w:rsidR="00FE7C39">
        <w:rPr>
          <w:rFonts w:ascii="Arial" w:hAnsi="Arial" w:cs="Arial" w:hint="eastAsia"/>
          <w:bCs/>
          <w:sz w:val="22"/>
          <w:szCs w:val="22"/>
        </w:rPr>
        <w:instrText xml:space="preserve"> 10-05), ABCB1 rs115780656 (</w:instrText>
      </w:r>
      <w:r w:rsidR="00FE7C39">
        <w:rPr>
          <w:rFonts w:ascii="Arial" w:hAnsi="Arial" w:cs="Arial" w:hint="eastAsia"/>
          <w:bCs/>
          <w:sz w:val="22"/>
          <w:szCs w:val="22"/>
        </w:rPr>
        <w:instrText>β</w:instrText>
      </w:r>
      <w:r w:rsidR="00FE7C39">
        <w:rPr>
          <w:rFonts w:ascii="Arial" w:hAnsi="Arial" w:cs="Arial" w:hint="eastAsia"/>
          <w:bCs/>
          <w:sz w:val="22"/>
          <w:szCs w:val="22"/>
        </w:rPr>
        <w:instrText xml:space="preserve"> = -0.65, P = 4.1 </w:instrText>
      </w:r>
      <w:r w:rsidR="00FE7C39">
        <w:rPr>
          <w:rFonts w:ascii="Arial" w:hAnsi="Arial" w:cs="Arial" w:hint="eastAsia"/>
          <w:bCs/>
          <w:sz w:val="22"/>
          <w:szCs w:val="22"/>
        </w:rPr>
        <w:instrText>×</w:instrText>
      </w:r>
      <w:r w:rsidR="00FE7C39">
        <w:rPr>
          <w:rFonts w:ascii="Arial" w:hAnsi="Arial" w:cs="Arial" w:hint="eastAsia"/>
          <w:bCs/>
          <w:sz w:val="22"/>
          <w:szCs w:val="22"/>
        </w:rPr>
        <w:instrText xml:space="preserve"> 10-05) and CYP2A6 -48A</w:instrText>
      </w:r>
      <w:r w:rsidR="00FE7C39">
        <w:rPr>
          <w:rFonts w:ascii="Arial" w:hAnsi="Arial" w:cs="Arial" w:hint="eastAsia"/>
          <w:bCs/>
          <w:sz w:val="22"/>
          <w:szCs w:val="22"/>
        </w:rPr>
        <w:instrText>→</w:instrText>
      </w:r>
      <w:r w:rsidR="00FE7C39">
        <w:rPr>
          <w:rFonts w:ascii="Arial" w:hAnsi="Arial" w:cs="Arial" w:hint="eastAsia"/>
          <w:bCs/>
          <w:sz w:val="22"/>
          <w:szCs w:val="22"/>
        </w:rPr>
        <w:instrText>C (</w:instrText>
      </w:r>
      <w:r w:rsidR="00FE7C39">
        <w:rPr>
          <w:rFonts w:ascii="Arial" w:hAnsi="Arial" w:cs="Arial" w:hint="eastAsia"/>
          <w:bCs/>
          <w:sz w:val="22"/>
          <w:szCs w:val="22"/>
        </w:rPr>
        <w:instrText>β</w:instrText>
      </w:r>
      <w:r w:rsidR="00FE7C39">
        <w:rPr>
          <w:rFonts w:ascii="Arial" w:hAnsi="Arial" w:cs="Arial" w:hint="eastAsia"/>
          <w:bCs/>
          <w:sz w:val="22"/>
          <w:szCs w:val="22"/>
        </w:rPr>
        <w:instrText xml:space="preserve"> = -0.59, P = 0.01). CYP2A6 -48A</w:instrText>
      </w:r>
      <w:r w:rsidR="00FE7C39">
        <w:rPr>
          <w:rFonts w:ascii="Arial" w:hAnsi="Arial" w:cs="Arial" w:hint="eastAsia"/>
          <w:bCs/>
          <w:sz w:val="22"/>
          <w:szCs w:val="22"/>
        </w:rPr>
        <w:instrText>→</w:instrText>
      </w:r>
      <w:r w:rsidR="00FE7C39">
        <w:rPr>
          <w:rFonts w:ascii="Arial" w:hAnsi="Arial" w:cs="Arial" w:hint="eastAsia"/>
          <w:bCs/>
          <w:sz w:val="22"/>
          <w:szCs w:val="22"/>
        </w:rPr>
        <w:instrText>C was independently associated with h</w:instrText>
      </w:r>
      <w:r w:rsidR="00FE7C39">
        <w:rPr>
          <w:rFonts w:ascii="Arial" w:hAnsi="Arial" w:cs="Arial"/>
          <w:bCs/>
          <w:sz w:val="22"/>
          <w:szCs w:val="22"/>
        </w:rPr>
        <w:instrText>igher CSF 8-hydroxy-efavirenz:efavirenz ratio (β = 0.54, P = 0.048). CYP2B6 rs2279345 polymorphism was associated with lower plasma 7-hydroxy-efavirenz:efavirenz ratio in multivariate analyses (P &lt; 0.05). No polymorphisms were associated with CSF:plasma ratios of efavirenz, plasma or CSF concentrations of 8-hydroxy-efavirenz or neurocognitive performance. Conclusions We identified novel genetic associations with plasma efavirenz, plasma 7-hydroxy-efavirenz, plasma 7-hydroxy-efavirenz:efavirenz ratio, plasma 8-hydroxy-efavirenz:efavirenz ratio, CSF efavirenz and CSF 8-hydroxy-efavirenz:efavirenz ratio.","author":[{"dropping-particle":"","family":"Decloedt","given":"Eric","non-dropping-particle":"","parse-names":false,"suffix":""},{"dropping-particle":"","family":"Joska","given":"John A","non-dropping-particle":"","parse-names":false,"suffix":""},{"dropping-particle":"","family":"Wiesner","given":"Lubbe","non-dropping-particle":"","parse-names":false,"suffix":""},{"dropping-particle":"","family":"Khoo","given":"Saye","non-dropping-particle":"","parse-names":false,"suffix":""},{"dropping-particle":"","family":"Maartens","given":"Gary","non-dropping-particle":"","parse-names":false,"suffix":""},{"dropping-particle":"","family":"Zyl","given":"Gert U","non-dropping-particle":"van","parse-names":false,"suffix":""},{"dropping-particle":"","family":"Haas","given":"David W","non-dropping-particle":"","parse-names":false,"suffix":""},{"dropping-particle":"","family":"Sinxadi","given":"Phumla Z","non-dropping-particle":"","parse-names":false,"suffix":""}],"container-title":"Journal of Antimicrobial Chemotherapy","id":"ITEM-1","issued":{"date-parts":[["2019"]]},"title":"Pharmacogenetics and pharmacokinetics of CNS penetration of efavirenz and its metabolites","type":"article-journal"},"uris":["http://www.mendeley.com/documents/?uuid=7641d8bb-6824-4291-8906-e9e984ef05fc"]}],"mendeley":{"formattedCitation":"&lt;sup&gt;19&lt;/sup&gt;","plainTextFormattedCitation":"19","previouslyFormattedCitation":"&lt;sup&gt;20&lt;/sup&gt;"},"properties":{"noteIndex":0},"schema":"https://github.com/citation-style-language/schema/raw/master/csl-citation.json"}</w:instrText>
      </w:r>
      <w:r w:rsidR="009F4900">
        <w:rPr>
          <w:rFonts w:ascii="Arial" w:hAnsi="Arial" w:cs="Arial"/>
          <w:bCs/>
          <w:sz w:val="22"/>
          <w:szCs w:val="22"/>
        </w:rPr>
        <w:fldChar w:fldCharType="separate"/>
      </w:r>
      <w:r w:rsidR="00FE7C39" w:rsidRPr="00FE7C39">
        <w:rPr>
          <w:rFonts w:ascii="Arial" w:hAnsi="Arial" w:cs="Arial"/>
          <w:bCs/>
          <w:noProof/>
          <w:sz w:val="22"/>
          <w:szCs w:val="22"/>
          <w:vertAlign w:val="superscript"/>
        </w:rPr>
        <w:t>19</w:t>
      </w:r>
      <w:r w:rsidR="009F4900">
        <w:rPr>
          <w:rFonts w:ascii="Arial" w:hAnsi="Arial" w:cs="Arial"/>
          <w:bCs/>
          <w:sz w:val="22"/>
          <w:szCs w:val="22"/>
        </w:rPr>
        <w:fldChar w:fldCharType="end"/>
      </w:r>
      <w:r w:rsidR="006C5CD1" w:rsidRPr="00A02A41">
        <w:rPr>
          <w:rFonts w:ascii="Arial" w:hAnsi="Arial" w:cs="Arial"/>
          <w:bCs/>
          <w:sz w:val="22"/>
          <w:szCs w:val="22"/>
        </w:rPr>
        <w:t xml:space="preserve">. </w:t>
      </w:r>
      <w:r w:rsidR="0059779C">
        <w:rPr>
          <w:rFonts w:ascii="Arial" w:hAnsi="Arial" w:cs="Arial"/>
          <w:bCs/>
          <w:sz w:val="22"/>
          <w:szCs w:val="22"/>
        </w:rPr>
        <w:t>Lower EFV and</w:t>
      </w:r>
      <w:r w:rsidR="00F029FF" w:rsidRPr="00FE7C39">
        <w:rPr>
          <w:rFonts w:ascii="Arial" w:hAnsi="Arial" w:cs="Arial"/>
          <w:bCs/>
          <w:sz w:val="22"/>
          <w:szCs w:val="22"/>
        </w:rPr>
        <w:t xml:space="preserve"> 8-OH-EFV </w:t>
      </w:r>
      <w:r w:rsidR="0059779C">
        <w:rPr>
          <w:rFonts w:ascii="Arial" w:hAnsi="Arial" w:cs="Arial"/>
          <w:bCs/>
          <w:sz w:val="22"/>
          <w:szCs w:val="22"/>
        </w:rPr>
        <w:t xml:space="preserve">concentrations in our </w:t>
      </w:r>
      <w:r w:rsidR="00155C46">
        <w:rPr>
          <w:rFonts w:ascii="Arial" w:hAnsi="Arial" w:cs="Arial"/>
          <w:bCs/>
          <w:sz w:val="22"/>
          <w:szCs w:val="22"/>
        </w:rPr>
        <w:t xml:space="preserve">obese participants </w:t>
      </w:r>
      <w:r w:rsidR="00F029FF" w:rsidRPr="00FE7C39">
        <w:rPr>
          <w:rFonts w:ascii="Arial" w:hAnsi="Arial" w:cs="Arial"/>
          <w:bCs/>
          <w:sz w:val="22"/>
          <w:szCs w:val="22"/>
        </w:rPr>
        <w:t xml:space="preserve">argue </w:t>
      </w:r>
      <w:r w:rsidR="00D874BB">
        <w:rPr>
          <w:rFonts w:ascii="Arial" w:hAnsi="Arial" w:cs="Arial"/>
          <w:bCs/>
          <w:sz w:val="22"/>
          <w:szCs w:val="22"/>
        </w:rPr>
        <w:t xml:space="preserve">in support that </w:t>
      </w:r>
      <w:r w:rsidR="00FE272F">
        <w:rPr>
          <w:rFonts w:ascii="Arial" w:hAnsi="Arial" w:cs="Arial"/>
          <w:bCs/>
          <w:sz w:val="22"/>
          <w:szCs w:val="22"/>
        </w:rPr>
        <w:t>low</w:t>
      </w:r>
      <w:r w:rsidR="00874184">
        <w:rPr>
          <w:rFonts w:ascii="Arial" w:hAnsi="Arial" w:cs="Arial"/>
          <w:bCs/>
          <w:sz w:val="22"/>
          <w:szCs w:val="22"/>
        </w:rPr>
        <w:t>er</w:t>
      </w:r>
      <w:r w:rsidR="00F029FF" w:rsidRPr="00FE7C39">
        <w:rPr>
          <w:rFonts w:ascii="Arial" w:hAnsi="Arial" w:cs="Arial"/>
          <w:bCs/>
          <w:sz w:val="22"/>
          <w:szCs w:val="22"/>
        </w:rPr>
        <w:t xml:space="preserve"> EFV </w:t>
      </w:r>
      <w:r w:rsidR="00FE272F">
        <w:rPr>
          <w:rFonts w:ascii="Arial" w:hAnsi="Arial" w:cs="Arial"/>
          <w:bCs/>
          <w:sz w:val="22"/>
          <w:szCs w:val="22"/>
        </w:rPr>
        <w:t xml:space="preserve">concentrations </w:t>
      </w:r>
      <w:r w:rsidR="00874184">
        <w:rPr>
          <w:rFonts w:ascii="Arial" w:hAnsi="Arial" w:cs="Arial"/>
          <w:bCs/>
          <w:sz w:val="22"/>
          <w:szCs w:val="22"/>
        </w:rPr>
        <w:t xml:space="preserve">are protective against the off-target effects of </w:t>
      </w:r>
      <w:r w:rsidR="00B45D95">
        <w:rPr>
          <w:rFonts w:ascii="Arial" w:hAnsi="Arial" w:cs="Arial"/>
          <w:bCs/>
          <w:sz w:val="22"/>
          <w:szCs w:val="22"/>
        </w:rPr>
        <w:t xml:space="preserve">higher </w:t>
      </w:r>
      <w:r w:rsidR="00874184">
        <w:rPr>
          <w:rFonts w:ascii="Arial" w:hAnsi="Arial" w:cs="Arial"/>
          <w:bCs/>
          <w:sz w:val="22"/>
          <w:szCs w:val="22"/>
        </w:rPr>
        <w:t>EFV i</w:t>
      </w:r>
      <w:r w:rsidR="000725C0">
        <w:rPr>
          <w:rFonts w:ascii="Arial" w:hAnsi="Arial" w:cs="Arial"/>
          <w:bCs/>
          <w:sz w:val="22"/>
          <w:szCs w:val="22"/>
        </w:rPr>
        <w:t xml:space="preserve">mpairing </w:t>
      </w:r>
      <w:r w:rsidR="00874184">
        <w:rPr>
          <w:rFonts w:ascii="Arial" w:hAnsi="Arial" w:cs="Arial"/>
          <w:bCs/>
          <w:sz w:val="22"/>
          <w:szCs w:val="22"/>
        </w:rPr>
        <w:t>weight gain</w:t>
      </w:r>
      <w:r w:rsidR="006A6F24">
        <w:rPr>
          <w:rFonts w:ascii="Arial" w:hAnsi="Arial" w:cs="Arial"/>
          <w:bCs/>
          <w:sz w:val="22"/>
          <w:szCs w:val="22"/>
        </w:rPr>
        <w:t xml:space="preserve">. </w:t>
      </w:r>
    </w:p>
    <w:p w14:paraId="021AC8D7" w14:textId="05B31BB6" w:rsidR="004F5D4C" w:rsidRDefault="004F5D4C" w:rsidP="00292D0F">
      <w:pPr>
        <w:spacing w:line="480" w:lineRule="auto"/>
        <w:jc w:val="both"/>
        <w:outlineLvl w:val="0"/>
        <w:rPr>
          <w:rFonts w:ascii="Arial" w:hAnsi="Arial" w:cs="Arial"/>
          <w:bCs/>
          <w:sz w:val="22"/>
          <w:szCs w:val="22"/>
        </w:rPr>
      </w:pPr>
    </w:p>
    <w:p w14:paraId="472B57A9" w14:textId="458A8152" w:rsidR="00A40187" w:rsidRDefault="00EC361D" w:rsidP="00292D0F">
      <w:pPr>
        <w:spacing w:line="480" w:lineRule="auto"/>
        <w:jc w:val="both"/>
        <w:outlineLvl w:val="0"/>
        <w:rPr>
          <w:rFonts w:ascii="Arial" w:hAnsi="Arial" w:cs="Arial"/>
          <w:bCs/>
          <w:sz w:val="22"/>
          <w:szCs w:val="22"/>
        </w:rPr>
      </w:pPr>
      <w:r>
        <w:rPr>
          <w:rFonts w:ascii="Arial" w:hAnsi="Arial" w:cs="Arial"/>
          <w:bCs/>
          <w:sz w:val="22"/>
          <w:szCs w:val="22"/>
        </w:rPr>
        <w:t>Our</w:t>
      </w:r>
      <w:r w:rsidR="00097876">
        <w:rPr>
          <w:rFonts w:ascii="Arial" w:hAnsi="Arial" w:cs="Arial"/>
          <w:bCs/>
          <w:sz w:val="22"/>
          <w:szCs w:val="22"/>
        </w:rPr>
        <w:t xml:space="preserve"> study has </w:t>
      </w:r>
      <w:proofErr w:type="gramStart"/>
      <w:r>
        <w:rPr>
          <w:rFonts w:ascii="Arial" w:hAnsi="Arial" w:cs="Arial"/>
          <w:bCs/>
          <w:sz w:val="22"/>
          <w:szCs w:val="22"/>
        </w:rPr>
        <w:t>a number of</w:t>
      </w:r>
      <w:proofErr w:type="gramEnd"/>
      <w:r w:rsidR="00097876">
        <w:rPr>
          <w:rFonts w:ascii="Arial" w:hAnsi="Arial" w:cs="Arial"/>
          <w:bCs/>
          <w:sz w:val="22"/>
          <w:szCs w:val="22"/>
        </w:rPr>
        <w:t xml:space="preserve"> limitations. </w:t>
      </w:r>
      <w:r w:rsidR="000529F1">
        <w:rPr>
          <w:rFonts w:ascii="Arial" w:hAnsi="Arial" w:cs="Arial"/>
          <w:bCs/>
          <w:sz w:val="22"/>
          <w:szCs w:val="22"/>
        </w:rPr>
        <w:t>First,</w:t>
      </w:r>
      <w:r w:rsidR="00231DB7">
        <w:rPr>
          <w:rFonts w:ascii="Arial" w:hAnsi="Arial" w:cs="Arial"/>
          <w:bCs/>
          <w:sz w:val="22"/>
          <w:szCs w:val="22"/>
        </w:rPr>
        <w:t xml:space="preserve"> the assays done in this study were done in </w:t>
      </w:r>
      <w:r w:rsidR="00684914">
        <w:rPr>
          <w:rFonts w:ascii="Arial" w:hAnsi="Arial" w:cs="Arial"/>
          <w:bCs/>
          <w:sz w:val="22"/>
          <w:szCs w:val="22"/>
        </w:rPr>
        <w:t>three</w:t>
      </w:r>
      <w:r w:rsidR="00231DB7">
        <w:rPr>
          <w:rFonts w:ascii="Arial" w:hAnsi="Arial" w:cs="Arial"/>
          <w:bCs/>
          <w:sz w:val="22"/>
          <w:szCs w:val="22"/>
        </w:rPr>
        <w:t xml:space="preserve"> </w:t>
      </w:r>
      <w:r w:rsidR="00684914">
        <w:rPr>
          <w:rFonts w:ascii="Arial" w:hAnsi="Arial" w:cs="Arial"/>
          <w:bCs/>
          <w:sz w:val="22"/>
          <w:szCs w:val="22"/>
        </w:rPr>
        <w:t>different</w:t>
      </w:r>
      <w:r w:rsidR="00231DB7">
        <w:rPr>
          <w:rFonts w:ascii="Arial" w:hAnsi="Arial" w:cs="Arial"/>
          <w:bCs/>
          <w:sz w:val="22"/>
          <w:szCs w:val="22"/>
        </w:rPr>
        <w:t xml:space="preserve"> laboratories. Second,</w:t>
      </w:r>
      <w:r w:rsidR="000529F1">
        <w:rPr>
          <w:rFonts w:ascii="Arial" w:hAnsi="Arial" w:cs="Arial"/>
          <w:bCs/>
          <w:sz w:val="22"/>
          <w:szCs w:val="22"/>
        </w:rPr>
        <w:t xml:space="preserve"> our sample size may have been limited to detect a significant effect size f</w:t>
      </w:r>
      <w:r w:rsidR="00D504D8">
        <w:rPr>
          <w:rFonts w:ascii="Arial" w:hAnsi="Arial" w:cs="Arial"/>
          <w:bCs/>
          <w:sz w:val="22"/>
          <w:szCs w:val="22"/>
        </w:rPr>
        <w:t xml:space="preserve">or all the measures of obesity. </w:t>
      </w:r>
      <w:r w:rsidR="00231DB7">
        <w:rPr>
          <w:rFonts w:ascii="Arial" w:hAnsi="Arial" w:cs="Arial"/>
          <w:bCs/>
          <w:sz w:val="22"/>
          <w:szCs w:val="22"/>
        </w:rPr>
        <w:t>Third</w:t>
      </w:r>
      <w:r w:rsidR="00D504D8">
        <w:rPr>
          <w:rFonts w:ascii="Arial" w:hAnsi="Arial" w:cs="Arial"/>
          <w:bCs/>
          <w:sz w:val="22"/>
          <w:szCs w:val="22"/>
        </w:rPr>
        <w:t xml:space="preserve">, we did not have a robust measure of adherence. An unexpected finding was the large number of participants considered to be non-adherent from the community based </w:t>
      </w:r>
      <w:proofErr w:type="spellStart"/>
      <w:r w:rsidR="00D504D8">
        <w:rPr>
          <w:rFonts w:ascii="Arial" w:hAnsi="Arial" w:cs="Arial"/>
          <w:bCs/>
          <w:sz w:val="22"/>
          <w:szCs w:val="22"/>
        </w:rPr>
        <w:t>EndoAfrica</w:t>
      </w:r>
      <w:proofErr w:type="spellEnd"/>
      <w:r w:rsidR="00D504D8">
        <w:rPr>
          <w:rFonts w:ascii="Arial" w:hAnsi="Arial" w:cs="Arial"/>
          <w:bCs/>
          <w:sz w:val="22"/>
          <w:szCs w:val="22"/>
        </w:rPr>
        <w:t xml:space="preserve"> cohort with undetectable antiretroviral concentrations. </w:t>
      </w:r>
      <w:r w:rsidR="00231DB7">
        <w:rPr>
          <w:rFonts w:ascii="Arial" w:hAnsi="Arial" w:cs="Arial"/>
          <w:bCs/>
          <w:sz w:val="22"/>
          <w:szCs w:val="22"/>
        </w:rPr>
        <w:t>Fourth</w:t>
      </w:r>
      <w:r w:rsidR="002F54E3">
        <w:rPr>
          <w:rFonts w:ascii="Arial" w:hAnsi="Arial" w:cs="Arial"/>
          <w:bCs/>
          <w:sz w:val="22"/>
          <w:szCs w:val="22"/>
        </w:rPr>
        <w:t xml:space="preserve">, we did not </w:t>
      </w:r>
      <w:r w:rsidR="006A6F24">
        <w:rPr>
          <w:rFonts w:ascii="Arial" w:hAnsi="Arial" w:cs="Arial"/>
          <w:bCs/>
          <w:sz w:val="22"/>
          <w:szCs w:val="22"/>
        </w:rPr>
        <w:t xml:space="preserve">determine </w:t>
      </w:r>
      <w:r w:rsidR="002F54E3" w:rsidRPr="00FE7C39">
        <w:rPr>
          <w:rFonts w:ascii="Arial" w:hAnsi="Arial" w:cs="Arial"/>
          <w:bCs/>
          <w:i/>
          <w:iCs/>
          <w:sz w:val="22"/>
          <w:szCs w:val="22"/>
        </w:rPr>
        <w:t>CYP2B6</w:t>
      </w:r>
      <w:r w:rsidR="002F54E3">
        <w:rPr>
          <w:rFonts w:ascii="Arial" w:hAnsi="Arial" w:cs="Arial"/>
          <w:bCs/>
          <w:sz w:val="22"/>
          <w:szCs w:val="22"/>
        </w:rPr>
        <w:t xml:space="preserve"> </w:t>
      </w:r>
      <w:proofErr w:type="spellStart"/>
      <w:r w:rsidR="002F54E3">
        <w:rPr>
          <w:rFonts w:ascii="Arial" w:hAnsi="Arial" w:cs="Arial"/>
          <w:bCs/>
          <w:sz w:val="22"/>
          <w:szCs w:val="22"/>
        </w:rPr>
        <w:t>metaboliser</w:t>
      </w:r>
      <w:proofErr w:type="spellEnd"/>
      <w:r w:rsidR="00886032">
        <w:rPr>
          <w:rFonts w:ascii="Arial" w:hAnsi="Arial" w:cs="Arial"/>
          <w:bCs/>
          <w:sz w:val="22"/>
          <w:szCs w:val="22"/>
        </w:rPr>
        <w:t xml:space="preserve"> status</w:t>
      </w:r>
      <w:r w:rsidR="002F54E3">
        <w:rPr>
          <w:rFonts w:ascii="Arial" w:hAnsi="Arial" w:cs="Arial"/>
          <w:bCs/>
          <w:sz w:val="22"/>
          <w:szCs w:val="22"/>
        </w:rPr>
        <w:t>, although we measured 8-OH-EFV concentrations.</w:t>
      </w:r>
      <w:r w:rsidR="00D504D8">
        <w:rPr>
          <w:rFonts w:ascii="Arial" w:hAnsi="Arial" w:cs="Arial"/>
          <w:bCs/>
          <w:sz w:val="22"/>
          <w:szCs w:val="22"/>
        </w:rPr>
        <w:t xml:space="preserve"> </w:t>
      </w:r>
      <w:r w:rsidR="008B7D9A">
        <w:rPr>
          <w:rFonts w:ascii="Arial" w:hAnsi="Arial" w:cs="Arial"/>
          <w:bCs/>
          <w:sz w:val="22"/>
          <w:szCs w:val="22"/>
        </w:rPr>
        <w:t xml:space="preserve">Lastly, mid-dosing interval measurement of TFV and FTC </w:t>
      </w:r>
      <w:r w:rsidR="00741D21">
        <w:rPr>
          <w:rFonts w:ascii="Arial" w:hAnsi="Arial" w:cs="Arial"/>
          <w:bCs/>
          <w:sz w:val="22"/>
          <w:szCs w:val="22"/>
        </w:rPr>
        <w:t xml:space="preserve">is prone to significant pharmacokinetic variability. Measuring </w:t>
      </w:r>
      <w:r w:rsidR="00EE0DE2">
        <w:rPr>
          <w:rFonts w:ascii="Arial" w:hAnsi="Arial" w:cs="Arial"/>
          <w:bCs/>
          <w:sz w:val="22"/>
          <w:szCs w:val="22"/>
        </w:rPr>
        <w:t>the minimum drug concentration before subsequent dosing (</w:t>
      </w:r>
      <w:proofErr w:type="spellStart"/>
      <w:r w:rsidR="00EE0DE2">
        <w:rPr>
          <w:rFonts w:ascii="Arial" w:hAnsi="Arial" w:cs="Arial"/>
          <w:bCs/>
          <w:sz w:val="22"/>
          <w:szCs w:val="22"/>
        </w:rPr>
        <w:t>C</w:t>
      </w:r>
      <w:r w:rsidR="00FC1CAF" w:rsidRPr="00FC1CAF">
        <w:rPr>
          <w:rFonts w:ascii="Arial" w:hAnsi="Arial" w:cs="Arial"/>
          <w:bCs/>
          <w:sz w:val="22"/>
          <w:szCs w:val="22"/>
          <w:vertAlign w:val="subscript"/>
        </w:rPr>
        <w:t>min</w:t>
      </w:r>
      <w:proofErr w:type="spellEnd"/>
      <w:r w:rsidR="00EE0DE2">
        <w:rPr>
          <w:rFonts w:ascii="Arial" w:hAnsi="Arial" w:cs="Arial"/>
          <w:bCs/>
          <w:sz w:val="22"/>
          <w:szCs w:val="22"/>
        </w:rPr>
        <w:t xml:space="preserve">) </w:t>
      </w:r>
      <w:r w:rsidR="00A40187">
        <w:rPr>
          <w:rFonts w:ascii="Arial" w:hAnsi="Arial" w:cs="Arial"/>
          <w:bCs/>
          <w:sz w:val="22"/>
          <w:szCs w:val="22"/>
        </w:rPr>
        <w:t>is a more</w:t>
      </w:r>
      <w:r w:rsidR="00741D21">
        <w:rPr>
          <w:rFonts w:ascii="Arial" w:hAnsi="Arial" w:cs="Arial"/>
          <w:bCs/>
          <w:sz w:val="22"/>
          <w:szCs w:val="22"/>
        </w:rPr>
        <w:t xml:space="preserve"> appropriate </w:t>
      </w:r>
      <w:r w:rsidR="00A40187">
        <w:rPr>
          <w:rFonts w:ascii="Arial" w:hAnsi="Arial" w:cs="Arial"/>
          <w:bCs/>
          <w:sz w:val="22"/>
          <w:szCs w:val="22"/>
        </w:rPr>
        <w:t xml:space="preserve">measure </w:t>
      </w:r>
      <w:r w:rsidR="00A40187">
        <w:rPr>
          <w:rFonts w:ascii="Arial" w:hAnsi="Arial" w:cs="Arial"/>
          <w:bCs/>
          <w:sz w:val="22"/>
          <w:szCs w:val="22"/>
        </w:rPr>
        <w:fldChar w:fldCharType="begin" w:fldLock="1"/>
      </w:r>
      <w:r w:rsidR="00FE7C39">
        <w:rPr>
          <w:rFonts w:ascii="Arial" w:hAnsi="Arial" w:cs="Arial"/>
          <w:bCs/>
          <w:sz w:val="22"/>
          <w:szCs w:val="22"/>
        </w:rPr>
        <w:instrText>ADDIN CSL_CITATION {"citationItems":[{"id":"ITEM-1","itemData":{"DOI":"10.1080/23744731.2018.1483148","ISSN":"2374-4731","author":[{"dropping-particle":"","family":"Haas","given":"David W","non-dropping-particle":"","parse-names":false,"suffix":""},{"dropping-particle":"","family":"Acosta","given":"Edward P","non-dropping-particle":"","parse-names":false,"suffix":""}],"container-title":"Clinical Infectious Diseases","id":"ITEM-1","issue":"0","issued":{"date-parts":[["2020"]]},"title":"Implications of Efavirenz Pharmacogenetics when Switching from Efavirenz- to Dolutegravir-containing Antiretroviral Regimens","type":"article-journal","volume":"0"},"uris":["http://www.mendeley.com/documents/?uuid=52922c81-e410-46f0-99d8-65a631f2b62b"]}],"mendeley":{"formattedCitation":"&lt;sup&gt;27&lt;/sup&gt;","plainTextFormattedCitation":"27","previouslyFormattedCitation":"&lt;sup&gt;28&lt;/sup&gt;"},"properties":{"noteIndex":0},"schema":"https://github.com/citation-style-language/schema/raw/master/csl-citation.json"}</w:instrText>
      </w:r>
      <w:r w:rsidR="00A40187">
        <w:rPr>
          <w:rFonts w:ascii="Arial" w:hAnsi="Arial" w:cs="Arial"/>
          <w:bCs/>
          <w:sz w:val="22"/>
          <w:szCs w:val="22"/>
        </w:rPr>
        <w:fldChar w:fldCharType="separate"/>
      </w:r>
      <w:r w:rsidR="00FE7C39" w:rsidRPr="00FE7C39">
        <w:rPr>
          <w:rFonts w:ascii="Arial" w:hAnsi="Arial" w:cs="Arial"/>
          <w:bCs/>
          <w:noProof/>
          <w:sz w:val="22"/>
          <w:szCs w:val="22"/>
          <w:vertAlign w:val="superscript"/>
        </w:rPr>
        <w:t>27</w:t>
      </w:r>
      <w:r w:rsidR="00A40187">
        <w:rPr>
          <w:rFonts w:ascii="Arial" w:hAnsi="Arial" w:cs="Arial"/>
          <w:bCs/>
          <w:sz w:val="22"/>
          <w:szCs w:val="22"/>
        </w:rPr>
        <w:fldChar w:fldCharType="end"/>
      </w:r>
      <w:r w:rsidR="00A40187">
        <w:rPr>
          <w:rFonts w:ascii="Arial" w:hAnsi="Arial" w:cs="Arial"/>
          <w:bCs/>
          <w:sz w:val="22"/>
          <w:szCs w:val="22"/>
        </w:rPr>
        <w:t xml:space="preserve">. </w:t>
      </w:r>
    </w:p>
    <w:p w14:paraId="3FEF6241" w14:textId="77777777" w:rsidR="00A40187" w:rsidRDefault="00A40187" w:rsidP="00292D0F">
      <w:pPr>
        <w:spacing w:line="480" w:lineRule="auto"/>
        <w:jc w:val="both"/>
        <w:outlineLvl w:val="0"/>
        <w:rPr>
          <w:rFonts w:ascii="Arial" w:hAnsi="Arial" w:cs="Arial"/>
          <w:bCs/>
          <w:sz w:val="22"/>
          <w:szCs w:val="22"/>
        </w:rPr>
      </w:pPr>
    </w:p>
    <w:p w14:paraId="1CF6ACC2" w14:textId="62833C87" w:rsidR="003E4380" w:rsidRDefault="0097092E" w:rsidP="00292D0F">
      <w:pPr>
        <w:spacing w:line="480" w:lineRule="auto"/>
        <w:jc w:val="both"/>
        <w:outlineLvl w:val="0"/>
        <w:rPr>
          <w:rFonts w:ascii="Arial" w:hAnsi="Arial" w:cs="Arial"/>
          <w:bCs/>
          <w:sz w:val="22"/>
          <w:szCs w:val="22"/>
        </w:rPr>
      </w:pPr>
      <w:r>
        <w:rPr>
          <w:rFonts w:ascii="Arial" w:hAnsi="Arial" w:cs="Arial"/>
          <w:bCs/>
          <w:sz w:val="22"/>
          <w:szCs w:val="22"/>
        </w:rPr>
        <w:t>In</w:t>
      </w:r>
      <w:r w:rsidR="00D853E4">
        <w:rPr>
          <w:rFonts w:ascii="Arial" w:hAnsi="Arial" w:cs="Arial"/>
          <w:bCs/>
          <w:sz w:val="22"/>
          <w:szCs w:val="22"/>
        </w:rPr>
        <w:t xml:space="preserve"> future research, we suggest that </w:t>
      </w:r>
      <w:r>
        <w:rPr>
          <w:rFonts w:ascii="Arial" w:hAnsi="Arial" w:cs="Arial"/>
          <w:bCs/>
          <w:sz w:val="22"/>
          <w:szCs w:val="22"/>
        </w:rPr>
        <w:t>WC</w:t>
      </w:r>
      <w:r w:rsidR="00D853E4">
        <w:rPr>
          <w:rFonts w:ascii="Arial" w:hAnsi="Arial" w:cs="Arial"/>
          <w:bCs/>
          <w:sz w:val="22"/>
          <w:szCs w:val="22"/>
        </w:rPr>
        <w:t xml:space="preserve"> </w:t>
      </w:r>
      <w:r>
        <w:rPr>
          <w:rFonts w:ascii="Arial" w:hAnsi="Arial" w:cs="Arial"/>
          <w:bCs/>
          <w:sz w:val="22"/>
          <w:szCs w:val="22"/>
        </w:rPr>
        <w:t xml:space="preserve">and WHR </w:t>
      </w:r>
      <w:r w:rsidR="00D853E4">
        <w:rPr>
          <w:rFonts w:ascii="Arial" w:hAnsi="Arial" w:cs="Arial"/>
          <w:bCs/>
          <w:sz w:val="22"/>
          <w:szCs w:val="22"/>
        </w:rPr>
        <w:t>be included as measure</w:t>
      </w:r>
      <w:r>
        <w:rPr>
          <w:rFonts w:ascii="Arial" w:hAnsi="Arial" w:cs="Arial"/>
          <w:bCs/>
          <w:sz w:val="22"/>
          <w:szCs w:val="22"/>
        </w:rPr>
        <w:t xml:space="preserve">s of obesity. </w:t>
      </w:r>
      <w:r w:rsidR="00D853E4">
        <w:rPr>
          <w:rFonts w:ascii="Arial" w:hAnsi="Arial" w:cs="Arial"/>
          <w:bCs/>
          <w:sz w:val="22"/>
          <w:szCs w:val="22"/>
        </w:rPr>
        <w:t xml:space="preserve"> </w:t>
      </w:r>
      <w:r w:rsidR="00174FD5">
        <w:rPr>
          <w:rFonts w:ascii="Arial" w:hAnsi="Arial" w:cs="Arial"/>
          <w:bCs/>
          <w:sz w:val="22"/>
          <w:szCs w:val="22"/>
        </w:rPr>
        <w:t>WC and WHR have been found to be a better measure of abdominal obesity than BMI</w:t>
      </w:r>
      <w:r w:rsidR="00E375AB">
        <w:rPr>
          <w:rFonts w:ascii="Arial" w:hAnsi="Arial" w:cs="Arial"/>
          <w:bCs/>
          <w:sz w:val="22"/>
          <w:szCs w:val="22"/>
        </w:rPr>
        <w:t>, with WC being preferred over BMI as a predictor of future cardiovascular events</w:t>
      </w:r>
      <w:r w:rsidR="00174FD5">
        <w:rPr>
          <w:rFonts w:ascii="Arial" w:hAnsi="Arial" w:cs="Arial"/>
          <w:bCs/>
          <w:sz w:val="22"/>
          <w:szCs w:val="22"/>
        </w:rPr>
        <w:t xml:space="preserve"> </w:t>
      </w:r>
      <w:r w:rsidR="00174FD5">
        <w:rPr>
          <w:rFonts w:ascii="Arial" w:hAnsi="Arial" w:cs="Arial"/>
          <w:bCs/>
          <w:sz w:val="22"/>
          <w:szCs w:val="22"/>
        </w:rPr>
        <w:fldChar w:fldCharType="begin" w:fldLock="1"/>
      </w:r>
      <w:r w:rsidR="00FE7C39">
        <w:rPr>
          <w:rFonts w:ascii="Arial" w:hAnsi="Arial" w:cs="Arial"/>
          <w:bCs/>
          <w:sz w:val="22"/>
          <w:szCs w:val="22"/>
        </w:rPr>
        <w:instrText>ADDIN CSL_CITATION {"citationItems":[{"id":"ITEM-1","itemData":{"DOI":"10.1016/S0140-6736(05)67642-8","ISSN":"01406736","author":[{"dropping-particle":"","family":"Kragelund","given":"Charlotte","non-dropping-particle":"","parse-names":false,"suffix":""},{"dropping-particle":"","family":"Omland","given":"Torbjørn","non-dropping-particle":"","parse-names":false,"suffix":""}],"container-title":"Lancet","id":"ITEM-1","issue":"9497","issued":{"date-parts":[["2005"]]},"page":"1589-1591","title":"A farewell to body-mass index?","type":"article-journal","volume":"366"},"uris":["http://www.mendeley.com/documents/?uuid=8c5aba94-b86f-4a2c-b254-76c6d2f7fbf9"]}],"mendeley":{"formattedCitation":"&lt;sup&gt;28&lt;/sup&gt;","plainTextFormattedCitation":"28","previouslyFormattedCitation":"&lt;sup&gt;29&lt;/sup&gt;"},"properties":{"noteIndex":0},"schema":"https://github.com/citation-style-language/schema/raw/master/csl-citation.json"}</w:instrText>
      </w:r>
      <w:r w:rsidR="00174FD5">
        <w:rPr>
          <w:rFonts w:ascii="Arial" w:hAnsi="Arial" w:cs="Arial"/>
          <w:bCs/>
          <w:sz w:val="22"/>
          <w:szCs w:val="22"/>
        </w:rPr>
        <w:fldChar w:fldCharType="separate"/>
      </w:r>
      <w:r w:rsidR="00FE7C39" w:rsidRPr="00FE7C39">
        <w:rPr>
          <w:rFonts w:ascii="Arial" w:hAnsi="Arial" w:cs="Arial"/>
          <w:bCs/>
          <w:noProof/>
          <w:sz w:val="22"/>
          <w:szCs w:val="22"/>
          <w:vertAlign w:val="superscript"/>
        </w:rPr>
        <w:t>28</w:t>
      </w:r>
      <w:r w:rsidR="00174FD5">
        <w:rPr>
          <w:rFonts w:ascii="Arial" w:hAnsi="Arial" w:cs="Arial"/>
          <w:bCs/>
          <w:sz w:val="22"/>
          <w:szCs w:val="22"/>
        </w:rPr>
        <w:fldChar w:fldCharType="end"/>
      </w:r>
      <w:r w:rsidR="00174FD5">
        <w:rPr>
          <w:rFonts w:ascii="Arial" w:hAnsi="Arial" w:cs="Arial"/>
          <w:bCs/>
          <w:sz w:val="22"/>
          <w:szCs w:val="22"/>
        </w:rPr>
        <w:t>. Furthermore, EFV</w:t>
      </w:r>
      <w:r w:rsidR="00174FD5" w:rsidRPr="00174FD5">
        <w:rPr>
          <w:rFonts w:ascii="Arial" w:hAnsi="Arial" w:cs="Arial"/>
          <w:bCs/>
          <w:sz w:val="22"/>
          <w:szCs w:val="22"/>
        </w:rPr>
        <w:t xml:space="preserve"> </w:t>
      </w:r>
      <w:r w:rsidR="00174FD5" w:rsidRPr="00FE7C39">
        <w:rPr>
          <w:rFonts w:ascii="Arial" w:hAnsi="Arial" w:cs="Arial"/>
          <w:bCs/>
          <w:i/>
          <w:iCs/>
          <w:sz w:val="22"/>
          <w:szCs w:val="22"/>
        </w:rPr>
        <w:t xml:space="preserve">CYP2B6 </w:t>
      </w:r>
      <w:proofErr w:type="spellStart"/>
      <w:r w:rsidR="00174FD5">
        <w:rPr>
          <w:rFonts w:ascii="Arial" w:hAnsi="Arial" w:cs="Arial"/>
          <w:bCs/>
          <w:sz w:val="22"/>
          <w:szCs w:val="22"/>
        </w:rPr>
        <w:t>metaboliser</w:t>
      </w:r>
      <w:proofErr w:type="spellEnd"/>
      <w:r w:rsidR="00174FD5">
        <w:rPr>
          <w:rFonts w:ascii="Arial" w:hAnsi="Arial" w:cs="Arial"/>
          <w:bCs/>
          <w:sz w:val="22"/>
          <w:szCs w:val="22"/>
        </w:rPr>
        <w:t xml:space="preserve"> </w:t>
      </w:r>
      <w:r w:rsidR="00886032">
        <w:rPr>
          <w:rFonts w:ascii="Arial" w:hAnsi="Arial" w:cs="Arial"/>
          <w:bCs/>
          <w:sz w:val="22"/>
          <w:szCs w:val="22"/>
        </w:rPr>
        <w:t xml:space="preserve">status </w:t>
      </w:r>
      <w:r w:rsidR="002F54E3">
        <w:rPr>
          <w:rFonts w:ascii="Arial" w:hAnsi="Arial" w:cs="Arial"/>
          <w:bCs/>
          <w:sz w:val="22"/>
          <w:szCs w:val="22"/>
        </w:rPr>
        <w:t xml:space="preserve">should be assessed when assessing EFV </w:t>
      </w:r>
      <w:r w:rsidR="00D853E4">
        <w:rPr>
          <w:rFonts w:ascii="Arial" w:hAnsi="Arial" w:cs="Arial"/>
          <w:bCs/>
          <w:sz w:val="22"/>
          <w:szCs w:val="22"/>
        </w:rPr>
        <w:t>pharmacokinetics</w:t>
      </w:r>
      <w:r w:rsidR="002F54E3">
        <w:rPr>
          <w:rFonts w:ascii="Arial" w:hAnsi="Arial" w:cs="Arial"/>
          <w:bCs/>
          <w:sz w:val="22"/>
          <w:szCs w:val="22"/>
        </w:rPr>
        <w:t xml:space="preserve"> in obesity. </w:t>
      </w:r>
    </w:p>
    <w:p w14:paraId="7EDC163D" w14:textId="57CE10B7" w:rsidR="00A40187" w:rsidRDefault="00A40187" w:rsidP="00292D0F">
      <w:pPr>
        <w:spacing w:line="480" w:lineRule="auto"/>
        <w:jc w:val="both"/>
        <w:outlineLvl w:val="0"/>
        <w:rPr>
          <w:rFonts w:ascii="Arial" w:hAnsi="Arial" w:cs="Arial"/>
          <w:bCs/>
          <w:sz w:val="22"/>
          <w:szCs w:val="22"/>
        </w:rPr>
      </w:pPr>
    </w:p>
    <w:p w14:paraId="17641220" w14:textId="539BA538" w:rsidR="00A40187" w:rsidRDefault="00A40187" w:rsidP="00D73094">
      <w:pPr>
        <w:spacing w:line="480" w:lineRule="auto"/>
        <w:jc w:val="both"/>
        <w:rPr>
          <w:rFonts w:ascii="Arial" w:hAnsi="Arial" w:cs="Arial"/>
          <w:bCs/>
          <w:sz w:val="22"/>
          <w:szCs w:val="22"/>
        </w:rPr>
      </w:pPr>
      <w:r>
        <w:rPr>
          <w:rFonts w:ascii="Arial" w:hAnsi="Arial" w:cs="Arial"/>
          <w:bCs/>
          <w:sz w:val="22"/>
          <w:szCs w:val="22"/>
        </w:rPr>
        <w:t xml:space="preserve">In summary, we found that concentrations of </w:t>
      </w:r>
      <w:r w:rsidR="003B67BB">
        <w:rPr>
          <w:rFonts w:ascii="Arial" w:hAnsi="Arial" w:cs="Arial"/>
          <w:bCs/>
          <w:iCs/>
          <w:sz w:val="22"/>
          <w:szCs w:val="22"/>
        </w:rPr>
        <w:t>EFV, TFV and FTC</w:t>
      </w:r>
      <w:r>
        <w:rPr>
          <w:rFonts w:ascii="Arial" w:hAnsi="Arial" w:cs="Arial"/>
          <w:bCs/>
          <w:sz w:val="22"/>
          <w:szCs w:val="22"/>
        </w:rPr>
        <w:t xml:space="preserve"> </w:t>
      </w:r>
      <w:r w:rsidR="00FC1CAF">
        <w:rPr>
          <w:rFonts w:ascii="Arial" w:hAnsi="Arial" w:cs="Arial"/>
          <w:bCs/>
          <w:sz w:val="22"/>
          <w:szCs w:val="22"/>
        </w:rPr>
        <w:t>were</w:t>
      </w:r>
      <w:r>
        <w:rPr>
          <w:rFonts w:ascii="Arial" w:hAnsi="Arial" w:cs="Arial"/>
          <w:bCs/>
          <w:sz w:val="22"/>
          <w:szCs w:val="22"/>
        </w:rPr>
        <w:t xml:space="preserve"> lower i</w:t>
      </w:r>
      <w:r w:rsidR="00FC1CAF">
        <w:rPr>
          <w:rFonts w:ascii="Arial" w:hAnsi="Arial" w:cs="Arial"/>
          <w:bCs/>
          <w:sz w:val="22"/>
          <w:szCs w:val="22"/>
        </w:rPr>
        <w:t>n</w:t>
      </w:r>
      <w:r>
        <w:rPr>
          <w:rFonts w:ascii="Arial" w:hAnsi="Arial" w:cs="Arial"/>
          <w:bCs/>
          <w:sz w:val="22"/>
          <w:szCs w:val="22"/>
        </w:rPr>
        <w:t xml:space="preserve"> obese </w:t>
      </w:r>
      <w:r w:rsidR="00FC1CAF" w:rsidRPr="0024514A">
        <w:rPr>
          <w:rFonts w:ascii="Arial" w:hAnsi="Arial" w:cs="Arial"/>
          <w:bCs/>
          <w:sz w:val="22"/>
          <w:szCs w:val="22"/>
        </w:rPr>
        <w:t>participants</w:t>
      </w:r>
      <w:r w:rsidR="00FF05BA" w:rsidRPr="0024514A">
        <w:rPr>
          <w:rFonts w:ascii="Arial" w:hAnsi="Arial" w:cs="Arial"/>
          <w:bCs/>
          <w:sz w:val="22"/>
          <w:szCs w:val="22"/>
        </w:rPr>
        <w:t>. T</w:t>
      </w:r>
      <w:r w:rsidR="00D73094" w:rsidRPr="0024514A">
        <w:rPr>
          <w:rFonts w:ascii="Arial" w:hAnsi="Arial" w:cs="Arial"/>
          <w:bCs/>
          <w:sz w:val="22"/>
          <w:szCs w:val="22"/>
        </w:rPr>
        <w:t xml:space="preserve">he differences were most striking in participants with </w:t>
      </w:r>
      <w:r w:rsidR="00FF05BA" w:rsidRPr="0024514A">
        <w:rPr>
          <w:rFonts w:ascii="Arial" w:hAnsi="Arial" w:cs="Arial"/>
          <w:bCs/>
          <w:sz w:val="22"/>
          <w:szCs w:val="22"/>
        </w:rPr>
        <w:t xml:space="preserve">abdominal </w:t>
      </w:r>
      <w:r w:rsidR="00D73094" w:rsidRPr="0024514A">
        <w:rPr>
          <w:rFonts w:ascii="Arial" w:hAnsi="Arial" w:cs="Arial"/>
          <w:bCs/>
          <w:sz w:val="22"/>
          <w:szCs w:val="22"/>
        </w:rPr>
        <w:t xml:space="preserve">obesity determined by increased waist circumference. </w:t>
      </w:r>
      <w:r w:rsidR="00D73094" w:rsidRPr="00721F53">
        <w:rPr>
          <w:rFonts w:ascii="Arial" w:hAnsi="Arial" w:cs="Arial"/>
          <w:bCs/>
          <w:iCs/>
          <w:sz w:val="22"/>
          <w:szCs w:val="22"/>
        </w:rPr>
        <w:t xml:space="preserve">Eight-OH-EFV </w:t>
      </w:r>
      <w:r w:rsidR="00D73094" w:rsidRPr="00721F53">
        <w:rPr>
          <w:rFonts w:ascii="Arial" w:hAnsi="Arial" w:cs="Arial"/>
          <w:bCs/>
          <w:sz w:val="22"/>
          <w:szCs w:val="22"/>
        </w:rPr>
        <w:t xml:space="preserve">concentrations were not strikingly different between obese and non-obese </w:t>
      </w:r>
      <w:r w:rsidR="00D73094" w:rsidRPr="0024514A">
        <w:rPr>
          <w:rFonts w:ascii="Arial" w:hAnsi="Arial" w:cs="Arial"/>
          <w:bCs/>
          <w:sz w:val="22"/>
          <w:szCs w:val="22"/>
        </w:rPr>
        <w:t>participants. The clinical relevance of lower concentrations is not clear as there w</w:t>
      </w:r>
      <w:r w:rsidR="0024514A" w:rsidRPr="0024514A">
        <w:rPr>
          <w:rFonts w:ascii="Arial" w:hAnsi="Arial" w:cs="Arial"/>
          <w:bCs/>
          <w:sz w:val="22"/>
          <w:szCs w:val="22"/>
        </w:rPr>
        <w:t>ere</w:t>
      </w:r>
      <w:r w:rsidR="00D73094" w:rsidRPr="00721F53">
        <w:rPr>
          <w:rFonts w:ascii="Arial" w:hAnsi="Arial" w:cs="Arial"/>
          <w:bCs/>
          <w:sz w:val="22"/>
          <w:szCs w:val="22"/>
        </w:rPr>
        <w:t xml:space="preserve"> no associated </w:t>
      </w:r>
      <w:r w:rsidR="00D73094" w:rsidRPr="0024514A">
        <w:rPr>
          <w:rFonts w:ascii="Arial" w:hAnsi="Arial" w:cs="Arial"/>
          <w:bCs/>
          <w:sz w:val="22"/>
          <w:szCs w:val="22"/>
        </w:rPr>
        <w:t>difference</w:t>
      </w:r>
      <w:r w:rsidR="00FF05BA" w:rsidRPr="0024514A">
        <w:rPr>
          <w:rFonts w:ascii="Arial" w:hAnsi="Arial" w:cs="Arial"/>
          <w:bCs/>
          <w:sz w:val="22"/>
          <w:szCs w:val="22"/>
        </w:rPr>
        <w:t>s</w:t>
      </w:r>
      <w:r w:rsidR="00D73094" w:rsidRPr="0024514A">
        <w:rPr>
          <w:rFonts w:ascii="Arial" w:hAnsi="Arial" w:cs="Arial"/>
          <w:bCs/>
          <w:sz w:val="22"/>
          <w:szCs w:val="22"/>
        </w:rPr>
        <w:t xml:space="preserve"> </w:t>
      </w:r>
      <w:r w:rsidR="00FF05BA" w:rsidRPr="0024514A">
        <w:rPr>
          <w:rFonts w:ascii="Arial" w:hAnsi="Arial" w:cs="Arial"/>
          <w:bCs/>
          <w:sz w:val="22"/>
          <w:szCs w:val="22"/>
        </w:rPr>
        <w:t>observed</w:t>
      </w:r>
      <w:r w:rsidR="00D73094" w:rsidRPr="0024514A">
        <w:rPr>
          <w:rFonts w:ascii="Arial" w:hAnsi="Arial"/>
          <w:sz w:val="22"/>
        </w:rPr>
        <w:t xml:space="preserve"> in immunovirological </w:t>
      </w:r>
      <w:r w:rsidR="00FF05BA" w:rsidRPr="0024514A">
        <w:rPr>
          <w:rFonts w:ascii="Arial" w:hAnsi="Arial" w:cs="Arial"/>
          <w:bCs/>
          <w:sz w:val="22"/>
          <w:szCs w:val="22"/>
        </w:rPr>
        <w:t>parameters</w:t>
      </w:r>
      <w:r w:rsidR="00D73094" w:rsidRPr="0024514A">
        <w:rPr>
          <w:rFonts w:ascii="Arial" w:hAnsi="Arial" w:cs="Arial"/>
          <w:bCs/>
          <w:sz w:val="22"/>
          <w:szCs w:val="22"/>
        </w:rPr>
        <w:t>.</w:t>
      </w:r>
      <w:r w:rsidR="00A23C32">
        <w:rPr>
          <w:rFonts w:ascii="Arial" w:hAnsi="Arial" w:cs="Arial"/>
          <w:bCs/>
          <w:sz w:val="22"/>
          <w:szCs w:val="22"/>
        </w:rPr>
        <w:t xml:space="preserve"> </w:t>
      </w:r>
    </w:p>
    <w:p w14:paraId="1EFAB2C4" w14:textId="77777777" w:rsidR="009B22E7" w:rsidRPr="009B22E7" w:rsidRDefault="009B22E7" w:rsidP="00292D0F">
      <w:pPr>
        <w:spacing w:line="480" w:lineRule="auto"/>
        <w:jc w:val="both"/>
        <w:outlineLvl w:val="0"/>
        <w:rPr>
          <w:rFonts w:ascii="Arial" w:hAnsi="Arial" w:cs="Arial"/>
          <w:bCs/>
          <w:sz w:val="22"/>
          <w:szCs w:val="22"/>
        </w:rPr>
      </w:pPr>
    </w:p>
    <w:p w14:paraId="7BEB63A9" w14:textId="77777777" w:rsidR="00611BF7" w:rsidRDefault="00611BF7" w:rsidP="00292D0F">
      <w:pPr>
        <w:spacing w:line="480" w:lineRule="auto"/>
        <w:jc w:val="both"/>
        <w:rPr>
          <w:rFonts w:ascii="Arial" w:hAnsi="Arial" w:cs="Arial"/>
          <w:b/>
          <w:sz w:val="22"/>
          <w:szCs w:val="22"/>
        </w:rPr>
      </w:pPr>
      <w:r>
        <w:rPr>
          <w:rFonts w:ascii="Arial" w:hAnsi="Arial" w:cs="Arial"/>
          <w:b/>
          <w:sz w:val="22"/>
          <w:szCs w:val="22"/>
        </w:rPr>
        <w:lastRenderedPageBreak/>
        <w:t>Transparency declarations</w:t>
      </w:r>
    </w:p>
    <w:p w14:paraId="3B0E2097" w14:textId="3DB6EA43" w:rsidR="007F1CC2" w:rsidRPr="00323B5A" w:rsidRDefault="00FE0EEB" w:rsidP="00292D0F">
      <w:pPr>
        <w:spacing w:after="200" w:line="480" w:lineRule="auto"/>
        <w:jc w:val="both"/>
        <w:rPr>
          <w:rFonts w:ascii="Arial" w:hAnsi="Arial" w:cs="Arial"/>
          <w:sz w:val="22"/>
          <w:szCs w:val="22"/>
        </w:rPr>
      </w:pPr>
      <w:r w:rsidRPr="00805A39">
        <w:rPr>
          <w:rFonts w:ascii="Arial" w:hAnsi="Arial" w:cs="Arial"/>
          <w:sz w:val="22"/>
          <w:szCs w:val="22"/>
        </w:rPr>
        <w:t>The authors report no conflicts of interest.</w:t>
      </w:r>
    </w:p>
    <w:p w14:paraId="1A4B2CE6" w14:textId="6D7C2393" w:rsidR="00062426" w:rsidRPr="00260CF6" w:rsidRDefault="00460DD8">
      <w:pPr>
        <w:pStyle w:val="Heading1"/>
        <w:ind w:firstLine="0"/>
        <w:rPr>
          <w:rFonts w:ascii="Arial" w:hAnsi="Arial" w:cs="Arial"/>
          <w:sz w:val="22"/>
          <w:szCs w:val="22"/>
        </w:rPr>
      </w:pPr>
      <w:r w:rsidRPr="007F1CC2">
        <w:br w:type="page"/>
      </w:r>
      <w:r w:rsidR="00715AD6" w:rsidRPr="00260CF6">
        <w:rPr>
          <w:rFonts w:ascii="Arial" w:hAnsi="Arial" w:cs="Arial"/>
          <w:sz w:val="22"/>
          <w:szCs w:val="22"/>
        </w:rPr>
        <w:lastRenderedPageBreak/>
        <w:t>References</w:t>
      </w:r>
    </w:p>
    <w:p w14:paraId="2B4D6408" w14:textId="584C79FC" w:rsidR="00FE7C39" w:rsidRPr="00FE7C39" w:rsidRDefault="008D7594" w:rsidP="00FE7C39">
      <w:pPr>
        <w:widowControl w:val="0"/>
        <w:autoSpaceDE w:val="0"/>
        <w:autoSpaceDN w:val="0"/>
        <w:adjustRightInd w:val="0"/>
        <w:spacing w:line="480" w:lineRule="auto"/>
        <w:ind w:left="640" w:hanging="640"/>
        <w:rPr>
          <w:rFonts w:ascii="Arial" w:hAnsi="Arial" w:cs="Arial"/>
          <w:noProof/>
          <w:sz w:val="22"/>
          <w:lang w:val="en-GB"/>
        </w:rPr>
      </w:pPr>
      <w:r>
        <w:rPr>
          <w:rFonts w:ascii="Arial" w:hAnsi="Arial" w:cs="Arial"/>
          <w:b/>
          <w:sz w:val="22"/>
          <w:szCs w:val="22"/>
        </w:rPr>
        <w:fldChar w:fldCharType="begin" w:fldLock="1"/>
      </w:r>
      <w:r>
        <w:rPr>
          <w:rFonts w:ascii="Arial" w:hAnsi="Arial" w:cs="Arial"/>
          <w:b/>
          <w:sz w:val="22"/>
          <w:szCs w:val="22"/>
        </w:rPr>
        <w:instrText xml:space="preserve">ADDIN Mendeley Bibliography CSL_BIBLIOGRAPHY </w:instrText>
      </w:r>
      <w:r>
        <w:rPr>
          <w:rFonts w:ascii="Arial" w:hAnsi="Arial" w:cs="Arial"/>
          <w:b/>
          <w:sz w:val="22"/>
          <w:szCs w:val="22"/>
        </w:rPr>
        <w:fldChar w:fldCharType="separate"/>
      </w:r>
      <w:r w:rsidR="00FE7C39" w:rsidRPr="00FE7C39">
        <w:rPr>
          <w:rFonts w:ascii="Arial" w:hAnsi="Arial" w:cs="Arial"/>
          <w:noProof/>
          <w:sz w:val="22"/>
          <w:lang w:val="en-GB"/>
        </w:rPr>
        <w:t xml:space="preserve">1. </w:t>
      </w:r>
      <w:r w:rsidR="00FE7C39" w:rsidRPr="00FE7C39">
        <w:rPr>
          <w:rFonts w:ascii="Arial" w:hAnsi="Arial" w:cs="Arial"/>
          <w:noProof/>
          <w:sz w:val="22"/>
          <w:lang w:val="en-GB"/>
        </w:rPr>
        <w:tab/>
        <w:t xml:space="preserve">Olawepo JO, Pharr JR, Cross CL, </w:t>
      </w:r>
      <w:r w:rsidR="00272396">
        <w:rPr>
          <w:rFonts w:ascii="Arial" w:hAnsi="Arial" w:cs="Arial"/>
          <w:noProof/>
          <w:sz w:val="22"/>
          <w:lang w:val="en-GB"/>
        </w:rPr>
        <w:t>et al</w:t>
      </w:r>
      <w:r w:rsidR="00FE7C39" w:rsidRPr="00FE7C39">
        <w:rPr>
          <w:rFonts w:ascii="Arial" w:hAnsi="Arial" w:cs="Arial"/>
          <w:noProof/>
          <w:sz w:val="22"/>
          <w:lang w:val="en-GB"/>
        </w:rPr>
        <w:t xml:space="preserve">. Changes in body mass index among people living with HIV who are new on highly active antiretroviral therapy: a systematic review and meta-analysis. </w:t>
      </w:r>
      <w:r w:rsidR="00FE7C39" w:rsidRPr="00FE7C39">
        <w:rPr>
          <w:rFonts w:ascii="Arial" w:hAnsi="Arial" w:cs="Arial"/>
          <w:i/>
          <w:iCs/>
          <w:noProof/>
          <w:sz w:val="22"/>
          <w:lang w:val="en-GB"/>
        </w:rPr>
        <w:t>AIDS Care - Psychol Socio-Medical Asp AIDS/HIV</w:t>
      </w:r>
      <w:r w:rsidR="00FE7C39" w:rsidRPr="00FE7C39">
        <w:rPr>
          <w:rFonts w:ascii="Arial" w:hAnsi="Arial" w:cs="Arial"/>
          <w:noProof/>
          <w:sz w:val="22"/>
          <w:lang w:val="en-GB"/>
        </w:rPr>
        <w:t>. 2021;33(3):326-336. doi:10.1080/09540121.2020.1770181</w:t>
      </w:r>
    </w:p>
    <w:p w14:paraId="53035DD2"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 </w:t>
      </w:r>
      <w:r w:rsidRPr="00FE7C39">
        <w:rPr>
          <w:rFonts w:ascii="Arial" w:hAnsi="Arial" w:cs="Arial"/>
          <w:noProof/>
          <w:sz w:val="22"/>
          <w:lang w:val="en-GB"/>
        </w:rPr>
        <w:tab/>
        <w:t>Hasse B, Iff M, Ledergerber B, et al. Obesity Trends and Body Mass Index Changes After Starting Antiretroviral Treatment: The Swiss HIV Cohort Study. 2017;2(September):2633851. doi:10.1093/o</w:t>
      </w:r>
    </w:p>
    <w:p w14:paraId="4333361A"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3. </w:t>
      </w:r>
      <w:r w:rsidRPr="00FE7C39">
        <w:rPr>
          <w:rFonts w:ascii="Arial" w:hAnsi="Arial" w:cs="Arial"/>
          <w:noProof/>
          <w:sz w:val="22"/>
          <w:lang w:val="en-GB"/>
        </w:rPr>
        <w:tab/>
        <w:t xml:space="preserve">Biggs C, Spooner E. Obesity and HIV: A compounding problem. </w:t>
      </w:r>
      <w:r w:rsidRPr="00FE7C39">
        <w:rPr>
          <w:rFonts w:ascii="Arial" w:hAnsi="Arial" w:cs="Arial"/>
          <w:i/>
          <w:iCs/>
          <w:noProof/>
          <w:sz w:val="22"/>
          <w:lang w:val="en-GB"/>
        </w:rPr>
        <w:t>South African J Clin Nutr</w:t>
      </w:r>
      <w:r w:rsidRPr="00FE7C39">
        <w:rPr>
          <w:rFonts w:ascii="Arial" w:hAnsi="Arial" w:cs="Arial"/>
          <w:noProof/>
          <w:sz w:val="22"/>
          <w:lang w:val="en-GB"/>
        </w:rPr>
        <w:t>. 2018;31(4):78-83. doi:10.1080/16070658.2017.1404299</w:t>
      </w:r>
    </w:p>
    <w:p w14:paraId="1EAF641B"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4. </w:t>
      </w:r>
      <w:r w:rsidRPr="00FE7C39">
        <w:rPr>
          <w:rFonts w:ascii="Arial" w:hAnsi="Arial" w:cs="Arial"/>
          <w:noProof/>
          <w:sz w:val="22"/>
          <w:lang w:val="en-GB"/>
        </w:rPr>
        <w:tab/>
        <w:t xml:space="preserve">Brennan AT, Berry KM, Rosen S, et al. Growth curve modelling to determine distinct BMI trajectory groups in HIV-positive adults on antiretroviral therapy in South Africa. </w:t>
      </w:r>
      <w:r w:rsidRPr="00FE7C39">
        <w:rPr>
          <w:rFonts w:ascii="Arial" w:hAnsi="Arial" w:cs="Arial"/>
          <w:i/>
          <w:iCs/>
          <w:noProof/>
          <w:sz w:val="22"/>
          <w:lang w:val="en-GB"/>
        </w:rPr>
        <w:t>Aids</w:t>
      </w:r>
      <w:r w:rsidRPr="00FE7C39">
        <w:rPr>
          <w:rFonts w:ascii="Arial" w:hAnsi="Arial" w:cs="Arial"/>
          <w:noProof/>
          <w:sz w:val="22"/>
          <w:lang w:val="en-GB"/>
        </w:rPr>
        <w:t>. 2019;33(13):2049-2059. doi:10.1097/QAD.0000000000002302</w:t>
      </w:r>
    </w:p>
    <w:p w14:paraId="49A01F6C"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5. </w:t>
      </w:r>
      <w:r w:rsidRPr="00FE7C39">
        <w:rPr>
          <w:rFonts w:ascii="Arial" w:hAnsi="Arial" w:cs="Arial"/>
          <w:noProof/>
          <w:sz w:val="22"/>
          <w:lang w:val="en-GB"/>
        </w:rPr>
        <w:tab/>
        <w:t>Erlandson KM, Taejaroenkul S, Smeaton L, et al. A Randomized Comparison of Anthropomorphic Changes With Preferred and Alternative Efavirenz-Based Antiretroviral Regimens in Diverse Multinational Settings. 2017;2(September):2633851. doi:10.1093/o</w:t>
      </w:r>
    </w:p>
    <w:p w14:paraId="1EE2543E"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6. </w:t>
      </w:r>
      <w:r w:rsidRPr="00FE7C39">
        <w:rPr>
          <w:rFonts w:ascii="Arial" w:hAnsi="Arial" w:cs="Arial"/>
          <w:noProof/>
          <w:sz w:val="22"/>
          <w:lang w:val="en-GB"/>
        </w:rPr>
        <w:tab/>
        <w:t xml:space="preserve">Sobieszczyk ME, Werner L, Mlisana K, et al. Metabolic syndrome after HIV acquisition in South African Women. </w:t>
      </w:r>
      <w:r w:rsidRPr="00FE7C39">
        <w:rPr>
          <w:rFonts w:ascii="Arial" w:hAnsi="Arial" w:cs="Arial"/>
          <w:i/>
          <w:iCs/>
          <w:noProof/>
          <w:sz w:val="22"/>
          <w:lang w:val="en-GB"/>
        </w:rPr>
        <w:t>J Acquir Immune Defic Syndr</w:t>
      </w:r>
      <w:r w:rsidRPr="00FE7C39">
        <w:rPr>
          <w:rFonts w:ascii="Arial" w:hAnsi="Arial" w:cs="Arial"/>
          <w:noProof/>
          <w:sz w:val="22"/>
          <w:lang w:val="en-GB"/>
        </w:rPr>
        <w:t>. 2016;73(4):438-445. doi:10.1097/QAI.0000000000001123</w:t>
      </w:r>
    </w:p>
    <w:p w14:paraId="6BC6987A"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7. </w:t>
      </w:r>
      <w:r w:rsidRPr="00FE7C39">
        <w:rPr>
          <w:rFonts w:ascii="Arial" w:hAnsi="Arial" w:cs="Arial"/>
          <w:noProof/>
          <w:sz w:val="22"/>
          <w:lang w:val="en-GB"/>
        </w:rPr>
        <w:tab/>
        <w:t xml:space="preserve">Beraldo RA, Meliscki GC, Silva BR, et al. Anthropometric measures of central adiposity are highly concordant with predictors of cardiovascular disease risk in HIV patients. </w:t>
      </w:r>
      <w:r w:rsidRPr="00FE7C39">
        <w:rPr>
          <w:rFonts w:ascii="Arial" w:hAnsi="Arial" w:cs="Arial"/>
          <w:i/>
          <w:iCs/>
          <w:noProof/>
          <w:sz w:val="22"/>
          <w:lang w:val="en-GB"/>
        </w:rPr>
        <w:t>Am J Clin Nutr</w:t>
      </w:r>
      <w:r w:rsidRPr="00FE7C39">
        <w:rPr>
          <w:rFonts w:ascii="Arial" w:hAnsi="Arial" w:cs="Arial"/>
          <w:noProof/>
          <w:sz w:val="22"/>
          <w:lang w:val="en-GB"/>
        </w:rPr>
        <w:t>. 2018;107(6):883-893. doi:10.1093/ajcn/nqy049</w:t>
      </w:r>
    </w:p>
    <w:p w14:paraId="3CD464E0"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8. </w:t>
      </w:r>
      <w:r w:rsidRPr="00FE7C39">
        <w:rPr>
          <w:rFonts w:ascii="Arial" w:hAnsi="Arial" w:cs="Arial"/>
          <w:noProof/>
          <w:sz w:val="22"/>
          <w:lang w:val="en-GB"/>
        </w:rPr>
        <w:tab/>
        <w:t xml:space="preserve">Kumar S, Samaras K. The Impact of Weight Gain During HIV Treatment on Risk of Pre-diabetes, Diabetes Mellitus, Cardiovascular Disease, and Mortality. </w:t>
      </w:r>
      <w:r w:rsidRPr="00FE7C39">
        <w:rPr>
          <w:rFonts w:ascii="Arial" w:hAnsi="Arial" w:cs="Arial"/>
          <w:i/>
          <w:iCs/>
          <w:noProof/>
          <w:sz w:val="22"/>
          <w:lang w:val="en-GB"/>
        </w:rPr>
        <w:t>Front Endocrinol (Lausanne)</w:t>
      </w:r>
      <w:r w:rsidRPr="00FE7C39">
        <w:rPr>
          <w:rFonts w:ascii="Arial" w:hAnsi="Arial" w:cs="Arial"/>
          <w:noProof/>
          <w:sz w:val="22"/>
          <w:lang w:val="en-GB"/>
        </w:rPr>
        <w:t>. 2018;9(November):1-14. doi:10.3389/fendo.2018.00705</w:t>
      </w:r>
    </w:p>
    <w:p w14:paraId="3B2EB639"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9. </w:t>
      </w:r>
      <w:r w:rsidRPr="00FE7C39">
        <w:rPr>
          <w:rFonts w:ascii="Arial" w:hAnsi="Arial" w:cs="Arial"/>
          <w:noProof/>
          <w:sz w:val="22"/>
          <w:lang w:val="en-GB"/>
        </w:rPr>
        <w:tab/>
        <w:t xml:space="preserve">Cao Q, Yu S, Xiong W, et al. Waist-hip ratio as a predictor of myocardial infarction risk A systematic review and meta-analysis. </w:t>
      </w:r>
      <w:r w:rsidRPr="00FE7C39">
        <w:rPr>
          <w:rFonts w:ascii="Arial" w:hAnsi="Arial" w:cs="Arial"/>
          <w:i/>
          <w:iCs/>
          <w:noProof/>
          <w:sz w:val="22"/>
          <w:lang w:val="en-GB"/>
        </w:rPr>
        <w:t>Med (United States)</w:t>
      </w:r>
      <w:r w:rsidRPr="00FE7C39">
        <w:rPr>
          <w:rFonts w:ascii="Arial" w:hAnsi="Arial" w:cs="Arial"/>
          <w:noProof/>
          <w:sz w:val="22"/>
          <w:lang w:val="en-GB"/>
        </w:rPr>
        <w:t>. 2018;97(30). doi:10.1097/MD.0000000000011639</w:t>
      </w:r>
    </w:p>
    <w:p w14:paraId="0A11822D"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10. </w:t>
      </w:r>
      <w:r w:rsidRPr="00FE7C39">
        <w:rPr>
          <w:rFonts w:ascii="Arial" w:hAnsi="Arial" w:cs="Arial"/>
          <w:noProof/>
          <w:sz w:val="22"/>
          <w:lang w:val="en-GB"/>
        </w:rPr>
        <w:tab/>
        <w:t xml:space="preserve">Madelain V, Le MP, Champenois K, et al. Impact of obesity on antiretroviral pharmacokinetics and immuno-virological response in HIV-infected patients: a case–control study. </w:t>
      </w:r>
      <w:r w:rsidRPr="00FE7C39">
        <w:rPr>
          <w:rFonts w:ascii="Arial" w:hAnsi="Arial" w:cs="Arial"/>
          <w:i/>
          <w:iCs/>
          <w:noProof/>
          <w:sz w:val="22"/>
          <w:lang w:val="en-GB"/>
        </w:rPr>
        <w:t>J Antimicrob Chemother</w:t>
      </w:r>
      <w:r w:rsidRPr="00FE7C39">
        <w:rPr>
          <w:rFonts w:ascii="Arial" w:hAnsi="Arial" w:cs="Arial"/>
          <w:noProof/>
          <w:sz w:val="22"/>
          <w:lang w:val="en-GB"/>
        </w:rPr>
        <w:t xml:space="preserve">. </w:t>
      </w:r>
      <w:r w:rsidRPr="00FE7C39">
        <w:rPr>
          <w:rFonts w:ascii="Arial" w:hAnsi="Arial" w:cs="Arial"/>
          <w:noProof/>
          <w:sz w:val="22"/>
          <w:lang w:val="en-GB"/>
        </w:rPr>
        <w:lastRenderedPageBreak/>
        <w:t>2016;(January):dkw527. doi:10.1093/jac/dkw527</w:t>
      </w:r>
    </w:p>
    <w:p w14:paraId="5CBBA72D"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11. </w:t>
      </w:r>
      <w:r w:rsidRPr="00FE7C39">
        <w:rPr>
          <w:rFonts w:ascii="Arial" w:hAnsi="Arial" w:cs="Arial"/>
          <w:noProof/>
          <w:sz w:val="22"/>
          <w:lang w:val="en-GB"/>
        </w:rPr>
        <w:tab/>
        <w:t xml:space="preserve">Cheymol G. Effects of obesity on pharmacokinetics: Implications for drug therapy. </w:t>
      </w:r>
      <w:r w:rsidRPr="00FE7C39">
        <w:rPr>
          <w:rFonts w:ascii="Arial" w:hAnsi="Arial" w:cs="Arial"/>
          <w:i/>
          <w:iCs/>
          <w:noProof/>
          <w:sz w:val="22"/>
          <w:lang w:val="en-GB"/>
        </w:rPr>
        <w:t>Clin Pharmacokinet</w:t>
      </w:r>
      <w:r w:rsidRPr="00FE7C39">
        <w:rPr>
          <w:rFonts w:ascii="Arial" w:hAnsi="Arial" w:cs="Arial"/>
          <w:noProof/>
          <w:sz w:val="22"/>
          <w:lang w:val="en-GB"/>
        </w:rPr>
        <w:t>. 2000;39(3):215-231. doi:10.2165/00003088-200039030-00004</w:t>
      </w:r>
    </w:p>
    <w:p w14:paraId="26095758"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12. </w:t>
      </w:r>
      <w:r w:rsidRPr="00FE7C39">
        <w:rPr>
          <w:rFonts w:ascii="Arial" w:hAnsi="Arial" w:cs="Arial"/>
          <w:noProof/>
          <w:sz w:val="22"/>
          <w:lang w:val="en-GB"/>
        </w:rPr>
        <w:tab/>
        <w:t xml:space="preserve">Hanley MJ, Abernethy DR, Greenblatt DJ. Effect of obesity on the pharmacokinetics of drugs in humans. </w:t>
      </w:r>
      <w:r w:rsidRPr="00FE7C39">
        <w:rPr>
          <w:rFonts w:ascii="Arial" w:hAnsi="Arial" w:cs="Arial"/>
          <w:i/>
          <w:iCs/>
          <w:noProof/>
          <w:sz w:val="22"/>
          <w:lang w:val="en-GB"/>
        </w:rPr>
        <w:t>Clin Pharmacokinet</w:t>
      </w:r>
      <w:r w:rsidRPr="00FE7C39">
        <w:rPr>
          <w:rFonts w:ascii="Arial" w:hAnsi="Arial" w:cs="Arial"/>
          <w:noProof/>
          <w:sz w:val="22"/>
          <w:lang w:val="en-GB"/>
        </w:rPr>
        <w:t>. 2010;49(2):71-87. doi:10.2165/11318100-000000000-00000</w:t>
      </w:r>
    </w:p>
    <w:p w14:paraId="4F689752"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13. </w:t>
      </w:r>
      <w:r w:rsidRPr="00FE7C39">
        <w:rPr>
          <w:rFonts w:ascii="Arial" w:hAnsi="Arial" w:cs="Arial"/>
          <w:noProof/>
          <w:sz w:val="22"/>
          <w:lang w:val="en-GB"/>
        </w:rPr>
        <w:tab/>
        <w:t xml:space="preserve">Smit C, De Hoogd S, Brüggemann RJM, Knibbe CAJ. Obesity and drug pharmacology: a review of the influence of obesity on pharmacokinetic and pharmacodynamic parameters. </w:t>
      </w:r>
      <w:r w:rsidRPr="00FE7C39">
        <w:rPr>
          <w:rFonts w:ascii="Arial" w:hAnsi="Arial" w:cs="Arial"/>
          <w:i/>
          <w:iCs/>
          <w:noProof/>
          <w:sz w:val="22"/>
          <w:lang w:val="en-GB"/>
        </w:rPr>
        <w:t>Expert Opin Drug Metab Toxicol</w:t>
      </w:r>
      <w:r w:rsidRPr="00FE7C39">
        <w:rPr>
          <w:rFonts w:ascii="Arial" w:hAnsi="Arial" w:cs="Arial"/>
          <w:noProof/>
          <w:sz w:val="22"/>
          <w:lang w:val="en-GB"/>
        </w:rPr>
        <w:t>. 2018;14(3):275-285. doi:10.1080/17425255.2018.1440287</w:t>
      </w:r>
    </w:p>
    <w:p w14:paraId="7A820225"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14. </w:t>
      </w:r>
      <w:r w:rsidRPr="00FE7C39">
        <w:rPr>
          <w:rFonts w:ascii="Arial" w:hAnsi="Arial" w:cs="Arial"/>
          <w:noProof/>
          <w:sz w:val="22"/>
          <w:lang w:val="en-GB"/>
        </w:rPr>
        <w:tab/>
        <w:t xml:space="preserve">Poeta J, Linden R, Antunes MV, et al. Plasma concentrations of efavirenz are associated with body weight in HIV-positive individuals. </w:t>
      </w:r>
      <w:r w:rsidRPr="00FE7C39">
        <w:rPr>
          <w:rFonts w:ascii="Arial" w:hAnsi="Arial" w:cs="Arial"/>
          <w:i/>
          <w:iCs/>
          <w:noProof/>
          <w:sz w:val="22"/>
          <w:lang w:val="en-GB"/>
        </w:rPr>
        <w:t>J Antimicrob Chemother</w:t>
      </w:r>
      <w:r w:rsidRPr="00FE7C39">
        <w:rPr>
          <w:rFonts w:ascii="Arial" w:hAnsi="Arial" w:cs="Arial"/>
          <w:noProof/>
          <w:sz w:val="22"/>
          <w:lang w:val="en-GB"/>
        </w:rPr>
        <w:t>. 2011;66(11):2601-2604. doi:10.1093/jac/dkr360</w:t>
      </w:r>
    </w:p>
    <w:p w14:paraId="68995214"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15. </w:t>
      </w:r>
      <w:r w:rsidRPr="00FE7C39">
        <w:rPr>
          <w:rFonts w:ascii="Arial" w:hAnsi="Arial" w:cs="Arial"/>
          <w:noProof/>
          <w:sz w:val="22"/>
          <w:lang w:val="en-GB"/>
        </w:rPr>
        <w:tab/>
        <w:t xml:space="preserve">Griesel R, Maartens G, Chirehwa M, et al. CYP2B6 Genotype and Weight Gain Differences Between Dolutegravir and Efavirenz. </w:t>
      </w:r>
      <w:r w:rsidRPr="00FE7C39">
        <w:rPr>
          <w:rFonts w:ascii="Arial" w:hAnsi="Arial" w:cs="Arial"/>
          <w:i/>
          <w:iCs/>
          <w:noProof/>
          <w:sz w:val="22"/>
          <w:lang w:val="en-GB"/>
        </w:rPr>
        <w:t>Clin Infect Dis</w:t>
      </w:r>
      <w:r w:rsidRPr="00FE7C39">
        <w:rPr>
          <w:rFonts w:ascii="Arial" w:hAnsi="Arial" w:cs="Arial"/>
          <w:noProof/>
          <w:sz w:val="22"/>
          <w:lang w:val="en-GB"/>
        </w:rPr>
        <w:t>. 2020;(Xx):2-9. doi:10.1093/cid/ciaa1073</w:t>
      </w:r>
    </w:p>
    <w:p w14:paraId="5CEEC738"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16. </w:t>
      </w:r>
      <w:r w:rsidRPr="00FE7C39">
        <w:rPr>
          <w:rFonts w:ascii="Arial" w:hAnsi="Arial" w:cs="Arial"/>
          <w:noProof/>
          <w:sz w:val="22"/>
          <w:lang w:val="en-GB"/>
        </w:rPr>
        <w:tab/>
        <w:t xml:space="preserve">Holzinger ER, Grady B, Ritchie MD, et al. Genome-wide association study of plasma efavirenz pharmacokinetics in AIDS Clinical Trials Group protocols implicates several CYP2B6 variants. </w:t>
      </w:r>
      <w:r w:rsidRPr="00FE7C39">
        <w:rPr>
          <w:rFonts w:ascii="Arial" w:hAnsi="Arial" w:cs="Arial"/>
          <w:i/>
          <w:iCs/>
          <w:noProof/>
          <w:sz w:val="22"/>
          <w:lang w:val="en-GB"/>
        </w:rPr>
        <w:t>Pharmacogenet Genomics</w:t>
      </w:r>
      <w:r w:rsidRPr="00FE7C39">
        <w:rPr>
          <w:rFonts w:ascii="Arial" w:hAnsi="Arial" w:cs="Arial"/>
          <w:noProof/>
          <w:sz w:val="22"/>
          <w:lang w:val="en-GB"/>
        </w:rPr>
        <w:t>. 2012;22(12):858-867. doi:10.1097/FPC.0b013e32835a450b</w:t>
      </w:r>
    </w:p>
    <w:p w14:paraId="4F5D9625"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17. </w:t>
      </w:r>
      <w:r w:rsidRPr="00FE7C39">
        <w:rPr>
          <w:rFonts w:ascii="Arial" w:hAnsi="Arial" w:cs="Arial"/>
          <w:noProof/>
          <w:sz w:val="22"/>
          <w:lang w:val="en-GB"/>
        </w:rPr>
        <w:tab/>
        <w:t xml:space="preserve">Robertson K, Liner J, Meeker RB. Antiretroviral neurotoxicity. </w:t>
      </w:r>
      <w:r w:rsidRPr="00FE7C39">
        <w:rPr>
          <w:rFonts w:ascii="Arial" w:hAnsi="Arial" w:cs="Arial"/>
          <w:i/>
          <w:iCs/>
          <w:noProof/>
          <w:sz w:val="22"/>
          <w:lang w:val="en-GB"/>
        </w:rPr>
        <w:t>J Neurovirol</w:t>
      </w:r>
      <w:r w:rsidRPr="00FE7C39">
        <w:rPr>
          <w:rFonts w:ascii="Arial" w:hAnsi="Arial" w:cs="Arial"/>
          <w:noProof/>
          <w:sz w:val="22"/>
          <w:lang w:val="en-GB"/>
        </w:rPr>
        <w:t>. 2012;18(5):388-399. doi:10.1007/s13365-012-0120-3</w:t>
      </w:r>
    </w:p>
    <w:p w14:paraId="5455EB5F"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18. </w:t>
      </w:r>
      <w:r w:rsidRPr="00FE7C39">
        <w:rPr>
          <w:rFonts w:ascii="Arial" w:hAnsi="Arial" w:cs="Arial"/>
          <w:noProof/>
          <w:sz w:val="22"/>
          <w:lang w:val="en-GB"/>
        </w:rPr>
        <w:tab/>
        <w:t xml:space="preserve">Tovar-y-Romo LB, Bumpus NN, Pomerantz D, et al. Dendritic spine injury induced by the 8-hydroxy metabolite of efavirenz. </w:t>
      </w:r>
      <w:r w:rsidRPr="00FE7C39">
        <w:rPr>
          <w:rFonts w:ascii="Arial" w:hAnsi="Arial" w:cs="Arial"/>
          <w:i/>
          <w:iCs/>
          <w:noProof/>
          <w:sz w:val="22"/>
          <w:lang w:val="en-GB"/>
        </w:rPr>
        <w:t>J Pharmacol Exp Ther</w:t>
      </w:r>
      <w:r w:rsidRPr="00FE7C39">
        <w:rPr>
          <w:rFonts w:ascii="Arial" w:hAnsi="Arial" w:cs="Arial"/>
          <w:noProof/>
          <w:sz w:val="22"/>
          <w:lang w:val="en-GB"/>
        </w:rPr>
        <w:t>. 2012;343(3):696-703. doi:10.1124/jpet.112.195701</w:t>
      </w:r>
    </w:p>
    <w:p w14:paraId="7F3384DB"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19. </w:t>
      </w:r>
      <w:r w:rsidRPr="00FE7C39">
        <w:rPr>
          <w:rFonts w:ascii="Arial" w:hAnsi="Arial" w:cs="Arial"/>
          <w:noProof/>
          <w:sz w:val="22"/>
          <w:lang w:val="en-GB"/>
        </w:rPr>
        <w:tab/>
        <w:t xml:space="preserve">Decloedt E, Joska JA, Wiesner L, et al. Pharmacogenetics and pharmacokinetics of CNS penetration of efavirenz and its metabolites. </w:t>
      </w:r>
      <w:r w:rsidRPr="00FE7C39">
        <w:rPr>
          <w:rFonts w:ascii="Arial" w:hAnsi="Arial" w:cs="Arial"/>
          <w:i/>
          <w:iCs/>
          <w:noProof/>
          <w:sz w:val="22"/>
          <w:lang w:val="en-GB"/>
        </w:rPr>
        <w:t>J Antimicrob Chemother</w:t>
      </w:r>
      <w:r w:rsidRPr="00FE7C39">
        <w:rPr>
          <w:rFonts w:ascii="Arial" w:hAnsi="Arial" w:cs="Arial"/>
          <w:noProof/>
          <w:sz w:val="22"/>
          <w:lang w:val="en-GB"/>
        </w:rPr>
        <w:t>. 2019. doi:10.1093/jac/dky481</w:t>
      </w:r>
    </w:p>
    <w:p w14:paraId="767CD498"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20. </w:t>
      </w:r>
      <w:r w:rsidRPr="00FE7C39">
        <w:rPr>
          <w:rFonts w:ascii="Arial" w:hAnsi="Arial" w:cs="Arial"/>
          <w:noProof/>
          <w:sz w:val="22"/>
          <w:lang w:val="en-GB"/>
        </w:rPr>
        <w:tab/>
        <w:t xml:space="preserve">Strijdom H, De Boever P, Walzl G, et al. Cardiovascular risk and endothelial function in people living with HIV/AIDS: Design of the multi-site, longitudinal EndoAfrica study in the Western Cape Province of South Africa. </w:t>
      </w:r>
      <w:r w:rsidRPr="00FE7C39">
        <w:rPr>
          <w:rFonts w:ascii="Arial" w:hAnsi="Arial" w:cs="Arial"/>
          <w:i/>
          <w:iCs/>
          <w:noProof/>
          <w:sz w:val="22"/>
          <w:lang w:val="en-GB"/>
        </w:rPr>
        <w:t>BMC Infect Dis</w:t>
      </w:r>
      <w:r w:rsidRPr="00FE7C39">
        <w:rPr>
          <w:rFonts w:ascii="Arial" w:hAnsi="Arial" w:cs="Arial"/>
          <w:noProof/>
          <w:sz w:val="22"/>
          <w:lang w:val="en-GB"/>
        </w:rPr>
        <w:t>. 2017;17(1):1-9. doi:10.1186/s12879-016-2158-y</w:t>
      </w:r>
    </w:p>
    <w:p w14:paraId="2DF4C1FB"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21. </w:t>
      </w:r>
      <w:r w:rsidRPr="00FE7C39">
        <w:rPr>
          <w:rFonts w:ascii="Arial" w:hAnsi="Arial" w:cs="Arial"/>
          <w:noProof/>
          <w:sz w:val="22"/>
          <w:lang w:val="en-GB"/>
        </w:rPr>
        <w:tab/>
        <w:t>World Health Organization. Obesity and overweight. https://www.who.int/en/news-room/fact-sheets/detail/obesity-and-overweight. Accessed March 1, 2019.</w:t>
      </w:r>
    </w:p>
    <w:p w14:paraId="21C29047"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22. </w:t>
      </w:r>
      <w:r w:rsidRPr="00FE7C39">
        <w:rPr>
          <w:rFonts w:ascii="Arial" w:hAnsi="Arial" w:cs="Arial"/>
          <w:noProof/>
          <w:sz w:val="22"/>
          <w:lang w:val="en-GB"/>
        </w:rPr>
        <w:tab/>
        <w:t xml:space="preserve">Baioumi AYAA. </w:t>
      </w:r>
      <w:r w:rsidRPr="00FE7C39">
        <w:rPr>
          <w:rFonts w:ascii="Arial" w:hAnsi="Arial" w:cs="Arial"/>
          <w:i/>
          <w:iCs/>
          <w:noProof/>
          <w:sz w:val="22"/>
          <w:lang w:val="en-GB"/>
        </w:rPr>
        <w:t xml:space="preserve">Comparing Measures of Obesity: Waist Circumference, Waist-Hip, and Waist-Height </w:t>
      </w:r>
      <w:r w:rsidRPr="00FE7C39">
        <w:rPr>
          <w:rFonts w:ascii="Arial" w:hAnsi="Arial" w:cs="Arial"/>
          <w:i/>
          <w:iCs/>
          <w:noProof/>
          <w:sz w:val="22"/>
          <w:lang w:val="en-GB"/>
        </w:rPr>
        <w:lastRenderedPageBreak/>
        <w:t>Ratios</w:t>
      </w:r>
      <w:r w:rsidRPr="00FE7C39">
        <w:rPr>
          <w:rFonts w:ascii="Arial" w:hAnsi="Arial" w:cs="Arial"/>
          <w:noProof/>
          <w:sz w:val="22"/>
          <w:lang w:val="en-GB"/>
        </w:rPr>
        <w:t>. 2nd ed. Elsevier Inc.; 2019. doi:10.1016/b978-0-12-816093-0.00003-3</w:t>
      </w:r>
    </w:p>
    <w:p w14:paraId="4025C251"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23. </w:t>
      </w:r>
      <w:r w:rsidRPr="00FE7C39">
        <w:rPr>
          <w:rFonts w:ascii="Arial" w:hAnsi="Arial" w:cs="Arial"/>
          <w:noProof/>
          <w:sz w:val="22"/>
          <w:lang w:val="en-GB"/>
        </w:rPr>
        <w:tab/>
        <w:t xml:space="preserve">World Health Organization. Waist Circumference and Waist-Hip Ratio. </w:t>
      </w:r>
      <w:r w:rsidRPr="00FE7C39">
        <w:rPr>
          <w:rFonts w:ascii="Arial" w:hAnsi="Arial" w:cs="Arial"/>
          <w:i/>
          <w:iCs/>
          <w:noProof/>
          <w:sz w:val="22"/>
          <w:lang w:val="en-GB"/>
        </w:rPr>
        <w:t>Rep a WHO Expert Consult</w:t>
      </w:r>
      <w:r w:rsidRPr="00FE7C39">
        <w:rPr>
          <w:rFonts w:ascii="Arial" w:hAnsi="Arial" w:cs="Arial"/>
          <w:noProof/>
          <w:sz w:val="22"/>
          <w:lang w:val="en-GB"/>
        </w:rPr>
        <w:t>. 2011;(December):8-11. doi:10.1038/ejcn.2009.139</w:t>
      </w:r>
    </w:p>
    <w:p w14:paraId="039C850E"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24. </w:t>
      </w:r>
      <w:r w:rsidRPr="00FE7C39">
        <w:rPr>
          <w:rFonts w:ascii="Arial" w:hAnsi="Arial" w:cs="Arial"/>
          <w:noProof/>
          <w:sz w:val="22"/>
          <w:lang w:val="en-GB"/>
        </w:rPr>
        <w:tab/>
        <w:t xml:space="preserve">Nightingale S, Chau TTH, Fisher M, et al. Efavirenz and metabolites in cerebrospinal fluid: Relationship with CYP2B6 c.516G→T genotype and perturbed blood-brain barrier due to tuberculous meningitis. </w:t>
      </w:r>
      <w:r w:rsidRPr="00FE7C39">
        <w:rPr>
          <w:rFonts w:ascii="Arial" w:hAnsi="Arial" w:cs="Arial"/>
          <w:i/>
          <w:iCs/>
          <w:noProof/>
          <w:sz w:val="22"/>
          <w:lang w:val="en-GB"/>
        </w:rPr>
        <w:t>Antimicrob Agents Chemother</w:t>
      </w:r>
      <w:r w:rsidRPr="00FE7C39">
        <w:rPr>
          <w:rFonts w:ascii="Arial" w:hAnsi="Arial" w:cs="Arial"/>
          <w:noProof/>
          <w:sz w:val="22"/>
          <w:lang w:val="en-GB"/>
        </w:rPr>
        <w:t>. 2016;60(8):4511-4518. doi:10.1128/AAC.00280-16</w:t>
      </w:r>
    </w:p>
    <w:p w14:paraId="26A92595"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25. </w:t>
      </w:r>
      <w:r w:rsidRPr="00FE7C39">
        <w:rPr>
          <w:rFonts w:ascii="Arial" w:hAnsi="Arial" w:cs="Arial"/>
          <w:noProof/>
          <w:sz w:val="22"/>
          <w:lang w:val="en-GB"/>
        </w:rPr>
        <w:tab/>
        <w:t xml:space="preserve">Woldesenbet SA, Kufa T, Barron P, et al. Viral suppression and factors associated with failure to achieve viral suppression among pregnant women in South Africa. </w:t>
      </w:r>
      <w:r w:rsidRPr="00FE7C39">
        <w:rPr>
          <w:rFonts w:ascii="Arial" w:hAnsi="Arial" w:cs="Arial"/>
          <w:i/>
          <w:iCs/>
          <w:noProof/>
          <w:sz w:val="22"/>
          <w:lang w:val="en-GB"/>
        </w:rPr>
        <w:t>Aids</w:t>
      </w:r>
      <w:r w:rsidRPr="00FE7C39">
        <w:rPr>
          <w:rFonts w:ascii="Arial" w:hAnsi="Arial" w:cs="Arial"/>
          <w:noProof/>
          <w:sz w:val="22"/>
          <w:lang w:val="en-GB"/>
        </w:rPr>
        <w:t>. 2020;34(4):589-597. doi:10.1097/QAD.0000000000002457</w:t>
      </w:r>
    </w:p>
    <w:p w14:paraId="42138126"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26. </w:t>
      </w:r>
      <w:r w:rsidRPr="00FE7C39">
        <w:rPr>
          <w:rFonts w:ascii="Arial" w:hAnsi="Arial" w:cs="Arial"/>
          <w:noProof/>
          <w:sz w:val="22"/>
          <w:lang w:val="en-GB"/>
        </w:rPr>
        <w:tab/>
        <w:t xml:space="preserve">Kamboj S, Sethi S, Rana V. Lipid based delivery of Efavirenz: An answer to its erratic absorption and food effect. </w:t>
      </w:r>
      <w:r w:rsidRPr="00FE7C39">
        <w:rPr>
          <w:rFonts w:ascii="Arial" w:hAnsi="Arial" w:cs="Arial"/>
          <w:i/>
          <w:iCs/>
          <w:noProof/>
          <w:sz w:val="22"/>
          <w:lang w:val="en-GB"/>
        </w:rPr>
        <w:t>Eur J Pharm Sci</w:t>
      </w:r>
      <w:r w:rsidRPr="00FE7C39">
        <w:rPr>
          <w:rFonts w:ascii="Arial" w:hAnsi="Arial" w:cs="Arial"/>
          <w:noProof/>
          <w:sz w:val="22"/>
          <w:lang w:val="en-GB"/>
        </w:rPr>
        <w:t>. 2018;123(February):199-216. doi:10.1016/j.ejps.2018.07.037</w:t>
      </w:r>
    </w:p>
    <w:p w14:paraId="014E553E"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lang w:val="en-GB"/>
        </w:rPr>
      </w:pPr>
      <w:r w:rsidRPr="00FE7C39">
        <w:rPr>
          <w:rFonts w:ascii="Arial" w:hAnsi="Arial" w:cs="Arial"/>
          <w:noProof/>
          <w:sz w:val="22"/>
          <w:lang w:val="en-GB"/>
        </w:rPr>
        <w:t xml:space="preserve">27. </w:t>
      </w:r>
      <w:r w:rsidRPr="00FE7C39">
        <w:rPr>
          <w:rFonts w:ascii="Arial" w:hAnsi="Arial" w:cs="Arial"/>
          <w:noProof/>
          <w:sz w:val="22"/>
          <w:lang w:val="en-GB"/>
        </w:rPr>
        <w:tab/>
        <w:t xml:space="preserve">Haas DW, Acosta EP. Implications of Efavirenz Pharmacogenetics when Switching from Efavirenz- to Dolutegravir-containing Antiretroviral Regimens. </w:t>
      </w:r>
      <w:r w:rsidRPr="00FE7C39">
        <w:rPr>
          <w:rFonts w:ascii="Arial" w:hAnsi="Arial" w:cs="Arial"/>
          <w:i/>
          <w:iCs/>
          <w:noProof/>
          <w:sz w:val="22"/>
          <w:lang w:val="en-GB"/>
        </w:rPr>
        <w:t>Clin Infect Dis</w:t>
      </w:r>
      <w:r w:rsidRPr="00FE7C39">
        <w:rPr>
          <w:rFonts w:ascii="Arial" w:hAnsi="Arial" w:cs="Arial"/>
          <w:noProof/>
          <w:sz w:val="22"/>
          <w:lang w:val="en-GB"/>
        </w:rPr>
        <w:t>. 2020;0(0). doi:10.1080/23744731.2018.1483148</w:t>
      </w:r>
    </w:p>
    <w:p w14:paraId="3528D51C" w14:textId="77777777" w:rsidR="00FE7C39" w:rsidRPr="00FE7C39" w:rsidRDefault="00FE7C39" w:rsidP="00FE7C39">
      <w:pPr>
        <w:widowControl w:val="0"/>
        <w:autoSpaceDE w:val="0"/>
        <w:autoSpaceDN w:val="0"/>
        <w:adjustRightInd w:val="0"/>
        <w:spacing w:line="480" w:lineRule="auto"/>
        <w:ind w:left="640" w:hanging="640"/>
        <w:rPr>
          <w:rFonts w:ascii="Arial" w:hAnsi="Arial" w:cs="Arial"/>
          <w:noProof/>
          <w:sz w:val="22"/>
        </w:rPr>
      </w:pPr>
      <w:r w:rsidRPr="00FE7C39">
        <w:rPr>
          <w:rFonts w:ascii="Arial" w:hAnsi="Arial" w:cs="Arial"/>
          <w:noProof/>
          <w:sz w:val="22"/>
          <w:lang w:val="en-GB"/>
        </w:rPr>
        <w:t xml:space="preserve">28. </w:t>
      </w:r>
      <w:r w:rsidRPr="00FE7C39">
        <w:rPr>
          <w:rFonts w:ascii="Arial" w:hAnsi="Arial" w:cs="Arial"/>
          <w:noProof/>
          <w:sz w:val="22"/>
          <w:lang w:val="en-GB"/>
        </w:rPr>
        <w:tab/>
        <w:t xml:space="preserve">Kragelund C, Omland T. A farewell to body-mass index? </w:t>
      </w:r>
      <w:r w:rsidRPr="00FE7C39">
        <w:rPr>
          <w:rFonts w:ascii="Arial" w:hAnsi="Arial" w:cs="Arial"/>
          <w:i/>
          <w:iCs/>
          <w:noProof/>
          <w:sz w:val="22"/>
          <w:lang w:val="en-GB"/>
        </w:rPr>
        <w:t>Lancet</w:t>
      </w:r>
      <w:r w:rsidRPr="00FE7C39">
        <w:rPr>
          <w:rFonts w:ascii="Arial" w:hAnsi="Arial" w:cs="Arial"/>
          <w:noProof/>
          <w:sz w:val="22"/>
          <w:lang w:val="en-GB"/>
        </w:rPr>
        <w:t>. 2005;366(9497):1589-1591. doi:10.1016/S0140-6736(05)67642-8</w:t>
      </w:r>
    </w:p>
    <w:p w14:paraId="178BBB75" w14:textId="7A8465BE" w:rsidR="00D725D0" w:rsidRDefault="008D7594" w:rsidP="00FE7C39">
      <w:pPr>
        <w:widowControl w:val="0"/>
        <w:autoSpaceDE w:val="0"/>
        <w:autoSpaceDN w:val="0"/>
        <w:adjustRightInd w:val="0"/>
        <w:spacing w:line="480" w:lineRule="auto"/>
        <w:ind w:left="640" w:hanging="640"/>
        <w:rPr>
          <w:rFonts w:ascii="Arial" w:hAnsi="Arial" w:cs="Arial"/>
          <w:b/>
          <w:sz w:val="22"/>
          <w:szCs w:val="22"/>
        </w:rPr>
        <w:sectPr w:rsidR="00D725D0" w:rsidSect="001951AF">
          <w:pgSz w:w="11900" w:h="16840"/>
          <w:pgMar w:top="720" w:right="720" w:bottom="720" w:left="720" w:header="708" w:footer="708" w:gutter="0"/>
          <w:lnNumType w:countBy="1" w:restart="continuous"/>
          <w:cols w:space="708"/>
          <w:docGrid w:linePitch="360"/>
        </w:sectPr>
      </w:pPr>
      <w:r>
        <w:rPr>
          <w:rFonts w:ascii="Arial" w:hAnsi="Arial" w:cs="Arial"/>
          <w:b/>
          <w:sz w:val="22"/>
          <w:szCs w:val="22"/>
        </w:rPr>
        <w:fldChar w:fldCharType="end"/>
      </w:r>
    </w:p>
    <w:tbl>
      <w:tblPr>
        <w:tblStyle w:val="ListTable7Colorful"/>
        <w:tblpPr w:leftFromText="180" w:rightFromText="180" w:vertAnchor="text" w:horzAnchor="margin" w:tblpXSpec="center" w:tblpY="-86"/>
        <w:tblW w:w="10609" w:type="dxa"/>
        <w:shd w:val="clear" w:color="auto" w:fill="FFFFFF" w:themeFill="background1"/>
        <w:tblLook w:val="04A0" w:firstRow="1" w:lastRow="0" w:firstColumn="1" w:lastColumn="0" w:noHBand="0" w:noVBand="1"/>
      </w:tblPr>
      <w:tblGrid>
        <w:gridCol w:w="5467"/>
        <w:gridCol w:w="3219"/>
        <w:gridCol w:w="1923"/>
      </w:tblGrid>
      <w:tr w:rsidR="00D31686" w:rsidRPr="0042288A" w14:paraId="6573EEFD" w14:textId="3D88B3AC" w:rsidTr="00A91395">
        <w:trPr>
          <w:cnfStyle w:val="100000000000" w:firstRow="1" w:lastRow="0" w:firstColumn="0" w:lastColumn="0" w:oddVBand="0" w:evenVBand="0" w:oddHBand="0" w:evenHBand="0" w:firstRowFirstColumn="0" w:firstRowLastColumn="0" w:lastRowFirstColumn="0" w:lastRowLastColumn="0"/>
          <w:trHeight w:val="646"/>
        </w:trPr>
        <w:tc>
          <w:tcPr>
            <w:cnfStyle w:val="001000000100" w:firstRow="0" w:lastRow="0" w:firstColumn="1" w:lastColumn="0" w:oddVBand="0" w:evenVBand="0" w:oddHBand="0" w:evenHBand="0" w:firstRowFirstColumn="1" w:firstRowLastColumn="0" w:lastRowFirstColumn="0" w:lastRowLastColumn="0"/>
            <w:tcW w:w="8686" w:type="dxa"/>
            <w:gridSpan w:val="2"/>
            <w:tcBorders>
              <w:bottom w:val="none" w:sz="0" w:space="0" w:color="auto"/>
              <w:right w:val="none" w:sz="0" w:space="0" w:color="auto"/>
            </w:tcBorders>
          </w:tcPr>
          <w:p w14:paraId="055693E2" w14:textId="77777777" w:rsidR="00D31686" w:rsidRPr="0042288A" w:rsidRDefault="00D31686" w:rsidP="00E4561A">
            <w:pPr>
              <w:spacing w:line="480" w:lineRule="auto"/>
              <w:jc w:val="both"/>
              <w:rPr>
                <w:rFonts w:ascii="Arial" w:hAnsi="Arial" w:cs="Arial"/>
                <w:i w:val="0"/>
                <w:iCs w:val="0"/>
                <w:sz w:val="22"/>
                <w:szCs w:val="22"/>
              </w:rPr>
            </w:pPr>
            <w:r w:rsidRPr="003545C6">
              <w:rPr>
                <w:rFonts w:ascii="Arial" w:hAnsi="Arial" w:cs="Arial"/>
                <w:b/>
                <w:bCs/>
                <w:i w:val="0"/>
                <w:iCs w:val="0"/>
                <w:sz w:val="22"/>
                <w:szCs w:val="22"/>
              </w:rPr>
              <w:lastRenderedPageBreak/>
              <w:t>Table 1.</w:t>
            </w:r>
            <w:r w:rsidRPr="0042288A">
              <w:rPr>
                <w:rFonts w:ascii="Arial" w:hAnsi="Arial" w:cs="Arial"/>
                <w:i w:val="0"/>
                <w:iCs w:val="0"/>
                <w:sz w:val="22"/>
                <w:szCs w:val="22"/>
              </w:rPr>
              <w:t xml:space="preserve"> Baseline characteristics of study participants (n=213)</w:t>
            </w:r>
          </w:p>
        </w:tc>
        <w:tc>
          <w:tcPr>
            <w:tcW w:w="1923" w:type="dxa"/>
            <w:tcBorders>
              <w:bottom w:val="none" w:sz="0" w:space="0" w:color="auto"/>
            </w:tcBorders>
          </w:tcPr>
          <w:p w14:paraId="4061B57C" w14:textId="77777777" w:rsidR="00D31686" w:rsidRPr="003545C6" w:rsidRDefault="00D31686" w:rsidP="00E4561A">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2"/>
                <w:szCs w:val="22"/>
              </w:rPr>
            </w:pPr>
          </w:p>
        </w:tc>
      </w:tr>
      <w:tr w:rsidR="007F1B60" w:rsidRPr="0042288A" w14:paraId="16B29F99" w14:textId="7F7C3461" w:rsidTr="00A9139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6FCC1853" w14:textId="3E9614C0" w:rsidR="00D31686" w:rsidRPr="00492507" w:rsidRDefault="00D31686" w:rsidP="003232E9">
            <w:pPr>
              <w:spacing w:line="480" w:lineRule="auto"/>
              <w:jc w:val="both"/>
              <w:rPr>
                <w:rFonts w:ascii="Arial" w:hAnsi="Arial" w:cs="Arial"/>
                <w:b/>
                <w:i w:val="0"/>
                <w:iCs w:val="0"/>
                <w:sz w:val="22"/>
                <w:szCs w:val="22"/>
              </w:rPr>
            </w:pPr>
            <w:r>
              <w:rPr>
                <w:rFonts w:ascii="Arial" w:hAnsi="Arial" w:cs="Arial"/>
                <w:b/>
                <w:i w:val="0"/>
                <w:iCs w:val="0"/>
                <w:sz w:val="22"/>
                <w:szCs w:val="22"/>
              </w:rPr>
              <w:t>Characteristic</w:t>
            </w:r>
          </w:p>
        </w:tc>
        <w:tc>
          <w:tcPr>
            <w:tcW w:w="3219" w:type="dxa"/>
            <w:shd w:val="clear" w:color="auto" w:fill="FFFFFF" w:themeFill="background1"/>
          </w:tcPr>
          <w:p w14:paraId="03CE26C9" w14:textId="77777777"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3" w:type="dxa"/>
            <w:shd w:val="clear" w:color="auto" w:fill="FFFFFF" w:themeFill="background1"/>
          </w:tcPr>
          <w:p w14:paraId="5AF26160" w14:textId="48164FEE" w:rsidR="00D31686" w:rsidRPr="00A91395"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vertAlign w:val="superscript"/>
              </w:rPr>
            </w:pPr>
            <w:r w:rsidRPr="00D31686">
              <w:rPr>
                <w:rFonts w:ascii="Arial" w:hAnsi="Arial" w:cs="Arial"/>
                <w:b/>
                <w:bCs/>
                <w:sz w:val="22"/>
                <w:szCs w:val="22"/>
              </w:rPr>
              <w:t>P-value</w:t>
            </w:r>
            <w:r w:rsidR="00D3089B">
              <w:rPr>
                <w:rFonts w:ascii="Arial" w:hAnsi="Arial" w:cs="Arial"/>
                <w:b/>
                <w:bCs/>
                <w:sz w:val="22"/>
                <w:szCs w:val="22"/>
                <w:vertAlign w:val="superscript"/>
              </w:rPr>
              <w:t>*</w:t>
            </w:r>
          </w:p>
        </w:tc>
      </w:tr>
      <w:tr w:rsidR="007F1B60" w:rsidRPr="0042288A" w14:paraId="481FB7C8" w14:textId="1F8E8EB2" w:rsidTr="00A91395">
        <w:trPr>
          <w:trHeight w:val="698"/>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2BA43EFD" w14:textId="167AFFB9" w:rsidR="00D31686" w:rsidRPr="005A2F40" w:rsidRDefault="00E15B8F" w:rsidP="003232E9">
            <w:pPr>
              <w:spacing w:line="480" w:lineRule="auto"/>
              <w:jc w:val="both"/>
              <w:rPr>
                <w:rFonts w:ascii="Arial" w:hAnsi="Arial" w:cs="Arial"/>
                <w:i w:val="0"/>
                <w:iCs w:val="0"/>
                <w:sz w:val="22"/>
                <w:szCs w:val="22"/>
              </w:rPr>
            </w:pPr>
            <w:r>
              <w:rPr>
                <w:rFonts w:ascii="Arial" w:hAnsi="Arial" w:cs="Arial"/>
                <w:sz w:val="22"/>
                <w:szCs w:val="22"/>
              </w:rPr>
              <w:t>Sex</w:t>
            </w:r>
          </w:p>
        </w:tc>
        <w:tc>
          <w:tcPr>
            <w:tcW w:w="3219" w:type="dxa"/>
            <w:shd w:val="clear" w:color="auto" w:fill="FFFFFF" w:themeFill="background1"/>
          </w:tcPr>
          <w:p w14:paraId="5711275B" w14:textId="77777777" w:rsidR="00D31686" w:rsidRPr="0042288A" w:rsidRDefault="00D31686"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23" w:type="dxa"/>
            <w:shd w:val="clear" w:color="auto" w:fill="FFFFFF" w:themeFill="background1"/>
          </w:tcPr>
          <w:p w14:paraId="3B050EF1" w14:textId="77777777" w:rsidR="00D31686" w:rsidRPr="0042288A" w:rsidRDefault="00D31686"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F1B60" w:rsidRPr="0042288A" w14:paraId="5FBB9E14" w14:textId="4C1B09F1"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03DA58D0" w14:textId="3AB05DA3" w:rsidR="00D31686" w:rsidRPr="0042288A" w:rsidRDefault="00D31686" w:rsidP="00E4561A">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Male</w:t>
            </w:r>
            <w:r>
              <w:rPr>
                <w:rFonts w:ascii="Arial" w:hAnsi="Arial" w:cs="Arial"/>
                <w:i w:val="0"/>
                <w:iCs w:val="0"/>
                <w:sz w:val="22"/>
                <w:szCs w:val="22"/>
              </w:rPr>
              <w:t>, n (%)</w:t>
            </w:r>
          </w:p>
        </w:tc>
        <w:tc>
          <w:tcPr>
            <w:tcW w:w="3219" w:type="dxa"/>
            <w:shd w:val="clear" w:color="auto" w:fill="FFFFFF" w:themeFill="background1"/>
          </w:tcPr>
          <w:p w14:paraId="6A8DDF47" w14:textId="77777777"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288A">
              <w:rPr>
                <w:rFonts w:ascii="Arial" w:hAnsi="Arial" w:cs="Arial"/>
                <w:sz w:val="22"/>
                <w:szCs w:val="22"/>
              </w:rPr>
              <w:t>67 (31)</w:t>
            </w:r>
          </w:p>
        </w:tc>
        <w:tc>
          <w:tcPr>
            <w:tcW w:w="1923" w:type="dxa"/>
            <w:shd w:val="clear" w:color="auto" w:fill="FFFFFF" w:themeFill="background1"/>
          </w:tcPr>
          <w:p w14:paraId="44594CF3" w14:textId="77777777"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F1B60" w:rsidRPr="0042288A" w14:paraId="5F026E73" w14:textId="30E9DD6C" w:rsidTr="00A91395">
        <w:trPr>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3BAC45B3" w14:textId="5C9B674C" w:rsidR="00D31686" w:rsidRPr="0042288A" w:rsidRDefault="00D31686" w:rsidP="003232E9">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Female, n (%)</w:t>
            </w:r>
          </w:p>
        </w:tc>
        <w:tc>
          <w:tcPr>
            <w:tcW w:w="3219" w:type="dxa"/>
            <w:shd w:val="clear" w:color="auto" w:fill="FFFFFF" w:themeFill="background1"/>
          </w:tcPr>
          <w:p w14:paraId="5AFAB519" w14:textId="77777777" w:rsidR="00D31686" w:rsidRPr="0042288A" w:rsidRDefault="00D31686"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288A">
              <w:rPr>
                <w:rFonts w:ascii="Arial" w:hAnsi="Arial" w:cs="Arial"/>
                <w:sz w:val="22"/>
                <w:szCs w:val="22"/>
              </w:rPr>
              <w:t>146 (69)</w:t>
            </w:r>
          </w:p>
        </w:tc>
        <w:tc>
          <w:tcPr>
            <w:tcW w:w="1923" w:type="dxa"/>
            <w:shd w:val="clear" w:color="auto" w:fill="FFFFFF" w:themeFill="background1"/>
          </w:tcPr>
          <w:p w14:paraId="16E0353B" w14:textId="77777777" w:rsidR="00D31686" w:rsidRPr="0042288A" w:rsidRDefault="00D31686"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F1B60" w:rsidRPr="0042288A" w14:paraId="3CAB34D8" w14:textId="3266C65E"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7B5420F8" w14:textId="264FFA70" w:rsidR="00D31686" w:rsidRPr="0042288A" w:rsidRDefault="00D31686" w:rsidP="003232E9">
            <w:pPr>
              <w:spacing w:line="480" w:lineRule="auto"/>
              <w:jc w:val="both"/>
              <w:rPr>
                <w:rFonts w:ascii="Arial" w:hAnsi="Arial" w:cs="Arial"/>
                <w:i w:val="0"/>
                <w:iCs w:val="0"/>
                <w:sz w:val="22"/>
                <w:szCs w:val="22"/>
              </w:rPr>
            </w:pPr>
            <w:r w:rsidRPr="0042288A">
              <w:rPr>
                <w:rFonts w:ascii="Arial" w:hAnsi="Arial" w:cs="Arial"/>
                <w:i w:val="0"/>
                <w:iCs w:val="0"/>
                <w:sz w:val="22"/>
                <w:szCs w:val="22"/>
              </w:rPr>
              <w:t>Age</w:t>
            </w:r>
            <w:r>
              <w:rPr>
                <w:rFonts w:ascii="Arial" w:hAnsi="Arial" w:cs="Arial"/>
                <w:i w:val="0"/>
                <w:iCs w:val="0"/>
                <w:sz w:val="22"/>
                <w:szCs w:val="22"/>
              </w:rPr>
              <w:t xml:space="preserve"> in years</w:t>
            </w:r>
            <w:r w:rsidRPr="00F95E17">
              <w:rPr>
                <w:rFonts w:ascii="Arial" w:hAnsi="Arial" w:cs="Arial"/>
                <w:sz w:val="22"/>
                <w:szCs w:val="22"/>
                <w:vertAlign w:val="superscript"/>
              </w:rPr>
              <w:t>‡</w:t>
            </w:r>
            <w:r w:rsidRPr="005A2F40">
              <w:rPr>
                <w:rFonts w:ascii="Arial" w:hAnsi="Arial" w:cs="Arial"/>
                <w:i w:val="0"/>
                <w:iCs w:val="0"/>
                <w:sz w:val="22"/>
                <w:szCs w:val="22"/>
              </w:rPr>
              <w:t xml:space="preserve"> </w:t>
            </w:r>
          </w:p>
        </w:tc>
        <w:tc>
          <w:tcPr>
            <w:tcW w:w="3219" w:type="dxa"/>
            <w:shd w:val="clear" w:color="auto" w:fill="FFFFFF" w:themeFill="background1"/>
          </w:tcPr>
          <w:p w14:paraId="6581B936" w14:textId="77777777"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288A">
              <w:rPr>
                <w:rFonts w:ascii="Arial" w:hAnsi="Arial" w:cs="Arial"/>
                <w:sz w:val="22"/>
                <w:szCs w:val="22"/>
              </w:rPr>
              <w:t>39.78 ± 8.82</w:t>
            </w:r>
            <w:r w:rsidRPr="0042288A">
              <w:rPr>
                <w:rFonts w:ascii="Arial" w:hAnsi="Arial" w:cs="Arial"/>
                <w:i/>
                <w:iCs/>
                <w:sz w:val="22"/>
                <w:szCs w:val="22"/>
              </w:rPr>
              <w:t xml:space="preserve"> </w:t>
            </w:r>
          </w:p>
        </w:tc>
        <w:tc>
          <w:tcPr>
            <w:tcW w:w="1923" w:type="dxa"/>
            <w:shd w:val="clear" w:color="auto" w:fill="FFFFFF" w:themeFill="background1"/>
          </w:tcPr>
          <w:p w14:paraId="2BD4C4E3" w14:textId="77777777"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F1B60" w:rsidRPr="0042288A" w14:paraId="633B8AD1" w14:textId="1C920FE9" w:rsidTr="00A91395">
        <w:trPr>
          <w:trHeight w:val="698"/>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0F170F59" w14:textId="4FBFF10A" w:rsidR="00D31686" w:rsidRPr="0042288A" w:rsidRDefault="00A52178" w:rsidP="003232E9">
            <w:pPr>
              <w:spacing w:line="480" w:lineRule="auto"/>
              <w:jc w:val="both"/>
              <w:rPr>
                <w:rFonts w:ascii="Arial" w:hAnsi="Arial" w:cs="Arial"/>
                <w:i w:val="0"/>
                <w:iCs w:val="0"/>
                <w:sz w:val="22"/>
                <w:szCs w:val="22"/>
              </w:rPr>
            </w:pPr>
            <w:r w:rsidRPr="0042288A">
              <w:rPr>
                <w:rFonts w:ascii="Arial" w:hAnsi="Arial" w:cs="Arial"/>
                <w:i w:val="0"/>
                <w:iCs w:val="0"/>
                <w:sz w:val="22"/>
                <w:szCs w:val="22"/>
              </w:rPr>
              <w:t>BMI</w:t>
            </w:r>
            <w:r w:rsidRPr="00FA2CE5">
              <w:rPr>
                <w:rFonts w:ascii="Arial" w:hAnsi="Arial" w:cs="Arial"/>
                <w:i w:val="0"/>
                <w:sz w:val="22"/>
                <w:szCs w:val="22"/>
                <w:vertAlign w:val="superscript"/>
              </w:rPr>
              <w:t>‡</w:t>
            </w:r>
            <w:r w:rsidRPr="0042288A">
              <w:rPr>
                <w:rFonts w:ascii="Arial" w:hAnsi="Arial" w:cs="Arial"/>
                <w:i w:val="0"/>
                <w:iCs w:val="0"/>
                <w:sz w:val="22"/>
                <w:szCs w:val="22"/>
              </w:rPr>
              <w:t xml:space="preserve"> (kg/m²), </w:t>
            </w:r>
            <w:r>
              <w:rPr>
                <w:rFonts w:ascii="Arial" w:hAnsi="Arial" w:cs="Arial"/>
                <w:i w:val="0"/>
                <w:iCs w:val="0"/>
                <w:sz w:val="22"/>
                <w:szCs w:val="22"/>
              </w:rPr>
              <w:t>n</w:t>
            </w:r>
          </w:p>
        </w:tc>
        <w:tc>
          <w:tcPr>
            <w:tcW w:w="3219" w:type="dxa"/>
            <w:shd w:val="clear" w:color="auto" w:fill="FFFFFF" w:themeFill="background1"/>
          </w:tcPr>
          <w:p w14:paraId="02B48AC0" w14:textId="57E2D259" w:rsidR="00D31686" w:rsidRPr="0042288A" w:rsidRDefault="00A52178"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288A">
              <w:rPr>
                <w:rFonts w:ascii="Arial" w:hAnsi="Arial" w:cs="Arial"/>
                <w:sz w:val="22"/>
                <w:szCs w:val="22"/>
              </w:rPr>
              <w:t>25</w:t>
            </w:r>
            <w:r>
              <w:rPr>
                <w:rFonts w:ascii="Arial" w:hAnsi="Arial" w:cs="Arial"/>
                <w:sz w:val="22"/>
                <w:szCs w:val="22"/>
              </w:rPr>
              <w:t xml:space="preserve"> </w:t>
            </w:r>
            <w:r w:rsidRPr="0042288A">
              <w:rPr>
                <w:rFonts w:ascii="Arial" w:hAnsi="Arial" w:cs="Arial"/>
                <w:sz w:val="22"/>
                <w:szCs w:val="22"/>
              </w:rPr>
              <w:t>±</w:t>
            </w:r>
            <w:r>
              <w:rPr>
                <w:rFonts w:ascii="Arial" w:hAnsi="Arial" w:cs="Arial"/>
                <w:sz w:val="22"/>
                <w:szCs w:val="22"/>
              </w:rPr>
              <w:t xml:space="preserve"> </w:t>
            </w:r>
            <w:r w:rsidRPr="0042288A">
              <w:rPr>
                <w:rFonts w:ascii="Arial" w:hAnsi="Arial" w:cs="Arial"/>
                <w:sz w:val="22"/>
                <w:szCs w:val="22"/>
              </w:rPr>
              <w:t>6.72</w:t>
            </w:r>
            <w:r>
              <w:rPr>
                <w:rFonts w:ascii="Arial" w:hAnsi="Arial" w:cs="Arial"/>
                <w:sz w:val="22"/>
                <w:szCs w:val="22"/>
              </w:rPr>
              <w:t xml:space="preserve">, </w:t>
            </w:r>
            <w:r w:rsidRPr="0073261B">
              <w:rPr>
                <w:rFonts w:ascii="Arial" w:hAnsi="Arial" w:cs="Arial"/>
                <w:iCs/>
                <w:sz w:val="22"/>
                <w:szCs w:val="22"/>
              </w:rPr>
              <w:t>n=211</w:t>
            </w:r>
          </w:p>
        </w:tc>
        <w:tc>
          <w:tcPr>
            <w:tcW w:w="1923" w:type="dxa"/>
            <w:shd w:val="clear" w:color="auto" w:fill="FFFFFF" w:themeFill="background1"/>
          </w:tcPr>
          <w:p w14:paraId="2A791026" w14:textId="77777777" w:rsidR="00D31686" w:rsidRPr="0042288A" w:rsidRDefault="00D31686"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2178" w:rsidRPr="0042288A" w14:paraId="31946FB3" w14:textId="016D459E"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7E494E10" w14:textId="37594149" w:rsidR="00A52178" w:rsidRPr="0042288A" w:rsidRDefault="00A52178" w:rsidP="003232E9">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Male</w:t>
            </w:r>
          </w:p>
        </w:tc>
        <w:tc>
          <w:tcPr>
            <w:tcW w:w="3219" w:type="dxa"/>
            <w:shd w:val="clear" w:color="auto" w:fill="FFFFFF" w:themeFill="background1"/>
          </w:tcPr>
          <w:p w14:paraId="5D44C05C" w14:textId="78EC8D0E" w:rsidR="00A52178" w:rsidRPr="0042288A" w:rsidRDefault="00E31B57"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1B57">
              <w:rPr>
                <w:rFonts w:ascii="Arial" w:hAnsi="Arial" w:cs="Arial"/>
                <w:sz w:val="22"/>
                <w:szCs w:val="22"/>
              </w:rPr>
              <w:t>22.74 ± 4.9</w:t>
            </w:r>
            <w:r>
              <w:rPr>
                <w:rFonts w:ascii="Arial" w:hAnsi="Arial" w:cs="Arial"/>
                <w:sz w:val="22"/>
                <w:szCs w:val="22"/>
              </w:rPr>
              <w:t>3</w:t>
            </w:r>
            <w:r w:rsidRPr="00E31B57">
              <w:rPr>
                <w:rFonts w:ascii="Arial" w:hAnsi="Arial" w:cs="Arial"/>
                <w:sz w:val="22"/>
                <w:szCs w:val="22"/>
              </w:rPr>
              <w:t>, n=67</w:t>
            </w:r>
          </w:p>
        </w:tc>
        <w:tc>
          <w:tcPr>
            <w:tcW w:w="1923" w:type="dxa"/>
            <w:vMerge w:val="restart"/>
            <w:shd w:val="clear" w:color="auto" w:fill="FFFFFF" w:themeFill="background1"/>
          </w:tcPr>
          <w:p w14:paraId="581480A2" w14:textId="67433F27" w:rsidR="00E31B57" w:rsidRPr="00E4561A" w:rsidRDefault="00E31B57"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vertAlign w:val="superscript"/>
              </w:rPr>
            </w:pPr>
            <w:r w:rsidRPr="007F1B60">
              <w:rPr>
                <w:rFonts w:ascii="Arial" w:hAnsi="Arial" w:cs="Arial"/>
                <w:b/>
                <w:bCs/>
                <w:sz w:val="22"/>
                <w:szCs w:val="22"/>
              </w:rPr>
              <w:t>0.001</w:t>
            </w:r>
          </w:p>
        </w:tc>
      </w:tr>
      <w:tr w:rsidR="00A52178" w:rsidRPr="0042288A" w14:paraId="53548591" w14:textId="2597B693" w:rsidTr="00A91395">
        <w:trPr>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268DFD8C" w14:textId="26DFD0E3" w:rsidR="00A52178" w:rsidRPr="0042288A" w:rsidRDefault="00A52178" w:rsidP="003232E9">
            <w:pPr>
              <w:spacing w:line="480" w:lineRule="auto"/>
              <w:jc w:val="both"/>
              <w:rPr>
                <w:rFonts w:ascii="Arial" w:hAnsi="Arial" w:cs="Arial"/>
                <w:i w:val="0"/>
                <w:iCs w:val="0"/>
                <w:sz w:val="22"/>
                <w:szCs w:val="22"/>
              </w:rPr>
            </w:pPr>
            <w:r>
              <w:rPr>
                <w:rFonts w:ascii="Arial" w:hAnsi="Arial" w:cs="Arial"/>
                <w:i w:val="0"/>
                <w:iCs w:val="0"/>
                <w:sz w:val="22"/>
                <w:szCs w:val="22"/>
              </w:rPr>
              <w:t xml:space="preserve">            </w:t>
            </w:r>
            <w:r w:rsidRPr="0042288A">
              <w:rPr>
                <w:rFonts w:ascii="Arial" w:hAnsi="Arial" w:cs="Arial"/>
                <w:i w:val="0"/>
                <w:iCs w:val="0"/>
                <w:sz w:val="22"/>
                <w:szCs w:val="22"/>
              </w:rPr>
              <w:t>Female</w:t>
            </w:r>
          </w:p>
        </w:tc>
        <w:tc>
          <w:tcPr>
            <w:tcW w:w="3219" w:type="dxa"/>
            <w:shd w:val="clear" w:color="auto" w:fill="FFFFFF" w:themeFill="background1"/>
          </w:tcPr>
          <w:p w14:paraId="30449D55" w14:textId="613BE8EE" w:rsidR="00A52178" w:rsidRPr="0042288A" w:rsidRDefault="00E31B57"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1B57">
              <w:rPr>
                <w:rFonts w:ascii="Arial" w:hAnsi="Arial" w:cs="Arial"/>
                <w:sz w:val="22"/>
                <w:szCs w:val="22"/>
              </w:rPr>
              <w:t>26.06 ± 7.188, n=144</w:t>
            </w:r>
          </w:p>
        </w:tc>
        <w:tc>
          <w:tcPr>
            <w:tcW w:w="1923" w:type="dxa"/>
            <w:vMerge/>
            <w:shd w:val="clear" w:color="auto" w:fill="FFFFFF" w:themeFill="background1"/>
          </w:tcPr>
          <w:p w14:paraId="4843DDAC" w14:textId="77777777" w:rsidR="00A52178" w:rsidRPr="0042288A" w:rsidRDefault="00A52178"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F1B60" w:rsidRPr="0042288A" w14:paraId="593AC36D" w14:textId="6E9BF921"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6C94F4A6" w14:textId="23F042E2" w:rsidR="00D31686" w:rsidRPr="0042288A" w:rsidRDefault="00D31686" w:rsidP="003232E9">
            <w:pPr>
              <w:spacing w:line="480" w:lineRule="auto"/>
              <w:jc w:val="both"/>
              <w:rPr>
                <w:rFonts w:ascii="Arial" w:hAnsi="Arial" w:cs="Arial"/>
                <w:i w:val="0"/>
                <w:iCs w:val="0"/>
                <w:sz w:val="22"/>
                <w:szCs w:val="22"/>
              </w:rPr>
            </w:pPr>
            <w:r w:rsidRPr="0042288A">
              <w:rPr>
                <w:rFonts w:ascii="Arial" w:hAnsi="Arial" w:cs="Arial"/>
                <w:i w:val="0"/>
                <w:iCs w:val="0"/>
                <w:sz w:val="22"/>
                <w:szCs w:val="22"/>
              </w:rPr>
              <w:t>CD4+ T cell count</w:t>
            </w:r>
            <w:r w:rsidRPr="0041552E">
              <w:rPr>
                <w:rFonts w:ascii="Arial" w:hAnsi="Arial" w:cs="Arial"/>
                <w:sz w:val="22"/>
                <w:szCs w:val="22"/>
                <w:vertAlign w:val="superscript"/>
              </w:rPr>
              <w:t>†</w:t>
            </w:r>
            <w:r w:rsidRPr="0042288A">
              <w:rPr>
                <w:rFonts w:ascii="Arial" w:hAnsi="Arial" w:cs="Arial"/>
                <w:i w:val="0"/>
                <w:iCs w:val="0"/>
                <w:sz w:val="22"/>
                <w:szCs w:val="22"/>
              </w:rPr>
              <w:t xml:space="preserve"> (cells/mm³), </w:t>
            </w:r>
            <w:r>
              <w:rPr>
                <w:rFonts w:ascii="Arial" w:hAnsi="Arial" w:cs="Arial"/>
                <w:i w:val="0"/>
                <w:iCs w:val="0"/>
                <w:sz w:val="22"/>
                <w:szCs w:val="22"/>
              </w:rPr>
              <w:t>n</w:t>
            </w:r>
          </w:p>
        </w:tc>
        <w:tc>
          <w:tcPr>
            <w:tcW w:w="3219" w:type="dxa"/>
            <w:shd w:val="clear" w:color="auto" w:fill="FFFFFF" w:themeFill="background1"/>
          </w:tcPr>
          <w:p w14:paraId="297A7081" w14:textId="5B6B41B3"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288A">
              <w:rPr>
                <w:rFonts w:ascii="Arial" w:hAnsi="Arial" w:cs="Arial"/>
                <w:sz w:val="22"/>
                <w:szCs w:val="22"/>
              </w:rPr>
              <w:t>497 (370.8</w:t>
            </w:r>
            <w:r>
              <w:rPr>
                <w:rFonts w:ascii="Arial" w:hAnsi="Arial" w:cs="Arial"/>
                <w:sz w:val="22"/>
                <w:szCs w:val="22"/>
              </w:rPr>
              <w:t xml:space="preserve"> – </w:t>
            </w:r>
            <w:r w:rsidRPr="0042288A">
              <w:rPr>
                <w:rFonts w:ascii="Arial" w:hAnsi="Arial" w:cs="Arial"/>
                <w:sz w:val="22"/>
                <w:szCs w:val="22"/>
              </w:rPr>
              <w:t>681.8)</w:t>
            </w:r>
            <w:r>
              <w:rPr>
                <w:rFonts w:ascii="Arial" w:hAnsi="Arial" w:cs="Arial"/>
                <w:sz w:val="22"/>
                <w:szCs w:val="22"/>
              </w:rPr>
              <w:t xml:space="preserve">, </w:t>
            </w:r>
            <w:r w:rsidRPr="00492507">
              <w:rPr>
                <w:rFonts w:ascii="Arial" w:hAnsi="Arial" w:cs="Arial"/>
                <w:iCs/>
                <w:sz w:val="22"/>
                <w:szCs w:val="22"/>
              </w:rPr>
              <w:t>n=210</w:t>
            </w:r>
          </w:p>
        </w:tc>
        <w:tc>
          <w:tcPr>
            <w:tcW w:w="1923" w:type="dxa"/>
            <w:shd w:val="clear" w:color="auto" w:fill="FFFFFF" w:themeFill="background1"/>
          </w:tcPr>
          <w:p w14:paraId="70B16B89" w14:textId="77777777" w:rsidR="00D31686" w:rsidRPr="0042288A" w:rsidRDefault="00D31686"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1B57" w:rsidRPr="0042288A" w14:paraId="4A5C24B1" w14:textId="77777777" w:rsidTr="00A91395">
        <w:trPr>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287114C8" w14:textId="60C7E2FC" w:rsidR="00E31B57" w:rsidRPr="0042288A" w:rsidRDefault="00E31B57" w:rsidP="003232E9">
            <w:pPr>
              <w:spacing w:line="480" w:lineRule="auto"/>
              <w:jc w:val="both"/>
              <w:rPr>
                <w:rFonts w:ascii="Arial" w:hAnsi="Arial" w:cs="Arial"/>
                <w:i w:val="0"/>
                <w:iCs w:val="0"/>
                <w:sz w:val="22"/>
                <w:szCs w:val="22"/>
              </w:rPr>
            </w:pPr>
            <w:r>
              <w:rPr>
                <w:rFonts w:ascii="Arial" w:hAnsi="Arial" w:cs="Arial"/>
                <w:i w:val="0"/>
                <w:iCs w:val="0"/>
                <w:sz w:val="22"/>
                <w:szCs w:val="22"/>
              </w:rPr>
              <w:t xml:space="preserve">            </w:t>
            </w:r>
            <w:r w:rsidRPr="0042288A">
              <w:rPr>
                <w:rFonts w:ascii="Arial" w:hAnsi="Arial" w:cs="Arial"/>
                <w:i w:val="0"/>
                <w:iCs w:val="0"/>
                <w:sz w:val="22"/>
                <w:szCs w:val="22"/>
              </w:rPr>
              <w:t>Male</w:t>
            </w:r>
          </w:p>
        </w:tc>
        <w:tc>
          <w:tcPr>
            <w:tcW w:w="3219" w:type="dxa"/>
            <w:shd w:val="clear" w:color="auto" w:fill="FFFFFF" w:themeFill="background1"/>
          </w:tcPr>
          <w:p w14:paraId="15370809" w14:textId="3A6B0FEA" w:rsidR="00E31B57" w:rsidRPr="0042288A" w:rsidRDefault="00E31B57"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31B57">
              <w:rPr>
                <w:rFonts w:ascii="Arial" w:hAnsi="Arial" w:cs="Arial"/>
                <w:sz w:val="22"/>
                <w:szCs w:val="22"/>
              </w:rPr>
              <w:t>455 (346</w:t>
            </w:r>
            <w:r w:rsidR="00044D8C">
              <w:rPr>
                <w:rFonts w:ascii="Arial" w:hAnsi="Arial" w:cs="Arial"/>
                <w:sz w:val="22"/>
                <w:szCs w:val="22"/>
              </w:rPr>
              <w:t xml:space="preserve"> – </w:t>
            </w:r>
            <w:r w:rsidRPr="00E31B57">
              <w:rPr>
                <w:rFonts w:ascii="Arial" w:hAnsi="Arial" w:cs="Arial"/>
                <w:sz w:val="22"/>
                <w:szCs w:val="22"/>
              </w:rPr>
              <w:t>611), n=67</w:t>
            </w:r>
          </w:p>
        </w:tc>
        <w:tc>
          <w:tcPr>
            <w:tcW w:w="1923" w:type="dxa"/>
            <w:vMerge w:val="restart"/>
            <w:shd w:val="clear" w:color="auto" w:fill="FFFFFF" w:themeFill="background1"/>
          </w:tcPr>
          <w:p w14:paraId="7B3C10C4" w14:textId="6F22E631" w:rsidR="00E31B57" w:rsidRPr="007F1B60" w:rsidRDefault="007F1B60"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7F1B60">
              <w:rPr>
                <w:rFonts w:ascii="Arial" w:hAnsi="Arial" w:cs="Arial"/>
                <w:b/>
                <w:bCs/>
                <w:sz w:val="22"/>
                <w:szCs w:val="22"/>
              </w:rPr>
              <w:t>0.022</w:t>
            </w:r>
          </w:p>
        </w:tc>
      </w:tr>
      <w:tr w:rsidR="00E31B57" w:rsidRPr="0042288A" w14:paraId="2B4638A3" w14:textId="77777777"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74077826" w14:textId="2E8BC58F" w:rsidR="00E31B57" w:rsidRPr="0042288A" w:rsidRDefault="00E31B57" w:rsidP="003232E9">
            <w:pPr>
              <w:spacing w:line="480" w:lineRule="auto"/>
              <w:jc w:val="both"/>
              <w:rPr>
                <w:rFonts w:ascii="Arial" w:hAnsi="Arial" w:cs="Arial"/>
                <w:i w:val="0"/>
                <w:iCs w:val="0"/>
                <w:sz w:val="22"/>
                <w:szCs w:val="22"/>
              </w:rPr>
            </w:pPr>
            <w:r>
              <w:rPr>
                <w:rFonts w:ascii="Arial" w:hAnsi="Arial" w:cs="Arial"/>
                <w:i w:val="0"/>
                <w:iCs w:val="0"/>
                <w:sz w:val="22"/>
                <w:szCs w:val="22"/>
              </w:rPr>
              <w:t xml:space="preserve">            </w:t>
            </w:r>
            <w:r w:rsidRPr="0042288A">
              <w:rPr>
                <w:rFonts w:ascii="Arial" w:hAnsi="Arial" w:cs="Arial"/>
                <w:i w:val="0"/>
                <w:iCs w:val="0"/>
                <w:sz w:val="22"/>
                <w:szCs w:val="22"/>
              </w:rPr>
              <w:t>Female</w:t>
            </w:r>
          </w:p>
        </w:tc>
        <w:tc>
          <w:tcPr>
            <w:tcW w:w="3219" w:type="dxa"/>
            <w:shd w:val="clear" w:color="auto" w:fill="FFFFFF" w:themeFill="background1"/>
          </w:tcPr>
          <w:p w14:paraId="5D993134" w14:textId="26B42A23" w:rsidR="00E31B57" w:rsidRPr="0042288A" w:rsidRDefault="00E31B57"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31B57">
              <w:rPr>
                <w:rFonts w:ascii="Arial" w:hAnsi="Arial" w:cs="Arial"/>
                <w:sz w:val="22"/>
                <w:szCs w:val="22"/>
              </w:rPr>
              <w:t>519 (387</w:t>
            </w:r>
            <w:r w:rsidR="00044D8C">
              <w:rPr>
                <w:rFonts w:ascii="Arial" w:hAnsi="Arial" w:cs="Arial"/>
                <w:sz w:val="22"/>
                <w:szCs w:val="22"/>
              </w:rPr>
              <w:t xml:space="preserve"> – </w:t>
            </w:r>
            <w:r w:rsidRPr="00E31B57">
              <w:rPr>
                <w:rFonts w:ascii="Arial" w:hAnsi="Arial" w:cs="Arial"/>
                <w:sz w:val="22"/>
                <w:szCs w:val="22"/>
              </w:rPr>
              <w:t>712), n=143</w:t>
            </w:r>
          </w:p>
        </w:tc>
        <w:tc>
          <w:tcPr>
            <w:tcW w:w="1923" w:type="dxa"/>
            <w:vMerge/>
            <w:shd w:val="clear" w:color="auto" w:fill="FFFFFF" w:themeFill="background1"/>
          </w:tcPr>
          <w:p w14:paraId="59018B34" w14:textId="77777777" w:rsidR="00E31B57" w:rsidRPr="0042288A" w:rsidRDefault="00E31B57"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F1B60" w:rsidRPr="0042288A" w14:paraId="5987CF9A" w14:textId="2938FD15" w:rsidTr="00A91395">
        <w:trPr>
          <w:trHeight w:val="698"/>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4CCC5156" w14:textId="0F984A5F" w:rsidR="00E31B57" w:rsidRPr="0042288A" w:rsidRDefault="00E31B57" w:rsidP="003232E9">
            <w:pPr>
              <w:spacing w:line="480" w:lineRule="auto"/>
              <w:jc w:val="both"/>
              <w:rPr>
                <w:rFonts w:ascii="Arial" w:hAnsi="Arial" w:cs="Arial"/>
                <w:i w:val="0"/>
                <w:iCs w:val="0"/>
                <w:sz w:val="22"/>
                <w:szCs w:val="22"/>
              </w:rPr>
            </w:pPr>
            <w:r w:rsidRPr="0042288A">
              <w:rPr>
                <w:rFonts w:ascii="Arial" w:hAnsi="Arial" w:cs="Arial"/>
                <w:i w:val="0"/>
                <w:iCs w:val="0"/>
                <w:sz w:val="22"/>
                <w:szCs w:val="22"/>
              </w:rPr>
              <w:t>Time on ART</w:t>
            </w:r>
            <w:r w:rsidRPr="009D3C31">
              <w:rPr>
                <w:rFonts w:ascii="Arial" w:hAnsi="Arial" w:cs="Arial"/>
                <w:i w:val="0"/>
                <w:sz w:val="22"/>
                <w:szCs w:val="22"/>
                <w:vertAlign w:val="superscript"/>
              </w:rPr>
              <w:t>†</w:t>
            </w:r>
            <w:r w:rsidRPr="0042288A">
              <w:rPr>
                <w:rFonts w:ascii="Arial" w:hAnsi="Arial" w:cs="Arial"/>
                <w:i w:val="0"/>
                <w:iCs w:val="0"/>
                <w:sz w:val="22"/>
                <w:szCs w:val="22"/>
              </w:rPr>
              <w:t xml:space="preserve"> (weeks), </w:t>
            </w:r>
            <w:r>
              <w:rPr>
                <w:rFonts w:ascii="Arial" w:hAnsi="Arial" w:cs="Arial"/>
                <w:i w:val="0"/>
                <w:iCs w:val="0"/>
                <w:sz w:val="22"/>
                <w:szCs w:val="22"/>
              </w:rPr>
              <w:t>n</w:t>
            </w:r>
          </w:p>
        </w:tc>
        <w:tc>
          <w:tcPr>
            <w:tcW w:w="3219" w:type="dxa"/>
            <w:shd w:val="clear" w:color="auto" w:fill="FFFFFF" w:themeFill="background1"/>
          </w:tcPr>
          <w:p w14:paraId="55592FB3" w14:textId="6724A885" w:rsidR="00E31B57" w:rsidRPr="005A2F40" w:rsidRDefault="00E31B57"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288A">
              <w:rPr>
                <w:rFonts w:ascii="Arial" w:hAnsi="Arial" w:cs="Arial"/>
                <w:sz w:val="22"/>
                <w:szCs w:val="22"/>
              </w:rPr>
              <w:t>140 (89</w:t>
            </w:r>
            <w:r>
              <w:rPr>
                <w:rFonts w:ascii="Arial" w:hAnsi="Arial" w:cs="Arial"/>
                <w:sz w:val="22"/>
                <w:szCs w:val="22"/>
              </w:rPr>
              <w:t xml:space="preserve"> – </w:t>
            </w:r>
            <w:r w:rsidRPr="0042288A">
              <w:rPr>
                <w:rFonts w:ascii="Arial" w:hAnsi="Arial" w:cs="Arial"/>
                <w:sz w:val="22"/>
                <w:szCs w:val="22"/>
              </w:rPr>
              <w:t>216)</w:t>
            </w:r>
            <w:r>
              <w:rPr>
                <w:rFonts w:ascii="Arial" w:hAnsi="Arial" w:cs="Arial"/>
                <w:sz w:val="22"/>
                <w:szCs w:val="22"/>
              </w:rPr>
              <w:t xml:space="preserve">, </w:t>
            </w:r>
            <w:r w:rsidRPr="0073261B">
              <w:rPr>
                <w:rFonts w:ascii="Arial" w:hAnsi="Arial" w:cs="Arial"/>
                <w:iCs/>
                <w:sz w:val="22"/>
                <w:szCs w:val="22"/>
              </w:rPr>
              <w:t>n=213</w:t>
            </w:r>
          </w:p>
        </w:tc>
        <w:tc>
          <w:tcPr>
            <w:tcW w:w="1923" w:type="dxa"/>
            <w:shd w:val="clear" w:color="auto" w:fill="FFFFFF" w:themeFill="background1"/>
          </w:tcPr>
          <w:p w14:paraId="0A51CA33" w14:textId="77777777" w:rsidR="00E31B57" w:rsidRPr="0042288A" w:rsidRDefault="00E31B57"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F1B60" w:rsidRPr="0042288A" w14:paraId="4354C55D" w14:textId="0DDDF41B" w:rsidTr="00A9139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010AF06F" w14:textId="3CEF9B17" w:rsidR="00E31B57" w:rsidRPr="0042288A" w:rsidRDefault="00E31B57" w:rsidP="003232E9">
            <w:pPr>
              <w:spacing w:line="480" w:lineRule="auto"/>
              <w:jc w:val="both"/>
              <w:rPr>
                <w:rFonts w:ascii="Arial" w:hAnsi="Arial" w:cs="Arial"/>
                <w:i w:val="0"/>
                <w:iCs w:val="0"/>
                <w:sz w:val="22"/>
                <w:szCs w:val="22"/>
              </w:rPr>
            </w:pPr>
            <w:r w:rsidRPr="0042288A">
              <w:rPr>
                <w:rFonts w:ascii="Arial" w:hAnsi="Arial" w:cs="Arial"/>
                <w:i w:val="0"/>
                <w:iCs w:val="0"/>
                <w:sz w:val="22"/>
                <w:szCs w:val="22"/>
              </w:rPr>
              <w:t>Waist circumference</w:t>
            </w:r>
            <w:r w:rsidRPr="00325353">
              <w:rPr>
                <w:rFonts w:ascii="Arial" w:hAnsi="Arial" w:cs="Arial"/>
                <w:i w:val="0"/>
                <w:sz w:val="22"/>
                <w:szCs w:val="22"/>
                <w:vertAlign w:val="superscript"/>
              </w:rPr>
              <w:t>†</w:t>
            </w:r>
            <w:r w:rsidRPr="0042288A">
              <w:rPr>
                <w:rFonts w:ascii="Arial" w:hAnsi="Arial" w:cs="Arial"/>
                <w:i w:val="0"/>
                <w:iCs w:val="0"/>
                <w:sz w:val="22"/>
                <w:szCs w:val="22"/>
              </w:rPr>
              <w:t xml:space="preserve"> (cm), </w:t>
            </w:r>
            <w:r>
              <w:rPr>
                <w:rFonts w:ascii="Arial" w:hAnsi="Arial" w:cs="Arial"/>
                <w:i w:val="0"/>
                <w:iCs w:val="0"/>
                <w:sz w:val="22"/>
                <w:szCs w:val="22"/>
              </w:rPr>
              <w:t>n</w:t>
            </w:r>
          </w:p>
        </w:tc>
        <w:tc>
          <w:tcPr>
            <w:tcW w:w="3219" w:type="dxa"/>
            <w:shd w:val="clear" w:color="auto" w:fill="FFFFFF" w:themeFill="background1"/>
          </w:tcPr>
          <w:p w14:paraId="1BB67FE2" w14:textId="77777777" w:rsidR="00E31B57" w:rsidRPr="0042288A" w:rsidRDefault="00E31B57"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23" w:type="dxa"/>
            <w:shd w:val="clear" w:color="auto" w:fill="FFFFFF" w:themeFill="background1"/>
          </w:tcPr>
          <w:p w14:paraId="16EA5F77" w14:textId="77777777" w:rsidR="00E31B57" w:rsidRPr="0042288A" w:rsidRDefault="00E31B57"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31359" w:rsidRPr="0042288A" w14:paraId="1BE19E32" w14:textId="385D1FCA" w:rsidTr="00A91395">
        <w:trPr>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262451F9" w14:textId="2F27962B" w:rsidR="00431359" w:rsidRPr="0042288A" w:rsidRDefault="00431359" w:rsidP="003232E9">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Male</w:t>
            </w:r>
          </w:p>
        </w:tc>
        <w:tc>
          <w:tcPr>
            <w:tcW w:w="3219" w:type="dxa"/>
            <w:shd w:val="clear" w:color="auto" w:fill="FFFFFF" w:themeFill="background1"/>
          </w:tcPr>
          <w:p w14:paraId="5A697CB2" w14:textId="4550E2CE" w:rsidR="00431359" w:rsidRPr="0042288A" w:rsidRDefault="00431359"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288A">
              <w:rPr>
                <w:rFonts w:ascii="Arial" w:hAnsi="Arial" w:cs="Arial"/>
                <w:sz w:val="22"/>
                <w:szCs w:val="22"/>
              </w:rPr>
              <w:t>85 (73</w:t>
            </w:r>
            <w:r>
              <w:rPr>
                <w:rFonts w:ascii="Arial" w:hAnsi="Arial" w:cs="Arial"/>
                <w:sz w:val="22"/>
                <w:szCs w:val="22"/>
              </w:rPr>
              <w:t xml:space="preserve"> – </w:t>
            </w:r>
            <w:r w:rsidRPr="0042288A">
              <w:rPr>
                <w:rFonts w:ascii="Arial" w:hAnsi="Arial" w:cs="Arial"/>
                <w:sz w:val="22"/>
                <w:szCs w:val="22"/>
              </w:rPr>
              <w:t>92)</w:t>
            </w:r>
            <w:r w:rsidRPr="0073261B">
              <w:rPr>
                <w:rFonts w:ascii="Arial" w:hAnsi="Arial" w:cs="Arial"/>
                <w:iCs/>
                <w:sz w:val="22"/>
                <w:szCs w:val="22"/>
              </w:rPr>
              <w:t>, n=67</w:t>
            </w:r>
          </w:p>
        </w:tc>
        <w:tc>
          <w:tcPr>
            <w:tcW w:w="1923" w:type="dxa"/>
            <w:vMerge w:val="restart"/>
            <w:shd w:val="clear" w:color="auto" w:fill="FFFFFF" w:themeFill="background1"/>
          </w:tcPr>
          <w:p w14:paraId="67994DC4" w14:textId="23C6586C" w:rsidR="00431359" w:rsidRPr="0042288A" w:rsidRDefault="00A91395"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0.106</w:t>
            </w:r>
          </w:p>
        </w:tc>
      </w:tr>
      <w:tr w:rsidR="00431359" w:rsidRPr="0042288A" w14:paraId="6ADDBFC0" w14:textId="7F4939AE"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397E9C5C" w14:textId="4352F24F" w:rsidR="00431359" w:rsidRPr="0042288A" w:rsidRDefault="00431359" w:rsidP="003232E9">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Female</w:t>
            </w:r>
          </w:p>
        </w:tc>
        <w:tc>
          <w:tcPr>
            <w:tcW w:w="3219" w:type="dxa"/>
            <w:shd w:val="clear" w:color="auto" w:fill="FFFFFF" w:themeFill="background1"/>
          </w:tcPr>
          <w:p w14:paraId="4941581A" w14:textId="6F90F6AA" w:rsidR="00431359" w:rsidRPr="0042288A" w:rsidRDefault="00431359"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288A">
              <w:rPr>
                <w:rFonts w:ascii="Arial" w:hAnsi="Arial" w:cs="Arial"/>
                <w:sz w:val="22"/>
                <w:szCs w:val="22"/>
              </w:rPr>
              <w:t>87 (76</w:t>
            </w:r>
            <w:r>
              <w:rPr>
                <w:rFonts w:ascii="Arial" w:hAnsi="Arial" w:cs="Arial"/>
                <w:sz w:val="22"/>
                <w:szCs w:val="22"/>
              </w:rPr>
              <w:t xml:space="preserve"> – </w:t>
            </w:r>
            <w:r w:rsidRPr="0042288A">
              <w:rPr>
                <w:rFonts w:ascii="Arial" w:hAnsi="Arial" w:cs="Arial"/>
                <w:sz w:val="22"/>
                <w:szCs w:val="22"/>
              </w:rPr>
              <w:t>100)</w:t>
            </w:r>
            <w:r w:rsidRPr="00492507">
              <w:rPr>
                <w:rFonts w:ascii="Arial" w:hAnsi="Arial" w:cs="Arial"/>
                <w:iCs/>
                <w:sz w:val="22"/>
                <w:szCs w:val="22"/>
              </w:rPr>
              <w:t>, n=142</w:t>
            </w:r>
          </w:p>
        </w:tc>
        <w:tc>
          <w:tcPr>
            <w:tcW w:w="1923" w:type="dxa"/>
            <w:vMerge/>
            <w:shd w:val="clear" w:color="auto" w:fill="FFFFFF" w:themeFill="background1"/>
          </w:tcPr>
          <w:p w14:paraId="3736D47A" w14:textId="77777777" w:rsidR="00431359" w:rsidRPr="0042288A" w:rsidRDefault="00431359"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F1B60" w:rsidRPr="0042288A" w14:paraId="15901ED0" w14:textId="4D82275C" w:rsidTr="00A91395">
        <w:trPr>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58120E94" w14:textId="16599D07" w:rsidR="00E31B57" w:rsidRPr="0042288A" w:rsidRDefault="00E31B57" w:rsidP="003232E9">
            <w:pPr>
              <w:spacing w:line="480" w:lineRule="auto"/>
              <w:jc w:val="both"/>
              <w:rPr>
                <w:rFonts w:ascii="Arial" w:hAnsi="Arial" w:cs="Arial"/>
                <w:i w:val="0"/>
                <w:iCs w:val="0"/>
                <w:sz w:val="22"/>
                <w:szCs w:val="22"/>
              </w:rPr>
            </w:pPr>
            <w:r w:rsidRPr="0042288A">
              <w:rPr>
                <w:rFonts w:ascii="Arial" w:hAnsi="Arial" w:cs="Arial"/>
                <w:i w:val="0"/>
                <w:iCs w:val="0"/>
                <w:sz w:val="22"/>
                <w:szCs w:val="22"/>
              </w:rPr>
              <w:t>Waist-hip ratio</w:t>
            </w:r>
            <w:r w:rsidRPr="0041552E">
              <w:rPr>
                <w:rFonts w:ascii="Arial" w:hAnsi="Arial" w:cs="Arial"/>
                <w:sz w:val="22"/>
                <w:szCs w:val="22"/>
                <w:vertAlign w:val="superscript"/>
              </w:rPr>
              <w:t>†</w:t>
            </w:r>
            <w:r w:rsidRPr="0042288A">
              <w:rPr>
                <w:rFonts w:ascii="Arial" w:hAnsi="Arial" w:cs="Arial"/>
                <w:i w:val="0"/>
                <w:iCs w:val="0"/>
                <w:sz w:val="22"/>
                <w:szCs w:val="22"/>
              </w:rPr>
              <w:t xml:space="preserve">, </w:t>
            </w:r>
            <w:r>
              <w:rPr>
                <w:rFonts w:ascii="Arial" w:hAnsi="Arial" w:cs="Arial"/>
                <w:i w:val="0"/>
                <w:iCs w:val="0"/>
                <w:sz w:val="22"/>
                <w:szCs w:val="22"/>
              </w:rPr>
              <w:t>n</w:t>
            </w:r>
          </w:p>
        </w:tc>
        <w:tc>
          <w:tcPr>
            <w:tcW w:w="3219" w:type="dxa"/>
            <w:shd w:val="clear" w:color="auto" w:fill="FFFFFF" w:themeFill="background1"/>
          </w:tcPr>
          <w:p w14:paraId="47C617E9" w14:textId="77777777" w:rsidR="00E31B57" w:rsidRPr="0042288A" w:rsidRDefault="00E31B57"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23" w:type="dxa"/>
            <w:shd w:val="clear" w:color="auto" w:fill="FFFFFF" w:themeFill="background1"/>
          </w:tcPr>
          <w:p w14:paraId="152CC280" w14:textId="5A4C9B0A" w:rsidR="00E31B57" w:rsidRPr="0042288A" w:rsidRDefault="00E31B57"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31359" w:rsidRPr="0042288A" w14:paraId="001BE734" w14:textId="712E6650" w:rsidTr="00A9139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54FACAE2" w14:textId="7B9EA942" w:rsidR="00431359" w:rsidRPr="0042288A" w:rsidRDefault="00431359" w:rsidP="003232E9">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Male</w:t>
            </w:r>
          </w:p>
        </w:tc>
        <w:tc>
          <w:tcPr>
            <w:tcW w:w="3219" w:type="dxa"/>
            <w:shd w:val="clear" w:color="auto" w:fill="FFFFFF" w:themeFill="background1"/>
          </w:tcPr>
          <w:p w14:paraId="34461838" w14:textId="67958AF2" w:rsidR="00431359" w:rsidRPr="0042288A" w:rsidRDefault="00431359"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288A">
              <w:rPr>
                <w:rFonts w:ascii="Arial" w:hAnsi="Arial" w:cs="Arial"/>
                <w:sz w:val="22"/>
                <w:szCs w:val="22"/>
              </w:rPr>
              <w:t>0.92 (0.87</w:t>
            </w:r>
            <w:r>
              <w:rPr>
                <w:rFonts w:ascii="Arial" w:hAnsi="Arial" w:cs="Arial"/>
                <w:sz w:val="22"/>
                <w:szCs w:val="22"/>
              </w:rPr>
              <w:t xml:space="preserve"> – </w:t>
            </w:r>
            <w:r w:rsidRPr="0042288A">
              <w:rPr>
                <w:rFonts w:ascii="Arial" w:hAnsi="Arial" w:cs="Arial"/>
                <w:sz w:val="22"/>
                <w:szCs w:val="22"/>
              </w:rPr>
              <w:t>0.98)</w:t>
            </w:r>
            <w:r w:rsidRPr="00492507">
              <w:rPr>
                <w:rFonts w:ascii="Arial" w:hAnsi="Arial" w:cs="Arial"/>
                <w:iCs/>
                <w:sz w:val="22"/>
                <w:szCs w:val="22"/>
              </w:rPr>
              <w:t>, n=62</w:t>
            </w:r>
          </w:p>
        </w:tc>
        <w:tc>
          <w:tcPr>
            <w:tcW w:w="1923" w:type="dxa"/>
            <w:vMerge w:val="restart"/>
            <w:shd w:val="clear" w:color="auto" w:fill="FFFFFF" w:themeFill="background1"/>
          </w:tcPr>
          <w:p w14:paraId="1C1805A6" w14:textId="2EC4E8CE" w:rsidR="00431359" w:rsidRPr="00A91395" w:rsidRDefault="00A91395" w:rsidP="00E4561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A91395">
              <w:rPr>
                <w:rFonts w:ascii="Arial" w:hAnsi="Arial" w:cs="Arial"/>
                <w:b/>
                <w:bCs/>
                <w:sz w:val="22"/>
                <w:szCs w:val="22"/>
              </w:rPr>
              <w:t>&lt;0.001</w:t>
            </w:r>
          </w:p>
        </w:tc>
      </w:tr>
      <w:tr w:rsidR="00431359" w:rsidRPr="0042288A" w14:paraId="382C285A" w14:textId="609D6B13" w:rsidTr="00A91395">
        <w:trPr>
          <w:trHeight w:val="698"/>
        </w:trPr>
        <w:tc>
          <w:tcPr>
            <w:cnfStyle w:val="001000000000" w:firstRow="0" w:lastRow="0" w:firstColumn="1" w:lastColumn="0" w:oddVBand="0" w:evenVBand="0" w:oddHBand="0" w:evenHBand="0" w:firstRowFirstColumn="0" w:firstRowLastColumn="0" w:lastRowFirstColumn="0" w:lastRowLastColumn="0"/>
            <w:tcW w:w="5467" w:type="dxa"/>
            <w:tcBorders>
              <w:right w:val="none" w:sz="0" w:space="0" w:color="auto"/>
            </w:tcBorders>
          </w:tcPr>
          <w:p w14:paraId="4981549C" w14:textId="17049F68" w:rsidR="00431359" w:rsidRPr="0042288A" w:rsidRDefault="00431359" w:rsidP="003232E9">
            <w:pPr>
              <w:spacing w:line="480" w:lineRule="auto"/>
              <w:ind w:left="720"/>
              <w:jc w:val="both"/>
              <w:rPr>
                <w:rFonts w:ascii="Arial" w:hAnsi="Arial" w:cs="Arial"/>
                <w:i w:val="0"/>
                <w:iCs w:val="0"/>
                <w:sz w:val="22"/>
                <w:szCs w:val="22"/>
              </w:rPr>
            </w:pPr>
            <w:r w:rsidRPr="0042288A">
              <w:rPr>
                <w:rFonts w:ascii="Arial" w:hAnsi="Arial" w:cs="Arial"/>
                <w:i w:val="0"/>
                <w:iCs w:val="0"/>
                <w:sz w:val="22"/>
                <w:szCs w:val="22"/>
              </w:rPr>
              <w:t>Female</w:t>
            </w:r>
          </w:p>
        </w:tc>
        <w:tc>
          <w:tcPr>
            <w:tcW w:w="3219" w:type="dxa"/>
            <w:shd w:val="clear" w:color="auto" w:fill="FFFFFF" w:themeFill="background1"/>
          </w:tcPr>
          <w:p w14:paraId="0197D0A6" w14:textId="19DE25AC" w:rsidR="00431359" w:rsidRPr="0042288A" w:rsidRDefault="00431359"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288A">
              <w:rPr>
                <w:rFonts w:ascii="Arial" w:hAnsi="Arial" w:cs="Arial"/>
                <w:sz w:val="22"/>
                <w:szCs w:val="22"/>
              </w:rPr>
              <w:t>0.86 (0.82</w:t>
            </w:r>
            <w:r>
              <w:rPr>
                <w:rFonts w:ascii="Arial" w:hAnsi="Arial" w:cs="Arial"/>
                <w:sz w:val="22"/>
                <w:szCs w:val="22"/>
              </w:rPr>
              <w:t xml:space="preserve"> – </w:t>
            </w:r>
            <w:r w:rsidRPr="0042288A">
              <w:rPr>
                <w:rFonts w:ascii="Arial" w:hAnsi="Arial" w:cs="Arial"/>
                <w:sz w:val="22"/>
                <w:szCs w:val="22"/>
              </w:rPr>
              <w:t>0.92)</w:t>
            </w:r>
            <w:r w:rsidRPr="0073261B">
              <w:rPr>
                <w:rFonts w:ascii="Arial" w:hAnsi="Arial" w:cs="Arial"/>
                <w:iCs/>
                <w:sz w:val="22"/>
                <w:szCs w:val="22"/>
              </w:rPr>
              <w:t>, n=108</w:t>
            </w:r>
          </w:p>
        </w:tc>
        <w:tc>
          <w:tcPr>
            <w:tcW w:w="1923" w:type="dxa"/>
            <w:vMerge/>
            <w:shd w:val="clear" w:color="auto" w:fill="FFFFFF" w:themeFill="background1"/>
          </w:tcPr>
          <w:p w14:paraId="12219378" w14:textId="77777777" w:rsidR="00431359" w:rsidRPr="0042288A" w:rsidRDefault="00431359" w:rsidP="00E4561A">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8B8792B" w14:textId="2F28070D" w:rsidR="00D725D0" w:rsidRDefault="00D3089B" w:rsidP="00E4561A">
      <w:pPr>
        <w:ind w:firstLine="720"/>
        <w:jc w:val="both"/>
        <w:rPr>
          <w:rFonts w:ascii="Arial" w:hAnsi="Arial" w:cs="Arial"/>
          <w:sz w:val="22"/>
          <w:szCs w:val="22"/>
        </w:rPr>
      </w:pPr>
      <w:r>
        <w:rPr>
          <w:rFonts w:ascii="Arial" w:hAnsi="Arial" w:cs="Arial"/>
          <w:sz w:val="22"/>
          <w:szCs w:val="22"/>
          <w:vertAlign w:val="superscript"/>
        </w:rPr>
        <w:t xml:space="preserve">* </w:t>
      </w:r>
      <w:r>
        <w:rPr>
          <w:rFonts w:ascii="Arial" w:hAnsi="Arial" w:cs="Arial"/>
          <w:sz w:val="22"/>
          <w:szCs w:val="22"/>
        </w:rPr>
        <w:t xml:space="preserve">Male compared with female; </w:t>
      </w:r>
      <w:r w:rsidR="0041552E" w:rsidRPr="0073261B">
        <w:rPr>
          <w:rFonts w:ascii="Arial" w:hAnsi="Arial" w:cs="Arial"/>
          <w:sz w:val="22"/>
          <w:szCs w:val="22"/>
          <w:vertAlign w:val="superscript"/>
        </w:rPr>
        <w:t>†</w:t>
      </w:r>
      <w:r w:rsidR="0041552E" w:rsidRPr="0073261B">
        <w:rPr>
          <w:rFonts w:ascii="Arial" w:hAnsi="Arial" w:cs="Arial"/>
          <w:sz w:val="22"/>
          <w:szCs w:val="22"/>
        </w:rPr>
        <w:t xml:space="preserve">Median and interquartile range; </w:t>
      </w:r>
      <w:r w:rsidR="0041552E" w:rsidRPr="0073261B">
        <w:rPr>
          <w:rFonts w:ascii="Arial" w:hAnsi="Arial" w:cs="Arial"/>
          <w:sz w:val="22"/>
          <w:szCs w:val="22"/>
          <w:vertAlign w:val="superscript"/>
        </w:rPr>
        <w:t>‡</w:t>
      </w:r>
      <w:r w:rsidR="0041552E" w:rsidRPr="0073261B">
        <w:rPr>
          <w:rFonts w:ascii="Arial" w:hAnsi="Arial" w:cs="Arial"/>
          <w:sz w:val="22"/>
          <w:szCs w:val="22"/>
        </w:rPr>
        <w:t>Mean and standard deviation</w:t>
      </w:r>
    </w:p>
    <w:p w14:paraId="5F9560D8" w14:textId="77777777" w:rsidR="00D725D0" w:rsidRDefault="00D725D0" w:rsidP="00E4561A">
      <w:pPr>
        <w:ind w:firstLine="720"/>
        <w:jc w:val="both"/>
        <w:rPr>
          <w:rFonts w:ascii="Arial" w:hAnsi="Arial" w:cs="Arial"/>
          <w:sz w:val="22"/>
          <w:szCs w:val="22"/>
        </w:rPr>
        <w:sectPr w:rsidR="00D725D0" w:rsidSect="001951AF">
          <w:pgSz w:w="11900" w:h="16840"/>
          <w:pgMar w:top="720" w:right="720" w:bottom="720" w:left="720" w:header="708" w:footer="708" w:gutter="0"/>
          <w:lnNumType w:countBy="1" w:restart="continuous"/>
          <w:cols w:space="708"/>
          <w:docGrid w:linePitch="360"/>
        </w:sectPr>
      </w:pPr>
    </w:p>
    <w:p w14:paraId="550E5841" w14:textId="77777777" w:rsidR="00D725D0" w:rsidRPr="005F3755" w:rsidRDefault="00D725D0" w:rsidP="00E4561A">
      <w:pPr>
        <w:spacing w:line="480" w:lineRule="auto"/>
        <w:jc w:val="both"/>
        <w:rPr>
          <w:rFonts w:ascii="Arial" w:hAnsi="Arial" w:cs="Arial"/>
          <w:sz w:val="16"/>
          <w:szCs w:val="16"/>
        </w:rPr>
      </w:pPr>
      <w:r w:rsidRPr="005F3755">
        <w:rPr>
          <w:rFonts w:ascii="Arial" w:hAnsi="Arial" w:cs="Arial"/>
          <w:b/>
          <w:bCs/>
          <w:sz w:val="16"/>
          <w:szCs w:val="16"/>
        </w:rPr>
        <w:lastRenderedPageBreak/>
        <w:t>Table 2.</w:t>
      </w:r>
      <w:r w:rsidRPr="005F3755">
        <w:rPr>
          <w:rFonts w:ascii="Arial" w:hAnsi="Arial" w:cs="Arial"/>
          <w:sz w:val="16"/>
          <w:szCs w:val="16"/>
        </w:rPr>
        <w:t xml:space="preserve"> ART concentrations across BMI, waist circumference, and waist-hip ratio</w:t>
      </w:r>
    </w:p>
    <w:tbl>
      <w:tblPr>
        <w:tblStyle w:val="TableGrid"/>
        <w:tblW w:w="18711" w:type="dxa"/>
        <w:tblInd w:w="-5" w:type="dxa"/>
        <w:tblLayout w:type="fixed"/>
        <w:tblLook w:val="04A0" w:firstRow="1" w:lastRow="0" w:firstColumn="1" w:lastColumn="0" w:noHBand="0" w:noVBand="1"/>
      </w:tblPr>
      <w:tblGrid>
        <w:gridCol w:w="1276"/>
        <w:gridCol w:w="1843"/>
        <w:gridCol w:w="1843"/>
        <w:gridCol w:w="992"/>
        <w:gridCol w:w="1559"/>
        <w:gridCol w:w="1559"/>
        <w:gridCol w:w="993"/>
        <w:gridCol w:w="1701"/>
        <w:gridCol w:w="1879"/>
        <w:gridCol w:w="956"/>
        <w:gridCol w:w="1559"/>
        <w:gridCol w:w="1559"/>
        <w:gridCol w:w="992"/>
      </w:tblGrid>
      <w:tr w:rsidR="00C9716D" w:rsidRPr="005F3755" w14:paraId="1E58990F" w14:textId="77777777" w:rsidTr="0073261B">
        <w:trPr>
          <w:trHeight w:val="866"/>
        </w:trPr>
        <w:tc>
          <w:tcPr>
            <w:tcW w:w="1276" w:type="dxa"/>
          </w:tcPr>
          <w:p w14:paraId="225C9A8B" w14:textId="7E9CE320" w:rsidR="00D725D0" w:rsidRPr="005F3755" w:rsidRDefault="00713B81" w:rsidP="0032098A">
            <w:pPr>
              <w:spacing w:line="480" w:lineRule="auto"/>
              <w:jc w:val="both"/>
              <w:rPr>
                <w:rFonts w:ascii="Arial" w:hAnsi="Arial" w:cs="Arial"/>
                <w:sz w:val="16"/>
                <w:szCs w:val="16"/>
              </w:rPr>
            </w:pPr>
            <w:r w:rsidRPr="005F3755">
              <w:rPr>
                <w:rFonts w:ascii="Arial" w:hAnsi="Arial" w:cs="Arial"/>
                <w:b/>
                <w:sz w:val="16"/>
                <w:szCs w:val="16"/>
              </w:rPr>
              <w:t>Categories of tested variables</w:t>
            </w:r>
          </w:p>
        </w:tc>
        <w:tc>
          <w:tcPr>
            <w:tcW w:w="3686" w:type="dxa"/>
            <w:gridSpan w:val="2"/>
          </w:tcPr>
          <w:p w14:paraId="056AFC24" w14:textId="653AF7F6" w:rsidR="00BC675E"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BMI</w:t>
            </w:r>
            <w:r w:rsidR="00F50C9E" w:rsidRPr="005F3755">
              <w:rPr>
                <w:rFonts w:ascii="Arial" w:hAnsi="Arial" w:cs="Arial"/>
                <w:b/>
                <w:sz w:val="16"/>
                <w:szCs w:val="16"/>
                <w:vertAlign w:val="superscript"/>
              </w:rPr>
              <w:t>1</w:t>
            </w:r>
            <w:r w:rsidRPr="005F3755">
              <w:rPr>
                <w:rFonts w:ascii="Arial" w:hAnsi="Arial" w:cs="Arial"/>
                <w:b/>
                <w:sz w:val="16"/>
                <w:szCs w:val="16"/>
              </w:rPr>
              <w:t xml:space="preserve"> (kg/m²)</w:t>
            </w:r>
          </w:p>
          <w:p w14:paraId="32AB0AC5" w14:textId="7AA79331" w:rsidR="00D725D0" w:rsidRPr="005F3755" w:rsidRDefault="00D725D0" w:rsidP="0032098A">
            <w:pPr>
              <w:spacing w:line="480" w:lineRule="auto"/>
              <w:jc w:val="both"/>
              <w:rPr>
                <w:rFonts w:ascii="Arial" w:hAnsi="Arial" w:cs="Arial"/>
                <w:bCs/>
                <w:sz w:val="16"/>
                <w:szCs w:val="16"/>
              </w:rPr>
            </w:pPr>
          </w:p>
        </w:tc>
        <w:tc>
          <w:tcPr>
            <w:tcW w:w="992" w:type="dxa"/>
          </w:tcPr>
          <w:p w14:paraId="49199B03" w14:textId="5BE7E5A8"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P-value</w:t>
            </w:r>
            <w:r w:rsidR="00343926" w:rsidRPr="005F3755">
              <w:rPr>
                <w:rFonts w:ascii="Arial" w:hAnsi="Arial" w:cs="Arial"/>
                <w:sz w:val="16"/>
                <w:szCs w:val="16"/>
                <w:vertAlign w:val="superscript"/>
              </w:rPr>
              <w:t>‡</w:t>
            </w:r>
            <w:r w:rsidRPr="005F3755">
              <w:rPr>
                <w:rFonts w:ascii="Arial" w:hAnsi="Arial" w:cs="Arial"/>
                <w:b/>
                <w:sz w:val="16"/>
                <w:szCs w:val="16"/>
              </w:rPr>
              <w:t xml:space="preserve"> </w:t>
            </w:r>
          </w:p>
        </w:tc>
        <w:tc>
          <w:tcPr>
            <w:tcW w:w="3118" w:type="dxa"/>
            <w:gridSpan w:val="2"/>
          </w:tcPr>
          <w:p w14:paraId="0C228695" w14:textId="6432C1E4" w:rsidR="00BC675E" w:rsidRPr="005F3755" w:rsidRDefault="00E6595F" w:rsidP="0032098A">
            <w:pPr>
              <w:spacing w:line="480" w:lineRule="auto"/>
              <w:jc w:val="both"/>
              <w:rPr>
                <w:rFonts w:ascii="Arial" w:hAnsi="Arial" w:cs="Arial"/>
                <w:b/>
                <w:sz w:val="16"/>
                <w:szCs w:val="16"/>
              </w:rPr>
            </w:pPr>
            <w:r w:rsidRPr="005F3755">
              <w:rPr>
                <w:rFonts w:ascii="Arial" w:hAnsi="Arial" w:cs="Arial"/>
                <w:b/>
                <w:sz w:val="16"/>
                <w:szCs w:val="16"/>
              </w:rPr>
              <w:t>WC</w:t>
            </w:r>
            <w:r w:rsidR="00F50C9E" w:rsidRPr="005F3755">
              <w:rPr>
                <w:rFonts w:ascii="Arial" w:hAnsi="Arial" w:cs="Arial"/>
                <w:b/>
                <w:sz w:val="16"/>
                <w:szCs w:val="16"/>
                <w:vertAlign w:val="superscript"/>
              </w:rPr>
              <w:t>2</w:t>
            </w:r>
            <w:r w:rsidR="00D725D0" w:rsidRPr="005F3755">
              <w:rPr>
                <w:rFonts w:ascii="Arial" w:hAnsi="Arial" w:cs="Arial"/>
                <w:b/>
                <w:sz w:val="16"/>
                <w:szCs w:val="16"/>
              </w:rPr>
              <w:t xml:space="preserve"> (cm)</w:t>
            </w:r>
          </w:p>
          <w:p w14:paraId="5AAE616F" w14:textId="57EDAAB0" w:rsidR="00D725D0" w:rsidRPr="005F3755" w:rsidRDefault="00D725D0" w:rsidP="0032098A">
            <w:pPr>
              <w:spacing w:line="480" w:lineRule="auto"/>
              <w:jc w:val="both"/>
              <w:rPr>
                <w:rFonts w:ascii="Arial" w:hAnsi="Arial" w:cs="Arial"/>
                <w:bCs/>
                <w:sz w:val="16"/>
                <w:szCs w:val="16"/>
              </w:rPr>
            </w:pPr>
          </w:p>
        </w:tc>
        <w:tc>
          <w:tcPr>
            <w:tcW w:w="993" w:type="dxa"/>
          </w:tcPr>
          <w:p w14:paraId="24569654" w14:textId="4C4C5875"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 xml:space="preserve">P-value </w:t>
            </w:r>
          </w:p>
        </w:tc>
        <w:tc>
          <w:tcPr>
            <w:tcW w:w="3580" w:type="dxa"/>
            <w:gridSpan w:val="2"/>
          </w:tcPr>
          <w:p w14:paraId="5ECC91C5" w14:textId="6C1A96E8" w:rsidR="00BC675E" w:rsidRPr="005F3755" w:rsidRDefault="00E6595F" w:rsidP="0032098A">
            <w:pPr>
              <w:spacing w:line="480" w:lineRule="auto"/>
              <w:jc w:val="both"/>
              <w:rPr>
                <w:rFonts w:ascii="Arial" w:hAnsi="Arial" w:cs="Arial"/>
                <w:b/>
                <w:sz w:val="16"/>
                <w:szCs w:val="16"/>
              </w:rPr>
            </w:pPr>
            <w:r w:rsidRPr="005F3755">
              <w:rPr>
                <w:rFonts w:ascii="Arial" w:hAnsi="Arial" w:cs="Arial"/>
                <w:b/>
                <w:sz w:val="16"/>
                <w:szCs w:val="16"/>
              </w:rPr>
              <w:t>WHR</w:t>
            </w:r>
            <w:r w:rsidR="00F50C9E" w:rsidRPr="005F3755">
              <w:rPr>
                <w:rFonts w:ascii="Arial" w:hAnsi="Arial" w:cs="Arial"/>
                <w:b/>
                <w:sz w:val="16"/>
                <w:szCs w:val="16"/>
                <w:vertAlign w:val="superscript"/>
              </w:rPr>
              <w:t>3</w:t>
            </w:r>
          </w:p>
          <w:p w14:paraId="16A10287" w14:textId="356B47F9" w:rsidR="00D725D0" w:rsidRPr="005F3755" w:rsidRDefault="00D725D0" w:rsidP="0032098A">
            <w:pPr>
              <w:spacing w:line="480" w:lineRule="auto"/>
              <w:jc w:val="both"/>
              <w:rPr>
                <w:rFonts w:ascii="Arial" w:hAnsi="Arial" w:cs="Arial"/>
                <w:bCs/>
                <w:sz w:val="16"/>
                <w:szCs w:val="16"/>
              </w:rPr>
            </w:pPr>
          </w:p>
        </w:tc>
        <w:tc>
          <w:tcPr>
            <w:tcW w:w="956" w:type="dxa"/>
          </w:tcPr>
          <w:p w14:paraId="7EA55611" w14:textId="79F040B2"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P-value</w:t>
            </w:r>
          </w:p>
        </w:tc>
        <w:tc>
          <w:tcPr>
            <w:tcW w:w="3118" w:type="dxa"/>
            <w:gridSpan w:val="2"/>
          </w:tcPr>
          <w:p w14:paraId="0FE855CF" w14:textId="07B12797" w:rsidR="00BC675E"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 xml:space="preserve">Difference in </w:t>
            </w:r>
            <w:r w:rsidR="00E15B8F" w:rsidRPr="005F3755">
              <w:rPr>
                <w:rFonts w:ascii="Arial" w:hAnsi="Arial" w:cs="Arial"/>
                <w:b/>
                <w:sz w:val="16"/>
                <w:szCs w:val="16"/>
              </w:rPr>
              <w:t>sex</w:t>
            </w:r>
          </w:p>
          <w:p w14:paraId="661A5C8A" w14:textId="2F574334" w:rsidR="00D725D0" w:rsidRPr="005F3755" w:rsidRDefault="00D725D0" w:rsidP="0032098A">
            <w:pPr>
              <w:spacing w:line="480" w:lineRule="auto"/>
              <w:jc w:val="both"/>
              <w:rPr>
                <w:rFonts w:ascii="Arial" w:hAnsi="Arial" w:cs="Arial"/>
                <w:bCs/>
                <w:sz w:val="16"/>
                <w:szCs w:val="16"/>
              </w:rPr>
            </w:pPr>
          </w:p>
        </w:tc>
        <w:tc>
          <w:tcPr>
            <w:tcW w:w="992" w:type="dxa"/>
          </w:tcPr>
          <w:p w14:paraId="3738EFE9" w14:textId="67B1E611"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 xml:space="preserve">P-value </w:t>
            </w:r>
          </w:p>
        </w:tc>
      </w:tr>
      <w:tr w:rsidR="00C9716D" w:rsidRPr="005F3755" w14:paraId="145333F5" w14:textId="77777777" w:rsidTr="0073261B">
        <w:trPr>
          <w:trHeight w:val="693"/>
        </w:trPr>
        <w:tc>
          <w:tcPr>
            <w:tcW w:w="1276" w:type="dxa"/>
          </w:tcPr>
          <w:p w14:paraId="0E84B8F1" w14:textId="77777777" w:rsidR="00D725D0" w:rsidRPr="005F3755" w:rsidRDefault="00D725D0" w:rsidP="0032098A">
            <w:pPr>
              <w:spacing w:line="480" w:lineRule="auto"/>
              <w:jc w:val="both"/>
              <w:rPr>
                <w:rFonts w:ascii="Arial" w:hAnsi="Arial" w:cs="Arial"/>
                <w:b/>
                <w:sz w:val="16"/>
                <w:szCs w:val="16"/>
              </w:rPr>
            </w:pPr>
          </w:p>
          <w:p w14:paraId="14B7A548" w14:textId="174AA795" w:rsidR="00D725D0" w:rsidRPr="005F3755" w:rsidRDefault="00D725D0" w:rsidP="0032098A">
            <w:pPr>
              <w:spacing w:line="480" w:lineRule="auto"/>
              <w:jc w:val="both"/>
              <w:rPr>
                <w:rFonts w:ascii="Arial" w:hAnsi="Arial" w:cs="Arial"/>
                <w:b/>
                <w:sz w:val="16"/>
                <w:szCs w:val="16"/>
              </w:rPr>
            </w:pPr>
          </w:p>
        </w:tc>
        <w:tc>
          <w:tcPr>
            <w:tcW w:w="1843" w:type="dxa"/>
          </w:tcPr>
          <w:p w14:paraId="494DD260" w14:textId="29957685" w:rsidR="006A7B88" w:rsidRPr="005F3755" w:rsidRDefault="002409A2" w:rsidP="0032098A">
            <w:pPr>
              <w:spacing w:line="480" w:lineRule="auto"/>
              <w:jc w:val="both"/>
              <w:rPr>
                <w:rFonts w:ascii="Arial" w:hAnsi="Arial" w:cs="Arial"/>
                <w:sz w:val="16"/>
                <w:szCs w:val="16"/>
              </w:rPr>
            </w:pPr>
            <w:r w:rsidRPr="005F3755">
              <w:rPr>
                <w:rFonts w:ascii="Arial" w:hAnsi="Arial" w:cs="Arial"/>
                <w:sz w:val="16"/>
                <w:szCs w:val="16"/>
              </w:rPr>
              <w:t>Non-obese</w:t>
            </w:r>
          </w:p>
          <w:p w14:paraId="674ABFD6" w14:textId="6C3C360E"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n=168 </w:t>
            </w:r>
          </w:p>
        </w:tc>
        <w:tc>
          <w:tcPr>
            <w:tcW w:w="1843" w:type="dxa"/>
          </w:tcPr>
          <w:p w14:paraId="0BBEBBE6" w14:textId="6D83C6BA" w:rsidR="006A7B88" w:rsidRPr="005F3755" w:rsidRDefault="002409A2" w:rsidP="0032098A">
            <w:pPr>
              <w:spacing w:line="480" w:lineRule="auto"/>
              <w:jc w:val="both"/>
              <w:rPr>
                <w:rFonts w:ascii="Arial" w:hAnsi="Arial" w:cs="Arial"/>
                <w:sz w:val="16"/>
                <w:szCs w:val="16"/>
              </w:rPr>
            </w:pPr>
            <w:r w:rsidRPr="005F3755">
              <w:rPr>
                <w:rFonts w:ascii="Arial" w:hAnsi="Arial" w:cs="Arial"/>
                <w:sz w:val="16"/>
                <w:szCs w:val="16"/>
              </w:rPr>
              <w:t>Obese</w:t>
            </w:r>
          </w:p>
          <w:p w14:paraId="703D0DF6" w14:textId="51754F8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n=43 </w:t>
            </w:r>
          </w:p>
        </w:tc>
        <w:tc>
          <w:tcPr>
            <w:tcW w:w="992" w:type="dxa"/>
          </w:tcPr>
          <w:p w14:paraId="714D8329" w14:textId="77777777" w:rsidR="00D725D0" w:rsidRPr="005F3755" w:rsidRDefault="00D725D0" w:rsidP="0032098A">
            <w:pPr>
              <w:spacing w:line="480" w:lineRule="auto"/>
              <w:jc w:val="both"/>
              <w:rPr>
                <w:rFonts w:ascii="Arial" w:hAnsi="Arial" w:cs="Arial"/>
                <w:sz w:val="16"/>
                <w:szCs w:val="16"/>
              </w:rPr>
            </w:pPr>
          </w:p>
        </w:tc>
        <w:tc>
          <w:tcPr>
            <w:tcW w:w="1559" w:type="dxa"/>
          </w:tcPr>
          <w:p w14:paraId="40D91E71" w14:textId="3CC2818A" w:rsidR="006A7B88" w:rsidRPr="005F3755" w:rsidRDefault="002409A2" w:rsidP="0032098A">
            <w:pPr>
              <w:spacing w:line="480" w:lineRule="auto"/>
              <w:jc w:val="both"/>
              <w:rPr>
                <w:rFonts w:ascii="Arial" w:hAnsi="Arial" w:cs="Arial"/>
                <w:sz w:val="16"/>
                <w:szCs w:val="16"/>
              </w:rPr>
            </w:pPr>
            <w:r w:rsidRPr="005F3755">
              <w:rPr>
                <w:rFonts w:ascii="Arial" w:hAnsi="Arial" w:cs="Arial"/>
                <w:sz w:val="16"/>
                <w:szCs w:val="16"/>
              </w:rPr>
              <w:t>Non-obese</w:t>
            </w:r>
          </w:p>
          <w:p w14:paraId="339A6DE7" w14:textId="2B20CA79"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n=97 </w:t>
            </w:r>
          </w:p>
        </w:tc>
        <w:tc>
          <w:tcPr>
            <w:tcW w:w="1559" w:type="dxa"/>
          </w:tcPr>
          <w:p w14:paraId="0B3AA78E" w14:textId="66E6FB2A" w:rsidR="006A7B88" w:rsidRPr="005F3755" w:rsidRDefault="002409A2" w:rsidP="0032098A">
            <w:pPr>
              <w:spacing w:line="480" w:lineRule="auto"/>
              <w:jc w:val="both"/>
              <w:rPr>
                <w:rFonts w:ascii="Arial" w:hAnsi="Arial" w:cs="Arial"/>
                <w:sz w:val="16"/>
                <w:szCs w:val="16"/>
              </w:rPr>
            </w:pPr>
            <w:r w:rsidRPr="005F3755">
              <w:rPr>
                <w:rFonts w:ascii="Arial" w:hAnsi="Arial" w:cs="Arial"/>
                <w:sz w:val="16"/>
                <w:szCs w:val="16"/>
              </w:rPr>
              <w:t>Obese</w:t>
            </w:r>
          </w:p>
          <w:p w14:paraId="5D0D7F36" w14:textId="256F8792"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n=112 </w:t>
            </w:r>
          </w:p>
        </w:tc>
        <w:tc>
          <w:tcPr>
            <w:tcW w:w="993" w:type="dxa"/>
          </w:tcPr>
          <w:p w14:paraId="69D6319A" w14:textId="77777777" w:rsidR="00D725D0" w:rsidRPr="005F3755" w:rsidRDefault="00D725D0" w:rsidP="0032098A">
            <w:pPr>
              <w:spacing w:line="480" w:lineRule="auto"/>
              <w:jc w:val="both"/>
              <w:rPr>
                <w:rFonts w:ascii="Arial" w:hAnsi="Arial" w:cs="Arial"/>
                <w:sz w:val="16"/>
                <w:szCs w:val="16"/>
              </w:rPr>
            </w:pPr>
          </w:p>
        </w:tc>
        <w:tc>
          <w:tcPr>
            <w:tcW w:w="1701" w:type="dxa"/>
          </w:tcPr>
          <w:p w14:paraId="40244983" w14:textId="5E7E8C11" w:rsidR="007A1D3C" w:rsidRPr="005F3755" w:rsidRDefault="002409A2" w:rsidP="0032098A">
            <w:pPr>
              <w:spacing w:line="480" w:lineRule="auto"/>
              <w:jc w:val="both"/>
              <w:rPr>
                <w:rFonts w:ascii="Arial" w:hAnsi="Arial" w:cs="Arial"/>
                <w:sz w:val="16"/>
                <w:szCs w:val="16"/>
              </w:rPr>
            </w:pPr>
            <w:r w:rsidRPr="005F3755">
              <w:rPr>
                <w:rFonts w:ascii="Arial" w:hAnsi="Arial" w:cs="Arial"/>
                <w:sz w:val="16"/>
                <w:szCs w:val="16"/>
              </w:rPr>
              <w:t>Non-obese</w:t>
            </w:r>
          </w:p>
          <w:p w14:paraId="194EE535" w14:textId="606D5D4F"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n=64 </w:t>
            </w:r>
          </w:p>
        </w:tc>
        <w:tc>
          <w:tcPr>
            <w:tcW w:w="1879" w:type="dxa"/>
          </w:tcPr>
          <w:p w14:paraId="13C142E3" w14:textId="6D5327DD" w:rsidR="002409A2" w:rsidRPr="005F3755" w:rsidRDefault="002409A2" w:rsidP="0032098A">
            <w:pPr>
              <w:spacing w:line="480" w:lineRule="auto"/>
              <w:jc w:val="both"/>
              <w:rPr>
                <w:rFonts w:ascii="Arial" w:hAnsi="Arial" w:cs="Arial"/>
                <w:sz w:val="16"/>
                <w:szCs w:val="16"/>
              </w:rPr>
            </w:pPr>
            <w:r w:rsidRPr="005F3755">
              <w:rPr>
                <w:rFonts w:ascii="Arial" w:hAnsi="Arial" w:cs="Arial"/>
                <w:sz w:val="16"/>
                <w:szCs w:val="16"/>
              </w:rPr>
              <w:t>Obese</w:t>
            </w:r>
          </w:p>
          <w:p w14:paraId="7DDD57C1" w14:textId="6BC38168"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n=106 </w:t>
            </w:r>
          </w:p>
        </w:tc>
        <w:tc>
          <w:tcPr>
            <w:tcW w:w="956" w:type="dxa"/>
          </w:tcPr>
          <w:p w14:paraId="2F7C7BEE" w14:textId="77777777" w:rsidR="00D725D0" w:rsidRPr="005F3755" w:rsidRDefault="00D725D0" w:rsidP="0032098A">
            <w:pPr>
              <w:spacing w:line="480" w:lineRule="auto"/>
              <w:jc w:val="both"/>
              <w:rPr>
                <w:rFonts w:ascii="Arial" w:hAnsi="Arial" w:cs="Arial"/>
                <w:sz w:val="16"/>
                <w:szCs w:val="16"/>
              </w:rPr>
            </w:pPr>
          </w:p>
        </w:tc>
        <w:tc>
          <w:tcPr>
            <w:tcW w:w="1559" w:type="dxa"/>
          </w:tcPr>
          <w:p w14:paraId="7517A016" w14:textId="77777777" w:rsidR="007A1D3C"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Men</w:t>
            </w:r>
          </w:p>
          <w:p w14:paraId="22943164" w14:textId="0869A999"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n=67</w:t>
            </w:r>
          </w:p>
        </w:tc>
        <w:tc>
          <w:tcPr>
            <w:tcW w:w="1559" w:type="dxa"/>
          </w:tcPr>
          <w:p w14:paraId="6BD3AE94" w14:textId="77777777" w:rsidR="00307039"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Women</w:t>
            </w:r>
          </w:p>
          <w:p w14:paraId="2F14ACFD" w14:textId="50EA047D"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 xml:space="preserve">n=146 </w:t>
            </w:r>
          </w:p>
        </w:tc>
        <w:tc>
          <w:tcPr>
            <w:tcW w:w="992" w:type="dxa"/>
          </w:tcPr>
          <w:p w14:paraId="473D437F" w14:textId="77777777" w:rsidR="00D725D0" w:rsidRPr="005F3755" w:rsidRDefault="00D725D0" w:rsidP="0032098A">
            <w:pPr>
              <w:spacing w:line="480" w:lineRule="auto"/>
              <w:jc w:val="both"/>
              <w:rPr>
                <w:rFonts w:ascii="Arial" w:hAnsi="Arial" w:cs="Arial"/>
                <w:sz w:val="16"/>
                <w:szCs w:val="16"/>
              </w:rPr>
            </w:pPr>
          </w:p>
        </w:tc>
      </w:tr>
      <w:tr w:rsidR="004D7205" w:rsidRPr="005F3755" w14:paraId="52FB8E11" w14:textId="77777777" w:rsidTr="0073261B">
        <w:trPr>
          <w:trHeight w:val="847"/>
        </w:trPr>
        <w:tc>
          <w:tcPr>
            <w:tcW w:w="1276" w:type="dxa"/>
          </w:tcPr>
          <w:p w14:paraId="6B55D04C" w14:textId="64C5A7FF" w:rsidR="00DB06D8" w:rsidRPr="005F3755" w:rsidRDefault="00053D91" w:rsidP="0032098A">
            <w:pPr>
              <w:spacing w:line="480" w:lineRule="auto"/>
              <w:jc w:val="both"/>
              <w:rPr>
                <w:rFonts w:ascii="Arial" w:hAnsi="Arial" w:cs="Arial"/>
                <w:b/>
                <w:sz w:val="16"/>
                <w:szCs w:val="16"/>
              </w:rPr>
            </w:pPr>
            <w:r w:rsidRPr="005F3755">
              <w:rPr>
                <w:rFonts w:ascii="Arial" w:hAnsi="Arial" w:cs="Arial"/>
                <w:b/>
                <w:sz w:val="16"/>
                <w:szCs w:val="16"/>
              </w:rPr>
              <w:t>EFV</w:t>
            </w:r>
            <w:r w:rsidR="00BC675E" w:rsidRPr="005F3755">
              <w:rPr>
                <w:rFonts w:ascii="Arial" w:hAnsi="Arial" w:cs="Arial"/>
                <w:b/>
                <w:sz w:val="16"/>
                <w:szCs w:val="16"/>
                <w:vertAlign w:val="superscript"/>
              </w:rPr>
              <w:t>†</w:t>
            </w:r>
            <w:r w:rsidR="00D725D0" w:rsidRPr="005F3755">
              <w:rPr>
                <w:rFonts w:ascii="Arial" w:hAnsi="Arial" w:cs="Arial"/>
                <w:b/>
                <w:sz w:val="16"/>
                <w:szCs w:val="16"/>
              </w:rPr>
              <w:t xml:space="preserve"> </w:t>
            </w:r>
          </w:p>
          <w:p w14:paraId="56FD0928" w14:textId="3DE30A0A"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(ng/ml)</w:t>
            </w:r>
          </w:p>
        </w:tc>
        <w:tc>
          <w:tcPr>
            <w:tcW w:w="1843" w:type="dxa"/>
          </w:tcPr>
          <w:p w14:paraId="73F100B0" w14:textId="69CAA364" w:rsidR="00B96E41"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2342.9</w:t>
            </w:r>
          </w:p>
          <w:p w14:paraId="46D1EA46"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(1597.6</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3343.8)</w:t>
            </w:r>
          </w:p>
          <w:p w14:paraId="1165AAE7" w14:textId="1DF4B4BE" w:rsidR="0024061C" w:rsidRPr="005F3755" w:rsidRDefault="0024061C" w:rsidP="0032098A">
            <w:pPr>
              <w:spacing w:line="480" w:lineRule="auto"/>
              <w:jc w:val="both"/>
              <w:rPr>
                <w:rFonts w:ascii="Arial" w:hAnsi="Arial" w:cs="Arial"/>
                <w:sz w:val="16"/>
                <w:szCs w:val="16"/>
              </w:rPr>
            </w:pPr>
            <w:r w:rsidRPr="005F3755">
              <w:rPr>
                <w:rFonts w:ascii="Arial" w:hAnsi="Arial" w:cs="Arial"/>
                <w:sz w:val="16"/>
                <w:szCs w:val="16"/>
              </w:rPr>
              <w:t>n=168</w:t>
            </w:r>
          </w:p>
        </w:tc>
        <w:tc>
          <w:tcPr>
            <w:tcW w:w="1843" w:type="dxa"/>
          </w:tcPr>
          <w:p w14:paraId="51FA569B" w14:textId="36055BC6" w:rsidR="00EB4B84"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1752.3</w:t>
            </w:r>
          </w:p>
          <w:p w14:paraId="35D53538"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(1309.8</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2310.0)</w:t>
            </w:r>
          </w:p>
          <w:p w14:paraId="0D67C9B9" w14:textId="49A780C0" w:rsidR="00405993" w:rsidRPr="005F3755" w:rsidRDefault="00405993" w:rsidP="0032098A">
            <w:pPr>
              <w:spacing w:line="480" w:lineRule="auto"/>
              <w:jc w:val="both"/>
              <w:rPr>
                <w:rFonts w:ascii="Arial" w:hAnsi="Arial" w:cs="Arial"/>
                <w:sz w:val="16"/>
                <w:szCs w:val="16"/>
              </w:rPr>
            </w:pPr>
            <w:r w:rsidRPr="005F3755">
              <w:rPr>
                <w:rFonts w:ascii="Arial" w:hAnsi="Arial" w:cs="Arial"/>
                <w:sz w:val="16"/>
                <w:szCs w:val="16"/>
              </w:rPr>
              <w:t>n=43</w:t>
            </w:r>
          </w:p>
        </w:tc>
        <w:tc>
          <w:tcPr>
            <w:tcW w:w="992" w:type="dxa"/>
          </w:tcPr>
          <w:p w14:paraId="1BFD376B" w14:textId="55D733D6" w:rsidR="007359C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0.002</w:t>
            </w:r>
          </w:p>
          <w:p w14:paraId="230E6533" w14:textId="4EB818E3" w:rsidR="00D725D0" w:rsidRPr="005F3755" w:rsidRDefault="00D725D0" w:rsidP="0032098A">
            <w:pPr>
              <w:spacing w:line="480" w:lineRule="auto"/>
              <w:jc w:val="both"/>
              <w:rPr>
                <w:rFonts w:ascii="Arial" w:hAnsi="Arial" w:cs="Arial"/>
                <w:sz w:val="16"/>
                <w:szCs w:val="16"/>
              </w:rPr>
            </w:pPr>
          </w:p>
        </w:tc>
        <w:tc>
          <w:tcPr>
            <w:tcW w:w="1559" w:type="dxa"/>
          </w:tcPr>
          <w:p w14:paraId="0F1A1262" w14:textId="20145167"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2571.2</w:t>
            </w:r>
          </w:p>
          <w:p w14:paraId="070CC2B1"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(1675.4</w:t>
            </w:r>
            <w:r w:rsidR="00701A0A" w:rsidRPr="005F3755">
              <w:rPr>
                <w:rFonts w:ascii="Arial" w:hAnsi="Arial" w:cs="Arial"/>
                <w:sz w:val="16"/>
                <w:szCs w:val="16"/>
              </w:rPr>
              <w:t xml:space="preserve"> –</w:t>
            </w:r>
            <w:r w:rsidR="00B63878" w:rsidRPr="005F3755">
              <w:rPr>
                <w:rFonts w:ascii="Arial" w:hAnsi="Arial" w:cs="Arial"/>
                <w:sz w:val="16"/>
                <w:szCs w:val="16"/>
              </w:rPr>
              <w:t xml:space="preserve"> </w:t>
            </w:r>
            <w:r w:rsidRPr="005F3755">
              <w:rPr>
                <w:rFonts w:ascii="Arial" w:hAnsi="Arial" w:cs="Arial"/>
                <w:sz w:val="16"/>
                <w:szCs w:val="16"/>
              </w:rPr>
              <w:t>3866.6)</w:t>
            </w:r>
          </w:p>
          <w:p w14:paraId="79DAABF6" w14:textId="167A994A"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n=97</w:t>
            </w:r>
          </w:p>
        </w:tc>
        <w:tc>
          <w:tcPr>
            <w:tcW w:w="1559" w:type="dxa"/>
          </w:tcPr>
          <w:p w14:paraId="41CF4F12" w14:textId="164B61D0"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1845.8</w:t>
            </w:r>
          </w:p>
          <w:p w14:paraId="17B95D9C"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(1388.3</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2499.6)</w:t>
            </w:r>
          </w:p>
          <w:p w14:paraId="13E94B34" w14:textId="10CA8D37"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n=112</w:t>
            </w:r>
          </w:p>
        </w:tc>
        <w:tc>
          <w:tcPr>
            <w:tcW w:w="993" w:type="dxa"/>
          </w:tcPr>
          <w:p w14:paraId="67C363A8" w14:textId="4E674F56" w:rsidR="007359C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&lt;0.001</w:t>
            </w:r>
          </w:p>
          <w:p w14:paraId="356FCCC0" w14:textId="69901F62" w:rsidR="00D725D0" w:rsidRPr="005F3755" w:rsidRDefault="00D725D0" w:rsidP="0032098A">
            <w:pPr>
              <w:spacing w:line="480" w:lineRule="auto"/>
              <w:jc w:val="both"/>
              <w:rPr>
                <w:rFonts w:ascii="Arial" w:hAnsi="Arial" w:cs="Arial"/>
                <w:sz w:val="16"/>
                <w:szCs w:val="16"/>
              </w:rPr>
            </w:pPr>
          </w:p>
        </w:tc>
        <w:tc>
          <w:tcPr>
            <w:tcW w:w="1701" w:type="dxa"/>
          </w:tcPr>
          <w:p w14:paraId="665AB550" w14:textId="77777777"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2196.1</w:t>
            </w:r>
          </w:p>
          <w:p w14:paraId="01333188"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(1639.3</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3070.9)</w:t>
            </w:r>
          </w:p>
          <w:p w14:paraId="552BF079" w14:textId="476B799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n=64</w:t>
            </w:r>
          </w:p>
        </w:tc>
        <w:tc>
          <w:tcPr>
            <w:tcW w:w="1879" w:type="dxa"/>
          </w:tcPr>
          <w:p w14:paraId="53FE915C" w14:textId="77777777"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2117.6</w:t>
            </w:r>
          </w:p>
          <w:p w14:paraId="1217493E"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(1409.8</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3014.4)</w:t>
            </w:r>
          </w:p>
          <w:p w14:paraId="6E4423F1" w14:textId="4CFFC3A9"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n=106</w:t>
            </w:r>
          </w:p>
        </w:tc>
        <w:tc>
          <w:tcPr>
            <w:tcW w:w="956" w:type="dxa"/>
          </w:tcPr>
          <w:p w14:paraId="3DB491ED" w14:textId="66CBA694"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0.373</w:t>
            </w:r>
          </w:p>
        </w:tc>
        <w:tc>
          <w:tcPr>
            <w:tcW w:w="1559" w:type="dxa"/>
          </w:tcPr>
          <w:p w14:paraId="50083D41" w14:textId="77777777"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2571.2</w:t>
            </w:r>
          </w:p>
          <w:p w14:paraId="060ED7C4"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(1623.9</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3551.1)</w:t>
            </w:r>
          </w:p>
          <w:p w14:paraId="175B4DC8" w14:textId="7ECE8FB4"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n=67</w:t>
            </w:r>
          </w:p>
        </w:tc>
        <w:tc>
          <w:tcPr>
            <w:tcW w:w="1559" w:type="dxa"/>
          </w:tcPr>
          <w:p w14:paraId="2FA8712D" w14:textId="77777777" w:rsidR="00307039"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2020.5</w:t>
            </w:r>
          </w:p>
          <w:p w14:paraId="2B88FBDF"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(1436.9</w:t>
            </w:r>
            <w:r w:rsidR="0083064A" w:rsidRPr="005F3755">
              <w:rPr>
                <w:rFonts w:ascii="Arial" w:hAnsi="Arial" w:cs="Arial"/>
                <w:sz w:val="16"/>
                <w:szCs w:val="16"/>
              </w:rPr>
              <w:t xml:space="preserve"> –</w:t>
            </w:r>
            <w:r w:rsidR="00307039" w:rsidRPr="005F3755">
              <w:rPr>
                <w:rFonts w:ascii="Arial" w:hAnsi="Arial" w:cs="Arial"/>
                <w:sz w:val="16"/>
                <w:szCs w:val="16"/>
              </w:rPr>
              <w:t xml:space="preserve"> </w:t>
            </w:r>
            <w:r w:rsidRPr="005F3755">
              <w:rPr>
                <w:rFonts w:ascii="Arial" w:hAnsi="Arial" w:cs="Arial"/>
                <w:sz w:val="16"/>
                <w:szCs w:val="16"/>
              </w:rPr>
              <w:t>2913.0)</w:t>
            </w:r>
          </w:p>
          <w:p w14:paraId="00975B8B" w14:textId="7AFEF066"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n=146</w:t>
            </w:r>
          </w:p>
        </w:tc>
        <w:tc>
          <w:tcPr>
            <w:tcW w:w="992" w:type="dxa"/>
          </w:tcPr>
          <w:p w14:paraId="46A13A75" w14:textId="51D5F4DB" w:rsidR="00701A0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0.126</w:t>
            </w:r>
          </w:p>
          <w:p w14:paraId="263B7B72" w14:textId="3A917398" w:rsidR="00D725D0" w:rsidRPr="005F3755" w:rsidRDefault="00D725D0" w:rsidP="0032098A">
            <w:pPr>
              <w:spacing w:line="480" w:lineRule="auto"/>
              <w:jc w:val="both"/>
              <w:rPr>
                <w:rFonts w:ascii="Arial" w:hAnsi="Arial" w:cs="Arial"/>
                <w:sz w:val="16"/>
                <w:szCs w:val="16"/>
              </w:rPr>
            </w:pPr>
          </w:p>
        </w:tc>
      </w:tr>
      <w:tr w:rsidR="004D7205" w:rsidRPr="005F3755" w14:paraId="2AF089BD" w14:textId="77777777" w:rsidTr="0073261B">
        <w:trPr>
          <w:trHeight w:val="879"/>
        </w:trPr>
        <w:tc>
          <w:tcPr>
            <w:tcW w:w="1276" w:type="dxa"/>
          </w:tcPr>
          <w:p w14:paraId="1995802E" w14:textId="42AD1B1E" w:rsidR="00EF1468"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8-OH</w:t>
            </w:r>
            <w:r w:rsidR="00053D91" w:rsidRPr="005F3755">
              <w:rPr>
                <w:rFonts w:ascii="Arial" w:hAnsi="Arial" w:cs="Arial"/>
                <w:b/>
                <w:sz w:val="16"/>
                <w:szCs w:val="16"/>
              </w:rPr>
              <w:t>-EFV</w:t>
            </w:r>
            <w:r w:rsidR="00053D91" w:rsidRPr="005F3755">
              <w:rPr>
                <w:rFonts w:ascii="Arial" w:hAnsi="Arial" w:cs="Arial"/>
                <w:b/>
                <w:sz w:val="16"/>
                <w:szCs w:val="16"/>
                <w:vertAlign w:val="superscript"/>
              </w:rPr>
              <w:t>†</w:t>
            </w:r>
            <w:r w:rsidRPr="005F3755">
              <w:rPr>
                <w:rFonts w:ascii="Arial" w:hAnsi="Arial" w:cs="Arial"/>
                <w:b/>
                <w:sz w:val="16"/>
                <w:szCs w:val="16"/>
              </w:rPr>
              <w:t xml:space="preserve"> </w:t>
            </w:r>
          </w:p>
          <w:p w14:paraId="17861139" w14:textId="103E0FDA"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(ng/ml)</w:t>
            </w:r>
          </w:p>
        </w:tc>
        <w:tc>
          <w:tcPr>
            <w:tcW w:w="1843" w:type="dxa"/>
          </w:tcPr>
          <w:p w14:paraId="2AFB141D" w14:textId="77777777" w:rsidR="00EB4B84"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53.9</w:t>
            </w:r>
          </w:p>
          <w:p w14:paraId="08F74B22"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(37.0</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103.0)</w:t>
            </w:r>
          </w:p>
          <w:p w14:paraId="3BE96F13" w14:textId="11197E70" w:rsidR="00405993" w:rsidRPr="005F3755" w:rsidRDefault="00405993" w:rsidP="0032098A">
            <w:pPr>
              <w:spacing w:line="480" w:lineRule="auto"/>
              <w:jc w:val="both"/>
              <w:rPr>
                <w:rFonts w:ascii="Arial" w:hAnsi="Arial" w:cs="Arial"/>
                <w:sz w:val="16"/>
                <w:szCs w:val="16"/>
              </w:rPr>
            </w:pPr>
            <w:r w:rsidRPr="005F3755">
              <w:rPr>
                <w:rFonts w:ascii="Arial" w:hAnsi="Arial" w:cs="Arial"/>
                <w:sz w:val="16"/>
                <w:szCs w:val="16"/>
              </w:rPr>
              <w:t>n=168</w:t>
            </w:r>
          </w:p>
        </w:tc>
        <w:tc>
          <w:tcPr>
            <w:tcW w:w="1843" w:type="dxa"/>
          </w:tcPr>
          <w:p w14:paraId="4498D544" w14:textId="21CFDE58" w:rsidR="006D5A1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57.8</w:t>
            </w:r>
          </w:p>
          <w:p w14:paraId="30A218D2"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(31.2</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1280.4)</w:t>
            </w:r>
          </w:p>
          <w:p w14:paraId="736ABF63" w14:textId="30851695" w:rsidR="00405993" w:rsidRPr="005F3755" w:rsidRDefault="00405993" w:rsidP="0032098A">
            <w:pPr>
              <w:spacing w:line="480" w:lineRule="auto"/>
              <w:jc w:val="both"/>
              <w:rPr>
                <w:rFonts w:ascii="Arial" w:hAnsi="Arial" w:cs="Arial"/>
                <w:sz w:val="16"/>
                <w:szCs w:val="16"/>
              </w:rPr>
            </w:pPr>
            <w:r w:rsidRPr="005F3755">
              <w:rPr>
                <w:rFonts w:ascii="Arial" w:hAnsi="Arial" w:cs="Arial"/>
                <w:sz w:val="16"/>
                <w:szCs w:val="16"/>
              </w:rPr>
              <w:t>n=43</w:t>
            </w:r>
          </w:p>
        </w:tc>
        <w:tc>
          <w:tcPr>
            <w:tcW w:w="992" w:type="dxa"/>
          </w:tcPr>
          <w:p w14:paraId="6F5CD897" w14:textId="2ABA7189"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0.808</w:t>
            </w:r>
          </w:p>
          <w:p w14:paraId="410A1ED8" w14:textId="7C30708A" w:rsidR="00D725D0" w:rsidRPr="005F3755" w:rsidRDefault="00D725D0" w:rsidP="0032098A">
            <w:pPr>
              <w:spacing w:line="480" w:lineRule="auto"/>
              <w:jc w:val="both"/>
              <w:rPr>
                <w:rFonts w:ascii="Arial" w:hAnsi="Arial" w:cs="Arial"/>
                <w:sz w:val="16"/>
                <w:szCs w:val="16"/>
              </w:rPr>
            </w:pPr>
          </w:p>
        </w:tc>
        <w:tc>
          <w:tcPr>
            <w:tcW w:w="1559" w:type="dxa"/>
          </w:tcPr>
          <w:p w14:paraId="5C75D969" w14:textId="523B6B4A"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52.8</w:t>
            </w:r>
          </w:p>
          <w:p w14:paraId="4C9E6659"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(27.5</w:t>
            </w:r>
            <w:r w:rsidR="00701A0A" w:rsidRPr="005F3755">
              <w:rPr>
                <w:rFonts w:ascii="Arial" w:hAnsi="Arial" w:cs="Arial"/>
                <w:sz w:val="16"/>
                <w:szCs w:val="16"/>
              </w:rPr>
              <w:t xml:space="preserve"> –</w:t>
            </w:r>
            <w:r w:rsidR="00B63878" w:rsidRPr="005F3755">
              <w:rPr>
                <w:rFonts w:ascii="Arial" w:hAnsi="Arial" w:cs="Arial"/>
                <w:sz w:val="16"/>
                <w:szCs w:val="16"/>
              </w:rPr>
              <w:t xml:space="preserve"> </w:t>
            </w:r>
            <w:r w:rsidRPr="005F3755">
              <w:rPr>
                <w:rFonts w:ascii="Arial" w:hAnsi="Arial" w:cs="Arial"/>
                <w:sz w:val="16"/>
                <w:szCs w:val="16"/>
              </w:rPr>
              <w:t>97.1)</w:t>
            </w:r>
          </w:p>
          <w:p w14:paraId="1AA03461" w14:textId="277D1516"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n=97</w:t>
            </w:r>
          </w:p>
        </w:tc>
        <w:tc>
          <w:tcPr>
            <w:tcW w:w="1559" w:type="dxa"/>
          </w:tcPr>
          <w:p w14:paraId="00B7F340" w14:textId="69A846E3"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54.2</w:t>
            </w:r>
          </w:p>
          <w:p w14:paraId="2397E34D"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(36.0</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129.1)</w:t>
            </w:r>
          </w:p>
          <w:p w14:paraId="7A5B300D" w14:textId="7FA81DCB"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n=112</w:t>
            </w:r>
          </w:p>
        </w:tc>
        <w:tc>
          <w:tcPr>
            <w:tcW w:w="993" w:type="dxa"/>
          </w:tcPr>
          <w:p w14:paraId="29D8B4A1" w14:textId="6B0A503C"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0.269</w:t>
            </w:r>
          </w:p>
          <w:p w14:paraId="48601810" w14:textId="07A546FF" w:rsidR="00D725D0" w:rsidRPr="005F3755" w:rsidRDefault="00D725D0" w:rsidP="0032098A">
            <w:pPr>
              <w:spacing w:line="480" w:lineRule="auto"/>
              <w:jc w:val="both"/>
              <w:rPr>
                <w:rFonts w:ascii="Arial" w:hAnsi="Arial" w:cs="Arial"/>
                <w:sz w:val="16"/>
                <w:szCs w:val="16"/>
              </w:rPr>
            </w:pPr>
          </w:p>
        </w:tc>
        <w:tc>
          <w:tcPr>
            <w:tcW w:w="1701" w:type="dxa"/>
          </w:tcPr>
          <w:p w14:paraId="4EF520D5" w14:textId="2835100A"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47.8</w:t>
            </w:r>
          </w:p>
          <w:p w14:paraId="1CD06DC3"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(28.6</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71.0)</w:t>
            </w:r>
          </w:p>
          <w:p w14:paraId="5F825B5B" w14:textId="5DA1FE8A"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n=64</w:t>
            </w:r>
          </w:p>
        </w:tc>
        <w:tc>
          <w:tcPr>
            <w:tcW w:w="1879" w:type="dxa"/>
          </w:tcPr>
          <w:p w14:paraId="1CA3B109" w14:textId="7C7FBE77"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44.5</w:t>
            </w:r>
          </w:p>
          <w:p w14:paraId="18E274E8"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(31.0</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63.2)</w:t>
            </w:r>
          </w:p>
          <w:p w14:paraId="05791D4B" w14:textId="3DD5C2A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n=106</w:t>
            </w:r>
          </w:p>
        </w:tc>
        <w:tc>
          <w:tcPr>
            <w:tcW w:w="956" w:type="dxa"/>
          </w:tcPr>
          <w:p w14:paraId="220E5DFB" w14:textId="15122856"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0.263</w:t>
            </w:r>
          </w:p>
        </w:tc>
        <w:tc>
          <w:tcPr>
            <w:tcW w:w="1559" w:type="dxa"/>
          </w:tcPr>
          <w:p w14:paraId="0F928490" w14:textId="3EDDDB72" w:rsidR="007A1D3C"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45.9</w:t>
            </w:r>
          </w:p>
          <w:p w14:paraId="53FE0864"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(32.2</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75.9)</w:t>
            </w:r>
          </w:p>
          <w:p w14:paraId="3111C4FD" w14:textId="465BD57E"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n=67</w:t>
            </w:r>
          </w:p>
        </w:tc>
        <w:tc>
          <w:tcPr>
            <w:tcW w:w="1559" w:type="dxa"/>
          </w:tcPr>
          <w:p w14:paraId="5BC54A64" w14:textId="77777777" w:rsidR="00307039"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60.2</w:t>
            </w:r>
          </w:p>
          <w:p w14:paraId="7361460E"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(35.8</w:t>
            </w:r>
            <w:r w:rsidR="0083064A" w:rsidRPr="005F3755">
              <w:rPr>
                <w:rFonts w:ascii="Arial" w:hAnsi="Arial" w:cs="Arial"/>
                <w:sz w:val="16"/>
                <w:szCs w:val="16"/>
              </w:rPr>
              <w:t xml:space="preserve"> –</w:t>
            </w:r>
            <w:r w:rsidR="00307039" w:rsidRPr="005F3755">
              <w:rPr>
                <w:rFonts w:ascii="Arial" w:hAnsi="Arial" w:cs="Arial"/>
                <w:sz w:val="16"/>
                <w:szCs w:val="16"/>
              </w:rPr>
              <w:t xml:space="preserve"> </w:t>
            </w:r>
            <w:r w:rsidRPr="005F3755">
              <w:rPr>
                <w:rFonts w:ascii="Arial" w:hAnsi="Arial" w:cs="Arial"/>
                <w:sz w:val="16"/>
                <w:szCs w:val="16"/>
              </w:rPr>
              <w:t>542.6)</w:t>
            </w:r>
          </w:p>
          <w:p w14:paraId="6333D4F3" w14:textId="1D9D20F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n=146</w:t>
            </w:r>
          </w:p>
        </w:tc>
        <w:tc>
          <w:tcPr>
            <w:tcW w:w="992" w:type="dxa"/>
          </w:tcPr>
          <w:p w14:paraId="3A52F9C3" w14:textId="578EE70F" w:rsidR="00701A0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0.018</w:t>
            </w:r>
          </w:p>
          <w:p w14:paraId="612A32ED" w14:textId="57AC1186" w:rsidR="00D725D0" w:rsidRPr="005F3755" w:rsidRDefault="00D725D0" w:rsidP="0032098A">
            <w:pPr>
              <w:spacing w:line="480" w:lineRule="auto"/>
              <w:jc w:val="both"/>
              <w:rPr>
                <w:rFonts w:ascii="Arial" w:hAnsi="Arial" w:cs="Arial"/>
                <w:sz w:val="16"/>
                <w:szCs w:val="16"/>
              </w:rPr>
            </w:pPr>
          </w:p>
        </w:tc>
      </w:tr>
      <w:tr w:rsidR="004D7205" w:rsidRPr="005F3755" w14:paraId="0B525206" w14:textId="77777777" w:rsidTr="0073261B">
        <w:trPr>
          <w:trHeight w:val="755"/>
        </w:trPr>
        <w:tc>
          <w:tcPr>
            <w:tcW w:w="1276" w:type="dxa"/>
          </w:tcPr>
          <w:p w14:paraId="32149FF1" w14:textId="49245CEE" w:rsidR="00EF1468" w:rsidRPr="005F3755" w:rsidRDefault="00053D91" w:rsidP="0032098A">
            <w:pPr>
              <w:spacing w:line="480" w:lineRule="auto"/>
              <w:jc w:val="both"/>
              <w:rPr>
                <w:rFonts w:ascii="Arial" w:hAnsi="Arial" w:cs="Arial"/>
                <w:b/>
                <w:sz w:val="16"/>
                <w:szCs w:val="16"/>
              </w:rPr>
            </w:pPr>
            <w:r w:rsidRPr="005F3755">
              <w:rPr>
                <w:rFonts w:ascii="Arial" w:hAnsi="Arial" w:cs="Arial"/>
                <w:b/>
                <w:sz w:val="16"/>
                <w:szCs w:val="16"/>
              </w:rPr>
              <w:t>TFV</w:t>
            </w:r>
            <w:r w:rsidRPr="005F3755">
              <w:rPr>
                <w:rFonts w:ascii="Arial" w:hAnsi="Arial" w:cs="Arial"/>
                <w:b/>
                <w:sz w:val="16"/>
                <w:szCs w:val="16"/>
                <w:vertAlign w:val="superscript"/>
              </w:rPr>
              <w:t>†</w:t>
            </w:r>
            <w:r w:rsidR="00D725D0" w:rsidRPr="005F3755">
              <w:rPr>
                <w:rFonts w:ascii="Arial" w:hAnsi="Arial" w:cs="Arial"/>
                <w:b/>
                <w:sz w:val="16"/>
                <w:szCs w:val="16"/>
              </w:rPr>
              <w:t xml:space="preserve"> </w:t>
            </w:r>
          </w:p>
          <w:p w14:paraId="68E0D0C1" w14:textId="3DF20B04" w:rsidR="00D725D0"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(ng/ml)</w:t>
            </w:r>
          </w:p>
        </w:tc>
        <w:tc>
          <w:tcPr>
            <w:tcW w:w="1843" w:type="dxa"/>
          </w:tcPr>
          <w:p w14:paraId="5B4AC73D" w14:textId="0C19DF51" w:rsidR="00EF1468" w:rsidRPr="005F3755" w:rsidRDefault="009F0097" w:rsidP="0032098A">
            <w:pPr>
              <w:spacing w:line="480" w:lineRule="auto"/>
              <w:jc w:val="both"/>
              <w:rPr>
                <w:rFonts w:ascii="Arial" w:hAnsi="Arial" w:cs="Arial"/>
                <w:sz w:val="16"/>
                <w:szCs w:val="16"/>
              </w:rPr>
            </w:pPr>
            <w:r w:rsidRPr="005F3755">
              <w:rPr>
                <w:rFonts w:ascii="Arial" w:hAnsi="Arial" w:cs="Arial"/>
                <w:sz w:val="16"/>
                <w:szCs w:val="16"/>
              </w:rPr>
              <w:t>71.6</w:t>
            </w:r>
          </w:p>
          <w:p w14:paraId="6F73BF58"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w:t>
            </w:r>
            <w:r w:rsidR="009F0097" w:rsidRPr="005F3755">
              <w:rPr>
                <w:rFonts w:ascii="Arial" w:hAnsi="Arial" w:cs="Arial"/>
                <w:sz w:val="16"/>
                <w:szCs w:val="16"/>
              </w:rPr>
              <w:t>3.6</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009F0097" w:rsidRPr="005F3755">
              <w:rPr>
                <w:rFonts w:ascii="Arial" w:hAnsi="Arial" w:cs="Arial"/>
                <w:sz w:val="16"/>
                <w:szCs w:val="16"/>
              </w:rPr>
              <w:t>94.9</w:t>
            </w:r>
            <w:r w:rsidRPr="005F3755">
              <w:rPr>
                <w:rFonts w:ascii="Arial" w:hAnsi="Arial" w:cs="Arial"/>
                <w:sz w:val="16"/>
                <w:szCs w:val="16"/>
              </w:rPr>
              <w:t>)</w:t>
            </w:r>
          </w:p>
          <w:p w14:paraId="310AE828" w14:textId="34F6E712"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n=164</w:t>
            </w:r>
          </w:p>
        </w:tc>
        <w:tc>
          <w:tcPr>
            <w:tcW w:w="1843" w:type="dxa"/>
          </w:tcPr>
          <w:p w14:paraId="02C41EDB" w14:textId="3E91967C" w:rsidR="006D5A1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61.6</w:t>
            </w:r>
          </w:p>
          <w:p w14:paraId="375C4A17"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(52.9</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82.8)</w:t>
            </w:r>
          </w:p>
          <w:p w14:paraId="609453F2" w14:textId="1934CE5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n=43</w:t>
            </w:r>
          </w:p>
        </w:tc>
        <w:tc>
          <w:tcPr>
            <w:tcW w:w="992" w:type="dxa"/>
          </w:tcPr>
          <w:p w14:paraId="328247C0" w14:textId="66770D68"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w:t>
            </w:r>
            <w:r w:rsidR="00135E7F" w:rsidRPr="005F3755">
              <w:rPr>
                <w:rFonts w:ascii="Arial" w:hAnsi="Arial" w:cs="Arial"/>
                <w:sz w:val="16"/>
                <w:szCs w:val="16"/>
              </w:rPr>
              <w:t>141</w:t>
            </w:r>
          </w:p>
          <w:p w14:paraId="0B169A40" w14:textId="3406B591" w:rsidR="00D725D0" w:rsidRPr="005F3755" w:rsidRDefault="00D725D0" w:rsidP="0032098A">
            <w:pPr>
              <w:spacing w:line="480" w:lineRule="auto"/>
              <w:jc w:val="both"/>
              <w:rPr>
                <w:rFonts w:ascii="Arial" w:hAnsi="Arial" w:cs="Arial"/>
                <w:sz w:val="16"/>
                <w:szCs w:val="16"/>
              </w:rPr>
            </w:pPr>
          </w:p>
        </w:tc>
        <w:tc>
          <w:tcPr>
            <w:tcW w:w="1559" w:type="dxa"/>
          </w:tcPr>
          <w:p w14:paraId="76693744" w14:textId="02E4B9AB"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7</w:t>
            </w:r>
            <w:r w:rsidR="009F0097" w:rsidRPr="005F3755">
              <w:rPr>
                <w:rFonts w:ascii="Arial" w:hAnsi="Arial" w:cs="Arial"/>
                <w:sz w:val="16"/>
                <w:szCs w:val="16"/>
              </w:rPr>
              <w:t>3.2</w:t>
            </w:r>
          </w:p>
          <w:p w14:paraId="53726CC9"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(55.</w:t>
            </w:r>
            <w:r w:rsidR="009F0097" w:rsidRPr="005F3755">
              <w:rPr>
                <w:rFonts w:ascii="Arial" w:hAnsi="Arial" w:cs="Arial"/>
                <w:sz w:val="16"/>
                <w:szCs w:val="16"/>
              </w:rPr>
              <w:t>6</w:t>
            </w:r>
            <w:r w:rsidR="00701A0A" w:rsidRPr="005F3755">
              <w:rPr>
                <w:rFonts w:ascii="Arial" w:hAnsi="Arial" w:cs="Arial"/>
                <w:sz w:val="16"/>
                <w:szCs w:val="16"/>
              </w:rPr>
              <w:t xml:space="preserve"> –</w:t>
            </w:r>
            <w:r w:rsidR="00B63878" w:rsidRPr="005F3755">
              <w:rPr>
                <w:rFonts w:ascii="Arial" w:hAnsi="Arial" w:cs="Arial"/>
                <w:sz w:val="16"/>
                <w:szCs w:val="16"/>
              </w:rPr>
              <w:t xml:space="preserve"> </w:t>
            </w:r>
            <w:r w:rsidRPr="005F3755">
              <w:rPr>
                <w:rFonts w:ascii="Arial" w:hAnsi="Arial" w:cs="Arial"/>
                <w:sz w:val="16"/>
                <w:szCs w:val="16"/>
              </w:rPr>
              <w:t>101.</w:t>
            </w:r>
            <w:r w:rsidR="009F0097" w:rsidRPr="005F3755">
              <w:rPr>
                <w:rFonts w:ascii="Arial" w:hAnsi="Arial" w:cs="Arial"/>
                <w:sz w:val="16"/>
                <w:szCs w:val="16"/>
              </w:rPr>
              <w:t>5</w:t>
            </w:r>
            <w:r w:rsidRPr="005F3755">
              <w:rPr>
                <w:rFonts w:ascii="Arial" w:hAnsi="Arial" w:cs="Arial"/>
                <w:sz w:val="16"/>
                <w:szCs w:val="16"/>
              </w:rPr>
              <w:t>)</w:t>
            </w:r>
          </w:p>
          <w:p w14:paraId="0E326047" w14:textId="314B7D2A"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n=96</w:t>
            </w:r>
          </w:p>
        </w:tc>
        <w:tc>
          <w:tcPr>
            <w:tcW w:w="1559" w:type="dxa"/>
          </w:tcPr>
          <w:p w14:paraId="5BF65E79" w14:textId="3987143B"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6</w:t>
            </w:r>
            <w:r w:rsidR="009F0097" w:rsidRPr="005F3755">
              <w:rPr>
                <w:rFonts w:ascii="Arial" w:hAnsi="Arial" w:cs="Arial"/>
                <w:sz w:val="16"/>
                <w:szCs w:val="16"/>
              </w:rPr>
              <w:t>5.8</w:t>
            </w:r>
          </w:p>
          <w:p w14:paraId="079E80D9"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w:t>
            </w:r>
            <w:r w:rsidR="009F0097" w:rsidRPr="005F3755">
              <w:rPr>
                <w:rFonts w:ascii="Arial" w:hAnsi="Arial" w:cs="Arial"/>
                <w:sz w:val="16"/>
                <w:szCs w:val="16"/>
              </w:rPr>
              <w:t>50.7</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8</w:t>
            </w:r>
            <w:r w:rsidR="009F0097" w:rsidRPr="005F3755">
              <w:rPr>
                <w:rFonts w:ascii="Arial" w:hAnsi="Arial" w:cs="Arial"/>
                <w:sz w:val="16"/>
                <w:szCs w:val="16"/>
              </w:rPr>
              <w:t>7.3</w:t>
            </w:r>
            <w:r w:rsidRPr="005F3755">
              <w:rPr>
                <w:rFonts w:ascii="Arial" w:hAnsi="Arial" w:cs="Arial"/>
                <w:sz w:val="16"/>
                <w:szCs w:val="16"/>
              </w:rPr>
              <w:t>)</w:t>
            </w:r>
          </w:p>
          <w:p w14:paraId="5F81A864" w14:textId="4069C20D"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n=109</w:t>
            </w:r>
          </w:p>
        </w:tc>
        <w:tc>
          <w:tcPr>
            <w:tcW w:w="993" w:type="dxa"/>
          </w:tcPr>
          <w:p w14:paraId="72A63853" w14:textId="2D51B04F" w:rsidR="007359C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0.0</w:t>
            </w:r>
            <w:r w:rsidR="00135E7F" w:rsidRPr="005F3755">
              <w:rPr>
                <w:rFonts w:ascii="Arial" w:hAnsi="Arial" w:cs="Arial"/>
                <w:b/>
                <w:sz w:val="16"/>
                <w:szCs w:val="16"/>
              </w:rPr>
              <w:t>36</w:t>
            </w:r>
          </w:p>
          <w:p w14:paraId="1A23E7C0" w14:textId="3FE2B732" w:rsidR="00D725D0" w:rsidRPr="005F3755" w:rsidRDefault="00D725D0" w:rsidP="0032098A">
            <w:pPr>
              <w:spacing w:line="480" w:lineRule="auto"/>
              <w:jc w:val="both"/>
              <w:rPr>
                <w:rFonts w:ascii="Arial" w:hAnsi="Arial" w:cs="Arial"/>
                <w:sz w:val="16"/>
                <w:szCs w:val="16"/>
              </w:rPr>
            </w:pPr>
          </w:p>
        </w:tc>
        <w:tc>
          <w:tcPr>
            <w:tcW w:w="1701" w:type="dxa"/>
          </w:tcPr>
          <w:p w14:paraId="4FF3F255" w14:textId="2C5F593A"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7</w:t>
            </w:r>
            <w:r w:rsidR="00F31D0C" w:rsidRPr="005F3755">
              <w:rPr>
                <w:rFonts w:ascii="Arial" w:hAnsi="Arial" w:cs="Arial"/>
                <w:sz w:val="16"/>
                <w:szCs w:val="16"/>
              </w:rPr>
              <w:t>5.4</w:t>
            </w:r>
          </w:p>
          <w:p w14:paraId="7C10F9E2"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(56.</w:t>
            </w:r>
            <w:r w:rsidR="00F31D0C" w:rsidRPr="005F3755">
              <w:rPr>
                <w:rFonts w:ascii="Arial" w:hAnsi="Arial" w:cs="Arial"/>
                <w:sz w:val="16"/>
                <w:szCs w:val="16"/>
              </w:rPr>
              <w:t>9</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9</w:t>
            </w:r>
            <w:r w:rsidR="00F31D0C" w:rsidRPr="005F3755">
              <w:rPr>
                <w:rFonts w:ascii="Arial" w:hAnsi="Arial" w:cs="Arial"/>
                <w:sz w:val="16"/>
                <w:szCs w:val="16"/>
              </w:rPr>
              <w:t>1.7</w:t>
            </w:r>
            <w:r w:rsidRPr="005F3755">
              <w:rPr>
                <w:rFonts w:ascii="Arial" w:hAnsi="Arial" w:cs="Arial"/>
                <w:sz w:val="16"/>
                <w:szCs w:val="16"/>
              </w:rPr>
              <w:t>)</w:t>
            </w:r>
          </w:p>
          <w:p w14:paraId="01B2786D" w14:textId="3E910242"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n=63</w:t>
            </w:r>
          </w:p>
        </w:tc>
        <w:tc>
          <w:tcPr>
            <w:tcW w:w="1879" w:type="dxa"/>
          </w:tcPr>
          <w:p w14:paraId="045F691B" w14:textId="0A880ACD"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72.</w:t>
            </w:r>
            <w:r w:rsidR="00F31D0C" w:rsidRPr="005F3755">
              <w:rPr>
                <w:rFonts w:ascii="Arial" w:hAnsi="Arial" w:cs="Arial"/>
                <w:sz w:val="16"/>
                <w:szCs w:val="16"/>
              </w:rPr>
              <w:t>8</w:t>
            </w:r>
          </w:p>
          <w:p w14:paraId="6EAA5470"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(51.</w:t>
            </w:r>
            <w:r w:rsidR="00F31D0C" w:rsidRPr="005F3755">
              <w:rPr>
                <w:rFonts w:ascii="Arial" w:hAnsi="Arial" w:cs="Arial"/>
                <w:sz w:val="16"/>
                <w:szCs w:val="16"/>
              </w:rPr>
              <w:t>8</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95.8)</w:t>
            </w:r>
          </w:p>
          <w:p w14:paraId="65E34DF8" w14:textId="5D707DB1"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n=105</w:t>
            </w:r>
          </w:p>
        </w:tc>
        <w:tc>
          <w:tcPr>
            <w:tcW w:w="956" w:type="dxa"/>
          </w:tcPr>
          <w:p w14:paraId="76C003B4" w14:textId="5265E249"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0.9</w:t>
            </w:r>
            <w:r w:rsidR="00135E7F" w:rsidRPr="005F3755">
              <w:rPr>
                <w:rFonts w:ascii="Arial" w:hAnsi="Arial" w:cs="Arial"/>
                <w:sz w:val="16"/>
                <w:szCs w:val="16"/>
              </w:rPr>
              <w:t>05</w:t>
            </w:r>
          </w:p>
        </w:tc>
        <w:tc>
          <w:tcPr>
            <w:tcW w:w="1559" w:type="dxa"/>
          </w:tcPr>
          <w:p w14:paraId="4D536CA1" w14:textId="51D664E1" w:rsidR="007A1D3C"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7</w:t>
            </w:r>
            <w:r w:rsidR="009F4972" w:rsidRPr="005F3755">
              <w:rPr>
                <w:rFonts w:ascii="Arial" w:hAnsi="Arial" w:cs="Arial"/>
                <w:sz w:val="16"/>
                <w:szCs w:val="16"/>
              </w:rPr>
              <w:t>3.2</w:t>
            </w:r>
          </w:p>
          <w:p w14:paraId="22346647"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w:t>
            </w:r>
            <w:r w:rsidR="009F4972" w:rsidRPr="005F3755">
              <w:rPr>
                <w:rFonts w:ascii="Arial" w:hAnsi="Arial" w:cs="Arial"/>
                <w:sz w:val="16"/>
                <w:szCs w:val="16"/>
              </w:rPr>
              <w:t>6.9</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96.5)</w:t>
            </w:r>
          </w:p>
          <w:p w14:paraId="1F82180B" w14:textId="51BA93CF"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n=66</w:t>
            </w:r>
          </w:p>
        </w:tc>
        <w:tc>
          <w:tcPr>
            <w:tcW w:w="1559" w:type="dxa"/>
          </w:tcPr>
          <w:p w14:paraId="2280E8EC" w14:textId="4D511B0E" w:rsidR="00307039"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6</w:t>
            </w:r>
            <w:r w:rsidR="009F4972" w:rsidRPr="005F3755">
              <w:rPr>
                <w:rFonts w:ascii="Arial" w:hAnsi="Arial" w:cs="Arial"/>
                <w:sz w:val="16"/>
                <w:szCs w:val="16"/>
              </w:rPr>
              <w:t>7.3</w:t>
            </w:r>
          </w:p>
          <w:p w14:paraId="0B52206E"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(52.</w:t>
            </w:r>
            <w:r w:rsidR="009F4972" w:rsidRPr="005F3755">
              <w:rPr>
                <w:rFonts w:ascii="Arial" w:hAnsi="Arial" w:cs="Arial"/>
                <w:sz w:val="16"/>
                <w:szCs w:val="16"/>
              </w:rPr>
              <w:t>9</w:t>
            </w:r>
            <w:r w:rsidR="0083064A" w:rsidRPr="005F3755">
              <w:rPr>
                <w:rFonts w:ascii="Arial" w:hAnsi="Arial" w:cs="Arial"/>
                <w:sz w:val="16"/>
                <w:szCs w:val="16"/>
              </w:rPr>
              <w:t xml:space="preserve"> –</w:t>
            </w:r>
            <w:r w:rsidR="00307039" w:rsidRPr="005F3755">
              <w:rPr>
                <w:rFonts w:ascii="Arial" w:hAnsi="Arial" w:cs="Arial"/>
                <w:sz w:val="16"/>
                <w:szCs w:val="16"/>
              </w:rPr>
              <w:t xml:space="preserve"> </w:t>
            </w:r>
            <w:r w:rsidRPr="005F3755">
              <w:rPr>
                <w:rFonts w:ascii="Arial" w:hAnsi="Arial" w:cs="Arial"/>
                <w:sz w:val="16"/>
                <w:szCs w:val="16"/>
              </w:rPr>
              <w:t>88.</w:t>
            </w:r>
            <w:r w:rsidR="009F4972" w:rsidRPr="005F3755">
              <w:rPr>
                <w:rFonts w:ascii="Arial" w:hAnsi="Arial" w:cs="Arial"/>
                <w:sz w:val="16"/>
                <w:szCs w:val="16"/>
              </w:rPr>
              <w:t>7</w:t>
            </w:r>
            <w:r w:rsidRPr="005F3755">
              <w:rPr>
                <w:rFonts w:ascii="Arial" w:hAnsi="Arial" w:cs="Arial"/>
                <w:sz w:val="16"/>
                <w:szCs w:val="16"/>
              </w:rPr>
              <w:t>)</w:t>
            </w:r>
          </w:p>
          <w:p w14:paraId="42F7AEA7" w14:textId="7B7A879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n=143</w:t>
            </w:r>
          </w:p>
        </w:tc>
        <w:tc>
          <w:tcPr>
            <w:tcW w:w="992" w:type="dxa"/>
          </w:tcPr>
          <w:p w14:paraId="38E994EB" w14:textId="6AC9B6B8" w:rsidR="00701A0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0.1</w:t>
            </w:r>
            <w:r w:rsidR="00166583" w:rsidRPr="005F3755">
              <w:rPr>
                <w:rFonts w:ascii="Arial" w:hAnsi="Arial" w:cs="Arial"/>
                <w:sz w:val="16"/>
                <w:szCs w:val="16"/>
              </w:rPr>
              <w:t>88</w:t>
            </w:r>
          </w:p>
          <w:p w14:paraId="5F1031C6" w14:textId="2300AF6A" w:rsidR="00D725D0" w:rsidRPr="005F3755" w:rsidRDefault="00D725D0" w:rsidP="0032098A">
            <w:pPr>
              <w:spacing w:line="480" w:lineRule="auto"/>
              <w:jc w:val="both"/>
              <w:rPr>
                <w:rFonts w:ascii="Arial" w:hAnsi="Arial" w:cs="Arial"/>
                <w:sz w:val="16"/>
                <w:szCs w:val="16"/>
              </w:rPr>
            </w:pPr>
          </w:p>
        </w:tc>
      </w:tr>
      <w:tr w:rsidR="004D7205" w:rsidRPr="005F3755" w14:paraId="6DE3A5D9" w14:textId="77777777" w:rsidTr="0073261B">
        <w:trPr>
          <w:trHeight w:val="929"/>
        </w:trPr>
        <w:tc>
          <w:tcPr>
            <w:tcW w:w="1276" w:type="dxa"/>
          </w:tcPr>
          <w:p w14:paraId="3FFE32FA" w14:textId="6E93FC17" w:rsidR="00EF1468" w:rsidRPr="005F3755" w:rsidRDefault="00053D91" w:rsidP="0032098A">
            <w:pPr>
              <w:spacing w:line="480" w:lineRule="auto"/>
              <w:jc w:val="both"/>
              <w:rPr>
                <w:rFonts w:ascii="Arial" w:hAnsi="Arial" w:cs="Arial"/>
                <w:b/>
                <w:sz w:val="16"/>
                <w:szCs w:val="16"/>
              </w:rPr>
            </w:pPr>
            <w:r w:rsidRPr="005F3755">
              <w:rPr>
                <w:rFonts w:ascii="Arial" w:hAnsi="Arial" w:cs="Arial"/>
                <w:b/>
                <w:sz w:val="16"/>
                <w:szCs w:val="16"/>
              </w:rPr>
              <w:t>FTC</w:t>
            </w:r>
            <w:r w:rsidRPr="005F3755">
              <w:rPr>
                <w:rFonts w:ascii="Arial" w:hAnsi="Arial" w:cs="Arial"/>
                <w:b/>
                <w:sz w:val="16"/>
                <w:szCs w:val="16"/>
                <w:vertAlign w:val="superscript"/>
              </w:rPr>
              <w:t>†</w:t>
            </w:r>
            <w:r w:rsidR="00D725D0" w:rsidRPr="005F3755">
              <w:rPr>
                <w:rFonts w:ascii="Arial" w:hAnsi="Arial" w:cs="Arial"/>
                <w:b/>
                <w:sz w:val="16"/>
                <w:szCs w:val="16"/>
              </w:rPr>
              <w:t xml:space="preserve"> </w:t>
            </w:r>
          </w:p>
          <w:p w14:paraId="70216287" w14:textId="17EC04F5" w:rsidR="00D725D0" w:rsidRPr="005F3755" w:rsidRDefault="00D725D0" w:rsidP="0032098A">
            <w:pPr>
              <w:spacing w:line="480" w:lineRule="auto"/>
              <w:ind w:right="-123"/>
              <w:jc w:val="both"/>
              <w:rPr>
                <w:rFonts w:ascii="Arial" w:hAnsi="Arial" w:cs="Arial"/>
                <w:b/>
                <w:sz w:val="16"/>
                <w:szCs w:val="16"/>
              </w:rPr>
            </w:pPr>
            <w:r w:rsidRPr="005F3755">
              <w:rPr>
                <w:rFonts w:ascii="Arial" w:hAnsi="Arial" w:cs="Arial"/>
                <w:b/>
                <w:sz w:val="16"/>
                <w:szCs w:val="16"/>
              </w:rPr>
              <w:t>(ng/ml)</w:t>
            </w:r>
          </w:p>
        </w:tc>
        <w:tc>
          <w:tcPr>
            <w:tcW w:w="1843" w:type="dxa"/>
          </w:tcPr>
          <w:p w14:paraId="39DAA4E7" w14:textId="1F5FE328" w:rsidR="00EB4B84"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w:t>
            </w:r>
            <w:r w:rsidR="009F0097" w:rsidRPr="005F3755">
              <w:rPr>
                <w:rFonts w:ascii="Arial" w:hAnsi="Arial" w:cs="Arial"/>
                <w:sz w:val="16"/>
                <w:szCs w:val="16"/>
              </w:rPr>
              <w:t>92.5</w:t>
            </w:r>
          </w:p>
          <w:p w14:paraId="3E66AB34"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w:t>
            </w:r>
            <w:r w:rsidR="009F0097" w:rsidRPr="005F3755">
              <w:rPr>
                <w:rFonts w:ascii="Arial" w:hAnsi="Arial" w:cs="Arial"/>
                <w:sz w:val="16"/>
                <w:szCs w:val="16"/>
              </w:rPr>
              <w:t>23.0</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27</w:t>
            </w:r>
            <w:r w:rsidR="009F0097" w:rsidRPr="005F3755">
              <w:rPr>
                <w:rFonts w:ascii="Arial" w:hAnsi="Arial" w:cs="Arial"/>
                <w:sz w:val="16"/>
                <w:szCs w:val="16"/>
              </w:rPr>
              <w:t>9.0</w:t>
            </w:r>
            <w:r w:rsidRPr="005F3755">
              <w:rPr>
                <w:rFonts w:ascii="Arial" w:hAnsi="Arial" w:cs="Arial"/>
                <w:sz w:val="16"/>
                <w:szCs w:val="16"/>
              </w:rPr>
              <w:t>)</w:t>
            </w:r>
          </w:p>
          <w:p w14:paraId="32D69F7F" w14:textId="2A06A14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n=164</w:t>
            </w:r>
          </w:p>
        </w:tc>
        <w:tc>
          <w:tcPr>
            <w:tcW w:w="1843" w:type="dxa"/>
          </w:tcPr>
          <w:p w14:paraId="36D4C5F1" w14:textId="77777777" w:rsidR="00B14287"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156.0</w:t>
            </w:r>
          </w:p>
          <w:p w14:paraId="4E0075D5"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(108.</w:t>
            </w:r>
            <w:r w:rsidR="009F0097" w:rsidRPr="005F3755">
              <w:rPr>
                <w:rFonts w:ascii="Arial" w:hAnsi="Arial" w:cs="Arial"/>
                <w:sz w:val="16"/>
                <w:szCs w:val="16"/>
              </w:rPr>
              <w:t>0</w:t>
            </w:r>
            <w:r w:rsidR="00701A0A" w:rsidRPr="005F3755">
              <w:rPr>
                <w:rFonts w:ascii="Arial" w:hAnsi="Arial" w:cs="Arial"/>
                <w:sz w:val="16"/>
                <w:szCs w:val="16"/>
              </w:rPr>
              <w:t xml:space="preserve"> –</w:t>
            </w:r>
            <w:r w:rsidR="00EB4B84" w:rsidRPr="005F3755">
              <w:rPr>
                <w:rFonts w:ascii="Arial" w:hAnsi="Arial" w:cs="Arial"/>
                <w:sz w:val="16"/>
                <w:szCs w:val="16"/>
              </w:rPr>
              <w:t xml:space="preserve"> </w:t>
            </w:r>
            <w:r w:rsidRPr="005F3755">
              <w:rPr>
                <w:rFonts w:ascii="Arial" w:hAnsi="Arial" w:cs="Arial"/>
                <w:sz w:val="16"/>
                <w:szCs w:val="16"/>
              </w:rPr>
              <w:t>236.</w:t>
            </w:r>
            <w:r w:rsidR="009F0097" w:rsidRPr="005F3755">
              <w:rPr>
                <w:rFonts w:ascii="Arial" w:hAnsi="Arial" w:cs="Arial"/>
                <w:sz w:val="16"/>
                <w:szCs w:val="16"/>
              </w:rPr>
              <w:t>0</w:t>
            </w:r>
            <w:r w:rsidRPr="005F3755">
              <w:rPr>
                <w:rFonts w:ascii="Arial" w:hAnsi="Arial" w:cs="Arial"/>
                <w:sz w:val="16"/>
                <w:szCs w:val="16"/>
              </w:rPr>
              <w:t>)</w:t>
            </w:r>
          </w:p>
          <w:p w14:paraId="2E890E36" w14:textId="3FF8912A"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n=43</w:t>
            </w:r>
          </w:p>
        </w:tc>
        <w:tc>
          <w:tcPr>
            <w:tcW w:w="992" w:type="dxa"/>
          </w:tcPr>
          <w:p w14:paraId="3BF54E12" w14:textId="2915846A"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0.</w:t>
            </w:r>
            <w:r w:rsidR="00135E7F" w:rsidRPr="005F3755">
              <w:rPr>
                <w:rFonts w:ascii="Arial" w:hAnsi="Arial" w:cs="Arial"/>
                <w:sz w:val="16"/>
                <w:szCs w:val="16"/>
              </w:rPr>
              <w:t>080</w:t>
            </w:r>
          </w:p>
          <w:p w14:paraId="36C2B893" w14:textId="4F6256EA" w:rsidR="00D725D0" w:rsidRPr="005F3755" w:rsidRDefault="00D725D0" w:rsidP="0032098A">
            <w:pPr>
              <w:spacing w:line="480" w:lineRule="auto"/>
              <w:jc w:val="both"/>
              <w:rPr>
                <w:rFonts w:ascii="Arial" w:hAnsi="Arial" w:cs="Arial"/>
                <w:sz w:val="16"/>
                <w:szCs w:val="16"/>
              </w:rPr>
            </w:pPr>
          </w:p>
        </w:tc>
        <w:tc>
          <w:tcPr>
            <w:tcW w:w="1559" w:type="dxa"/>
          </w:tcPr>
          <w:p w14:paraId="17CEEBE8" w14:textId="1EF928C8"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22</w:t>
            </w:r>
            <w:r w:rsidR="00F31D0C" w:rsidRPr="005F3755">
              <w:rPr>
                <w:rFonts w:ascii="Arial" w:hAnsi="Arial" w:cs="Arial"/>
                <w:sz w:val="16"/>
                <w:szCs w:val="16"/>
              </w:rPr>
              <w:t>1.0</w:t>
            </w:r>
          </w:p>
          <w:p w14:paraId="76CDDA74"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(132.0</w:t>
            </w:r>
            <w:r w:rsidR="00701A0A" w:rsidRPr="005F3755">
              <w:rPr>
                <w:rFonts w:ascii="Arial" w:hAnsi="Arial" w:cs="Arial"/>
                <w:sz w:val="16"/>
                <w:szCs w:val="16"/>
              </w:rPr>
              <w:t xml:space="preserve"> –</w:t>
            </w:r>
            <w:r w:rsidR="00F31D0C" w:rsidRPr="005F3755">
              <w:rPr>
                <w:rFonts w:ascii="Arial" w:hAnsi="Arial" w:cs="Arial"/>
                <w:sz w:val="16"/>
                <w:szCs w:val="16"/>
              </w:rPr>
              <w:t xml:space="preserve"> 300.0</w:t>
            </w:r>
            <w:r w:rsidRPr="005F3755">
              <w:rPr>
                <w:rFonts w:ascii="Arial" w:hAnsi="Arial" w:cs="Arial"/>
                <w:sz w:val="16"/>
                <w:szCs w:val="16"/>
              </w:rPr>
              <w:t>)</w:t>
            </w:r>
          </w:p>
          <w:p w14:paraId="2D77CA79" w14:textId="02EDC0F6"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n=97</w:t>
            </w:r>
          </w:p>
        </w:tc>
        <w:tc>
          <w:tcPr>
            <w:tcW w:w="1559" w:type="dxa"/>
          </w:tcPr>
          <w:p w14:paraId="7C44A391" w14:textId="50B86CEF" w:rsidR="006A7B88"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15</w:t>
            </w:r>
            <w:r w:rsidR="00F31D0C" w:rsidRPr="005F3755">
              <w:rPr>
                <w:rFonts w:ascii="Arial" w:hAnsi="Arial" w:cs="Arial"/>
                <w:sz w:val="16"/>
                <w:szCs w:val="16"/>
              </w:rPr>
              <w:t>9.5</w:t>
            </w:r>
          </w:p>
          <w:p w14:paraId="38B51064"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w:t>
            </w:r>
            <w:r w:rsidR="00F31D0C" w:rsidRPr="005F3755">
              <w:rPr>
                <w:rFonts w:ascii="Arial" w:hAnsi="Arial" w:cs="Arial"/>
                <w:sz w:val="16"/>
                <w:szCs w:val="16"/>
              </w:rPr>
              <w:t>108.5</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2</w:t>
            </w:r>
            <w:r w:rsidR="00F31D0C" w:rsidRPr="005F3755">
              <w:rPr>
                <w:rFonts w:ascii="Arial" w:hAnsi="Arial" w:cs="Arial"/>
                <w:sz w:val="16"/>
                <w:szCs w:val="16"/>
              </w:rPr>
              <w:t>25.5</w:t>
            </w:r>
            <w:r w:rsidRPr="005F3755">
              <w:rPr>
                <w:rFonts w:ascii="Arial" w:hAnsi="Arial" w:cs="Arial"/>
                <w:sz w:val="16"/>
                <w:szCs w:val="16"/>
              </w:rPr>
              <w:t>)</w:t>
            </w:r>
          </w:p>
          <w:p w14:paraId="646E945A" w14:textId="700AC3CD"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n=108</w:t>
            </w:r>
          </w:p>
        </w:tc>
        <w:tc>
          <w:tcPr>
            <w:tcW w:w="993" w:type="dxa"/>
          </w:tcPr>
          <w:p w14:paraId="506234AE" w14:textId="19A5B3B1" w:rsidR="007359C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0.00</w:t>
            </w:r>
            <w:r w:rsidR="00135E7F" w:rsidRPr="005F3755">
              <w:rPr>
                <w:rFonts w:ascii="Arial" w:hAnsi="Arial" w:cs="Arial"/>
                <w:b/>
                <w:sz w:val="16"/>
                <w:szCs w:val="16"/>
              </w:rPr>
              <w:t>5</w:t>
            </w:r>
          </w:p>
          <w:p w14:paraId="2B6B8756" w14:textId="5E63F033" w:rsidR="00D725D0" w:rsidRPr="005F3755" w:rsidRDefault="00D725D0" w:rsidP="0032098A">
            <w:pPr>
              <w:spacing w:line="480" w:lineRule="auto"/>
              <w:jc w:val="both"/>
              <w:rPr>
                <w:rFonts w:ascii="Arial" w:hAnsi="Arial" w:cs="Arial"/>
                <w:sz w:val="16"/>
                <w:szCs w:val="16"/>
              </w:rPr>
            </w:pPr>
          </w:p>
        </w:tc>
        <w:tc>
          <w:tcPr>
            <w:tcW w:w="1701" w:type="dxa"/>
          </w:tcPr>
          <w:p w14:paraId="5D5EA985" w14:textId="1DC45D0A"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22</w:t>
            </w:r>
            <w:r w:rsidR="00135E7F" w:rsidRPr="005F3755">
              <w:rPr>
                <w:rFonts w:ascii="Arial" w:hAnsi="Arial" w:cs="Arial"/>
                <w:sz w:val="16"/>
                <w:szCs w:val="16"/>
              </w:rPr>
              <w:t>9.0</w:t>
            </w:r>
          </w:p>
          <w:p w14:paraId="3E126D9C"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(15</w:t>
            </w:r>
            <w:r w:rsidR="00135E7F" w:rsidRPr="005F3755">
              <w:rPr>
                <w:rFonts w:ascii="Arial" w:hAnsi="Arial" w:cs="Arial"/>
                <w:sz w:val="16"/>
                <w:szCs w:val="16"/>
              </w:rPr>
              <w:t>1.0</w:t>
            </w:r>
            <w:r w:rsidR="00701A0A" w:rsidRPr="005F3755">
              <w:rPr>
                <w:rFonts w:ascii="Arial" w:hAnsi="Arial" w:cs="Arial"/>
                <w:sz w:val="16"/>
                <w:szCs w:val="16"/>
              </w:rPr>
              <w:t xml:space="preserve"> –</w:t>
            </w:r>
            <w:r w:rsidR="006A7B88" w:rsidRPr="005F3755">
              <w:rPr>
                <w:rFonts w:ascii="Arial" w:hAnsi="Arial" w:cs="Arial"/>
                <w:sz w:val="16"/>
                <w:szCs w:val="16"/>
              </w:rPr>
              <w:t xml:space="preserve"> </w:t>
            </w:r>
            <w:r w:rsidRPr="005F3755">
              <w:rPr>
                <w:rFonts w:ascii="Arial" w:hAnsi="Arial" w:cs="Arial"/>
                <w:sz w:val="16"/>
                <w:szCs w:val="16"/>
              </w:rPr>
              <w:t>3</w:t>
            </w:r>
            <w:r w:rsidR="00135E7F" w:rsidRPr="005F3755">
              <w:rPr>
                <w:rFonts w:ascii="Arial" w:hAnsi="Arial" w:cs="Arial"/>
                <w:sz w:val="16"/>
                <w:szCs w:val="16"/>
              </w:rPr>
              <w:t>23.0</w:t>
            </w:r>
            <w:r w:rsidRPr="005F3755">
              <w:rPr>
                <w:rFonts w:ascii="Arial" w:hAnsi="Arial" w:cs="Arial"/>
                <w:sz w:val="16"/>
                <w:szCs w:val="16"/>
              </w:rPr>
              <w:t>)</w:t>
            </w:r>
          </w:p>
          <w:p w14:paraId="747F0E1D" w14:textId="640A524D"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n=63</w:t>
            </w:r>
          </w:p>
        </w:tc>
        <w:tc>
          <w:tcPr>
            <w:tcW w:w="1879" w:type="dxa"/>
          </w:tcPr>
          <w:p w14:paraId="75DBEF05" w14:textId="0A0D9143" w:rsidR="007359CA"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173.</w:t>
            </w:r>
            <w:r w:rsidR="00135E7F" w:rsidRPr="005F3755">
              <w:rPr>
                <w:rFonts w:ascii="Arial" w:hAnsi="Arial" w:cs="Arial"/>
                <w:sz w:val="16"/>
                <w:szCs w:val="16"/>
              </w:rPr>
              <w:t>5</w:t>
            </w:r>
          </w:p>
          <w:p w14:paraId="3C4A92E8"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w:t>
            </w:r>
            <w:r w:rsidR="00135E7F" w:rsidRPr="005F3755">
              <w:rPr>
                <w:rFonts w:ascii="Arial" w:hAnsi="Arial" w:cs="Arial"/>
                <w:sz w:val="16"/>
                <w:szCs w:val="16"/>
              </w:rPr>
              <w:t>10.0</w:t>
            </w:r>
            <w:r w:rsidR="00701A0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257.</w:t>
            </w:r>
            <w:r w:rsidR="00135E7F" w:rsidRPr="005F3755">
              <w:rPr>
                <w:rFonts w:ascii="Arial" w:hAnsi="Arial" w:cs="Arial"/>
                <w:sz w:val="16"/>
                <w:szCs w:val="16"/>
              </w:rPr>
              <w:t>0</w:t>
            </w:r>
            <w:r w:rsidRPr="005F3755">
              <w:rPr>
                <w:rFonts w:ascii="Arial" w:hAnsi="Arial" w:cs="Arial"/>
                <w:sz w:val="16"/>
                <w:szCs w:val="16"/>
              </w:rPr>
              <w:t>)</w:t>
            </w:r>
          </w:p>
          <w:p w14:paraId="39E622AF" w14:textId="3458E43D"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n=106</w:t>
            </w:r>
          </w:p>
        </w:tc>
        <w:tc>
          <w:tcPr>
            <w:tcW w:w="956" w:type="dxa"/>
          </w:tcPr>
          <w:p w14:paraId="666EC183" w14:textId="084659ED" w:rsidR="007359C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0.0</w:t>
            </w:r>
            <w:r w:rsidR="00135E7F" w:rsidRPr="005F3755">
              <w:rPr>
                <w:rFonts w:ascii="Arial" w:hAnsi="Arial" w:cs="Arial"/>
                <w:b/>
                <w:sz w:val="16"/>
                <w:szCs w:val="16"/>
              </w:rPr>
              <w:t>15</w:t>
            </w:r>
          </w:p>
          <w:p w14:paraId="69503A95" w14:textId="50DDD2A9" w:rsidR="00D725D0" w:rsidRPr="005F3755" w:rsidRDefault="00D725D0" w:rsidP="0032098A">
            <w:pPr>
              <w:spacing w:line="480" w:lineRule="auto"/>
              <w:jc w:val="both"/>
              <w:rPr>
                <w:rFonts w:ascii="Arial" w:hAnsi="Arial" w:cs="Arial"/>
                <w:sz w:val="16"/>
                <w:szCs w:val="16"/>
              </w:rPr>
            </w:pPr>
          </w:p>
        </w:tc>
        <w:tc>
          <w:tcPr>
            <w:tcW w:w="1559" w:type="dxa"/>
          </w:tcPr>
          <w:p w14:paraId="0B3F2644" w14:textId="634FEF47" w:rsidR="007A1D3C"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24</w:t>
            </w:r>
            <w:r w:rsidR="00727477" w:rsidRPr="005F3755">
              <w:rPr>
                <w:rFonts w:ascii="Arial" w:hAnsi="Arial" w:cs="Arial"/>
                <w:sz w:val="16"/>
                <w:szCs w:val="16"/>
              </w:rPr>
              <w:t>6.0</w:t>
            </w:r>
          </w:p>
          <w:p w14:paraId="49EC1A73"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(150.</w:t>
            </w:r>
            <w:r w:rsidR="00727477" w:rsidRPr="005F3755">
              <w:rPr>
                <w:rFonts w:ascii="Arial" w:hAnsi="Arial" w:cs="Arial"/>
                <w:sz w:val="16"/>
                <w:szCs w:val="16"/>
              </w:rPr>
              <w:t>0</w:t>
            </w:r>
            <w:r w:rsidR="0083064A" w:rsidRPr="005F3755">
              <w:rPr>
                <w:rFonts w:ascii="Arial" w:hAnsi="Arial" w:cs="Arial"/>
                <w:sz w:val="16"/>
                <w:szCs w:val="16"/>
              </w:rPr>
              <w:t xml:space="preserve"> –</w:t>
            </w:r>
            <w:r w:rsidR="007A1D3C" w:rsidRPr="005F3755">
              <w:rPr>
                <w:rFonts w:ascii="Arial" w:hAnsi="Arial" w:cs="Arial"/>
                <w:sz w:val="16"/>
                <w:szCs w:val="16"/>
              </w:rPr>
              <w:t xml:space="preserve"> </w:t>
            </w:r>
            <w:r w:rsidRPr="005F3755">
              <w:rPr>
                <w:rFonts w:ascii="Arial" w:hAnsi="Arial" w:cs="Arial"/>
                <w:sz w:val="16"/>
                <w:szCs w:val="16"/>
              </w:rPr>
              <w:t>348.</w:t>
            </w:r>
            <w:r w:rsidR="00727477" w:rsidRPr="005F3755">
              <w:rPr>
                <w:rFonts w:ascii="Arial" w:hAnsi="Arial" w:cs="Arial"/>
                <w:sz w:val="16"/>
                <w:szCs w:val="16"/>
              </w:rPr>
              <w:t>0</w:t>
            </w:r>
            <w:r w:rsidRPr="005F3755">
              <w:rPr>
                <w:rFonts w:ascii="Arial" w:hAnsi="Arial" w:cs="Arial"/>
                <w:sz w:val="16"/>
                <w:szCs w:val="16"/>
              </w:rPr>
              <w:t>)</w:t>
            </w:r>
          </w:p>
          <w:p w14:paraId="65C3B01C" w14:textId="6557BE5B"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n=67</w:t>
            </w:r>
          </w:p>
        </w:tc>
        <w:tc>
          <w:tcPr>
            <w:tcW w:w="1559" w:type="dxa"/>
          </w:tcPr>
          <w:p w14:paraId="0D6DC385" w14:textId="32E5A1D0" w:rsidR="00307039"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15</w:t>
            </w:r>
            <w:r w:rsidR="00727477" w:rsidRPr="005F3755">
              <w:rPr>
                <w:rFonts w:ascii="Arial" w:hAnsi="Arial" w:cs="Arial"/>
                <w:sz w:val="16"/>
                <w:szCs w:val="16"/>
              </w:rPr>
              <w:t>6.0</w:t>
            </w:r>
          </w:p>
          <w:p w14:paraId="5F47EE6E" w14:textId="77777777" w:rsidR="00D725D0" w:rsidRPr="005F3755" w:rsidRDefault="00D725D0" w:rsidP="0032098A">
            <w:pPr>
              <w:spacing w:line="480" w:lineRule="auto"/>
              <w:jc w:val="both"/>
              <w:rPr>
                <w:rFonts w:ascii="Arial" w:hAnsi="Arial" w:cs="Arial"/>
                <w:sz w:val="16"/>
                <w:szCs w:val="16"/>
              </w:rPr>
            </w:pPr>
            <w:r w:rsidRPr="005F3755">
              <w:rPr>
                <w:rFonts w:ascii="Arial" w:hAnsi="Arial" w:cs="Arial"/>
                <w:sz w:val="16"/>
                <w:szCs w:val="16"/>
              </w:rPr>
              <w:t>(1</w:t>
            </w:r>
            <w:r w:rsidR="00727477" w:rsidRPr="005F3755">
              <w:rPr>
                <w:rFonts w:ascii="Arial" w:hAnsi="Arial" w:cs="Arial"/>
                <w:sz w:val="16"/>
                <w:szCs w:val="16"/>
              </w:rPr>
              <w:t>16.0</w:t>
            </w:r>
            <w:r w:rsidR="0083064A" w:rsidRPr="005F3755">
              <w:rPr>
                <w:rFonts w:ascii="Arial" w:hAnsi="Arial" w:cs="Arial"/>
                <w:sz w:val="16"/>
                <w:szCs w:val="16"/>
              </w:rPr>
              <w:t xml:space="preserve"> –</w:t>
            </w:r>
            <w:r w:rsidR="00307039" w:rsidRPr="005F3755">
              <w:rPr>
                <w:rFonts w:ascii="Arial" w:hAnsi="Arial" w:cs="Arial"/>
                <w:sz w:val="16"/>
                <w:szCs w:val="16"/>
              </w:rPr>
              <w:t xml:space="preserve"> </w:t>
            </w:r>
            <w:r w:rsidRPr="005F3755">
              <w:rPr>
                <w:rFonts w:ascii="Arial" w:hAnsi="Arial" w:cs="Arial"/>
                <w:sz w:val="16"/>
                <w:szCs w:val="16"/>
              </w:rPr>
              <w:t>220.</w:t>
            </w:r>
            <w:r w:rsidR="00727477" w:rsidRPr="005F3755">
              <w:rPr>
                <w:rFonts w:ascii="Arial" w:hAnsi="Arial" w:cs="Arial"/>
                <w:sz w:val="16"/>
                <w:szCs w:val="16"/>
              </w:rPr>
              <w:t>0</w:t>
            </w:r>
            <w:r w:rsidRPr="005F3755">
              <w:rPr>
                <w:rFonts w:ascii="Arial" w:hAnsi="Arial" w:cs="Arial"/>
                <w:sz w:val="16"/>
                <w:szCs w:val="16"/>
              </w:rPr>
              <w:t>)</w:t>
            </w:r>
          </w:p>
          <w:p w14:paraId="28878629" w14:textId="502B073C"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n=141</w:t>
            </w:r>
          </w:p>
        </w:tc>
        <w:tc>
          <w:tcPr>
            <w:tcW w:w="992" w:type="dxa"/>
          </w:tcPr>
          <w:p w14:paraId="28412D57" w14:textId="2BACE56B" w:rsidR="00701A0A" w:rsidRPr="005F3755" w:rsidRDefault="00D725D0" w:rsidP="0032098A">
            <w:pPr>
              <w:spacing w:line="480" w:lineRule="auto"/>
              <w:jc w:val="both"/>
              <w:rPr>
                <w:rFonts w:ascii="Arial" w:hAnsi="Arial" w:cs="Arial"/>
                <w:b/>
                <w:sz w:val="16"/>
                <w:szCs w:val="16"/>
              </w:rPr>
            </w:pPr>
            <w:r w:rsidRPr="005F3755">
              <w:rPr>
                <w:rFonts w:ascii="Arial" w:hAnsi="Arial" w:cs="Arial"/>
                <w:b/>
                <w:sz w:val="16"/>
                <w:szCs w:val="16"/>
              </w:rPr>
              <w:t>&lt;0.001</w:t>
            </w:r>
          </w:p>
          <w:p w14:paraId="09E33E8F" w14:textId="5E3B5DA3" w:rsidR="00D725D0" w:rsidRPr="005F3755" w:rsidRDefault="00D725D0" w:rsidP="0032098A">
            <w:pPr>
              <w:spacing w:line="480" w:lineRule="auto"/>
              <w:jc w:val="both"/>
              <w:rPr>
                <w:rFonts w:ascii="Arial" w:hAnsi="Arial" w:cs="Arial"/>
                <w:sz w:val="16"/>
                <w:szCs w:val="16"/>
              </w:rPr>
            </w:pPr>
          </w:p>
        </w:tc>
      </w:tr>
      <w:tr w:rsidR="00B318D6" w:rsidRPr="005F3755" w14:paraId="1CA1B819" w14:textId="77777777" w:rsidTr="0073261B">
        <w:trPr>
          <w:trHeight w:val="929"/>
        </w:trPr>
        <w:tc>
          <w:tcPr>
            <w:tcW w:w="1276" w:type="dxa"/>
          </w:tcPr>
          <w:p w14:paraId="0763D57E" w14:textId="072C8D5C" w:rsidR="00B318D6" w:rsidRPr="005F3755" w:rsidRDefault="00B318D6" w:rsidP="0032098A">
            <w:pPr>
              <w:spacing w:line="480" w:lineRule="auto"/>
              <w:jc w:val="both"/>
              <w:rPr>
                <w:rFonts w:ascii="Arial" w:hAnsi="Arial" w:cs="Arial"/>
                <w:b/>
                <w:sz w:val="16"/>
                <w:szCs w:val="16"/>
              </w:rPr>
            </w:pPr>
            <w:r w:rsidRPr="005F3755">
              <w:rPr>
                <w:rFonts w:ascii="Arial" w:hAnsi="Arial" w:cs="Arial"/>
                <w:b/>
                <w:sz w:val="16"/>
                <w:szCs w:val="16"/>
              </w:rPr>
              <w:t>V</w:t>
            </w:r>
            <w:r w:rsidR="00C30722" w:rsidRPr="005F3755">
              <w:rPr>
                <w:rFonts w:ascii="Arial" w:hAnsi="Arial" w:cs="Arial"/>
                <w:b/>
                <w:sz w:val="16"/>
                <w:szCs w:val="16"/>
              </w:rPr>
              <w:t>L</w:t>
            </w:r>
            <w:r w:rsidR="00C30722" w:rsidRPr="005F3755">
              <w:rPr>
                <w:rFonts w:ascii="Arial" w:hAnsi="Arial" w:cs="Arial"/>
                <w:b/>
                <w:sz w:val="16"/>
                <w:szCs w:val="16"/>
                <w:vertAlign w:val="superscript"/>
              </w:rPr>
              <w:t>§</w:t>
            </w:r>
          </w:p>
        </w:tc>
        <w:tc>
          <w:tcPr>
            <w:tcW w:w="1843" w:type="dxa"/>
          </w:tcPr>
          <w:p w14:paraId="1D778CAA" w14:textId="2E44CEC9"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128/164</w:t>
            </w:r>
          </w:p>
          <w:p w14:paraId="1C01E65E" w14:textId="171CB010"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741525" w:rsidRPr="005F3755">
              <w:rPr>
                <w:rFonts w:ascii="Arial" w:hAnsi="Arial" w:cs="Arial"/>
                <w:sz w:val="16"/>
                <w:szCs w:val="16"/>
              </w:rPr>
              <w:t>78.05%</w:t>
            </w:r>
            <w:r w:rsidRPr="005F3755">
              <w:rPr>
                <w:rFonts w:ascii="Arial" w:hAnsi="Arial" w:cs="Arial"/>
                <w:sz w:val="16"/>
                <w:szCs w:val="16"/>
              </w:rPr>
              <w:t>)</w:t>
            </w:r>
          </w:p>
        </w:tc>
        <w:tc>
          <w:tcPr>
            <w:tcW w:w="1843" w:type="dxa"/>
          </w:tcPr>
          <w:p w14:paraId="7B511AAC" w14:textId="626BDD3E"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34/42</w:t>
            </w:r>
          </w:p>
          <w:p w14:paraId="0FEF6258" w14:textId="5D955D88"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741525" w:rsidRPr="005F3755">
              <w:rPr>
                <w:rFonts w:ascii="Arial" w:hAnsi="Arial" w:cs="Arial"/>
                <w:sz w:val="16"/>
                <w:szCs w:val="16"/>
              </w:rPr>
              <w:t>80.95%</w:t>
            </w:r>
            <w:r w:rsidRPr="005F3755">
              <w:rPr>
                <w:rFonts w:ascii="Arial" w:hAnsi="Arial" w:cs="Arial"/>
                <w:sz w:val="16"/>
                <w:szCs w:val="16"/>
              </w:rPr>
              <w:t>)</w:t>
            </w:r>
          </w:p>
        </w:tc>
        <w:tc>
          <w:tcPr>
            <w:tcW w:w="992" w:type="dxa"/>
          </w:tcPr>
          <w:p w14:paraId="5355401D" w14:textId="589673E5"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0.</w:t>
            </w:r>
            <w:r w:rsidR="00741525" w:rsidRPr="005F3755">
              <w:rPr>
                <w:rFonts w:ascii="Arial" w:hAnsi="Arial" w:cs="Arial"/>
                <w:sz w:val="16"/>
                <w:szCs w:val="16"/>
              </w:rPr>
              <w:t>682</w:t>
            </w:r>
          </w:p>
          <w:p w14:paraId="6D9C744D" w14:textId="77777777" w:rsidR="00B318D6" w:rsidRPr="005F3755" w:rsidRDefault="00B318D6" w:rsidP="0032098A">
            <w:pPr>
              <w:spacing w:line="480" w:lineRule="auto"/>
              <w:jc w:val="both"/>
              <w:rPr>
                <w:rFonts w:ascii="Arial" w:hAnsi="Arial" w:cs="Arial"/>
                <w:sz w:val="16"/>
                <w:szCs w:val="16"/>
              </w:rPr>
            </w:pPr>
          </w:p>
        </w:tc>
        <w:tc>
          <w:tcPr>
            <w:tcW w:w="1559" w:type="dxa"/>
          </w:tcPr>
          <w:p w14:paraId="08897AEB" w14:textId="32E174A0"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72/96</w:t>
            </w:r>
          </w:p>
          <w:p w14:paraId="26269FDE" w14:textId="7AB5205F"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ED4F85" w:rsidRPr="005F3755">
              <w:rPr>
                <w:rFonts w:ascii="Arial" w:hAnsi="Arial" w:cs="Arial"/>
                <w:sz w:val="16"/>
                <w:szCs w:val="16"/>
              </w:rPr>
              <w:t>75.00%</w:t>
            </w:r>
            <w:r w:rsidRPr="005F3755">
              <w:rPr>
                <w:rFonts w:ascii="Arial" w:hAnsi="Arial" w:cs="Arial"/>
                <w:sz w:val="16"/>
                <w:szCs w:val="16"/>
              </w:rPr>
              <w:t>)</w:t>
            </w:r>
          </w:p>
        </w:tc>
        <w:tc>
          <w:tcPr>
            <w:tcW w:w="1559" w:type="dxa"/>
          </w:tcPr>
          <w:p w14:paraId="542B61C9" w14:textId="7FDCCBB7"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88/108</w:t>
            </w:r>
          </w:p>
          <w:p w14:paraId="32CFBEB9" w14:textId="0B7F4DE6"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ED4F85" w:rsidRPr="005F3755">
              <w:rPr>
                <w:rFonts w:ascii="Arial" w:hAnsi="Arial" w:cs="Arial"/>
                <w:sz w:val="16"/>
                <w:szCs w:val="16"/>
              </w:rPr>
              <w:t>81.48%</w:t>
            </w:r>
            <w:r w:rsidRPr="005F3755">
              <w:rPr>
                <w:rFonts w:ascii="Arial" w:hAnsi="Arial" w:cs="Arial"/>
                <w:sz w:val="16"/>
                <w:szCs w:val="16"/>
              </w:rPr>
              <w:t>)</w:t>
            </w:r>
          </w:p>
        </w:tc>
        <w:tc>
          <w:tcPr>
            <w:tcW w:w="993" w:type="dxa"/>
          </w:tcPr>
          <w:p w14:paraId="552F3723" w14:textId="65BA3D4F" w:rsidR="00B318D6" w:rsidRPr="005F3755" w:rsidRDefault="00741525" w:rsidP="0032098A">
            <w:pPr>
              <w:spacing w:line="480" w:lineRule="auto"/>
              <w:jc w:val="both"/>
              <w:rPr>
                <w:rFonts w:ascii="Arial" w:hAnsi="Arial" w:cs="Arial"/>
                <w:bCs/>
                <w:sz w:val="16"/>
                <w:szCs w:val="16"/>
              </w:rPr>
            </w:pPr>
            <w:r w:rsidRPr="005F3755">
              <w:rPr>
                <w:rFonts w:ascii="Arial" w:hAnsi="Arial" w:cs="Arial"/>
                <w:bCs/>
                <w:sz w:val="16"/>
                <w:szCs w:val="16"/>
              </w:rPr>
              <w:t>0.26</w:t>
            </w:r>
            <w:r w:rsidR="00ED4F85" w:rsidRPr="005F3755">
              <w:rPr>
                <w:rFonts w:ascii="Arial" w:hAnsi="Arial" w:cs="Arial"/>
                <w:bCs/>
                <w:sz w:val="16"/>
                <w:szCs w:val="16"/>
              </w:rPr>
              <w:t>1</w:t>
            </w:r>
          </w:p>
          <w:p w14:paraId="66D48616" w14:textId="77777777" w:rsidR="00B318D6" w:rsidRPr="005F3755" w:rsidRDefault="00B318D6" w:rsidP="0032098A">
            <w:pPr>
              <w:spacing w:line="480" w:lineRule="auto"/>
              <w:jc w:val="both"/>
              <w:rPr>
                <w:rFonts w:ascii="Arial" w:hAnsi="Arial" w:cs="Arial"/>
                <w:b/>
                <w:sz w:val="16"/>
                <w:szCs w:val="16"/>
              </w:rPr>
            </w:pPr>
          </w:p>
        </w:tc>
        <w:tc>
          <w:tcPr>
            <w:tcW w:w="1701" w:type="dxa"/>
          </w:tcPr>
          <w:p w14:paraId="0F632338" w14:textId="3CC60303"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44/62</w:t>
            </w:r>
          </w:p>
          <w:p w14:paraId="0228F3C1" w14:textId="50495E1E"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ED4F85" w:rsidRPr="005F3755">
              <w:rPr>
                <w:rFonts w:ascii="Arial" w:hAnsi="Arial" w:cs="Arial"/>
                <w:sz w:val="16"/>
                <w:szCs w:val="16"/>
              </w:rPr>
              <w:t>70.97%</w:t>
            </w:r>
            <w:r w:rsidRPr="005F3755">
              <w:rPr>
                <w:rFonts w:ascii="Arial" w:hAnsi="Arial" w:cs="Arial"/>
                <w:sz w:val="16"/>
                <w:szCs w:val="16"/>
              </w:rPr>
              <w:t>)</w:t>
            </w:r>
          </w:p>
        </w:tc>
        <w:tc>
          <w:tcPr>
            <w:tcW w:w="1879" w:type="dxa"/>
          </w:tcPr>
          <w:p w14:paraId="747D3083" w14:textId="6AF17E66"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80/105</w:t>
            </w:r>
          </w:p>
          <w:p w14:paraId="781BECF4" w14:textId="64D2F891"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ED4F85" w:rsidRPr="005F3755">
              <w:rPr>
                <w:rFonts w:ascii="Arial" w:hAnsi="Arial" w:cs="Arial"/>
                <w:sz w:val="16"/>
                <w:szCs w:val="16"/>
              </w:rPr>
              <w:t>76.19%</w:t>
            </w:r>
            <w:r w:rsidRPr="005F3755">
              <w:rPr>
                <w:rFonts w:ascii="Arial" w:hAnsi="Arial" w:cs="Arial"/>
                <w:sz w:val="16"/>
                <w:szCs w:val="16"/>
              </w:rPr>
              <w:t>)</w:t>
            </w:r>
          </w:p>
        </w:tc>
        <w:tc>
          <w:tcPr>
            <w:tcW w:w="956" w:type="dxa"/>
          </w:tcPr>
          <w:p w14:paraId="7F253BD2" w14:textId="7C75D506" w:rsidR="00B318D6" w:rsidRPr="005F3755" w:rsidRDefault="00741525" w:rsidP="0032098A">
            <w:pPr>
              <w:spacing w:line="480" w:lineRule="auto"/>
              <w:jc w:val="both"/>
              <w:rPr>
                <w:rFonts w:ascii="Arial" w:hAnsi="Arial" w:cs="Arial"/>
                <w:bCs/>
                <w:sz w:val="16"/>
                <w:szCs w:val="16"/>
              </w:rPr>
            </w:pPr>
            <w:r w:rsidRPr="005F3755">
              <w:rPr>
                <w:rFonts w:ascii="Arial" w:hAnsi="Arial" w:cs="Arial"/>
                <w:bCs/>
                <w:sz w:val="16"/>
                <w:szCs w:val="16"/>
              </w:rPr>
              <w:t>0</w:t>
            </w:r>
            <w:r w:rsidR="00ED4F85" w:rsidRPr="005F3755">
              <w:rPr>
                <w:rFonts w:ascii="Arial" w:hAnsi="Arial" w:cs="Arial"/>
                <w:bCs/>
                <w:sz w:val="16"/>
                <w:szCs w:val="16"/>
              </w:rPr>
              <w:t>.456</w:t>
            </w:r>
          </w:p>
          <w:p w14:paraId="625E5589" w14:textId="77777777" w:rsidR="00B318D6" w:rsidRPr="005F3755" w:rsidRDefault="00B318D6" w:rsidP="0032098A">
            <w:pPr>
              <w:spacing w:line="480" w:lineRule="auto"/>
              <w:jc w:val="both"/>
              <w:rPr>
                <w:rFonts w:ascii="Arial" w:hAnsi="Arial" w:cs="Arial"/>
                <w:b/>
                <w:sz w:val="16"/>
                <w:szCs w:val="16"/>
              </w:rPr>
            </w:pPr>
          </w:p>
        </w:tc>
        <w:tc>
          <w:tcPr>
            <w:tcW w:w="1559" w:type="dxa"/>
          </w:tcPr>
          <w:p w14:paraId="5274D6C9" w14:textId="15378636"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50/66</w:t>
            </w:r>
          </w:p>
          <w:p w14:paraId="58045424" w14:textId="78424806"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741525" w:rsidRPr="005F3755">
              <w:rPr>
                <w:rFonts w:ascii="Arial" w:hAnsi="Arial" w:cs="Arial"/>
                <w:sz w:val="16"/>
                <w:szCs w:val="16"/>
              </w:rPr>
              <w:t>75.76%</w:t>
            </w:r>
            <w:r w:rsidRPr="005F3755">
              <w:rPr>
                <w:rFonts w:ascii="Arial" w:hAnsi="Arial" w:cs="Arial"/>
                <w:sz w:val="16"/>
                <w:szCs w:val="16"/>
              </w:rPr>
              <w:t>)</w:t>
            </w:r>
          </w:p>
        </w:tc>
        <w:tc>
          <w:tcPr>
            <w:tcW w:w="1559" w:type="dxa"/>
          </w:tcPr>
          <w:p w14:paraId="03A76F5B" w14:textId="58F38620" w:rsidR="00B318D6" w:rsidRPr="005F3755" w:rsidRDefault="00741525" w:rsidP="0032098A">
            <w:pPr>
              <w:spacing w:line="480" w:lineRule="auto"/>
              <w:jc w:val="both"/>
              <w:rPr>
                <w:rFonts w:ascii="Arial" w:hAnsi="Arial" w:cs="Arial"/>
                <w:sz w:val="16"/>
                <w:szCs w:val="16"/>
              </w:rPr>
            </w:pPr>
            <w:r w:rsidRPr="005F3755">
              <w:rPr>
                <w:rFonts w:ascii="Arial" w:hAnsi="Arial" w:cs="Arial"/>
                <w:sz w:val="16"/>
                <w:szCs w:val="16"/>
              </w:rPr>
              <w:t>114/142</w:t>
            </w:r>
          </w:p>
          <w:p w14:paraId="391CCE15" w14:textId="04CCDBD6"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741525" w:rsidRPr="005F3755">
              <w:rPr>
                <w:rFonts w:ascii="Arial" w:hAnsi="Arial" w:cs="Arial"/>
                <w:sz w:val="16"/>
                <w:szCs w:val="16"/>
              </w:rPr>
              <w:t>80.28%</w:t>
            </w:r>
            <w:r w:rsidRPr="005F3755">
              <w:rPr>
                <w:rFonts w:ascii="Arial" w:hAnsi="Arial" w:cs="Arial"/>
                <w:sz w:val="16"/>
                <w:szCs w:val="16"/>
              </w:rPr>
              <w:t>)</w:t>
            </w:r>
          </w:p>
        </w:tc>
        <w:tc>
          <w:tcPr>
            <w:tcW w:w="992" w:type="dxa"/>
          </w:tcPr>
          <w:p w14:paraId="2B5DE1BC" w14:textId="090E0483" w:rsidR="00B318D6" w:rsidRPr="005F3755" w:rsidRDefault="00741525" w:rsidP="0032098A">
            <w:pPr>
              <w:spacing w:line="480" w:lineRule="auto"/>
              <w:jc w:val="both"/>
              <w:rPr>
                <w:rFonts w:ascii="Arial" w:hAnsi="Arial" w:cs="Arial"/>
                <w:bCs/>
                <w:sz w:val="16"/>
                <w:szCs w:val="16"/>
              </w:rPr>
            </w:pPr>
            <w:r w:rsidRPr="005F3755">
              <w:rPr>
                <w:rFonts w:ascii="Arial" w:hAnsi="Arial" w:cs="Arial"/>
                <w:bCs/>
                <w:sz w:val="16"/>
                <w:szCs w:val="16"/>
              </w:rPr>
              <w:t>0.457</w:t>
            </w:r>
          </w:p>
          <w:p w14:paraId="211ACFC7" w14:textId="77777777" w:rsidR="00B318D6" w:rsidRPr="005F3755" w:rsidRDefault="00B318D6" w:rsidP="0032098A">
            <w:pPr>
              <w:spacing w:line="480" w:lineRule="auto"/>
              <w:jc w:val="both"/>
              <w:rPr>
                <w:rFonts w:ascii="Arial" w:hAnsi="Arial" w:cs="Arial"/>
                <w:b/>
                <w:sz w:val="16"/>
                <w:szCs w:val="16"/>
              </w:rPr>
            </w:pPr>
          </w:p>
        </w:tc>
      </w:tr>
      <w:tr w:rsidR="00B318D6" w:rsidRPr="005F3755" w14:paraId="3CDF5E59" w14:textId="77777777" w:rsidTr="0073261B">
        <w:trPr>
          <w:trHeight w:val="929"/>
        </w:trPr>
        <w:tc>
          <w:tcPr>
            <w:tcW w:w="1276" w:type="dxa"/>
          </w:tcPr>
          <w:p w14:paraId="47E528FB" w14:textId="1187F59A" w:rsidR="00B318D6" w:rsidRPr="005F3755" w:rsidRDefault="00B318D6" w:rsidP="0032098A">
            <w:pPr>
              <w:spacing w:line="480" w:lineRule="auto"/>
              <w:jc w:val="both"/>
              <w:rPr>
                <w:rFonts w:ascii="Arial" w:hAnsi="Arial" w:cs="Arial"/>
                <w:b/>
                <w:sz w:val="16"/>
                <w:szCs w:val="16"/>
              </w:rPr>
            </w:pPr>
            <w:r w:rsidRPr="005F3755">
              <w:rPr>
                <w:rFonts w:ascii="Arial" w:hAnsi="Arial" w:cs="Arial"/>
                <w:b/>
                <w:bCs/>
                <w:sz w:val="16"/>
                <w:szCs w:val="16"/>
              </w:rPr>
              <w:t>CD4</w:t>
            </w:r>
            <w:r w:rsidRPr="005F3755">
              <w:rPr>
                <w:rFonts w:ascii="Arial" w:hAnsi="Arial" w:cs="Arial"/>
                <w:sz w:val="16"/>
                <w:szCs w:val="16"/>
                <w:vertAlign w:val="superscript"/>
              </w:rPr>
              <w:t>†</w:t>
            </w:r>
          </w:p>
        </w:tc>
        <w:tc>
          <w:tcPr>
            <w:tcW w:w="1843" w:type="dxa"/>
          </w:tcPr>
          <w:p w14:paraId="1BA3C61D" w14:textId="7172C648" w:rsidR="00B318D6" w:rsidRPr="005F3755" w:rsidRDefault="00494A1B" w:rsidP="0032098A">
            <w:pPr>
              <w:spacing w:line="480" w:lineRule="auto"/>
              <w:jc w:val="both"/>
              <w:rPr>
                <w:rFonts w:ascii="Arial" w:hAnsi="Arial" w:cs="Arial"/>
                <w:sz w:val="16"/>
                <w:szCs w:val="16"/>
              </w:rPr>
            </w:pPr>
            <w:r w:rsidRPr="005F3755">
              <w:rPr>
                <w:rFonts w:ascii="Arial" w:hAnsi="Arial" w:cs="Arial"/>
                <w:sz w:val="16"/>
                <w:szCs w:val="16"/>
              </w:rPr>
              <w:t>480</w:t>
            </w:r>
          </w:p>
          <w:p w14:paraId="5C07CBDD"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494A1B" w:rsidRPr="005F3755">
              <w:rPr>
                <w:rFonts w:ascii="Arial" w:hAnsi="Arial" w:cs="Arial"/>
                <w:sz w:val="16"/>
                <w:szCs w:val="16"/>
              </w:rPr>
              <w:t>351.8</w:t>
            </w:r>
            <w:r w:rsidRPr="005F3755">
              <w:rPr>
                <w:rFonts w:ascii="Arial" w:hAnsi="Arial" w:cs="Arial"/>
                <w:sz w:val="16"/>
                <w:szCs w:val="16"/>
              </w:rPr>
              <w:t xml:space="preserve"> – </w:t>
            </w:r>
            <w:r w:rsidR="00494A1B" w:rsidRPr="005F3755">
              <w:rPr>
                <w:rFonts w:ascii="Arial" w:hAnsi="Arial" w:cs="Arial"/>
                <w:sz w:val="16"/>
                <w:szCs w:val="16"/>
              </w:rPr>
              <w:t>660.3</w:t>
            </w:r>
            <w:r w:rsidRPr="005F3755">
              <w:rPr>
                <w:rFonts w:ascii="Arial" w:hAnsi="Arial" w:cs="Arial"/>
                <w:sz w:val="16"/>
                <w:szCs w:val="16"/>
              </w:rPr>
              <w:t>)</w:t>
            </w:r>
          </w:p>
          <w:p w14:paraId="3D620AB6" w14:textId="0DCC25BF"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n=166</w:t>
            </w:r>
          </w:p>
        </w:tc>
        <w:tc>
          <w:tcPr>
            <w:tcW w:w="1843" w:type="dxa"/>
          </w:tcPr>
          <w:p w14:paraId="51D8F396" w14:textId="46EFE933" w:rsidR="00B318D6" w:rsidRPr="005F3755" w:rsidRDefault="00494A1B" w:rsidP="0032098A">
            <w:pPr>
              <w:spacing w:line="480" w:lineRule="auto"/>
              <w:jc w:val="both"/>
              <w:rPr>
                <w:rFonts w:ascii="Arial" w:hAnsi="Arial" w:cs="Arial"/>
                <w:sz w:val="16"/>
                <w:szCs w:val="16"/>
              </w:rPr>
            </w:pPr>
            <w:r w:rsidRPr="005F3755">
              <w:rPr>
                <w:rFonts w:ascii="Arial" w:hAnsi="Arial" w:cs="Arial"/>
                <w:sz w:val="16"/>
                <w:szCs w:val="16"/>
              </w:rPr>
              <w:t>565</w:t>
            </w:r>
          </w:p>
          <w:p w14:paraId="2A94D403"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494A1B" w:rsidRPr="005F3755">
              <w:rPr>
                <w:rFonts w:ascii="Arial" w:hAnsi="Arial" w:cs="Arial"/>
                <w:sz w:val="16"/>
                <w:szCs w:val="16"/>
              </w:rPr>
              <w:t>339.0</w:t>
            </w:r>
            <w:r w:rsidRPr="005F3755">
              <w:rPr>
                <w:rFonts w:ascii="Arial" w:hAnsi="Arial" w:cs="Arial"/>
                <w:sz w:val="16"/>
                <w:szCs w:val="16"/>
              </w:rPr>
              <w:t xml:space="preserve"> – </w:t>
            </w:r>
            <w:r w:rsidR="00494A1B" w:rsidRPr="005F3755">
              <w:rPr>
                <w:rFonts w:ascii="Arial" w:hAnsi="Arial" w:cs="Arial"/>
                <w:sz w:val="16"/>
                <w:szCs w:val="16"/>
              </w:rPr>
              <w:t>792.3</w:t>
            </w:r>
            <w:r w:rsidRPr="005F3755">
              <w:rPr>
                <w:rFonts w:ascii="Arial" w:hAnsi="Arial" w:cs="Arial"/>
                <w:sz w:val="16"/>
                <w:szCs w:val="16"/>
              </w:rPr>
              <w:t>)</w:t>
            </w:r>
          </w:p>
          <w:p w14:paraId="7541C6AC" w14:textId="5D3D601B"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n=42</w:t>
            </w:r>
          </w:p>
        </w:tc>
        <w:tc>
          <w:tcPr>
            <w:tcW w:w="992" w:type="dxa"/>
          </w:tcPr>
          <w:p w14:paraId="6FD76C8D" w14:textId="7AA253A7" w:rsidR="00B318D6" w:rsidRPr="005F3755" w:rsidRDefault="00B318D6" w:rsidP="0032098A">
            <w:pPr>
              <w:spacing w:line="480" w:lineRule="auto"/>
              <w:jc w:val="both"/>
              <w:rPr>
                <w:rFonts w:ascii="Arial" w:hAnsi="Arial" w:cs="Arial"/>
                <w:b/>
                <w:bCs/>
                <w:sz w:val="16"/>
                <w:szCs w:val="16"/>
              </w:rPr>
            </w:pPr>
            <w:r w:rsidRPr="005F3755">
              <w:rPr>
                <w:rFonts w:ascii="Arial" w:hAnsi="Arial" w:cs="Arial"/>
                <w:b/>
                <w:bCs/>
                <w:sz w:val="16"/>
                <w:szCs w:val="16"/>
              </w:rPr>
              <w:t>0.</w:t>
            </w:r>
            <w:r w:rsidR="00494A1B" w:rsidRPr="005F3755">
              <w:rPr>
                <w:rFonts w:ascii="Arial" w:hAnsi="Arial" w:cs="Arial"/>
                <w:b/>
                <w:bCs/>
                <w:sz w:val="16"/>
                <w:szCs w:val="16"/>
              </w:rPr>
              <w:t>045</w:t>
            </w:r>
          </w:p>
          <w:p w14:paraId="776FBD86" w14:textId="77777777" w:rsidR="00B318D6" w:rsidRPr="005F3755" w:rsidRDefault="00B318D6" w:rsidP="0032098A">
            <w:pPr>
              <w:spacing w:line="480" w:lineRule="auto"/>
              <w:jc w:val="both"/>
              <w:rPr>
                <w:rFonts w:ascii="Arial" w:hAnsi="Arial" w:cs="Arial"/>
                <w:b/>
                <w:bCs/>
                <w:sz w:val="16"/>
                <w:szCs w:val="16"/>
              </w:rPr>
            </w:pPr>
          </w:p>
        </w:tc>
        <w:tc>
          <w:tcPr>
            <w:tcW w:w="1559" w:type="dxa"/>
          </w:tcPr>
          <w:p w14:paraId="366C484C" w14:textId="2E3F81FA" w:rsidR="00B318D6" w:rsidRPr="005F3755" w:rsidRDefault="00494A1B" w:rsidP="0032098A">
            <w:pPr>
              <w:spacing w:line="480" w:lineRule="auto"/>
              <w:jc w:val="both"/>
              <w:rPr>
                <w:rFonts w:ascii="Arial" w:hAnsi="Arial" w:cs="Arial"/>
                <w:sz w:val="16"/>
                <w:szCs w:val="16"/>
              </w:rPr>
            </w:pPr>
            <w:r w:rsidRPr="005F3755">
              <w:rPr>
                <w:rFonts w:ascii="Arial" w:hAnsi="Arial" w:cs="Arial"/>
                <w:sz w:val="16"/>
                <w:szCs w:val="16"/>
              </w:rPr>
              <w:t>497</w:t>
            </w:r>
          </w:p>
          <w:p w14:paraId="6923514D"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494A1B" w:rsidRPr="005F3755">
              <w:rPr>
                <w:rFonts w:ascii="Arial" w:hAnsi="Arial" w:cs="Arial"/>
                <w:sz w:val="16"/>
                <w:szCs w:val="16"/>
              </w:rPr>
              <w:t>369.5</w:t>
            </w:r>
            <w:r w:rsidRPr="005F3755">
              <w:rPr>
                <w:rFonts w:ascii="Arial" w:hAnsi="Arial" w:cs="Arial"/>
                <w:sz w:val="16"/>
                <w:szCs w:val="16"/>
              </w:rPr>
              <w:t xml:space="preserve"> – </w:t>
            </w:r>
            <w:r w:rsidR="00494A1B" w:rsidRPr="005F3755">
              <w:rPr>
                <w:rFonts w:ascii="Arial" w:hAnsi="Arial" w:cs="Arial"/>
                <w:sz w:val="16"/>
                <w:szCs w:val="16"/>
              </w:rPr>
              <w:t>676.5</w:t>
            </w:r>
            <w:r w:rsidRPr="005F3755">
              <w:rPr>
                <w:rFonts w:ascii="Arial" w:hAnsi="Arial" w:cs="Arial"/>
                <w:sz w:val="16"/>
                <w:szCs w:val="16"/>
              </w:rPr>
              <w:t>)</w:t>
            </w:r>
          </w:p>
          <w:p w14:paraId="14C6C66D" w14:textId="6257677A"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n=97</w:t>
            </w:r>
          </w:p>
        </w:tc>
        <w:tc>
          <w:tcPr>
            <w:tcW w:w="1559" w:type="dxa"/>
          </w:tcPr>
          <w:p w14:paraId="6DA89B28" w14:textId="04E855A6" w:rsidR="00B318D6" w:rsidRPr="005F3755" w:rsidRDefault="00494A1B" w:rsidP="0032098A">
            <w:pPr>
              <w:spacing w:line="480" w:lineRule="auto"/>
              <w:jc w:val="both"/>
              <w:rPr>
                <w:rFonts w:ascii="Arial" w:hAnsi="Arial" w:cs="Arial"/>
                <w:sz w:val="16"/>
                <w:szCs w:val="16"/>
              </w:rPr>
            </w:pPr>
            <w:r w:rsidRPr="005F3755">
              <w:rPr>
                <w:rFonts w:ascii="Arial" w:hAnsi="Arial" w:cs="Arial"/>
                <w:sz w:val="16"/>
                <w:szCs w:val="16"/>
              </w:rPr>
              <w:t>505</w:t>
            </w:r>
          </w:p>
          <w:p w14:paraId="201F9DC8"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494A1B" w:rsidRPr="005F3755">
              <w:rPr>
                <w:rFonts w:ascii="Arial" w:hAnsi="Arial" w:cs="Arial"/>
                <w:sz w:val="16"/>
                <w:szCs w:val="16"/>
              </w:rPr>
              <w:t>382.0</w:t>
            </w:r>
            <w:r w:rsidRPr="005F3755">
              <w:rPr>
                <w:rFonts w:ascii="Arial" w:hAnsi="Arial" w:cs="Arial"/>
                <w:sz w:val="16"/>
                <w:szCs w:val="16"/>
              </w:rPr>
              <w:t xml:space="preserve"> – </w:t>
            </w:r>
            <w:r w:rsidR="00494A1B" w:rsidRPr="005F3755">
              <w:rPr>
                <w:rFonts w:ascii="Arial" w:hAnsi="Arial" w:cs="Arial"/>
                <w:sz w:val="16"/>
                <w:szCs w:val="16"/>
              </w:rPr>
              <w:t>691.0</w:t>
            </w:r>
            <w:r w:rsidRPr="005F3755">
              <w:rPr>
                <w:rFonts w:ascii="Arial" w:hAnsi="Arial" w:cs="Arial"/>
                <w:sz w:val="16"/>
                <w:szCs w:val="16"/>
              </w:rPr>
              <w:t>)</w:t>
            </w:r>
          </w:p>
          <w:p w14:paraId="28B70A1B" w14:textId="6B53AC2E"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n=109</w:t>
            </w:r>
          </w:p>
        </w:tc>
        <w:tc>
          <w:tcPr>
            <w:tcW w:w="993" w:type="dxa"/>
          </w:tcPr>
          <w:p w14:paraId="7AA281E7" w14:textId="77510B88" w:rsidR="00B318D6" w:rsidRPr="005F3755" w:rsidRDefault="00494A1B" w:rsidP="0032098A">
            <w:pPr>
              <w:spacing w:line="480" w:lineRule="auto"/>
              <w:jc w:val="both"/>
              <w:rPr>
                <w:rFonts w:ascii="Arial" w:hAnsi="Arial" w:cs="Arial"/>
                <w:bCs/>
                <w:sz w:val="16"/>
                <w:szCs w:val="16"/>
              </w:rPr>
            </w:pPr>
            <w:r w:rsidRPr="005F3755">
              <w:rPr>
                <w:rFonts w:ascii="Arial" w:hAnsi="Arial" w:cs="Arial"/>
                <w:bCs/>
                <w:sz w:val="16"/>
                <w:szCs w:val="16"/>
              </w:rPr>
              <w:t>0.638</w:t>
            </w:r>
          </w:p>
          <w:p w14:paraId="110B84BB" w14:textId="77777777" w:rsidR="00B318D6" w:rsidRPr="005F3755" w:rsidRDefault="00B318D6" w:rsidP="0032098A">
            <w:pPr>
              <w:spacing w:line="480" w:lineRule="auto"/>
              <w:jc w:val="both"/>
              <w:rPr>
                <w:rFonts w:ascii="Arial" w:hAnsi="Arial" w:cs="Arial"/>
                <w:b/>
                <w:sz w:val="16"/>
                <w:szCs w:val="16"/>
              </w:rPr>
            </w:pPr>
          </w:p>
        </w:tc>
        <w:tc>
          <w:tcPr>
            <w:tcW w:w="1701" w:type="dxa"/>
          </w:tcPr>
          <w:p w14:paraId="475E829D" w14:textId="06836DB5" w:rsidR="00B318D6" w:rsidRPr="005F3755" w:rsidRDefault="001D6F2C" w:rsidP="0032098A">
            <w:pPr>
              <w:spacing w:line="480" w:lineRule="auto"/>
              <w:jc w:val="both"/>
              <w:rPr>
                <w:rFonts w:ascii="Arial" w:hAnsi="Arial" w:cs="Arial"/>
                <w:sz w:val="16"/>
                <w:szCs w:val="16"/>
              </w:rPr>
            </w:pPr>
            <w:r w:rsidRPr="005F3755">
              <w:rPr>
                <w:rFonts w:ascii="Arial" w:hAnsi="Arial" w:cs="Arial"/>
                <w:sz w:val="16"/>
                <w:szCs w:val="16"/>
              </w:rPr>
              <w:t>503</w:t>
            </w:r>
          </w:p>
          <w:p w14:paraId="225BFBD5"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1D6F2C" w:rsidRPr="005F3755">
              <w:rPr>
                <w:rFonts w:ascii="Arial" w:hAnsi="Arial" w:cs="Arial"/>
                <w:sz w:val="16"/>
                <w:szCs w:val="16"/>
              </w:rPr>
              <w:t>332.0</w:t>
            </w:r>
            <w:r w:rsidRPr="005F3755">
              <w:rPr>
                <w:rFonts w:ascii="Arial" w:hAnsi="Arial" w:cs="Arial"/>
                <w:sz w:val="16"/>
                <w:szCs w:val="16"/>
              </w:rPr>
              <w:t xml:space="preserve"> – </w:t>
            </w:r>
            <w:r w:rsidR="001D6F2C" w:rsidRPr="005F3755">
              <w:rPr>
                <w:rFonts w:ascii="Arial" w:hAnsi="Arial" w:cs="Arial"/>
                <w:sz w:val="16"/>
                <w:szCs w:val="16"/>
              </w:rPr>
              <w:t>726.0</w:t>
            </w:r>
            <w:r w:rsidRPr="005F3755">
              <w:rPr>
                <w:rFonts w:ascii="Arial" w:hAnsi="Arial" w:cs="Arial"/>
                <w:sz w:val="16"/>
                <w:szCs w:val="16"/>
              </w:rPr>
              <w:t>)</w:t>
            </w:r>
          </w:p>
          <w:p w14:paraId="01EFA206" w14:textId="109048D8"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n=63</w:t>
            </w:r>
          </w:p>
        </w:tc>
        <w:tc>
          <w:tcPr>
            <w:tcW w:w="1879" w:type="dxa"/>
          </w:tcPr>
          <w:p w14:paraId="2A8E5827" w14:textId="70B357E8" w:rsidR="00B318D6" w:rsidRPr="005F3755" w:rsidRDefault="001D6F2C" w:rsidP="0032098A">
            <w:pPr>
              <w:spacing w:line="480" w:lineRule="auto"/>
              <w:jc w:val="both"/>
              <w:rPr>
                <w:rFonts w:ascii="Arial" w:hAnsi="Arial" w:cs="Arial"/>
                <w:sz w:val="16"/>
                <w:szCs w:val="16"/>
              </w:rPr>
            </w:pPr>
            <w:r w:rsidRPr="005F3755">
              <w:rPr>
                <w:rFonts w:ascii="Arial" w:hAnsi="Arial" w:cs="Arial"/>
                <w:sz w:val="16"/>
                <w:szCs w:val="16"/>
              </w:rPr>
              <w:t>522</w:t>
            </w:r>
          </w:p>
          <w:p w14:paraId="5125AE08"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1D6F2C" w:rsidRPr="005F3755">
              <w:rPr>
                <w:rFonts w:ascii="Arial" w:hAnsi="Arial" w:cs="Arial"/>
                <w:sz w:val="16"/>
                <w:szCs w:val="16"/>
              </w:rPr>
              <w:t>372.3</w:t>
            </w:r>
            <w:r w:rsidRPr="005F3755">
              <w:rPr>
                <w:rFonts w:ascii="Arial" w:hAnsi="Arial" w:cs="Arial"/>
                <w:sz w:val="16"/>
                <w:szCs w:val="16"/>
              </w:rPr>
              <w:t xml:space="preserve"> – </w:t>
            </w:r>
            <w:r w:rsidR="001D6F2C" w:rsidRPr="005F3755">
              <w:rPr>
                <w:rFonts w:ascii="Arial" w:hAnsi="Arial" w:cs="Arial"/>
                <w:sz w:val="16"/>
                <w:szCs w:val="16"/>
              </w:rPr>
              <w:t>705.8</w:t>
            </w:r>
            <w:r w:rsidRPr="005F3755">
              <w:rPr>
                <w:rFonts w:ascii="Arial" w:hAnsi="Arial" w:cs="Arial"/>
                <w:sz w:val="16"/>
                <w:szCs w:val="16"/>
              </w:rPr>
              <w:t>)</w:t>
            </w:r>
          </w:p>
          <w:p w14:paraId="61277A79" w14:textId="0CF526AE"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n=104</w:t>
            </w:r>
          </w:p>
        </w:tc>
        <w:tc>
          <w:tcPr>
            <w:tcW w:w="956" w:type="dxa"/>
          </w:tcPr>
          <w:p w14:paraId="5D80BD1B" w14:textId="6B3B304C" w:rsidR="00B318D6" w:rsidRPr="005F3755" w:rsidRDefault="001D6F2C" w:rsidP="0032098A">
            <w:pPr>
              <w:spacing w:line="480" w:lineRule="auto"/>
              <w:jc w:val="both"/>
              <w:rPr>
                <w:rFonts w:ascii="Arial" w:hAnsi="Arial" w:cs="Arial"/>
                <w:bCs/>
                <w:sz w:val="16"/>
                <w:szCs w:val="16"/>
              </w:rPr>
            </w:pPr>
            <w:r w:rsidRPr="005F3755">
              <w:rPr>
                <w:rFonts w:ascii="Arial" w:hAnsi="Arial" w:cs="Arial"/>
                <w:bCs/>
                <w:sz w:val="16"/>
                <w:szCs w:val="16"/>
              </w:rPr>
              <w:t>0.523</w:t>
            </w:r>
          </w:p>
          <w:p w14:paraId="429259F0" w14:textId="77777777" w:rsidR="00B318D6" w:rsidRPr="005F3755" w:rsidRDefault="00B318D6" w:rsidP="0032098A">
            <w:pPr>
              <w:spacing w:line="480" w:lineRule="auto"/>
              <w:jc w:val="both"/>
              <w:rPr>
                <w:rFonts w:ascii="Arial" w:hAnsi="Arial" w:cs="Arial"/>
                <w:b/>
                <w:sz w:val="16"/>
                <w:szCs w:val="16"/>
              </w:rPr>
            </w:pPr>
          </w:p>
        </w:tc>
        <w:tc>
          <w:tcPr>
            <w:tcW w:w="1559" w:type="dxa"/>
          </w:tcPr>
          <w:p w14:paraId="2EE3AEB8" w14:textId="1421C311" w:rsidR="00B318D6" w:rsidRPr="005F3755" w:rsidRDefault="001D6F2C" w:rsidP="0032098A">
            <w:pPr>
              <w:spacing w:line="480" w:lineRule="auto"/>
              <w:jc w:val="both"/>
              <w:rPr>
                <w:rFonts w:ascii="Arial" w:hAnsi="Arial" w:cs="Arial"/>
                <w:sz w:val="16"/>
                <w:szCs w:val="16"/>
              </w:rPr>
            </w:pPr>
            <w:r w:rsidRPr="005F3755">
              <w:rPr>
                <w:rFonts w:ascii="Arial" w:hAnsi="Arial" w:cs="Arial"/>
                <w:sz w:val="16"/>
                <w:szCs w:val="16"/>
              </w:rPr>
              <w:t>455</w:t>
            </w:r>
          </w:p>
          <w:p w14:paraId="577D8F7B"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1D6F2C" w:rsidRPr="005F3755">
              <w:rPr>
                <w:rFonts w:ascii="Arial" w:hAnsi="Arial" w:cs="Arial"/>
                <w:sz w:val="16"/>
                <w:szCs w:val="16"/>
              </w:rPr>
              <w:t>346.0</w:t>
            </w:r>
            <w:r w:rsidRPr="005F3755">
              <w:rPr>
                <w:rFonts w:ascii="Arial" w:hAnsi="Arial" w:cs="Arial"/>
                <w:sz w:val="16"/>
                <w:szCs w:val="16"/>
              </w:rPr>
              <w:t xml:space="preserve"> – </w:t>
            </w:r>
            <w:r w:rsidR="001D6F2C" w:rsidRPr="005F3755">
              <w:rPr>
                <w:rFonts w:ascii="Arial" w:hAnsi="Arial" w:cs="Arial"/>
                <w:sz w:val="16"/>
                <w:szCs w:val="16"/>
              </w:rPr>
              <w:t>611.0</w:t>
            </w:r>
            <w:r w:rsidRPr="005F3755">
              <w:rPr>
                <w:rFonts w:ascii="Arial" w:hAnsi="Arial" w:cs="Arial"/>
                <w:sz w:val="16"/>
                <w:szCs w:val="16"/>
              </w:rPr>
              <w:t>)</w:t>
            </w:r>
          </w:p>
          <w:p w14:paraId="03911ED6" w14:textId="0955B5E9"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w:t>
            </w:r>
            <w:r w:rsidR="0039505F" w:rsidRPr="005F3755">
              <w:rPr>
                <w:rFonts w:ascii="Arial" w:hAnsi="Arial" w:cs="Arial"/>
                <w:sz w:val="16"/>
                <w:szCs w:val="16"/>
              </w:rPr>
              <w:t>67</w:t>
            </w:r>
          </w:p>
        </w:tc>
        <w:tc>
          <w:tcPr>
            <w:tcW w:w="1559" w:type="dxa"/>
          </w:tcPr>
          <w:p w14:paraId="3063246A" w14:textId="23BAAE54" w:rsidR="00B318D6" w:rsidRPr="005F3755" w:rsidRDefault="001D6F2C" w:rsidP="0032098A">
            <w:pPr>
              <w:spacing w:line="480" w:lineRule="auto"/>
              <w:jc w:val="both"/>
              <w:rPr>
                <w:rFonts w:ascii="Arial" w:hAnsi="Arial" w:cs="Arial"/>
                <w:sz w:val="16"/>
                <w:szCs w:val="16"/>
              </w:rPr>
            </w:pPr>
            <w:r w:rsidRPr="005F3755">
              <w:rPr>
                <w:rFonts w:ascii="Arial" w:hAnsi="Arial" w:cs="Arial"/>
                <w:sz w:val="16"/>
                <w:szCs w:val="16"/>
              </w:rPr>
              <w:t>519</w:t>
            </w:r>
          </w:p>
          <w:p w14:paraId="5C1E4216" w14:textId="77777777" w:rsidR="00B318D6" w:rsidRPr="005F3755" w:rsidRDefault="00B318D6" w:rsidP="0032098A">
            <w:pPr>
              <w:spacing w:line="480" w:lineRule="auto"/>
              <w:jc w:val="both"/>
              <w:rPr>
                <w:rFonts w:ascii="Arial" w:hAnsi="Arial" w:cs="Arial"/>
                <w:sz w:val="16"/>
                <w:szCs w:val="16"/>
              </w:rPr>
            </w:pPr>
            <w:r w:rsidRPr="005F3755">
              <w:rPr>
                <w:rFonts w:ascii="Arial" w:hAnsi="Arial" w:cs="Arial"/>
                <w:sz w:val="16"/>
                <w:szCs w:val="16"/>
              </w:rPr>
              <w:t>(</w:t>
            </w:r>
            <w:r w:rsidR="001D6F2C" w:rsidRPr="005F3755">
              <w:rPr>
                <w:rFonts w:ascii="Arial" w:hAnsi="Arial" w:cs="Arial"/>
                <w:sz w:val="16"/>
                <w:szCs w:val="16"/>
              </w:rPr>
              <w:t>387.0</w:t>
            </w:r>
            <w:r w:rsidRPr="005F3755">
              <w:rPr>
                <w:rFonts w:ascii="Arial" w:hAnsi="Arial" w:cs="Arial"/>
                <w:sz w:val="16"/>
                <w:szCs w:val="16"/>
              </w:rPr>
              <w:t xml:space="preserve"> – </w:t>
            </w:r>
            <w:r w:rsidR="001D6F2C" w:rsidRPr="005F3755">
              <w:rPr>
                <w:rFonts w:ascii="Arial" w:hAnsi="Arial" w:cs="Arial"/>
                <w:sz w:val="16"/>
                <w:szCs w:val="16"/>
              </w:rPr>
              <w:t>712.0</w:t>
            </w:r>
            <w:r w:rsidRPr="005F3755">
              <w:rPr>
                <w:rFonts w:ascii="Arial" w:hAnsi="Arial" w:cs="Arial"/>
                <w:sz w:val="16"/>
                <w:szCs w:val="16"/>
              </w:rPr>
              <w:t>)</w:t>
            </w:r>
          </w:p>
          <w:p w14:paraId="7158B8A1" w14:textId="72462A90" w:rsidR="002D3326" w:rsidRPr="005F3755" w:rsidRDefault="002D3326" w:rsidP="0032098A">
            <w:pPr>
              <w:spacing w:line="480" w:lineRule="auto"/>
              <w:jc w:val="both"/>
              <w:rPr>
                <w:rFonts w:ascii="Arial" w:hAnsi="Arial" w:cs="Arial"/>
                <w:sz w:val="16"/>
                <w:szCs w:val="16"/>
              </w:rPr>
            </w:pPr>
            <w:r w:rsidRPr="005F3755">
              <w:rPr>
                <w:rFonts w:ascii="Arial" w:hAnsi="Arial" w:cs="Arial"/>
                <w:sz w:val="16"/>
                <w:szCs w:val="16"/>
              </w:rPr>
              <w:t>n=</w:t>
            </w:r>
            <w:r w:rsidR="0039505F" w:rsidRPr="005F3755">
              <w:rPr>
                <w:rFonts w:ascii="Arial" w:hAnsi="Arial" w:cs="Arial"/>
                <w:sz w:val="16"/>
                <w:szCs w:val="16"/>
              </w:rPr>
              <w:t>143</w:t>
            </w:r>
          </w:p>
        </w:tc>
        <w:tc>
          <w:tcPr>
            <w:tcW w:w="992" w:type="dxa"/>
          </w:tcPr>
          <w:p w14:paraId="432B8006" w14:textId="5D8A5460" w:rsidR="00B318D6" w:rsidRPr="005F3755" w:rsidRDefault="001D6F2C" w:rsidP="0032098A">
            <w:pPr>
              <w:spacing w:line="480" w:lineRule="auto"/>
              <w:jc w:val="both"/>
              <w:rPr>
                <w:rFonts w:ascii="Arial" w:hAnsi="Arial" w:cs="Arial"/>
                <w:b/>
                <w:sz w:val="16"/>
                <w:szCs w:val="16"/>
              </w:rPr>
            </w:pPr>
            <w:r w:rsidRPr="005F3755">
              <w:rPr>
                <w:rFonts w:ascii="Arial" w:hAnsi="Arial" w:cs="Arial"/>
                <w:b/>
                <w:sz w:val="16"/>
                <w:szCs w:val="16"/>
              </w:rPr>
              <w:t>0.022</w:t>
            </w:r>
          </w:p>
          <w:p w14:paraId="73AFDDDD" w14:textId="77777777" w:rsidR="00B318D6" w:rsidRPr="005F3755" w:rsidRDefault="00B318D6" w:rsidP="0032098A">
            <w:pPr>
              <w:spacing w:line="480" w:lineRule="auto"/>
              <w:jc w:val="both"/>
              <w:rPr>
                <w:rFonts w:ascii="Arial" w:hAnsi="Arial" w:cs="Arial"/>
                <w:b/>
                <w:sz w:val="16"/>
                <w:szCs w:val="16"/>
              </w:rPr>
            </w:pPr>
          </w:p>
        </w:tc>
      </w:tr>
    </w:tbl>
    <w:p w14:paraId="3AFA5DD5" w14:textId="77777777" w:rsidR="00D725D0" w:rsidRPr="005F3755" w:rsidRDefault="00BC675E" w:rsidP="00E4561A">
      <w:pPr>
        <w:spacing w:line="480" w:lineRule="auto"/>
        <w:jc w:val="both"/>
        <w:rPr>
          <w:rFonts w:ascii="Arial" w:hAnsi="Arial" w:cs="Arial"/>
          <w:sz w:val="16"/>
          <w:szCs w:val="16"/>
          <w:lang w:val="en-AU"/>
        </w:rPr>
      </w:pPr>
      <w:r w:rsidRPr="005F3755">
        <w:rPr>
          <w:rFonts w:ascii="Arial" w:hAnsi="Arial" w:cs="Arial"/>
          <w:sz w:val="16"/>
          <w:szCs w:val="16"/>
          <w:vertAlign w:val="superscript"/>
        </w:rPr>
        <w:t>†</w:t>
      </w:r>
      <w:r w:rsidRPr="005F3755">
        <w:rPr>
          <w:rFonts w:ascii="Arial" w:hAnsi="Arial" w:cs="Arial"/>
          <w:sz w:val="16"/>
          <w:szCs w:val="16"/>
        </w:rPr>
        <w:t>Median and interquartile range</w:t>
      </w:r>
      <w:r w:rsidR="00053D91" w:rsidRPr="005F3755">
        <w:rPr>
          <w:rFonts w:ascii="Arial" w:hAnsi="Arial" w:cs="Arial"/>
          <w:sz w:val="16"/>
          <w:szCs w:val="16"/>
        </w:rPr>
        <w:t>, EFV = efavirenz, 8-OH-EFV = 8-hydroxy-efavirenz, TFV = tenofovir, FTC = emtricitabine</w:t>
      </w:r>
      <w:r w:rsidR="00933A6D" w:rsidRPr="005F3755">
        <w:rPr>
          <w:rFonts w:ascii="Arial" w:hAnsi="Arial" w:cs="Arial"/>
          <w:sz w:val="16"/>
          <w:szCs w:val="16"/>
        </w:rPr>
        <w:t>,</w:t>
      </w:r>
      <w:r w:rsidR="00B318D6" w:rsidRPr="005F3755">
        <w:rPr>
          <w:rFonts w:ascii="Arial" w:hAnsi="Arial" w:cs="Arial"/>
          <w:sz w:val="16"/>
          <w:szCs w:val="16"/>
        </w:rPr>
        <w:t xml:space="preserve"> </w:t>
      </w:r>
      <w:r w:rsidR="00933A6D" w:rsidRPr="005F3755">
        <w:rPr>
          <w:rFonts w:ascii="Arial" w:hAnsi="Arial" w:cs="Arial"/>
          <w:sz w:val="16"/>
          <w:szCs w:val="16"/>
        </w:rPr>
        <w:t xml:space="preserve">BMI = </w:t>
      </w:r>
      <w:r w:rsidR="00790FA7" w:rsidRPr="005F3755">
        <w:rPr>
          <w:rFonts w:ascii="Arial" w:hAnsi="Arial" w:cs="Arial"/>
          <w:sz w:val="16"/>
          <w:szCs w:val="16"/>
        </w:rPr>
        <w:t>body mass index</w:t>
      </w:r>
      <w:r w:rsidR="00933A6D" w:rsidRPr="005F3755">
        <w:rPr>
          <w:rFonts w:ascii="Arial" w:hAnsi="Arial" w:cs="Arial"/>
          <w:sz w:val="16"/>
          <w:szCs w:val="16"/>
        </w:rPr>
        <w:t xml:space="preserve">, WC = </w:t>
      </w:r>
      <w:r w:rsidR="00790FA7" w:rsidRPr="005F3755">
        <w:rPr>
          <w:rFonts w:ascii="Arial" w:hAnsi="Arial" w:cs="Arial"/>
          <w:sz w:val="16"/>
          <w:szCs w:val="16"/>
        </w:rPr>
        <w:t>waist circumference</w:t>
      </w:r>
      <w:r w:rsidR="00933A6D" w:rsidRPr="005F3755">
        <w:rPr>
          <w:rFonts w:ascii="Arial" w:hAnsi="Arial" w:cs="Arial"/>
          <w:sz w:val="16"/>
          <w:szCs w:val="16"/>
        </w:rPr>
        <w:t xml:space="preserve">, WHR = </w:t>
      </w:r>
      <w:r w:rsidR="00790FA7" w:rsidRPr="005F3755">
        <w:rPr>
          <w:rFonts w:ascii="Arial" w:hAnsi="Arial" w:cs="Arial"/>
          <w:sz w:val="16"/>
          <w:szCs w:val="16"/>
        </w:rPr>
        <w:t>waist-hip ratio</w:t>
      </w:r>
      <w:r w:rsidR="00F50C9E" w:rsidRPr="005F3755">
        <w:rPr>
          <w:rFonts w:ascii="Arial" w:hAnsi="Arial" w:cs="Arial"/>
          <w:sz w:val="16"/>
          <w:szCs w:val="16"/>
        </w:rPr>
        <w:t>,</w:t>
      </w:r>
      <w:r w:rsidR="009651F0" w:rsidRPr="005F3755">
        <w:rPr>
          <w:rFonts w:ascii="Arial" w:hAnsi="Arial" w:cs="Arial"/>
          <w:sz w:val="16"/>
          <w:szCs w:val="16"/>
        </w:rPr>
        <w:t xml:space="preserve"> CD4 = CD4+ T cell count (cells/mm³), </w:t>
      </w:r>
      <w:r w:rsidR="009651F0" w:rsidRPr="005F3755">
        <w:rPr>
          <w:rFonts w:ascii="Arial" w:hAnsi="Arial" w:cs="Arial"/>
          <w:sz w:val="16"/>
          <w:szCs w:val="16"/>
          <w:vertAlign w:val="superscript"/>
        </w:rPr>
        <w:t>§</w:t>
      </w:r>
      <w:r w:rsidR="009651F0" w:rsidRPr="005F3755">
        <w:rPr>
          <w:rFonts w:ascii="Arial" w:hAnsi="Arial" w:cs="Arial"/>
          <w:sz w:val="16"/>
          <w:szCs w:val="16"/>
        </w:rPr>
        <w:t xml:space="preserve">Percent of participants virologically suppressed, VL = viral load </w:t>
      </w:r>
      <w:r w:rsidR="009651F0" w:rsidRPr="005F3755">
        <w:rPr>
          <w:rFonts w:ascii="Arial" w:hAnsi="Arial" w:cs="Arial"/>
          <w:sz w:val="16"/>
          <w:szCs w:val="16"/>
          <w:lang w:val="en-AU"/>
        </w:rPr>
        <w:t>(copies/ml),</w:t>
      </w:r>
      <w:r w:rsidR="009651F0" w:rsidRPr="005F3755">
        <w:rPr>
          <w:rFonts w:ascii="Arial" w:hAnsi="Arial" w:cs="Arial"/>
          <w:sz w:val="16"/>
          <w:szCs w:val="16"/>
        </w:rPr>
        <w:t xml:space="preserve"> </w:t>
      </w:r>
      <w:r w:rsidR="00F50C9E" w:rsidRPr="005F3755">
        <w:rPr>
          <w:rFonts w:ascii="Arial" w:hAnsi="Arial" w:cs="Arial"/>
          <w:sz w:val="16"/>
          <w:szCs w:val="16"/>
        </w:rPr>
        <w:t xml:space="preserve"> </w:t>
      </w:r>
      <w:r w:rsidR="00F50C9E" w:rsidRPr="005F3755">
        <w:rPr>
          <w:rFonts w:ascii="Arial" w:hAnsi="Arial" w:cs="Arial"/>
          <w:sz w:val="16"/>
          <w:szCs w:val="16"/>
          <w:vertAlign w:val="superscript"/>
        </w:rPr>
        <w:t>1</w:t>
      </w:r>
      <w:r w:rsidR="00633408" w:rsidRPr="005F3755">
        <w:rPr>
          <w:rFonts w:ascii="Arial" w:hAnsi="Arial" w:cs="Arial"/>
          <w:sz w:val="16"/>
          <w:szCs w:val="16"/>
          <w:vertAlign w:val="superscript"/>
        </w:rPr>
        <w:t xml:space="preserve"> </w:t>
      </w:r>
      <w:r w:rsidR="00790FA7" w:rsidRPr="005F3755">
        <w:rPr>
          <w:rFonts w:ascii="Arial" w:hAnsi="Arial" w:cs="Arial"/>
          <w:sz w:val="16"/>
          <w:szCs w:val="16"/>
        </w:rPr>
        <w:t xml:space="preserve">Obesity defined as BMI </w:t>
      </w:r>
      <w:r w:rsidR="00790FA7" w:rsidRPr="005F3755">
        <w:rPr>
          <w:rFonts w:ascii="Arial" w:hAnsi="Arial" w:cs="Arial"/>
          <w:sz w:val="16"/>
          <w:szCs w:val="16"/>
          <w:lang w:val="en-AU"/>
        </w:rPr>
        <w:t>≥30 kg/m²</w:t>
      </w:r>
      <w:r w:rsidR="00633408" w:rsidRPr="005F3755">
        <w:rPr>
          <w:rFonts w:ascii="Arial" w:hAnsi="Arial" w:cs="Arial"/>
          <w:sz w:val="16"/>
          <w:szCs w:val="16"/>
        </w:rPr>
        <w:t xml:space="preserve">, </w:t>
      </w:r>
      <w:r w:rsidR="00633408" w:rsidRPr="005F3755">
        <w:rPr>
          <w:rFonts w:ascii="Arial" w:hAnsi="Arial" w:cs="Arial"/>
          <w:sz w:val="16"/>
          <w:szCs w:val="16"/>
          <w:vertAlign w:val="superscript"/>
        </w:rPr>
        <w:t>2</w:t>
      </w:r>
      <w:r w:rsidR="00633408" w:rsidRPr="005F3755">
        <w:rPr>
          <w:rFonts w:ascii="Arial" w:hAnsi="Arial" w:cs="Arial"/>
          <w:sz w:val="16"/>
          <w:szCs w:val="16"/>
        </w:rPr>
        <w:t xml:space="preserve"> </w:t>
      </w:r>
      <w:r w:rsidR="00790FA7" w:rsidRPr="005F3755">
        <w:rPr>
          <w:rFonts w:ascii="Arial" w:hAnsi="Arial" w:cs="Arial"/>
          <w:sz w:val="16"/>
          <w:szCs w:val="16"/>
        </w:rPr>
        <w:t xml:space="preserve">Obesity defined as </w:t>
      </w:r>
      <w:r w:rsidR="00790FA7" w:rsidRPr="005F3755">
        <w:rPr>
          <w:rFonts w:ascii="Arial" w:hAnsi="Arial" w:cs="Arial"/>
          <w:sz w:val="16"/>
          <w:szCs w:val="16"/>
          <w:lang w:val="en-AU"/>
        </w:rPr>
        <w:t>WC ≥94 (men) and 80 (women)</w:t>
      </w:r>
      <w:r w:rsidR="00633408" w:rsidRPr="005F3755">
        <w:rPr>
          <w:rFonts w:ascii="Arial" w:hAnsi="Arial" w:cs="Arial"/>
          <w:sz w:val="16"/>
          <w:szCs w:val="16"/>
        </w:rPr>
        <w:t xml:space="preserve">, </w:t>
      </w:r>
      <w:r w:rsidR="00633408" w:rsidRPr="005F3755">
        <w:rPr>
          <w:rFonts w:ascii="Arial" w:hAnsi="Arial" w:cs="Arial"/>
          <w:sz w:val="16"/>
          <w:szCs w:val="16"/>
          <w:vertAlign w:val="superscript"/>
        </w:rPr>
        <w:t>3</w:t>
      </w:r>
      <w:r w:rsidR="00633408" w:rsidRPr="005F3755">
        <w:rPr>
          <w:rFonts w:ascii="Arial" w:hAnsi="Arial" w:cs="Arial"/>
          <w:sz w:val="16"/>
          <w:szCs w:val="16"/>
        </w:rPr>
        <w:t xml:space="preserve"> </w:t>
      </w:r>
      <w:r w:rsidR="00790FA7" w:rsidRPr="005F3755">
        <w:rPr>
          <w:rFonts w:ascii="Arial" w:hAnsi="Arial" w:cs="Arial"/>
          <w:sz w:val="16"/>
          <w:szCs w:val="16"/>
        </w:rPr>
        <w:t xml:space="preserve">Obesity defined as </w:t>
      </w:r>
      <w:r w:rsidR="00790FA7" w:rsidRPr="005F3755">
        <w:rPr>
          <w:rFonts w:ascii="Arial" w:hAnsi="Arial" w:cs="Arial"/>
          <w:sz w:val="16"/>
          <w:szCs w:val="16"/>
          <w:lang w:val="en-AU"/>
        </w:rPr>
        <w:t>WHR ≥, 0.9 (men) and 0.85 (women)</w:t>
      </w:r>
    </w:p>
    <w:p w14:paraId="5EF8CA42" w14:textId="41D8E734" w:rsidR="00DD1338" w:rsidRDefault="00DD1338" w:rsidP="00E4561A">
      <w:pPr>
        <w:spacing w:line="480" w:lineRule="auto"/>
        <w:jc w:val="both"/>
        <w:rPr>
          <w:rFonts w:ascii="Arial" w:hAnsi="Arial" w:cs="Arial"/>
          <w:sz w:val="22"/>
          <w:szCs w:val="22"/>
        </w:rPr>
        <w:sectPr w:rsidR="00DD1338" w:rsidSect="00D725D0">
          <w:pgSz w:w="20160" w:h="12240" w:orient="landscape"/>
          <w:pgMar w:top="720" w:right="720" w:bottom="720" w:left="720" w:header="708" w:footer="708" w:gutter="0"/>
          <w:lnNumType w:countBy="1" w:restart="continuous"/>
          <w:cols w:space="708"/>
          <w:docGrid w:linePitch="360"/>
        </w:sectPr>
      </w:pPr>
    </w:p>
    <w:p w14:paraId="74C65049" w14:textId="5617F77F" w:rsidR="00DD1338" w:rsidRPr="005F3755" w:rsidRDefault="00DD1338" w:rsidP="00DD1338">
      <w:pPr>
        <w:spacing w:line="480" w:lineRule="auto"/>
        <w:jc w:val="both"/>
        <w:rPr>
          <w:rFonts w:ascii="Arial" w:hAnsi="Arial" w:cs="Arial"/>
          <w:sz w:val="18"/>
          <w:szCs w:val="18"/>
        </w:rPr>
      </w:pPr>
      <w:r w:rsidRPr="005F3755">
        <w:rPr>
          <w:rFonts w:ascii="Arial" w:hAnsi="Arial" w:cs="Arial"/>
          <w:b/>
          <w:bCs/>
          <w:sz w:val="18"/>
          <w:szCs w:val="18"/>
        </w:rPr>
        <w:lastRenderedPageBreak/>
        <w:t>Table 3.</w:t>
      </w:r>
      <w:r w:rsidRPr="005F3755">
        <w:rPr>
          <w:rFonts w:ascii="Arial" w:hAnsi="Arial" w:cs="Arial"/>
          <w:sz w:val="18"/>
          <w:szCs w:val="18"/>
        </w:rPr>
        <w:t xml:space="preserve"> Quantile regression predicting ART concentrations across three different quantiles, holding time after dose constant. With associated significance of time after dose and obesity measures</w:t>
      </w:r>
    </w:p>
    <w:tbl>
      <w:tblPr>
        <w:tblStyle w:val="TableGrid1"/>
        <w:tblpPr w:leftFromText="180" w:rightFromText="180" w:vertAnchor="page" w:horzAnchor="page" w:tblpX="161" w:tblpY="1081"/>
        <w:tblW w:w="19840" w:type="dxa"/>
        <w:tblLayout w:type="fixed"/>
        <w:tblLook w:val="04A0" w:firstRow="1" w:lastRow="0" w:firstColumn="1" w:lastColumn="0" w:noHBand="0" w:noVBand="1"/>
      </w:tblPr>
      <w:tblGrid>
        <w:gridCol w:w="1950"/>
        <w:gridCol w:w="1950"/>
        <w:gridCol w:w="1879"/>
        <w:gridCol w:w="1883"/>
        <w:gridCol w:w="1887"/>
        <w:gridCol w:w="1595"/>
        <w:gridCol w:w="1595"/>
        <w:gridCol w:w="1600"/>
        <w:gridCol w:w="1832"/>
        <w:gridCol w:w="1832"/>
        <w:gridCol w:w="1837"/>
      </w:tblGrid>
      <w:tr w:rsidR="00E60445" w:rsidRPr="00BC5261" w14:paraId="75696170" w14:textId="77777777" w:rsidTr="00E60445">
        <w:trPr>
          <w:trHeight w:val="138"/>
        </w:trPr>
        <w:tc>
          <w:tcPr>
            <w:tcW w:w="1950" w:type="dxa"/>
          </w:tcPr>
          <w:p w14:paraId="7BC19E8E"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4DECAF70" w14:textId="77777777" w:rsidR="00E60445" w:rsidRPr="00BC5261" w:rsidRDefault="00E60445" w:rsidP="00E60445">
            <w:pPr>
              <w:spacing w:line="480" w:lineRule="auto"/>
              <w:jc w:val="both"/>
              <w:rPr>
                <w:rFonts w:ascii="Arial" w:eastAsia="Cambria" w:hAnsi="Arial" w:cs="Arial"/>
                <w:b/>
                <w:sz w:val="18"/>
                <w:szCs w:val="18"/>
              </w:rPr>
            </w:pPr>
          </w:p>
        </w:tc>
        <w:tc>
          <w:tcPr>
            <w:tcW w:w="5649" w:type="dxa"/>
            <w:gridSpan w:val="3"/>
          </w:tcPr>
          <w:p w14:paraId="0C132D4A" w14:textId="77777777" w:rsidR="00E60445" w:rsidRPr="00BC5261" w:rsidRDefault="00E60445" w:rsidP="00E60445">
            <w:pPr>
              <w:spacing w:line="480" w:lineRule="auto"/>
              <w:jc w:val="center"/>
              <w:rPr>
                <w:rFonts w:ascii="Arial" w:eastAsia="Cambria" w:hAnsi="Arial" w:cs="Arial"/>
                <w:b/>
                <w:sz w:val="18"/>
                <w:szCs w:val="18"/>
              </w:rPr>
            </w:pPr>
            <w:r w:rsidRPr="00BC5261">
              <w:rPr>
                <w:rFonts w:ascii="Arial" w:eastAsia="Cambria" w:hAnsi="Arial" w:cs="Arial"/>
                <w:b/>
                <w:sz w:val="18"/>
                <w:szCs w:val="18"/>
              </w:rPr>
              <w:t>BMI</w:t>
            </w:r>
            <w:r w:rsidRPr="00BC5261">
              <w:rPr>
                <w:rFonts w:ascii="Arial" w:eastAsia="Cambria" w:hAnsi="Arial" w:cs="Arial"/>
                <w:b/>
                <w:sz w:val="18"/>
                <w:szCs w:val="18"/>
                <w:vertAlign w:val="superscript"/>
              </w:rPr>
              <w:t>1</w:t>
            </w:r>
            <w:r w:rsidRPr="00BC5261">
              <w:rPr>
                <w:rFonts w:ascii="Arial" w:eastAsia="Cambria" w:hAnsi="Arial" w:cs="Arial"/>
                <w:b/>
                <w:sz w:val="18"/>
                <w:szCs w:val="18"/>
              </w:rPr>
              <w:t xml:space="preserve"> (kg/m²)</w:t>
            </w:r>
          </w:p>
          <w:p w14:paraId="56BD1BF1" w14:textId="77777777" w:rsidR="00E60445" w:rsidRPr="00BC5261" w:rsidRDefault="00E60445" w:rsidP="00E60445">
            <w:pPr>
              <w:spacing w:line="480" w:lineRule="auto"/>
              <w:jc w:val="center"/>
              <w:rPr>
                <w:rFonts w:ascii="Arial" w:eastAsia="Cambria" w:hAnsi="Arial" w:cs="Arial"/>
                <w:bCs/>
                <w:sz w:val="18"/>
                <w:szCs w:val="18"/>
              </w:rPr>
            </w:pPr>
          </w:p>
        </w:tc>
        <w:tc>
          <w:tcPr>
            <w:tcW w:w="4790" w:type="dxa"/>
            <w:gridSpan w:val="3"/>
          </w:tcPr>
          <w:p w14:paraId="2FE5BEE6" w14:textId="77777777" w:rsidR="00E60445" w:rsidRPr="00BC5261" w:rsidRDefault="00E60445" w:rsidP="00E60445">
            <w:pPr>
              <w:spacing w:line="480" w:lineRule="auto"/>
              <w:jc w:val="center"/>
              <w:rPr>
                <w:rFonts w:ascii="Arial" w:eastAsia="Cambria" w:hAnsi="Arial" w:cs="Arial"/>
                <w:b/>
                <w:sz w:val="18"/>
                <w:szCs w:val="18"/>
              </w:rPr>
            </w:pPr>
            <w:r w:rsidRPr="00BC5261">
              <w:rPr>
                <w:rFonts w:ascii="Arial" w:eastAsia="Cambria" w:hAnsi="Arial" w:cs="Arial"/>
                <w:b/>
                <w:sz w:val="18"/>
                <w:szCs w:val="18"/>
              </w:rPr>
              <w:t>WC</w:t>
            </w:r>
            <w:r w:rsidRPr="00BC5261">
              <w:rPr>
                <w:rFonts w:ascii="Arial" w:eastAsia="Cambria" w:hAnsi="Arial" w:cs="Arial"/>
                <w:b/>
                <w:sz w:val="18"/>
                <w:szCs w:val="18"/>
                <w:vertAlign w:val="superscript"/>
              </w:rPr>
              <w:t>2</w:t>
            </w:r>
            <w:r w:rsidRPr="00BC5261">
              <w:rPr>
                <w:rFonts w:ascii="Arial" w:eastAsia="Cambria" w:hAnsi="Arial" w:cs="Arial"/>
                <w:b/>
                <w:sz w:val="18"/>
                <w:szCs w:val="18"/>
              </w:rPr>
              <w:t xml:space="preserve"> (cm)</w:t>
            </w:r>
          </w:p>
          <w:p w14:paraId="1BD948EF" w14:textId="77777777" w:rsidR="00E60445" w:rsidRPr="00BC5261" w:rsidRDefault="00E60445" w:rsidP="00E60445">
            <w:pPr>
              <w:spacing w:line="480" w:lineRule="auto"/>
              <w:jc w:val="center"/>
              <w:rPr>
                <w:rFonts w:ascii="Arial" w:eastAsia="Cambria" w:hAnsi="Arial" w:cs="Arial"/>
                <w:bCs/>
                <w:sz w:val="18"/>
                <w:szCs w:val="18"/>
              </w:rPr>
            </w:pPr>
          </w:p>
        </w:tc>
        <w:tc>
          <w:tcPr>
            <w:tcW w:w="5501" w:type="dxa"/>
            <w:gridSpan w:val="3"/>
          </w:tcPr>
          <w:p w14:paraId="79CFC852" w14:textId="77777777" w:rsidR="00E60445" w:rsidRPr="00BC5261" w:rsidRDefault="00E60445" w:rsidP="00E60445">
            <w:pPr>
              <w:spacing w:line="480" w:lineRule="auto"/>
              <w:jc w:val="center"/>
              <w:rPr>
                <w:rFonts w:ascii="Arial" w:eastAsia="Cambria" w:hAnsi="Arial" w:cs="Arial"/>
                <w:b/>
                <w:sz w:val="18"/>
                <w:szCs w:val="18"/>
              </w:rPr>
            </w:pPr>
            <w:r w:rsidRPr="00BC5261">
              <w:rPr>
                <w:rFonts w:ascii="Arial" w:eastAsia="Cambria" w:hAnsi="Arial" w:cs="Arial"/>
                <w:b/>
                <w:sz w:val="18"/>
                <w:szCs w:val="18"/>
              </w:rPr>
              <w:t>WHR</w:t>
            </w:r>
            <w:r w:rsidRPr="00BC5261">
              <w:rPr>
                <w:rFonts w:ascii="Arial" w:eastAsia="Cambria" w:hAnsi="Arial" w:cs="Arial"/>
                <w:b/>
                <w:sz w:val="18"/>
                <w:szCs w:val="18"/>
                <w:vertAlign w:val="superscript"/>
              </w:rPr>
              <w:t>3</w:t>
            </w:r>
          </w:p>
          <w:p w14:paraId="3344E747" w14:textId="77777777" w:rsidR="00E60445" w:rsidRPr="00BC5261" w:rsidRDefault="00E60445" w:rsidP="00E60445">
            <w:pPr>
              <w:spacing w:line="480" w:lineRule="auto"/>
              <w:jc w:val="center"/>
              <w:rPr>
                <w:rFonts w:ascii="Arial" w:eastAsia="Cambria" w:hAnsi="Arial" w:cs="Arial"/>
                <w:bCs/>
                <w:sz w:val="18"/>
                <w:szCs w:val="18"/>
              </w:rPr>
            </w:pPr>
          </w:p>
        </w:tc>
      </w:tr>
      <w:tr w:rsidR="00E60445" w:rsidRPr="00BC5261" w14:paraId="7B3F97AB" w14:textId="77777777" w:rsidTr="00E60445">
        <w:trPr>
          <w:trHeight w:val="638"/>
        </w:trPr>
        <w:tc>
          <w:tcPr>
            <w:tcW w:w="1950" w:type="dxa"/>
          </w:tcPr>
          <w:p w14:paraId="66CBECF0"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Quantiles</w:t>
            </w:r>
          </w:p>
          <w:p w14:paraId="384D98B7"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13E8830B" w14:textId="77777777" w:rsidR="00E60445" w:rsidRPr="00BC5261" w:rsidRDefault="00E60445" w:rsidP="00E60445">
            <w:pPr>
              <w:spacing w:line="480" w:lineRule="auto"/>
              <w:jc w:val="both"/>
              <w:rPr>
                <w:rFonts w:ascii="Arial" w:eastAsia="Cambria" w:hAnsi="Arial" w:cs="Arial"/>
                <w:b/>
                <w:sz w:val="18"/>
                <w:szCs w:val="18"/>
              </w:rPr>
            </w:pPr>
          </w:p>
        </w:tc>
        <w:tc>
          <w:tcPr>
            <w:tcW w:w="1879" w:type="dxa"/>
          </w:tcPr>
          <w:p w14:paraId="59F7F95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q=0.25</w:t>
            </w:r>
          </w:p>
        </w:tc>
        <w:tc>
          <w:tcPr>
            <w:tcW w:w="1883" w:type="dxa"/>
          </w:tcPr>
          <w:p w14:paraId="1924545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q=0.5</w:t>
            </w:r>
          </w:p>
        </w:tc>
        <w:tc>
          <w:tcPr>
            <w:tcW w:w="1887" w:type="dxa"/>
          </w:tcPr>
          <w:p w14:paraId="21C57FF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q=0.75</w:t>
            </w:r>
          </w:p>
        </w:tc>
        <w:tc>
          <w:tcPr>
            <w:tcW w:w="1595" w:type="dxa"/>
          </w:tcPr>
          <w:p w14:paraId="30CB6DE4"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q=0.25</w:t>
            </w:r>
          </w:p>
        </w:tc>
        <w:tc>
          <w:tcPr>
            <w:tcW w:w="1595" w:type="dxa"/>
          </w:tcPr>
          <w:p w14:paraId="0743960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q=0.5</w:t>
            </w:r>
          </w:p>
        </w:tc>
        <w:tc>
          <w:tcPr>
            <w:tcW w:w="1600" w:type="dxa"/>
          </w:tcPr>
          <w:p w14:paraId="46DF47F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q=0.75</w:t>
            </w:r>
          </w:p>
        </w:tc>
        <w:tc>
          <w:tcPr>
            <w:tcW w:w="1832" w:type="dxa"/>
          </w:tcPr>
          <w:p w14:paraId="7ED9664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q=0.25</w:t>
            </w:r>
          </w:p>
        </w:tc>
        <w:tc>
          <w:tcPr>
            <w:tcW w:w="1832" w:type="dxa"/>
          </w:tcPr>
          <w:p w14:paraId="7535F34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q=0.5</w:t>
            </w:r>
          </w:p>
        </w:tc>
        <w:tc>
          <w:tcPr>
            <w:tcW w:w="1837" w:type="dxa"/>
          </w:tcPr>
          <w:p w14:paraId="31C204D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q=0.75</w:t>
            </w:r>
          </w:p>
        </w:tc>
      </w:tr>
      <w:tr w:rsidR="00E60445" w:rsidRPr="00BC5261" w14:paraId="4DD6A893" w14:textId="77777777" w:rsidTr="00E60445">
        <w:trPr>
          <w:trHeight w:val="161"/>
        </w:trPr>
        <w:tc>
          <w:tcPr>
            <w:tcW w:w="1950" w:type="dxa"/>
            <w:vMerge w:val="restart"/>
          </w:tcPr>
          <w:p w14:paraId="51AA81D7"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EFV</w:t>
            </w:r>
          </w:p>
          <w:p w14:paraId="154405BA"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(ng/ml)</w:t>
            </w:r>
          </w:p>
        </w:tc>
        <w:tc>
          <w:tcPr>
            <w:tcW w:w="1950" w:type="dxa"/>
          </w:tcPr>
          <w:p w14:paraId="6D9C6445"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Obese </w:t>
            </w:r>
            <w:r w:rsidRPr="00BC5261">
              <w:rPr>
                <w:rFonts w:ascii="Arial" w:eastAsia="Cambria" w:hAnsi="Arial" w:cs="Arial"/>
                <w:sz w:val="18"/>
                <w:szCs w:val="18"/>
              </w:rPr>
              <w:t>(ng/ml)</w:t>
            </w:r>
          </w:p>
        </w:tc>
        <w:tc>
          <w:tcPr>
            <w:tcW w:w="1879" w:type="dxa"/>
          </w:tcPr>
          <w:p w14:paraId="23BF91A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1283.3</w:t>
            </w:r>
          </w:p>
        </w:tc>
        <w:tc>
          <w:tcPr>
            <w:tcW w:w="1883" w:type="dxa"/>
          </w:tcPr>
          <w:p w14:paraId="0743340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1658.8</w:t>
            </w:r>
          </w:p>
        </w:tc>
        <w:tc>
          <w:tcPr>
            <w:tcW w:w="1887" w:type="dxa"/>
          </w:tcPr>
          <w:p w14:paraId="3830605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2401.4</w:t>
            </w:r>
          </w:p>
        </w:tc>
        <w:tc>
          <w:tcPr>
            <w:tcW w:w="1595" w:type="dxa"/>
          </w:tcPr>
          <w:p w14:paraId="32EBC07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1389.7</w:t>
            </w:r>
          </w:p>
        </w:tc>
        <w:tc>
          <w:tcPr>
            <w:tcW w:w="1595" w:type="dxa"/>
          </w:tcPr>
          <w:p w14:paraId="19447D0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1858.5</w:t>
            </w:r>
          </w:p>
        </w:tc>
        <w:tc>
          <w:tcPr>
            <w:tcW w:w="1600" w:type="dxa"/>
          </w:tcPr>
          <w:p w14:paraId="737DA53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2507.0</w:t>
            </w:r>
          </w:p>
        </w:tc>
        <w:tc>
          <w:tcPr>
            <w:tcW w:w="1832" w:type="dxa"/>
          </w:tcPr>
          <w:p w14:paraId="3639601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1399.7</w:t>
            </w:r>
          </w:p>
        </w:tc>
        <w:tc>
          <w:tcPr>
            <w:tcW w:w="1832" w:type="dxa"/>
          </w:tcPr>
          <w:p w14:paraId="5227418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2129.8</w:t>
            </w:r>
          </w:p>
        </w:tc>
        <w:tc>
          <w:tcPr>
            <w:tcW w:w="1837" w:type="dxa"/>
          </w:tcPr>
          <w:p w14:paraId="470960E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3080.9</w:t>
            </w:r>
          </w:p>
        </w:tc>
      </w:tr>
      <w:tr w:rsidR="00E60445" w:rsidRPr="00BC5261" w14:paraId="54AA9E8B" w14:textId="77777777" w:rsidTr="00E60445">
        <w:trPr>
          <w:trHeight w:val="161"/>
        </w:trPr>
        <w:tc>
          <w:tcPr>
            <w:tcW w:w="1950" w:type="dxa"/>
            <w:vMerge/>
          </w:tcPr>
          <w:p w14:paraId="3F0DED83"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145D99D4"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Non-obese </w:t>
            </w:r>
            <w:r w:rsidRPr="00BC5261">
              <w:rPr>
                <w:rFonts w:ascii="Arial" w:eastAsia="Cambria" w:hAnsi="Arial" w:cs="Arial"/>
                <w:sz w:val="18"/>
                <w:szCs w:val="18"/>
              </w:rPr>
              <w:t>(ng/ml)</w:t>
            </w:r>
          </w:p>
        </w:tc>
        <w:tc>
          <w:tcPr>
            <w:tcW w:w="1879" w:type="dxa"/>
          </w:tcPr>
          <w:p w14:paraId="65E3085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1547.6</w:t>
            </w:r>
          </w:p>
        </w:tc>
        <w:tc>
          <w:tcPr>
            <w:tcW w:w="1883" w:type="dxa"/>
          </w:tcPr>
          <w:p w14:paraId="51C3155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2274.3</w:t>
            </w:r>
          </w:p>
        </w:tc>
        <w:tc>
          <w:tcPr>
            <w:tcW w:w="1887" w:type="dxa"/>
          </w:tcPr>
          <w:p w14:paraId="4417A05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3370.2</w:t>
            </w:r>
          </w:p>
        </w:tc>
        <w:tc>
          <w:tcPr>
            <w:tcW w:w="1595" w:type="dxa"/>
          </w:tcPr>
          <w:p w14:paraId="596F511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1663.6</w:t>
            </w:r>
          </w:p>
        </w:tc>
        <w:tc>
          <w:tcPr>
            <w:tcW w:w="1595" w:type="dxa"/>
          </w:tcPr>
          <w:p w14:paraId="1E85F81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2561.1</w:t>
            </w:r>
          </w:p>
        </w:tc>
        <w:tc>
          <w:tcPr>
            <w:tcW w:w="1600" w:type="dxa"/>
          </w:tcPr>
          <w:p w14:paraId="148BF21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3855.5</w:t>
            </w:r>
          </w:p>
        </w:tc>
        <w:tc>
          <w:tcPr>
            <w:tcW w:w="1832" w:type="dxa"/>
          </w:tcPr>
          <w:p w14:paraId="57D3EEE4"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1649.2</w:t>
            </w:r>
          </w:p>
        </w:tc>
        <w:tc>
          <w:tcPr>
            <w:tcW w:w="1832" w:type="dxa"/>
          </w:tcPr>
          <w:p w14:paraId="78808F0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2235.9</w:t>
            </w:r>
          </w:p>
        </w:tc>
        <w:tc>
          <w:tcPr>
            <w:tcW w:w="1837" w:type="dxa"/>
          </w:tcPr>
          <w:p w14:paraId="76FCA09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3210.9</w:t>
            </w:r>
          </w:p>
        </w:tc>
      </w:tr>
      <w:tr w:rsidR="00E60445" w:rsidRPr="00BC5261" w14:paraId="1D0F9A3E" w14:textId="77777777" w:rsidTr="00E60445">
        <w:trPr>
          <w:trHeight w:val="161"/>
        </w:trPr>
        <w:tc>
          <w:tcPr>
            <w:tcW w:w="1950" w:type="dxa"/>
            <w:vMerge/>
          </w:tcPr>
          <w:p w14:paraId="30912FE9"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4CE7C952"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(T)</w:t>
            </w:r>
          </w:p>
        </w:tc>
        <w:tc>
          <w:tcPr>
            <w:tcW w:w="1879" w:type="dxa"/>
          </w:tcPr>
          <w:p w14:paraId="73233A2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0.638</w:t>
            </w:r>
          </w:p>
        </w:tc>
        <w:tc>
          <w:tcPr>
            <w:tcW w:w="1883" w:type="dxa"/>
          </w:tcPr>
          <w:p w14:paraId="297B1BE6"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0.300</w:t>
            </w:r>
          </w:p>
        </w:tc>
        <w:tc>
          <w:tcPr>
            <w:tcW w:w="1887" w:type="dxa"/>
          </w:tcPr>
          <w:p w14:paraId="72EA1AB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0.632</w:t>
            </w:r>
          </w:p>
        </w:tc>
        <w:tc>
          <w:tcPr>
            <w:tcW w:w="1595" w:type="dxa"/>
          </w:tcPr>
          <w:p w14:paraId="1A0F1E3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0.676</w:t>
            </w:r>
          </w:p>
        </w:tc>
        <w:tc>
          <w:tcPr>
            <w:tcW w:w="1595" w:type="dxa"/>
          </w:tcPr>
          <w:p w14:paraId="51061DA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0.722</w:t>
            </w:r>
          </w:p>
        </w:tc>
        <w:tc>
          <w:tcPr>
            <w:tcW w:w="1600" w:type="dxa"/>
          </w:tcPr>
          <w:p w14:paraId="72ABB5E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0.977</w:t>
            </w:r>
          </w:p>
        </w:tc>
        <w:tc>
          <w:tcPr>
            <w:tcW w:w="1832" w:type="dxa"/>
          </w:tcPr>
          <w:p w14:paraId="406E47E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0.759</w:t>
            </w:r>
          </w:p>
        </w:tc>
        <w:tc>
          <w:tcPr>
            <w:tcW w:w="1832" w:type="dxa"/>
          </w:tcPr>
          <w:p w14:paraId="61C8E21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0.484</w:t>
            </w:r>
          </w:p>
        </w:tc>
        <w:tc>
          <w:tcPr>
            <w:tcW w:w="1837" w:type="dxa"/>
          </w:tcPr>
          <w:p w14:paraId="7296C4F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0.587</w:t>
            </w:r>
          </w:p>
        </w:tc>
      </w:tr>
      <w:tr w:rsidR="00E60445" w:rsidRPr="00BC5261" w14:paraId="771F3384" w14:textId="77777777" w:rsidTr="00E60445">
        <w:trPr>
          <w:trHeight w:val="161"/>
        </w:trPr>
        <w:tc>
          <w:tcPr>
            <w:tcW w:w="1950" w:type="dxa"/>
            <w:vMerge/>
          </w:tcPr>
          <w:p w14:paraId="7A9CF3E4"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72457AF2"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(O)</w:t>
            </w:r>
          </w:p>
        </w:tc>
        <w:tc>
          <w:tcPr>
            <w:tcW w:w="1879" w:type="dxa"/>
          </w:tcPr>
          <w:p w14:paraId="6E8A7F56"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0.116</w:t>
            </w:r>
          </w:p>
        </w:tc>
        <w:tc>
          <w:tcPr>
            <w:tcW w:w="1883" w:type="dxa"/>
          </w:tcPr>
          <w:p w14:paraId="5243F5F6"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0.012</w:t>
            </w:r>
          </w:p>
        </w:tc>
        <w:tc>
          <w:tcPr>
            <w:tcW w:w="1887" w:type="dxa"/>
          </w:tcPr>
          <w:p w14:paraId="143FB19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0.206</w:t>
            </w:r>
          </w:p>
        </w:tc>
        <w:tc>
          <w:tcPr>
            <w:tcW w:w="1595" w:type="dxa"/>
          </w:tcPr>
          <w:p w14:paraId="6A8DA64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0.080</w:t>
            </w:r>
          </w:p>
        </w:tc>
        <w:tc>
          <w:tcPr>
            <w:tcW w:w="1595" w:type="dxa"/>
          </w:tcPr>
          <w:p w14:paraId="5731E91C"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0.001</w:t>
            </w:r>
          </w:p>
        </w:tc>
        <w:tc>
          <w:tcPr>
            <w:tcW w:w="1600" w:type="dxa"/>
          </w:tcPr>
          <w:p w14:paraId="30C8AACB"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0.012</w:t>
            </w:r>
          </w:p>
        </w:tc>
        <w:tc>
          <w:tcPr>
            <w:tcW w:w="1832" w:type="dxa"/>
          </w:tcPr>
          <w:p w14:paraId="1D4CFC8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0.121</w:t>
            </w:r>
          </w:p>
        </w:tc>
        <w:tc>
          <w:tcPr>
            <w:tcW w:w="1832" w:type="dxa"/>
          </w:tcPr>
          <w:p w14:paraId="2D7F6A4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0.673</w:t>
            </w:r>
          </w:p>
        </w:tc>
        <w:tc>
          <w:tcPr>
            <w:tcW w:w="1837" w:type="dxa"/>
          </w:tcPr>
          <w:p w14:paraId="0C1E07D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0.856</w:t>
            </w:r>
          </w:p>
        </w:tc>
      </w:tr>
      <w:tr w:rsidR="00E60445" w:rsidRPr="00BC5261" w14:paraId="1E04E33A" w14:textId="77777777" w:rsidTr="00E60445">
        <w:trPr>
          <w:trHeight w:val="170"/>
        </w:trPr>
        <w:tc>
          <w:tcPr>
            <w:tcW w:w="1950" w:type="dxa"/>
            <w:vMerge w:val="restart"/>
          </w:tcPr>
          <w:p w14:paraId="0308578D"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8-OH-EFV</w:t>
            </w:r>
          </w:p>
          <w:p w14:paraId="721374CA"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(ng/ml)</w:t>
            </w:r>
          </w:p>
        </w:tc>
        <w:tc>
          <w:tcPr>
            <w:tcW w:w="1950" w:type="dxa"/>
          </w:tcPr>
          <w:p w14:paraId="6F746EE8"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Obese </w:t>
            </w:r>
            <w:r w:rsidRPr="00BC5261">
              <w:rPr>
                <w:rFonts w:ascii="Arial" w:eastAsia="Cambria" w:hAnsi="Arial" w:cs="Arial"/>
                <w:sz w:val="18"/>
                <w:szCs w:val="18"/>
              </w:rPr>
              <w:t>(ng/ml)</w:t>
            </w:r>
          </w:p>
        </w:tc>
        <w:tc>
          <w:tcPr>
            <w:tcW w:w="1879" w:type="dxa"/>
          </w:tcPr>
          <w:p w14:paraId="60CF9F0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34.0</w:t>
            </w:r>
          </w:p>
        </w:tc>
        <w:tc>
          <w:tcPr>
            <w:tcW w:w="1883" w:type="dxa"/>
          </w:tcPr>
          <w:p w14:paraId="1815E82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65.6</w:t>
            </w:r>
          </w:p>
        </w:tc>
        <w:tc>
          <w:tcPr>
            <w:tcW w:w="1887" w:type="dxa"/>
          </w:tcPr>
          <w:p w14:paraId="1B77002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623.0</w:t>
            </w:r>
          </w:p>
        </w:tc>
        <w:tc>
          <w:tcPr>
            <w:tcW w:w="1595" w:type="dxa"/>
          </w:tcPr>
          <w:p w14:paraId="3F4C7FB3"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35.9</w:t>
            </w:r>
          </w:p>
        </w:tc>
        <w:tc>
          <w:tcPr>
            <w:tcW w:w="1595" w:type="dxa"/>
          </w:tcPr>
          <w:p w14:paraId="74CBD914"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80.7</w:t>
            </w:r>
          </w:p>
        </w:tc>
        <w:tc>
          <w:tcPr>
            <w:tcW w:w="1600" w:type="dxa"/>
          </w:tcPr>
          <w:p w14:paraId="4B53D96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652.3</w:t>
            </w:r>
          </w:p>
        </w:tc>
        <w:tc>
          <w:tcPr>
            <w:tcW w:w="1832" w:type="dxa"/>
          </w:tcPr>
          <w:p w14:paraId="6AC888C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30.1</w:t>
            </w:r>
          </w:p>
        </w:tc>
        <w:tc>
          <w:tcPr>
            <w:tcW w:w="1832" w:type="dxa"/>
          </w:tcPr>
          <w:p w14:paraId="2A3523C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44.2</w:t>
            </w:r>
          </w:p>
        </w:tc>
        <w:tc>
          <w:tcPr>
            <w:tcW w:w="1837" w:type="dxa"/>
          </w:tcPr>
          <w:p w14:paraId="53A9393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63.6</w:t>
            </w:r>
          </w:p>
        </w:tc>
      </w:tr>
      <w:tr w:rsidR="00E60445" w:rsidRPr="00BC5261" w14:paraId="34BA4FDF" w14:textId="77777777" w:rsidTr="00E60445">
        <w:trPr>
          <w:trHeight w:val="166"/>
        </w:trPr>
        <w:tc>
          <w:tcPr>
            <w:tcW w:w="1950" w:type="dxa"/>
            <w:vMerge/>
          </w:tcPr>
          <w:p w14:paraId="3C8DDF4B"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29BC1511"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Non-obese </w:t>
            </w:r>
            <w:r w:rsidRPr="00BC5261">
              <w:rPr>
                <w:rFonts w:ascii="Arial" w:eastAsia="Cambria" w:hAnsi="Arial" w:cs="Arial"/>
                <w:sz w:val="18"/>
                <w:szCs w:val="18"/>
              </w:rPr>
              <w:t>(ng/ml)</w:t>
            </w:r>
          </w:p>
        </w:tc>
        <w:tc>
          <w:tcPr>
            <w:tcW w:w="1879" w:type="dxa"/>
          </w:tcPr>
          <w:p w14:paraId="2F80F85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37.5</w:t>
            </w:r>
          </w:p>
        </w:tc>
        <w:tc>
          <w:tcPr>
            <w:tcW w:w="1883" w:type="dxa"/>
          </w:tcPr>
          <w:p w14:paraId="01C38F7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76.7</w:t>
            </w:r>
          </w:p>
        </w:tc>
        <w:tc>
          <w:tcPr>
            <w:tcW w:w="1887" w:type="dxa"/>
          </w:tcPr>
          <w:p w14:paraId="4663F07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658.8</w:t>
            </w:r>
          </w:p>
        </w:tc>
        <w:tc>
          <w:tcPr>
            <w:tcW w:w="1595" w:type="dxa"/>
          </w:tcPr>
          <w:p w14:paraId="030C16F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32.3</w:t>
            </w:r>
          </w:p>
        </w:tc>
        <w:tc>
          <w:tcPr>
            <w:tcW w:w="1595" w:type="dxa"/>
          </w:tcPr>
          <w:p w14:paraId="01D8D7A6"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73.9</w:t>
            </w:r>
          </w:p>
        </w:tc>
        <w:tc>
          <w:tcPr>
            <w:tcW w:w="1600" w:type="dxa"/>
          </w:tcPr>
          <w:p w14:paraId="76D5A25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630.6</w:t>
            </w:r>
          </w:p>
        </w:tc>
        <w:tc>
          <w:tcPr>
            <w:tcW w:w="1832" w:type="dxa"/>
          </w:tcPr>
          <w:p w14:paraId="7CC1ECC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30.0</w:t>
            </w:r>
          </w:p>
        </w:tc>
        <w:tc>
          <w:tcPr>
            <w:tcW w:w="1832" w:type="dxa"/>
          </w:tcPr>
          <w:p w14:paraId="36A6106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47.8</w:t>
            </w:r>
          </w:p>
        </w:tc>
        <w:tc>
          <w:tcPr>
            <w:tcW w:w="1837" w:type="dxa"/>
          </w:tcPr>
          <w:p w14:paraId="1BD0CFA3"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81.7</w:t>
            </w:r>
          </w:p>
        </w:tc>
      </w:tr>
      <w:tr w:rsidR="00E60445" w:rsidRPr="00BC5261" w14:paraId="48E01C56" w14:textId="77777777" w:rsidTr="00E60445">
        <w:trPr>
          <w:trHeight w:val="166"/>
        </w:trPr>
        <w:tc>
          <w:tcPr>
            <w:tcW w:w="1950" w:type="dxa"/>
            <w:vMerge/>
          </w:tcPr>
          <w:p w14:paraId="6A96E591"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39F1D76C"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(Time)</w:t>
            </w:r>
          </w:p>
        </w:tc>
        <w:tc>
          <w:tcPr>
            <w:tcW w:w="1879" w:type="dxa"/>
          </w:tcPr>
          <w:p w14:paraId="0DE22BB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883" w:type="dxa"/>
          </w:tcPr>
          <w:p w14:paraId="38B3F16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887" w:type="dxa"/>
          </w:tcPr>
          <w:p w14:paraId="6A4017A3"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595" w:type="dxa"/>
          </w:tcPr>
          <w:p w14:paraId="37D7BCA7"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&lt;0.001</w:t>
            </w:r>
          </w:p>
        </w:tc>
        <w:tc>
          <w:tcPr>
            <w:tcW w:w="1595" w:type="dxa"/>
          </w:tcPr>
          <w:p w14:paraId="6A6D36D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600" w:type="dxa"/>
          </w:tcPr>
          <w:p w14:paraId="7ADDF70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832" w:type="dxa"/>
          </w:tcPr>
          <w:p w14:paraId="305B8DD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0.261</w:t>
            </w:r>
          </w:p>
        </w:tc>
        <w:tc>
          <w:tcPr>
            <w:tcW w:w="1832" w:type="dxa"/>
          </w:tcPr>
          <w:p w14:paraId="435DE63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0.508</w:t>
            </w:r>
          </w:p>
        </w:tc>
        <w:tc>
          <w:tcPr>
            <w:tcW w:w="1837" w:type="dxa"/>
          </w:tcPr>
          <w:p w14:paraId="0454EBA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0.118</w:t>
            </w:r>
          </w:p>
        </w:tc>
      </w:tr>
      <w:tr w:rsidR="00E60445" w:rsidRPr="00BC5261" w14:paraId="1738037F" w14:textId="77777777" w:rsidTr="00E60445">
        <w:trPr>
          <w:trHeight w:val="166"/>
        </w:trPr>
        <w:tc>
          <w:tcPr>
            <w:tcW w:w="1950" w:type="dxa"/>
            <w:vMerge/>
          </w:tcPr>
          <w:p w14:paraId="58ABE675"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55B500D3"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(O)</w:t>
            </w:r>
          </w:p>
        </w:tc>
        <w:tc>
          <w:tcPr>
            <w:tcW w:w="1879" w:type="dxa"/>
          </w:tcPr>
          <w:p w14:paraId="1BED953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0.625</w:t>
            </w:r>
          </w:p>
        </w:tc>
        <w:tc>
          <w:tcPr>
            <w:tcW w:w="1883" w:type="dxa"/>
          </w:tcPr>
          <w:p w14:paraId="048139E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0.432</w:t>
            </w:r>
          </w:p>
        </w:tc>
        <w:tc>
          <w:tcPr>
            <w:tcW w:w="1887" w:type="dxa"/>
          </w:tcPr>
          <w:p w14:paraId="6C9799E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0.846</w:t>
            </w:r>
          </w:p>
        </w:tc>
        <w:tc>
          <w:tcPr>
            <w:tcW w:w="1595" w:type="dxa"/>
          </w:tcPr>
          <w:p w14:paraId="0EF903B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0.531</w:t>
            </w:r>
          </w:p>
        </w:tc>
        <w:tc>
          <w:tcPr>
            <w:tcW w:w="1595" w:type="dxa"/>
          </w:tcPr>
          <w:p w14:paraId="021095F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0.537</w:t>
            </w:r>
          </w:p>
        </w:tc>
        <w:tc>
          <w:tcPr>
            <w:tcW w:w="1600" w:type="dxa"/>
          </w:tcPr>
          <w:p w14:paraId="515602B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0.857</w:t>
            </w:r>
          </w:p>
        </w:tc>
        <w:tc>
          <w:tcPr>
            <w:tcW w:w="1832" w:type="dxa"/>
          </w:tcPr>
          <w:p w14:paraId="6BB2119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0.988</w:t>
            </w:r>
          </w:p>
        </w:tc>
        <w:tc>
          <w:tcPr>
            <w:tcW w:w="1832" w:type="dxa"/>
          </w:tcPr>
          <w:p w14:paraId="295A0E7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0.515</w:t>
            </w:r>
          </w:p>
        </w:tc>
        <w:tc>
          <w:tcPr>
            <w:tcW w:w="1837" w:type="dxa"/>
          </w:tcPr>
          <w:p w14:paraId="7EEAF7F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0.079</w:t>
            </w:r>
          </w:p>
        </w:tc>
      </w:tr>
      <w:tr w:rsidR="00E60445" w:rsidRPr="00BC5261" w14:paraId="33108691" w14:textId="77777777" w:rsidTr="00E60445">
        <w:trPr>
          <w:trHeight w:val="182"/>
        </w:trPr>
        <w:tc>
          <w:tcPr>
            <w:tcW w:w="1950" w:type="dxa"/>
            <w:vMerge w:val="restart"/>
          </w:tcPr>
          <w:p w14:paraId="5AEAD250"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TFV</w:t>
            </w:r>
          </w:p>
          <w:p w14:paraId="7D932339"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(ng/ml)</w:t>
            </w:r>
          </w:p>
        </w:tc>
        <w:tc>
          <w:tcPr>
            <w:tcW w:w="1950" w:type="dxa"/>
          </w:tcPr>
          <w:p w14:paraId="10BB2B95"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Obese </w:t>
            </w:r>
            <w:r w:rsidRPr="00BC5261">
              <w:rPr>
                <w:rFonts w:ascii="Arial" w:eastAsia="Cambria" w:hAnsi="Arial" w:cs="Arial"/>
                <w:sz w:val="18"/>
                <w:szCs w:val="18"/>
              </w:rPr>
              <w:t>(ng/ml)</w:t>
            </w:r>
          </w:p>
        </w:tc>
        <w:tc>
          <w:tcPr>
            <w:tcW w:w="1879" w:type="dxa"/>
          </w:tcPr>
          <w:p w14:paraId="7783BFE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54.6</w:t>
            </w:r>
          </w:p>
        </w:tc>
        <w:tc>
          <w:tcPr>
            <w:tcW w:w="1883" w:type="dxa"/>
          </w:tcPr>
          <w:p w14:paraId="1466EE4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62.6</w:t>
            </w:r>
          </w:p>
        </w:tc>
        <w:tc>
          <w:tcPr>
            <w:tcW w:w="1887" w:type="dxa"/>
          </w:tcPr>
          <w:p w14:paraId="4BCF9A9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81.7</w:t>
            </w:r>
          </w:p>
        </w:tc>
        <w:tc>
          <w:tcPr>
            <w:tcW w:w="1595" w:type="dxa"/>
          </w:tcPr>
          <w:p w14:paraId="766B792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50.3</w:t>
            </w:r>
          </w:p>
        </w:tc>
        <w:tc>
          <w:tcPr>
            <w:tcW w:w="1595" w:type="dxa"/>
          </w:tcPr>
          <w:p w14:paraId="14140AF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68.3</w:t>
            </w:r>
          </w:p>
        </w:tc>
        <w:tc>
          <w:tcPr>
            <w:tcW w:w="1600" w:type="dxa"/>
          </w:tcPr>
          <w:p w14:paraId="5FF55CF3"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87.0</w:t>
            </w:r>
          </w:p>
        </w:tc>
        <w:tc>
          <w:tcPr>
            <w:tcW w:w="1832" w:type="dxa"/>
          </w:tcPr>
          <w:p w14:paraId="62FBD17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52.1</w:t>
            </w:r>
          </w:p>
        </w:tc>
        <w:tc>
          <w:tcPr>
            <w:tcW w:w="1832" w:type="dxa"/>
          </w:tcPr>
          <w:p w14:paraId="719F6704"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74.1</w:t>
            </w:r>
          </w:p>
        </w:tc>
        <w:tc>
          <w:tcPr>
            <w:tcW w:w="1837" w:type="dxa"/>
          </w:tcPr>
          <w:p w14:paraId="0B400BC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93.1</w:t>
            </w:r>
          </w:p>
        </w:tc>
      </w:tr>
      <w:tr w:rsidR="00E60445" w:rsidRPr="00BC5261" w14:paraId="2F036F19" w14:textId="77777777" w:rsidTr="00E60445">
        <w:trPr>
          <w:trHeight w:val="180"/>
        </w:trPr>
        <w:tc>
          <w:tcPr>
            <w:tcW w:w="1950" w:type="dxa"/>
            <w:vMerge/>
          </w:tcPr>
          <w:p w14:paraId="1C074823"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5E6729ED"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Non-obese </w:t>
            </w:r>
            <w:r w:rsidRPr="00BC5261">
              <w:rPr>
                <w:rFonts w:ascii="Arial" w:eastAsia="Cambria" w:hAnsi="Arial" w:cs="Arial"/>
                <w:sz w:val="18"/>
                <w:szCs w:val="18"/>
              </w:rPr>
              <w:t>(ng/ml)</w:t>
            </w:r>
          </w:p>
        </w:tc>
        <w:tc>
          <w:tcPr>
            <w:tcW w:w="1879" w:type="dxa"/>
          </w:tcPr>
          <w:p w14:paraId="36C0405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53.9</w:t>
            </w:r>
          </w:p>
        </w:tc>
        <w:tc>
          <w:tcPr>
            <w:tcW w:w="1883" w:type="dxa"/>
          </w:tcPr>
          <w:p w14:paraId="08702764"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71.4</w:t>
            </w:r>
          </w:p>
        </w:tc>
        <w:tc>
          <w:tcPr>
            <w:tcW w:w="1887" w:type="dxa"/>
          </w:tcPr>
          <w:p w14:paraId="51A3D123"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95.2</w:t>
            </w:r>
          </w:p>
        </w:tc>
        <w:tc>
          <w:tcPr>
            <w:tcW w:w="1595" w:type="dxa"/>
          </w:tcPr>
          <w:p w14:paraId="149B133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54.5</w:t>
            </w:r>
          </w:p>
        </w:tc>
        <w:tc>
          <w:tcPr>
            <w:tcW w:w="1595" w:type="dxa"/>
          </w:tcPr>
          <w:p w14:paraId="1C3C12B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74.4</w:t>
            </w:r>
          </w:p>
        </w:tc>
        <w:tc>
          <w:tcPr>
            <w:tcW w:w="1600" w:type="dxa"/>
          </w:tcPr>
          <w:p w14:paraId="47A7077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102.3</w:t>
            </w:r>
          </w:p>
        </w:tc>
        <w:tc>
          <w:tcPr>
            <w:tcW w:w="1832" w:type="dxa"/>
          </w:tcPr>
          <w:p w14:paraId="6DD64C46"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55.5</w:t>
            </w:r>
          </w:p>
        </w:tc>
        <w:tc>
          <w:tcPr>
            <w:tcW w:w="1832" w:type="dxa"/>
          </w:tcPr>
          <w:p w14:paraId="513916C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73.6</w:t>
            </w:r>
          </w:p>
        </w:tc>
        <w:tc>
          <w:tcPr>
            <w:tcW w:w="1837" w:type="dxa"/>
          </w:tcPr>
          <w:p w14:paraId="162BF284"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90.5</w:t>
            </w:r>
          </w:p>
        </w:tc>
      </w:tr>
      <w:tr w:rsidR="00E60445" w:rsidRPr="00BC5261" w14:paraId="026761B6" w14:textId="77777777" w:rsidTr="00E60445">
        <w:trPr>
          <w:trHeight w:val="180"/>
        </w:trPr>
        <w:tc>
          <w:tcPr>
            <w:tcW w:w="1950" w:type="dxa"/>
            <w:vMerge/>
          </w:tcPr>
          <w:p w14:paraId="31C9CDF3"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25EEC223"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(Time)</w:t>
            </w:r>
          </w:p>
        </w:tc>
        <w:tc>
          <w:tcPr>
            <w:tcW w:w="1879" w:type="dxa"/>
          </w:tcPr>
          <w:p w14:paraId="539A90E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0.483</w:t>
            </w:r>
          </w:p>
        </w:tc>
        <w:tc>
          <w:tcPr>
            <w:tcW w:w="1883" w:type="dxa"/>
          </w:tcPr>
          <w:p w14:paraId="6BB5E61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0.291</w:t>
            </w:r>
          </w:p>
        </w:tc>
        <w:tc>
          <w:tcPr>
            <w:tcW w:w="1887" w:type="dxa"/>
          </w:tcPr>
          <w:p w14:paraId="3C495AC6"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0.620</w:t>
            </w:r>
          </w:p>
        </w:tc>
        <w:tc>
          <w:tcPr>
            <w:tcW w:w="1595" w:type="dxa"/>
          </w:tcPr>
          <w:p w14:paraId="652C23F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0.354</w:t>
            </w:r>
          </w:p>
        </w:tc>
        <w:tc>
          <w:tcPr>
            <w:tcW w:w="1595" w:type="dxa"/>
          </w:tcPr>
          <w:p w14:paraId="696D746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0.250</w:t>
            </w:r>
          </w:p>
        </w:tc>
        <w:tc>
          <w:tcPr>
            <w:tcW w:w="1600" w:type="dxa"/>
          </w:tcPr>
          <w:p w14:paraId="2716946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0.579</w:t>
            </w:r>
          </w:p>
        </w:tc>
        <w:tc>
          <w:tcPr>
            <w:tcW w:w="1832" w:type="dxa"/>
          </w:tcPr>
          <w:p w14:paraId="284884E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0.611</w:t>
            </w:r>
          </w:p>
        </w:tc>
        <w:tc>
          <w:tcPr>
            <w:tcW w:w="1832" w:type="dxa"/>
          </w:tcPr>
          <w:p w14:paraId="0120001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0.508</w:t>
            </w:r>
          </w:p>
        </w:tc>
        <w:tc>
          <w:tcPr>
            <w:tcW w:w="1837" w:type="dxa"/>
          </w:tcPr>
          <w:p w14:paraId="43B1431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0.050</w:t>
            </w:r>
          </w:p>
        </w:tc>
      </w:tr>
      <w:tr w:rsidR="00E60445" w:rsidRPr="00BC5261" w14:paraId="395500CD" w14:textId="77777777" w:rsidTr="00E60445">
        <w:trPr>
          <w:trHeight w:val="180"/>
        </w:trPr>
        <w:tc>
          <w:tcPr>
            <w:tcW w:w="1950" w:type="dxa"/>
            <w:vMerge/>
          </w:tcPr>
          <w:p w14:paraId="531C4354"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7E4FE0E7"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(O)</w:t>
            </w:r>
          </w:p>
        </w:tc>
        <w:tc>
          <w:tcPr>
            <w:tcW w:w="1879" w:type="dxa"/>
          </w:tcPr>
          <w:p w14:paraId="59740AA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0.924</w:t>
            </w:r>
          </w:p>
        </w:tc>
        <w:tc>
          <w:tcPr>
            <w:tcW w:w="1883" w:type="dxa"/>
          </w:tcPr>
          <w:p w14:paraId="53C8C77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0.182</w:t>
            </w:r>
          </w:p>
        </w:tc>
        <w:tc>
          <w:tcPr>
            <w:tcW w:w="1887" w:type="dxa"/>
          </w:tcPr>
          <w:p w14:paraId="5899C9B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0.206</w:t>
            </w:r>
          </w:p>
        </w:tc>
        <w:tc>
          <w:tcPr>
            <w:tcW w:w="1595" w:type="dxa"/>
          </w:tcPr>
          <w:p w14:paraId="1EDB8FD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0.480</w:t>
            </w:r>
          </w:p>
        </w:tc>
        <w:tc>
          <w:tcPr>
            <w:tcW w:w="1595" w:type="dxa"/>
          </w:tcPr>
          <w:p w14:paraId="682A5E0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0.264</w:t>
            </w:r>
          </w:p>
        </w:tc>
        <w:tc>
          <w:tcPr>
            <w:tcW w:w="1600" w:type="dxa"/>
          </w:tcPr>
          <w:p w14:paraId="3C664FD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0.096</w:t>
            </w:r>
          </w:p>
        </w:tc>
        <w:tc>
          <w:tcPr>
            <w:tcW w:w="1832" w:type="dxa"/>
          </w:tcPr>
          <w:p w14:paraId="3C10E8E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0.642</w:t>
            </w:r>
          </w:p>
        </w:tc>
        <w:tc>
          <w:tcPr>
            <w:tcW w:w="1832" w:type="dxa"/>
          </w:tcPr>
          <w:p w14:paraId="6FC2E56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0.940</w:t>
            </w:r>
          </w:p>
        </w:tc>
        <w:tc>
          <w:tcPr>
            <w:tcW w:w="1837" w:type="dxa"/>
          </w:tcPr>
          <w:p w14:paraId="22E8000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0.779</w:t>
            </w:r>
          </w:p>
        </w:tc>
      </w:tr>
      <w:tr w:rsidR="00E60445" w:rsidRPr="00BC5261" w14:paraId="7B0CF3E3" w14:textId="77777777" w:rsidTr="00E60445">
        <w:trPr>
          <w:trHeight w:val="203"/>
        </w:trPr>
        <w:tc>
          <w:tcPr>
            <w:tcW w:w="1950" w:type="dxa"/>
            <w:vMerge w:val="restart"/>
          </w:tcPr>
          <w:p w14:paraId="0D0C9B88"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FTC</w:t>
            </w:r>
          </w:p>
          <w:p w14:paraId="37B768D4" w14:textId="77777777" w:rsidR="00E60445" w:rsidRPr="00BC5261" w:rsidRDefault="00E60445" w:rsidP="00E60445">
            <w:pPr>
              <w:spacing w:line="480" w:lineRule="auto"/>
              <w:jc w:val="both"/>
              <w:rPr>
                <w:rFonts w:ascii="Arial" w:eastAsia="Cambria" w:hAnsi="Arial" w:cs="Arial"/>
                <w:b/>
                <w:sz w:val="18"/>
                <w:szCs w:val="18"/>
              </w:rPr>
            </w:pPr>
            <w:r w:rsidRPr="00BC5261">
              <w:rPr>
                <w:rFonts w:ascii="Arial" w:eastAsia="Cambria" w:hAnsi="Arial" w:cs="Arial"/>
                <w:b/>
                <w:sz w:val="18"/>
                <w:szCs w:val="18"/>
              </w:rPr>
              <w:t>(ng/ml)</w:t>
            </w:r>
          </w:p>
        </w:tc>
        <w:tc>
          <w:tcPr>
            <w:tcW w:w="1950" w:type="dxa"/>
          </w:tcPr>
          <w:p w14:paraId="123D5E3E"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Obese </w:t>
            </w:r>
            <w:r w:rsidRPr="00BC5261">
              <w:rPr>
                <w:rFonts w:ascii="Arial" w:eastAsia="Cambria" w:hAnsi="Arial" w:cs="Arial"/>
                <w:sz w:val="18"/>
                <w:szCs w:val="18"/>
              </w:rPr>
              <w:t>(ng/ml)</w:t>
            </w:r>
          </w:p>
        </w:tc>
        <w:tc>
          <w:tcPr>
            <w:tcW w:w="1879" w:type="dxa"/>
          </w:tcPr>
          <w:p w14:paraId="5755201A"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106.6</w:t>
            </w:r>
          </w:p>
        </w:tc>
        <w:tc>
          <w:tcPr>
            <w:tcW w:w="1883" w:type="dxa"/>
          </w:tcPr>
          <w:p w14:paraId="77BD6C6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167.2</w:t>
            </w:r>
          </w:p>
        </w:tc>
        <w:tc>
          <w:tcPr>
            <w:tcW w:w="1887" w:type="dxa"/>
          </w:tcPr>
          <w:p w14:paraId="38F44E8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232.4</w:t>
            </w:r>
          </w:p>
        </w:tc>
        <w:tc>
          <w:tcPr>
            <w:tcW w:w="1595" w:type="dxa"/>
          </w:tcPr>
          <w:p w14:paraId="0F76A52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110.8</w:t>
            </w:r>
          </w:p>
        </w:tc>
        <w:tc>
          <w:tcPr>
            <w:tcW w:w="1595" w:type="dxa"/>
          </w:tcPr>
          <w:p w14:paraId="55A9D36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174.7</w:t>
            </w:r>
          </w:p>
        </w:tc>
        <w:tc>
          <w:tcPr>
            <w:tcW w:w="1600" w:type="dxa"/>
          </w:tcPr>
          <w:p w14:paraId="6F1F1BC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242.0</w:t>
            </w:r>
          </w:p>
        </w:tc>
        <w:tc>
          <w:tcPr>
            <w:tcW w:w="1832" w:type="dxa"/>
          </w:tcPr>
          <w:p w14:paraId="1778D46B"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120.2</w:t>
            </w:r>
          </w:p>
        </w:tc>
        <w:tc>
          <w:tcPr>
            <w:tcW w:w="1832" w:type="dxa"/>
          </w:tcPr>
          <w:p w14:paraId="1179D8E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181.1</w:t>
            </w:r>
          </w:p>
        </w:tc>
        <w:tc>
          <w:tcPr>
            <w:tcW w:w="1837" w:type="dxa"/>
          </w:tcPr>
          <w:p w14:paraId="0A83BD9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264.3</w:t>
            </w:r>
          </w:p>
        </w:tc>
      </w:tr>
      <w:tr w:rsidR="00E60445" w:rsidRPr="00BC5261" w14:paraId="1CB3DF64" w14:textId="77777777" w:rsidTr="00E60445">
        <w:trPr>
          <w:trHeight w:val="201"/>
        </w:trPr>
        <w:tc>
          <w:tcPr>
            <w:tcW w:w="1950" w:type="dxa"/>
            <w:vMerge/>
          </w:tcPr>
          <w:p w14:paraId="3AF547D9"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6ED21763"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 xml:space="preserve">Non-obese </w:t>
            </w:r>
            <w:r w:rsidRPr="00BC5261">
              <w:rPr>
                <w:rFonts w:ascii="Arial" w:eastAsia="Cambria" w:hAnsi="Arial" w:cs="Arial"/>
                <w:sz w:val="18"/>
                <w:szCs w:val="18"/>
              </w:rPr>
              <w:t>(ng/ml)</w:t>
            </w:r>
          </w:p>
        </w:tc>
        <w:tc>
          <w:tcPr>
            <w:tcW w:w="1879" w:type="dxa"/>
          </w:tcPr>
          <w:p w14:paraId="0CD81CB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134.4</w:t>
            </w:r>
          </w:p>
        </w:tc>
        <w:tc>
          <w:tcPr>
            <w:tcW w:w="1883" w:type="dxa"/>
          </w:tcPr>
          <w:p w14:paraId="59D253B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192.5</w:t>
            </w:r>
          </w:p>
        </w:tc>
        <w:tc>
          <w:tcPr>
            <w:tcW w:w="1887" w:type="dxa"/>
          </w:tcPr>
          <w:p w14:paraId="74E3BA39"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271.5</w:t>
            </w:r>
          </w:p>
        </w:tc>
        <w:tc>
          <w:tcPr>
            <w:tcW w:w="1595" w:type="dxa"/>
          </w:tcPr>
          <w:p w14:paraId="5F6C15DD"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137.5</w:t>
            </w:r>
          </w:p>
        </w:tc>
        <w:tc>
          <w:tcPr>
            <w:tcW w:w="1595" w:type="dxa"/>
          </w:tcPr>
          <w:p w14:paraId="508FB48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214.1</w:t>
            </w:r>
          </w:p>
        </w:tc>
        <w:tc>
          <w:tcPr>
            <w:tcW w:w="1600" w:type="dxa"/>
          </w:tcPr>
          <w:p w14:paraId="340E42F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296.2</w:t>
            </w:r>
          </w:p>
        </w:tc>
        <w:tc>
          <w:tcPr>
            <w:tcW w:w="1832" w:type="dxa"/>
          </w:tcPr>
          <w:p w14:paraId="222BCAFC"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169.8</w:t>
            </w:r>
          </w:p>
        </w:tc>
        <w:tc>
          <w:tcPr>
            <w:tcW w:w="1832" w:type="dxa"/>
          </w:tcPr>
          <w:p w14:paraId="0516E37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211.9</w:t>
            </w:r>
          </w:p>
        </w:tc>
        <w:tc>
          <w:tcPr>
            <w:tcW w:w="1837" w:type="dxa"/>
          </w:tcPr>
          <w:p w14:paraId="5A201AE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315.2</w:t>
            </w:r>
          </w:p>
        </w:tc>
      </w:tr>
      <w:tr w:rsidR="00E60445" w:rsidRPr="00BC5261" w14:paraId="5385FA15" w14:textId="77777777" w:rsidTr="00E60445">
        <w:trPr>
          <w:trHeight w:val="201"/>
        </w:trPr>
        <w:tc>
          <w:tcPr>
            <w:tcW w:w="1950" w:type="dxa"/>
            <w:vMerge/>
          </w:tcPr>
          <w:p w14:paraId="3B8DB4E7"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4661D6E3"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(Time)</w:t>
            </w:r>
          </w:p>
        </w:tc>
        <w:tc>
          <w:tcPr>
            <w:tcW w:w="1879" w:type="dxa"/>
          </w:tcPr>
          <w:p w14:paraId="327D9B8E"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0.102</w:t>
            </w:r>
          </w:p>
        </w:tc>
        <w:tc>
          <w:tcPr>
            <w:tcW w:w="1883" w:type="dxa"/>
          </w:tcPr>
          <w:p w14:paraId="17C56F4E"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0.002</w:t>
            </w:r>
          </w:p>
        </w:tc>
        <w:tc>
          <w:tcPr>
            <w:tcW w:w="1887" w:type="dxa"/>
          </w:tcPr>
          <w:p w14:paraId="0C4BB936"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0.001</w:t>
            </w:r>
          </w:p>
        </w:tc>
        <w:tc>
          <w:tcPr>
            <w:tcW w:w="1595" w:type="dxa"/>
          </w:tcPr>
          <w:p w14:paraId="500D171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0.098</w:t>
            </w:r>
          </w:p>
        </w:tc>
        <w:tc>
          <w:tcPr>
            <w:tcW w:w="1595" w:type="dxa"/>
          </w:tcPr>
          <w:p w14:paraId="213BE2B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600" w:type="dxa"/>
          </w:tcPr>
          <w:p w14:paraId="11745428"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b/>
                <w:bCs/>
                <w:sz w:val="18"/>
                <w:szCs w:val="18"/>
              </w:rPr>
              <w:t>&lt;0.001</w:t>
            </w:r>
          </w:p>
        </w:tc>
        <w:tc>
          <w:tcPr>
            <w:tcW w:w="1832" w:type="dxa"/>
          </w:tcPr>
          <w:p w14:paraId="36CD2A5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0.061</w:t>
            </w:r>
          </w:p>
        </w:tc>
        <w:tc>
          <w:tcPr>
            <w:tcW w:w="1832" w:type="dxa"/>
          </w:tcPr>
          <w:p w14:paraId="77DD5092"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0.063</w:t>
            </w:r>
          </w:p>
        </w:tc>
        <w:tc>
          <w:tcPr>
            <w:tcW w:w="1837" w:type="dxa"/>
          </w:tcPr>
          <w:p w14:paraId="0068E781"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0.043</w:t>
            </w:r>
          </w:p>
        </w:tc>
      </w:tr>
      <w:tr w:rsidR="00E60445" w:rsidRPr="00BC5261" w14:paraId="4F9C87A4" w14:textId="77777777" w:rsidTr="00E60445">
        <w:trPr>
          <w:trHeight w:val="201"/>
        </w:trPr>
        <w:tc>
          <w:tcPr>
            <w:tcW w:w="1950" w:type="dxa"/>
            <w:vMerge/>
          </w:tcPr>
          <w:p w14:paraId="55D7D6A3" w14:textId="77777777" w:rsidR="00E60445" w:rsidRPr="00BC5261" w:rsidRDefault="00E60445" w:rsidP="00E60445">
            <w:pPr>
              <w:spacing w:line="480" w:lineRule="auto"/>
              <w:jc w:val="both"/>
              <w:rPr>
                <w:rFonts w:ascii="Arial" w:eastAsia="Cambria" w:hAnsi="Arial" w:cs="Arial"/>
                <w:b/>
                <w:sz w:val="18"/>
                <w:szCs w:val="18"/>
              </w:rPr>
            </w:pPr>
          </w:p>
        </w:tc>
        <w:tc>
          <w:tcPr>
            <w:tcW w:w="1950" w:type="dxa"/>
          </w:tcPr>
          <w:p w14:paraId="54521FBA" w14:textId="77777777" w:rsidR="00E60445" w:rsidRPr="00BC5261" w:rsidRDefault="00E60445" w:rsidP="00E60445">
            <w:pPr>
              <w:spacing w:line="480" w:lineRule="auto"/>
              <w:jc w:val="both"/>
              <w:rPr>
                <w:rFonts w:ascii="Arial" w:hAnsi="Arial" w:cs="Arial"/>
                <w:sz w:val="18"/>
                <w:szCs w:val="18"/>
              </w:rPr>
            </w:pPr>
            <w:r w:rsidRPr="00BC5261">
              <w:rPr>
                <w:rFonts w:ascii="Arial" w:hAnsi="Arial" w:cs="Arial"/>
                <w:sz w:val="18"/>
                <w:szCs w:val="18"/>
              </w:rPr>
              <w:t>P-value (O)</w:t>
            </w:r>
          </w:p>
        </w:tc>
        <w:tc>
          <w:tcPr>
            <w:tcW w:w="1879" w:type="dxa"/>
          </w:tcPr>
          <w:p w14:paraId="6D980DB7"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0.273</w:t>
            </w:r>
          </w:p>
        </w:tc>
        <w:tc>
          <w:tcPr>
            <w:tcW w:w="1883" w:type="dxa"/>
          </w:tcPr>
          <w:p w14:paraId="7D531BF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0.267</w:t>
            </w:r>
          </w:p>
        </w:tc>
        <w:tc>
          <w:tcPr>
            <w:tcW w:w="1887" w:type="dxa"/>
          </w:tcPr>
          <w:p w14:paraId="7863CD21"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0.254</w:t>
            </w:r>
          </w:p>
        </w:tc>
        <w:tc>
          <w:tcPr>
            <w:tcW w:w="1595" w:type="dxa"/>
          </w:tcPr>
          <w:p w14:paraId="27C17070"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0.223</w:t>
            </w:r>
          </w:p>
        </w:tc>
        <w:tc>
          <w:tcPr>
            <w:tcW w:w="1595" w:type="dxa"/>
          </w:tcPr>
          <w:p w14:paraId="43033F7F"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0.025</w:t>
            </w:r>
          </w:p>
        </w:tc>
        <w:tc>
          <w:tcPr>
            <w:tcW w:w="1600" w:type="dxa"/>
          </w:tcPr>
          <w:p w14:paraId="6EA7B790" w14:textId="77777777" w:rsidR="00E60445" w:rsidRPr="00BC5261" w:rsidRDefault="00E60445" w:rsidP="00E60445">
            <w:pPr>
              <w:spacing w:line="480" w:lineRule="auto"/>
              <w:jc w:val="center"/>
              <w:rPr>
                <w:rFonts w:ascii="Arial" w:eastAsia="Cambria" w:hAnsi="Arial" w:cs="Arial"/>
                <w:b/>
                <w:bCs/>
                <w:sz w:val="18"/>
                <w:szCs w:val="18"/>
              </w:rPr>
            </w:pPr>
            <w:r w:rsidRPr="00BC5261">
              <w:rPr>
                <w:rFonts w:ascii="Arial" w:eastAsia="Cambria" w:hAnsi="Arial" w:cs="Arial"/>
                <w:b/>
                <w:bCs/>
                <w:sz w:val="18"/>
                <w:szCs w:val="18"/>
              </w:rPr>
              <w:t>0.026</w:t>
            </w:r>
          </w:p>
        </w:tc>
        <w:tc>
          <w:tcPr>
            <w:tcW w:w="1832" w:type="dxa"/>
          </w:tcPr>
          <w:p w14:paraId="3339F3A5"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0.061</w:t>
            </w:r>
          </w:p>
        </w:tc>
        <w:tc>
          <w:tcPr>
            <w:tcW w:w="1832" w:type="dxa"/>
          </w:tcPr>
          <w:p w14:paraId="5144BCC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0.187</w:t>
            </w:r>
          </w:p>
        </w:tc>
        <w:tc>
          <w:tcPr>
            <w:tcW w:w="1837" w:type="dxa"/>
          </w:tcPr>
          <w:p w14:paraId="550C300F" w14:textId="77777777" w:rsidR="00E60445" w:rsidRPr="00BC5261" w:rsidRDefault="00E60445" w:rsidP="00E60445">
            <w:pPr>
              <w:spacing w:line="480" w:lineRule="auto"/>
              <w:jc w:val="center"/>
              <w:rPr>
                <w:rFonts w:ascii="Arial" w:eastAsia="Cambria" w:hAnsi="Arial" w:cs="Arial"/>
                <w:sz w:val="18"/>
                <w:szCs w:val="18"/>
              </w:rPr>
            </w:pPr>
            <w:r w:rsidRPr="00BC5261">
              <w:rPr>
                <w:rFonts w:ascii="Arial" w:eastAsia="Cambria" w:hAnsi="Arial" w:cs="Arial"/>
                <w:sz w:val="18"/>
                <w:szCs w:val="18"/>
              </w:rPr>
              <w:t>0.117</w:t>
            </w:r>
          </w:p>
        </w:tc>
      </w:tr>
    </w:tbl>
    <w:p w14:paraId="0BDE4A6F" w14:textId="4AB9354A" w:rsidR="00DD1338" w:rsidRPr="005F3755" w:rsidRDefault="00DD1338" w:rsidP="0024061C">
      <w:pPr>
        <w:spacing w:line="480" w:lineRule="auto"/>
        <w:jc w:val="both"/>
        <w:rPr>
          <w:rFonts w:ascii="Arial" w:hAnsi="Arial" w:cs="Arial"/>
          <w:sz w:val="18"/>
          <w:szCs w:val="18"/>
        </w:rPr>
      </w:pPr>
      <w:r w:rsidRPr="005F3755">
        <w:rPr>
          <w:rFonts w:ascii="Arial" w:hAnsi="Arial" w:cs="Arial"/>
          <w:sz w:val="18"/>
          <w:szCs w:val="18"/>
        </w:rPr>
        <w:t>EFV = efavirenz, 8-OH-EFV = 8-hydroxy-efavirenz, TFV = tenofovir, FTC = emtricitabine, BMI = body mass index, WC = waist circumference, WHR = waist-hip ratio, 1 Obesity defined as BMI ≥30 kg/m², 2 Obesity defined as WC ≥94 (men) and 80 (women), 3 Obesity defined as WHR ≥, 0.9 (men) and 0.85 (women)</w:t>
      </w:r>
      <w:r w:rsidR="0024061C" w:rsidRPr="005F3755">
        <w:rPr>
          <w:rFonts w:ascii="Arial" w:hAnsi="Arial" w:cs="Arial"/>
          <w:sz w:val="18"/>
          <w:szCs w:val="18"/>
        </w:rPr>
        <w:t>, P-value (T) = P-value for time after dose, P-value (O) = P-value for measure of obesity</w:t>
      </w:r>
      <w:r w:rsidRPr="005F3755">
        <w:rPr>
          <w:rFonts w:ascii="Arial" w:hAnsi="Arial" w:cs="Arial"/>
          <w:sz w:val="18"/>
          <w:szCs w:val="18"/>
        </w:rPr>
        <w:br w:type="page"/>
      </w:r>
    </w:p>
    <w:p w14:paraId="0BFD0013" w14:textId="0B8F19D2" w:rsidR="00F97CA0" w:rsidRPr="00F97CA0" w:rsidRDefault="00F97CA0" w:rsidP="00957EF5">
      <w:pPr>
        <w:jc w:val="both"/>
      </w:pPr>
      <w:r>
        <w:rPr>
          <w:rFonts w:ascii="Arial" w:hAnsi="Arial" w:cs="Arial"/>
          <w:b/>
          <w:bCs/>
          <w:sz w:val="22"/>
          <w:szCs w:val="22"/>
        </w:rPr>
        <w:lastRenderedPageBreak/>
        <w:t xml:space="preserve">Figure 1. </w:t>
      </w:r>
      <w:r w:rsidRPr="000F19FF">
        <w:rPr>
          <w:rFonts w:ascii="Arial" w:hAnsi="Arial" w:cs="Arial"/>
          <w:bCs/>
          <w:sz w:val="22"/>
          <w:szCs w:val="22"/>
        </w:rPr>
        <w:t>Flow diagram of participant selection</w:t>
      </w:r>
      <w:r>
        <w:rPr>
          <w:rFonts w:ascii="Arial" w:hAnsi="Arial" w:cs="Arial"/>
          <w:sz w:val="22"/>
          <w:szCs w:val="22"/>
        </w:rPr>
        <w:t>.</w:t>
      </w:r>
    </w:p>
    <w:p w14:paraId="72FEE310" w14:textId="74CFEEE3" w:rsidR="00485645" w:rsidRDefault="00485645" w:rsidP="00957EF5">
      <w:pPr>
        <w:jc w:val="both"/>
        <w:rPr>
          <w:rFonts w:ascii="Arial" w:hAnsi="Arial" w:cs="Arial"/>
          <w:b/>
          <w:bCs/>
          <w:sz w:val="22"/>
          <w:szCs w:val="22"/>
        </w:rPr>
      </w:pPr>
    </w:p>
    <w:p w14:paraId="7E26BF01" w14:textId="4E8423B0" w:rsidR="00F97CA0" w:rsidRPr="00F97CA0" w:rsidRDefault="00F97CA0" w:rsidP="00F97CA0">
      <w:pPr>
        <w:rPr>
          <w:rFonts w:ascii="Arial" w:hAnsi="Arial" w:cs="Arial"/>
          <w:sz w:val="22"/>
          <w:szCs w:val="22"/>
        </w:rPr>
      </w:pPr>
      <w:r w:rsidRPr="0024061C">
        <w:rPr>
          <w:noProof/>
          <w:lang w:val="en-ZA"/>
        </w:rPr>
        <mc:AlternateContent>
          <mc:Choice Requires="wpc">
            <w:drawing>
              <wp:anchor distT="0" distB="0" distL="114300" distR="114300" simplePos="0" relativeHeight="251663360" behindDoc="1" locked="0" layoutInCell="1" allowOverlap="1" wp14:anchorId="11F22273" wp14:editId="66540872">
                <wp:simplePos x="0" y="0"/>
                <wp:positionH relativeFrom="column">
                  <wp:posOffset>-168910</wp:posOffset>
                </wp:positionH>
                <wp:positionV relativeFrom="paragraph">
                  <wp:posOffset>144780</wp:posOffset>
                </wp:positionV>
                <wp:extent cx="12435840" cy="4947285"/>
                <wp:effectExtent l="0" t="0" r="0" b="5715"/>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Text Box 2"/>
                        <wps:cNvSpPr txBox="1"/>
                        <wps:spPr>
                          <a:xfrm>
                            <a:off x="1689533" y="147060"/>
                            <a:ext cx="2536351" cy="458051"/>
                          </a:xfrm>
                          <a:prstGeom prst="rect">
                            <a:avLst/>
                          </a:prstGeom>
                          <a:solidFill>
                            <a:schemeClr val="lt1"/>
                          </a:solidFill>
                          <a:ln w="6350">
                            <a:solidFill>
                              <a:prstClr val="black"/>
                            </a:solidFill>
                          </a:ln>
                        </wps:spPr>
                        <wps:txbx>
                          <w:txbxContent>
                            <w:p w14:paraId="6DDF27B8" w14:textId="686813BB" w:rsidR="00913D02" w:rsidRDefault="00913D02" w:rsidP="00B21CE6">
                              <w:pPr>
                                <w:jc w:val="center"/>
                                <w:rPr>
                                  <w:rFonts w:ascii="Arial" w:eastAsia="Calibri" w:hAnsi="Arial" w:cs="Arial"/>
                                  <w:b/>
                                  <w:bCs/>
                                  <w:sz w:val="22"/>
                                  <w:szCs w:val="22"/>
                                </w:rPr>
                              </w:pPr>
                              <w:r>
                                <w:rPr>
                                  <w:rFonts w:ascii="Arial" w:eastAsia="Calibri" w:hAnsi="Arial" w:cs="Arial"/>
                                  <w:b/>
                                  <w:bCs/>
                                  <w:sz w:val="22"/>
                                  <w:szCs w:val="22"/>
                                </w:rPr>
                                <w:t>Cape Town cohort</w:t>
                              </w:r>
                            </w:p>
                            <w:p w14:paraId="2503BB33" w14:textId="37349CE2" w:rsidR="00913D02" w:rsidRPr="00263DEE" w:rsidRDefault="00913D02" w:rsidP="00B21CE6">
                              <w:pPr>
                                <w:jc w:val="center"/>
                                <w:rPr>
                                  <w:rFonts w:ascii="Arial" w:hAnsi="Arial" w:cs="Arial"/>
                                  <w:sz w:val="22"/>
                                  <w:szCs w:val="22"/>
                                </w:rPr>
                              </w:pPr>
                              <w:r>
                                <w:rPr>
                                  <w:rFonts w:ascii="Arial" w:eastAsia="Calibri" w:hAnsi="Arial" w:cs="Arial"/>
                                  <w:sz w:val="22"/>
                                  <w:szCs w:val="22"/>
                                </w:rPr>
                                <w:t xml:space="preserve"> n=47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2"/>
                        <wps:cNvSpPr txBox="1"/>
                        <wps:spPr>
                          <a:xfrm>
                            <a:off x="332400" y="993304"/>
                            <a:ext cx="2237179" cy="603468"/>
                          </a:xfrm>
                          <a:prstGeom prst="rect">
                            <a:avLst/>
                          </a:prstGeom>
                          <a:solidFill>
                            <a:schemeClr val="lt1"/>
                          </a:solidFill>
                          <a:ln w="6350">
                            <a:solidFill>
                              <a:prstClr val="black"/>
                            </a:solidFill>
                          </a:ln>
                        </wps:spPr>
                        <wps:txbx>
                          <w:txbxContent>
                            <w:p w14:paraId="72485A07" w14:textId="207A9F51" w:rsidR="00913D02" w:rsidRDefault="00913D02" w:rsidP="00B21CE6">
                              <w:pPr>
                                <w:jc w:val="center"/>
                                <w:rPr>
                                  <w:rFonts w:ascii="Arial" w:eastAsia="Calibri" w:hAnsi="Arial" w:cs="Arial"/>
                                  <w:sz w:val="22"/>
                                  <w:szCs w:val="22"/>
                                </w:rPr>
                              </w:pPr>
                              <w:r w:rsidRPr="00492507">
                                <w:rPr>
                                  <w:rFonts w:ascii="Arial" w:eastAsia="Calibri" w:hAnsi="Arial" w:cs="Arial"/>
                                  <w:b/>
                                  <w:bCs/>
                                  <w:sz w:val="22"/>
                                  <w:szCs w:val="22"/>
                                </w:rPr>
                                <w:t>EF</w:t>
                              </w:r>
                              <w:r>
                                <w:rPr>
                                  <w:rFonts w:ascii="Arial" w:eastAsia="Calibri" w:hAnsi="Arial" w:cs="Arial"/>
                                  <w:b/>
                                  <w:bCs/>
                                  <w:sz w:val="22"/>
                                  <w:szCs w:val="22"/>
                                </w:rPr>
                                <w:t xml:space="preserve">V, </w:t>
                              </w:r>
                              <w:r w:rsidRPr="00492507">
                                <w:rPr>
                                  <w:rFonts w:ascii="Arial" w:eastAsia="Calibri" w:hAnsi="Arial" w:cs="Arial"/>
                                  <w:b/>
                                  <w:bCs/>
                                  <w:sz w:val="22"/>
                                  <w:szCs w:val="22"/>
                                </w:rPr>
                                <w:t>TF</w:t>
                              </w:r>
                              <w:r>
                                <w:rPr>
                                  <w:rFonts w:ascii="Arial" w:eastAsia="Calibri" w:hAnsi="Arial" w:cs="Arial"/>
                                  <w:b/>
                                  <w:bCs/>
                                  <w:sz w:val="22"/>
                                  <w:szCs w:val="22"/>
                                </w:rPr>
                                <w:t xml:space="preserve">V, </w:t>
                              </w:r>
                              <w:r w:rsidRPr="00492507">
                                <w:rPr>
                                  <w:rFonts w:ascii="Arial" w:eastAsia="Calibri" w:hAnsi="Arial" w:cs="Arial"/>
                                  <w:b/>
                                  <w:bCs/>
                                  <w:sz w:val="22"/>
                                  <w:szCs w:val="22"/>
                                </w:rPr>
                                <w:t>FTC</w:t>
                              </w:r>
                            </w:p>
                            <w:p w14:paraId="5196C852" w14:textId="41AD92C7" w:rsidR="00913D02" w:rsidRPr="00263DEE" w:rsidRDefault="00913D02" w:rsidP="00B21CE6">
                              <w:pPr>
                                <w:jc w:val="center"/>
                                <w:rPr>
                                  <w:rFonts w:ascii="Arial" w:hAnsi="Arial" w:cs="Arial"/>
                                  <w:sz w:val="22"/>
                                  <w:szCs w:val="22"/>
                                </w:rPr>
                              </w:pPr>
                              <w:r>
                                <w:rPr>
                                  <w:rFonts w:ascii="Arial" w:eastAsia="Calibri" w:hAnsi="Arial" w:cs="Arial"/>
                                  <w:sz w:val="22"/>
                                  <w:szCs w:val="22"/>
                                </w:rPr>
                                <w:t xml:space="preserve"> n=43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2"/>
                        <wps:cNvSpPr txBox="1"/>
                        <wps:spPr>
                          <a:xfrm>
                            <a:off x="8317003" y="147276"/>
                            <a:ext cx="2536190" cy="457835"/>
                          </a:xfrm>
                          <a:prstGeom prst="rect">
                            <a:avLst/>
                          </a:prstGeom>
                          <a:solidFill>
                            <a:schemeClr val="lt1"/>
                          </a:solidFill>
                          <a:ln w="6350">
                            <a:solidFill>
                              <a:prstClr val="black"/>
                            </a:solidFill>
                          </a:ln>
                        </wps:spPr>
                        <wps:txbx>
                          <w:txbxContent>
                            <w:p w14:paraId="208FD406" w14:textId="77777777" w:rsidR="00913D02" w:rsidRPr="00263DEE" w:rsidRDefault="00913D02" w:rsidP="00B21CE6">
                              <w:pPr>
                                <w:jc w:val="center"/>
                                <w:rPr>
                                  <w:rFonts w:ascii="Arial" w:hAnsi="Arial" w:cs="Arial"/>
                                  <w:b/>
                                  <w:bCs/>
                                  <w:sz w:val="22"/>
                                  <w:szCs w:val="22"/>
                                </w:rPr>
                              </w:pPr>
                              <w:r w:rsidRPr="00263DEE">
                                <w:rPr>
                                  <w:rFonts w:ascii="Arial" w:eastAsia="Calibri" w:hAnsi="Arial" w:cs="Arial"/>
                                  <w:b/>
                                  <w:bCs/>
                                  <w:sz w:val="22"/>
                                  <w:szCs w:val="22"/>
                                </w:rPr>
                                <w:t>EndoAfrica cohort</w:t>
                              </w:r>
                            </w:p>
                            <w:p w14:paraId="48C5A2AD" w14:textId="35C3D7C6" w:rsidR="00913D02" w:rsidRPr="00E4561A" w:rsidRDefault="00913D02" w:rsidP="00B21CE6">
                              <w:pPr>
                                <w:jc w:val="center"/>
                                <w:rPr>
                                  <w:rFonts w:ascii="Arial" w:hAnsi="Arial" w:cs="Arial"/>
                                  <w:sz w:val="22"/>
                                </w:rPr>
                              </w:pPr>
                              <w:r w:rsidRPr="00E4561A">
                                <w:rPr>
                                  <w:rFonts w:ascii="Arial" w:hAnsi="Arial" w:cs="Arial"/>
                                  <w:sz w:val="22"/>
                                </w:rPr>
                                <w:t>n=279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2"/>
                        <wps:cNvSpPr txBox="1"/>
                        <wps:spPr>
                          <a:xfrm>
                            <a:off x="3495554" y="992735"/>
                            <a:ext cx="2534856" cy="603900"/>
                          </a:xfrm>
                          <a:prstGeom prst="rect">
                            <a:avLst/>
                          </a:prstGeom>
                          <a:solidFill>
                            <a:schemeClr val="lt1"/>
                          </a:solidFill>
                          <a:ln w="6350">
                            <a:solidFill>
                              <a:prstClr val="black"/>
                            </a:solidFill>
                          </a:ln>
                        </wps:spPr>
                        <wps:txbx>
                          <w:txbxContent>
                            <w:p w14:paraId="04B4B4A5" w14:textId="2F71968D" w:rsidR="00913D02" w:rsidRPr="00E4561A" w:rsidRDefault="00913D02" w:rsidP="00A86470">
                              <w:pPr>
                                <w:jc w:val="center"/>
                                <w:rPr>
                                  <w:rFonts w:ascii="Arial" w:eastAsia="Calibri" w:hAnsi="Arial" w:cs="Arial"/>
                                  <w:b/>
                                  <w:sz w:val="22"/>
                                  <w:szCs w:val="22"/>
                                </w:rPr>
                              </w:pPr>
                              <w:r w:rsidRPr="00E4561A">
                                <w:rPr>
                                  <w:rFonts w:ascii="Calibri" w:eastAsia="Calibri" w:hAnsi="Calibri"/>
                                  <w:b/>
                                </w:rPr>
                                <w:t> </w:t>
                              </w:r>
                              <w:r>
                                <w:rPr>
                                  <w:rFonts w:ascii="Arial" w:eastAsia="Calibri" w:hAnsi="Arial" w:cs="Arial"/>
                                  <w:b/>
                                  <w:sz w:val="22"/>
                                  <w:szCs w:val="22"/>
                                </w:rPr>
                                <w:t xml:space="preserve">Other </w:t>
                              </w:r>
                              <w:r w:rsidRPr="00E4561A">
                                <w:rPr>
                                  <w:rFonts w:ascii="Arial" w:eastAsia="Calibri" w:hAnsi="Arial" w:cs="Arial"/>
                                  <w:b/>
                                  <w:sz w:val="22"/>
                                  <w:szCs w:val="22"/>
                                </w:rPr>
                                <w:t>ART</w:t>
                              </w:r>
                            </w:p>
                            <w:p w14:paraId="23281475" w14:textId="67FD8A6F" w:rsidR="00913D02" w:rsidRPr="00263DEE" w:rsidRDefault="00913D02" w:rsidP="00A86470">
                              <w:pPr>
                                <w:jc w:val="center"/>
                                <w:rPr>
                                  <w:rFonts w:ascii="Arial" w:hAnsi="Arial" w:cs="Arial"/>
                                  <w:sz w:val="22"/>
                                  <w:szCs w:val="22"/>
                                </w:rPr>
                              </w:pPr>
                              <w:r>
                                <w:rPr>
                                  <w:rFonts w:ascii="Arial" w:eastAsia="Calibri" w:hAnsi="Arial" w:cs="Arial"/>
                                  <w:sz w:val="22"/>
                                  <w:szCs w:val="22"/>
                                </w:rPr>
                                <w:t>n=4</w:t>
                              </w:r>
                            </w:p>
                            <w:p w14:paraId="53A58D77" w14:textId="61BB9D3D" w:rsidR="00913D02" w:rsidRDefault="00913D02" w:rsidP="00B21CE6"/>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2"/>
                        <wps:cNvSpPr txBox="1"/>
                        <wps:spPr>
                          <a:xfrm>
                            <a:off x="6997489" y="993522"/>
                            <a:ext cx="2237105" cy="603250"/>
                          </a:xfrm>
                          <a:prstGeom prst="rect">
                            <a:avLst/>
                          </a:prstGeom>
                          <a:solidFill>
                            <a:schemeClr val="lt1"/>
                          </a:solidFill>
                          <a:ln w="6350">
                            <a:solidFill>
                              <a:prstClr val="black"/>
                            </a:solidFill>
                          </a:ln>
                        </wps:spPr>
                        <wps:txbx>
                          <w:txbxContent>
                            <w:p w14:paraId="61938C3D" w14:textId="1DBE6914" w:rsidR="00913D02" w:rsidRDefault="00913D02" w:rsidP="00A86470">
                              <w:pPr>
                                <w:jc w:val="center"/>
                                <w:rPr>
                                  <w:rFonts w:ascii="Arial" w:eastAsia="Calibri" w:hAnsi="Arial" w:cs="Arial"/>
                                  <w:sz w:val="22"/>
                                  <w:szCs w:val="22"/>
                                </w:rPr>
                              </w:pPr>
                              <w:r>
                                <w:rPr>
                                  <w:rFonts w:ascii="Calibri" w:eastAsia="Calibri" w:hAnsi="Calibri"/>
                                </w:rPr>
                                <w:t> </w:t>
                              </w:r>
                              <w:r w:rsidRPr="00492507">
                                <w:rPr>
                                  <w:rFonts w:ascii="Arial" w:eastAsia="Calibri" w:hAnsi="Arial" w:cs="Arial"/>
                                  <w:b/>
                                  <w:bCs/>
                                  <w:sz w:val="22"/>
                                  <w:szCs w:val="22"/>
                                </w:rPr>
                                <w:t>EFV</w:t>
                              </w:r>
                              <w:r>
                                <w:rPr>
                                  <w:rFonts w:ascii="Arial" w:eastAsia="Calibri" w:hAnsi="Arial" w:cs="Arial"/>
                                  <w:b/>
                                  <w:bCs/>
                                  <w:sz w:val="22"/>
                                  <w:szCs w:val="22"/>
                                </w:rPr>
                                <w:t xml:space="preserve">, </w:t>
                              </w:r>
                              <w:r w:rsidRPr="00492507">
                                <w:rPr>
                                  <w:rFonts w:ascii="Arial" w:eastAsia="Calibri" w:hAnsi="Arial" w:cs="Arial"/>
                                  <w:b/>
                                  <w:bCs/>
                                  <w:sz w:val="22"/>
                                  <w:szCs w:val="22"/>
                                </w:rPr>
                                <w:t>TF</w:t>
                              </w:r>
                              <w:r>
                                <w:rPr>
                                  <w:rFonts w:ascii="Arial" w:eastAsia="Calibri" w:hAnsi="Arial" w:cs="Arial"/>
                                  <w:b/>
                                  <w:bCs/>
                                  <w:sz w:val="22"/>
                                  <w:szCs w:val="22"/>
                                </w:rPr>
                                <w:t xml:space="preserve">V, </w:t>
                              </w:r>
                              <w:r w:rsidRPr="00492507">
                                <w:rPr>
                                  <w:rFonts w:ascii="Arial" w:eastAsia="Calibri" w:hAnsi="Arial" w:cs="Arial"/>
                                  <w:b/>
                                  <w:bCs/>
                                  <w:sz w:val="22"/>
                                  <w:szCs w:val="22"/>
                                </w:rPr>
                                <w:t>FTC</w:t>
                              </w:r>
                            </w:p>
                            <w:p w14:paraId="55EE3800" w14:textId="3038D723" w:rsidR="00913D02" w:rsidRDefault="00913D02" w:rsidP="00A86470">
                              <w:pPr>
                                <w:jc w:val="center"/>
                              </w:pPr>
                              <w:r>
                                <w:rPr>
                                  <w:rFonts w:ascii="Arial" w:eastAsia="Calibri" w:hAnsi="Arial" w:cs="Arial"/>
                                  <w:sz w:val="22"/>
                                  <w:szCs w:val="22"/>
                                </w:rPr>
                                <w:t xml:space="preserve"> n=</w:t>
                              </w:r>
                              <w:r w:rsidRPr="00A15165">
                                <w:rPr>
                                  <w:rFonts w:ascii="Arial" w:eastAsia="Calibri" w:hAnsi="Arial" w:cs="Arial"/>
                                  <w:sz w:val="22"/>
                                  <w:szCs w:val="22"/>
                                </w:rPr>
                                <w:t>22</w:t>
                              </w:r>
                              <w:r w:rsidRPr="00E4561A">
                                <w:rPr>
                                  <w:rFonts w:ascii="Arial" w:hAnsi="Arial" w:cs="Arial"/>
                                  <w:sz w:val="22"/>
                                  <w:szCs w:val="22"/>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2"/>
                        <wps:cNvSpPr txBox="1"/>
                        <wps:spPr>
                          <a:xfrm>
                            <a:off x="9711159" y="993058"/>
                            <a:ext cx="2511706" cy="603250"/>
                          </a:xfrm>
                          <a:prstGeom prst="rect">
                            <a:avLst/>
                          </a:prstGeom>
                          <a:solidFill>
                            <a:schemeClr val="lt1"/>
                          </a:solidFill>
                          <a:ln w="6350">
                            <a:solidFill>
                              <a:prstClr val="black"/>
                            </a:solidFill>
                          </a:ln>
                        </wps:spPr>
                        <wps:txbx>
                          <w:txbxContent>
                            <w:p w14:paraId="571B0911" w14:textId="378A37C1" w:rsidR="00913D02" w:rsidRPr="00E4561A" w:rsidRDefault="00913D02" w:rsidP="00A86470">
                              <w:pPr>
                                <w:jc w:val="center"/>
                                <w:rPr>
                                  <w:rFonts w:ascii="Arial" w:eastAsia="Calibri" w:hAnsi="Arial" w:cs="Arial"/>
                                  <w:b/>
                                  <w:sz w:val="22"/>
                                  <w:szCs w:val="22"/>
                                </w:rPr>
                              </w:pPr>
                              <w:r>
                                <w:rPr>
                                  <w:rFonts w:ascii="Calibri" w:eastAsia="Calibri" w:hAnsi="Calibri"/>
                                </w:rPr>
                                <w:t> </w:t>
                              </w:r>
                              <w:r>
                                <w:rPr>
                                  <w:rFonts w:ascii="Arial" w:eastAsia="Calibri" w:hAnsi="Arial" w:cs="Arial"/>
                                  <w:b/>
                                  <w:sz w:val="22"/>
                                  <w:szCs w:val="22"/>
                                </w:rPr>
                                <w:t>Other</w:t>
                              </w:r>
                              <w:r w:rsidRPr="00E4561A">
                                <w:rPr>
                                  <w:rFonts w:ascii="Arial" w:eastAsia="Calibri" w:hAnsi="Arial" w:cs="Arial"/>
                                  <w:b/>
                                  <w:sz w:val="22"/>
                                  <w:szCs w:val="22"/>
                                </w:rPr>
                                <w:t xml:space="preserve"> ART</w:t>
                              </w:r>
                            </w:p>
                            <w:p w14:paraId="7710CF88" w14:textId="066FDAC9" w:rsidR="00913D02" w:rsidRDefault="00913D02" w:rsidP="00A86470">
                              <w:pPr>
                                <w:jc w:val="center"/>
                              </w:pPr>
                              <w:r>
                                <w:rPr>
                                  <w:rFonts w:ascii="Arial" w:eastAsia="Calibri" w:hAnsi="Arial" w:cs="Arial"/>
                                  <w:sz w:val="22"/>
                                  <w:szCs w:val="22"/>
                                </w:rPr>
                                <w:t xml:space="preserve">n=54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2"/>
                        <wps:cNvSpPr txBox="1"/>
                        <wps:spPr>
                          <a:xfrm>
                            <a:off x="761831" y="2288252"/>
                            <a:ext cx="1371006" cy="387840"/>
                          </a:xfrm>
                          <a:prstGeom prst="rect">
                            <a:avLst/>
                          </a:prstGeom>
                          <a:solidFill>
                            <a:schemeClr val="lt1"/>
                          </a:solidFill>
                          <a:ln w="6350">
                            <a:solidFill>
                              <a:prstClr val="black"/>
                            </a:solidFill>
                          </a:ln>
                        </wps:spPr>
                        <wps:txbx>
                          <w:txbxContent>
                            <w:p w14:paraId="5AF6938F" w14:textId="77777777" w:rsidR="00913D02" w:rsidRPr="00436B78" w:rsidRDefault="00913D02" w:rsidP="00B21CE6">
                              <w:pPr>
                                <w:jc w:val="center"/>
                                <w:rPr>
                                  <w:rFonts w:ascii="Arial" w:eastAsia="Calibri" w:hAnsi="Arial"/>
                                  <w:b/>
                                  <w:bCs/>
                                  <w:sz w:val="22"/>
                                  <w:szCs w:val="22"/>
                                  <w:vertAlign w:val="superscript"/>
                                </w:rPr>
                              </w:pPr>
                              <w:r>
                                <w:rPr>
                                  <w:rFonts w:ascii="Arial" w:eastAsia="Calibri" w:hAnsi="Arial"/>
                                  <w:b/>
                                  <w:bCs/>
                                  <w:sz w:val="22"/>
                                  <w:szCs w:val="22"/>
                                </w:rPr>
                                <w:t>Adherent</w:t>
                              </w:r>
                              <w:r>
                                <w:rPr>
                                  <w:rFonts w:ascii="Arial" w:eastAsia="Calibri" w:hAnsi="Arial"/>
                                  <w:b/>
                                  <w:bCs/>
                                  <w:sz w:val="22"/>
                                  <w:szCs w:val="22"/>
                                  <w:vertAlign w:val="superscript"/>
                                </w:rPr>
                                <w:t>a</w:t>
                              </w:r>
                            </w:p>
                            <w:p w14:paraId="4087B83B" w14:textId="77777777" w:rsidR="00913D02" w:rsidRPr="009101DA" w:rsidRDefault="00913D02" w:rsidP="00B21CE6">
                              <w:pPr>
                                <w:jc w:val="center"/>
                              </w:pPr>
                              <w:r>
                                <w:rPr>
                                  <w:rFonts w:ascii="Arial" w:eastAsia="Calibri" w:hAnsi="Arial"/>
                                  <w:sz w:val="22"/>
                                  <w:szCs w:val="22"/>
                                </w:rPr>
                                <w:t>n=43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2"/>
                        <wps:cNvSpPr txBox="1"/>
                        <wps:spPr>
                          <a:xfrm>
                            <a:off x="4056788" y="1976957"/>
                            <a:ext cx="1417306" cy="311997"/>
                          </a:xfrm>
                          <a:prstGeom prst="rect">
                            <a:avLst/>
                          </a:prstGeom>
                          <a:solidFill>
                            <a:schemeClr val="lt1"/>
                          </a:solidFill>
                          <a:ln w="6350">
                            <a:solidFill>
                              <a:prstClr val="black"/>
                            </a:solidFill>
                          </a:ln>
                        </wps:spPr>
                        <wps:txbx>
                          <w:txbxContent>
                            <w:p w14:paraId="31B37CC3" w14:textId="77777777" w:rsidR="00913D02" w:rsidRDefault="00913D02" w:rsidP="00F97CA0">
                              <w:pPr>
                                <w:jc w:val="both"/>
                              </w:pPr>
                              <w:r>
                                <w:rPr>
                                  <w:rFonts w:ascii="Arial" w:eastAsia="Calibri" w:hAnsi="Arial"/>
                                  <w:b/>
                                  <w:bCs/>
                                  <w:sz w:val="22"/>
                                  <w:szCs w:val="22"/>
                                </w:rPr>
                                <w:t>Excluded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2"/>
                        <wps:cNvSpPr txBox="1"/>
                        <wps:spPr>
                          <a:xfrm>
                            <a:off x="10260608" y="1976957"/>
                            <a:ext cx="1416685" cy="311785"/>
                          </a:xfrm>
                          <a:prstGeom prst="rect">
                            <a:avLst/>
                          </a:prstGeom>
                          <a:solidFill>
                            <a:schemeClr val="lt1"/>
                          </a:solidFill>
                          <a:ln w="6350">
                            <a:solidFill>
                              <a:prstClr val="black"/>
                            </a:solidFill>
                          </a:ln>
                        </wps:spPr>
                        <wps:txbx>
                          <w:txbxContent>
                            <w:p w14:paraId="4DC609B3" w14:textId="77777777" w:rsidR="00913D02" w:rsidRDefault="00913D02" w:rsidP="00B21CE6">
                              <w:pPr>
                                <w:jc w:val="center"/>
                              </w:pPr>
                              <w:r>
                                <w:rPr>
                                  <w:rFonts w:ascii="Arial" w:eastAsia="Calibri" w:hAnsi="Arial"/>
                                  <w:b/>
                                  <w:bCs/>
                                  <w:sz w:val="22"/>
                                  <w:szCs w:val="22"/>
                                </w:rPr>
                                <w:t>Excluded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2"/>
                        <wps:cNvSpPr txBox="1"/>
                        <wps:spPr>
                          <a:xfrm>
                            <a:off x="740565" y="3192094"/>
                            <a:ext cx="1416685" cy="433793"/>
                          </a:xfrm>
                          <a:prstGeom prst="rect">
                            <a:avLst/>
                          </a:prstGeom>
                          <a:solidFill>
                            <a:schemeClr val="lt1"/>
                          </a:solidFill>
                          <a:ln w="6350">
                            <a:solidFill>
                              <a:prstClr val="black"/>
                            </a:solidFill>
                          </a:ln>
                        </wps:spPr>
                        <wps:txbx>
                          <w:txbxContent>
                            <w:p w14:paraId="416EEF18" w14:textId="77777777" w:rsidR="00913D02" w:rsidRDefault="00913D02" w:rsidP="00B21CE6">
                              <w:pPr>
                                <w:jc w:val="center"/>
                                <w:rPr>
                                  <w:rFonts w:ascii="Arial" w:eastAsia="Calibri" w:hAnsi="Arial"/>
                                  <w:b/>
                                  <w:bCs/>
                                  <w:sz w:val="22"/>
                                  <w:szCs w:val="22"/>
                                </w:rPr>
                              </w:pPr>
                              <w:r>
                                <w:rPr>
                                  <w:rFonts w:ascii="Arial" w:eastAsia="Calibri" w:hAnsi="Arial"/>
                                  <w:b/>
                                  <w:bCs/>
                                  <w:sz w:val="22"/>
                                  <w:szCs w:val="22"/>
                                </w:rPr>
                                <w:t>Included</w:t>
                              </w:r>
                            </w:p>
                            <w:p w14:paraId="57D7481B" w14:textId="77777777" w:rsidR="00913D02" w:rsidRPr="008554CD" w:rsidRDefault="00913D02" w:rsidP="00B21CE6">
                              <w:pPr>
                                <w:jc w:val="center"/>
                              </w:pPr>
                              <w:r>
                                <w:rPr>
                                  <w:rFonts w:ascii="Arial" w:eastAsia="Calibri" w:hAnsi="Arial"/>
                                  <w:sz w:val="22"/>
                                  <w:szCs w:val="22"/>
                                </w:rPr>
                                <w:t>n=43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2"/>
                        <wps:cNvSpPr txBox="1"/>
                        <wps:spPr>
                          <a:xfrm>
                            <a:off x="3181986" y="4329683"/>
                            <a:ext cx="2534285" cy="456911"/>
                          </a:xfrm>
                          <a:prstGeom prst="rect">
                            <a:avLst/>
                          </a:prstGeom>
                          <a:solidFill>
                            <a:schemeClr val="lt1"/>
                          </a:solidFill>
                          <a:ln w="6350">
                            <a:solidFill>
                              <a:prstClr val="black"/>
                            </a:solidFill>
                          </a:ln>
                        </wps:spPr>
                        <wps:txbx>
                          <w:txbxContent>
                            <w:p w14:paraId="78F60C39" w14:textId="6173714D" w:rsidR="00913D02" w:rsidRDefault="00913D02" w:rsidP="00B21CE6">
                              <w:pPr>
                                <w:jc w:val="center"/>
                                <w:rPr>
                                  <w:rFonts w:ascii="Arial" w:eastAsia="Calibri" w:hAnsi="Arial"/>
                                  <w:b/>
                                  <w:bCs/>
                                  <w:sz w:val="22"/>
                                  <w:szCs w:val="22"/>
                                </w:rPr>
                              </w:pPr>
                              <w:r>
                                <w:rPr>
                                  <w:rFonts w:ascii="Calibri" w:eastAsia="Calibri" w:hAnsi="Calibri"/>
                                </w:rPr>
                                <w:t> </w:t>
                              </w:r>
                              <w:r>
                                <w:rPr>
                                  <w:rFonts w:ascii="Arial" w:eastAsia="Calibri" w:hAnsi="Arial" w:cs="Arial"/>
                                  <w:b/>
                                  <w:sz w:val="22"/>
                                </w:rPr>
                                <w:t xml:space="preserve">Total </w:t>
                              </w:r>
                              <w:r>
                                <w:rPr>
                                  <w:rFonts w:ascii="Arial" w:eastAsia="Calibri" w:hAnsi="Arial"/>
                                  <w:b/>
                                  <w:bCs/>
                                  <w:sz w:val="22"/>
                                  <w:szCs w:val="22"/>
                                </w:rPr>
                                <w:t>participants included</w:t>
                              </w:r>
                            </w:p>
                            <w:p w14:paraId="123FCD70" w14:textId="6939D65E" w:rsidR="00913D02" w:rsidRPr="009101DA" w:rsidRDefault="00913D02" w:rsidP="00B21CE6">
                              <w:pPr>
                                <w:jc w:val="center"/>
                              </w:pPr>
                              <w:r>
                                <w:rPr>
                                  <w:rFonts w:ascii="Arial" w:eastAsia="Calibri" w:hAnsi="Arial"/>
                                  <w:sz w:val="22"/>
                                  <w:szCs w:val="22"/>
                                </w:rPr>
                                <w:t>n=213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2"/>
                        <wps:cNvSpPr txBox="1"/>
                        <wps:spPr>
                          <a:xfrm>
                            <a:off x="6285710" y="2288742"/>
                            <a:ext cx="1370965" cy="387350"/>
                          </a:xfrm>
                          <a:prstGeom prst="rect">
                            <a:avLst/>
                          </a:prstGeom>
                          <a:solidFill>
                            <a:schemeClr val="lt1"/>
                          </a:solidFill>
                          <a:ln w="6350">
                            <a:solidFill>
                              <a:prstClr val="black"/>
                            </a:solidFill>
                          </a:ln>
                        </wps:spPr>
                        <wps:txbx>
                          <w:txbxContent>
                            <w:p w14:paraId="34B8F65D" w14:textId="77777777" w:rsidR="00913D02" w:rsidRPr="000575FB" w:rsidRDefault="00913D02" w:rsidP="00B21CE6">
                              <w:pPr>
                                <w:jc w:val="center"/>
                                <w:rPr>
                                  <w:vertAlign w:val="superscript"/>
                                </w:rPr>
                              </w:pPr>
                              <w:r>
                                <w:rPr>
                                  <w:rFonts w:ascii="Arial" w:eastAsia="Calibri" w:hAnsi="Arial"/>
                                  <w:b/>
                                  <w:bCs/>
                                  <w:sz w:val="22"/>
                                  <w:szCs w:val="22"/>
                                </w:rPr>
                                <w:t>Adherent</w:t>
                              </w:r>
                              <w:r>
                                <w:rPr>
                                  <w:rFonts w:ascii="Arial" w:eastAsia="Calibri" w:hAnsi="Arial"/>
                                  <w:b/>
                                  <w:bCs/>
                                  <w:sz w:val="22"/>
                                  <w:szCs w:val="22"/>
                                  <w:vertAlign w:val="superscript"/>
                                </w:rPr>
                                <w:t>a</w:t>
                              </w:r>
                            </w:p>
                            <w:p w14:paraId="36D01BDC" w14:textId="77777777" w:rsidR="00913D02" w:rsidRDefault="00913D02" w:rsidP="00B21CE6">
                              <w:pPr>
                                <w:jc w:val="center"/>
                              </w:pPr>
                              <w:r>
                                <w:rPr>
                                  <w:rFonts w:ascii="Arial" w:eastAsia="Calibri" w:hAnsi="Arial"/>
                                  <w:sz w:val="22"/>
                                  <w:szCs w:val="22"/>
                                </w:rPr>
                                <w:t>n=170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
                        <wps:cNvSpPr txBox="1"/>
                        <wps:spPr>
                          <a:xfrm>
                            <a:off x="8571646" y="2289472"/>
                            <a:ext cx="1370965" cy="474593"/>
                          </a:xfrm>
                          <a:prstGeom prst="rect">
                            <a:avLst/>
                          </a:prstGeom>
                          <a:solidFill>
                            <a:schemeClr val="lt1"/>
                          </a:solidFill>
                          <a:ln w="6350">
                            <a:solidFill>
                              <a:prstClr val="black"/>
                            </a:solidFill>
                          </a:ln>
                        </wps:spPr>
                        <wps:txbx>
                          <w:txbxContent>
                            <w:p w14:paraId="68C9AB19" w14:textId="77777777" w:rsidR="00913D02" w:rsidRPr="000575FB" w:rsidRDefault="00913D02" w:rsidP="00B21CE6">
                              <w:pPr>
                                <w:jc w:val="center"/>
                                <w:rPr>
                                  <w:vertAlign w:val="superscript"/>
                                </w:rPr>
                              </w:pPr>
                              <w:r>
                                <w:rPr>
                                  <w:rFonts w:ascii="Arial" w:eastAsia="Calibri" w:hAnsi="Arial"/>
                                  <w:b/>
                                  <w:bCs/>
                                  <w:sz w:val="22"/>
                                  <w:szCs w:val="22"/>
                                </w:rPr>
                                <w:t>Non-adherent</w:t>
                              </w:r>
                              <w:r>
                                <w:rPr>
                                  <w:rFonts w:ascii="Arial" w:eastAsia="Calibri" w:hAnsi="Arial"/>
                                  <w:b/>
                                  <w:bCs/>
                                  <w:sz w:val="22"/>
                                  <w:szCs w:val="22"/>
                                  <w:vertAlign w:val="superscript"/>
                                </w:rPr>
                                <w:t>b</w:t>
                              </w:r>
                            </w:p>
                            <w:p w14:paraId="1BB5D8AB" w14:textId="77777777" w:rsidR="00913D02" w:rsidRDefault="00913D02" w:rsidP="00B21CE6">
                              <w:pPr>
                                <w:jc w:val="center"/>
                              </w:pPr>
                              <w:r>
                                <w:rPr>
                                  <w:rFonts w:ascii="Arial" w:eastAsia="Calibri" w:hAnsi="Arial"/>
                                  <w:sz w:val="22"/>
                                  <w:szCs w:val="22"/>
                                </w:rPr>
                                <w:t>n=55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
                        <wps:cNvSpPr txBox="1"/>
                        <wps:spPr>
                          <a:xfrm>
                            <a:off x="6261256" y="3174989"/>
                            <a:ext cx="1416685" cy="433705"/>
                          </a:xfrm>
                          <a:prstGeom prst="rect">
                            <a:avLst/>
                          </a:prstGeom>
                          <a:solidFill>
                            <a:schemeClr val="lt1"/>
                          </a:solidFill>
                          <a:ln w="6350">
                            <a:solidFill>
                              <a:prstClr val="black"/>
                            </a:solidFill>
                          </a:ln>
                        </wps:spPr>
                        <wps:txbx>
                          <w:txbxContent>
                            <w:p w14:paraId="2A45D1E4" w14:textId="77777777" w:rsidR="00913D02" w:rsidRDefault="00913D02" w:rsidP="00B21CE6">
                              <w:pPr>
                                <w:jc w:val="center"/>
                              </w:pPr>
                              <w:r>
                                <w:rPr>
                                  <w:rFonts w:ascii="Arial" w:eastAsia="Calibri" w:hAnsi="Arial"/>
                                  <w:b/>
                                  <w:bCs/>
                                  <w:sz w:val="22"/>
                                  <w:szCs w:val="22"/>
                                </w:rPr>
                                <w:t>Included</w:t>
                              </w:r>
                            </w:p>
                            <w:p w14:paraId="5391F364" w14:textId="77777777" w:rsidR="00913D02" w:rsidRDefault="00913D02" w:rsidP="00B21CE6">
                              <w:pPr>
                                <w:jc w:val="center"/>
                              </w:pPr>
                              <w:r>
                                <w:rPr>
                                  <w:rFonts w:ascii="Arial" w:eastAsia="Calibri" w:hAnsi="Arial"/>
                                  <w:sz w:val="22"/>
                                  <w:szCs w:val="22"/>
                                </w:rPr>
                                <w:t>n=170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Straight Arrow Connector 32"/>
                        <wps:cNvCnPr>
                          <a:endCxn id="11" idx="0"/>
                        </wps:cNvCnPr>
                        <wps:spPr>
                          <a:xfrm flipH="1">
                            <a:off x="1450990" y="604967"/>
                            <a:ext cx="1494019" cy="388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10" idx="2"/>
                        </wps:cNvCnPr>
                        <wps:spPr>
                          <a:xfrm>
                            <a:off x="2957709" y="604967"/>
                            <a:ext cx="1924703" cy="387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a:endCxn id="18" idx="0"/>
                        </wps:cNvCnPr>
                        <wps:spPr>
                          <a:xfrm flipH="1">
                            <a:off x="1447334" y="1596555"/>
                            <a:ext cx="3656" cy="691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a:endCxn id="23" idx="0"/>
                        </wps:cNvCnPr>
                        <wps:spPr>
                          <a:xfrm>
                            <a:off x="1447334" y="2676526"/>
                            <a:ext cx="1574" cy="5152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a:stCxn id="15" idx="2"/>
                          <a:endCxn id="19" idx="0"/>
                        </wps:cNvCnPr>
                        <wps:spPr>
                          <a:xfrm>
                            <a:off x="4762982" y="1596635"/>
                            <a:ext cx="2459" cy="380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a:endCxn id="25" idx="0"/>
                        </wps:cNvCnPr>
                        <wps:spPr>
                          <a:xfrm flipH="1">
                            <a:off x="6971193" y="1596555"/>
                            <a:ext cx="1152082" cy="691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a:endCxn id="26" idx="0"/>
                        </wps:cNvCnPr>
                        <wps:spPr>
                          <a:xfrm>
                            <a:off x="8123275" y="1596091"/>
                            <a:ext cx="1133854" cy="6933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a:stCxn id="25" idx="2"/>
                          <a:endCxn id="28" idx="0"/>
                        </wps:cNvCnPr>
                        <wps:spPr>
                          <a:xfrm flipH="1">
                            <a:off x="6969599" y="2676092"/>
                            <a:ext cx="1594" cy="4988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Text Box 2"/>
                        <wps:cNvSpPr txBox="1"/>
                        <wps:spPr>
                          <a:xfrm>
                            <a:off x="8550380" y="3191437"/>
                            <a:ext cx="1416685" cy="311785"/>
                          </a:xfrm>
                          <a:prstGeom prst="rect">
                            <a:avLst/>
                          </a:prstGeom>
                          <a:solidFill>
                            <a:schemeClr val="lt1"/>
                          </a:solidFill>
                          <a:ln w="6350">
                            <a:solidFill>
                              <a:prstClr val="black"/>
                            </a:solidFill>
                          </a:ln>
                        </wps:spPr>
                        <wps:txbx>
                          <w:txbxContent>
                            <w:p w14:paraId="21331BD2" w14:textId="77777777" w:rsidR="00913D02" w:rsidRDefault="00913D02" w:rsidP="00B21CE6">
                              <w:pPr>
                                <w:jc w:val="center"/>
                              </w:pPr>
                              <w:r>
                                <w:rPr>
                                  <w:rFonts w:ascii="Arial" w:eastAsia="Calibri" w:hAnsi="Arial"/>
                                  <w:b/>
                                  <w:bCs/>
                                  <w:sz w:val="22"/>
                                  <w:szCs w:val="22"/>
                                </w:rPr>
                                <w:t>Excluded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Straight Arrow Connector 48"/>
                        <wps:cNvCnPr>
                          <a:stCxn id="26" idx="2"/>
                          <a:endCxn id="47" idx="0"/>
                        </wps:cNvCnPr>
                        <wps:spPr>
                          <a:xfrm>
                            <a:off x="9257129" y="2764065"/>
                            <a:ext cx="1594" cy="4273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a:stCxn id="14" idx="2"/>
                          <a:endCxn id="16" idx="0"/>
                        </wps:cNvCnPr>
                        <wps:spPr>
                          <a:xfrm flipH="1">
                            <a:off x="8116042" y="604967"/>
                            <a:ext cx="1469056" cy="388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a:endCxn id="17" idx="0"/>
                        </wps:cNvCnPr>
                        <wps:spPr>
                          <a:xfrm>
                            <a:off x="9585098" y="604967"/>
                            <a:ext cx="1381914" cy="387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a:endCxn id="22" idx="0"/>
                        </wps:cNvCnPr>
                        <wps:spPr>
                          <a:xfrm>
                            <a:off x="10967012" y="1596555"/>
                            <a:ext cx="1939" cy="3801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a:endCxn id="24" idx="0"/>
                        </wps:cNvCnPr>
                        <wps:spPr>
                          <a:xfrm>
                            <a:off x="1463690" y="3625887"/>
                            <a:ext cx="2985439" cy="7033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H="1">
                            <a:off x="4436429" y="3625520"/>
                            <a:ext cx="2561060" cy="702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11F22273" id="Canvas 1" o:spid="_x0000_s1026" editas="canvas" style="position:absolute;margin-left:-13.3pt;margin-top:11.4pt;width:979.2pt;height:389.55pt;z-index:-251653120" coordsize="124358,4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358;height:49472;visibility:visible;mso-wrap-style:square" filled="t">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6895;top:1470;width:2536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DDF27B8" w14:textId="686813BB" w:rsidR="00913D02" w:rsidRDefault="00913D02" w:rsidP="00B21CE6">
                        <w:pPr>
                          <w:jc w:val="center"/>
                          <w:rPr>
                            <w:rFonts w:ascii="Arial" w:eastAsia="Calibri" w:hAnsi="Arial" w:cs="Arial"/>
                            <w:b/>
                            <w:bCs/>
                            <w:sz w:val="22"/>
                            <w:szCs w:val="22"/>
                          </w:rPr>
                        </w:pPr>
                        <w:r>
                          <w:rPr>
                            <w:rFonts w:ascii="Arial" w:eastAsia="Calibri" w:hAnsi="Arial" w:cs="Arial"/>
                            <w:b/>
                            <w:bCs/>
                            <w:sz w:val="22"/>
                            <w:szCs w:val="22"/>
                          </w:rPr>
                          <w:t>Cape Town cohort</w:t>
                        </w:r>
                      </w:p>
                      <w:p w14:paraId="2503BB33" w14:textId="37349CE2" w:rsidR="00913D02" w:rsidRPr="00263DEE" w:rsidRDefault="00913D02" w:rsidP="00B21CE6">
                        <w:pPr>
                          <w:jc w:val="center"/>
                          <w:rPr>
                            <w:rFonts w:ascii="Arial" w:hAnsi="Arial" w:cs="Arial"/>
                            <w:sz w:val="22"/>
                            <w:szCs w:val="22"/>
                          </w:rPr>
                        </w:pPr>
                        <w:r>
                          <w:rPr>
                            <w:rFonts w:ascii="Arial" w:eastAsia="Calibri" w:hAnsi="Arial" w:cs="Arial"/>
                            <w:sz w:val="22"/>
                            <w:szCs w:val="22"/>
                          </w:rPr>
                          <w:t xml:space="preserve"> n=47</w:t>
                        </w:r>
                      </w:p>
                    </w:txbxContent>
                  </v:textbox>
                </v:shape>
                <v:shape id="Text Box 2" o:spid="_x0000_s1029" type="#_x0000_t202" style="position:absolute;left:3324;top:9933;width:22371;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2485A07" w14:textId="207A9F51" w:rsidR="00913D02" w:rsidRDefault="00913D02" w:rsidP="00B21CE6">
                        <w:pPr>
                          <w:jc w:val="center"/>
                          <w:rPr>
                            <w:rFonts w:ascii="Arial" w:eastAsia="Calibri" w:hAnsi="Arial" w:cs="Arial"/>
                            <w:sz w:val="22"/>
                            <w:szCs w:val="22"/>
                          </w:rPr>
                        </w:pPr>
                        <w:r w:rsidRPr="00492507">
                          <w:rPr>
                            <w:rFonts w:ascii="Arial" w:eastAsia="Calibri" w:hAnsi="Arial" w:cs="Arial"/>
                            <w:b/>
                            <w:bCs/>
                            <w:sz w:val="22"/>
                            <w:szCs w:val="22"/>
                          </w:rPr>
                          <w:t>EF</w:t>
                        </w:r>
                        <w:r>
                          <w:rPr>
                            <w:rFonts w:ascii="Arial" w:eastAsia="Calibri" w:hAnsi="Arial" w:cs="Arial"/>
                            <w:b/>
                            <w:bCs/>
                            <w:sz w:val="22"/>
                            <w:szCs w:val="22"/>
                          </w:rPr>
                          <w:t xml:space="preserve">V, </w:t>
                        </w:r>
                        <w:r w:rsidRPr="00492507">
                          <w:rPr>
                            <w:rFonts w:ascii="Arial" w:eastAsia="Calibri" w:hAnsi="Arial" w:cs="Arial"/>
                            <w:b/>
                            <w:bCs/>
                            <w:sz w:val="22"/>
                            <w:szCs w:val="22"/>
                          </w:rPr>
                          <w:t>TF</w:t>
                        </w:r>
                        <w:r>
                          <w:rPr>
                            <w:rFonts w:ascii="Arial" w:eastAsia="Calibri" w:hAnsi="Arial" w:cs="Arial"/>
                            <w:b/>
                            <w:bCs/>
                            <w:sz w:val="22"/>
                            <w:szCs w:val="22"/>
                          </w:rPr>
                          <w:t xml:space="preserve">V, </w:t>
                        </w:r>
                        <w:r w:rsidRPr="00492507">
                          <w:rPr>
                            <w:rFonts w:ascii="Arial" w:eastAsia="Calibri" w:hAnsi="Arial" w:cs="Arial"/>
                            <w:b/>
                            <w:bCs/>
                            <w:sz w:val="22"/>
                            <w:szCs w:val="22"/>
                          </w:rPr>
                          <w:t>FTC</w:t>
                        </w:r>
                      </w:p>
                      <w:p w14:paraId="5196C852" w14:textId="41AD92C7" w:rsidR="00913D02" w:rsidRPr="00263DEE" w:rsidRDefault="00913D02" w:rsidP="00B21CE6">
                        <w:pPr>
                          <w:jc w:val="center"/>
                          <w:rPr>
                            <w:rFonts w:ascii="Arial" w:hAnsi="Arial" w:cs="Arial"/>
                            <w:sz w:val="22"/>
                            <w:szCs w:val="22"/>
                          </w:rPr>
                        </w:pPr>
                        <w:r>
                          <w:rPr>
                            <w:rFonts w:ascii="Arial" w:eastAsia="Calibri" w:hAnsi="Arial" w:cs="Arial"/>
                            <w:sz w:val="22"/>
                            <w:szCs w:val="22"/>
                          </w:rPr>
                          <w:t xml:space="preserve"> n=43</w:t>
                        </w:r>
                      </w:p>
                    </w:txbxContent>
                  </v:textbox>
                </v:shape>
                <v:shape id="Text Box 2" o:spid="_x0000_s1030" type="#_x0000_t202" style="position:absolute;left:83170;top:1472;width:25361;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208FD406" w14:textId="77777777" w:rsidR="00913D02" w:rsidRPr="00263DEE" w:rsidRDefault="00913D02" w:rsidP="00B21CE6">
                        <w:pPr>
                          <w:jc w:val="center"/>
                          <w:rPr>
                            <w:rFonts w:ascii="Arial" w:hAnsi="Arial" w:cs="Arial"/>
                            <w:b/>
                            <w:bCs/>
                            <w:sz w:val="22"/>
                            <w:szCs w:val="22"/>
                          </w:rPr>
                        </w:pPr>
                        <w:r w:rsidRPr="00263DEE">
                          <w:rPr>
                            <w:rFonts w:ascii="Arial" w:eastAsia="Calibri" w:hAnsi="Arial" w:cs="Arial"/>
                            <w:b/>
                            <w:bCs/>
                            <w:sz w:val="22"/>
                            <w:szCs w:val="22"/>
                          </w:rPr>
                          <w:t>EndoAfrica cohort</w:t>
                        </w:r>
                      </w:p>
                      <w:p w14:paraId="48C5A2AD" w14:textId="35C3D7C6" w:rsidR="00913D02" w:rsidRPr="00E4561A" w:rsidRDefault="00913D02" w:rsidP="00B21CE6">
                        <w:pPr>
                          <w:jc w:val="center"/>
                          <w:rPr>
                            <w:rFonts w:ascii="Arial" w:hAnsi="Arial" w:cs="Arial"/>
                            <w:sz w:val="22"/>
                          </w:rPr>
                        </w:pPr>
                        <w:r w:rsidRPr="00E4561A">
                          <w:rPr>
                            <w:rFonts w:ascii="Arial" w:hAnsi="Arial" w:cs="Arial"/>
                            <w:sz w:val="22"/>
                          </w:rPr>
                          <w:t>n=279</w:t>
                        </w:r>
                      </w:p>
                    </w:txbxContent>
                  </v:textbox>
                </v:shape>
                <v:shape id="Text Box 2" o:spid="_x0000_s1031" type="#_x0000_t202" style="position:absolute;left:34955;top:9927;width:25349;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04B4B4A5" w14:textId="2F71968D" w:rsidR="00913D02" w:rsidRPr="00E4561A" w:rsidRDefault="00913D02" w:rsidP="00A86470">
                        <w:pPr>
                          <w:jc w:val="center"/>
                          <w:rPr>
                            <w:rFonts w:ascii="Arial" w:eastAsia="Calibri" w:hAnsi="Arial" w:cs="Arial"/>
                            <w:b/>
                            <w:sz w:val="22"/>
                            <w:szCs w:val="22"/>
                          </w:rPr>
                        </w:pPr>
                        <w:r w:rsidRPr="00E4561A">
                          <w:rPr>
                            <w:rFonts w:ascii="Calibri" w:eastAsia="Calibri" w:hAnsi="Calibri"/>
                            <w:b/>
                          </w:rPr>
                          <w:t> </w:t>
                        </w:r>
                        <w:r>
                          <w:rPr>
                            <w:rFonts w:ascii="Arial" w:eastAsia="Calibri" w:hAnsi="Arial" w:cs="Arial"/>
                            <w:b/>
                            <w:sz w:val="22"/>
                            <w:szCs w:val="22"/>
                          </w:rPr>
                          <w:t xml:space="preserve">Other </w:t>
                        </w:r>
                        <w:r w:rsidRPr="00E4561A">
                          <w:rPr>
                            <w:rFonts w:ascii="Arial" w:eastAsia="Calibri" w:hAnsi="Arial" w:cs="Arial"/>
                            <w:b/>
                            <w:sz w:val="22"/>
                            <w:szCs w:val="22"/>
                          </w:rPr>
                          <w:t>ART</w:t>
                        </w:r>
                      </w:p>
                      <w:p w14:paraId="23281475" w14:textId="67FD8A6F" w:rsidR="00913D02" w:rsidRPr="00263DEE" w:rsidRDefault="00913D02" w:rsidP="00A86470">
                        <w:pPr>
                          <w:jc w:val="center"/>
                          <w:rPr>
                            <w:rFonts w:ascii="Arial" w:hAnsi="Arial" w:cs="Arial"/>
                            <w:sz w:val="22"/>
                            <w:szCs w:val="22"/>
                          </w:rPr>
                        </w:pPr>
                        <w:r>
                          <w:rPr>
                            <w:rFonts w:ascii="Arial" w:eastAsia="Calibri" w:hAnsi="Arial" w:cs="Arial"/>
                            <w:sz w:val="22"/>
                            <w:szCs w:val="22"/>
                          </w:rPr>
                          <w:t>n=4</w:t>
                        </w:r>
                      </w:p>
                      <w:p w14:paraId="53A58D77" w14:textId="61BB9D3D" w:rsidR="00913D02" w:rsidRDefault="00913D02" w:rsidP="00B21CE6"/>
                    </w:txbxContent>
                  </v:textbox>
                </v:shape>
                <v:shape id="Text Box 2" o:spid="_x0000_s1032" type="#_x0000_t202" style="position:absolute;left:69974;top:9935;width:22371;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1938C3D" w14:textId="1DBE6914" w:rsidR="00913D02" w:rsidRDefault="00913D02" w:rsidP="00A86470">
                        <w:pPr>
                          <w:jc w:val="center"/>
                          <w:rPr>
                            <w:rFonts w:ascii="Arial" w:eastAsia="Calibri" w:hAnsi="Arial" w:cs="Arial"/>
                            <w:sz w:val="22"/>
                            <w:szCs w:val="22"/>
                          </w:rPr>
                        </w:pPr>
                        <w:r>
                          <w:rPr>
                            <w:rFonts w:ascii="Calibri" w:eastAsia="Calibri" w:hAnsi="Calibri"/>
                          </w:rPr>
                          <w:t> </w:t>
                        </w:r>
                        <w:r w:rsidRPr="00492507">
                          <w:rPr>
                            <w:rFonts w:ascii="Arial" w:eastAsia="Calibri" w:hAnsi="Arial" w:cs="Arial"/>
                            <w:b/>
                            <w:bCs/>
                            <w:sz w:val="22"/>
                            <w:szCs w:val="22"/>
                          </w:rPr>
                          <w:t>EFV</w:t>
                        </w:r>
                        <w:r>
                          <w:rPr>
                            <w:rFonts w:ascii="Arial" w:eastAsia="Calibri" w:hAnsi="Arial" w:cs="Arial"/>
                            <w:b/>
                            <w:bCs/>
                            <w:sz w:val="22"/>
                            <w:szCs w:val="22"/>
                          </w:rPr>
                          <w:t xml:space="preserve">, </w:t>
                        </w:r>
                        <w:r w:rsidRPr="00492507">
                          <w:rPr>
                            <w:rFonts w:ascii="Arial" w:eastAsia="Calibri" w:hAnsi="Arial" w:cs="Arial"/>
                            <w:b/>
                            <w:bCs/>
                            <w:sz w:val="22"/>
                            <w:szCs w:val="22"/>
                          </w:rPr>
                          <w:t>TF</w:t>
                        </w:r>
                        <w:r>
                          <w:rPr>
                            <w:rFonts w:ascii="Arial" w:eastAsia="Calibri" w:hAnsi="Arial" w:cs="Arial"/>
                            <w:b/>
                            <w:bCs/>
                            <w:sz w:val="22"/>
                            <w:szCs w:val="22"/>
                          </w:rPr>
                          <w:t xml:space="preserve">V, </w:t>
                        </w:r>
                        <w:r w:rsidRPr="00492507">
                          <w:rPr>
                            <w:rFonts w:ascii="Arial" w:eastAsia="Calibri" w:hAnsi="Arial" w:cs="Arial"/>
                            <w:b/>
                            <w:bCs/>
                            <w:sz w:val="22"/>
                            <w:szCs w:val="22"/>
                          </w:rPr>
                          <w:t>FTC</w:t>
                        </w:r>
                      </w:p>
                      <w:p w14:paraId="55EE3800" w14:textId="3038D723" w:rsidR="00913D02" w:rsidRDefault="00913D02" w:rsidP="00A86470">
                        <w:pPr>
                          <w:jc w:val="center"/>
                        </w:pPr>
                        <w:r>
                          <w:rPr>
                            <w:rFonts w:ascii="Arial" w:eastAsia="Calibri" w:hAnsi="Arial" w:cs="Arial"/>
                            <w:sz w:val="22"/>
                            <w:szCs w:val="22"/>
                          </w:rPr>
                          <w:t xml:space="preserve"> n=</w:t>
                        </w:r>
                        <w:r w:rsidRPr="00A15165">
                          <w:rPr>
                            <w:rFonts w:ascii="Arial" w:eastAsia="Calibri" w:hAnsi="Arial" w:cs="Arial"/>
                            <w:sz w:val="22"/>
                            <w:szCs w:val="22"/>
                          </w:rPr>
                          <w:t>22</w:t>
                        </w:r>
                        <w:r w:rsidRPr="00E4561A">
                          <w:rPr>
                            <w:rFonts w:ascii="Arial" w:hAnsi="Arial" w:cs="Arial"/>
                            <w:sz w:val="22"/>
                            <w:szCs w:val="22"/>
                          </w:rPr>
                          <w:t>5</w:t>
                        </w:r>
                      </w:p>
                    </w:txbxContent>
                  </v:textbox>
                </v:shape>
                <v:shape id="Text Box 2" o:spid="_x0000_s1033" type="#_x0000_t202" style="position:absolute;left:97111;top:9930;width:25117;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571B0911" w14:textId="378A37C1" w:rsidR="00913D02" w:rsidRPr="00E4561A" w:rsidRDefault="00913D02" w:rsidP="00A86470">
                        <w:pPr>
                          <w:jc w:val="center"/>
                          <w:rPr>
                            <w:rFonts w:ascii="Arial" w:eastAsia="Calibri" w:hAnsi="Arial" w:cs="Arial"/>
                            <w:b/>
                            <w:sz w:val="22"/>
                            <w:szCs w:val="22"/>
                          </w:rPr>
                        </w:pPr>
                        <w:r>
                          <w:rPr>
                            <w:rFonts w:ascii="Calibri" w:eastAsia="Calibri" w:hAnsi="Calibri"/>
                          </w:rPr>
                          <w:t> </w:t>
                        </w:r>
                        <w:r>
                          <w:rPr>
                            <w:rFonts w:ascii="Arial" w:eastAsia="Calibri" w:hAnsi="Arial" w:cs="Arial"/>
                            <w:b/>
                            <w:sz w:val="22"/>
                            <w:szCs w:val="22"/>
                          </w:rPr>
                          <w:t>Other</w:t>
                        </w:r>
                        <w:r w:rsidRPr="00E4561A">
                          <w:rPr>
                            <w:rFonts w:ascii="Arial" w:eastAsia="Calibri" w:hAnsi="Arial" w:cs="Arial"/>
                            <w:b/>
                            <w:sz w:val="22"/>
                            <w:szCs w:val="22"/>
                          </w:rPr>
                          <w:t xml:space="preserve"> ART</w:t>
                        </w:r>
                      </w:p>
                      <w:p w14:paraId="7710CF88" w14:textId="066FDAC9" w:rsidR="00913D02" w:rsidRDefault="00913D02" w:rsidP="00A86470">
                        <w:pPr>
                          <w:jc w:val="center"/>
                        </w:pPr>
                        <w:r>
                          <w:rPr>
                            <w:rFonts w:ascii="Arial" w:eastAsia="Calibri" w:hAnsi="Arial" w:cs="Arial"/>
                            <w:sz w:val="22"/>
                            <w:szCs w:val="22"/>
                          </w:rPr>
                          <w:t xml:space="preserve">n=54 </w:t>
                        </w:r>
                      </w:p>
                    </w:txbxContent>
                  </v:textbox>
                </v:shape>
                <v:shape id="Text Box 2" o:spid="_x0000_s1034" type="#_x0000_t202" style="position:absolute;left:7618;top:22882;width:13710;height: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5AF6938F" w14:textId="77777777" w:rsidR="00913D02" w:rsidRPr="00436B78" w:rsidRDefault="00913D02" w:rsidP="00B21CE6">
                        <w:pPr>
                          <w:jc w:val="center"/>
                          <w:rPr>
                            <w:rFonts w:ascii="Arial" w:eastAsia="Calibri" w:hAnsi="Arial"/>
                            <w:b/>
                            <w:bCs/>
                            <w:sz w:val="22"/>
                            <w:szCs w:val="22"/>
                            <w:vertAlign w:val="superscript"/>
                          </w:rPr>
                        </w:pPr>
                        <w:r>
                          <w:rPr>
                            <w:rFonts w:ascii="Arial" w:eastAsia="Calibri" w:hAnsi="Arial"/>
                            <w:b/>
                            <w:bCs/>
                            <w:sz w:val="22"/>
                            <w:szCs w:val="22"/>
                          </w:rPr>
                          <w:t>Adherent</w:t>
                        </w:r>
                        <w:r>
                          <w:rPr>
                            <w:rFonts w:ascii="Arial" w:eastAsia="Calibri" w:hAnsi="Arial"/>
                            <w:b/>
                            <w:bCs/>
                            <w:sz w:val="22"/>
                            <w:szCs w:val="22"/>
                            <w:vertAlign w:val="superscript"/>
                          </w:rPr>
                          <w:t>a</w:t>
                        </w:r>
                      </w:p>
                      <w:p w14:paraId="4087B83B" w14:textId="77777777" w:rsidR="00913D02" w:rsidRPr="009101DA" w:rsidRDefault="00913D02" w:rsidP="00B21CE6">
                        <w:pPr>
                          <w:jc w:val="center"/>
                        </w:pPr>
                        <w:r>
                          <w:rPr>
                            <w:rFonts w:ascii="Arial" w:eastAsia="Calibri" w:hAnsi="Arial"/>
                            <w:sz w:val="22"/>
                            <w:szCs w:val="22"/>
                          </w:rPr>
                          <w:t>n=43</w:t>
                        </w:r>
                      </w:p>
                    </w:txbxContent>
                  </v:textbox>
                </v:shape>
                <v:shape id="Text Box 2" o:spid="_x0000_s1035" type="#_x0000_t202" style="position:absolute;left:40567;top:19769;width:1417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31B37CC3" w14:textId="77777777" w:rsidR="00913D02" w:rsidRDefault="00913D02" w:rsidP="00F97CA0">
                        <w:pPr>
                          <w:jc w:val="both"/>
                        </w:pPr>
                        <w:r>
                          <w:rPr>
                            <w:rFonts w:ascii="Arial" w:eastAsia="Calibri" w:hAnsi="Arial"/>
                            <w:b/>
                            <w:bCs/>
                            <w:sz w:val="22"/>
                            <w:szCs w:val="22"/>
                          </w:rPr>
                          <w:t>Excluded</w:t>
                        </w:r>
                      </w:p>
                    </w:txbxContent>
                  </v:textbox>
                </v:shape>
                <v:shape id="Text Box 2" o:spid="_x0000_s1036" type="#_x0000_t202" style="position:absolute;left:102606;top:19769;width:1416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DC609B3" w14:textId="77777777" w:rsidR="00913D02" w:rsidRDefault="00913D02" w:rsidP="00B21CE6">
                        <w:pPr>
                          <w:jc w:val="center"/>
                        </w:pPr>
                        <w:r>
                          <w:rPr>
                            <w:rFonts w:ascii="Arial" w:eastAsia="Calibri" w:hAnsi="Arial"/>
                            <w:b/>
                            <w:bCs/>
                            <w:sz w:val="22"/>
                            <w:szCs w:val="22"/>
                          </w:rPr>
                          <w:t>Excluded</w:t>
                        </w:r>
                      </w:p>
                    </w:txbxContent>
                  </v:textbox>
                </v:shape>
                <v:shape id="Text Box 2" o:spid="_x0000_s1037" type="#_x0000_t202" style="position:absolute;left:7405;top:31920;width:14167;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416EEF18" w14:textId="77777777" w:rsidR="00913D02" w:rsidRDefault="00913D02" w:rsidP="00B21CE6">
                        <w:pPr>
                          <w:jc w:val="center"/>
                          <w:rPr>
                            <w:rFonts w:ascii="Arial" w:eastAsia="Calibri" w:hAnsi="Arial"/>
                            <w:b/>
                            <w:bCs/>
                            <w:sz w:val="22"/>
                            <w:szCs w:val="22"/>
                          </w:rPr>
                        </w:pPr>
                        <w:r>
                          <w:rPr>
                            <w:rFonts w:ascii="Arial" w:eastAsia="Calibri" w:hAnsi="Arial"/>
                            <w:b/>
                            <w:bCs/>
                            <w:sz w:val="22"/>
                            <w:szCs w:val="22"/>
                          </w:rPr>
                          <w:t>Included</w:t>
                        </w:r>
                      </w:p>
                      <w:p w14:paraId="57D7481B" w14:textId="77777777" w:rsidR="00913D02" w:rsidRPr="008554CD" w:rsidRDefault="00913D02" w:rsidP="00B21CE6">
                        <w:pPr>
                          <w:jc w:val="center"/>
                        </w:pPr>
                        <w:r>
                          <w:rPr>
                            <w:rFonts w:ascii="Arial" w:eastAsia="Calibri" w:hAnsi="Arial"/>
                            <w:sz w:val="22"/>
                            <w:szCs w:val="22"/>
                          </w:rPr>
                          <w:t>n=43</w:t>
                        </w:r>
                      </w:p>
                    </w:txbxContent>
                  </v:textbox>
                </v:shape>
                <v:shape id="Text Box 2" o:spid="_x0000_s1038" type="#_x0000_t202" style="position:absolute;left:31819;top:43296;width:2534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78F60C39" w14:textId="6173714D" w:rsidR="00913D02" w:rsidRDefault="00913D02" w:rsidP="00B21CE6">
                        <w:pPr>
                          <w:jc w:val="center"/>
                          <w:rPr>
                            <w:rFonts w:ascii="Arial" w:eastAsia="Calibri" w:hAnsi="Arial"/>
                            <w:b/>
                            <w:bCs/>
                            <w:sz w:val="22"/>
                            <w:szCs w:val="22"/>
                          </w:rPr>
                        </w:pPr>
                        <w:r>
                          <w:rPr>
                            <w:rFonts w:ascii="Calibri" w:eastAsia="Calibri" w:hAnsi="Calibri"/>
                          </w:rPr>
                          <w:t> </w:t>
                        </w:r>
                        <w:r>
                          <w:rPr>
                            <w:rFonts w:ascii="Arial" w:eastAsia="Calibri" w:hAnsi="Arial" w:cs="Arial"/>
                            <w:b/>
                            <w:sz w:val="22"/>
                          </w:rPr>
                          <w:t xml:space="preserve">Total </w:t>
                        </w:r>
                        <w:r>
                          <w:rPr>
                            <w:rFonts w:ascii="Arial" w:eastAsia="Calibri" w:hAnsi="Arial"/>
                            <w:b/>
                            <w:bCs/>
                            <w:sz w:val="22"/>
                            <w:szCs w:val="22"/>
                          </w:rPr>
                          <w:t>participants included</w:t>
                        </w:r>
                      </w:p>
                      <w:p w14:paraId="123FCD70" w14:textId="6939D65E" w:rsidR="00913D02" w:rsidRPr="009101DA" w:rsidRDefault="00913D02" w:rsidP="00B21CE6">
                        <w:pPr>
                          <w:jc w:val="center"/>
                        </w:pPr>
                        <w:r>
                          <w:rPr>
                            <w:rFonts w:ascii="Arial" w:eastAsia="Calibri" w:hAnsi="Arial"/>
                            <w:sz w:val="22"/>
                            <w:szCs w:val="22"/>
                          </w:rPr>
                          <w:t>n=213</w:t>
                        </w:r>
                      </w:p>
                    </w:txbxContent>
                  </v:textbox>
                </v:shape>
                <v:shape id="Text Box 2" o:spid="_x0000_s1039" type="#_x0000_t202" style="position:absolute;left:62857;top:22887;width:13709;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4B8F65D" w14:textId="77777777" w:rsidR="00913D02" w:rsidRPr="000575FB" w:rsidRDefault="00913D02" w:rsidP="00B21CE6">
                        <w:pPr>
                          <w:jc w:val="center"/>
                          <w:rPr>
                            <w:vertAlign w:val="superscript"/>
                          </w:rPr>
                        </w:pPr>
                        <w:r>
                          <w:rPr>
                            <w:rFonts w:ascii="Arial" w:eastAsia="Calibri" w:hAnsi="Arial"/>
                            <w:b/>
                            <w:bCs/>
                            <w:sz w:val="22"/>
                            <w:szCs w:val="22"/>
                          </w:rPr>
                          <w:t>Adherent</w:t>
                        </w:r>
                        <w:r>
                          <w:rPr>
                            <w:rFonts w:ascii="Arial" w:eastAsia="Calibri" w:hAnsi="Arial"/>
                            <w:b/>
                            <w:bCs/>
                            <w:sz w:val="22"/>
                            <w:szCs w:val="22"/>
                            <w:vertAlign w:val="superscript"/>
                          </w:rPr>
                          <w:t>a</w:t>
                        </w:r>
                      </w:p>
                      <w:p w14:paraId="36D01BDC" w14:textId="77777777" w:rsidR="00913D02" w:rsidRDefault="00913D02" w:rsidP="00B21CE6">
                        <w:pPr>
                          <w:jc w:val="center"/>
                        </w:pPr>
                        <w:r>
                          <w:rPr>
                            <w:rFonts w:ascii="Arial" w:eastAsia="Calibri" w:hAnsi="Arial"/>
                            <w:sz w:val="22"/>
                            <w:szCs w:val="22"/>
                          </w:rPr>
                          <w:t>n=170</w:t>
                        </w:r>
                      </w:p>
                    </w:txbxContent>
                  </v:textbox>
                </v:shape>
                <v:shape id="Text Box 2" o:spid="_x0000_s1040" type="#_x0000_t202" style="position:absolute;left:85716;top:22894;width:13710;height:4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68C9AB19" w14:textId="77777777" w:rsidR="00913D02" w:rsidRPr="000575FB" w:rsidRDefault="00913D02" w:rsidP="00B21CE6">
                        <w:pPr>
                          <w:jc w:val="center"/>
                          <w:rPr>
                            <w:vertAlign w:val="superscript"/>
                          </w:rPr>
                        </w:pPr>
                        <w:r>
                          <w:rPr>
                            <w:rFonts w:ascii="Arial" w:eastAsia="Calibri" w:hAnsi="Arial"/>
                            <w:b/>
                            <w:bCs/>
                            <w:sz w:val="22"/>
                            <w:szCs w:val="22"/>
                          </w:rPr>
                          <w:t>Non-adherent</w:t>
                        </w:r>
                        <w:r>
                          <w:rPr>
                            <w:rFonts w:ascii="Arial" w:eastAsia="Calibri" w:hAnsi="Arial"/>
                            <w:b/>
                            <w:bCs/>
                            <w:sz w:val="22"/>
                            <w:szCs w:val="22"/>
                            <w:vertAlign w:val="superscript"/>
                          </w:rPr>
                          <w:t>b</w:t>
                        </w:r>
                      </w:p>
                      <w:p w14:paraId="1BB5D8AB" w14:textId="77777777" w:rsidR="00913D02" w:rsidRDefault="00913D02" w:rsidP="00B21CE6">
                        <w:pPr>
                          <w:jc w:val="center"/>
                        </w:pPr>
                        <w:r>
                          <w:rPr>
                            <w:rFonts w:ascii="Arial" w:eastAsia="Calibri" w:hAnsi="Arial"/>
                            <w:sz w:val="22"/>
                            <w:szCs w:val="22"/>
                          </w:rPr>
                          <w:t>n=55</w:t>
                        </w:r>
                      </w:p>
                    </w:txbxContent>
                  </v:textbox>
                </v:shape>
                <v:shape id="Text Box 2" o:spid="_x0000_s1041" type="#_x0000_t202" style="position:absolute;left:62612;top:31749;width:14167;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2A45D1E4" w14:textId="77777777" w:rsidR="00913D02" w:rsidRDefault="00913D02" w:rsidP="00B21CE6">
                        <w:pPr>
                          <w:jc w:val="center"/>
                        </w:pPr>
                        <w:r>
                          <w:rPr>
                            <w:rFonts w:ascii="Arial" w:eastAsia="Calibri" w:hAnsi="Arial"/>
                            <w:b/>
                            <w:bCs/>
                            <w:sz w:val="22"/>
                            <w:szCs w:val="22"/>
                          </w:rPr>
                          <w:t>Included</w:t>
                        </w:r>
                      </w:p>
                      <w:p w14:paraId="5391F364" w14:textId="77777777" w:rsidR="00913D02" w:rsidRDefault="00913D02" w:rsidP="00B21CE6">
                        <w:pPr>
                          <w:jc w:val="center"/>
                        </w:pPr>
                        <w:r>
                          <w:rPr>
                            <w:rFonts w:ascii="Arial" w:eastAsia="Calibri" w:hAnsi="Arial"/>
                            <w:sz w:val="22"/>
                            <w:szCs w:val="22"/>
                          </w:rPr>
                          <w:t>n=170</w:t>
                        </w:r>
                      </w:p>
                    </w:txbxContent>
                  </v:textbox>
                </v:shape>
                <v:shapetype id="_x0000_t32" coordsize="21600,21600" o:spt="32" o:oned="t" path="m,l21600,21600e" filled="f">
                  <v:path arrowok="t" fillok="f" o:connecttype="none"/>
                  <o:lock v:ext="edit" shapetype="t"/>
                </v:shapetype>
                <v:shape id="Straight Arrow Connector 32" o:spid="_x0000_s1042" type="#_x0000_t32" style="position:absolute;left:14509;top:6049;width:14941;height:38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HwgAAANsAAAAPAAAAZHJzL2Rvd25yZXYueG1sRI9Bi8Iw&#10;FITvgv8hPMGbpi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B0Pu/HwgAAANsAAAAPAAAA&#10;AAAAAAAAAAAAAAcCAABkcnMvZG93bnJldi54bWxQSwUGAAAAAAMAAwC3AAAA9gIAAAAA&#10;" strokecolor="black [3040]">
                  <v:stroke endarrow="block"/>
                </v:shape>
                <v:shape id="Straight Arrow Connector 33" o:spid="_x0000_s1043" type="#_x0000_t32" style="position:absolute;left:29577;top:6049;width:19247;height:3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" strokecolor="black [3040]">
                  <v:stroke endarrow="block"/>
                </v:shape>
                <v:shape id="Straight Arrow Connector 35" o:spid="_x0000_s1044" type="#_x0000_t32" style="position:absolute;left:14473;top:15965;width:36;height:6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ezwwAAANsAAAAPAAAAZHJzL2Rvd25yZXYueG1sRI9Bi8Iw&#10;FITvgv8hPMGbpi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9d3s8MAAADbAAAADwAA&#10;AAAAAAAAAAAAAAAHAgAAZHJzL2Rvd25yZXYueG1sUEsFBgAAAAADAAMAtwAAAPcCAAAAAA==&#10;" strokecolor="black [3040]">
                  <v:stroke endarrow="block"/>
                </v:shape>
                <v:shape id="Straight Arrow Connector 39" o:spid="_x0000_s1045" type="#_x0000_t32" style="position:absolute;left:14473;top:26765;width:16;height:5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" strokecolor="black [3040]">
                  <v:stroke endarrow="block"/>
                </v:shape>
                <v:shape id="Straight Arrow Connector 41" o:spid="_x0000_s1046" type="#_x0000_t32" style="position:absolute;left:47629;top:15966;width:25;height:3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" strokecolor="black [3040]">
                  <v:stroke endarrow="block"/>
                </v:shape>
                <v:shape id="Straight Arrow Connector 42" o:spid="_x0000_s1047" type="#_x0000_t32" style="position:absolute;left:69711;top:15965;width:11521;height:69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y6wgAAANsAAAAPAAAAZHJzL2Rvd25yZXYueG1sRI9Bi8Iw&#10;FITvgv8hPMGbpo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AsOJy6wgAAANsAAAAPAAAA&#10;AAAAAAAAAAAAAAcCAABkcnMvZG93bnJldi54bWxQSwUGAAAAAAMAAwC3AAAA9gIAAAAA&#10;" strokecolor="black [3040]">
                  <v:stroke endarrow="block"/>
                </v:shape>
                <v:shape id="Straight Arrow Connector 43" o:spid="_x0000_s1048" type="#_x0000_t32" style="position:absolute;left:81232;top:15960;width:11339;height:6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" strokecolor="black [3040]">
                  <v:stroke endarrow="block"/>
                </v:shape>
                <v:shape id="Straight Arrow Connector 44" o:spid="_x0000_s1049" type="#_x0000_t32" style="position:absolute;left:69695;top:26760;width:16;height:49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" strokecolor="black [3040]">
                  <v:stroke endarrow="block"/>
                </v:shape>
                <v:shape id="Text Box 2" o:spid="_x0000_s1050" type="#_x0000_t202" style="position:absolute;left:85503;top:31914;width:14167;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21331BD2" w14:textId="77777777" w:rsidR="00913D02" w:rsidRDefault="00913D02" w:rsidP="00B21CE6">
                        <w:pPr>
                          <w:jc w:val="center"/>
                        </w:pPr>
                        <w:r>
                          <w:rPr>
                            <w:rFonts w:ascii="Arial" w:eastAsia="Calibri" w:hAnsi="Arial"/>
                            <w:b/>
                            <w:bCs/>
                            <w:sz w:val="22"/>
                            <w:szCs w:val="22"/>
                          </w:rPr>
                          <w:t>Excluded</w:t>
                        </w:r>
                      </w:p>
                    </w:txbxContent>
                  </v:textbox>
                </v:shape>
                <v:shape id="Straight Arrow Connector 48" o:spid="_x0000_s1051" type="#_x0000_t32" style="position:absolute;left:92571;top:27640;width:16;height:4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" strokecolor="black [3040]">
                  <v:stroke endarrow="block"/>
                </v:shape>
                <v:shape id="Straight Arrow Connector 49" o:spid="_x0000_s1052" type="#_x0000_t32" style="position:absolute;left:81160;top:6049;width:14690;height:38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" strokecolor="black [3040]">
                  <v:stroke endarrow="block"/>
                </v:shape>
                <v:shape id="Straight Arrow Connector 50" o:spid="_x0000_s1053" type="#_x0000_t32" style="position:absolute;left:95850;top:6049;width:13820;height:3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" strokecolor="black [3040]">
                  <v:stroke endarrow="block"/>
                </v:shape>
                <v:shape id="Straight Arrow Connector 53" o:spid="_x0000_s1054" type="#_x0000_t32" style="position:absolute;left:109670;top:15965;width:19;height:3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" strokecolor="black [3040]">
                  <v:stroke endarrow="block"/>
                </v:shape>
                <v:shape id="Straight Arrow Connector 54" o:spid="_x0000_s1055" type="#_x0000_t32" style="position:absolute;left:14636;top:36258;width:29855;height:7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" strokecolor="black [3040]">
                  <v:stroke endarrow="block"/>
                </v:shape>
                <v:shape id="Straight Arrow Connector 55" o:spid="_x0000_s1056" type="#_x0000_t32" style="position:absolute;left:44364;top:36255;width:25610;height:7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" strokecolor="black [3040]">
                  <v:stroke endarrow="block"/>
                </v:shape>
              </v:group>
            </w:pict>
          </mc:Fallback>
        </mc:AlternateContent>
      </w:r>
    </w:p>
    <w:p w14:paraId="0B3B8E95" w14:textId="77777777" w:rsidR="00F97CA0" w:rsidRPr="00F97CA0" w:rsidRDefault="00F97CA0" w:rsidP="00F97CA0">
      <w:pPr>
        <w:rPr>
          <w:rFonts w:ascii="Arial" w:hAnsi="Arial" w:cs="Arial"/>
          <w:sz w:val="22"/>
          <w:szCs w:val="22"/>
        </w:rPr>
      </w:pPr>
    </w:p>
    <w:p w14:paraId="646381C8" w14:textId="77777777" w:rsidR="00F97CA0" w:rsidRPr="00F97CA0" w:rsidRDefault="00F97CA0" w:rsidP="00F97CA0">
      <w:pPr>
        <w:rPr>
          <w:rFonts w:ascii="Arial" w:hAnsi="Arial" w:cs="Arial"/>
          <w:sz w:val="22"/>
          <w:szCs w:val="22"/>
        </w:rPr>
      </w:pPr>
    </w:p>
    <w:p w14:paraId="5FCC638D" w14:textId="77777777" w:rsidR="00F97CA0" w:rsidRPr="00F97CA0" w:rsidRDefault="00F97CA0" w:rsidP="00F97CA0">
      <w:pPr>
        <w:rPr>
          <w:rFonts w:ascii="Arial" w:hAnsi="Arial" w:cs="Arial"/>
          <w:sz w:val="22"/>
          <w:szCs w:val="22"/>
        </w:rPr>
      </w:pPr>
    </w:p>
    <w:p w14:paraId="7F5ED1C2" w14:textId="77777777" w:rsidR="00F97CA0" w:rsidRPr="00F97CA0" w:rsidRDefault="00F97CA0" w:rsidP="00F97CA0">
      <w:pPr>
        <w:rPr>
          <w:rFonts w:ascii="Arial" w:hAnsi="Arial" w:cs="Arial"/>
          <w:sz w:val="22"/>
          <w:szCs w:val="22"/>
        </w:rPr>
      </w:pPr>
    </w:p>
    <w:p w14:paraId="2ADD10E3" w14:textId="77777777" w:rsidR="00F97CA0" w:rsidRPr="00F97CA0" w:rsidRDefault="00F97CA0" w:rsidP="00F97CA0">
      <w:pPr>
        <w:rPr>
          <w:rFonts w:ascii="Arial" w:hAnsi="Arial" w:cs="Arial"/>
          <w:sz w:val="22"/>
          <w:szCs w:val="22"/>
        </w:rPr>
      </w:pPr>
    </w:p>
    <w:p w14:paraId="376CF1F2" w14:textId="77777777" w:rsidR="00F97CA0" w:rsidRPr="00F97CA0" w:rsidRDefault="00F97CA0" w:rsidP="00F97CA0">
      <w:pPr>
        <w:rPr>
          <w:rFonts w:ascii="Arial" w:hAnsi="Arial" w:cs="Arial"/>
          <w:sz w:val="22"/>
          <w:szCs w:val="22"/>
        </w:rPr>
      </w:pPr>
    </w:p>
    <w:p w14:paraId="0871F807" w14:textId="77777777" w:rsidR="00F97CA0" w:rsidRPr="00F97CA0" w:rsidRDefault="00F97CA0" w:rsidP="00F97CA0">
      <w:pPr>
        <w:rPr>
          <w:rFonts w:ascii="Arial" w:hAnsi="Arial" w:cs="Arial"/>
          <w:sz w:val="22"/>
          <w:szCs w:val="22"/>
        </w:rPr>
      </w:pPr>
    </w:p>
    <w:p w14:paraId="4A3F2589" w14:textId="77777777" w:rsidR="00F97CA0" w:rsidRPr="00F97CA0" w:rsidRDefault="00F97CA0" w:rsidP="00F97CA0">
      <w:pPr>
        <w:rPr>
          <w:rFonts w:ascii="Arial" w:hAnsi="Arial" w:cs="Arial"/>
          <w:sz w:val="22"/>
          <w:szCs w:val="22"/>
        </w:rPr>
      </w:pPr>
    </w:p>
    <w:p w14:paraId="70477410" w14:textId="77777777" w:rsidR="00F97CA0" w:rsidRPr="00F97CA0" w:rsidRDefault="00F97CA0" w:rsidP="00F97CA0">
      <w:pPr>
        <w:rPr>
          <w:rFonts w:ascii="Arial" w:hAnsi="Arial" w:cs="Arial"/>
          <w:sz w:val="22"/>
          <w:szCs w:val="22"/>
        </w:rPr>
      </w:pPr>
    </w:p>
    <w:p w14:paraId="2E340571" w14:textId="77777777" w:rsidR="00F97CA0" w:rsidRPr="00F97CA0" w:rsidRDefault="00F97CA0" w:rsidP="00F97CA0">
      <w:pPr>
        <w:rPr>
          <w:rFonts w:ascii="Arial" w:hAnsi="Arial" w:cs="Arial"/>
          <w:sz w:val="22"/>
          <w:szCs w:val="22"/>
        </w:rPr>
      </w:pPr>
    </w:p>
    <w:p w14:paraId="48A4521F" w14:textId="77777777" w:rsidR="00F97CA0" w:rsidRPr="00F97CA0" w:rsidRDefault="00F97CA0" w:rsidP="00F97CA0">
      <w:pPr>
        <w:rPr>
          <w:rFonts w:ascii="Arial" w:hAnsi="Arial" w:cs="Arial"/>
          <w:sz w:val="22"/>
          <w:szCs w:val="22"/>
        </w:rPr>
      </w:pPr>
    </w:p>
    <w:p w14:paraId="10E29B79" w14:textId="77777777" w:rsidR="00F97CA0" w:rsidRPr="00F97CA0" w:rsidRDefault="00F97CA0" w:rsidP="00F97CA0">
      <w:pPr>
        <w:rPr>
          <w:rFonts w:ascii="Arial" w:hAnsi="Arial" w:cs="Arial"/>
          <w:sz w:val="22"/>
          <w:szCs w:val="22"/>
        </w:rPr>
      </w:pPr>
    </w:p>
    <w:p w14:paraId="3EE18A1F" w14:textId="77777777" w:rsidR="00F97CA0" w:rsidRPr="00F97CA0" w:rsidRDefault="00F97CA0" w:rsidP="00F97CA0">
      <w:pPr>
        <w:rPr>
          <w:rFonts w:ascii="Arial" w:hAnsi="Arial" w:cs="Arial"/>
          <w:sz w:val="22"/>
          <w:szCs w:val="22"/>
        </w:rPr>
      </w:pPr>
    </w:p>
    <w:p w14:paraId="623D089B" w14:textId="77777777" w:rsidR="00F97CA0" w:rsidRPr="00F97CA0" w:rsidRDefault="00F97CA0" w:rsidP="00F97CA0">
      <w:pPr>
        <w:rPr>
          <w:rFonts w:ascii="Arial" w:hAnsi="Arial" w:cs="Arial"/>
          <w:sz w:val="22"/>
          <w:szCs w:val="22"/>
        </w:rPr>
      </w:pPr>
    </w:p>
    <w:p w14:paraId="7D717305" w14:textId="77777777" w:rsidR="00F97CA0" w:rsidRPr="00F97CA0" w:rsidRDefault="00F97CA0" w:rsidP="00F97CA0">
      <w:pPr>
        <w:rPr>
          <w:rFonts w:ascii="Arial" w:hAnsi="Arial" w:cs="Arial"/>
          <w:sz w:val="22"/>
          <w:szCs w:val="22"/>
        </w:rPr>
      </w:pPr>
    </w:p>
    <w:p w14:paraId="0891C508" w14:textId="77777777" w:rsidR="00F97CA0" w:rsidRPr="00F97CA0" w:rsidRDefault="00F97CA0" w:rsidP="00F97CA0">
      <w:pPr>
        <w:rPr>
          <w:rFonts w:ascii="Arial" w:hAnsi="Arial" w:cs="Arial"/>
          <w:sz w:val="22"/>
          <w:szCs w:val="22"/>
        </w:rPr>
      </w:pPr>
    </w:p>
    <w:p w14:paraId="5100357E" w14:textId="77777777" w:rsidR="00F97CA0" w:rsidRPr="00F97CA0" w:rsidRDefault="00F97CA0" w:rsidP="00F97CA0">
      <w:pPr>
        <w:rPr>
          <w:rFonts w:ascii="Arial" w:hAnsi="Arial" w:cs="Arial"/>
          <w:sz w:val="22"/>
          <w:szCs w:val="22"/>
        </w:rPr>
      </w:pPr>
    </w:p>
    <w:p w14:paraId="765908F9" w14:textId="77777777" w:rsidR="00F97CA0" w:rsidRPr="00F97CA0" w:rsidRDefault="00F97CA0" w:rsidP="00F97CA0">
      <w:pPr>
        <w:rPr>
          <w:rFonts w:ascii="Arial" w:hAnsi="Arial" w:cs="Arial"/>
          <w:sz w:val="22"/>
          <w:szCs w:val="22"/>
        </w:rPr>
      </w:pPr>
    </w:p>
    <w:p w14:paraId="106D7BFA" w14:textId="77777777" w:rsidR="00F97CA0" w:rsidRPr="00F97CA0" w:rsidRDefault="00F97CA0" w:rsidP="00F97CA0">
      <w:pPr>
        <w:rPr>
          <w:rFonts w:ascii="Arial" w:hAnsi="Arial" w:cs="Arial"/>
          <w:sz w:val="22"/>
          <w:szCs w:val="22"/>
        </w:rPr>
      </w:pPr>
    </w:p>
    <w:p w14:paraId="71207E70" w14:textId="77777777" w:rsidR="00F97CA0" w:rsidRPr="00F97CA0" w:rsidRDefault="00F97CA0" w:rsidP="00F97CA0">
      <w:pPr>
        <w:rPr>
          <w:rFonts w:ascii="Arial" w:hAnsi="Arial" w:cs="Arial"/>
          <w:sz w:val="22"/>
          <w:szCs w:val="22"/>
        </w:rPr>
      </w:pPr>
    </w:p>
    <w:p w14:paraId="2FC40ED3" w14:textId="77777777" w:rsidR="00F97CA0" w:rsidRPr="00F97CA0" w:rsidRDefault="00F97CA0" w:rsidP="00F97CA0">
      <w:pPr>
        <w:rPr>
          <w:rFonts w:ascii="Arial" w:hAnsi="Arial" w:cs="Arial"/>
          <w:sz w:val="22"/>
          <w:szCs w:val="22"/>
        </w:rPr>
      </w:pPr>
    </w:p>
    <w:p w14:paraId="429089A6" w14:textId="77777777" w:rsidR="00F97CA0" w:rsidRPr="00F97CA0" w:rsidRDefault="00F97CA0" w:rsidP="00F97CA0">
      <w:pPr>
        <w:rPr>
          <w:rFonts w:ascii="Arial" w:hAnsi="Arial" w:cs="Arial"/>
          <w:sz w:val="22"/>
          <w:szCs w:val="22"/>
        </w:rPr>
      </w:pPr>
    </w:p>
    <w:p w14:paraId="3F7F7193" w14:textId="77777777" w:rsidR="00F97CA0" w:rsidRPr="00F97CA0" w:rsidRDefault="00F97CA0" w:rsidP="00F97CA0">
      <w:pPr>
        <w:rPr>
          <w:rFonts w:ascii="Arial" w:hAnsi="Arial" w:cs="Arial"/>
          <w:sz w:val="22"/>
          <w:szCs w:val="22"/>
        </w:rPr>
      </w:pPr>
    </w:p>
    <w:p w14:paraId="61B653F3" w14:textId="77777777" w:rsidR="00F97CA0" w:rsidRPr="00F97CA0" w:rsidRDefault="00F97CA0" w:rsidP="00F97CA0">
      <w:pPr>
        <w:rPr>
          <w:rFonts w:ascii="Arial" w:hAnsi="Arial" w:cs="Arial"/>
          <w:sz w:val="22"/>
          <w:szCs w:val="22"/>
        </w:rPr>
      </w:pPr>
    </w:p>
    <w:p w14:paraId="0CA28DE4" w14:textId="77777777" w:rsidR="00F97CA0" w:rsidRPr="00F97CA0" w:rsidRDefault="00F97CA0" w:rsidP="00F97CA0">
      <w:pPr>
        <w:rPr>
          <w:rFonts w:ascii="Arial" w:hAnsi="Arial" w:cs="Arial"/>
          <w:sz w:val="22"/>
          <w:szCs w:val="22"/>
        </w:rPr>
      </w:pPr>
    </w:p>
    <w:p w14:paraId="1433D5D3" w14:textId="77777777" w:rsidR="00F97CA0" w:rsidRPr="00F97CA0" w:rsidRDefault="00F97CA0" w:rsidP="00F97CA0">
      <w:pPr>
        <w:rPr>
          <w:rFonts w:ascii="Arial" w:hAnsi="Arial" w:cs="Arial"/>
          <w:sz w:val="22"/>
          <w:szCs w:val="22"/>
        </w:rPr>
      </w:pPr>
    </w:p>
    <w:p w14:paraId="1CD18D90" w14:textId="77777777" w:rsidR="00F97CA0" w:rsidRPr="00F97CA0" w:rsidRDefault="00F97CA0" w:rsidP="00F97CA0">
      <w:pPr>
        <w:rPr>
          <w:rFonts w:ascii="Arial" w:hAnsi="Arial" w:cs="Arial"/>
          <w:sz w:val="22"/>
          <w:szCs w:val="22"/>
        </w:rPr>
      </w:pPr>
    </w:p>
    <w:p w14:paraId="1A7E00DF" w14:textId="77777777" w:rsidR="00F97CA0" w:rsidRDefault="00F97CA0" w:rsidP="00F97CA0">
      <w:pPr>
        <w:rPr>
          <w:rFonts w:ascii="Arial" w:hAnsi="Arial" w:cs="Arial"/>
          <w:b/>
          <w:bCs/>
          <w:sz w:val="22"/>
          <w:szCs w:val="22"/>
        </w:rPr>
      </w:pPr>
    </w:p>
    <w:p w14:paraId="2622D482" w14:textId="77777777" w:rsidR="00F97CA0" w:rsidRPr="00F97CA0" w:rsidRDefault="00F97CA0" w:rsidP="00F97CA0">
      <w:pPr>
        <w:rPr>
          <w:rFonts w:ascii="Arial" w:hAnsi="Arial" w:cs="Arial"/>
          <w:sz w:val="22"/>
          <w:szCs w:val="22"/>
        </w:rPr>
      </w:pPr>
    </w:p>
    <w:p w14:paraId="1185E9AF" w14:textId="77777777" w:rsidR="00F97CA0" w:rsidRPr="00F97CA0" w:rsidRDefault="00F97CA0" w:rsidP="00F97CA0">
      <w:pPr>
        <w:rPr>
          <w:rFonts w:ascii="Arial" w:hAnsi="Arial" w:cs="Arial"/>
          <w:sz w:val="22"/>
          <w:szCs w:val="22"/>
        </w:rPr>
      </w:pPr>
    </w:p>
    <w:p w14:paraId="389D6AF6" w14:textId="77777777" w:rsidR="00F97CA0" w:rsidRPr="00F97CA0" w:rsidRDefault="00F97CA0" w:rsidP="00F97CA0">
      <w:pPr>
        <w:rPr>
          <w:rFonts w:ascii="Arial" w:hAnsi="Arial" w:cs="Arial"/>
          <w:sz w:val="22"/>
          <w:szCs w:val="22"/>
        </w:rPr>
      </w:pPr>
    </w:p>
    <w:p w14:paraId="0EAEF4D4" w14:textId="77777777" w:rsidR="00F97CA0" w:rsidRDefault="00F97CA0" w:rsidP="00F97CA0">
      <w:pPr>
        <w:jc w:val="both"/>
        <w:rPr>
          <w:rFonts w:ascii="Arial" w:hAnsi="Arial" w:cs="Arial"/>
          <w:sz w:val="22"/>
          <w:szCs w:val="22"/>
          <w:vertAlign w:val="superscript"/>
        </w:rPr>
      </w:pPr>
    </w:p>
    <w:p w14:paraId="03E87F69" w14:textId="342C5218" w:rsidR="00F97CA0" w:rsidRDefault="00F97CA0" w:rsidP="00F97CA0">
      <w:pPr>
        <w:jc w:val="both"/>
        <w:rPr>
          <w:rFonts w:ascii="Arial" w:hAnsi="Arial" w:cs="Arial"/>
          <w:sz w:val="22"/>
          <w:szCs w:val="22"/>
        </w:rPr>
      </w:pPr>
      <w:proofErr w:type="spellStart"/>
      <w:r>
        <w:rPr>
          <w:rFonts w:ascii="Arial" w:hAnsi="Arial" w:cs="Arial"/>
          <w:sz w:val="22"/>
          <w:szCs w:val="22"/>
          <w:vertAlign w:val="superscript"/>
        </w:rPr>
        <w:t>a</w:t>
      </w:r>
      <w:r>
        <w:rPr>
          <w:rFonts w:ascii="Arial" w:hAnsi="Arial" w:cs="Arial"/>
          <w:sz w:val="22"/>
          <w:szCs w:val="22"/>
        </w:rPr>
        <w:t>Deemed</w:t>
      </w:r>
      <w:proofErr w:type="spellEnd"/>
      <w:r>
        <w:rPr>
          <w:rFonts w:ascii="Arial" w:hAnsi="Arial" w:cs="Arial"/>
          <w:sz w:val="22"/>
          <w:szCs w:val="22"/>
        </w:rPr>
        <w:t xml:space="preserve"> adherent based on self-reported dosing history, which was confirmed with detectable plasma concentrations of efavirenz, 8-hydroxy-efavirenz, tenofovir, and emtricitabine </w:t>
      </w:r>
    </w:p>
    <w:p w14:paraId="096C88BC" w14:textId="77777777" w:rsidR="00F97CA0" w:rsidRDefault="00F97CA0" w:rsidP="00F97CA0">
      <w:pPr>
        <w:jc w:val="both"/>
        <w:rPr>
          <w:rFonts w:ascii="Arial" w:hAnsi="Arial" w:cs="Arial"/>
          <w:sz w:val="22"/>
          <w:szCs w:val="22"/>
        </w:rPr>
      </w:pPr>
      <w:proofErr w:type="spellStart"/>
      <w:r>
        <w:rPr>
          <w:rFonts w:ascii="Arial" w:hAnsi="Arial" w:cs="Arial"/>
          <w:sz w:val="22"/>
          <w:szCs w:val="22"/>
          <w:vertAlign w:val="superscript"/>
        </w:rPr>
        <w:t>b</w:t>
      </w:r>
      <w:r>
        <w:rPr>
          <w:rFonts w:ascii="Arial" w:hAnsi="Arial" w:cs="Arial"/>
          <w:sz w:val="22"/>
          <w:szCs w:val="22"/>
        </w:rPr>
        <w:t>Undetectable</w:t>
      </w:r>
      <w:proofErr w:type="spellEnd"/>
      <w:r>
        <w:rPr>
          <w:rFonts w:ascii="Arial" w:hAnsi="Arial" w:cs="Arial"/>
          <w:sz w:val="22"/>
          <w:szCs w:val="22"/>
        </w:rPr>
        <w:t xml:space="preserve"> plasma concentrations for any of efavirenz, 8-hydroxy-efavirenz, tenofovir, or emtricitabine (interpreted as absolute non-adherence)</w:t>
      </w:r>
    </w:p>
    <w:p w14:paraId="23C64082" w14:textId="77777777" w:rsidR="00F97CA0" w:rsidRDefault="00F97CA0" w:rsidP="00F97CA0">
      <w:pPr>
        <w:jc w:val="both"/>
        <w:rPr>
          <w:rFonts w:ascii="Arial" w:hAnsi="Arial" w:cs="Arial"/>
          <w:sz w:val="22"/>
          <w:szCs w:val="22"/>
        </w:rPr>
      </w:pPr>
      <w:r>
        <w:rPr>
          <w:rFonts w:ascii="Arial" w:hAnsi="Arial" w:cs="Arial"/>
          <w:sz w:val="22"/>
          <w:szCs w:val="22"/>
        </w:rPr>
        <w:t>EFV = efavirenz, TFV = tenofovir, FTC = emtricitabine, ART = antiretroviral therapy</w:t>
      </w:r>
    </w:p>
    <w:p w14:paraId="5EB07F6D" w14:textId="3D368B5B" w:rsidR="00F97CA0" w:rsidRPr="00F97CA0" w:rsidRDefault="00F97CA0" w:rsidP="00F97CA0">
      <w:pPr>
        <w:rPr>
          <w:rFonts w:ascii="Arial" w:hAnsi="Arial" w:cs="Arial"/>
          <w:sz w:val="22"/>
          <w:szCs w:val="22"/>
        </w:rPr>
        <w:sectPr w:rsidR="00F97CA0" w:rsidRPr="00F97CA0" w:rsidSect="000275F4">
          <w:pgSz w:w="20160" w:h="12240" w:orient="landscape"/>
          <w:pgMar w:top="720" w:right="720" w:bottom="720" w:left="720" w:header="708" w:footer="708" w:gutter="0"/>
          <w:lnNumType w:countBy="1" w:restart="continuous"/>
          <w:cols w:space="708"/>
          <w:docGrid w:linePitch="360"/>
        </w:sectPr>
      </w:pPr>
    </w:p>
    <w:p w14:paraId="0E36E5B7" w14:textId="268BB0C8" w:rsidR="00485645" w:rsidRPr="005A2F40" w:rsidRDefault="00EF78CF" w:rsidP="00957EF5">
      <w:pPr>
        <w:jc w:val="both"/>
        <w:rPr>
          <w:rFonts w:ascii="Arial" w:hAnsi="Arial" w:cs="Arial"/>
          <w:sz w:val="22"/>
          <w:szCs w:val="22"/>
        </w:rPr>
      </w:pPr>
      <w:r>
        <w:rPr>
          <w:rFonts w:ascii="Arial" w:hAnsi="Arial" w:cs="Arial"/>
          <w:bCs/>
          <w:noProof/>
          <w:sz w:val="22"/>
          <w:szCs w:val="22"/>
        </w:rPr>
        <w:lastRenderedPageBreak/>
        <w:drawing>
          <wp:anchor distT="0" distB="0" distL="114300" distR="114300" simplePos="0" relativeHeight="251667456" behindDoc="0" locked="0" layoutInCell="1" allowOverlap="1" wp14:anchorId="19C10FF8" wp14:editId="122CA404">
            <wp:simplePos x="0" y="0"/>
            <wp:positionH relativeFrom="column">
              <wp:posOffset>67945</wp:posOffset>
            </wp:positionH>
            <wp:positionV relativeFrom="paragraph">
              <wp:posOffset>405765</wp:posOffset>
            </wp:positionV>
            <wp:extent cx="8131810" cy="5187950"/>
            <wp:effectExtent l="0" t="0" r="0" b="6350"/>
            <wp:wrapThrough wrapText="bothSides">
              <wp:wrapPolygon edited="0">
                <wp:start x="0" y="0"/>
                <wp:lineTo x="0" y="21574"/>
                <wp:lineTo x="21556" y="21574"/>
                <wp:lineTo x="21556" y="0"/>
                <wp:lineTo x="0" y="0"/>
              </wp:wrapPolygon>
            </wp:wrapThrough>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1"/>
                    <a:stretch>
                      <a:fillRect/>
                    </a:stretch>
                  </pic:blipFill>
                  <pic:spPr>
                    <a:xfrm>
                      <a:off x="0" y="0"/>
                      <a:ext cx="8131810" cy="5187950"/>
                    </a:xfrm>
                    <a:prstGeom prst="rect">
                      <a:avLst/>
                    </a:prstGeom>
                  </pic:spPr>
                </pic:pic>
              </a:graphicData>
            </a:graphic>
            <wp14:sizeRelH relativeFrom="page">
              <wp14:pctWidth>0</wp14:pctWidth>
            </wp14:sizeRelH>
            <wp14:sizeRelV relativeFrom="page">
              <wp14:pctHeight>0</wp14:pctHeight>
            </wp14:sizeRelV>
          </wp:anchor>
        </w:drawing>
      </w:r>
      <w:r w:rsidR="00485645" w:rsidRPr="002229FD">
        <w:rPr>
          <w:rFonts w:ascii="Arial" w:hAnsi="Arial" w:cs="Arial"/>
          <w:b/>
          <w:bCs/>
          <w:sz w:val="22"/>
          <w:szCs w:val="22"/>
        </w:rPr>
        <w:t xml:space="preserve">Figure </w:t>
      </w:r>
      <w:r w:rsidR="00485645">
        <w:rPr>
          <w:rFonts w:ascii="Arial" w:hAnsi="Arial" w:cs="Arial"/>
          <w:b/>
          <w:bCs/>
          <w:sz w:val="22"/>
          <w:szCs w:val="22"/>
        </w:rPr>
        <w:t>2</w:t>
      </w:r>
      <w:r w:rsidR="00485645" w:rsidRPr="002229FD">
        <w:rPr>
          <w:rFonts w:ascii="Arial" w:hAnsi="Arial" w:cs="Arial"/>
          <w:b/>
          <w:bCs/>
          <w:sz w:val="22"/>
          <w:szCs w:val="22"/>
        </w:rPr>
        <w:t xml:space="preserve">. </w:t>
      </w:r>
      <w:r w:rsidR="00485645" w:rsidRPr="0040631D">
        <w:rPr>
          <w:rFonts w:ascii="Arial" w:hAnsi="Arial" w:cs="Arial"/>
          <w:bCs/>
          <w:sz w:val="22"/>
          <w:szCs w:val="22"/>
        </w:rPr>
        <w:t>Antiretroviral drug concentrations in obese and non-obese participants as defined by waist circumferenc</w:t>
      </w:r>
      <w:r w:rsidR="00485645" w:rsidRPr="00563082">
        <w:rPr>
          <w:rFonts w:ascii="Arial" w:hAnsi="Arial" w:cs="Arial"/>
          <w:bCs/>
          <w:sz w:val="22"/>
          <w:szCs w:val="22"/>
        </w:rPr>
        <w:t>e.</w:t>
      </w:r>
    </w:p>
    <w:sectPr w:rsidR="00485645" w:rsidRPr="005A2F40" w:rsidSect="00485645">
      <w:pgSz w:w="16840" w:h="11900" w:orient="landscape"/>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64E3" w14:textId="77777777" w:rsidR="00472559" w:rsidRDefault="00472559" w:rsidP="0083006D">
      <w:r>
        <w:separator/>
      </w:r>
    </w:p>
  </w:endnote>
  <w:endnote w:type="continuationSeparator" w:id="0">
    <w:p w14:paraId="076485AD" w14:textId="77777777" w:rsidR="00472559" w:rsidRDefault="00472559" w:rsidP="0083006D">
      <w:r>
        <w:continuationSeparator/>
      </w:r>
    </w:p>
  </w:endnote>
  <w:endnote w:type="continuationNotice" w:id="1">
    <w:p w14:paraId="7169810E" w14:textId="77777777" w:rsidR="00472559" w:rsidRDefault="00472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9766972"/>
      <w:docPartObj>
        <w:docPartGallery w:val="Page Numbers (Bottom of Page)"/>
        <w:docPartUnique/>
      </w:docPartObj>
    </w:sdtPr>
    <w:sdtEndPr>
      <w:rPr>
        <w:rStyle w:val="PageNumber"/>
      </w:rPr>
    </w:sdtEndPr>
    <w:sdtContent>
      <w:p w14:paraId="7C49A145" w14:textId="79EEAF65" w:rsidR="00913D02" w:rsidRDefault="00913D02" w:rsidP="00FE4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97351" w14:textId="77777777" w:rsidR="00913D02" w:rsidRDefault="00913D02" w:rsidP="00D06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254662"/>
      <w:docPartObj>
        <w:docPartGallery w:val="Page Numbers (Bottom of Page)"/>
        <w:docPartUnique/>
      </w:docPartObj>
    </w:sdtPr>
    <w:sdtEndPr>
      <w:rPr>
        <w:rStyle w:val="PageNumber"/>
      </w:rPr>
    </w:sdtEndPr>
    <w:sdtContent>
      <w:p w14:paraId="34C69A98" w14:textId="1F2D33DC" w:rsidR="00913D02" w:rsidRDefault="00913D02" w:rsidP="00FE4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D6EC32F" w14:textId="77777777" w:rsidR="00913D02" w:rsidRDefault="00913D02" w:rsidP="00D06B17">
    <w:pPr>
      <w:pStyle w:val="Footer"/>
      <w:ind w:right="360"/>
      <w:jc w:val="right"/>
    </w:pPr>
  </w:p>
  <w:p w14:paraId="1D42CEA6" w14:textId="77777777" w:rsidR="00913D02" w:rsidRDefault="00913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EC9E" w14:textId="77777777" w:rsidR="00472559" w:rsidRDefault="00472559" w:rsidP="0083006D">
      <w:r>
        <w:separator/>
      </w:r>
    </w:p>
  </w:footnote>
  <w:footnote w:type="continuationSeparator" w:id="0">
    <w:p w14:paraId="46FFD269" w14:textId="77777777" w:rsidR="00472559" w:rsidRDefault="00472559" w:rsidP="0083006D">
      <w:r>
        <w:continuationSeparator/>
      </w:r>
    </w:p>
  </w:footnote>
  <w:footnote w:type="continuationNotice" w:id="1">
    <w:p w14:paraId="7C56A6B3" w14:textId="77777777" w:rsidR="00472559" w:rsidRDefault="004725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854"/>
    <w:multiLevelType w:val="hybridMultilevel"/>
    <w:tmpl w:val="F6107D80"/>
    <w:lvl w:ilvl="0" w:tplc="C9DEE168">
      <w:start w:val="1"/>
      <w:numFmt w:val="lowerLetter"/>
      <w:lvlText w:val="(%1)"/>
      <w:lvlJc w:val="left"/>
      <w:pPr>
        <w:ind w:left="960" w:hanging="9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73010AF"/>
    <w:multiLevelType w:val="hybridMultilevel"/>
    <w:tmpl w:val="1EF28FEA"/>
    <w:lvl w:ilvl="0" w:tplc="1F22B9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19A74A1"/>
    <w:multiLevelType w:val="hybridMultilevel"/>
    <w:tmpl w:val="1EA8565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5795467"/>
    <w:multiLevelType w:val="hybridMultilevel"/>
    <w:tmpl w:val="1EF28FEA"/>
    <w:lvl w:ilvl="0" w:tplc="1F22B9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B3F56FE"/>
    <w:multiLevelType w:val="hybridMultilevel"/>
    <w:tmpl w:val="1EF28FEA"/>
    <w:lvl w:ilvl="0" w:tplc="1F22B9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64345A91"/>
    <w:multiLevelType w:val="hybridMultilevel"/>
    <w:tmpl w:val="1EF28FEA"/>
    <w:lvl w:ilvl="0" w:tplc="1F22B9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BCB1002"/>
    <w:multiLevelType w:val="hybridMultilevel"/>
    <w:tmpl w:val="1EF28FEA"/>
    <w:lvl w:ilvl="0" w:tplc="1F22B9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1133C18"/>
    <w:multiLevelType w:val="hybridMultilevel"/>
    <w:tmpl w:val="1EF28FEA"/>
    <w:lvl w:ilvl="0" w:tplc="1F22B9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876358663">
    <w:abstractNumId w:val="0"/>
  </w:num>
  <w:num w:numId="2" w16cid:durableId="1480538494">
    <w:abstractNumId w:val="3"/>
  </w:num>
  <w:num w:numId="3" w16cid:durableId="204878882">
    <w:abstractNumId w:val="7"/>
  </w:num>
  <w:num w:numId="4" w16cid:durableId="315382265">
    <w:abstractNumId w:val="5"/>
  </w:num>
  <w:num w:numId="5" w16cid:durableId="771752421">
    <w:abstractNumId w:val="1"/>
  </w:num>
  <w:num w:numId="6" w16cid:durableId="1527480306">
    <w:abstractNumId w:val="6"/>
  </w:num>
  <w:num w:numId="7" w16cid:durableId="1721586343">
    <w:abstractNumId w:val="4"/>
  </w:num>
  <w:num w:numId="8" w16cid:durableId="12640746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FSVPasteboard_" w:val="14"/>
  </w:docVars>
  <w:rsids>
    <w:rsidRoot w:val="00A514B7"/>
    <w:rsid w:val="0000010C"/>
    <w:rsid w:val="00001393"/>
    <w:rsid w:val="0000175D"/>
    <w:rsid w:val="000022B0"/>
    <w:rsid w:val="0000328B"/>
    <w:rsid w:val="00003B79"/>
    <w:rsid w:val="000054B1"/>
    <w:rsid w:val="000057D6"/>
    <w:rsid w:val="00006973"/>
    <w:rsid w:val="000106FB"/>
    <w:rsid w:val="000109CC"/>
    <w:rsid w:val="00010BA4"/>
    <w:rsid w:val="00011192"/>
    <w:rsid w:val="000137D3"/>
    <w:rsid w:val="00013D6C"/>
    <w:rsid w:val="000155C9"/>
    <w:rsid w:val="00015C87"/>
    <w:rsid w:val="00020149"/>
    <w:rsid w:val="000215D8"/>
    <w:rsid w:val="000231E2"/>
    <w:rsid w:val="000257A6"/>
    <w:rsid w:val="00026386"/>
    <w:rsid w:val="000275CD"/>
    <w:rsid w:val="000275F4"/>
    <w:rsid w:val="0002778E"/>
    <w:rsid w:val="000306E9"/>
    <w:rsid w:val="000309E3"/>
    <w:rsid w:val="00034087"/>
    <w:rsid w:val="00035174"/>
    <w:rsid w:val="000363A4"/>
    <w:rsid w:val="00036FE4"/>
    <w:rsid w:val="00037118"/>
    <w:rsid w:val="0004025B"/>
    <w:rsid w:val="00041C17"/>
    <w:rsid w:val="00044D8C"/>
    <w:rsid w:val="000450C3"/>
    <w:rsid w:val="000458C1"/>
    <w:rsid w:val="000508E7"/>
    <w:rsid w:val="000529F1"/>
    <w:rsid w:val="00053C40"/>
    <w:rsid w:val="00053D91"/>
    <w:rsid w:val="00055F7A"/>
    <w:rsid w:val="00056146"/>
    <w:rsid w:val="000564A1"/>
    <w:rsid w:val="00060D8C"/>
    <w:rsid w:val="00062426"/>
    <w:rsid w:val="0006323E"/>
    <w:rsid w:val="00063467"/>
    <w:rsid w:val="00063B60"/>
    <w:rsid w:val="0006723B"/>
    <w:rsid w:val="000725C0"/>
    <w:rsid w:val="00073C00"/>
    <w:rsid w:val="00074867"/>
    <w:rsid w:val="0008041F"/>
    <w:rsid w:val="000811B3"/>
    <w:rsid w:val="00081C3E"/>
    <w:rsid w:val="00081CF5"/>
    <w:rsid w:val="000823EA"/>
    <w:rsid w:val="00082C9B"/>
    <w:rsid w:val="000848C4"/>
    <w:rsid w:val="00084E93"/>
    <w:rsid w:val="00085BF6"/>
    <w:rsid w:val="00085DFF"/>
    <w:rsid w:val="00086898"/>
    <w:rsid w:val="00086A2C"/>
    <w:rsid w:val="00086A60"/>
    <w:rsid w:val="0008783D"/>
    <w:rsid w:val="0008791D"/>
    <w:rsid w:val="0009118A"/>
    <w:rsid w:val="000922D2"/>
    <w:rsid w:val="00094E08"/>
    <w:rsid w:val="0009614A"/>
    <w:rsid w:val="0009664C"/>
    <w:rsid w:val="00097282"/>
    <w:rsid w:val="00097470"/>
    <w:rsid w:val="00097647"/>
    <w:rsid w:val="00097876"/>
    <w:rsid w:val="000A1002"/>
    <w:rsid w:val="000A264B"/>
    <w:rsid w:val="000A3EFF"/>
    <w:rsid w:val="000A4B35"/>
    <w:rsid w:val="000A5385"/>
    <w:rsid w:val="000A7173"/>
    <w:rsid w:val="000B0CA3"/>
    <w:rsid w:val="000B218E"/>
    <w:rsid w:val="000B3354"/>
    <w:rsid w:val="000B3A38"/>
    <w:rsid w:val="000B3AD9"/>
    <w:rsid w:val="000B791E"/>
    <w:rsid w:val="000C0543"/>
    <w:rsid w:val="000C3934"/>
    <w:rsid w:val="000C4073"/>
    <w:rsid w:val="000C49E8"/>
    <w:rsid w:val="000C4CBF"/>
    <w:rsid w:val="000C70C3"/>
    <w:rsid w:val="000C7983"/>
    <w:rsid w:val="000D06A3"/>
    <w:rsid w:val="000D0AD2"/>
    <w:rsid w:val="000D4801"/>
    <w:rsid w:val="000D4F87"/>
    <w:rsid w:val="000D55B1"/>
    <w:rsid w:val="000D5767"/>
    <w:rsid w:val="000D6A22"/>
    <w:rsid w:val="000D6E3B"/>
    <w:rsid w:val="000D797D"/>
    <w:rsid w:val="000D7E3E"/>
    <w:rsid w:val="000E030B"/>
    <w:rsid w:val="000E066D"/>
    <w:rsid w:val="000E1602"/>
    <w:rsid w:val="000E24BB"/>
    <w:rsid w:val="000E4A78"/>
    <w:rsid w:val="000E5515"/>
    <w:rsid w:val="000E604E"/>
    <w:rsid w:val="000E79E3"/>
    <w:rsid w:val="000E7A91"/>
    <w:rsid w:val="000F01BD"/>
    <w:rsid w:val="000F0A3E"/>
    <w:rsid w:val="000F0AB5"/>
    <w:rsid w:val="000F19FF"/>
    <w:rsid w:val="000F22DB"/>
    <w:rsid w:val="000F2CE3"/>
    <w:rsid w:val="000F510A"/>
    <w:rsid w:val="000F62E1"/>
    <w:rsid w:val="000F685F"/>
    <w:rsid w:val="000F7E08"/>
    <w:rsid w:val="0010007B"/>
    <w:rsid w:val="00101906"/>
    <w:rsid w:val="0010516E"/>
    <w:rsid w:val="00105B39"/>
    <w:rsid w:val="001065E0"/>
    <w:rsid w:val="0010684C"/>
    <w:rsid w:val="0010724E"/>
    <w:rsid w:val="0011000F"/>
    <w:rsid w:val="001123FB"/>
    <w:rsid w:val="0011436B"/>
    <w:rsid w:val="00114F30"/>
    <w:rsid w:val="00115372"/>
    <w:rsid w:val="00116CAE"/>
    <w:rsid w:val="00117E93"/>
    <w:rsid w:val="0012001C"/>
    <w:rsid w:val="00121468"/>
    <w:rsid w:val="00122515"/>
    <w:rsid w:val="00122C87"/>
    <w:rsid w:val="001239B8"/>
    <w:rsid w:val="00124B2F"/>
    <w:rsid w:val="001253EA"/>
    <w:rsid w:val="0012646A"/>
    <w:rsid w:val="00130FFA"/>
    <w:rsid w:val="00133021"/>
    <w:rsid w:val="00133263"/>
    <w:rsid w:val="00133C80"/>
    <w:rsid w:val="00134EA4"/>
    <w:rsid w:val="00134ED6"/>
    <w:rsid w:val="00135E7F"/>
    <w:rsid w:val="00136A55"/>
    <w:rsid w:val="0013741B"/>
    <w:rsid w:val="00137BAC"/>
    <w:rsid w:val="00137CDB"/>
    <w:rsid w:val="0014042A"/>
    <w:rsid w:val="00141868"/>
    <w:rsid w:val="00141C37"/>
    <w:rsid w:val="001427BF"/>
    <w:rsid w:val="0014298A"/>
    <w:rsid w:val="00142D2E"/>
    <w:rsid w:val="00144757"/>
    <w:rsid w:val="00150E32"/>
    <w:rsid w:val="001541B9"/>
    <w:rsid w:val="00155B38"/>
    <w:rsid w:val="00155C46"/>
    <w:rsid w:val="001565DB"/>
    <w:rsid w:val="0015710A"/>
    <w:rsid w:val="00157364"/>
    <w:rsid w:val="00160AFD"/>
    <w:rsid w:val="00160B04"/>
    <w:rsid w:val="00162455"/>
    <w:rsid w:val="0016345F"/>
    <w:rsid w:val="00164CB4"/>
    <w:rsid w:val="001661FE"/>
    <w:rsid w:val="00166583"/>
    <w:rsid w:val="001666BC"/>
    <w:rsid w:val="00167269"/>
    <w:rsid w:val="00167F26"/>
    <w:rsid w:val="00170877"/>
    <w:rsid w:val="00170A6C"/>
    <w:rsid w:val="00170C9C"/>
    <w:rsid w:val="00172994"/>
    <w:rsid w:val="00173105"/>
    <w:rsid w:val="00174B67"/>
    <w:rsid w:val="00174FD5"/>
    <w:rsid w:val="00175A7B"/>
    <w:rsid w:val="00176723"/>
    <w:rsid w:val="00176909"/>
    <w:rsid w:val="001773B3"/>
    <w:rsid w:val="0017782B"/>
    <w:rsid w:val="001801DE"/>
    <w:rsid w:val="00181318"/>
    <w:rsid w:val="001852BC"/>
    <w:rsid w:val="00186AC5"/>
    <w:rsid w:val="00190D22"/>
    <w:rsid w:val="00192C2E"/>
    <w:rsid w:val="001937B6"/>
    <w:rsid w:val="001937C3"/>
    <w:rsid w:val="001937E8"/>
    <w:rsid w:val="00193FDB"/>
    <w:rsid w:val="00194C46"/>
    <w:rsid w:val="001951AF"/>
    <w:rsid w:val="0019597F"/>
    <w:rsid w:val="00195CF4"/>
    <w:rsid w:val="001961B5"/>
    <w:rsid w:val="00196781"/>
    <w:rsid w:val="00197CE0"/>
    <w:rsid w:val="001A0194"/>
    <w:rsid w:val="001A0483"/>
    <w:rsid w:val="001A1356"/>
    <w:rsid w:val="001A2BC8"/>
    <w:rsid w:val="001A2DCC"/>
    <w:rsid w:val="001A2F6A"/>
    <w:rsid w:val="001A62B9"/>
    <w:rsid w:val="001A708B"/>
    <w:rsid w:val="001A72EC"/>
    <w:rsid w:val="001A7460"/>
    <w:rsid w:val="001A7B1E"/>
    <w:rsid w:val="001A7CD0"/>
    <w:rsid w:val="001B0FC2"/>
    <w:rsid w:val="001B29D2"/>
    <w:rsid w:val="001B40ED"/>
    <w:rsid w:val="001B6070"/>
    <w:rsid w:val="001B6701"/>
    <w:rsid w:val="001B7744"/>
    <w:rsid w:val="001C0D0A"/>
    <w:rsid w:val="001C2043"/>
    <w:rsid w:val="001C3356"/>
    <w:rsid w:val="001C405B"/>
    <w:rsid w:val="001C486C"/>
    <w:rsid w:val="001C5C8A"/>
    <w:rsid w:val="001C6781"/>
    <w:rsid w:val="001C74BA"/>
    <w:rsid w:val="001D022A"/>
    <w:rsid w:val="001D0D70"/>
    <w:rsid w:val="001D134B"/>
    <w:rsid w:val="001D2C23"/>
    <w:rsid w:val="001D3310"/>
    <w:rsid w:val="001D5478"/>
    <w:rsid w:val="001D6F2C"/>
    <w:rsid w:val="001D7BC2"/>
    <w:rsid w:val="001E02AE"/>
    <w:rsid w:val="001E0BEE"/>
    <w:rsid w:val="001E0E85"/>
    <w:rsid w:val="001E0FC3"/>
    <w:rsid w:val="001E1DCC"/>
    <w:rsid w:val="001E1EA6"/>
    <w:rsid w:val="001E2F17"/>
    <w:rsid w:val="001E3498"/>
    <w:rsid w:val="001E36DD"/>
    <w:rsid w:val="001E3804"/>
    <w:rsid w:val="001E3C7F"/>
    <w:rsid w:val="001E3F3B"/>
    <w:rsid w:val="001E73D7"/>
    <w:rsid w:val="001E774A"/>
    <w:rsid w:val="001E7CCD"/>
    <w:rsid w:val="001F0A7D"/>
    <w:rsid w:val="001F0D58"/>
    <w:rsid w:val="001F363C"/>
    <w:rsid w:val="001F6173"/>
    <w:rsid w:val="00200033"/>
    <w:rsid w:val="00201860"/>
    <w:rsid w:val="00202E56"/>
    <w:rsid w:val="002048C7"/>
    <w:rsid w:val="00206878"/>
    <w:rsid w:val="00206903"/>
    <w:rsid w:val="00210235"/>
    <w:rsid w:val="0021089C"/>
    <w:rsid w:val="002108C2"/>
    <w:rsid w:val="00211034"/>
    <w:rsid w:val="002115A1"/>
    <w:rsid w:val="00213E90"/>
    <w:rsid w:val="0021484D"/>
    <w:rsid w:val="00215BD9"/>
    <w:rsid w:val="00216F8B"/>
    <w:rsid w:val="00217098"/>
    <w:rsid w:val="00217E6A"/>
    <w:rsid w:val="00220410"/>
    <w:rsid w:val="00220910"/>
    <w:rsid w:val="00222D2C"/>
    <w:rsid w:val="002232AF"/>
    <w:rsid w:val="00223885"/>
    <w:rsid w:val="00225FDC"/>
    <w:rsid w:val="00226A94"/>
    <w:rsid w:val="00227331"/>
    <w:rsid w:val="00230296"/>
    <w:rsid w:val="0023057C"/>
    <w:rsid w:val="002314D9"/>
    <w:rsid w:val="00231DB7"/>
    <w:rsid w:val="0023309C"/>
    <w:rsid w:val="00234DAF"/>
    <w:rsid w:val="00234E25"/>
    <w:rsid w:val="00235794"/>
    <w:rsid w:val="0023729C"/>
    <w:rsid w:val="0024061C"/>
    <w:rsid w:val="002409A2"/>
    <w:rsid w:val="00240E34"/>
    <w:rsid w:val="00241049"/>
    <w:rsid w:val="0024141D"/>
    <w:rsid w:val="00241CB0"/>
    <w:rsid w:val="00241CC6"/>
    <w:rsid w:val="00241EEA"/>
    <w:rsid w:val="00242B46"/>
    <w:rsid w:val="00242D9B"/>
    <w:rsid w:val="00244E18"/>
    <w:rsid w:val="002450F7"/>
    <w:rsid w:val="0024514A"/>
    <w:rsid w:val="002478B3"/>
    <w:rsid w:val="002506DF"/>
    <w:rsid w:val="00250FFC"/>
    <w:rsid w:val="002543BF"/>
    <w:rsid w:val="0025484B"/>
    <w:rsid w:val="002554B2"/>
    <w:rsid w:val="002561AF"/>
    <w:rsid w:val="00256DB2"/>
    <w:rsid w:val="00257600"/>
    <w:rsid w:val="002579CC"/>
    <w:rsid w:val="0026008B"/>
    <w:rsid w:val="00260CF6"/>
    <w:rsid w:val="0026102E"/>
    <w:rsid w:val="00262079"/>
    <w:rsid w:val="00263B10"/>
    <w:rsid w:val="002643BB"/>
    <w:rsid w:val="0026529C"/>
    <w:rsid w:val="002654B0"/>
    <w:rsid w:val="00267955"/>
    <w:rsid w:val="00267AB0"/>
    <w:rsid w:val="002704C8"/>
    <w:rsid w:val="00270D29"/>
    <w:rsid w:val="0027117B"/>
    <w:rsid w:val="00271976"/>
    <w:rsid w:val="00272396"/>
    <w:rsid w:val="002724A2"/>
    <w:rsid w:val="00272823"/>
    <w:rsid w:val="0027509F"/>
    <w:rsid w:val="0027520E"/>
    <w:rsid w:val="00276554"/>
    <w:rsid w:val="0027704E"/>
    <w:rsid w:val="0027739E"/>
    <w:rsid w:val="00281666"/>
    <w:rsid w:val="00283FDC"/>
    <w:rsid w:val="0028610B"/>
    <w:rsid w:val="00290367"/>
    <w:rsid w:val="002913F4"/>
    <w:rsid w:val="00291CC1"/>
    <w:rsid w:val="0029249C"/>
    <w:rsid w:val="00292D0F"/>
    <w:rsid w:val="0029305C"/>
    <w:rsid w:val="00296F99"/>
    <w:rsid w:val="00297971"/>
    <w:rsid w:val="002A3908"/>
    <w:rsid w:val="002A5737"/>
    <w:rsid w:val="002A5B85"/>
    <w:rsid w:val="002A62A6"/>
    <w:rsid w:val="002A715E"/>
    <w:rsid w:val="002A7E56"/>
    <w:rsid w:val="002B02BD"/>
    <w:rsid w:val="002B1B77"/>
    <w:rsid w:val="002B2547"/>
    <w:rsid w:val="002B329D"/>
    <w:rsid w:val="002B451E"/>
    <w:rsid w:val="002B49FC"/>
    <w:rsid w:val="002B4A3A"/>
    <w:rsid w:val="002B4E6F"/>
    <w:rsid w:val="002B4EDD"/>
    <w:rsid w:val="002B7123"/>
    <w:rsid w:val="002B72BA"/>
    <w:rsid w:val="002B7B20"/>
    <w:rsid w:val="002C1739"/>
    <w:rsid w:val="002C18F0"/>
    <w:rsid w:val="002C6E9F"/>
    <w:rsid w:val="002C70B1"/>
    <w:rsid w:val="002D01E1"/>
    <w:rsid w:val="002D0371"/>
    <w:rsid w:val="002D1826"/>
    <w:rsid w:val="002D1C62"/>
    <w:rsid w:val="002D2BC4"/>
    <w:rsid w:val="002D3326"/>
    <w:rsid w:val="002D3823"/>
    <w:rsid w:val="002D3F53"/>
    <w:rsid w:val="002D402F"/>
    <w:rsid w:val="002D5BDA"/>
    <w:rsid w:val="002D60B0"/>
    <w:rsid w:val="002D78BD"/>
    <w:rsid w:val="002D7DC9"/>
    <w:rsid w:val="002E25DD"/>
    <w:rsid w:val="002E4AAE"/>
    <w:rsid w:val="002E5546"/>
    <w:rsid w:val="002E5A39"/>
    <w:rsid w:val="002E5C19"/>
    <w:rsid w:val="002E608E"/>
    <w:rsid w:val="002E64A5"/>
    <w:rsid w:val="002E64CF"/>
    <w:rsid w:val="002E6B0F"/>
    <w:rsid w:val="002F14E7"/>
    <w:rsid w:val="002F20DC"/>
    <w:rsid w:val="002F2933"/>
    <w:rsid w:val="002F2A04"/>
    <w:rsid w:val="002F2EE6"/>
    <w:rsid w:val="002F34EB"/>
    <w:rsid w:val="002F3CAA"/>
    <w:rsid w:val="002F54E3"/>
    <w:rsid w:val="002F65D1"/>
    <w:rsid w:val="002F7032"/>
    <w:rsid w:val="002F7D7F"/>
    <w:rsid w:val="003008FA"/>
    <w:rsid w:val="00300AF6"/>
    <w:rsid w:val="00300F0F"/>
    <w:rsid w:val="0030393C"/>
    <w:rsid w:val="0030451A"/>
    <w:rsid w:val="00307039"/>
    <w:rsid w:val="003118D0"/>
    <w:rsid w:val="00316077"/>
    <w:rsid w:val="00316FC7"/>
    <w:rsid w:val="0032098A"/>
    <w:rsid w:val="00320B34"/>
    <w:rsid w:val="00321F84"/>
    <w:rsid w:val="00322FD2"/>
    <w:rsid w:val="003232E9"/>
    <w:rsid w:val="003233C6"/>
    <w:rsid w:val="00323B5A"/>
    <w:rsid w:val="00324BE9"/>
    <w:rsid w:val="00325C86"/>
    <w:rsid w:val="0032650F"/>
    <w:rsid w:val="00327E2B"/>
    <w:rsid w:val="00330EB3"/>
    <w:rsid w:val="0033224D"/>
    <w:rsid w:val="00333AB0"/>
    <w:rsid w:val="0033565C"/>
    <w:rsid w:val="00336A90"/>
    <w:rsid w:val="003379D1"/>
    <w:rsid w:val="00340A2E"/>
    <w:rsid w:val="00341D00"/>
    <w:rsid w:val="00342C2F"/>
    <w:rsid w:val="00343926"/>
    <w:rsid w:val="00343F47"/>
    <w:rsid w:val="00344CBC"/>
    <w:rsid w:val="003456F5"/>
    <w:rsid w:val="00345790"/>
    <w:rsid w:val="00345EF0"/>
    <w:rsid w:val="00345F34"/>
    <w:rsid w:val="0034776E"/>
    <w:rsid w:val="003506D2"/>
    <w:rsid w:val="003527E9"/>
    <w:rsid w:val="00352A80"/>
    <w:rsid w:val="0035377C"/>
    <w:rsid w:val="00354286"/>
    <w:rsid w:val="00354C3E"/>
    <w:rsid w:val="00354CAB"/>
    <w:rsid w:val="00357F25"/>
    <w:rsid w:val="0036047B"/>
    <w:rsid w:val="00360C5E"/>
    <w:rsid w:val="00361657"/>
    <w:rsid w:val="003620DB"/>
    <w:rsid w:val="003647AD"/>
    <w:rsid w:val="00364E0D"/>
    <w:rsid w:val="00365A63"/>
    <w:rsid w:val="00366209"/>
    <w:rsid w:val="00366576"/>
    <w:rsid w:val="003672AE"/>
    <w:rsid w:val="00370439"/>
    <w:rsid w:val="00371AC0"/>
    <w:rsid w:val="0037309C"/>
    <w:rsid w:val="0037316A"/>
    <w:rsid w:val="00373DE6"/>
    <w:rsid w:val="0037405E"/>
    <w:rsid w:val="003756DD"/>
    <w:rsid w:val="00376A89"/>
    <w:rsid w:val="00377303"/>
    <w:rsid w:val="00380B6B"/>
    <w:rsid w:val="00381C82"/>
    <w:rsid w:val="00381CB0"/>
    <w:rsid w:val="00382075"/>
    <w:rsid w:val="003820D6"/>
    <w:rsid w:val="00382D8A"/>
    <w:rsid w:val="00382E0B"/>
    <w:rsid w:val="00383537"/>
    <w:rsid w:val="00383733"/>
    <w:rsid w:val="00384B89"/>
    <w:rsid w:val="00385EE8"/>
    <w:rsid w:val="00386B63"/>
    <w:rsid w:val="00386D58"/>
    <w:rsid w:val="00387B06"/>
    <w:rsid w:val="0039017F"/>
    <w:rsid w:val="00390960"/>
    <w:rsid w:val="00391EAF"/>
    <w:rsid w:val="003936A5"/>
    <w:rsid w:val="003941A3"/>
    <w:rsid w:val="003948C4"/>
    <w:rsid w:val="0039505F"/>
    <w:rsid w:val="00395811"/>
    <w:rsid w:val="003A13FC"/>
    <w:rsid w:val="003A19CB"/>
    <w:rsid w:val="003A1A80"/>
    <w:rsid w:val="003A2DB6"/>
    <w:rsid w:val="003A356E"/>
    <w:rsid w:val="003A440C"/>
    <w:rsid w:val="003A53A7"/>
    <w:rsid w:val="003A72FE"/>
    <w:rsid w:val="003A79B5"/>
    <w:rsid w:val="003A7D8C"/>
    <w:rsid w:val="003A7EEF"/>
    <w:rsid w:val="003B0606"/>
    <w:rsid w:val="003B10A9"/>
    <w:rsid w:val="003B4F32"/>
    <w:rsid w:val="003B673F"/>
    <w:rsid w:val="003B67BB"/>
    <w:rsid w:val="003B6BF9"/>
    <w:rsid w:val="003B7234"/>
    <w:rsid w:val="003C01AD"/>
    <w:rsid w:val="003C0205"/>
    <w:rsid w:val="003C1516"/>
    <w:rsid w:val="003C17FD"/>
    <w:rsid w:val="003C216C"/>
    <w:rsid w:val="003C359F"/>
    <w:rsid w:val="003C57B3"/>
    <w:rsid w:val="003C5B3D"/>
    <w:rsid w:val="003C7225"/>
    <w:rsid w:val="003C7A88"/>
    <w:rsid w:val="003D281E"/>
    <w:rsid w:val="003D3558"/>
    <w:rsid w:val="003D355B"/>
    <w:rsid w:val="003D439A"/>
    <w:rsid w:val="003D4BA7"/>
    <w:rsid w:val="003D59A9"/>
    <w:rsid w:val="003D6D23"/>
    <w:rsid w:val="003E03BF"/>
    <w:rsid w:val="003E1787"/>
    <w:rsid w:val="003E1B42"/>
    <w:rsid w:val="003E2914"/>
    <w:rsid w:val="003E4380"/>
    <w:rsid w:val="003E6D3B"/>
    <w:rsid w:val="003F0D49"/>
    <w:rsid w:val="003F1F78"/>
    <w:rsid w:val="003F2CE4"/>
    <w:rsid w:val="003F31F6"/>
    <w:rsid w:val="003F45CF"/>
    <w:rsid w:val="003F6858"/>
    <w:rsid w:val="003F7646"/>
    <w:rsid w:val="00401F81"/>
    <w:rsid w:val="00405993"/>
    <w:rsid w:val="0040628F"/>
    <w:rsid w:val="0040631D"/>
    <w:rsid w:val="004066CF"/>
    <w:rsid w:val="0041036D"/>
    <w:rsid w:val="00411629"/>
    <w:rsid w:val="00411916"/>
    <w:rsid w:val="00411BA1"/>
    <w:rsid w:val="00412C49"/>
    <w:rsid w:val="004138DA"/>
    <w:rsid w:val="00414608"/>
    <w:rsid w:val="00414DAF"/>
    <w:rsid w:val="0041552E"/>
    <w:rsid w:val="00415FAA"/>
    <w:rsid w:val="00417FA0"/>
    <w:rsid w:val="00420012"/>
    <w:rsid w:val="004210F1"/>
    <w:rsid w:val="004218D6"/>
    <w:rsid w:val="0042280F"/>
    <w:rsid w:val="00422845"/>
    <w:rsid w:val="00423A55"/>
    <w:rsid w:val="004262DE"/>
    <w:rsid w:val="00426FB7"/>
    <w:rsid w:val="004272FD"/>
    <w:rsid w:val="0043006B"/>
    <w:rsid w:val="00430492"/>
    <w:rsid w:val="00430B36"/>
    <w:rsid w:val="00431359"/>
    <w:rsid w:val="004341C6"/>
    <w:rsid w:val="00435CBC"/>
    <w:rsid w:val="00437774"/>
    <w:rsid w:val="004424D0"/>
    <w:rsid w:val="0044261E"/>
    <w:rsid w:val="004449DF"/>
    <w:rsid w:val="00445A47"/>
    <w:rsid w:val="00445A83"/>
    <w:rsid w:val="00446456"/>
    <w:rsid w:val="0045050D"/>
    <w:rsid w:val="004508E9"/>
    <w:rsid w:val="00450A2D"/>
    <w:rsid w:val="00451450"/>
    <w:rsid w:val="00453E51"/>
    <w:rsid w:val="00455D0B"/>
    <w:rsid w:val="00457AA4"/>
    <w:rsid w:val="00457E0F"/>
    <w:rsid w:val="0046014E"/>
    <w:rsid w:val="004608D3"/>
    <w:rsid w:val="00460DD8"/>
    <w:rsid w:val="0046452E"/>
    <w:rsid w:val="00465DC9"/>
    <w:rsid w:val="0046656B"/>
    <w:rsid w:val="0046729C"/>
    <w:rsid w:val="0047020C"/>
    <w:rsid w:val="00472300"/>
    <w:rsid w:val="00472559"/>
    <w:rsid w:val="00474B08"/>
    <w:rsid w:val="00474B6B"/>
    <w:rsid w:val="00476B99"/>
    <w:rsid w:val="00480413"/>
    <w:rsid w:val="00480593"/>
    <w:rsid w:val="00481DAC"/>
    <w:rsid w:val="00485563"/>
    <w:rsid w:val="00485645"/>
    <w:rsid w:val="004859D9"/>
    <w:rsid w:val="00487F0F"/>
    <w:rsid w:val="004905D9"/>
    <w:rsid w:val="004912F0"/>
    <w:rsid w:val="00492507"/>
    <w:rsid w:val="00493C60"/>
    <w:rsid w:val="00494A1B"/>
    <w:rsid w:val="00494B8B"/>
    <w:rsid w:val="00494E44"/>
    <w:rsid w:val="004958D6"/>
    <w:rsid w:val="004A0176"/>
    <w:rsid w:val="004A025F"/>
    <w:rsid w:val="004A04D9"/>
    <w:rsid w:val="004A0CB7"/>
    <w:rsid w:val="004A3906"/>
    <w:rsid w:val="004A3FFA"/>
    <w:rsid w:val="004A5083"/>
    <w:rsid w:val="004A5495"/>
    <w:rsid w:val="004A5B5A"/>
    <w:rsid w:val="004A62D3"/>
    <w:rsid w:val="004B0B58"/>
    <w:rsid w:val="004B0D7C"/>
    <w:rsid w:val="004B1458"/>
    <w:rsid w:val="004B20C3"/>
    <w:rsid w:val="004B2E3A"/>
    <w:rsid w:val="004B2F2A"/>
    <w:rsid w:val="004B43A6"/>
    <w:rsid w:val="004B4438"/>
    <w:rsid w:val="004B4461"/>
    <w:rsid w:val="004B4AA1"/>
    <w:rsid w:val="004B4E2A"/>
    <w:rsid w:val="004B524E"/>
    <w:rsid w:val="004B5255"/>
    <w:rsid w:val="004B60D0"/>
    <w:rsid w:val="004C0538"/>
    <w:rsid w:val="004C07F2"/>
    <w:rsid w:val="004C0F70"/>
    <w:rsid w:val="004C15F4"/>
    <w:rsid w:val="004C2169"/>
    <w:rsid w:val="004C339E"/>
    <w:rsid w:val="004C33A2"/>
    <w:rsid w:val="004C5BCA"/>
    <w:rsid w:val="004C70D0"/>
    <w:rsid w:val="004D3ECF"/>
    <w:rsid w:val="004D64D2"/>
    <w:rsid w:val="004D7205"/>
    <w:rsid w:val="004D7F11"/>
    <w:rsid w:val="004D7F77"/>
    <w:rsid w:val="004E027C"/>
    <w:rsid w:val="004E0498"/>
    <w:rsid w:val="004E1C36"/>
    <w:rsid w:val="004E56A3"/>
    <w:rsid w:val="004E76A0"/>
    <w:rsid w:val="004E7D42"/>
    <w:rsid w:val="004F0483"/>
    <w:rsid w:val="004F0F8A"/>
    <w:rsid w:val="004F2F53"/>
    <w:rsid w:val="004F422E"/>
    <w:rsid w:val="004F4BD5"/>
    <w:rsid w:val="004F4D73"/>
    <w:rsid w:val="004F5D4C"/>
    <w:rsid w:val="004F760B"/>
    <w:rsid w:val="005017AD"/>
    <w:rsid w:val="00505F43"/>
    <w:rsid w:val="00505FAF"/>
    <w:rsid w:val="00506E8D"/>
    <w:rsid w:val="00511281"/>
    <w:rsid w:val="00512D91"/>
    <w:rsid w:val="00513E1E"/>
    <w:rsid w:val="00514FA3"/>
    <w:rsid w:val="00523803"/>
    <w:rsid w:val="00523DB0"/>
    <w:rsid w:val="005335A3"/>
    <w:rsid w:val="00533921"/>
    <w:rsid w:val="0053455B"/>
    <w:rsid w:val="0054074F"/>
    <w:rsid w:val="00541E82"/>
    <w:rsid w:val="00542BDA"/>
    <w:rsid w:val="00543A89"/>
    <w:rsid w:val="00543D45"/>
    <w:rsid w:val="00544354"/>
    <w:rsid w:val="0054439F"/>
    <w:rsid w:val="00544BC5"/>
    <w:rsid w:val="00545A2B"/>
    <w:rsid w:val="00545BBC"/>
    <w:rsid w:val="0054630E"/>
    <w:rsid w:val="00547C48"/>
    <w:rsid w:val="005508CA"/>
    <w:rsid w:val="00550E72"/>
    <w:rsid w:val="005513F1"/>
    <w:rsid w:val="00551948"/>
    <w:rsid w:val="00551ED7"/>
    <w:rsid w:val="00552989"/>
    <w:rsid w:val="00553D79"/>
    <w:rsid w:val="00553E8F"/>
    <w:rsid w:val="005555CC"/>
    <w:rsid w:val="00560039"/>
    <w:rsid w:val="00560135"/>
    <w:rsid w:val="00560D5F"/>
    <w:rsid w:val="00562FB6"/>
    <w:rsid w:val="00563082"/>
    <w:rsid w:val="00563558"/>
    <w:rsid w:val="00564A94"/>
    <w:rsid w:val="00564AE8"/>
    <w:rsid w:val="005650A9"/>
    <w:rsid w:val="00567D57"/>
    <w:rsid w:val="00571419"/>
    <w:rsid w:val="00571A23"/>
    <w:rsid w:val="00573737"/>
    <w:rsid w:val="005739A6"/>
    <w:rsid w:val="005741AD"/>
    <w:rsid w:val="00574F6F"/>
    <w:rsid w:val="00576EEC"/>
    <w:rsid w:val="0058224E"/>
    <w:rsid w:val="00582509"/>
    <w:rsid w:val="00585145"/>
    <w:rsid w:val="00586D87"/>
    <w:rsid w:val="005871A4"/>
    <w:rsid w:val="00587244"/>
    <w:rsid w:val="00590361"/>
    <w:rsid w:val="005942DA"/>
    <w:rsid w:val="00594959"/>
    <w:rsid w:val="005950B4"/>
    <w:rsid w:val="0059779C"/>
    <w:rsid w:val="00597AB5"/>
    <w:rsid w:val="005A0246"/>
    <w:rsid w:val="005A0DB0"/>
    <w:rsid w:val="005A1018"/>
    <w:rsid w:val="005A1E50"/>
    <w:rsid w:val="005A210D"/>
    <w:rsid w:val="005A2CBF"/>
    <w:rsid w:val="005A2F40"/>
    <w:rsid w:val="005A2F5A"/>
    <w:rsid w:val="005A4130"/>
    <w:rsid w:val="005A446A"/>
    <w:rsid w:val="005A4863"/>
    <w:rsid w:val="005A6D81"/>
    <w:rsid w:val="005A6EA8"/>
    <w:rsid w:val="005A7D62"/>
    <w:rsid w:val="005B35FE"/>
    <w:rsid w:val="005B446A"/>
    <w:rsid w:val="005B494C"/>
    <w:rsid w:val="005B5C64"/>
    <w:rsid w:val="005B6ACF"/>
    <w:rsid w:val="005B7B30"/>
    <w:rsid w:val="005C06F8"/>
    <w:rsid w:val="005C0CE1"/>
    <w:rsid w:val="005C363F"/>
    <w:rsid w:val="005C38B1"/>
    <w:rsid w:val="005C3D5B"/>
    <w:rsid w:val="005C458F"/>
    <w:rsid w:val="005C5B35"/>
    <w:rsid w:val="005C7647"/>
    <w:rsid w:val="005D028E"/>
    <w:rsid w:val="005D056B"/>
    <w:rsid w:val="005D19D3"/>
    <w:rsid w:val="005E240D"/>
    <w:rsid w:val="005E30D9"/>
    <w:rsid w:val="005E35AD"/>
    <w:rsid w:val="005E3BAD"/>
    <w:rsid w:val="005E400B"/>
    <w:rsid w:val="005E42E9"/>
    <w:rsid w:val="005E4B35"/>
    <w:rsid w:val="005E4FB3"/>
    <w:rsid w:val="005F2D3B"/>
    <w:rsid w:val="005F3189"/>
    <w:rsid w:val="005F3755"/>
    <w:rsid w:val="005F5B0C"/>
    <w:rsid w:val="005F70CC"/>
    <w:rsid w:val="005F7535"/>
    <w:rsid w:val="005F785D"/>
    <w:rsid w:val="0060349D"/>
    <w:rsid w:val="00604608"/>
    <w:rsid w:val="00606652"/>
    <w:rsid w:val="00606DAB"/>
    <w:rsid w:val="0060708B"/>
    <w:rsid w:val="00607423"/>
    <w:rsid w:val="00610E37"/>
    <w:rsid w:val="00611834"/>
    <w:rsid w:val="00611BF7"/>
    <w:rsid w:val="006142C6"/>
    <w:rsid w:val="006153AE"/>
    <w:rsid w:val="00615D51"/>
    <w:rsid w:val="00615E7E"/>
    <w:rsid w:val="006160C5"/>
    <w:rsid w:val="00616516"/>
    <w:rsid w:val="006204FE"/>
    <w:rsid w:val="00621E67"/>
    <w:rsid w:val="006238EE"/>
    <w:rsid w:val="00625D89"/>
    <w:rsid w:val="0062736E"/>
    <w:rsid w:val="006300B5"/>
    <w:rsid w:val="00630F9D"/>
    <w:rsid w:val="0063315A"/>
    <w:rsid w:val="00633408"/>
    <w:rsid w:val="00635BA8"/>
    <w:rsid w:val="006371DE"/>
    <w:rsid w:val="00643270"/>
    <w:rsid w:val="006443D9"/>
    <w:rsid w:val="0064742B"/>
    <w:rsid w:val="0064777C"/>
    <w:rsid w:val="00650E73"/>
    <w:rsid w:val="00650E88"/>
    <w:rsid w:val="0065408E"/>
    <w:rsid w:val="00654E42"/>
    <w:rsid w:val="00655F93"/>
    <w:rsid w:val="0066174D"/>
    <w:rsid w:val="00662BD2"/>
    <w:rsid w:val="00663592"/>
    <w:rsid w:val="00665EE8"/>
    <w:rsid w:val="00666E1D"/>
    <w:rsid w:val="0067015E"/>
    <w:rsid w:val="00670183"/>
    <w:rsid w:val="006708CF"/>
    <w:rsid w:val="0067096B"/>
    <w:rsid w:val="00670DF5"/>
    <w:rsid w:val="00675F94"/>
    <w:rsid w:val="00680E52"/>
    <w:rsid w:val="00682966"/>
    <w:rsid w:val="006848B1"/>
    <w:rsid w:val="00684914"/>
    <w:rsid w:val="00684DD6"/>
    <w:rsid w:val="00685276"/>
    <w:rsid w:val="006862CA"/>
    <w:rsid w:val="0068636C"/>
    <w:rsid w:val="00686E9E"/>
    <w:rsid w:val="006873BB"/>
    <w:rsid w:val="0069276A"/>
    <w:rsid w:val="00693274"/>
    <w:rsid w:val="00695CE9"/>
    <w:rsid w:val="00695DB3"/>
    <w:rsid w:val="00696229"/>
    <w:rsid w:val="006A0805"/>
    <w:rsid w:val="006A0B7E"/>
    <w:rsid w:val="006A1719"/>
    <w:rsid w:val="006A2F1B"/>
    <w:rsid w:val="006A3280"/>
    <w:rsid w:val="006A3C3F"/>
    <w:rsid w:val="006A3D5A"/>
    <w:rsid w:val="006A4EC7"/>
    <w:rsid w:val="006A6E1E"/>
    <w:rsid w:val="006A6F24"/>
    <w:rsid w:val="006A7B88"/>
    <w:rsid w:val="006B24E7"/>
    <w:rsid w:val="006B368C"/>
    <w:rsid w:val="006B398A"/>
    <w:rsid w:val="006B5431"/>
    <w:rsid w:val="006B7047"/>
    <w:rsid w:val="006B7E63"/>
    <w:rsid w:val="006C096C"/>
    <w:rsid w:val="006C0C9D"/>
    <w:rsid w:val="006C4B45"/>
    <w:rsid w:val="006C4B7B"/>
    <w:rsid w:val="006C4C1D"/>
    <w:rsid w:val="006C586A"/>
    <w:rsid w:val="006C5CD1"/>
    <w:rsid w:val="006C69BC"/>
    <w:rsid w:val="006D0311"/>
    <w:rsid w:val="006D099F"/>
    <w:rsid w:val="006D1AD8"/>
    <w:rsid w:val="006D236B"/>
    <w:rsid w:val="006D33EB"/>
    <w:rsid w:val="006D5198"/>
    <w:rsid w:val="006D5A1A"/>
    <w:rsid w:val="006D7A66"/>
    <w:rsid w:val="006E1B93"/>
    <w:rsid w:val="006E3172"/>
    <w:rsid w:val="006E327C"/>
    <w:rsid w:val="006E4167"/>
    <w:rsid w:val="006E5C1C"/>
    <w:rsid w:val="006E6497"/>
    <w:rsid w:val="006E77CE"/>
    <w:rsid w:val="006F0A0D"/>
    <w:rsid w:val="006F30D8"/>
    <w:rsid w:val="006F3DED"/>
    <w:rsid w:val="006F497A"/>
    <w:rsid w:val="006F529A"/>
    <w:rsid w:val="006F5C06"/>
    <w:rsid w:val="006F5C75"/>
    <w:rsid w:val="006F5D77"/>
    <w:rsid w:val="006F6AEB"/>
    <w:rsid w:val="006F7630"/>
    <w:rsid w:val="006F787A"/>
    <w:rsid w:val="007006E1"/>
    <w:rsid w:val="00701A0A"/>
    <w:rsid w:val="00701E28"/>
    <w:rsid w:val="0070416A"/>
    <w:rsid w:val="0070421C"/>
    <w:rsid w:val="00704B8F"/>
    <w:rsid w:val="00705F70"/>
    <w:rsid w:val="0070618C"/>
    <w:rsid w:val="00707D6D"/>
    <w:rsid w:val="00710D90"/>
    <w:rsid w:val="00713745"/>
    <w:rsid w:val="00713B81"/>
    <w:rsid w:val="00713EE3"/>
    <w:rsid w:val="007144C3"/>
    <w:rsid w:val="0071566B"/>
    <w:rsid w:val="00715A04"/>
    <w:rsid w:val="00715AD6"/>
    <w:rsid w:val="00715C4C"/>
    <w:rsid w:val="007178C0"/>
    <w:rsid w:val="00721F53"/>
    <w:rsid w:val="0072206C"/>
    <w:rsid w:val="00722B2D"/>
    <w:rsid w:val="00722DF0"/>
    <w:rsid w:val="0072381E"/>
    <w:rsid w:val="007250EA"/>
    <w:rsid w:val="007260B1"/>
    <w:rsid w:val="00727477"/>
    <w:rsid w:val="0073062A"/>
    <w:rsid w:val="007309A7"/>
    <w:rsid w:val="007316DA"/>
    <w:rsid w:val="007320DB"/>
    <w:rsid w:val="007322D6"/>
    <w:rsid w:val="0073261B"/>
    <w:rsid w:val="00733284"/>
    <w:rsid w:val="007332EF"/>
    <w:rsid w:val="007359CA"/>
    <w:rsid w:val="007360EA"/>
    <w:rsid w:val="00736561"/>
    <w:rsid w:val="00736BD1"/>
    <w:rsid w:val="00737050"/>
    <w:rsid w:val="007378F4"/>
    <w:rsid w:val="00741079"/>
    <w:rsid w:val="00741525"/>
    <w:rsid w:val="00741892"/>
    <w:rsid w:val="00741D21"/>
    <w:rsid w:val="00744C85"/>
    <w:rsid w:val="00744F3E"/>
    <w:rsid w:val="007455BA"/>
    <w:rsid w:val="0074624F"/>
    <w:rsid w:val="00750ECC"/>
    <w:rsid w:val="0075139F"/>
    <w:rsid w:val="007517BC"/>
    <w:rsid w:val="00751DDE"/>
    <w:rsid w:val="00752F0A"/>
    <w:rsid w:val="007550A7"/>
    <w:rsid w:val="00755965"/>
    <w:rsid w:val="0075714D"/>
    <w:rsid w:val="00757593"/>
    <w:rsid w:val="00757A2D"/>
    <w:rsid w:val="00757A3D"/>
    <w:rsid w:val="00760749"/>
    <w:rsid w:val="00761B03"/>
    <w:rsid w:val="00762B94"/>
    <w:rsid w:val="007641CE"/>
    <w:rsid w:val="007645CE"/>
    <w:rsid w:val="00764971"/>
    <w:rsid w:val="007649AF"/>
    <w:rsid w:val="00764E1F"/>
    <w:rsid w:val="00764F4C"/>
    <w:rsid w:val="0076610B"/>
    <w:rsid w:val="00767470"/>
    <w:rsid w:val="00770215"/>
    <w:rsid w:val="00772149"/>
    <w:rsid w:val="007726A5"/>
    <w:rsid w:val="00772DB0"/>
    <w:rsid w:val="00774CDA"/>
    <w:rsid w:val="00775B20"/>
    <w:rsid w:val="007763F2"/>
    <w:rsid w:val="00777411"/>
    <w:rsid w:val="00777672"/>
    <w:rsid w:val="00782C2A"/>
    <w:rsid w:val="00783A70"/>
    <w:rsid w:val="007852D3"/>
    <w:rsid w:val="007853E6"/>
    <w:rsid w:val="007854C2"/>
    <w:rsid w:val="0078618F"/>
    <w:rsid w:val="00786AB3"/>
    <w:rsid w:val="00786C20"/>
    <w:rsid w:val="00786C63"/>
    <w:rsid w:val="00787BD8"/>
    <w:rsid w:val="0079009C"/>
    <w:rsid w:val="0079072D"/>
    <w:rsid w:val="00790FA7"/>
    <w:rsid w:val="0079345D"/>
    <w:rsid w:val="0079433C"/>
    <w:rsid w:val="007945D4"/>
    <w:rsid w:val="00797DC6"/>
    <w:rsid w:val="007A0285"/>
    <w:rsid w:val="007A1A88"/>
    <w:rsid w:val="007A1D3C"/>
    <w:rsid w:val="007A20E4"/>
    <w:rsid w:val="007A3AD4"/>
    <w:rsid w:val="007A40A3"/>
    <w:rsid w:val="007A59D0"/>
    <w:rsid w:val="007A5A6A"/>
    <w:rsid w:val="007A6503"/>
    <w:rsid w:val="007B139C"/>
    <w:rsid w:val="007B2E1D"/>
    <w:rsid w:val="007B4DA7"/>
    <w:rsid w:val="007B6835"/>
    <w:rsid w:val="007C0B98"/>
    <w:rsid w:val="007C1254"/>
    <w:rsid w:val="007C1D4E"/>
    <w:rsid w:val="007C4D6B"/>
    <w:rsid w:val="007C5D5E"/>
    <w:rsid w:val="007C7B02"/>
    <w:rsid w:val="007D01C9"/>
    <w:rsid w:val="007D094D"/>
    <w:rsid w:val="007D0C1A"/>
    <w:rsid w:val="007D1A45"/>
    <w:rsid w:val="007D1D7A"/>
    <w:rsid w:val="007D4553"/>
    <w:rsid w:val="007D5592"/>
    <w:rsid w:val="007E0105"/>
    <w:rsid w:val="007E03CB"/>
    <w:rsid w:val="007E1B86"/>
    <w:rsid w:val="007E1F4A"/>
    <w:rsid w:val="007E290E"/>
    <w:rsid w:val="007E39B2"/>
    <w:rsid w:val="007E43F3"/>
    <w:rsid w:val="007E47A9"/>
    <w:rsid w:val="007E527D"/>
    <w:rsid w:val="007E6C45"/>
    <w:rsid w:val="007E7B8A"/>
    <w:rsid w:val="007F1B60"/>
    <w:rsid w:val="007F1CC2"/>
    <w:rsid w:val="007F1EA6"/>
    <w:rsid w:val="007F34DA"/>
    <w:rsid w:val="007F58EB"/>
    <w:rsid w:val="007F5E22"/>
    <w:rsid w:val="007F60A9"/>
    <w:rsid w:val="00802523"/>
    <w:rsid w:val="008031A9"/>
    <w:rsid w:val="0080427E"/>
    <w:rsid w:val="0080569C"/>
    <w:rsid w:val="00805A39"/>
    <w:rsid w:val="00806233"/>
    <w:rsid w:val="0080702E"/>
    <w:rsid w:val="00810D61"/>
    <w:rsid w:val="00810E07"/>
    <w:rsid w:val="00811C19"/>
    <w:rsid w:val="008134A8"/>
    <w:rsid w:val="00815264"/>
    <w:rsid w:val="00815271"/>
    <w:rsid w:val="00815750"/>
    <w:rsid w:val="00816F7D"/>
    <w:rsid w:val="008175A6"/>
    <w:rsid w:val="00817EBF"/>
    <w:rsid w:val="00817F57"/>
    <w:rsid w:val="008250BD"/>
    <w:rsid w:val="00825F64"/>
    <w:rsid w:val="0083006D"/>
    <w:rsid w:val="0083064A"/>
    <w:rsid w:val="008311ED"/>
    <w:rsid w:val="00832287"/>
    <w:rsid w:val="00835DE2"/>
    <w:rsid w:val="0083638C"/>
    <w:rsid w:val="00836F26"/>
    <w:rsid w:val="0084056A"/>
    <w:rsid w:val="00843675"/>
    <w:rsid w:val="0084383C"/>
    <w:rsid w:val="0084416F"/>
    <w:rsid w:val="008444B8"/>
    <w:rsid w:val="00845355"/>
    <w:rsid w:val="00845614"/>
    <w:rsid w:val="00845974"/>
    <w:rsid w:val="00846892"/>
    <w:rsid w:val="00846B08"/>
    <w:rsid w:val="00847405"/>
    <w:rsid w:val="00847655"/>
    <w:rsid w:val="00847FCD"/>
    <w:rsid w:val="008511B8"/>
    <w:rsid w:val="00852267"/>
    <w:rsid w:val="008546A5"/>
    <w:rsid w:val="008558D6"/>
    <w:rsid w:val="00855F2F"/>
    <w:rsid w:val="00856D16"/>
    <w:rsid w:val="00860471"/>
    <w:rsid w:val="00860F98"/>
    <w:rsid w:val="008612EA"/>
    <w:rsid w:val="008616ED"/>
    <w:rsid w:val="0086250A"/>
    <w:rsid w:val="00862679"/>
    <w:rsid w:val="008626F1"/>
    <w:rsid w:val="00862720"/>
    <w:rsid w:val="0086379E"/>
    <w:rsid w:val="00863B2E"/>
    <w:rsid w:val="00865427"/>
    <w:rsid w:val="008664A2"/>
    <w:rsid w:val="008703F5"/>
    <w:rsid w:val="008709DD"/>
    <w:rsid w:val="00871168"/>
    <w:rsid w:val="00872CE3"/>
    <w:rsid w:val="008732FD"/>
    <w:rsid w:val="00874184"/>
    <w:rsid w:val="00880D5A"/>
    <w:rsid w:val="00884570"/>
    <w:rsid w:val="008850A1"/>
    <w:rsid w:val="008854B2"/>
    <w:rsid w:val="00885806"/>
    <w:rsid w:val="00886032"/>
    <w:rsid w:val="0088719C"/>
    <w:rsid w:val="00887445"/>
    <w:rsid w:val="00890C6C"/>
    <w:rsid w:val="00891409"/>
    <w:rsid w:val="0089258A"/>
    <w:rsid w:val="00892612"/>
    <w:rsid w:val="00892C50"/>
    <w:rsid w:val="008940C7"/>
    <w:rsid w:val="008946E2"/>
    <w:rsid w:val="00895DB3"/>
    <w:rsid w:val="00896818"/>
    <w:rsid w:val="008968AF"/>
    <w:rsid w:val="008A0DB1"/>
    <w:rsid w:val="008A2ECB"/>
    <w:rsid w:val="008A43BE"/>
    <w:rsid w:val="008A49EF"/>
    <w:rsid w:val="008B0758"/>
    <w:rsid w:val="008B07A5"/>
    <w:rsid w:val="008B08A1"/>
    <w:rsid w:val="008B0E56"/>
    <w:rsid w:val="008B1398"/>
    <w:rsid w:val="008B3265"/>
    <w:rsid w:val="008B3793"/>
    <w:rsid w:val="008B3AC6"/>
    <w:rsid w:val="008B6936"/>
    <w:rsid w:val="008B7B51"/>
    <w:rsid w:val="008B7D9A"/>
    <w:rsid w:val="008C2629"/>
    <w:rsid w:val="008C32F3"/>
    <w:rsid w:val="008C60CC"/>
    <w:rsid w:val="008C77D7"/>
    <w:rsid w:val="008D0761"/>
    <w:rsid w:val="008D0E1C"/>
    <w:rsid w:val="008D100A"/>
    <w:rsid w:val="008D35E8"/>
    <w:rsid w:val="008D3D96"/>
    <w:rsid w:val="008D5206"/>
    <w:rsid w:val="008D7594"/>
    <w:rsid w:val="008D7C9B"/>
    <w:rsid w:val="008D7F7B"/>
    <w:rsid w:val="008E0E9D"/>
    <w:rsid w:val="008E30BD"/>
    <w:rsid w:val="008E34DC"/>
    <w:rsid w:val="008E42E4"/>
    <w:rsid w:val="008E6157"/>
    <w:rsid w:val="008E6297"/>
    <w:rsid w:val="008E6898"/>
    <w:rsid w:val="008E6F90"/>
    <w:rsid w:val="008E794D"/>
    <w:rsid w:val="008F0DCB"/>
    <w:rsid w:val="008F0DF6"/>
    <w:rsid w:val="008F73EB"/>
    <w:rsid w:val="008F7509"/>
    <w:rsid w:val="008F7A22"/>
    <w:rsid w:val="00901891"/>
    <w:rsid w:val="00901FCE"/>
    <w:rsid w:val="009022C2"/>
    <w:rsid w:val="00902B57"/>
    <w:rsid w:val="00903DD7"/>
    <w:rsid w:val="00903E5A"/>
    <w:rsid w:val="00904C47"/>
    <w:rsid w:val="00906144"/>
    <w:rsid w:val="00906815"/>
    <w:rsid w:val="0090741D"/>
    <w:rsid w:val="009074D8"/>
    <w:rsid w:val="00910794"/>
    <w:rsid w:val="00911AE8"/>
    <w:rsid w:val="00911F5A"/>
    <w:rsid w:val="00913D02"/>
    <w:rsid w:val="0091479C"/>
    <w:rsid w:val="00914A85"/>
    <w:rsid w:val="00916581"/>
    <w:rsid w:val="0091719B"/>
    <w:rsid w:val="00920557"/>
    <w:rsid w:val="00920744"/>
    <w:rsid w:val="009215E2"/>
    <w:rsid w:val="00922DB0"/>
    <w:rsid w:val="009237C1"/>
    <w:rsid w:val="00924CB3"/>
    <w:rsid w:val="0092560E"/>
    <w:rsid w:val="00925C71"/>
    <w:rsid w:val="0092647F"/>
    <w:rsid w:val="009273B4"/>
    <w:rsid w:val="00927537"/>
    <w:rsid w:val="0092793B"/>
    <w:rsid w:val="0093038C"/>
    <w:rsid w:val="00930D93"/>
    <w:rsid w:val="0093207D"/>
    <w:rsid w:val="00932FAE"/>
    <w:rsid w:val="009335E0"/>
    <w:rsid w:val="00933A6D"/>
    <w:rsid w:val="0093406A"/>
    <w:rsid w:val="00935A60"/>
    <w:rsid w:val="009368AA"/>
    <w:rsid w:val="00937570"/>
    <w:rsid w:val="00941CC4"/>
    <w:rsid w:val="009461F0"/>
    <w:rsid w:val="009500CB"/>
    <w:rsid w:val="00950AF9"/>
    <w:rsid w:val="00950E86"/>
    <w:rsid w:val="009521F2"/>
    <w:rsid w:val="009529AA"/>
    <w:rsid w:val="00953EA3"/>
    <w:rsid w:val="00954AFF"/>
    <w:rsid w:val="00956A2B"/>
    <w:rsid w:val="00957EF5"/>
    <w:rsid w:val="009636A6"/>
    <w:rsid w:val="0096489F"/>
    <w:rsid w:val="00964AA2"/>
    <w:rsid w:val="009651F0"/>
    <w:rsid w:val="009663B1"/>
    <w:rsid w:val="00967D5E"/>
    <w:rsid w:val="0097092E"/>
    <w:rsid w:val="00970F4B"/>
    <w:rsid w:val="00971CC8"/>
    <w:rsid w:val="00971D5C"/>
    <w:rsid w:val="009723EF"/>
    <w:rsid w:val="009725D8"/>
    <w:rsid w:val="00972DE4"/>
    <w:rsid w:val="009754C8"/>
    <w:rsid w:val="00975596"/>
    <w:rsid w:val="0097568B"/>
    <w:rsid w:val="00977EA6"/>
    <w:rsid w:val="00987255"/>
    <w:rsid w:val="0099409D"/>
    <w:rsid w:val="009951A4"/>
    <w:rsid w:val="009958F9"/>
    <w:rsid w:val="00996A78"/>
    <w:rsid w:val="00996B23"/>
    <w:rsid w:val="009A0A9E"/>
    <w:rsid w:val="009A3F30"/>
    <w:rsid w:val="009A4431"/>
    <w:rsid w:val="009A4FFD"/>
    <w:rsid w:val="009A577C"/>
    <w:rsid w:val="009A5E1A"/>
    <w:rsid w:val="009A6254"/>
    <w:rsid w:val="009A66B8"/>
    <w:rsid w:val="009A7B27"/>
    <w:rsid w:val="009B1357"/>
    <w:rsid w:val="009B1D48"/>
    <w:rsid w:val="009B22E7"/>
    <w:rsid w:val="009B2F46"/>
    <w:rsid w:val="009B3781"/>
    <w:rsid w:val="009B48B4"/>
    <w:rsid w:val="009C0692"/>
    <w:rsid w:val="009C0875"/>
    <w:rsid w:val="009C0B3C"/>
    <w:rsid w:val="009C0C55"/>
    <w:rsid w:val="009C15AF"/>
    <w:rsid w:val="009C2013"/>
    <w:rsid w:val="009C2A58"/>
    <w:rsid w:val="009C3720"/>
    <w:rsid w:val="009C3A63"/>
    <w:rsid w:val="009C693B"/>
    <w:rsid w:val="009D3814"/>
    <w:rsid w:val="009D3848"/>
    <w:rsid w:val="009D4449"/>
    <w:rsid w:val="009D48E3"/>
    <w:rsid w:val="009D550F"/>
    <w:rsid w:val="009D5698"/>
    <w:rsid w:val="009D646A"/>
    <w:rsid w:val="009D78B9"/>
    <w:rsid w:val="009D7EE7"/>
    <w:rsid w:val="009E08BD"/>
    <w:rsid w:val="009E1178"/>
    <w:rsid w:val="009E3882"/>
    <w:rsid w:val="009E5F29"/>
    <w:rsid w:val="009F0097"/>
    <w:rsid w:val="009F01BF"/>
    <w:rsid w:val="009F4230"/>
    <w:rsid w:val="009F4900"/>
    <w:rsid w:val="009F4972"/>
    <w:rsid w:val="009F5A15"/>
    <w:rsid w:val="009F5D21"/>
    <w:rsid w:val="009F7030"/>
    <w:rsid w:val="009F76FD"/>
    <w:rsid w:val="00A00D90"/>
    <w:rsid w:val="00A04126"/>
    <w:rsid w:val="00A05356"/>
    <w:rsid w:val="00A06E94"/>
    <w:rsid w:val="00A070BC"/>
    <w:rsid w:val="00A07FB4"/>
    <w:rsid w:val="00A1109F"/>
    <w:rsid w:val="00A12056"/>
    <w:rsid w:val="00A144CA"/>
    <w:rsid w:val="00A15165"/>
    <w:rsid w:val="00A1623F"/>
    <w:rsid w:val="00A165A7"/>
    <w:rsid w:val="00A17061"/>
    <w:rsid w:val="00A20CBA"/>
    <w:rsid w:val="00A216D5"/>
    <w:rsid w:val="00A23C32"/>
    <w:rsid w:val="00A242AA"/>
    <w:rsid w:val="00A247E7"/>
    <w:rsid w:val="00A24EA3"/>
    <w:rsid w:val="00A25793"/>
    <w:rsid w:val="00A26F46"/>
    <w:rsid w:val="00A27326"/>
    <w:rsid w:val="00A27EB1"/>
    <w:rsid w:val="00A300C9"/>
    <w:rsid w:val="00A30C14"/>
    <w:rsid w:val="00A316A6"/>
    <w:rsid w:val="00A32EF7"/>
    <w:rsid w:val="00A33FF9"/>
    <w:rsid w:val="00A36AED"/>
    <w:rsid w:val="00A40187"/>
    <w:rsid w:val="00A41F14"/>
    <w:rsid w:val="00A423B2"/>
    <w:rsid w:val="00A42B15"/>
    <w:rsid w:val="00A455E5"/>
    <w:rsid w:val="00A46F09"/>
    <w:rsid w:val="00A47931"/>
    <w:rsid w:val="00A47B35"/>
    <w:rsid w:val="00A47E4D"/>
    <w:rsid w:val="00A514B7"/>
    <w:rsid w:val="00A52178"/>
    <w:rsid w:val="00A52637"/>
    <w:rsid w:val="00A53CCF"/>
    <w:rsid w:val="00A5465A"/>
    <w:rsid w:val="00A54B4E"/>
    <w:rsid w:val="00A54D47"/>
    <w:rsid w:val="00A550AE"/>
    <w:rsid w:val="00A57744"/>
    <w:rsid w:val="00A57F92"/>
    <w:rsid w:val="00A604C4"/>
    <w:rsid w:val="00A60601"/>
    <w:rsid w:val="00A60DE1"/>
    <w:rsid w:val="00A611C8"/>
    <w:rsid w:val="00A62022"/>
    <w:rsid w:val="00A62929"/>
    <w:rsid w:val="00A62D41"/>
    <w:rsid w:val="00A63460"/>
    <w:rsid w:val="00A64A17"/>
    <w:rsid w:val="00A65D10"/>
    <w:rsid w:val="00A72026"/>
    <w:rsid w:val="00A72EE1"/>
    <w:rsid w:val="00A74837"/>
    <w:rsid w:val="00A75779"/>
    <w:rsid w:val="00A75C50"/>
    <w:rsid w:val="00A76336"/>
    <w:rsid w:val="00A7639A"/>
    <w:rsid w:val="00A80004"/>
    <w:rsid w:val="00A81AA0"/>
    <w:rsid w:val="00A825B7"/>
    <w:rsid w:val="00A8262E"/>
    <w:rsid w:val="00A830F1"/>
    <w:rsid w:val="00A83D32"/>
    <w:rsid w:val="00A84AFA"/>
    <w:rsid w:val="00A859F8"/>
    <w:rsid w:val="00A86470"/>
    <w:rsid w:val="00A86C7D"/>
    <w:rsid w:val="00A87E8B"/>
    <w:rsid w:val="00A91395"/>
    <w:rsid w:val="00A931F0"/>
    <w:rsid w:val="00A95AB4"/>
    <w:rsid w:val="00AA106C"/>
    <w:rsid w:val="00AA1818"/>
    <w:rsid w:val="00AA2043"/>
    <w:rsid w:val="00AA2A9B"/>
    <w:rsid w:val="00AA5548"/>
    <w:rsid w:val="00AA5AE9"/>
    <w:rsid w:val="00AB2B59"/>
    <w:rsid w:val="00AB2E05"/>
    <w:rsid w:val="00AB2E60"/>
    <w:rsid w:val="00AB380B"/>
    <w:rsid w:val="00AB546C"/>
    <w:rsid w:val="00AB7A5B"/>
    <w:rsid w:val="00AC0912"/>
    <w:rsid w:val="00AC1BAB"/>
    <w:rsid w:val="00AC25E0"/>
    <w:rsid w:val="00AC4E6F"/>
    <w:rsid w:val="00AC524C"/>
    <w:rsid w:val="00AC6343"/>
    <w:rsid w:val="00AD361E"/>
    <w:rsid w:val="00AD38D9"/>
    <w:rsid w:val="00AD3CE3"/>
    <w:rsid w:val="00AD3D1E"/>
    <w:rsid w:val="00AD3D4F"/>
    <w:rsid w:val="00AD50C4"/>
    <w:rsid w:val="00AD5152"/>
    <w:rsid w:val="00AD53B7"/>
    <w:rsid w:val="00AD6036"/>
    <w:rsid w:val="00AD67B5"/>
    <w:rsid w:val="00AD6D3F"/>
    <w:rsid w:val="00AE12A9"/>
    <w:rsid w:val="00AE1A00"/>
    <w:rsid w:val="00AE3BA4"/>
    <w:rsid w:val="00AE5301"/>
    <w:rsid w:val="00AE5F33"/>
    <w:rsid w:val="00AF124F"/>
    <w:rsid w:val="00AF3AC3"/>
    <w:rsid w:val="00AF6935"/>
    <w:rsid w:val="00AF6B2F"/>
    <w:rsid w:val="00AF6CDC"/>
    <w:rsid w:val="00AF7689"/>
    <w:rsid w:val="00B00A80"/>
    <w:rsid w:val="00B02416"/>
    <w:rsid w:val="00B03205"/>
    <w:rsid w:val="00B036E5"/>
    <w:rsid w:val="00B039A0"/>
    <w:rsid w:val="00B0576C"/>
    <w:rsid w:val="00B05EEF"/>
    <w:rsid w:val="00B1146A"/>
    <w:rsid w:val="00B11C23"/>
    <w:rsid w:val="00B12621"/>
    <w:rsid w:val="00B14287"/>
    <w:rsid w:val="00B14404"/>
    <w:rsid w:val="00B15C3E"/>
    <w:rsid w:val="00B16626"/>
    <w:rsid w:val="00B170EB"/>
    <w:rsid w:val="00B20121"/>
    <w:rsid w:val="00B21C5E"/>
    <w:rsid w:val="00B21CE6"/>
    <w:rsid w:val="00B2561B"/>
    <w:rsid w:val="00B257D5"/>
    <w:rsid w:val="00B269F9"/>
    <w:rsid w:val="00B27FEF"/>
    <w:rsid w:val="00B318D6"/>
    <w:rsid w:val="00B3593A"/>
    <w:rsid w:val="00B3613C"/>
    <w:rsid w:val="00B379B8"/>
    <w:rsid w:val="00B379DB"/>
    <w:rsid w:val="00B41F71"/>
    <w:rsid w:val="00B42D9E"/>
    <w:rsid w:val="00B445C4"/>
    <w:rsid w:val="00B44B41"/>
    <w:rsid w:val="00B4589E"/>
    <w:rsid w:val="00B45D95"/>
    <w:rsid w:val="00B47A95"/>
    <w:rsid w:val="00B50D94"/>
    <w:rsid w:val="00B50F96"/>
    <w:rsid w:val="00B51049"/>
    <w:rsid w:val="00B51597"/>
    <w:rsid w:val="00B516AC"/>
    <w:rsid w:val="00B53517"/>
    <w:rsid w:val="00B53A4F"/>
    <w:rsid w:val="00B53F18"/>
    <w:rsid w:val="00B540AC"/>
    <w:rsid w:val="00B546DE"/>
    <w:rsid w:val="00B5522B"/>
    <w:rsid w:val="00B55B3D"/>
    <w:rsid w:val="00B56172"/>
    <w:rsid w:val="00B56265"/>
    <w:rsid w:val="00B603AC"/>
    <w:rsid w:val="00B60FB2"/>
    <w:rsid w:val="00B61A92"/>
    <w:rsid w:val="00B620C6"/>
    <w:rsid w:val="00B6222B"/>
    <w:rsid w:val="00B63741"/>
    <w:rsid w:val="00B63878"/>
    <w:rsid w:val="00B657B2"/>
    <w:rsid w:val="00B65B01"/>
    <w:rsid w:val="00B65CF9"/>
    <w:rsid w:val="00B6646F"/>
    <w:rsid w:val="00B664E4"/>
    <w:rsid w:val="00B665D8"/>
    <w:rsid w:val="00B66BBC"/>
    <w:rsid w:val="00B67ECA"/>
    <w:rsid w:val="00B702B7"/>
    <w:rsid w:val="00B707EA"/>
    <w:rsid w:val="00B70B8D"/>
    <w:rsid w:val="00B718FA"/>
    <w:rsid w:val="00B71F8F"/>
    <w:rsid w:val="00B72E55"/>
    <w:rsid w:val="00B73650"/>
    <w:rsid w:val="00B75D34"/>
    <w:rsid w:val="00B75EEA"/>
    <w:rsid w:val="00B760C2"/>
    <w:rsid w:val="00B774C6"/>
    <w:rsid w:val="00B77E10"/>
    <w:rsid w:val="00B8074A"/>
    <w:rsid w:val="00B8077A"/>
    <w:rsid w:val="00B80B44"/>
    <w:rsid w:val="00B811B5"/>
    <w:rsid w:val="00B81C8E"/>
    <w:rsid w:val="00B82275"/>
    <w:rsid w:val="00B83771"/>
    <w:rsid w:val="00B83893"/>
    <w:rsid w:val="00B84787"/>
    <w:rsid w:val="00B86022"/>
    <w:rsid w:val="00B860F9"/>
    <w:rsid w:val="00B86403"/>
    <w:rsid w:val="00B901B3"/>
    <w:rsid w:val="00B91B52"/>
    <w:rsid w:val="00B920E7"/>
    <w:rsid w:val="00B924C6"/>
    <w:rsid w:val="00B92C80"/>
    <w:rsid w:val="00B949AD"/>
    <w:rsid w:val="00B96E41"/>
    <w:rsid w:val="00BA0271"/>
    <w:rsid w:val="00BA15E7"/>
    <w:rsid w:val="00BA4BD9"/>
    <w:rsid w:val="00BB1592"/>
    <w:rsid w:val="00BB17DF"/>
    <w:rsid w:val="00BB1B47"/>
    <w:rsid w:val="00BB4C43"/>
    <w:rsid w:val="00BB64D6"/>
    <w:rsid w:val="00BB6CEE"/>
    <w:rsid w:val="00BC2382"/>
    <w:rsid w:val="00BC3444"/>
    <w:rsid w:val="00BC4D72"/>
    <w:rsid w:val="00BC5111"/>
    <w:rsid w:val="00BC582D"/>
    <w:rsid w:val="00BC675E"/>
    <w:rsid w:val="00BC678D"/>
    <w:rsid w:val="00BC6FBC"/>
    <w:rsid w:val="00BC7453"/>
    <w:rsid w:val="00BD263D"/>
    <w:rsid w:val="00BD4AAF"/>
    <w:rsid w:val="00BD51CD"/>
    <w:rsid w:val="00BD5614"/>
    <w:rsid w:val="00BD6B4F"/>
    <w:rsid w:val="00BE0152"/>
    <w:rsid w:val="00BE03B3"/>
    <w:rsid w:val="00BE2387"/>
    <w:rsid w:val="00BE273F"/>
    <w:rsid w:val="00BE34D5"/>
    <w:rsid w:val="00BE42EA"/>
    <w:rsid w:val="00BE58E1"/>
    <w:rsid w:val="00BE668E"/>
    <w:rsid w:val="00BF32B8"/>
    <w:rsid w:val="00BF392D"/>
    <w:rsid w:val="00BF43BB"/>
    <w:rsid w:val="00BF572A"/>
    <w:rsid w:val="00BF5B5E"/>
    <w:rsid w:val="00BF6C1A"/>
    <w:rsid w:val="00C00C16"/>
    <w:rsid w:val="00C0311D"/>
    <w:rsid w:val="00C070D4"/>
    <w:rsid w:val="00C0713F"/>
    <w:rsid w:val="00C073F9"/>
    <w:rsid w:val="00C076B6"/>
    <w:rsid w:val="00C07940"/>
    <w:rsid w:val="00C107A1"/>
    <w:rsid w:val="00C12C1F"/>
    <w:rsid w:val="00C12D9C"/>
    <w:rsid w:val="00C15027"/>
    <w:rsid w:val="00C15872"/>
    <w:rsid w:val="00C16A7C"/>
    <w:rsid w:val="00C17985"/>
    <w:rsid w:val="00C214B3"/>
    <w:rsid w:val="00C2190A"/>
    <w:rsid w:val="00C22024"/>
    <w:rsid w:val="00C23180"/>
    <w:rsid w:val="00C23B67"/>
    <w:rsid w:val="00C242DE"/>
    <w:rsid w:val="00C26587"/>
    <w:rsid w:val="00C30427"/>
    <w:rsid w:val="00C306C5"/>
    <w:rsid w:val="00C30722"/>
    <w:rsid w:val="00C3243C"/>
    <w:rsid w:val="00C32EF6"/>
    <w:rsid w:val="00C348D8"/>
    <w:rsid w:val="00C354E8"/>
    <w:rsid w:val="00C35639"/>
    <w:rsid w:val="00C379EC"/>
    <w:rsid w:val="00C40297"/>
    <w:rsid w:val="00C412AF"/>
    <w:rsid w:val="00C43A6A"/>
    <w:rsid w:val="00C43C28"/>
    <w:rsid w:val="00C463F7"/>
    <w:rsid w:val="00C47ECB"/>
    <w:rsid w:val="00C47FA6"/>
    <w:rsid w:val="00C50CF3"/>
    <w:rsid w:val="00C50F34"/>
    <w:rsid w:val="00C525BF"/>
    <w:rsid w:val="00C545E6"/>
    <w:rsid w:val="00C550B4"/>
    <w:rsid w:val="00C56AC6"/>
    <w:rsid w:val="00C56D39"/>
    <w:rsid w:val="00C57957"/>
    <w:rsid w:val="00C57AC1"/>
    <w:rsid w:val="00C60319"/>
    <w:rsid w:val="00C60626"/>
    <w:rsid w:val="00C618DB"/>
    <w:rsid w:val="00C64E5A"/>
    <w:rsid w:val="00C64E62"/>
    <w:rsid w:val="00C66BBF"/>
    <w:rsid w:val="00C66D6B"/>
    <w:rsid w:val="00C70C25"/>
    <w:rsid w:val="00C7139A"/>
    <w:rsid w:val="00C71AD5"/>
    <w:rsid w:val="00C73130"/>
    <w:rsid w:val="00C734A7"/>
    <w:rsid w:val="00C736D5"/>
    <w:rsid w:val="00C74725"/>
    <w:rsid w:val="00C7522E"/>
    <w:rsid w:val="00C7746B"/>
    <w:rsid w:val="00C77595"/>
    <w:rsid w:val="00C80390"/>
    <w:rsid w:val="00C80E59"/>
    <w:rsid w:val="00C834CE"/>
    <w:rsid w:val="00C840DF"/>
    <w:rsid w:val="00C84749"/>
    <w:rsid w:val="00C8518E"/>
    <w:rsid w:val="00C8705F"/>
    <w:rsid w:val="00C878E8"/>
    <w:rsid w:val="00C9214A"/>
    <w:rsid w:val="00C93C2F"/>
    <w:rsid w:val="00C94330"/>
    <w:rsid w:val="00C94934"/>
    <w:rsid w:val="00C95E98"/>
    <w:rsid w:val="00C96E2B"/>
    <w:rsid w:val="00C970C0"/>
    <w:rsid w:val="00C9716D"/>
    <w:rsid w:val="00CA07A9"/>
    <w:rsid w:val="00CA0F89"/>
    <w:rsid w:val="00CA2C20"/>
    <w:rsid w:val="00CA4B3A"/>
    <w:rsid w:val="00CA5149"/>
    <w:rsid w:val="00CA531D"/>
    <w:rsid w:val="00CA5651"/>
    <w:rsid w:val="00CA7044"/>
    <w:rsid w:val="00CA7607"/>
    <w:rsid w:val="00CB16C6"/>
    <w:rsid w:val="00CB217E"/>
    <w:rsid w:val="00CB5493"/>
    <w:rsid w:val="00CB5B83"/>
    <w:rsid w:val="00CB7B3A"/>
    <w:rsid w:val="00CC1CAB"/>
    <w:rsid w:val="00CC42F1"/>
    <w:rsid w:val="00CC4A86"/>
    <w:rsid w:val="00CC5474"/>
    <w:rsid w:val="00CC5AE4"/>
    <w:rsid w:val="00CC74D5"/>
    <w:rsid w:val="00CD038F"/>
    <w:rsid w:val="00CD2CCD"/>
    <w:rsid w:val="00CD4677"/>
    <w:rsid w:val="00CD4B57"/>
    <w:rsid w:val="00CD5217"/>
    <w:rsid w:val="00CE0269"/>
    <w:rsid w:val="00CE1BCF"/>
    <w:rsid w:val="00CE1C40"/>
    <w:rsid w:val="00CE1DEF"/>
    <w:rsid w:val="00CE2459"/>
    <w:rsid w:val="00CE4658"/>
    <w:rsid w:val="00CE568C"/>
    <w:rsid w:val="00CE67EA"/>
    <w:rsid w:val="00CF1010"/>
    <w:rsid w:val="00CF1A15"/>
    <w:rsid w:val="00CF2679"/>
    <w:rsid w:val="00CF3351"/>
    <w:rsid w:val="00CF443B"/>
    <w:rsid w:val="00CF50C8"/>
    <w:rsid w:val="00CF53D6"/>
    <w:rsid w:val="00CF5836"/>
    <w:rsid w:val="00CF703A"/>
    <w:rsid w:val="00CF759E"/>
    <w:rsid w:val="00CF7EBC"/>
    <w:rsid w:val="00D00DEB"/>
    <w:rsid w:val="00D0158F"/>
    <w:rsid w:val="00D01F4E"/>
    <w:rsid w:val="00D02842"/>
    <w:rsid w:val="00D02998"/>
    <w:rsid w:val="00D041E8"/>
    <w:rsid w:val="00D04B64"/>
    <w:rsid w:val="00D06B17"/>
    <w:rsid w:val="00D07064"/>
    <w:rsid w:val="00D11CE3"/>
    <w:rsid w:val="00D11EA2"/>
    <w:rsid w:val="00D12AC1"/>
    <w:rsid w:val="00D12C90"/>
    <w:rsid w:val="00D14E0B"/>
    <w:rsid w:val="00D14F76"/>
    <w:rsid w:val="00D155F6"/>
    <w:rsid w:val="00D156E9"/>
    <w:rsid w:val="00D22A80"/>
    <w:rsid w:val="00D22A90"/>
    <w:rsid w:val="00D230BA"/>
    <w:rsid w:val="00D2356B"/>
    <w:rsid w:val="00D23D15"/>
    <w:rsid w:val="00D25EA3"/>
    <w:rsid w:val="00D266CF"/>
    <w:rsid w:val="00D26CFC"/>
    <w:rsid w:val="00D26E9D"/>
    <w:rsid w:val="00D2716B"/>
    <w:rsid w:val="00D274ED"/>
    <w:rsid w:val="00D27B46"/>
    <w:rsid w:val="00D30510"/>
    <w:rsid w:val="00D30893"/>
    <w:rsid w:val="00D3089B"/>
    <w:rsid w:val="00D31686"/>
    <w:rsid w:val="00D3386A"/>
    <w:rsid w:val="00D4197D"/>
    <w:rsid w:val="00D41D01"/>
    <w:rsid w:val="00D4205D"/>
    <w:rsid w:val="00D42463"/>
    <w:rsid w:val="00D42BD0"/>
    <w:rsid w:val="00D42C4A"/>
    <w:rsid w:val="00D430C0"/>
    <w:rsid w:val="00D4326A"/>
    <w:rsid w:val="00D43B59"/>
    <w:rsid w:val="00D45E27"/>
    <w:rsid w:val="00D4679A"/>
    <w:rsid w:val="00D46C1E"/>
    <w:rsid w:val="00D47F64"/>
    <w:rsid w:val="00D504D8"/>
    <w:rsid w:val="00D50880"/>
    <w:rsid w:val="00D52E2C"/>
    <w:rsid w:val="00D5405A"/>
    <w:rsid w:val="00D54128"/>
    <w:rsid w:val="00D54239"/>
    <w:rsid w:val="00D54251"/>
    <w:rsid w:val="00D54E9F"/>
    <w:rsid w:val="00D56D8C"/>
    <w:rsid w:val="00D60195"/>
    <w:rsid w:val="00D60571"/>
    <w:rsid w:val="00D61F5E"/>
    <w:rsid w:val="00D62326"/>
    <w:rsid w:val="00D625AD"/>
    <w:rsid w:val="00D63233"/>
    <w:rsid w:val="00D63262"/>
    <w:rsid w:val="00D633EE"/>
    <w:rsid w:val="00D63953"/>
    <w:rsid w:val="00D63AD9"/>
    <w:rsid w:val="00D66053"/>
    <w:rsid w:val="00D67C78"/>
    <w:rsid w:val="00D67E3D"/>
    <w:rsid w:val="00D725D0"/>
    <w:rsid w:val="00D73094"/>
    <w:rsid w:val="00D7377C"/>
    <w:rsid w:val="00D73D48"/>
    <w:rsid w:val="00D73FED"/>
    <w:rsid w:val="00D743BF"/>
    <w:rsid w:val="00D75411"/>
    <w:rsid w:val="00D75A5F"/>
    <w:rsid w:val="00D75F22"/>
    <w:rsid w:val="00D7612C"/>
    <w:rsid w:val="00D76D58"/>
    <w:rsid w:val="00D80037"/>
    <w:rsid w:val="00D8293E"/>
    <w:rsid w:val="00D84505"/>
    <w:rsid w:val="00D853E4"/>
    <w:rsid w:val="00D85B06"/>
    <w:rsid w:val="00D85C8B"/>
    <w:rsid w:val="00D874BB"/>
    <w:rsid w:val="00D9007E"/>
    <w:rsid w:val="00D90DC4"/>
    <w:rsid w:val="00D9189F"/>
    <w:rsid w:val="00D918BE"/>
    <w:rsid w:val="00D92645"/>
    <w:rsid w:val="00D93BDC"/>
    <w:rsid w:val="00D93FE7"/>
    <w:rsid w:val="00D94C39"/>
    <w:rsid w:val="00D95D32"/>
    <w:rsid w:val="00D960BB"/>
    <w:rsid w:val="00D96851"/>
    <w:rsid w:val="00D97165"/>
    <w:rsid w:val="00D97D8C"/>
    <w:rsid w:val="00DA057B"/>
    <w:rsid w:val="00DA1A79"/>
    <w:rsid w:val="00DA25FD"/>
    <w:rsid w:val="00DA4D3E"/>
    <w:rsid w:val="00DA5221"/>
    <w:rsid w:val="00DA5471"/>
    <w:rsid w:val="00DA5914"/>
    <w:rsid w:val="00DA639E"/>
    <w:rsid w:val="00DB06D8"/>
    <w:rsid w:val="00DB15DE"/>
    <w:rsid w:val="00DB2CE3"/>
    <w:rsid w:val="00DB55FF"/>
    <w:rsid w:val="00DB64C1"/>
    <w:rsid w:val="00DB6EE5"/>
    <w:rsid w:val="00DC13AA"/>
    <w:rsid w:val="00DC1C44"/>
    <w:rsid w:val="00DC326C"/>
    <w:rsid w:val="00DC3DD1"/>
    <w:rsid w:val="00DC54BE"/>
    <w:rsid w:val="00DC619F"/>
    <w:rsid w:val="00DC7BB5"/>
    <w:rsid w:val="00DD1338"/>
    <w:rsid w:val="00DD56CA"/>
    <w:rsid w:val="00DD58B9"/>
    <w:rsid w:val="00DD5C0D"/>
    <w:rsid w:val="00DD666E"/>
    <w:rsid w:val="00DD6B29"/>
    <w:rsid w:val="00DD70C1"/>
    <w:rsid w:val="00DE0EFD"/>
    <w:rsid w:val="00DE2B32"/>
    <w:rsid w:val="00DE386B"/>
    <w:rsid w:val="00DE39C8"/>
    <w:rsid w:val="00DE3AE0"/>
    <w:rsid w:val="00DE5126"/>
    <w:rsid w:val="00DF08CD"/>
    <w:rsid w:val="00DF15FF"/>
    <w:rsid w:val="00DF2907"/>
    <w:rsid w:val="00DF4B02"/>
    <w:rsid w:val="00DF56C9"/>
    <w:rsid w:val="00DF69BA"/>
    <w:rsid w:val="00DF734C"/>
    <w:rsid w:val="00E00287"/>
    <w:rsid w:val="00E01854"/>
    <w:rsid w:val="00E03C9F"/>
    <w:rsid w:val="00E03CBC"/>
    <w:rsid w:val="00E04719"/>
    <w:rsid w:val="00E06A4F"/>
    <w:rsid w:val="00E07E99"/>
    <w:rsid w:val="00E10D5E"/>
    <w:rsid w:val="00E10D8A"/>
    <w:rsid w:val="00E12F0F"/>
    <w:rsid w:val="00E13DD4"/>
    <w:rsid w:val="00E142F8"/>
    <w:rsid w:val="00E1479B"/>
    <w:rsid w:val="00E15B8F"/>
    <w:rsid w:val="00E15FBF"/>
    <w:rsid w:val="00E171C1"/>
    <w:rsid w:val="00E21522"/>
    <w:rsid w:val="00E22D7D"/>
    <w:rsid w:val="00E2377B"/>
    <w:rsid w:val="00E24CD1"/>
    <w:rsid w:val="00E24DEC"/>
    <w:rsid w:val="00E26313"/>
    <w:rsid w:val="00E31B57"/>
    <w:rsid w:val="00E31CB0"/>
    <w:rsid w:val="00E33C6C"/>
    <w:rsid w:val="00E343D8"/>
    <w:rsid w:val="00E375AB"/>
    <w:rsid w:val="00E409CE"/>
    <w:rsid w:val="00E410B2"/>
    <w:rsid w:val="00E41AB9"/>
    <w:rsid w:val="00E4283B"/>
    <w:rsid w:val="00E43E8B"/>
    <w:rsid w:val="00E44BAA"/>
    <w:rsid w:val="00E4561A"/>
    <w:rsid w:val="00E4586B"/>
    <w:rsid w:val="00E460FB"/>
    <w:rsid w:val="00E46C7A"/>
    <w:rsid w:val="00E476E3"/>
    <w:rsid w:val="00E47707"/>
    <w:rsid w:val="00E47A30"/>
    <w:rsid w:val="00E518A0"/>
    <w:rsid w:val="00E52DF3"/>
    <w:rsid w:val="00E55588"/>
    <w:rsid w:val="00E56098"/>
    <w:rsid w:val="00E56328"/>
    <w:rsid w:val="00E56A98"/>
    <w:rsid w:val="00E572C9"/>
    <w:rsid w:val="00E60445"/>
    <w:rsid w:val="00E6595F"/>
    <w:rsid w:val="00E65D31"/>
    <w:rsid w:val="00E65E12"/>
    <w:rsid w:val="00E67B17"/>
    <w:rsid w:val="00E716DC"/>
    <w:rsid w:val="00E71713"/>
    <w:rsid w:val="00E71DE6"/>
    <w:rsid w:val="00E71F75"/>
    <w:rsid w:val="00E72246"/>
    <w:rsid w:val="00E728BA"/>
    <w:rsid w:val="00E73530"/>
    <w:rsid w:val="00E75FC0"/>
    <w:rsid w:val="00E77EC3"/>
    <w:rsid w:val="00E808A4"/>
    <w:rsid w:val="00E81B0D"/>
    <w:rsid w:val="00E81D26"/>
    <w:rsid w:val="00E81DC3"/>
    <w:rsid w:val="00E82B95"/>
    <w:rsid w:val="00E83468"/>
    <w:rsid w:val="00E83E9A"/>
    <w:rsid w:val="00E84974"/>
    <w:rsid w:val="00E84E30"/>
    <w:rsid w:val="00E86E5B"/>
    <w:rsid w:val="00E87278"/>
    <w:rsid w:val="00E8740C"/>
    <w:rsid w:val="00E876C4"/>
    <w:rsid w:val="00E90B70"/>
    <w:rsid w:val="00E91131"/>
    <w:rsid w:val="00E9190B"/>
    <w:rsid w:val="00E94FE6"/>
    <w:rsid w:val="00E96CFA"/>
    <w:rsid w:val="00E975D5"/>
    <w:rsid w:val="00E97CED"/>
    <w:rsid w:val="00EA3A63"/>
    <w:rsid w:val="00EA5D47"/>
    <w:rsid w:val="00EA77C5"/>
    <w:rsid w:val="00EB02C0"/>
    <w:rsid w:val="00EB124C"/>
    <w:rsid w:val="00EB293E"/>
    <w:rsid w:val="00EB2E79"/>
    <w:rsid w:val="00EB44BA"/>
    <w:rsid w:val="00EB4B84"/>
    <w:rsid w:val="00EC0423"/>
    <w:rsid w:val="00EC1C16"/>
    <w:rsid w:val="00EC1D90"/>
    <w:rsid w:val="00EC30D5"/>
    <w:rsid w:val="00EC361D"/>
    <w:rsid w:val="00EC3C13"/>
    <w:rsid w:val="00EC449A"/>
    <w:rsid w:val="00EC519A"/>
    <w:rsid w:val="00EC543D"/>
    <w:rsid w:val="00EC64AF"/>
    <w:rsid w:val="00EC6582"/>
    <w:rsid w:val="00EC6781"/>
    <w:rsid w:val="00EC67B5"/>
    <w:rsid w:val="00EC6E96"/>
    <w:rsid w:val="00EC7603"/>
    <w:rsid w:val="00EC79D2"/>
    <w:rsid w:val="00ED0F8F"/>
    <w:rsid w:val="00ED129C"/>
    <w:rsid w:val="00ED2248"/>
    <w:rsid w:val="00ED270F"/>
    <w:rsid w:val="00ED2FA9"/>
    <w:rsid w:val="00ED3969"/>
    <w:rsid w:val="00ED4568"/>
    <w:rsid w:val="00ED4DBD"/>
    <w:rsid w:val="00ED4F85"/>
    <w:rsid w:val="00ED55ED"/>
    <w:rsid w:val="00ED56C4"/>
    <w:rsid w:val="00ED72F8"/>
    <w:rsid w:val="00EE0DE2"/>
    <w:rsid w:val="00EE267E"/>
    <w:rsid w:val="00EE276B"/>
    <w:rsid w:val="00EE2DA0"/>
    <w:rsid w:val="00EE2DB0"/>
    <w:rsid w:val="00EE38B8"/>
    <w:rsid w:val="00EE4AD2"/>
    <w:rsid w:val="00EE4F1B"/>
    <w:rsid w:val="00EE5023"/>
    <w:rsid w:val="00EE6B50"/>
    <w:rsid w:val="00EF0036"/>
    <w:rsid w:val="00EF1468"/>
    <w:rsid w:val="00EF2DB1"/>
    <w:rsid w:val="00EF4C42"/>
    <w:rsid w:val="00EF622D"/>
    <w:rsid w:val="00EF78CF"/>
    <w:rsid w:val="00F005C5"/>
    <w:rsid w:val="00F02336"/>
    <w:rsid w:val="00F02987"/>
    <w:rsid w:val="00F029FF"/>
    <w:rsid w:val="00F04125"/>
    <w:rsid w:val="00F04B1F"/>
    <w:rsid w:val="00F06701"/>
    <w:rsid w:val="00F06CB3"/>
    <w:rsid w:val="00F070B9"/>
    <w:rsid w:val="00F10587"/>
    <w:rsid w:val="00F10D2B"/>
    <w:rsid w:val="00F11151"/>
    <w:rsid w:val="00F1328E"/>
    <w:rsid w:val="00F162AE"/>
    <w:rsid w:val="00F2099C"/>
    <w:rsid w:val="00F21E60"/>
    <w:rsid w:val="00F239F8"/>
    <w:rsid w:val="00F24EE9"/>
    <w:rsid w:val="00F25FF9"/>
    <w:rsid w:val="00F2600A"/>
    <w:rsid w:val="00F26FEB"/>
    <w:rsid w:val="00F27242"/>
    <w:rsid w:val="00F315AA"/>
    <w:rsid w:val="00F31D0C"/>
    <w:rsid w:val="00F33FEE"/>
    <w:rsid w:val="00F3457E"/>
    <w:rsid w:val="00F35538"/>
    <w:rsid w:val="00F35EAC"/>
    <w:rsid w:val="00F36440"/>
    <w:rsid w:val="00F364E9"/>
    <w:rsid w:val="00F37EF0"/>
    <w:rsid w:val="00F40202"/>
    <w:rsid w:val="00F402A4"/>
    <w:rsid w:val="00F40D99"/>
    <w:rsid w:val="00F40DA7"/>
    <w:rsid w:val="00F42990"/>
    <w:rsid w:val="00F43DF4"/>
    <w:rsid w:val="00F4415D"/>
    <w:rsid w:val="00F445F1"/>
    <w:rsid w:val="00F455D6"/>
    <w:rsid w:val="00F45BE4"/>
    <w:rsid w:val="00F50A05"/>
    <w:rsid w:val="00F50C9E"/>
    <w:rsid w:val="00F519A7"/>
    <w:rsid w:val="00F551D4"/>
    <w:rsid w:val="00F55CA6"/>
    <w:rsid w:val="00F63FF8"/>
    <w:rsid w:val="00F656CD"/>
    <w:rsid w:val="00F70C4E"/>
    <w:rsid w:val="00F70D27"/>
    <w:rsid w:val="00F72491"/>
    <w:rsid w:val="00F726C5"/>
    <w:rsid w:val="00F72EAD"/>
    <w:rsid w:val="00F7423D"/>
    <w:rsid w:val="00F74C76"/>
    <w:rsid w:val="00F753A2"/>
    <w:rsid w:val="00F76137"/>
    <w:rsid w:val="00F80BD6"/>
    <w:rsid w:val="00F81A6D"/>
    <w:rsid w:val="00F83A4E"/>
    <w:rsid w:val="00F85D86"/>
    <w:rsid w:val="00F862ED"/>
    <w:rsid w:val="00F908ED"/>
    <w:rsid w:val="00F90F80"/>
    <w:rsid w:val="00F91889"/>
    <w:rsid w:val="00F9216D"/>
    <w:rsid w:val="00F922CA"/>
    <w:rsid w:val="00F93E15"/>
    <w:rsid w:val="00F955D4"/>
    <w:rsid w:val="00F95E17"/>
    <w:rsid w:val="00F96AA1"/>
    <w:rsid w:val="00F96B68"/>
    <w:rsid w:val="00F973DF"/>
    <w:rsid w:val="00F97840"/>
    <w:rsid w:val="00F97CA0"/>
    <w:rsid w:val="00FA02FE"/>
    <w:rsid w:val="00FA1D73"/>
    <w:rsid w:val="00FA20E2"/>
    <w:rsid w:val="00FA2F3A"/>
    <w:rsid w:val="00FA310F"/>
    <w:rsid w:val="00FA3FA1"/>
    <w:rsid w:val="00FA41C3"/>
    <w:rsid w:val="00FA5FDA"/>
    <w:rsid w:val="00FA73F9"/>
    <w:rsid w:val="00FB0355"/>
    <w:rsid w:val="00FB26D4"/>
    <w:rsid w:val="00FB3050"/>
    <w:rsid w:val="00FB32C7"/>
    <w:rsid w:val="00FB3B95"/>
    <w:rsid w:val="00FB3E6F"/>
    <w:rsid w:val="00FB5D7D"/>
    <w:rsid w:val="00FB73DD"/>
    <w:rsid w:val="00FB7DF9"/>
    <w:rsid w:val="00FB7E9B"/>
    <w:rsid w:val="00FC0E02"/>
    <w:rsid w:val="00FC12F5"/>
    <w:rsid w:val="00FC1CAF"/>
    <w:rsid w:val="00FC29FB"/>
    <w:rsid w:val="00FC32D7"/>
    <w:rsid w:val="00FC6C09"/>
    <w:rsid w:val="00FC7CCC"/>
    <w:rsid w:val="00FD0597"/>
    <w:rsid w:val="00FD0906"/>
    <w:rsid w:val="00FD0D9F"/>
    <w:rsid w:val="00FD0FA5"/>
    <w:rsid w:val="00FD24F0"/>
    <w:rsid w:val="00FD3F3E"/>
    <w:rsid w:val="00FE0EEB"/>
    <w:rsid w:val="00FE19C5"/>
    <w:rsid w:val="00FE272F"/>
    <w:rsid w:val="00FE2F7D"/>
    <w:rsid w:val="00FE3042"/>
    <w:rsid w:val="00FE402D"/>
    <w:rsid w:val="00FE5A15"/>
    <w:rsid w:val="00FE6530"/>
    <w:rsid w:val="00FE75E2"/>
    <w:rsid w:val="00FE7C39"/>
    <w:rsid w:val="00FF01DE"/>
    <w:rsid w:val="00FF05BA"/>
    <w:rsid w:val="00FF0731"/>
    <w:rsid w:val="00FF09F3"/>
    <w:rsid w:val="00FF117C"/>
    <w:rsid w:val="00FF266E"/>
    <w:rsid w:val="00FF3AFB"/>
    <w:rsid w:val="00FF4402"/>
    <w:rsid w:val="00FF52B4"/>
    <w:rsid w:val="00FF61CA"/>
    <w:rsid w:val="00FF7089"/>
    <w:rsid w:val="00FF79C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A9847"/>
  <w14:defaultImageDpi w14:val="330"/>
  <w15:docId w15:val="{4A995FEC-80C1-4BE6-9AF1-6F344697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3E"/>
    <w:rPr>
      <w:rFonts w:ascii="Times New Roman" w:hAnsi="Times New Roman" w:cs="Times New Roman"/>
      <w:lang w:val="en-US"/>
    </w:rPr>
  </w:style>
  <w:style w:type="paragraph" w:styleId="Heading1">
    <w:name w:val="heading 1"/>
    <w:basedOn w:val="Normal"/>
    <w:next w:val="Normal"/>
    <w:link w:val="Heading1Char"/>
    <w:qFormat/>
    <w:rsid w:val="00EB2E79"/>
    <w:pPr>
      <w:keepNext/>
      <w:widowControl w:val="0"/>
      <w:tabs>
        <w:tab w:val="left" w:pos="0"/>
      </w:tabs>
      <w:spacing w:line="480" w:lineRule="auto"/>
      <w:ind w:firstLine="720"/>
      <w:jc w:val="both"/>
      <w:outlineLvl w:val="0"/>
    </w:pPr>
    <w:rPr>
      <w:rFonts w:eastAsia="Times New Roman"/>
      <w:b/>
      <w:snapToGrid w:val="0"/>
      <w:sz w:val="20"/>
      <w:szCs w:val="20"/>
      <w:lang w:val="x-none" w:eastAsia="x-none"/>
    </w:rPr>
  </w:style>
  <w:style w:type="paragraph" w:styleId="Heading2">
    <w:name w:val="heading 2"/>
    <w:basedOn w:val="Normal"/>
    <w:next w:val="Normal"/>
    <w:link w:val="Heading2Char"/>
    <w:qFormat/>
    <w:rsid w:val="00EB2E79"/>
    <w:pPr>
      <w:keepNext/>
      <w:tabs>
        <w:tab w:val="left" w:pos="0"/>
      </w:tabs>
      <w:spacing w:line="480" w:lineRule="auto"/>
      <w:ind w:left="720" w:hanging="720"/>
      <w:jc w:val="both"/>
      <w:outlineLvl w:val="1"/>
    </w:pPr>
    <w:rPr>
      <w:rFonts w:ascii="Arial" w:eastAsia="Times New Roman" w:hAnsi="Arial"/>
      <w:b/>
      <w:sz w:val="32"/>
      <w:szCs w:val="20"/>
      <w:lang w:val="x-none" w:eastAsia="x-none"/>
    </w:rPr>
  </w:style>
  <w:style w:type="paragraph" w:styleId="Heading3">
    <w:name w:val="heading 3"/>
    <w:basedOn w:val="Normal"/>
    <w:next w:val="Normal"/>
    <w:link w:val="Heading3Char"/>
    <w:qFormat/>
    <w:rsid w:val="00EB2E79"/>
    <w:pPr>
      <w:keepNext/>
      <w:tabs>
        <w:tab w:val="left" w:pos="0"/>
      </w:tabs>
      <w:spacing w:line="480" w:lineRule="auto"/>
      <w:ind w:firstLine="720"/>
      <w:outlineLvl w:val="2"/>
    </w:pPr>
    <w:rPr>
      <w:rFonts w:eastAsia="Times New Roman"/>
    </w:rPr>
  </w:style>
  <w:style w:type="paragraph" w:styleId="Heading4">
    <w:name w:val="heading 4"/>
    <w:basedOn w:val="Normal"/>
    <w:next w:val="Normal"/>
    <w:link w:val="Heading4Char"/>
    <w:qFormat/>
    <w:rsid w:val="00EB2E79"/>
    <w:pPr>
      <w:keepNext/>
      <w:tabs>
        <w:tab w:val="left" w:pos="0"/>
      </w:tabs>
      <w:spacing w:line="480" w:lineRule="auto"/>
      <w:ind w:firstLine="720"/>
      <w:jc w:val="center"/>
      <w:outlineLvl w:val="3"/>
    </w:pPr>
    <w:rPr>
      <w:rFonts w:eastAsia="Times New Roman"/>
      <w:b/>
      <w:sz w:val="20"/>
      <w:szCs w:val="20"/>
      <w:lang w:val="x-none" w:eastAsia="x-none"/>
    </w:rPr>
  </w:style>
  <w:style w:type="paragraph" w:styleId="Heading5">
    <w:name w:val="heading 5"/>
    <w:basedOn w:val="Normal"/>
    <w:next w:val="Normal"/>
    <w:link w:val="Heading5Char"/>
    <w:qFormat/>
    <w:rsid w:val="00EB2E79"/>
    <w:pPr>
      <w:keepNext/>
      <w:tabs>
        <w:tab w:val="left" w:pos="0"/>
        <w:tab w:val="left" w:pos="1140"/>
        <w:tab w:val="left" w:pos="1320"/>
        <w:tab w:val="left" w:pos="2160"/>
      </w:tabs>
      <w:spacing w:line="480" w:lineRule="auto"/>
      <w:ind w:firstLine="720"/>
      <w:jc w:val="both"/>
      <w:outlineLvl w:val="4"/>
    </w:pPr>
    <w:rPr>
      <w:rFonts w:eastAsia="Times New Roman"/>
      <w:b/>
      <w:sz w:val="22"/>
      <w:szCs w:val="20"/>
      <w:lang w:val="x-none" w:eastAsia="x-none"/>
    </w:rPr>
  </w:style>
  <w:style w:type="paragraph" w:styleId="Heading6">
    <w:name w:val="heading 6"/>
    <w:basedOn w:val="Normal"/>
    <w:next w:val="Normal"/>
    <w:link w:val="Heading6Char"/>
    <w:qFormat/>
    <w:rsid w:val="00EB2E79"/>
    <w:pPr>
      <w:keepNext/>
      <w:spacing w:line="480" w:lineRule="auto"/>
      <w:ind w:firstLine="720"/>
      <w:jc w:val="center"/>
      <w:outlineLvl w:val="5"/>
    </w:pPr>
    <w:rPr>
      <w:rFonts w:eastAsia="MS Mincho"/>
      <w:b/>
      <w:bCs/>
      <w:sz w:val="20"/>
      <w:szCs w:val="20"/>
      <w:lang w:val="x-none" w:eastAsia="x-none"/>
    </w:rPr>
  </w:style>
  <w:style w:type="paragraph" w:styleId="Heading7">
    <w:name w:val="heading 7"/>
    <w:basedOn w:val="Normal"/>
    <w:next w:val="Normal"/>
    <w:link w:val="Heading7Char"/>
    <w:qFormat/>
    <w:rsid w:val="00EB2E79"/>
    <w:pPr>
      <w:keepNext/>
      <w:tabs>
        <w:tab w:val="left" w:pos="270"/>
      </w:tabs>
      <w:spacing w:line="480" w:lineRule="auto"/>
      <w:ind w:firstLine="720"/>
      <w:jc w:val="both"/>
      <w:outlineLvl w:val="6"/>
    </w:pPr>
    <w:rPr>
      <w:rFonts w:eastAsia="Times New Roman"/>
      <w:i/>
      <w:iCs/>
      <w:sz w:val="22"/>
      <w:szCs w:val="20"/>
      <w:lang w:val="x-none" w:eastAsia="x-none"/>
    </w:rPr>
  </w:style>
  <w:style w:type="paragraph" w:styleId="Heading8">
    <w:name w:val="heading 8"/>
    <w:basedOn w:val="Normal"/>
    <w:next w:val="Normal"/>
    <w:link w:val="Heading8Char"/>
    <w:qFormat/>
    <w:rsid w:val="00EB2E79"/>
    <w:pPr>
      <w:keepNext/>
      <w:spacing w:line="480" w:lineRule="auto"/>
      <w:ind w:firstLine="720"/>
      <w:jc w:val="both"/>
      <w:outlineLvl w:val="7"/>
    </w:pPr>
    <w:rPr>
      <w:rFonts w:eastAsia="Times New Roman"/>
      <w:b/>
      <w:i/>
      <w:iCs/>
      <w:sz w:val="20"/>
      <w:szCs w:val="20"/>
      <w:lang w:val="x-none" w:eastAsia="x-none"/>
    </w:rPr>
  </w:style>
  <w:style w:type="paragraph" w:styleId="Heading9">
    <w:name w:val="heading 9"/>
    <w:basedOn w:val="Normal"/>
    <w:next w:val="Normal"/>
    <w:link w:val="Heading9Char"/>
    <w:qFormat/>
    <w:rsid w:val="00EB2E79"/>
    <w:pPr>
      <w:keepNext/>
      <w:spacing w:line="480" w:lineRule="auto"/>
      <w:ind w:firstLine="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E79"/>
    <w:rPr>
      <w:rFonts w:ascii="Times New Roman" w:eastAsia="Times New Roman" w:hAnsi="Times New Roman" w:cs="Times New Roman"/>
      <w:b/>
      <w:snapToGrid w:val="0"/>
      <w:sz w:val="20"/>
      <w:szCs w:val="20"/>
      <w:lang w:val="x-none" w:eastAsia="x-none"/>
    </w:rPr>
  </w:style>
  <w:style w:type="character" w:customStyle="1" w:styleId="Heading2Char">
    <w:name w:val="Heading 2 Char"/>
    <w:basedOn w:val="DefaultParagraphFont"/>
    <w:link w:val="Heading2"/>
    <w:rsid w:val="00EB2E79"/>
    <w:rPr>
      <w:rFonts w:ascii="Arial" w:eastAsia="Times New Roman" w:hAnsi="Arial" w:cs="Times New Roman"/>
      <w:b/>
      <w:sz w:val="32"/>
      <w:szCs w:val="20"/>
      <w:lang w:val="x-none" w:eastAsia="x-none"/>
    </w:rPr>
  </w:style>
  <w:style w:type="character" w:customStyle="1" w:styleId="Heading3Char">
    <w:name w:val="Heading 3 Char"/>
    <w:basedOn w:val="DefaultParagraphFont"/>
    <w:link w:val="Heading3"/>
    <w:rsid w:val="00EB2E79"/>
    <w:rPr>
      <w:rFonts w:ascii="Times New Roman" w:eastAsia="Times New Roman" w:hAnsi="Times New Roman" w:cs="Times New Roman"/>
      <w:lang w:val="en-US"/>
    </w:rPr>
  </w:style>
  <w:style w:type="character" w:customStyle="1" w:styleId="Heading4Char">
    <w:name w:val="Heading 4 Char"/>
    <w:basedOn w:val="DefaultParagraphFont"/>
    <w:link w:val="Heading4"/>
    <w:rsid w:val="00EB2E79"/>
    <w:rPr>
      <w:rFonts w:ascii="Times New Roman" w:eastAsia="Times New Roman" w:hAnsi="Times New Roman" w:cs="Times New Roman"/>
      <w:b/>
      <w:sz w:val="20"/>
      <w:szCs w:val="20"/>
      <w:lang w:val="x-none" w:eastAsia="x-none"/>
    </w:rPr>
  </w:style>
  <w:style w:type="character" w:customStyle="1" w:styleId="Heading5Char">
    <w:name w:val="Heading 5 Char"/>
    <w:basedOn w:val="DefaultParagraphFont"/>
    <w:link w:val="Heading5"/>
    <w:rsid w:val="00EB2E79"/>
    <w:rPr>
      <w:rFonts w:ascii="Times New Roman" w:eastAsia="Times New Roman" w:hAnsi="Times New Roman" w:cs="Times New Roman"/>
      <w:b/>
      <w:sz w:val="22"/>
      <w:szCs w:val="20"/>
      <w:lang w:val="x-none" w:eastAsia="x-none"/>
    </w:rPr>
  </w:style>
  <w:style w:type="character" w:customStyle="1" w:styleId="Heading6Char">
    <w:name w:val="Heading 6 Char"/>
    <w:basedOn w:val="DefaultParagraphFont"/>
    <w:link w:val="Heading6"/>
    <w:rsid w:val="00EB2E79"/>
    <w:rPr>
      <w:rFonts w:ascii="Times New Roman" w:eastAsia="MS Mincho" w:hAnsi="Times New Roman" w:cs="Times New Roman"/>
      <w:b/>
      <w:bCs/>
      <w:sz w:val="20"/>
      <w:szCs w:val="20"/>
      <w:lang w:val="x-none" w:eastAsia="x-none"/>
    </w:rPr>
  </w:style>
  <w:style w:type="character" w:customStyle="1" w:styleId="Heading7Char">
    <w:name w:val="Heading 7 Char"/>
    <w:basedOn w:val="DefaultParagraphFont"/>
    <w:link w:val="Heading7"/>
    <w:rsid w:val="00EB2E79"/>
    <w:rPr>
      <w:rFonts w:ascii="Times New Roman" w:eastAsia="Times New Roman" w:hAnsi="Times New Roman" w:cs="Times New Roman"/>
      <w:i/>
      <w:iCs/>
      <w:sz w:val="22"/>
      <w:szCs w:val="20"/>
      <w:lang w:val="x-none" w:eastAsia="x-none"/>
    </w:rPr>
  </w:style>
  <w:style w:type="character" w:customStyle="1" w:styleId="Heading8Char">
    <w:name w:val="Heading 8 Char"/>
    <w:basedOn w:val="DefaultParagraphFont"/>
    <w:link w:val="Heading8"/>
    <w:rsid w:val="00EB2E79"/>
    <w:rPr>
      <w:rFonts w:ascii="Times New Roman" w:eastAsia="Times New Roman" w:hAnsi="Times New Roman" w:cs="Times New Roman"/>
      <w:b/>
      <w:i/>
      <w:iCs/>
      <w:sz w:val="20"/>
      <w:szCs w:val="20"/>
      <w:lang w:val="x-none" w:eastAsia="x-none"/>
    </w:rPr>
  </w:style>
  <w:style w:type="character" w:customStyle="1" w:styleId="Heading9Char">
    <w:name w:val="Heading 9 Char"/>
    <w:basedOn w:val="DefaultParagraphFont"/>
    <w:link w:val="Heading9"/>
    <w:rsid w:val="00EB2E79"/>
    <w:rPr>
      <w:rFonts w:ascii="Times New Roman" w:eastAsia="Times New Roman" w:hAnsi="Times New Roman" w:cs="Times New Roman"/>
      <w:lang w:val="en-US"/>
    </w:rPr>
  </w:style>
  <w:style w:type="character" w:styleId="Hyperlink">
    <w:name w:val="Hyperlink"/>
    <w:basedOn w:val="DefaultParagraphFont"/>
    <w:uiPriority w:val="99"/>
    <w:rsid w:val="00A514B7"/>
    <w:rPr>
      <w:color w:val="0000FF"/>
      <w:u w:val="single"/>
    </w:rPr>
  </w:style>
  <w:style w:type="paragraph" w:styleId="NoSpacing">
    <w:name w:val="No Spacing"/>
    <w:qFormat/>
    <w:rsid w:val="00A514B7"/>
  </w:style>
  <w:style w:type="character" w:customStyle="1" w:styleId="apple-converted-space">
    <w:name w:val="apple-converted-space"/>
    <w:basedOn w:val="DefaultParagraphFont"/>
    <w:rsid w:val="00564AE8"/>
  </w:style>
  <w:style w:type="character" w:customStyle="1" w:styleId="highlight">
    <w:name w:val="highlight"/>
    <w:basedOn w:val="DefaultParagraphFont"/>
    <w:rsid w:val="00564AE8"/>
  </w:style>
  <w:style w:type="character" w:styleId="CommentReference">
    <w:name w:val="annotation reference"/>
    <w:basedOn w:val="DefaultParagraphFont"/>
    <w:uiPriority w:val="99"/>
    <w:unhideWhenUsed/>
    <w:rsid w:val="003E03BF"/>
    <w:rPr>
      <w:sz w:val="16"/>
      <w:szCs w:val="16"/>
    </w:rPr>
  </w:style>
  <w:style w:type="paragraph" w:styleId="CommentText">
    <w:name w:val="annotation text"/>
    <w:basedOn w:val="Normal"/>
    <w:link w:val="CommentTextChar"/>
    <w:uiPriority w:val="99"/>
    <w:unhideWhenUsed/>
    <w:rsid w:val="003E03BF"/>
    <w:rPr>
      <w:rFonts w:asciiTheme="minorHAnsi" w:hAnsiTheme="minorHAnsi" w:cstheme="minorBidi"/>
      <w:sz w:val="20"/>
      <w:szCs w:val="20"/>
      <w:lang w:val="en-ZA"/>
    </w:rPr>
  </w:style>
  <w:style w:type="character" w:customStyle="1" w:styleId="CommentTextChar">
    <w:name w:val="Comment Text Char"/>
    <w:basedOn w:val="DefaultParagraphFont"/>
    <w:link w:val="CommentText"/>
    <w:uiPriority w:val="99"/>
    <w:rsid w:val="003E03BF"/>
    <w:rPr>
      <w:sz w:val="20"/>
      <w:szCs w:val="20"/>
    </w:rPr>
  </w:style>
  <w:style w:type="paragraph" w:styleId="CommentSubject">
    <w:name w:val="annotation subject"/>
    <w:basedOn w:val="CommentText"/>
    <w:next w:val="CommentText"/>
    <w:link w:val="CommentSubjectChar"/>
    <w:semiHidden/>
    <w:unhideWhenUsed/>
    <w:rsid w:val="003E03BF"/>
    <w:rPr>
      <w:b/>
      <w:bCs/>
    </w:rPr>
  </w:style>
  <w:style w:type="character" w:customStyle="1" w:styleId="CommentSubjectChar">
    <w:name w:val="Comment Subject Char"/>
    <w:basedOn w:val="CommentTextChar"/>
    <w:link w:val="CommentSubject"/>
    <w:semiHidden/>
    <w:rsid w:val="003E03BF"/>
    <w:rPr>
      <w:b/>
      <w:bCs/>
      <w:sz w:val="20"/>
      <w:szCs w:val="20"/>
    </w:rPr>
  </w:style>
  <w:style w:type="paragraph" w:styleId="BalloonText">
    <w:name w:val="Balloon Text"/>
    <w:basedOn w:val="Normal"/>
    <w:link w:val="BalloonTextChar"/>
    <w:uiPriority w:val="99"/>
    <w:semiHidden/>
    <w:unhideWhenUsed/>
    <w:rsid w:val="003E03BF"/>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3E03BF"/>
    <w:rPr>
      <w:rFonts w:ascii="Segoe UI" w:hAnsi="Segoe UI" w:cs="Segoe UI"/>
      <w:sz w:val="18"/>
      <w:szCs w:val="18"/>
    </w:rPr>
  </w:style>
  <w:style w:type="paragraph" w:styleId="Revision">
    <w:name w:val="Revision"/>
    <w:hidden/>
    <w:uiPriority w:val="99"/>
    <w:semiHidden/>
    <w:rsid w:val="0083638C"/>
  </w:style>
  <w:style w:type="table" w:styleId="TableGrid">
    <w:name w:val="Table Grid"/>
    <w:basedOn w:val="TableNormal"/>
    <w:uiPriority w:val="39"/>
    <w:rsid w:val="00710D90"/>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603AC"/>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B603AC"/>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rsid w:val="00EB2E79"/>
    <w:pPr>
      <w:widowControl w:val="0"/>
      <w:tabs>
        <w:tab w:val="left" w:pos="0"/>
      </w:tabs>
      <w:spacing w:line="480" w:lineRule="auto"/>
      <w:ind w:firstLine="720"/>
      <w:jc w:val="center"/>
    </w:pPr>
    <w:rPr>
      <w:rFonts w:eastAsia="Times New Roman"/>
      <w:snapToGrid w:val="0"/>
      <w:szCs w:val="20"/>
      <w:lang w:val="x-none" w:eastAsia="x-none"/>
    </w:rPr>
  </w:style>
  <w:style w:type="character" w:customStyle="1" w:styleId="BodyTextChar">
    <w:name w:val="Body Text Char"/>
    <w:basedOn w:val="DefaultParagraphFont"/>
    <w:link w:val="BodyText"/>
    <w:rsid w:val="00EB2E79"/>
    <w:rPr>
      <w:rFonts w:ascii="Times New Roman" w:eastAsia="Times New Roman" w:hAnsi="Times New Roman" w:cs="Times New Roman"/>
      <w:snapToGrid w:val="0"/>
      <w:szCs w:val="20"/>
      <w:lang w:val="x-none" w:eastAsia="x-none"/>
    </w:rPr>
  </w:style>
  <w:style w:type="paragraph" w:styleId="BodyTextIndent">
    <w:name w:val="Body Text Indent"/>
    <w:basedOn w:val="Normal"/>
    <w:link w:val="BodyTextIndentChar"/>
    <w:rsid w:val="00EB2E79"/>
    <w:pPr>
      <w:widowControl w:val="0"/>
      <w:tabs>
        <w:tab w:val="left" w:pos="0"/>
      </w:tabs>
      <w:spacing w:line="480" w:lineRule="auto"/>
      <w:ind w:firstLine="720"/>
      <w:jc w:val="both"/>
    </w:pPr>
    <w:rPr>
      <w:rFonts w:eastAsia="Times New Roman"/>
      <w:snapToGrid w:val="0"/>
      <w:szCs w:val="20"/>
      <w:lang w:val="x-none" w:eastAsia="x-none"/>
    </w:rPr>
  </w:style>
  <w:style w:type="character" w:customStyle="1" w:styleId="BodyTextIndentChar">
    <w:name w:val="Body Text Indent Char"/>
    <w:basedOn w:val="DefaultParagraphFont"/>
    <w:link w:val="BodyTextIndent"/>
    <w:rsid w:val="00EB2E79"/>
    <w:rPr>
      <w:rFonts w:ascii="Times New Roman" w:eastAsia="Times New Roman" w:hAnsi="Times New Roman" w:cs="Times New Roman"/>
      <w:snapToGrid w:val="0"/>
      <w:szCs w:val="20"/>
      <w:lang w:val="x-none" w:eastAsia="x-none"/>
    </w:rPr>
  </w:style>
  <w:style w:type="paragraph" w:styleId="BodyText3">
    <w:name w:val="Body Text 3"/>
    <w:basedOn w:val="Normal"/>
    <w:link w:val="BodyText3Char"/>
    <w:rsid w:val="00EB2E79"/>
    <w:pPr>
      <w:widowControl w:val="0"/>
      <w:tabs>
        <w:tab w:val="left" w:pos="0"/>
      </w:tabs>
      <w:spacing w:line="480" w:lineRule="auto"/>
      <w:ind w:firstLine="720"/>
      <w:jc w:val="both"/>
    </w:pPr>
    <w:rPr>
      <w:rFonts w:eastAsia="Times New Roman"/>
      <w:snapToGrid w:val="0"/>
      <w:sz w:val="20"/>
      <w:szCs w:val="20"/>
      <w:lang w:val="x-none" w:eastAsia="x-none"/>
    </w:rPr>
  </w:style>
  <w:style w:type="character" w:customStyle="1" w:styleId="BodyText3Char">
    <w:name w:val="Body Text 3 Char"/>
    <w:basedOn w:val="DefaultParagraphFont"/>
    <w:link w:val="BodyText3"/>
    <w:rsid w:val="00EB2E79"/>
    <w:rPr>
      <w:rFonts w:ascii="Times New Roman" w:eastAsia="Times New Roman" w:hAnsi="Times New Roman" w:cs="Times New Roman"/>
      <w:snapToGrid w:val="0"/>
      <w:sz w:val="20"/>
      <w:szCs w:val="20"/>
      <w:lang w:val="x-none" w:eastAsia="x-none"/>
    </w:rPr>
  </w:style>
  <w:style w:type="paragraph" w:styleId="BodyTextIndent2">
    <w:name w:val="Body Text Indent 2"/>
    <w:basedOn w:val="Normal"/>
    <w:link w:val="BodyTextIndent2Char"/>
    <w:rsid w:val="00EB2E79"/>
    <w:pPr>
      <w:widowControl w:val="0"/>
      <w:spacing w:line="480" w:lineRule="auto"/>
      <w:ind w:left="720" w:hanging="720"/>
    </w:pPr>
    <w:rPr>
      <w:rFonts w:eastAsia="Times New Roman"/>
      <w:snapToGrid w:val="0"/>
      <w:sz w:val="20"/>
      <w:szCs w:val="20"/>
      <w:lang w:val="x-none" w:eastAsia="x-none"/>
    </w:rPr>
  </w:style>
  <w:style w:type="character" w:customStyle="1" w:styleId="BodyTextIndent2Char">
    <w:name w:val="Body Text Indent 2 Char"/>
    <w:basedOn w:val="DefaultParagraphFont"/>
    <w:link w:val="BodyTextIndent2"/>
    <w:rsid w:val="00EB2E79"/>
    <w:rPr>
      <w:rFonts w:ascii="Times New Roman" w:eastAsia="Times New Roman" w:hAnsi="Times New Roman" w:cs="Times New Roman"/>
      <w:snapToGrid w:val="0"/>
      <w:sz w:val="20"/>
      <w:szCs w:val="20"/>
      <w:lang w:val="x-none" w:eastAsia="x-none"/>
    </w:rPr>
  </w:style>
  <w:style w:type="paragraph" w:styleId="BodyTextIndent3">
    <w:name w:val="Body Text Indent 3"/>
    <w:basedOn w:val="Normal"/>
    <w:link w:val="BodyTextIndent3Char"/>
    <w:rsid w:val="00EB2E79"/>
    <w:pPr>
      <w:widowControl w:val="0"/>
      <w:tabs>
        <w:tab w:val="left" w:pos="0"/>
      </w:tabs>
      <w:spacing w:line="480" w:lineRule="auto"/>
      <w:ind w:left="720" w:hanging="720"/>
      <w:jc w:val="both"/>
    </w:pPr>
    <w:rPr>
      <w:rFonts w:eastAsia="Times New Roman"/>
    </w:rPr>
  </w:style>
  <w:style w:type="character" w:customStyle="1" w:styleId="BodyTextIndent3Char">
    <w:name w:val="Body Text Indent 3 Char"/>
    <w:basedOn w:val="DefaultParagraphFont"/>
    <w:link w:val="BodyTextIndent3"/>
    <w:rsid w:val="00EB2E79"/>
    <w:rPr>
      <w:rFonts w:ascii="Times New Roman" w:eastAsia="Times New Roman" w:hAnsi="Times New Roman" w:cs="Times New Roman"/>
      <w:lang w:val="en-US"/>
    </w:rPr>
  </w:style>
  <w:style w:type="paragraph" w:styleId="BodyText2">
    <w:name w:val="Body Text 2"/>
    <w:basedOn w:val="Normal"/>
    <w:link w:val="BodyText2Char"/>
    <w:rsid w:val="00EB2E79"/>
    <w:pPr>
      <w:tabs>
        <w:tab w:val="left" w:pos="0"/>
        <w:tab w:val="left" w:pos="51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480" w:lineRule="auto"/>
      <w:ind w:firstLine="720"/>
    </w:pPr>
    <w:rPr>
      <w:rFonts w:eastAsia="Times New Roman"/>
      <w:i/>
      <w:snapToGrid w:val="0"/>
      <w:sz w:val="20"/>
      <w:szCs w:val="20"/>
      <w:lang w:val="x-none" w:eastAsia="x-none"/>
    </w:rPr>
  </w:style>
  <w:style w:type="character" w:customStyle="1" w:styleId="BodyText2Char">
    <w:name w:val="Body Text 2 Char"/>
    <w:basedOn w:val="DefaultParagraphFont"/>
    <w:link w:val="BodyText2"/>
    <w:rsid w:val="00EB2E79"/>
    <w:rPr>
      <w:rFonts w:ascii="Times New Roman" w:eastAsia="Times New Roman" w:hAnsi="Times New Roman" w:cs="Times New Roman"/>
      <w:i/>
      <w:snapToGrid w:val="0"/>
      <w:sz w:val="20"/>
      <w:szCs w:val="20"/>
      <w:lang w:val="x-none" w:eastAsia="x-none"/>
    </w:rPr>
  </w:style>
  <w:style w:type="paragraph" w:customStyle="1" w:styleId="Level1">
    <w:name w:val="Level 1"/>
    <w:basedOn w:val="Normal"/>
    <w:rsid w:val="00EB2E79"/>
    <w:pPr>
      <w:widowControl w:val="0"/>
      <w:spacing w:line="480" w:lineRule="auto"/>
      <w:ind w:left="510" w:hanging="510"/>
    </w:pPr>
    <w:rPr>
      <w:rFonts w:eastAsia="Times New Roman"/>
      <w:snapToGrid w:val="0"/>
    </w:rPr>
  </w:style>
  <w:style w:type="paragraph" w:styleId="Header">
    <w:name w:val="header"/>
    <w:basedOn w:val="Normal"/>
    <w:link w:val="HeaderChar"/>
    <w:qFormat/>
    <w:rsid w:val="00EB2E79"/>
    <w:pPr>
      <w:tabs>
        <w:tab w:val="center" w:pos="4320"/>
        <w:tab w:val="right" w:pos="8640"/>
      </w:tabs>
      <w:spacing w:line="480" w:lineRule="auto"/>
      <w:ind w:firstLine="720"/>
    </w:pPr>
    <w:rPr>
      <w:rFonts w:eastAsia="Times New Roman"/>
    </w:rPr>
  </w:style>
  <w:style w:type="character" w:customStyle="1" w:styleId="HeaderChar">
    <w:name w:val="Header Char"/>
    <w:basedOn w:val="DefaultParagraphFont"/>
    <w:link w:val="Header"/>
    <w:rsid w:val="00EB2E79"/>
    <w:rPr>
      <w:rFonts w:ascii="Times New Roman" w:eastAsia="Times New Roman" w:hAnsi="Times New Roman" w:cs="Times New Roman"/>
      <w:lang w:val="en-US"/>
    </w:rPr>
  </w:style>
  <w:style w:type="paragraph" w:styleId="Footer">
    <w:name w:val="footer"/>
    <w:basedOn w:val="Normal"/>
    <w:link w:val="FooterChar"/>
    <w:uiPriority w:val="99"/>
    <w:rsid w:val="00EB2E79"/>
    <w:pPr>
      <w:tabs>
        <w:tab w:val="center" w:pos="4320"/>
        <w:tab w:val="right" w:pos="8640"/>
      </w:tabs>
      <w:spacing w:line="480" w:lineRule="auto"/>
      <w:ind w:firstLine="720"/>
    </w:pPr>
    <w:rPr>
      <w:rFonts w:eastAsia="Times New Roman"/>
    </w:rPr>
  </w:style>
  <w:style w:type="character" w:customStyle="1" w:styleId="FooterChar">
    <w:name w:val="Footer Char"/>
    <w:basedOn w:val="DefaultParagraphFont"/>
    <w:link w:val="Footer"/>
    <w:uiPriority w:val="99"/>
    <w:rsid w:val="00EB2E79"/>
    <w:rPr>
      <w:rFonts w:ascii="Times New Roman" w:eastAsia="Times New Roman" w:hAnsi="Times New Roman" w:cs="Times New Roman"/>
      <w:lang w:val="en-US"/>
    </w:rPr>
  </w:style>
  <w:style w:type="paragraph" w:styleId="DocumentMap">
    <w:name w:val="Document Map"/>
    <w:basedOn w:val="Normal"/>
    <w:link w:val="DocumentMapChar"/>
    <w:semiHidden/>
    <w:rsid w:val="00EB2E79"/>
    <w:pPr>
      <w:shd w:val="clear" w:color="auto" w:fill="000080"/>
      <w:spacing w:line="480" w:lineRule="auto"/>
      <w:ind w:firstLine="720"/>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B2E79"/>
    <w:rPr>
      <w:rFonts w:ascii="Tahoma" w:eastAsia="Times New Roman" w:hAnsi="Tahoma" w:cs="Times New Roman"/>
      <w:sz w:val="20"/>
      <w:szCs w:val="20"/>
      <w:shd w:val="clear" w:color="auto" w:fill="000080"/>
      <w:lang w:val="x-none" w:eastAsia="x-none"/>
    </w:rPr>
  </w:style>
  <w:style w:type="character" w:styleId="FollowedHyperlink">
    <w:name w:val="FollowedHyperlink"/>
    <w:rsid w:val="00EB2E79"/>
    <w:rPr>
      <w:color w:val="800080"/>
      <w:u w:val="single"/>
    </w:rPr>
  </w:style>
  <w:style w:type="paragraph" w:styleId="PlainText">
    <w:name w:val="Plain Text"/>
    <w:basedOn w:val="Normal"/>
    <w:link w:val="PlainTextChar"/>
    <w:rsid w:val="00EB2E79"/>
    <w:pPr>
      <w:spacing w:line="480" w:lineRule="auto"/>
      <w:ind w:firstLine="720"/>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EB2E79"/>
    <w:rPr>
      <w:rFonts w:ascii="Courier New" w:eastAsia="Times New Roman" w:hAnsi="Courier New" w:cs="Times New Roman"/>
      <w:sz w:val="20"/>
      <w:szCs w:val="20"/>
      <w:lang w:val="x-none" w:eastAsia="x-none"/>
    </w:rPr>
  </w:style>
  <w:style w:type="paragraph" w:styleId="Caption">
    <w:name w:val="caption"/>
    <w:basedOn w:val="Normal"/>
    <w:next w:val="Normal"/>
    <w:qFormat/>
    <w:rsid w:val="00EB2E79"/>
    <w:pPr>
      <w:spacing w:line="480" w:lineRule="auto"/>
      <w:ind w:firstLine="720"/>
      <w:jc w:val="both"/>
    </w:pPr>
    <w:rPr>
      <w:rFonts w:eastAsia="Times New Roman"/>
    </w:rPr>
  </w:style>
  <w:style w:type="character" w:styleId="PageNumber">
    <w:name w:val="page number"/>
    <w:basedOn w:val="DefaultParagraphFont"/>
    <w:rsid w:val="00EB2E79"/>
  </w:style>
  <w:style w:type="paragraph" w:styleId="NormalWeb">
    <w:name w:val="Normal (Web)"/>
    <w:basedOn w:val="Normal"/>
    <w:rsid w:val="00EB2E79"/>
    <w:pPr>
      <w:spacing w:before="100" w:beforeAutospacing="1" w:after="100" w:afterAutospacing="1" w:line="480" w:lineRule="auto"/>
      <w:ind w:firstLine="720"/>
    </w:pPr>
    <w:rPr>
      <w:rFonts w:eastAsia="Times New Roman"/>
    </w:rPr>
  </w:style>
  <w:style w:type="character" w:styleId="Strong">
    <w:name w:val="Strong"/>
    <w:qFormat/>
    <w:rsid w:val="00EB2E79"/>
    <w:rPr>
      <w:b/>
      <w:bCs/>
    </w:rPr>
  </w:style>
  <w:style w:type="character" w:styleId="Emphasis">
    <w:name w:val="Emphasis"/>
    <w:qFormat/>
    <w:rsid w:val="00EB2E79"/>
    <w:rPr>
      <w:i/>
      <w:iCs/>
    </w:rPr>
  </w:style>
  <w:style w:type="character" w:customStyle="1" w:styleId="spelle">
    <w:name w:val="spelle"/>
    <w:basedOn w:val="DefaultParagraphFont"/>
    <w:rsid w:val="00EB2E79"/>
  </w:style>
  <w:style w:type="character" w:customStyle="1" w:styleId="grame">
    <w:name w:val="grame"/>
    <w:basedOn w:val="DefaultParagraphFont"/>
    <w:rsid w:val="00EB2E79"/>
  </w:style>
  <w:style w:type="paragraph" w:styleId="HTMLPreformatted">
    <w:name w:val="HTML Preformatted"/>
    <w:basedOn w:val="Normal"/>
    <w:link w:val="HTMLPreformattedChar"/>
    <w:uiPriority w:val="99"/>
    <w:rsid w:val="00EB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EB2E79"/>
    <w:rPr>
      <w:rFonts w:ascii="Courier New" w:eastAsia="Courier New" w:hAnsi="Courier New" w:cs="Times New Roman"/>
      <w:sz w:val="20"/>
      <w:szCs w:val="20"/>
      <w:lang w:val="x-none" w:eastAsia="x-none"/>
    </w:rPr>
  </w:style>
  <w:style w:type="character" w:styleId="LineNumber">
    <w:name w:val="line number"/>
    <w:basedOn w:val="DefaultParagraphFont"/>
    <w:uiPriority w:val="99"/>
    <w:rsid w:val="00EB2E79"/>
  </w:style>
  <w:style w:type="character" w:customStyle="1" w:styleId="indent">
    <w:name w:val="indent"/>
    <w:basedOn w:val="DefaultParagraphFont"/>
    <w:uiPriority w:val="99"/>
    <w:rsid w:val="00EB2E79"/>
  </w:style>
  <w:style w:type="paragraph" w:customStyle="1" w:styleId="abstract">
    <w:name w:val="abstract"/>
    <w:basedOn w:val="Normal"/>
    <w:uiPriority w:val="99"/>
    <w:rsid w:val="00EB2E79"/>
    <w:pPr>
      <w:spacing w:before="100" w:beforeAutospacing="1" w:after="100" w:afterAutospacing="1" w:line="480" w:lineRule="auto"/>
      <w:ind w:firstLine="720"/>
    </w:pPr>
    <w:rPr>
      <w:rFonts w:eastAsia="Times New Roman"/>
    </w:rPr>
  </w:style>
  <w:style w:type="character" w:customStyle="1" w:styleId="graphictext">
    <w:name w:val="graphictext"/>
    <w:basedOn w:val="DefaultParagraphFont"/>
    <w:rsid w:val="00EB2E79"/>
  </w:style>
  <w:style w:type="paragraph" w:customStyle="1" w:styleId="HTMLBody">
    <w:name w:val="HTML Body"/>
    <w:rsid w:val="00EB2E79"/>
    <w:pPr>
      <w:autoSpaceDE w:val="0"/>
      <w:autoSpaceDN w:val="0"/>
      <w:adjustRightInd w:val="0"/>
    </w:pPr>
    <w:rPr>
      <w:rFonts w:ascii="Arial" w:eastAsia="Times New Roman" w:hAnsi="Arial" w:cs="Times New Roman"/>
      <w:lang w:val="en-US"/>
    </w:rPr>
  </w:style>
  <w:style w:type="paragraph" w:customStyle="1" w:styleId="Style">
    <w:name w:val="Style"/>
    <w:rsid w:val="00EB2E79"/>
    <w:pPr>
      <w:autoSpaceDE w:val="0"/>
      <w:autoSpaceDN w:val="0"/>
    </w:pPr>
    <w:rPr>
      <w:rFonts w:ascii="Times New Roman" w:eastAsia="Times New Roman" w:hAnsi="Times New Roman" w:cs="Times New Roman"/>
      <w:lang w:val="en-US"/>
    </w:rPr>
  </w:style>
  <w:style w:type="paragraph" w:customStyle="1" w:styleId="RTFOutput">
    <w:name w:val="RTFOutput"/>
    <w:qFormat/>
    <w:rsid w:val="00EB2E79"/>
    <w:pPr>
      <w:autoSpaceDE w:val="0"/>
      <w:autoSpaceDN w:val="0"/>
      <w:spacing w:before="20" w:after="20"/>
    </w:pPr>
    <w:rPr>
      <w:rFonts w:ascii="Times New Roman" w:eastAsia="Times New Roman" w:hAnsi="Times New Roman" w:cs="Times New Roman"/>
      <w:lang w:val="en-US"/>
    </w:rPr>
  </w:style>
  <w:style w:type="paragraph" w:customStyle="1" w:styleId="ColorfulShading-Accent11">
    <w:name w:val="Colorful Shading - Accent 11"/>
    <w:hidden/>
    <w:uiPriority w:val="99"/>
    <w:semiHidden/>
    <w:rsid w:val="00EB2E79"/>
    <w:rPr>
      <w:rFonts w:ascii="Times New Roman" w:eastAsia="Times New Roman" w:hAnsi="Times New Roman" w:cs="Times New Roman"/>
      <w:lang w:val="en-US"/>
    </w:rPr>
  </w:style>
  <w:style w:type="paragraph" w:customStyle="1" w:styleId="ColorfulShading-Accent12">
    <w:name w:val="Colorful Shading - Accent 12"/>
    <w:hidden/>
    <w:rsid w:val="00EB2E79"/>
    <w:rPr>
      <w:rFonts w:ascii="Times New Roman" w:eastAsia="Times New Roman" w:hAnsi="Times New Roman" w:cs="Times New Roman"/>
      <w:lang w:val="en-US"/>
    </w:rPr>
  </w:style>
  <w:style w:type="paragraph" w:styleId="EndnoteText">
    <w:name w:val="endnote text"/>
    <w:basedOn w:val="Normal"/>
    <w:link w:val="EndnoteTextChar"/>
    <w:rsid w:val="00EB2E79"/>
    <w:pPr>
      <w:spacing w:line="480" w:lineRule="auto"/>
      <w:ind w:firstLine="720"/>
    </w:pPr>
    <w:rPr>
      <w:rFonts w:eastAsia="Times New Roman"/>
      <w:lang w:val="x-none" w:eastAsia="x-none"/>
    </w:rPr>
  </w:style>
  <w:style w:type="character" w:customStyle="1" w:styleId="EndnoteTextChar">
    <w:name w:val="Endnote Text Char"/>
    <w:basedOn w:val="DefaultParagraphFont"/>
    <w:link w:val="EndnoteText"/>
    <w:rsid w:val="00EB2E79"/>
    <w:rPr>
      <w:rFonts w:ascii="Times New Roman" w:eastAsia="Times New Roman" w:hAnsi="Times New Roman" w:cs="Times New Roman"/>
      <w:lang w:val="x-none" w:eastAsia="x-none"/>
    </w:rPr>
  </w:style>
  <w:style w:type="character" w:styleId="EndnoteReference">
    <w:name w:val="endnote reference"/>
    <w:rsid w:val="00EB2E79"/>
    <w:rPr>
      <w:vertAlign w:val="superscript"/>
    </w:rPr>
  </w:style>
  <w:style w:type="paragraph" w:styleId="FootnoteText">
    <w:name w:val="footnote text"/>
    <w:basedOn w:val="Normal"/>
    <w:link w:val="FootnoteTextChar"/>
    <w:rsid w:val="00EB2E79"/>
    <w:pPr>
      <w:spacing w:line="480" w:lineRule="auto"/>
      <w:ind w:firstLine="720"/>
    </w:pPr>
    <w:rPr>
      <w:rFonts w:eastAsia="Times New Roman"/>
      <w:lang w:val="x-none" w:eastAsia="x-none"/>
    </w:rPr>
  </w:style>
  <w:style w:type="character" w:customStyle="1" w:styleId="FootnoteTextChar">
    <w:name w:val="Footnote Text Char"/>
    <w:basedOn w:val="DefaultParagraphFont"/>
    <w:link w:val="FootnoteText"/>
    <w:rsid w:val="00EB2E79"/>
    <w:rPr>
      <w:rFonts w:ascii="Times New Roman" w:eastAsia="Times New Roman" w:hAnsi="Times New Roman" w:cs="Times New Roman"/>
      <w:lang w:val="x-none" w:eastAsia="x-none"/>
    </w:rPr>
  </w:style>
  <w:style w:type="character" w:styleId="FootnoteReference">
    <w:name w:val="footnote reference"/>
    <w:rsid w:val="00EB2E79"/>
    <w:rPr>
      <w:vertAlign w:val="superscript"/>
    </w:rPr>
  </w:style>
  <w:style w:type="paragraph" w:customStyle="1" w:styleId="EndNoteBibliographyTitle">
    <w:name w:val="EndNote Bibliography Title"/>
    <w:basedOn w:val="Normal"/>
    <w:rsid w:val="00EB2E79"/>
    <w:pPr>
      <w:spacing w:line="480" w:lineRule="auto"/>
      <w:ind w:firstLine="720"/>
      <w:jc w:val="center"/>
    </w:pPr>
    <w:rPr>
      <w:rFonts w:ascii="Arial" w:eastAsia="Times New Roman" w:hAnsi="Arial"/>
      <w:sz w:val="22"/>
    </w:rPr>
  </w:style>
  <w:style w:type="paragraph" w:customStyle="1" w:styleId="EndNoteBibliography">
    <w:name w:val="EndNote Bibliography"/>
    <w:basedOn w:val="Normal"/>
    <w:rsid w:val="00EB2E79"/>
    <w:pPr>
      <w:spacing w:line="480" w:lineRule="auto"/>
      <w:ind w:firstLine="720"/>
    </w:pPr>
    <w:rPr>
      <w:rFonts w:ascii="Arial" w:eastAsia="Times New Roman" w:hAnsi="Arial"/>
      <w:sz w:val="22"/>
    </w:rPr>
  </w:style>
  <w:style w:type="paragraph" w:styleId="ListParagraph">
    <w:name w:val="List Paragraph"/>
    <w:basedOn w:val="Normal"/>
    <w:uiPriority w:val="34"/>
    <w:qFormat/>
    <w:rsid w:val="00722B2D"/>
    <w:pPr>
      <w:ind w:left="720"/>
      <w:contextualSpacing/>
    </w:pPr>
  </w:style>
  <w:style w:type="character" w:customStyle="1" w:styleId="jrnl">
    <w:name w:val="jrnl"/>
    <w:basedOn w:val="DefaultParagraphFont"/>
    <w:rsid w:val="00354CAB"/>
  </w:style>
  <w:style w:type="table" w:styleId="ListTable7Colorful-Accent3">
    <w:name w:val="List Table 7 Colorful Accent 3"/>
    <w:basedOn w:val="TableNormal"/>
    <w:uiPriority w:val="52"/>
    <w:rsid w:val="00914A85"/>
    <w:rPr>
      <w:rFonts w:eastAsiaTheme="minorHAnsi"/>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1A019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8D100A"/>
    <w:rPr>
      <w:color w:val="605E5C"/>
      <w:shd w:val="clear" w:color="auto" w:fill="E1DFDD"/>
    </w:rPr>
  </w:style>
  <w:style w:type="paragraph" w:styleId="TOCHeading">
    <w:name w:val="TOC Heading"/>
    <w:basedOn w:val="Heading1"/>
    <w:next w:val="Normal"/>
    <w:uiPriority w:val="39"/>
    <w:unhideWhenUsed/>
    <w:qFormat/>
    <w:rsid w:val="001852BC"/>
    <w:pPr>
      <w:keepLines/>
      <w:widowControl/>
      <w:tabs>
        <w:tab w:val="clear" w:pos="0"/>
      </w:tabs>
      <w:spacing w:before="480" w:line="276" w:lineRule="auto"/>
      <w:ind w:firstLine="0"/>
      <w:jc w:val="left"/>
      <w:outlineLvl w:val="9"/>
    </w:pPr>
    <w:rPr>
      <w:rFonts w:asciiTheme="majorHAnsi" w:eastAsiaTheme="majorEastAsia" w:hAnsiTheme="majorHAnsi" w:cstheme="majorBidi"/>
      <w:bCs/>
      <w:snapToGrid/>
      <w:color w:val="365F91" w:themeColor="accent1" w:themeShade="BF"/>
      <w:sz w:val="28"/>
      <w:szCs w:val="28"/>
      <w:lang w:val="en-US" w:eastAsia="en-US"/>
    </w:rPr>
  </w:style>
  <w:style w:type="paragraph" w:styleId="TOC1">
    <w:name w:val="toc 1"/>
    <w:basedOn w:val="Normal"/>
    <w:next w:val="Normal"/>
    <w:autoRedefine/>
    <w:uiPriority w:val="39"/>
    <w:unhideWhenUsed/>
    <w:rsid w:val="00D92645"/>
    <w:pPr>
      <w:spacing w:before="120"/>
      <w:jc w:val="both"/>
    </w:pPr>
    <w:rPr>
      <w:rFonts w:asciiTheme="minorHAnsi" w:hAnsiTheme="minorHAnsi"/>
      <w:b/>
      <w:bCs/>
      <w:i/>
      <w:iCs/>
    </w:rPr>
  </w:style>
  <w:style w:type="paragraph" w:styleId="TOC2">
    <w:name w:val="toc 2"/>
    <w:basedOn w:val="Normal"/>
    <w:next w:val="Normal"/>
    <w:autoRedefine/>
    <w:uiPriority w:val="39"/>
    <w:unhideWhenUsed/>
    <w:rsid w:val="00971D5C"/>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971D5C"/>
    <w:pPr>
      <w:ind w:left="480"/>
    </w:pPr>
    <w:rPr>
      <w:rFonts w:asciiTheme="minorHAnsi" w:hAnsiTheme="minorHAnsi"/>
      <w:sz w:val="20"/>
      <w:szCs w:val="20"/>
    </w:rPr>
  </w:style>
  <w:style w:type="paragraph" w:styleId="TOC4">
    <w:name w:val="toc 4"/>
    <w:basedOn w:val="Normal"/>
    <w:next w:val="Normal"/>
    <w:autoRedefine/>
    <w:uiPriority w:val="39"/>
    <w:semiHidden/>
    <w:unhideWhenUsed/>
    <w:rsid w:val="00971D5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71D5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71D5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71D5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71D5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71D5C"/>
    <w:pPr>
      <w:ind w:left="1920"/>
    </w:pPr>
    <w:rPr>
      <w:rFonts w:asciiTheme="minorHAnsi" w:hAnsiTheme="minorHAnsi"/>
      <w:sz w:val="20"/>
      <w:szCs w:val="20"/>
    </w:rPr>
  </w:style>
  <w:style w:type="table" w:customStyle="1" w:styleId="TableGrid1">
    <w:name w:val="Table Grid1"/>
    <w:basedOn w:val="TableNormal"/>
    <w:next w:val="TableGrid"/>
    <w:uiPriority w:val="39"/>
    <w:rsid w:val="00DD1338"/>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262a78cfmsonormal">
    <w:name w:val="ydp262a78cfmsonormal"/>
    <w:basedOn w:val="Normal"/>
    <w:rsid w:val="00244E18"/>
    <w:pPr>
      <w:spacing w:before="100" w:beforeAutospacing="1" w:after="100" w:afterAutospacing="1"/>
    </w:pPr>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909">
      <w:bodyDiv w:val="1"/>
      <w:marLeft w:val="0"/>
      <w:marRight w:val="0"/>
      <w:marTop w:val="0"/>
      <w:marBottom w:val="0"/>
      <w:divBdr>
        <w:top w:val="none" w:sz="0" w:space="0" w:color="auto"/>
        <w:left w:val="none" w:sz="0" w:space="0" w:color="auto"/>
        <w:bottom w:val="none" w:sz="0" w:space="0" w:color="auto"/>
        <w:right w:val="none" w:sz="0" w:space="0" w:color="auto"/>
      </w:divBdr>
    </w:div>
    <w:div w:id="199900066">
      <w:bodyDiv w:val="1"/>
      <w:marLeft w:val="0"/>
      <w:marRight w:val="0"/>
      <w:marTop w:val="0"/>
      <w:marBottom w:val="0"/>
      <w:divBdr>
        <w:top w:val="none" w:sz="0" w:space="0" w:color="auto"/>
        <w:left w:val="none" w:sz="0" w:space="0" w:color="auto"/>
        <w:bottom w:val="none" w:sz="0" w:space="0" w:color="auto"/>
        <w:right w:val="none" w:sz="0" w:space="0" w:color="auto"/>
      </w:divBdr>
    </w:div>
    <w:div w:id="472143440">
      <w:bodyDiv w:val="1"/>
      <w:marLeft w:val="0"/>
      <w:marRight w:val="0"/>
      <w:marTop w:val="0"/>
      <w:marBottom w:val="0"/>
      <w:divBdr>
        <w:top w:val="none" w:sz="0" w:space="0" w:color="auto"/>
        <w:left w:val="none" w:sz="0" w:space="0" w:color="auto"/>
        <w:bottom w:val="none" w:sz="0" w:space="0" w:color="auto"/>
        <w:right w:val="none" w:sz="0" w:space="0" w:color="auto"/>
      </w:divBdr>
    </w:div>
    <w:div w:id="621886624">
      <w:bodyDiv w:val="1"/>
      <w:marLeft w:val="0"/>
      <w:marRight w:val="0"/>
      <w:marTop w:val="0"/>
      <w:marBottom w:val="0"/>
      <w:divBdr>
        <w:top w:val="none" w:sz="0" w:space="0" w:color="auto"/>
        <w:left w:val="none" w:sz="0" w:space="0" w:color="auto"/>
        <w:bottom w:val="none" w:sz="0" w:space="0" w:color="auto"/>
        <w:right w:val="none" w:sz="0" w:space="0" w:color="auto"/>
      </w:divBdr>
    </w:div>
    <w:div w:id="764761987">
      <w:bodyDiv w:val="1"/>
      <w:marLeft w:val="0"/>
      <w:marRight w:val="0"/>
      <w:marTop w:val="0"/>
      <w:marBottom w:val="0"/>
      <w:divBdr>
        <w:top w:val="none" w:sz="0" w:space="0" w:color="auto"/>
        <w:left w:val="none" w:sz="0" w:space="0" w:color="auto"/>
        <w:bottom w:val="none" w:sz="0" w:space="0" w:color="auto"/>
        <w:right w:val="none" w:sz="0" w:space="0" w:color="auto"/>
      </w:divBdr>
    </w:div>
    <w:div w:id="846791012">
      <w:bodyDiv w:val="1"/>
      <w:marLeft w:val="0"/>
      <w:marRight w:val="0"/>
      <w:marTop w:val="0"/>
      <w:marBottom w:val="0"/>
      <w:divBdr>
        <w:top w:val="none" w:sz="0" w:space="0" w:color="auto"/>
        <w:left w:val="none" w:sz="0" w:space="0" w:color="auto"/>
        <w:bottom w:val="none" w:sz="0" w:space="0" w:color="auto"/>
        <w:right w:val="none" w:sz="0" w:space="0" w:color="auto"/>
      </w:divBdr>
    </w:div>
    <w:div w:id="1149060108">
      <w:bodyDiv w:val="1"/>
      <w:marLeft w:val="0"/>
      <w:marRight w:val="0"/>
      <w:marTop w:val="0"/>
      <w:marBottom w:val="0"/>
      <w:divBdr>
        <w:top w:val="none" w:sz="0" w:space="0" w:color="auto"/>
        <w:left w:val="none" w:sz="0" w:space="0" w:color="auto"/>
        <w:bottom w:val="none" w:sz="0" w:space="0" w:color="auto"/>
        <w:right w:val="none" w:sz="0" w:space="0" w:color="auto"/>
      </w:divBdr>
    </w:div>
    <w:div w:id="1303538347">
      <w:bodyDiv w:val="1"/>
      <w:marLeft w:val="0"/>
      <w:marRight w:val="0"/>
      <w:marTop w:val="0"/>
      <w:marBottom w:val="0"/>
      <w:divBdr>
        <w:top w:val="none" w:sz="0" w:space="0" w:color="auto"/>
        <w:left w:val="none" w:sz="0" w:space="0" w:color="auto"/>
        <w:bottom w:val="none" w:sz="0" w:space="0" w:color="auto"/>
        <w:right w:val="none" w:sz="0" w:space="0" w:color="auto"/>
      </w:divBdr>
    </w:div>
    <w:div w:id="1572737460">
      <w:bodyDiv w:val="1"/>
      <w:marLeft w:val="0"/>
      <w:marRight w:val="0"/>
      <w:marTop w:val="0"/>
      <w:marBottom w:val="0"/>
      <w:divBdr>
        <w:top w:val="none" w:sz="0" w:space="0" w:color="auto"/>
        <w:left w:val="none" w:sz="0" w:space="0" w:color="auto"/>
        <w:bottom w:val="none" w:sz="0" w:space="0" w:color="auto"/>
        <w:right w:val="none" w:sz="0" w:space="0" w:color="auto"/>
      </w:divBdr>
    </w:div>
    <w:div w:id="1674575988">
      <w:bodyDiv w:val="1"/>
      <w:marLeft w:val="0"/>
      <w:marRight w:val="0"/>
      <w:marTop w:val="0"/>
      <w:marBottom w:val="0"/>
      <w:divBdr>
        <w:top w:val="none" w:sz="0" w:space="0" w:color="auto"/>
        <w:left w:val="none" w:sz="0" w:space="0" w:color="auto"/>
        <w:bottom w:val="none" w:sz="0" w:space="0" w:color="auto"/>
        <w:right w:val="none" w:sz="0" w:space="0" w:color="auto"/>
      </w:divBdr>
    </w:div>
    <w:div w:id="1912692608">
      <w:bodyDiv w:val="1"/>
      <w:marLeft w:val="0"/>
      <w:marRight w:val="0"/>
      <w:marTop w:val="0"/>
      <w:marBottom w:val="0"/>
      <w:divBdr>
        <w:top w:val="none" w:sz="0" w:space="0" w:color="auto"/>
        <w:left w:val="none" w:sz="0" w:space="0" w:color="auto"/>
        <w:bottom w:val="none" w:sz="0" w:space="0" w:color="auto"/>
        <w:right w:val="none" w:sz="0" w:space="0" w:color="auto"/>
      </w:divBdr>
    </w:div>
    <w:div w:id="199236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decloedt@su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98A7-6672-4CB5-88C4-A1A881DD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21496</Words>
  <Characters>122532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Decloedt</dc:creator>
  <cp:keywords/>
  <dc:description/>
  <cp:lastModifiedBy>Decloedt, Eric, Prof [ericdecloedt@sun.ac.za]</cp:lastModifiedBy>
  <cp:revision>2</cp:revision>
  <cp:lastPrinted>2018-06-15T11:52:00Z</cp:lastPrinted>
  <dcterms:created xsi:type="dcterms:W3CDTF">2022-05-10T14:26:00Z</dcterms:created>
  <dcterms:modified xsi:type="dcterms:W3CDTF">2022-05-10T14:26:00Z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f98b3b31-345d-3c84-a7f0-efc542d9354d</vt:lpwstr>
  </property>
</Properties>
</file>