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38B7" w14:textId="20B76468" w:rsidR="00B85377" w:rsidRPr="00CA7790" w:rsidRDefault="00D112BB" w:rsidP="002F7BB9">
      <w:pPr>
        <w:spacing w:line="360" w:lineRule="auto"/>
        <w:rPr>
          <w:rFonts w:cstheme="minorHAnsi"/>
          <w:b/>
          <w:bCs/>
        </w:rPr>
      </w:pPr>
      <w:bookmarkStart w:id="0" w:name="_Hlk112170990"/>
      <w:r>
        <w:rPr>
          <w:rFonts w:cstheme="minorHAnsi"/>
          <w:b/>
          <w:bCs/>
        </w:rPr>
        <w:t xml:space="preserve">The Red Dressing Gown: </w:t>
      </w:r>
      <w:r w:rsidR="00264A90">
        <w:rPr>
          <w:rFonts w:cstheme="minorHAnsi"/>
          <w:b/>
          <w:bCs/>
        </w:rPr>
        <w:t xml:space="preserve">reflections on </w:t>
      </w:r>
      <w:r w:rsidR="00C00316">
        <w:rPr>
          <w:rFonts w:cstheme="minorHAnsi"/>
          <w:b/>
          <w:bCs/>
        </w:rPr>
        <w:t>the</w:t>
      </w:r>
      <w:r>
        <w:rPr>
          <w:rFonts w:cstheme="minorHAnsi"/>
          <w:b/>
          <w:bCs/>
        </w:rPr>
        <w:t xml:space="preserve"> ageing of a dutiful daughter</w:t>
      </w:r>
      <w:r w:rsidR="00536810" w:rsidRPr="00CA7790">
        <w:rPr>
          <w:rFonts w:cstheme="minorHAnsi"/>
          <w:b/>
          <w:bCs/>
        </w:rPr>
        <w:t xml:space="preserve"> </w:t>
      </w:r>
    </w:p>
    <w:p w14:paraId="5AFEACD8" w14:textId="1CAB8C8D" w:rsidR="0047136C" w:rsidRPr="00CA7790" w:rsidRDefault="007A4156" w:rsidP="002F7BB9">
      <w:pPr>
        <w:spacing w:line="360" w:lineRule="auto"/>
        <w:rPr>
          <w:rFonts w:cstheme="minorHAnsi"/>
          <w:b/>
          <w:bCs/>
        </w:rPr>
      </w:pPr>
      <w:r>
        <w:rPr>
          <w:rFonts w:cstheme="minorHAnsi"/>
          <w:b/>
          <w:bCs/>
        </w:rPr>
        <w:t xml:space="preserve">1 </w:t>
      </w:r>
      <w:r w:rsidR="0047136C" w:rsidRPr="00CA7790">
        <w:rPr>
          <w:rFonts w:cstheme="minorHAnsi"/>
          <w:b/>
          <w:bCs/>
        </w:rPr>
        <w:t>Background and introduction</w:t>
      </w:r>
    </w:p>
    <w:p w14:paraId="65267205" w14:textId="06B5E722" w:rsidR="00DD2788" w:rsidRDefault="005B149E" w:rsidP="007A1491">
      <w:pPr>
        <w:spacing w:line="360" w:lineRule="auto"/>
        <w:rPr>
          <w:rFonts w:cstheme="minorHAnsi"/>
        </w:rPr>
      </w:pPr>
      <w:r>
        <w:rPr>
          <w:rFonts w:cstheme="minorHAnsi"/>
        </w:rPr>
        <w:t xml:space="preserve">In a 1960 </w:t>
      </w:r>
      <w:r w:rsidR="002C699F">
        <w:rPr>
          <w:rFonts w:cstheme="minorHAnsi"/>
        </w:rPr>
        <w:t>interview about her attitude to fashion</w:t>
      </w:r>
      <w:r>
        <w:rPr>
          <w:rFonts w:cstheme="minorHAnsi"/>
        </w:rPr>
        <w:t xml:space="preserve">, Simone de Beauvoir </w:t>
      </w:r>
      <w:r w:rsidR="00350190">
        <w:rPr>
          <w:rFonts w:cstheme="minorHAnsi"/>
        </w:rPr>
        <w:t xml:space="preserve">tells </w:t>
      </w:r>
      <w:r w:rsidR="002C699F">
        <w:rPr>
          <w:rFonts w:cstheme="minorHAnsi"/>
        </w:rPr>
        <w:t xml:space="preserve">the journalist </w:t>
      </w:r>
      <w:r w:rsidR="00350190">
        <w:rPr>
          <w:rFonts w:cstheme="minorHAnsi"/>
        </w:rPr>
        <w:t>that she is not interested in clothes and prefers to wear her dressing gown.</w:t>
      </w:r>
      <w:r w:rsidR="001E314D">
        <w:rPr>
          <w:rStyle w:val="FootnoteReference"/>
          <w:rFonts w:cstheme="minorHAnsi"/>
        </w:rPr>
        <w:footnoteReference w:id="1"/>
      </w:r>
      <w:r w:rsidR="00350190">
        <w:rPr>
          <w:rFonts w:cstheme="minorHAnsi"/>
        </w:rPr>
        <w:t xml:space="preserve">  </w:t>
      </w:r>
      <w:r w:rsidR="00210A7D" w:rsidRPr="00CA7790">
        <w:rPr>
          <w:rFonts w:cstheme="minorHAnsi"/>
        </w:rPr>
        <w:t>She w</w:t>
      </w:r>
      <w:r w:rsidR="00210A7D">
        <w:rPr>
          <w:rFonts w:cstheme="minorHAnsi"/>
        </w:rPr>
        <w:t>ears</w:t>
      </w:r>
      <w:r w:rsidR="00210A7D" w:rsidRPr="00CA7790">
        <w:rPr>
          <w:rFonts w:cstheme="minorHAnsi"/>
        </w:rPr>
        <w:t xml:space="preserve"> it to </w:t>
      </w:r>
      <w:r w:rsidR="00210A7D">
        <w:rPr>
          <w:rFonts w:cstheme="minorHAnsi"/>
        </w:rPr>
        <w:t xml:space="preserve">work </w:t>
      </w:r>
      <w:r w:rsidR="001E314D">
        <w:rPr>
          <w:rFonts w:cstheme="minorHAnsi"/>
        </w:rPr>
        <w:t xml:space="preserve">in and to </w:t>
      </w:r>
      <w:r w:rsidR="00210A7D" w:rsidRPr="00CA7790">
        <w:rPr>
          <w:rFonts w:cstheme="minorHAnsi"/>
        </w:rPr>
        <w:t xml:space="preserve">write all day long, </w:t>
      </w:r>
      <w:r w:rsidR="00210A7D">
        <w:rPr>
          <w:rFonts w:cstheme="minorHAnsi"/>
        </w:rPr>
        <w:t xml:space="preserve">she reveals, </w:t>
      </w:r>
      <w:r w:rsidR="00210A7D" w:rsidRPr="00CA7790">
        <w:rPr>
          <w:rFonts w:cstheme="minorHAnsi"/>
        </w:rPr>
        <w:t>g</w:t>
      </w:r>
      <w:r w:rsidR="00210A7D">
        <w:rPr>
          <w:rFonts w:cstheme="minorHAnsi"/>
        </w:rPr>
        <w:t>ives</w:t>
      </w:r>
      <w:r w:rsidR="00210A7D" w:rsidRPr="00CA7790">
        <w:rPr>
          <w:rFonts w:cstheme="minorHAnsi"/>
        </w:rPr>
        <w:t xml:space="preserve"> interviews to journalists and others </w:t>
      </w:r>
      <w:r w:rsidR="001E314D">
        <w:rPr>
          <w:rFonts w:cstheme="minorHAnsi"/>
        </w:rPr>
        <w:t>whilst wearing</w:t>
      </w:r>
      <w:r w:rsidR="00210A7D" w:rsidRPr="00CA7790">
        <w:rPr>
          <w:rFonts w:cstheme="minorHAnsi"/>
        </w:rPr>
        <w:t xml:space="preserve"> it and is</w:t>
      </w:r>
      <w:r w:rsidR="00211457">
        <w:rPr>
          <w:rFonts w:cstheme="minorHAnsi"/>
        </w:rPr>
        <w:t>,</w:t>
      </w:r>
      <w:r w:rsidR="00210A7D" w:rsidRPr="00CA7790">
        <w:rPr>
          <w:rFonts w:cstheme="minorHAnsi"/>
        </w:rPr>
        <w:t xml:space="preserve"> </w:t>
      </w:r>
      <w:r w:rsidR="00210A7D">
        <w:rPr>
          <w:rFonts w:cstheme="minorHAnsi"/>
        </w:rPr>
        <w:t>indeed</w:t>
      </w:r>
      <w:r w:rsidR="00211457">
        <w:rPr>
          <w:rFonts w:cstheme="minorHAnsi"/>
        </w:rPr>
        <w:t>,</w:t>
      </w:r>
      <w:r w:rsidR="00DD2788">
        <w:rPr>
          <w:rFonts w:cstheme="minorHAnsi"/>
        </w:rPr>
        <w:t xml:space="preserve"> </w:t>
      </w:r>
      <w:r w:rsidR="008D76D3">
        <w:rPr>
          <w:rFonts w:cstheme="minorHAnsi"/>
        </w:rPr>
        <w:t xml:space="preserve">enrobed in </w:t>
      </w:r>
      <w:r w:rsidR="00C00316">
        <w:rPr>
          <w:rFonts w:cstheme="minorHAnsi"/>
        </w:rPr>
        <w:t>it in the photograph</w:t>
      </w:r>
      <w:r w:rsidR="00DD2788">
        <w:rPr>
          <w:rFonts w:cstheme="minorHAnsi"/>
        </w:rPr>
        <w:t xml:space="preserve"> that </w:t>
      </w:r>
      <w:r w:rsidR="00C00316">
        <w:rPr>
          <w:rFonts w:cstheme="minorHAnsi"/>
        </w:rPr>
        <w:t>accompan</w:t>
      </w:r>
      <w:r w:rsidR="00DD2788">
        <w:rPr>
          <w:rFonts w:cstheme="minorHAnsi"/>
        </w:rPr>
        <w:t>ies</w:t>
      </w:r>
      <w:r w:rsidR="00C00316">
        <w:rPr>
          <w:rFonts w:cstheme="minorHAnsi"/>
        </w:rPr>
        <w:t xml:space="preserve"> </w:t>
      </w:r>
      <w:r w:rsidR="00210A7D">
        <w:rPr>
          <w:rFonts w:cstheme="minorHAnsi"/>
        </w:rPr>
        <w:t xml:space="preserve">the </w:t>
      </w:r>
      <w:r w:rsidR="00DD2788">
        <w:rPr>
          <w:rFonts w:cstheme="minorHAnsi"/>
        </w:rPr>
        <w:t>article</w:t>
      </w:r>
      <w:r w:rsidR="00210A7D">
        <w:rPr>
          <w:rFonts w:cstheme="minorHAnsi"/>
        </w:rPr>
        <w:t xml:space="preserve">. </w:t>
      </w:r>
      <w:r w:rsidR="00C62BF9">
        <w:rPr>
          <w:rFonts w:cstheme="minorHAnsi"/>
        </w:rPr>
        <w:t>I</w:t>
      </w:r>
      <w:r w:rsidR="00210A7D">
        <w:rPr>
          <w:rFonts w:cstheme="minorHAnsi"/>
        </w:rPr>
        <w:t xml:space="preserve">t is a </w:t>
      </w:r>
      <w:r w:rsidR="008D76D3">
        <w:rPr>
          <w:rFonts w:cstheme="minorHAnsi"/>
        </w:rPr>
        <w:t>dramatic</w:t>
      </w:r>
      <w:r w:rsidR="00210A7D">
        <w:rPr>
          <w:rFonts w:cstheme="minorHAnsi"/>
        </w:rPr>
        <w:t xml:space="preserve"> Adrianople red</w:t>
      </w:r>
      <w:r w:rsidR="008D76D3">
        <w:rPr>
          <w:rFonts w:cstheme="minorHAnsi"/>
        </w:rPr>
        <w:t>, the colour of blood</w:t>
      </w:r>
      <w:r w:rsidR="0040523C">
        <w:rPr>
          <w:rFonts w:cstheme="minorHAnsi"/>
        </w:rPr>
        <w:t>, life and death</w:t>
      </w:r>
      <w:r w:rsidR="008D76D3">
        <w:rPr>
          <w:rFonts w:cstheme="minorHAnsi"/>
        </w:rPr>
        <w:t xml:space="preserve">, </w:t>
      </w:r>
      <w:r w:rsidR="0040523C">
        <w:rPr>
          <w:rFonts w:cstheme="minorHAnsi"/>
        </w:rPr>
        <w:t xml:space="preserve">love and </w:t>
      </w:r>
      <w:r w:rsidR="008D76D3">
        <w:rPr>
          <w:rFonts w:cstheme="minorHAnsi"/>
        </w:rPr>
        <w:t>war</w:t>
      </w:r>
      <w:r w:rsidR="00210A7D">
        <w:rPr>
          <w:rFonts w:cstheme="minorHAnsi"/>
        </w:rPr>
        <w:t>; t</w:t>
      </w:r>
      <w:r w:rsidR="00210A7D" w:rsidRPr="00CA7790">
        <w:rPr>
          <w:rFonts w:cstheme="minorHAnsi"/>
        </w:rPr>
        <w:t>here is a portrait of her wearing it</w:t>
      </w:r>
      <w:r w:rsidR="00210A7D">
        <w:rPr>
          <w:rFonts w:cstheme="minorHAnsi"/>
        </w:rPr>
        <w:t>, or a precursor,</w:t>
      </w:r>
      <w:r w:rsidR="00210A7D" w:rsidRPr="00CA7790">
        <w:rPr>
          <w:rFonts w:cstheme="minorHAnsi"/>
        </w:rPr>
        <w:t xml:space="preserve"> in 1957 too</w:t>
      </w:r>
      <w:r w:rsidR="00C62BF9">
        <w:rPr>
          <w:rFonts w:cstheme="minorHAnsi"/>
        </w:rPr>
        <w:t>, with matching lips and nails</w:t>
      </w:r>
      <w:r w:rsidR="00751F26">
        <w:rPr>
          <w:rFonts w:cstheme="minorHAnsi"/>
        </w:rPr>
        <w:t xml:space="preserve"> and indeed the image of Beauvoir in her carmine-coloured robe has become iconic</w:t>
      </w:r>
      <w:r w:rsidR="00210A7D">
        <w:rPr>
          <w:rFonts w:cstheme="minorHAnsi"/>
        </w:rPr>
        <w:t>.</w:t>
      </w:r>
      <w:r w:rsidR="00907147">
        <w:rPr>
          <w:rStyle w:val="FootnoteReference"/>
          <w:rFonts w:cstheme="minorHAnsi"/>
        </w:rPr>
        <w:footnoteReference w:id="2"/>
      </w:r>
      <w:r w:rsidR="000D6157">
        <w:rPr>
          <w:rFonts w:cstheme="minorHAnsi"/>
        </w:rPr>
        <w:t xml:space="preserve"> </w:t>
      </w:r>
      <w:r w:rsidR="008034C7">
        <w:rPr>
          <w:rFonts w:cstheme="minorHAnsi"/>
        </w:rPr>
        <w:t xml:space="preserve">It was both smart – I had always mistaken it for an elegant wool coat when I encountered the image – and comfortable, perhaps even comforting. </w:t>
      </w:r>
      <w:r w:rsidR="000D6157">
        <w:rPr>
          <w:rFonts w:cstheme="minorHAnsi"/>
        </w:rPr>
        <w:t>Although acknowledging</w:t>
      </w:r>
      <w:r w:rsidR="003E7B89">
        <w:rPr>
          <w:rFonts w:cstheme="minorHAnsi"/>
        </w:rPr>
        <w:t>,</w:t>
      </w:r>
      <w:r w:rsidR="003D5A49">
        <w:rPr>
          <w:rFonts w:cstheme="minorHAnsi"/>
        </w:rPr>
        <w:t xml:space="preserve"> </w:t>
      </w:r>
      <w:r w:rsidR="003E7B89">
        <w:rPr>
          <w:rFonts w:cstheme="minorHAnsi"/>
        </w:rPr>
        <w:t>“</w:t>
      </w:r>
      <w:r w:rsidR="003D5A49">
        <w:rPr>
          <w:rFonts w:cstheme="minorHAnsi"/>
        </w:rPr>
        <w:t>I’m getting older and I have to be more careful…ageing women are much more unforgivable,</w:t>
      </w:r>
      <w:r w:rsidR="003E7B89">
        <w:rPr>
          <w:rFonts w:cstheme="minorHAnsi"/>
        </w:rPr>
        <w:t>”</w:t>
      </w:r>
      <w:r w:rsidR="003D5A49">
        <w:rPr>
          <w:rFonts w:cstheme="minorHAnsi"/>
        </w:rPr>
        <w:t xml:space="preserve"> her dressing gown was </w:t>
      </w:r>
      <w:r w:rsidR="007412BF">
        <w:rPr>
          <w:rFonts w:cstheme="minorHAnsi"/>
        </w:rPr>
        <w:t xml:space="preserve">clearly important enough for her not to worry that it </w:t>
      </w:r>
      <w:r w:rsidR="00270567">
        <w:rPr>
          <w:rFonts w:cstheme="minorHAnsi"/>
        </w:rPr>
        <w:t xml:space="preserve">undermined </w:t>
      </w:r>
      <w:r w:rsidR="00DE04B0">
        <w:rPr>
          <w:rFonts w:cstheme="minorHAnsi"/>
        </w:rPr>
        <w:t xml:space="preserve">that expressed </w:t>
      </w:r>
      <w:r w:rsidR="003E7B89">
        <w:rPr>
          <w:rFonts w:cstheme="minorHAnsi"/>
        </w:rPr>
        <w:t xml:space="preserve">need for </w:t>
      </w:r>
      <w:r w:rsidR="00DE04B0">
        <w:rPr>
          <w:rFonts w:cstheme="minorHAnsi"/>
        </w:rPr>
        <w:t>care</w:t>
      </w:r>
      <w:r w:rsidR="00270567">
        <w:rPr>
          <w:rFonts w:cstheme="minorHAnsi"/>
        </w:rPr>
        <w:t xml:space="preserve"> towards </w:t>
      </w:r>
      <w:r w:rsidR="008D76D3">
        <w:rPr>
          <w:rFonts w:cstheme="minorHAnsi"/>
        </w:rPr>
        <w:t xml:space="preserve">her </w:t>
      </w:r>
      <w:r w:rsidR="00270567">
        <w:rPr>
          <w:rFonts w:cstheme="minorHAnsi"/>
        </w:rPr>
        <w:t>ageing</w:t>
      </w:r>
      <w:r w:rsidR="008D76D3">
        <w:rPr>
          <w:rFonts w:cstheme="minorHAnsi"/>
        </w:rPr>
        <w:t xml:space="preserve"> appearance</w:t>
      </w:r>
      <w:r w:rsidR="00270567">
        <w:rPr>
          <w:rFonts w:cstheme="minorHAnsi"/>
        </w:rPr>
        <w:t>.</w:t>
      </w:r>
      <w:r w:rsidR="00211457">
        <w:rPr>
          <w:rStyle w:val="FootnoteReference"/>
          <w:rFonts w:cstheme="minorHAnsi"/>
        </w:rPr>
        <w:footnoteReference w:id="3"/>
      </w:r>
    </w:p>
    <w:p w14:paraId="7DEF3048" w14:textId="55B05DB6" w:rsidR="007D4980" w:rsidRDefault="00DD2788" w:rsidP="007A1491">
      <w:pPr>
        <w:spacing w:line="360" w:lineRule="auto"/>
        <w:rPr>
          <w:rFonts w:cstheme="minorHAnsi"/>
        </w:rPr>
      </w:pPr>
      <w:r>
        <w:rPr>
          <w:rFonts w:cstheme="minorHAnsi"/>
        </w:rPr>
        <w:t xml:space="preserve">     </w:t>
      </w:r>
      <w:r w:rsidR="00DE04B0">
        <w:rPr>
          <w:rFonts w:cstheme="minorHAnsi"/>
        </w:rPr>
        <w:t>More generally, a</w:t>
      </w:r>
      <w:r w:rsidR="00270567">
        <w:rPr>
          <w:rFonts w:cstheme="minorHAnsi"/>
        </w:rPr>
        <w:t>geing a</w:t>
      </w:r>
      <w:r w:rsidR="00777803">
        <w:rPr>
          <w:rFonts w:cstheme="minorHAnsi"/>
        </w:rPr>
        <w:t>s a problem and</w:t>
      </w:r>
      <w:r w:rsidR="00270567">
        <w:rPr>
          <w:rFonts w:cstheme="minorHAnsi"/>
        </w:rPr>
        <w:t xml:space="preserve"> how to approach </w:t>
      </w:r>
      <w:r w:rsidR="008434A8">
        <w:rPr>
          <w:rFonts w:cstheme="minorHAnsi"/>
        </w:rPr>
        <w:t xml:space="preserve">it </w:t>
      </w:r>
      <w:r w:rsidR="00DE04B0">
        <w:rPr>
          <w:rFonts w:cstheme="minorHAnsi"/>
        </w:rPr>
        <w:t>w</w:t>
      </w:r>
      <w:r w:rsidR="00777803">
        <w:rPr>
          <w:rFonts w:cstheme="minorHAnsi"/>
        </w:rPr>
        <w:t xml:space="preserve">as </w:t>
      </w:r>
      <w:r w:rsidR="00DE04B0">
        <w:rPr>
          <w:rFonts w:cstheme="minorHAnsi"/>
        </w:rPr>
        <w:t>of deep</w:t>
      </w:r>
      <w:r w:rsidR="00777803">
        <w:rPr>
          <w:rFonts w:cstheme="minorHAnsi"/>
        </w:rPr>
        <w:t xml:space="preserve"> concern </w:t>
      </w:r>
      <w:r w:rsidR="00DE04B0">
        <w:rPr>
          <w:rFonts w:cstheme="minorHAnsi"/>
        </w:rPr>
        <w:t xml:space="preserve">to </w:t>
      </w:r>
      <w:r w:rsidR="00777803">
        <w:rPr>
          <w:rFonts w:cstheme="minorHAnsi"/>
        </w:rPr>
        <w:t>Beauvoir from</w:t>
      </w:r>
      <w:r w:rsidR="003E2F05">
        <w:rPr>
          <w:rFonts w:cstheme="minorHAnsi"/>
        </w:rPr>
        <w:t xml:space="preserve"> early in her life. However, </w:t>
      </w:r>
      <w:r w:rsidR="007A1491" w:rsidRPr="00CA7790">
        <w:rPr>
          <w:rFonts w:cstheme="minorHAnsi"/>
        </w:rPr>
        <w:t xml:space="preserve">Beauvoir’s life writing and other biographical material </w:t>
      </w:r>
      <w:r w:rsidR="00DE04B0">
        <w:rPr>
          <w:rFonts w:cstheme="minorHAnsi"/>
        </w:rPr>
        <w:t xml:space="preserve">also </w:t>
      </w:r>
      <w:r w:rsidR="007A1491" w:rsidRPr="00CA7790">
        <w:rPr>
          <w:rFonts w:cstheme="minorHAnsi"/>
        </w:rPr>
        <w:t>reveal</w:t>
      </w:r>
      <w:r w:rsidR="00DE04B0">
        <w:rPr>
          <w:rFonts w:cstheme="minorHAnsi"/>
        </w:rPr>
        <w:t>s</w:t>
      </w:r>
      <w:r w:rsidR="007A1491" w:rsidRPr="00CA7790">
        <w:rPr>
          <w:rFonts w:cstheme="minorHAnsi"/>
        </w:rPr>
        <w:t xml:space="preserve"> that, despite a lifetime of dread</w:t>
      </w:r>
      <w:r w:rsidR="008434A8">
        <w:rPr>
          <w:rFonts w:cstheme="minorHAnsi"/>
        </w:rPr>
        <w:t xml:space="preserve"> towards</w:t>
      </w:r>
      <w:r w:rsidR="007A1491" w:rsidRPr="00CA7790">
        <w:rPr>
          <w:rFonts w:cstheme="minorHAnsi"/>
        </w:rPr>
        <w:t xml:space="preserve"> age and ageing, finally, in her late middle age, she was reconciled to it and even found pleasure and satisfaction in this life stage. </w:t>
      </w:r>
      <w:r w:rsidR="008D76D3">
        <w:rPr>
          <w:rFonts w:cstheme="minorHAnsi"/>
        </w:rPr>
        <w:t>It was this achievement that meant she was finally able to write her book on old age, in which she both clear-sightedly identified the inequities of ageing for the poor whilst also viewing it as a stage of continued value</w:t>
      </w:r>
      <w:r w:rsidR="008F74F3">
        <w:rPr>
          <w:rFonts w:cstheme="minorHAnsi"/>
        </w:rPr>
        <w:t>.</w:t>
      </w:r>
      <w:r w:rsidR="008D76D3">
        <w:rPr>
          <w:rStyle w:val="FootnoteReference"/>
          <w:rFonts w:cstheme="minorHAnsi"/>
        </w:rPr>
        <w:footnoteReference w:id="4"/>
      </w:r>
      <w:r w:rsidR="008D76D3">
        <w:rPr>
          <w:rFonts w:cstheme="minorHAnsi"/>
        </w:rPr>
        <w:t xml:space="preserve"> </w:t>
      </w:r>
      <w:r w:rsidR="007A1491" w:rsidRPr="00CA7790">
        <w:rPr>
          <w:rFonts w:cstheme="minorHAnsi"/>
        </w:rPr>
        <w:t>In this paper</w:t>
      </w:r>
      <w:r w:rsidR="008F74F3">
        <w:rPr>
          <w:rFonts w:cstheme="minorHAnsi"/>
        </w:rPr>
        <w:t>,</w:t>
      </w:r>
      <w:r w:rsidR="007A1491" w:rsidRPr="00CA7790">
        <w:rPr>
          <w:rFonts w:cstheme="minorHAnsi"/>
        </w:rPr>
        <w:t xml:space="preserve"> I seek to </w:t>
      </w:r>
      <w:r w:rsidR="0087137B">
        <w:rPr>
          <w:rFonts w:cstheme="minorHAnsi"/>
        </w:rPr>
        <w:t>explore</w:t>
      </w:r>
      <w:r w:rsidR="007A1491" w:rsidRPr="00CA7790">
        <w:rPr>
          <w:rFonts w:cstheme="minorHAnsi"/>
        </w:rPr>
        <w:t xml:space="preserve"> what </w:t>
      </w:r>
      <w:r w:rsidR="0087137B">
        <w:rPr>
          <w:rFonts w:cstheme="minorHAnsi"/>
        </w:rPr>
        <w:t xml:space="preserve">might have </w:t>
      </w:r>
      <w:r w:rsidR="007A1491" w:rsidRPr="00CA7790">
        <w:rPr>
          <w:rFonts w:cstheme="minorHAnsi"/>
        </w:rPr>
        <w:t>occurred to shift her approach and in so doing I first identify and disentangle three strands that characterize Beauvoir’s long-standing approach towards ageing. These strands, which were not</w:t>
      </w:r>
      <w:r w:rsidR="0012351E">
        <w:rPr>
          <w:rFonts w:cstheme="minorHAnsi"/>
        </w:rPr>
        <w:t>,</w:t>
      </w:r>
      <w:r w:rsidR="007A1491" w:rsidRPr="00CA7790">
        <w:rPr>
          <w:rFonts w:cstheme="minorHAnsi"/>
        </w:rPr>
        <w:t xml:space="preserve"> in her </w:t>
      </w:r>
      <w:r w:rsidR="008434A8">
        <w:rPr>
          <w:rFonts w:cstheme="minorHAnsi"/>
        </w:rPr>
        <w:t>own life</w:t>
      </w:r>
      <w:r w:rsidR="0012351E">
        <w:rPr>
          <w:rFonts w:cstheme="minorHAnsi"/>
        </w:rPr>
        <w:t>,</w:t>
      </w:r>
      <w:r w:rsidR="007A1491" w:rsidRPr="00CA7790">
        <w:rPr>
          <w:rFonts w:cstheme="minorHAnsi"/>
        </w:rPr>
        <w:t xml:space="preserve"> </w:t>
      </w:r>
      <w:r w:rsidR="008434A8">
        <w:rPr>
          <w:rFonts w:cstheme="minorHAnsi"/>
        </w:rPr>
        <w:t xml:space="preserve">easily </w:t>
      </w:r>
      <w:r w:rsidR="007A1491" w:rsidRPr="00CA7790">
        <w:rPr>
          <w:rFonts w:cstheme="minorHAnsi"/>
        </w:rPr>
        <w:t>separa</w:t>
      </w:r>
      <w:r w:rsidR="00DE04B0">
        <w:rPr>
          <w:rFonts w:cstheme="minorHAnsi"/>
        </w:rPr>
        <w:t>ble</w:t>
      </w:r>
      <w:r w:rsidR="007A1491" w:rsidRPr="00CA7790">
        <w:rPr>
          <w:rFonts w:cstheme="minorHAnsi"/>
        </w:rPr>
        <w:t xml:space="preserve">, </w:t>
      </w:r>
      <w:r w:rsidR="0012351E">
        <w:rPr>
          <w:rFonts w:cstheme="minorHAnsi"/>
        </w:rPr>
        <w:t>include</w:t>
      </w:r>
      <w:r w:rsidR="007A1491" w:rsidRPr="00CA7790">
        <w:rPr>
          <w:rFonts w:cstheme="minorHAnsi"/>
        </w:rPr>
        <w:t xml:space="preserve">, variously, a feeling of depression related to the impermanence and potential </w:t>
      </w:r>
      <w:r w:rsidR="0087137B">
        <w:rPr>
          <w:rFonts w:cstheme="minorHAnsi"/>
        </w:rPr>
        <w:t xml:space="preserve">futility and </w:t>
      </w:r>
      <w:r w:rsidR="007A1491" w:rsidRPr="00CA7790">
        <w:rPr>
          <w:rFonts w:cstheme="minorHAnsi"/>
        </w:rPr>
        <w:t xml:space="preserve">emptiness of life; a feeling of particularly gendered loss in relation to her appearance, sexuality and identity as a woman; and a third strand which is more positive and recognises the importance of endings as well as beginnings, </w:t>
      </w:r>
      <w:r w:rsidR="008434A8">
        <w:rPr>
          <w:rFonts w:cstheme="minorHAnsi"/>
        </w:rPr>
        <w:t xml:space="preserve">of </w:t>
      </w:r>
      <w:r w:rsidR="007A1491" w:rsidRPr="00CA7790">
        <w:rPr>
          <w:rFonts w:cstheme="minorHAnsi"/>
        </w:rPr>
        <w:t xml:space="preserve">the whole life course, and finitude, in constituting a meaningful life. Next, I dig deeper to </w:t>
      </w:r>
      <w:r w:rsidR="003E2F05">
        <w:rPr>
          <w:rFonts w:cstheme="minorHAnsi"/>
        </w:rPr>
        <w:t>explore</w:t>
      </w:r>
      <w:r w:rsidR="007A1491" w:rsidRPr="00CA7790">
        <w:rPr>
          <w:rFonts w:cstheme="minorHAnsi"/>
        </w:rPr>
        <w:t xml:space="preserve"> the more hidden dimensions that underpin these </w:t>
      </w:r>
      <w:r w:rsidR="008434A8">
        <w:rPr>
          <w:rFonts w:cstheme="minorHAnsi"/>
        </w:rPr>
        <w:t>strands</w:t>
      </w:r>
      <w:r w:rsidR="007A1491" w:rsidRPr="00CA7790">
        <w:rPr>
          <w:rFonts w:cstheme="minorHAnsi"/>
        </w:rPr>
        <w:t xml:space="preserve">, drawing on a variety of conceptual approaches as explanatory frameworks. Taken from psychoanalytic theory, these </w:t>
      </w:r>
      <w:r w:rsidR="008434A8">
        <w:rPr>
          <w:rFonts w:cstheme="minorHAnsi"/>
        </w:rPr>
        <w:t>include</w:t>
      </w:r>
      <w:r w:rsidR="007A1491" w:rsidRPr="00CA7790">
        <w:rPr>
          <w:rFonts w:cstheme="minorHAnsi"/>
        </w:rPr>
        <w:t xml:space="preserve"> Freud’s </w:t>
      </w:r>
      <w:r w:rsidR="008D76D3">
        <w:rPr>
          <w:rFonts w:cstheme="minorHAnsi"/>
        </w:rPr>
        <w:lastRenderedPageBreak/>
        <w:t>theories of grief and mourning</w:t>
      </w:r>
      <w:r w:rsidR="007A1491" w:rsidRPr="00CA7790">
        <w:rPr>
          <w:rFonts w:cstheme="minorHAnsi"/>
        </w:rPr>
        <w:t xml:space="preserve"> to expl</w:t>
      </w:r>
      <w:r w:rsidR="00DE04B0">
        <w:rPr>
          <w:rFonts w:cstheme="minorHAnsi"/>
        </w:rPr>
        <w:t xml:space="preserve">ore </w:t>
      </w:r>
      <w:r w:rsidR="007A1491" w:rsidRPr="00CA7790">
        <w:rPr>
          <w:rFonts w:cstheme="minorHAnsi"/>
        </w:rPr>
        <w:t xml:space="preserve">the nature of the first strand in Beauvoir’s life and Kristeva’s concept of </w:t>
      </w:r>
      <w:r w:rsidR="003E7B89">
        <w:rPr>
          <w:rFonts w:cstheme="minorHAnsi"/>
        </w:rPr>
        <w:t>“</w:t>
      </w:r>
      <w:r w:rsidR="007A1491" w:rsidRPr="00CA7790">
        <w:rPr>
          <w:rFonts w:cstheme="minorHAnsi"/>
        </w:rPr>
        <w:t>abjection</w:t>
      </w:r>
      <w:r w:rsidR="003E7B89">
        <w:rPr>
          <w:rFonts w:cstheme="minorHAnsi"/>
        </w:rPr>
        <w:t>”</w:t>
      </w:r>
      <w:r w:rsidR="007A1491" w:rsidRPr="00CA7790">
        <w:rPr>
          <w:rFonts w:cstheme="minorHAnsi"/>
        </w:rPr>
        <w:t xml:space="preserve"> to expl</w:t>
      </w:r>
      <w:r w:rsidR="00DE04B0">
        <w:rPr>
          <w:rFonts w:cstheme="minorHAnsi"/>
        </w:rPr>
        <w:t xml:space="preserve">ore </w:t>
      </w:r>
      <w:r w:rsidR="007A1491" w:rsidRPr="00CA7790">
        <w:rPr>
          <w:rFonts w:cstheme="minorHAnsi"/>
        </w:rPr>
        <w:t>the second strand</w:t>
      </w:r>
      <w:r w:rsidR="007456A5">
        <w:rPr>
          <w:rFonts w:cstheme="minorHAnsi"/>
        </w:rPr>
        <w:t>.</w:t>
      </w:r>
      <w:r w:rsidR="00932DD6">
        <w:rPr>
          <w:rStyle w:val="FootnoteReference"/>
          <w:rFonts w:cstheme="minorHAnsi"/>
        </w:rPr>
        <w:footnoteReference w:id="5"/>
      </w:r>
      <w:r w:rsidR="007A1491" w:rsidRPr="00CA7790">
        <w:rPr>
          <w:rFonts w:cstheme="minorHAnsi"/>
        </w:rPr>
        <w:t xml:space="preserve"> In a third step</w:t>
      </w:r>
      <w:r w:rsidR="008F74F3">
        <w:rPr>
          <w:rFonts w:cstheme="minorHAnsi"/>
        </w:rPr>
        <w:t>,</w:t>
      </w:r>
      <w:r w:rsidR="007A1491" w:rsidRPr="00CA7790">
        <w:rPr>
          <w:rFonts w:cstheme="minorHAnsi"/>
        </w:rPr>
        <w:t xml:space="preserve"> I then bring together insights from both approaches arguing that, by combining insights from Freud and Kristeva in particular, abjection as a wildly negative, unstable and never completed process is potentially modified through </w:t>
      </w:r>
      <w:r w:rsidR="00DE04B0">
        <w:rPr>
          <w:rFonts w:cstheme="minorHAnsi"/>
        </w:rPr>
        <w:t xml:space="preserve">the </w:t>
      </w:r>
      <w:r w:rsidR="007A1491" w:rsidRPr="00CA7790">
        <w:rPr>
          <w:rFonts w:cstheme="minorHAnsi"/>
        </w:rPr>
        <w:t xml:space="preserve">completion of mourning, in turn leading to the achievement of individuation </w:t>
      </w:r>
      <w:r w:rsidR="00DE04B0">
        <w:rPr>
          <w:rFonts w:cstheme="minorHAnsi"/>
        </w:rPr>
        <w:t>incorporating a</w:t>
      </w:r>
      <w:r w:rsidR="003E2F05">
        <w:rPr>
          <w:rFonts w:cstheme="minorHAnsi"/>
        </w:rPr>
        <w:t xml:space="preserve"> somewhat different attitude towards boundary-making and relations with others. </w:t>
      </w:r>
      <w:r w:rsidR="00DE04B0">
        <w:rPr>
          <w:rFonts w:cstheme="minorHAnsi"/>
        </w:rPr>
        <w:t>T</w:t>
      </w:r>
      <w:r w:rsidR="003E2F05">
        <w:rPr>
          <w:rFonts w:cstheme="minorHAnsi"/>
        </w:rPr>
        <w:t>his</w:t>
      </w:r>
      <w:r w:rsidR="00DE04B0">
        <w:rPr>
          <w:rFonts w:cstheme="minorHAnsi"/>
        </w:rPr>
        <w:t>, then,</w:t>
      </w:r>
      <w:r w:rsidR="003E2F05">
        <w:rPr>
          <w:rFonts w:cstheme="minorHAnsi"/>
        </w:rPr>
        <w:t xml:space="preserve"> facilitates the achievement of </w:t>
      </w:r>
      <w:r w:rsidR="00077845">
        <w:rPr>
          <w:rFonts w:cstheme="minorHAnsi"/>
        </w:rPr>
        <w:t>a</w:t>
      </w:r>
      <w:r w:rsidR="003E2F05">
        <w:rPr>
          <w:rFonts w:cstheme="minorHAnsi"/>
        </w:rPr>
        <w:t xml:space="preserve"> more positive </w:t>
      </w:r>
      <w:r w:rsidR="00077845">
        <w:rPr>
          <w:rFonts w:cstheme="minorHAnsi"/>
        </w:rPr>
        <w:t>approach</w:t>
      </w:r>
      <w:r w:rsidR="003E2F05">
        <w:rPr>
          <w:rFonts w:cstheme="minorHAnsi"/>
        </w:rPr>
        <w:t xml:space="preserve"> towards ageing. </w:t>
      </w:r>
      <w:r w:rsidR="0087137B">
        <w:rPr>
          <w:rFonts w:cstheme="minorHAnsi"/>
        </w:rPr>
        <w:t xml:space="preserve">I </w:t>
      </w:r>
      <w:r w:rsidR="00DE04B0">
        <w:rPr>
          <w:rFonts w:cstheme="minorHAnsi"/>
        </w:rPr>
        <w:t xml:space="preserve">turn </w:t>
      </w:r>
      <w:r w:rsidR="00077845">
        <w:rPr>
          <w:rFonts w:cstheme="minorHAnsi"/>
        </w:rPr>
        <w:t xml:space="preserve">next </w:t>
      </w:r>
      <w:r w:rsidR="00DE04B0">
        <w:rPr>
          <w:rFonts w:cstheme="minorHAnsi"/>
        </w:rPr>
        <w:t xml:space="preserve">to Beauvoir’s life and </w:t>
      </w:r>
      <w:r w:rsidR="00077845">
        <w:rPr>
          <w:rFonts w:cstheme="minorHAnsi"/>
        </w:rPr>
        <w:t xml:space="preserve">apply </w:t>
      </w:r>
      <w:r w:rsidR="0087137B">
        <w:rPr>
          <w:rFonts w:cstheme="minorHAnsi"/>
        </w:rPr>
        <w:t xml:space="preserve">these insights to interrogating </w:t>
      </w:r>
      <w:r w:rsidR="007A1491" w:rsidRPr="00CA7790">
        <w:rPr>
          <w:rFonts w:cstheme="minorHAnsi"/>
        </w:rPr>
        <w:t>Beauvoir’s relationship with her mother</w:t>
      </w:r>
      <w:r w:rsidR="002D70E8">
        <w:rPr>
          <w:rFonts w:cstheme="minorHAnsi"/>
        </w:rPr>
        <w:t xml:space="preserve"> where both the abjection and grief I am referring to concerns that of the lost object of Françoise de Beauvoir, both in terms of the original closeness </w:t>
      </w:r>
      <w:r w:rsidR="0000158C">
        <w:rPr>
          <w:rFonts w:cstheme="minorHAnsi"/>
        </w:rPr>
        <w:t>of infancy</w:t>
      </w:r>
      <w:r w:rsidR="002D70E8">
        <w:rPr>
          <w:rFonts w:cstheme="minorHAnsi"/>
        </w:rPr>
        <w:t xml:space="preserve"> and in terms of her death as an old woman</w:t>
      </w:r>
      <w:r w:rsidR="0087137B">
        <w:rPr>
          <w:rFonts w:cstheme="minorHAnsi"/>
        </w:rPr>
        <w:t xml:space="preserve">. </w:t>
      </w:r>
      <w:r w:rsidR="007A1491" w:rsidRPr="00CA7790">
        <w:rPr>
          <w:rFonts w:cstheme="minorHAnsi"/>
        </w:rPr>
        <w:t xml:space="preserve">I suggest </w:t>
      </w:r>
      <w:r w:rsidR="009913B0">
        <w:rPr>
          <w:rFonts w:cstheme="minorHAnsi"/>
        </w:rPr>
        <w:t xml:space="preserve">that </w:t>
      </w:r>
      <w:r w:rsidR="00C72125">
        <w:rPr>
          <w:rFonts w:cstheme="minorHAnsi"/>
        </w:rPr>
        <w:t>the</w:t>
      </w:r>
      <w:r w:rsidR="009913B0">
        <w:rPr>
          <w:rFonts w:cstheme="minorHAnsi"/>
        </w:rPr>
        <w:t xml:space="preserve"> many long-standing tensions and </w:t>
      </w:r>
      <w:r w:rsidR="00211457">
        <w:rPr>
          <w:rFonts w:cstheme="minorHAnsi"/>
        </w:rPr>
        <w:t>complexities</w:t>
      </w:r>
      <w:r w:rsidR="00C72125">
        <w:rPr>
          <w:rFonts w:cstheme="minorHAnsi"/>
        </w:rPr>
        <w:t xml:space="preserve"> </w:t>
      </w:r>
      <w:r w:rsidR="00DE04B0">
        <w:rPr>
          <w:rFonts w:cstheme="minorHAnsi"/>
        </w:rPr>
        <w:t xml:space="preserve">that existed between </w:t>
      </w:r>
      <w:r w:rsidR="002D70E8">
        <w:rPr>
          <w:rFonts w:cstheme="minorHAnsi"/>
        </w:rPr>
        <w:t>Simone and her mother</w:t>
      </w:r>
      <w:r w:rsidR="00DE04B0">
        <w:rPr>
          <w:rFonts w:cstheme="minorHAnsi"/>
        </w:rPr>
        <w:t xml:space="preserve"> </w:t>
      </w:r>
      <w:r w:rsidR="00C72125">
        <w:rPr>
          <w:rFonts w:cstheme="minorHAnsi"/>
        </w:rPr>
        <w:t>were finally</w:t>
      </w:r>
      <w:r w:rsidR="007A1491" w:rsidRPr="00CA7790">
        <w:rPr>
          <w:rFonts w:cstheme="minorHAnsi"/>
        </w:rPr>
        <w:t xml:space="preserve"> resolved during the period in which Françoise de Beauvoir was dying, which in turn made possible </w:t>
      </w:r>
      <w:r w:rsidR="00C72125">
        <w:rPr>
          <w:rFonts w:cstheme="minorHAnsi"/>
        </w:rPr>
        <w:t xml:space="preserve">the realisation of </w:t>
      </w:r>
      <w:r w:rsidR="007A1491" w:rsidRPr="00CA7790">
        <w:rPr>
          <w:rFonts w:cstheme="minorHAnsi"/>
        </w:rPr>
        <w:t>this third positive st</w:t>
      </w:r>
      <w:r w:rsidR="00C72125">
        <w:rPr>
          <w:rFonts w:cstheme="minorHAnsi"/>
        </w:rPr>
        <w:t>r</w:t>
      </w:r>
      <w:r w:rsidR="007A1491" w:rsidRPr="00CA7790">
        <w:rPr>
          <w:rFonts w:cstheme="minorHAnsi"/>
        </w:rPr>
        <w:t>and towards old age</w:t>
      </w:r>
      <w:r w:rsidR="00C72125">
        <w:rPr>
          <w:rFonts w:cstheme="minorHAnsi"/>
        </w:rPr>
        <w:t xml:space="preserve"> in her own life</w:t>
      </w:r>
      <w:r w:rsidR="007A1491" w:rsidRPr="00CA7790">
        <w:rPr>
          <w:rFonts w:cstheme="minorHAnsi"/>
        </w:rPr>
        <w:t xml:space="preserve">. </w:t>
      </w:r>
      <w:r w:rsidR="00077845">
        <w:rPr>
          <w:rFonts w:cstheme="minorHAnsi"/>
        </w:rPr>
        <w:t>In this process of excavation, the red dressing gown will make several appearances</w:t>
      </w:r>
      <w:r w:rsidR="002D70E8">
        <w:rPr>
          <w:rFonts w:cstheme="minorHAnsi"/>
        </w:rPr>
        <w:t xml:space="preserve">, pointing to the unacknowledged but significant </w:t>
      </w:r>
      <w:r w:rsidR="0000158C">
        <w:rPr>
          <w:rFonts w:cstheme="minorHAnsi"/>
        </w:rPr>
        <w:t>life-long</w:t>
      </w:r>
      <w:r w:rsidR="002D70E8">
        <w:rPr>
          <w:rFonts w:cstheme="minorHAnsi"/>
        </w:rPr>
        <w:t xml:space="preserve"> connection and identification between mother and daughter</w:t>
      </w:r>
      <w:r w:rsidR="00077845">
        <w:rPr>
          <w:rFonts w:cstheme="minorHAnsi"/>
        </w:rPr>
        <w:t xml:space="preserve">. </w:t>
      </w:r>
      <w:r w:rsidR="007A1491" w:rsidRPr="00CA7790">
        <w:rPr>
          <w:rFonts w:cstheme="minorHAnsi"/>
        </w:rPr>
        <w:t xml:space="preserve">Finally, I briefly explore the </w:t>
      </w:r>
      <w:r w:rsidR="0000158C">
        <w:rPr>
          <w:rFonts w:cstheme="minorHAnsi"/>
        </w:rPr>
        <w:t>contemporary</w:t>
      </w:r>
      <w:r w:rsidR="007A1491" w:rsidRPr="00CA7790">
        <w:rPr>
          <w:rFonts w:cstheme="minorHAnsi"/>
        </w:rPr>
        <w:t xml:space="preserve"> relevance of these conceptional insights and the lessons that we can glean from Beauvoir’s experience at a time of heightened intergenerational discord as well as the profound </w:t>
      </w:r>
      <w:r w:rsidR="0084073D">
        <w:rPr>
          <w:rFonts w:cstheme="minorHAnsi"/>
        </w:rPr>
        <w:t>o</w:t>
      </w:r>
      <w:r w:rsidR="007A1491" w:rsidRPr="00CA7790">
        <w:rPr>
          <w:rFonts w:cstheme="minorHAnsi"/>
        </w:rPr>
        <w:t>thering of old age.</w:t>
      </w:r>
    </w:p>
    <w:p w14:paraId="5042A7BE" w14:textId="2D36D477" w:rsidR="007D4980" w:rsidRPr="00CA7790" w:rsidRDefault="00BA1DE1" w:rsidP="007D4980">
      <w:pPr>
        <w:spacing w:line="360" w:lineRule="auto"/>
        <w:ind w:firstLine="284"/>
        <w:rPr>
          <w:rFonts w:cstheme="minorHAnsi"/>
        </w:rPr>
      </w:pPr>
      <w:r>
        <w:rPr>
          <w:rFonts w:cstheme="minorHAnsi"/>
        </w:rPr>
        <w:t xml:space="preserve">My </w:t>
      </w:r>
      <w:r w:rsidR="00D37B2C">
        <w:rPr>
          <w:rFonts w:cstheme="minorHAnsi"/>
        </w:rPr>
        <w:t>purpose is to use psychoanalytic theor</w:t>
      </w:r>
      <w:r w:rsidR="00720D89">
        <w:rPr>
          <w:rFonts w:cstheme="minorHAnsi"/>
        </w:rPr>
        <w:t xml:space="preserve">y </w:t>
      </w:r>
      <w:r w:rsidR="00D37B2C">
        <w:rPr>
          <w:rFonts w:cstheme="minorHAnsi"/>
        </w:rPr>
        <w:t>as a</w:t>
      </w:r>
      <w:r>
        <w:rPr>
          <w:rFonts w:cstheme="minorHAnsi"/>
        </w:rPr>
        <w:t xml:space="preserve"> critical </w:t>
      </w:r>
      <w:r w:rsidR="00D37B2C">
        <w:rPr>
          <w:rFonts w:cstheme="minorHAnsi"/>
        </w:rPr>
        <w:t xml:space="preserve">interpretive framework </w:t>
      </w:r>
      <w:r w:rsidR="006C2F3C">
        <w:rPr>
          <w:rFonts w:cstheme="minorHAnsi"/>
        </w:rPr>
        <w:t xml:space="preserve">primarily </w:t>
      </w:r>
      <w:r w:rsidR="00D37B2C">
        <w:rPr>
          <w:rFonts w:cstheme="minorHAnsi"/>
        </w:rPr>
        <w:t xml:space="preserve">for examining Beauvoir’s autobiographical texts </w:t>
      </w:r>
      <w:r w:rsidR="003F0875">
        <w:rPr>
          <w:rFonts w:cstheme="minorHAnsi"/>
        </w:rPr>
        <w:t>rather than psychoanalysing the woman herself</w:t>
      </w:r>
      <w:r w:rsidR="00CF41AD">
        <w:rPr>
          <w:rFonts w:cstheme="minorHAnsi"/>
        </w:rPr>
        <w:t>,</w:t>
      </w:r>
      <w:r w:rsidR="003F0875">
        <w:rPr>
          <w:rFonts w:cstheme="minorHAnsi"/>
        </w:rPr>
        <w:t xml:space="preserve"> whilst acknowledging two things. First, life and text are inextricably intertwined, as </w:t>
      </w:r>
      <w:proofErr w:type="spellStart"/>
      <w:r w:rsidR="003F0875">
        <w:rPr>
          <w:rFonts w:cstheme="minorHAnsi"/>
        </w:rPr>
        <w:t>Ladimer</w:t>
      </w:r>
      <w:proofErr w:type="spellEnd"/>
      <w:r w:rsidR="003F0875">
        <w:rPr>
          <w:rFonts w:cstheme="minorHAnsi"/>
        </w:rPr>
        <w:t xml:space="preserve"> </w:t>
      </w:r>
      <w:r w:rsidR="007B713F">
        <w:rPr>
          <w:rFonts w:cstheme="minorHAnsi"/>
        </w:rPr>
        <w:t>observes,</w:t>
      </w:r>
      <w:r w:rsidR="003F0875">
        <w:rPr>
          <w:rFonts w:cstheme="minorHAnsi"/>
        </w:rPr>
        <w:t xml:space="preserve"> </w:t>
      </w:r>
      <w:r w:rsidR="007B713F">
        <w:rPr>
          <w:rFonts w:cstheme="minorHAnsi"/>
        </w:rPr>
        <w:t>“</w:t>
      </w:r>
      <w:r w:rsidR="003F0875">
        <w:rPr>
          <w:rFonts w:cstheme="minorHAnsi"/>
        </w:rPr>
        <w:t>especially because the autobiographical self is inevitably fictionalized to some degree, whereas a writer’s fiction constantly and inevitably refers to her autobiography</w:t>
      </w:r>
      <w:r w:rsidR="00C752E3">
        <w:rPr>
          <w:rFonts w:cstheme="minorHAnsi"/>
        </w:rPr>
        <w:t>.</w:t>
      </w:r>
      <w:r w:rsidR="007B713F">
        <w:rPr>
          <w:rFonts w:cstheme="minorHAnsi"/>
        </w:rPr>
        <w:t>”</w:t>
      </w:r>
      <w:r w:rsidR="00941979">
        <w:rPr>
          <w:rStyle w:val="FootnoteReference"/>
          <w:rFonts w:cstheme="minorHAnsi"/>
        </w:rPr>
        <w:footnoteReference w:id="6"/>
      </w:r>
      <w:r w:rsidR="003F0875">
        <w:rPr>
          <w:rFonts w:cstheme="minorHAnsi"/>
        </w:rPr>
        <w:t xml:space="preserve"> Secondly, the meaning-making of autobiography has much in common with psychoanalysis and in addition can be littered with buried motifs and signs of conflict.</w:t>
      </w:r>
      <w:r w:rsidR="003F0875">
        <w:rPr>
          <w:rStyle w:val="FootnoteReference"/>
          <w:rFonts w:cstheme="minorHAnsi"/>
        </w:rPr>
        <w:footnoteReference w:id="7"/>
      </w:r>
      <w:r>
        <w:rPr>
          <w:rFonts w:cstheme="minorHAnsi"/>
        </w:rPr>
        <w:t xml:space="preserve"> My </w:t>
      </w:r>
      <w:r w:rsidR="00D37B2C">
        <w:rPr>
          <w:rFonts w:cstheme="minorHAnsi"/>
        </w:rPr>
        <w:t>pur</w:t>
      </w:r>
      <w:r w:rsidR="007B713F">
        <w:rPr>
          <w:rFonts w:cstheme="minorHAnsi"/>
        </w:rPr>
        <w:t>view</w:t>
      </w:r>
      <w:r w:rsidR="00D37B2C">
        <w:rPr>
          <w:rFonts w:cstheme="minorHAnsi"/>
        </w:rPr>
        <w:t xml:space="preserve"> </w:t>
      </w:r>
      <w:r>
        <w:rPr>
          <w:rFonts w:cstheme="minorHAnsi"/>
        </w:rPr>
        <w:t xml:space="preserve">here </w:t>
      </w:r>
      <w:r w:rsidR="00941979">
        <w:rPr>
          <w:rFonts w:cstheme="minorHAnsi"/>
        </w:rPr>
        <w:t xml:space="preserve">also </w:t>
      </w:r>
      <w:r w:rsidR="00D37B2C">
        <w:rPr>
          <w:rFonts w:cstheme="minorHAnsi"/>
        </w:rPr>
        <w:t>includ</w:t>
      </w:r>
      <w:r w:rsidR="006C2F3C">
        <w:rPr>
          <w:rFonts w:cstheme="minorHAnsi"/>
        </w:rPr>
        <w:t>es</w:t>
      </w:r>
      <w:r w:rsidR="00D37B2C">
        <w:rPr>
          <w:rFonts w:cstheme="minorHAnsi"/>
        </w:rPr>
        <w:t xml:space="preserve"> the sociological</w:t>
      </w:r>
      <w:r w:rsidR="0084073D">
        <w:rPr>
          <w:rFonts w:cstheme="minorHAnsi"/>
        </w:rPr>
        <w:t xml:space="preserve"> dimension</w:t>
      </w:r>
      <w:r w:rsidR="007B713F">
        <w:rPr>
          <w:rFonts w:cstheme="minorHAnsi"/>
        </w:rPr>
        <w:t xml:space="preserve"> I am interested in </w:t>
      </w:r>
      <w:r w:rsidR="00077845">
        <w:rPr>
          <w:rFonts w:cstheme="minorHAnsi"/>
        </w:rPr>
        <w:t xml:space="preserve">the specific social context that facilitates </w:t>
      </w:r>
      <w:r w:rsidR="00D37B2C">
        <w:rPr>
          <w:rFonts w:cstheme="minorHAnsi"/>
        </w:rPr>
        <w:t xml:space="preserve">the </w:t>
      </w:r>
      <w:r w:rsidR="00DE19D7">
        <w:rPr>
          <w:rFonts w:cstheme="minorHAnsi"/>
        </w:rPr>
        <w:t>o</w:t>
      </w:r>
      <w:r w:rsidR="00D37B2C">
        <w:rPr>
          <w:rFonts w:cstheme="minorHAnsi"/>
        </w:rPr>
        <w:t>thering of old age</w:t>
      </w:r>
      <w:r w:rsidR="00077845">
        <w:rPr>
          <w:rFonts w:cstheme="minorHAnsi"/>
        </w:rPr>
        <w:t xml:space="preserve"> in the forms it takes</w:t>
      </w:r>
      <w:r w:rsidR="00941979">
        <w:rPr>
          <w:rFonts w:cstheme="minorHAnsi"/>
        </w:rPr>
        <w:t xml:space="preserve"> in contemporary times</w:t>
      </w:r>
      <w:r w:rsidR="00077845">
        <w:rPr>
          <w:rFonts w:cstheme="minorHAnsi"/>
        </w:rPr>
        <w:t>, particularly with regard to older women</w:t>
      </w:r>
      <w:r w:rsidR="0099544B">
        <w:rPr>
          <w:rFonts w:cstheme="minorHAnsi"/>
        </w:rPr>
        <w:t xml:space="preserve">. </w:t>
      </w:r>
    </w:p>
    <w:bookmarkEnd w:id="0"/>
    <w:p w14:paraId="378BF9F6" w14:textId="1F096933" w:rsidR="00E57209" w:rsidRPr="00CA7790" w:rsidRDefault="00E57209" w:rsidP="00FE282E">
      <w:pPr>
        <w:spacing w:line="360" w:lineRule="auto"/>
        <w:ind w:firstLine="284"/>
        <w:rPr>
          <w:rFonts w:cstheme="minorHAnsi"/>
        </w:rPr>
      </w:pPr>
      <w:r w:rsidRPr="00CA7790">
        <w:rPr>
          <w:rFonts w:cstheme="minorHAnsi"/>
        </w:rPr>
        <w:t>I start by describing Beauvoir’s approach to the prospect of ageing, old age and finitude</w:t>
      </w:r>
      <w:r w:rsidR="00DA61BF" w:rsidRPr="00CA7790">
        <w:rPr>
          <w:rFonts w:cstheme="minorHAnsi"/>
        </w:rPr>
        <w:t xml:space="preserve">, an approach in </w:t>
      </w:r>
      <w:r w:rsidR="00F1086D">
        <w:rPr>
          <w:rFonts w:cstheme="minorHAnsi"/>
        </w:rPr>
        <w:t xml:space="preserve">which </w:t>
      </w:r>
      <w:r w:rsidR="002F4098">
        <w:rPr>
          <w:rFonts w:cstheme="minorHAnsi"/>
        </w:rPr>
        <w:t>the</w:t>
      </w:r>
      <w:r w:rsidR="00DA61BF" w:rsidRPr="00CA7790">
        <w:rPr>
          <w:rFonts w:cstheme="minorHAnsi"/>
        </w:rPr>
        <w:t xml:space="preserve"> negative or despondent approach</w:t>
      </w:r>
      <w:r w:rsidR="003A2CBE">
        <w:rPr>
          <w:rFonts w:cstheme="minorHAnsi"/>
        </w:rPr>
        <w:t xml:space="preserve"> is</w:t>
      </w:r>
      <w:r w:rsidR="00F1086D">
        <w:rPr>
          <w:rFonts w:cstheme="minorHAnsi"/>
        </w:rPr>
        <w:t xml:space="preserve"> </w:t>
      </w:r>
      <w:r w:rsidR="003A2CBE">
        <w:rPr>
          <w:rFonts w:cstheme="minorHAnsi"/>
        </w:rPr>
        <w:t>prominent</w:t>
      </w:r>
      <w:r w:rsidR="00DA61BF" w:rsidRPr="00CA7790">
        <w:rPr>
          <w:rFonts w:cstheme="minorHAnsi"/>
        </w:rPr>
        <w:t xml:space="preserve">. </w:t>
      </w:r>
    </w:p>
    <w:p w14:paraId="0AA5BDE9" w14:textId="13733EE2" w:rsidR="00E57209" w:rsidRPr="00CA7790" w:rsidRDefault="00E57209" w:rsidP="00FE282E">
      <w:pPr>
        <w:spacing w:line="360" w:lineRule="auto"/>
        <w:ind w:firstLine="284"/>
        <w:rPr>
          <w:rFonts w:cstheme="minorHAnsi"/>
        </w:rPr>
      </w:pPr>
    </w:p>
    <w:p w14:paraId="47401029" w14:textId="1F654449" w:rsidR="00E57209" w:rsidRPr="00CA7790" w:rsidRDefault="007A4156" w:rsidP="002F7BB9">
      <w:pPr>
        <w:spacing w:line="360" w:lineRule="auto"/>
        <w:rPr>
          <w:rFonts w:cstheme="minorHAnsi"/>
          <w:b/>
          <w:bCs/>
        </w:rPr>
      </w:pPr>
      <w:r>
        <w:rPr>
          <w:rFonts w:cstheme="minorHAnsi"/>
          <w:b/>
          <w:bCs/>
        </w:rPr>
        <w:t xml:space="preserve">2 </w:t>
      </w:r>
      <w:r w:rsidR="00E57209" w:rsidRPr="00CA7790">
        <w:rPr>
          <w:rFonts w:cstheme="minorHAnsi"/>
          <w:b/>
          <w:bCs/>
        </w:rPr>
        <w:t>Never again shall I….</w:t>
      </w:r>
      <w:r w:rsidR="0047136C" w:rsidRPr="00CA7790">
        <w:rPr>
          <w:rFonts w:cstheme="minorHAnsi"/>
          <w:b/>
          <w:bCs/>
        </w:rPr>
        <w:t xml:space="preserve"> </w:t>
      </w:r>
      <w:r w:rsidR="006044D0" w:rsidRPr="00CA7790">
        <w:rPr>
          <w:rFonts w:cstheme="minorHAnsi"/>
          <w:b/>
          <w:bCs/>
        </w:rPr>
        <w:t>Beauvoir and the</w:t>
      </w:r>
      <w:r w:rsidR="0047136C" w:rsidRPr="00CA7790">
        <w:rPr>
          <w:rFonts w:cstheme="minorHAnsi"/>
          <w:b/>
          <w:bCs/>
        </w:rPr>
        <w:t xml:space="preserve"> tragedy of ageing and old age</w:t>
      </w:r>
    </w:p>
    <w:p w14:paraId="4B6A1D55" w14:textId="1869BBAE" w:rsidR="00C614FA" w:rsidRPr="00CA7790" w:rsidRDefault="00191A3D" w:rsidP="00FE282E">
      <w:pPr>
        <w:spacing w:line="360" w:lineRule="auto"/>
        <w:ind w:firstLine="284"/>
        <w:rPr>
          <w:rFonts w:cstheme="minorHAnsi"/>
        </w:rPr>
      </w:pPr>
      <w:r w:rsidRPr="00CA7790">
        <w:rPr>
          <w:rFonts w:cstheme="minorHAnsi"/>
        </w:rPr>
        <w:t xml:space="preserve">Beauvoir ends </w:t>
      </w:r>
      <w:r w:rsidRPr="00CA7790">
        <w:rPr>
          <w:rFonts w:cstheme="minorHAnsi"/>
          <w:i/>
          <w:iCs/>
        </w:rPr>
        <w:t>Force of Circumstance</w:t>
      </w:r>
      <w:r w:rsidR="00271BF4">
        <w:rPr>
          <w:rFonts w:cstheme="minorHAnsi"/>
        </w:rPr>
        <w:t xml:space="preserve">, the memoir she published when she was </w:t>
      </w:r>
      <w:r w:rsidR="00D256B6">
        <w:rPr>
          <w:rFonts w:cstheme="minorHAnsi"/>
        </w:rPr>
        <w:t>fifty-four</w:t>
      </w:r>
      <w:r w:rsidR="00271BF4">
        <w:rPr>
          <w:rFonts w:cstheme="minorHAnsi"/>
        </w:rPr>
        <w:t xml:space="preserve">, </w:t>
      </w:r>
      <w:r w:rsidRPr="00CA7790">
        <w:rPr>
          <w:rFonts w:cstheme="minorHAnsi"/>
        </w:rPr>
        <w:t xml:space="preserve">with a piercing </w:t>
      </w:r>
      <w:r w:rsidR="00E35F2C" w:rsidRPr="00CA7790">
        <w:rPr>
          <w:rFonts w:cstheme="minorHAnsi"/>
        </w:rPr>
        <w:t>cry</w:t>
      </w:r>
      <w:r w:rsidRPr="00CA7790">
        <w:rPr>
          <w:rFonts w:cstheme="minorHAnsi"/>
        </w:rPr>
        <w:t xml:space="preserve"> of loss: about </w:t>
      </w:r>
      <w:r w:rsidR="00DA61BF" w:rsidRPr="00CA7790">
        <w:rPr>
          <w:rFonts w:cstheme="minorHAnsi"/>
        </w:rPr>
        <w:t xml:space="preserve">the </w:t>
      </w:r>
      <w:r w:rsidR="00C614FA" w:rsidRPr="00CA7790">
        <w:rPr>
          <w:rFonts w:cstheme="minorHAnsi"/>
        </w:rPr>
        <w:t>approach of death</w:t>
      </w:r>
      <w:r w:rsidR="00DA61BF" w:rsidRPr="00CA7790">
        <w:rPr>
          <w:rFonts w:cstheme="minorHAnsi"/>
        </w:rPr>
        <w:t xml:space="preserve">, </w:t>
      </w:r>
      <w:r w:rsidRPr="00CA7790">
        <w:rPr>
          <w:rFonts w:cstheme="minorHAnsi"/>
        </w:rPr>
        <w:t xml:space="preserve">the loss of her looks, the demise of her sexuality, and the end of her involvement in </w:t>
      </w:r>
      <w:r w:rsidR="006044D0" w:rsidRPr="00CA7790">
        <w:rPr>
          <w:rFonts w:cstheme="minorHAnsi"/>
        </w:rPr>
        <w:t xml:space="preserve">beloved recreational activities comprising </w:t>
      </w:r>
      <w:r w:rsidRPr="00CA7790">
        <w:rPr>
          <w:rFonts w:cstheme="minorHAnsi"/>
        </w:rPr>
        <w:t xml:space="preserve">strength and stamina such as vigorous hiking in the mountains. She says: </w:t>
      </w:r>
      <w:r w:rsidR="003D5A3C">
        <w:rPr>
          <w:rFonts w:cstheme="minorHAnsi"/>
        </w:rPr>
        <w:t>“</w:t>
      </w:r>
      <w:r w:rsidR="00DA61BF" w:rsidRPr="00CA7790">
        <w:rPr>
          <w:rFonts w:cstheme="minorHAnsi"/>
        </w:rPr>
        <w:t>To grow old is to set limits on oneself, to shrink. I have fought always not to let them label me; but I have not been able to prevent the years from enmeshing me…. Creation is adventure, it is youth and liberty</w:t>
      </w:r>
      <w:r w:rsidR="000D0876">
        <w:rPr>
          <w:rFonts w:cstheme="minorHAnsi"/>
        </w:rPr>
        <w:t>.</w:t>
      </w:r>
      <w:r w:rsidR="003D5A3C">
        <w:rPr>
          <w:rFonts w:cstheme="minorHAnsi"/>
        </w:rPr>
        <w:t>”</w:t>
      </w:r>
      <w:r w:rsidR="003D5A3C">
        <w:rPr>
          <w:rStyle w:val="FootnoteReference"/>
          <w:rFonts w:cstheme="minorHAnsi"/>
        </w:rPr>
        <w:footnoteReference w:id="8"/>
      </w:r>
      <w:r w:rsidR="00DA61BF" w:rsidRPr="00CA7790">
        <w:rPr>
          <w:rFonts w:cstheme="minorHAnsi"/>
        </w:rPr>
        <w:t xml:space="preserve"> </w:t>
      </w:r>
      <w:r w:rsidR="008F56D7" w:rsidRPr="00CA7790">
        <w:rPr>
          <w:rFonts w:cstheme="minorHAnsi"/>
        </w:rPr>
        <w:t>A little later in the same section</w:t>
      </w:r>
      <w:proofErr w:type="gramStart"/>
      <w:r w:rsidR="008F56D7" w:rsidRPr="00CA7790">
        <w:rPr>
          <w:rFonts w:cstheme="minorHAnsi"/>
        </w:rPr>
        <w:t xml:space="preserve">: </w:t>
      </w:r>
      <w:r w:rsidR="00C10DC1">
        <w:rPr>
          <w:rFonts w:cstheme="minorHAnsi"/>
        </w:rPr>
        <w:t>”</w:t>
      </w:r>
      <w:r w:rsidRPr="00CA7790">
        <w:rPr>
          <w:rFonts w:cstheme="minorHAnsi"/>
        </w:rPr>
        <w:t>I</w:t>
      </w:r>
      <w:proofErr w:type="gramEnd"/>
      <w:r w:rsidRPr="00CA7790">
        <w:rPr>
          <w:rFonts w:cstheme="minorHAnsi"/>
        </w:rPr>
        <w:t xml:space="preserve"> loathe my appearance now: the eyebrows slipping down towards the eyes, the bags underneath, the excessive fullness of the cheeks, and that air of sadness around the mouth that wrinkles always bring….</w:t>
      </w:r>
      <w:r w:rsidR="007A7548">
        <w:rPr>
          <w:rFonts w:cstheme="minorHAnsi"/>
        </w:rPr>
        <w:t>”</w:t>
      </w:r>
      <w:r w:rsidR="00CC2285">
        <w:rPr>
          <w:rStyle w:val="FootnoteReference"/>
          <w:rFonts w:cstheme="minorHAnsi"/>
        </w:rPr>
        <w:footnoteReference w:id="9"/>
      </w:r>
      <w:r w:rsidR="004D19EE">
        <w:rPr>
          <w:rFonts w:cstheme="minorHAnsi"/>
        </w:rPr>
        <w:t xml:space="preserve"> She continues:</w:t>
      </w:r>
      <w:r w:rsidRPr="00CA7790">
        <w:rPr>
          <w:rFonts w:cstheme="minorHAnsi"/>
        </w:rPr>
        <w:t xml:space="preserve"> </w:t>
      </w:r>
      <w:r w:rsidR="007A7548">
        <w:rPr>
          <w:rFonts w:cstheme="minorHAnsi"/>
        </w:rPr>
        <w:t>“</w:t>
      </w:r>
      <w:r w:rsidRPr="00CA7790">
        <w:rPr>
          <w:rFonts w:cstheme="minorHAnsi"/>
        </w:rPr>
        <w:t>Never again shall I collapse, drunk with fatigue, into the smell of hay. Never again shall I slide down through the solitary morning snows. Never again a man.</w:t>
      </w:r>
      <w:r w:rsidR="007A7548">
        <w:rPr>
          <w:rFonts w:cstheme="minorHAnsi"/>
        </w:rPr>
        <w:t>”</w:t>
      </w:r>
      <w:r w:rsidR="00CC2285">
        <w:rPr>
          <w:rStyle w:val="FootnoteReference"/>
          <w:rFonts w:cstheme="minorHAnsi"/>
        </w:rPr>
        <w:footnoteReference w:id="10"/>
      </w:r>
      <w:r w:rsidR="00EB01F9">
        <w:rPr>
          <w:rFonts w:cstheme="minorHAnsi"/>
        </w:rPr>
        <w:t xml:space="preserve"> </w:t>
      </w:r>
      <w:r w:rsidR="00111E6A" w:rsidRPr="00CA7790">
        <w:rPr>
          <w:rFonts w:cstheme="minorHAnsi"/>
        </w:rPr>
        <w:t>All these associations, images and fears</w:t>
      </w:r>
      <w:r w:rsidR="006044D0" w:rsidRPr="00CA7790">
        <w:rPr>
          <w:rFonts w:cstheme="minorHAnsi"/>
        </w:rPr>
        <w:t xml:space="preserve"> relating to age and ageing</w:t>
      </w:r>
      <w:r w:rsidR="00111E6A" w:rsidRPr="00CA7790">
        <w:rPr>
          <w:rFonts w:cstheme="minorHAnsi"/>
        </w:rPr>
        <w:t xml:space="preserve"> are present from the </w:t>
      </w:r>
      <w:r w:rsidR="006044D0" w:rsidRPr="00CA7790">
        <w:rPr>
          <w:rFonts w:cstheme="minorHAnsi"/>
        </w:rPr>
        <w:t>earliest years of</w:t>
      </w:r>
      <w:r w:rsidR="00111E6A" w:rsidRPr="00CA7790">
        <w:rPr>
          <w:rFonts w:cstheme="minorHAnsi"/>
        </w:rPr>
        <w:t xml:space="preserve"> Beauvoir’s life, if we turn to </w:t>
      </w:r>
      <w:r w:rsidR="00111E6A" w:rsidRPr="00CA7790">
        <w:rPr>
          <w:rFonts w:cstheme="minorHAnsi"/>
          <w:i/>
          <w:iCs/>
        </w:rPr>
        <w:t>Memoirs of a Dutiful Daughter</w:t>
      </w:r>
      <w:r w:rsidR="007456A5">
        <w:rPr>
          <w:rFonts w:cstheme="minorHAnsi"/>
          <w:i/>
          <w:iCs/>
        </w:rPr>
        <w:t>.</w:t>
      </w:r>
      <w:r w:rsidR="00432924" w:rsidRPr="00DF3B6F">
        <w:rPr>
          <w:rStyle w:val="FootnoteReference"/>
          <w:rFonts w:cstheme="minorHAnsi"/>
        </w:rPr>
        <w:footnoteReference w:id="11"/>
      </w:r>
      <w:r w:rsidR="00111E6A" w:rsidRPr="00EB01F9">
        <w:rPr>
          <w:rFonts w:cstheme="minorHAnsi"/>
        </w:rPr>
        <w:t xml:space="preserve"> </w:t>
      </w:r>
      <w:r w:rsidR="00390E32" w:rsidRPr="00CA7790">
        <w:rPr>
          <w:rFonts w:cstheme="minorHAnsi"/>
        </w:rPr>
        <w:t xml:space="preserve">In </w:t>
      </w:r>
      <w:r w:rsidR="00C614FA" w:rsidRPr="00CA7790">
        <w:rPr>
          <w:rFonts w:cstheme="minorHAnsi"/>
        </w:rPr>
        <w:t>this first volume of her</w:t>
      </w:r>
      <w:r w:rsidR="00390E32" w:rsidRPr="00CA7790">
        <w:rPr>
          <w:rFonts w:cstheme="minorHAnsi"/>
        </w:rPr>
        <w:t xml:space="preserve"> memoir</w:t>
      </w:r>
      <w:r w:rsidR="00C614FA" w:rsidRPr="00CA7790">
        <w:rPr>
          <w:rFonts w:cstheme="minorHAnsi"/>
        </w:rPr>
        <w:t>s</w:t>
      </w:r>
      <w:r w:rsidR="00390E32" w:rsidRPr="00CA7790">
        <w:rPr>
          <w:rFonts w:cstheme="minorHAnsi"/>
        </w:rPr>
        <w:t>,</w:t>
      </w:r>
      <w:r w:rsidR="00C614FA" w:rsidRPr="00CA7790">
        <w:rPr>
          <w:rFonts w:cstheme="minorHAnsi"/>
        </w:rPr>
        <w:t xml:space="preserve"> which </w:t>
      </w:r>
      <w:r w:rsidR="00AC66FB" w:rsidRPr="00CA7790">
        <w:rPr>
          <w:rFonts w:cstheme="minorHAnsi"/>
        </w:rPr>
        <w:t xml:space="preserve">recounts her childhood and adolescence </w:t>
      </w:r>
      <w:r w:rsidR="00271BF4">
        <w:rPr>
          <w:rFonts w:cstheme="minorHAnsi"/>
        </w:rPr>
        <w:t xml:space="preserve">up to the time of her meeting with Sartre at the Sorbonne, </w:t>
      </w:r>
      <w:r w:rsidR="00390E32" w:rsidRPr="00CA7790">
        <w:rPr>
          <w:rFonts w:cstheme="minorHAnsi"/>
        </w:rPr>
        <w:t xml:space="preserve">Beauvoir </w:t>
      </w:r>
      <w:r w:rsidR="00932DD6">
        <w:rPr>
          <w:rFonts w:cstheme="minorHAnsi"/>
        </w:rPr>
        <w:t>already records a</w:t>
      </w:r>
      <w:r w:rsidR="00390E32" w:rsidRPr="00CA7790">
        <w:rPr>
          <w:rFonts w:cstheme="minorHAnsi"/>
        </w:rPr>
        <w:t xml:space="preserve"> fear and loathing of</w:t>
      </w:r>
      <w:r w:rsidR="00271BF4">
        <w:rPr>
          <w:rFonts w:cstheme="minorHAnsi"/>
        </w:rPr>
        <w:t xml:space="preserve"> ageing</w:t>
      </w:r>
      <w:r w:rsidR="003A30E1">
        <w:rPr>
          <w:rFonts w:cstheme="minorHAnsi"/>
        </w:rPr>
        <w:t xml:space="preserve"> and</w:t>
      </w:r>
      <w:r w:rsidR="00271BF4">
        <w:rPr>
          <w:rFonts w:cstheme="minorHAnsi"/>
        </w:rPr>
        <w:t xml:space="preserve"> </w:t>
      </w:r>
      <w:r w:rsidR="00390E32" w:rsidRPr="00CA7790">
        <w:rPr>
          <w:rFonts w:cstheme="minorHAnsi"/>
        </w:rPr>
        <w:t xml:space="preserve">old age. One of the consistent themes </w:t>
      </w:r>
      <w:r w:rsidR="002F5A25">
        <w:rPr>
          <w:rFonts w:cstheme="minorHAnsi"/>
        </w:rPr>
        <w:t xml:space="preserve">in this volume </w:t>
      </w:r>
      <w:r w:rsidR="00390E32" w:rsidRPr="00CA7790">
        <w:rPr>
          <w:rFonts w:cstheme="minorHAnsi"/>
        </w:rPr>
        <w:t xml:space="preserve">is the young Simone’s struggle with the facts of </w:t>
      </w:r>
      <w:r w:rsidR="00A14448">
        <w:rPr>
          <w:rFonts w:cstheme="minorHAnsi"/>
        </w:rPr>
        <w:t xml:space="preserve">ageing and </w:t>
      </w:r>
      <w:r w:rsidR="00390E32" w:rsidRPr="00CA7790">
        <w:rPr>
          <w:rFonts w:cstheme="minorHAnsi"/>
        </w:rPr>
        <w:t>impermanence and the possibly meaningless</w:t>
      </w:r>
      <w:r w:rsidR="00E764E0" w:rsidRPr="00CA7790">
        <w:rPr>
          <w:rFonts w:cstheme="minorHAnsi"/>
        </w:rPr>
        <w:t xml:space="preserve"> nature of </w:t>
      </w:r>
      <w:r w:rsidR="00390E32" w:rsidRPr="00CA7790">
        <w:rPr>
          <w:rFonts w:cstheme="minorHAnsi"/>
        </w:rPr>
        <w:t>existence</w:t>
      </w:r>
      <w:r w:rsidR="00F1086D">
        <w:rPr>
          <w:rFonts w:cstheme="minorHAnsi"/>
        </w:rPr>
        <w:t xml:space="preserve"> they reveal</w:t>
      </w:r>
      <w:r w:rsidR="00390E32" w:rsidRPr="00CA7790">
        <w:rPr>
          <w:rFonts w:cstheme="minorHAnsi"/>
        </w:rPr>
        <w:t>.</w:t>
      </w:r>
      <w:r w:rsidR="00E764E0" w:rsidRPr="00CA7790">
        <w:rPr>
          <w:rFonts w:cstheme="minorHAnsi"/>
        </w:rPr>
        <w:t xml:space="preserve"> </w:t>
      </w:r>
    </w:p>
    <w:p w14:paraId="5691EED7" w14:textId="2B51D0BD" w:rsidR="00390E32" w:rsidRDefault="00390E32" w:rsidP="00FE282E">
      <w:pPr>
        <w:spacing w:line="360" w:lineRule="auto"/>
        <w:ind w:firstLine="284"/>
        <w:rPr>
          <w:rFonts w:cstheme="minorHAnsi"/>
        </w:rPr>
      </w:pPr>
      <w:r w:rsidRPr="00CA7790">
        <w:rPr>
          <w:rFonts w:cstheme="minorHAnsi"/>
        </w:rPr>
        <w:t xml:space="preserve">  Partly, she links this to the </w:t>
      </w:r>
      <w:r w:rsidR="00F1086D">
        <w:rPr>
          <w:rFonts w:cstheme="minorHAnsi"/>
        </w:rPr>
        <w:t xml:space="preserve">existential </w:t>
      </w:r>
      <w:r w:rsidRPr="00CA7790">
        <w:rPr>
          <w:rFonts w:cstheme="minorHAnsi"/>
        </w:rPr>
        <w:t xml:space="preserve">abyss </w:t>
      </w:r>
      <w:r w:rsidR="00F1086D">
        <w:rPr>
          <w:rFonts w:cstheme="minorHAnsi"/>
        </w:rPr>
        <w:t>created</w:t>
      </w:r>
      <w:r w:rsidRPr="00CA7790">
        <w:rPr>
          <w:rFonts w:cstheme="minorHAnsi"/>
        </w:rPr>
        <w:t xml:space="preserve"> by her loss of </w:t>
      </w:r>
      <w:r w:rsidR="00E764E0" w:rsidRPr="00CA7790">
        <w:rPr>
          <w:rFonts w:cstheme="minorHAnsi"/>
        </w:rPr>
        <w:t xml:space="preserve">early, religious </w:t>
      </w:r>
      <w:r w:rsidRPr="00CA7790">
        <w:rPr>
          <w:rFonts w:cstheme="minorHAnsi"/>
        </w:rPr>
        <w:t xml:space="preserve">faith, as she </w:t>
      </w:r>
      <w:r w:rsidR="007F6556">
        <w:rPr>
          <w:rFonts w:cstheme="minorHAnsi"/>
        </w:rPr>
        <w:t>describes</w:t>
      </w:r>
      <w:r w:rsidRPr="00CA7790">
        <w:rPr>
          <w:rFonts w:cstheme="minorHAnsi"/>
        </w:rPr>
        <w:t xml:space="preserve">: </w:t>
      </w:r>
      <w:r w:rsidR="00CC2285">
        <w:rPr>
          <w:rFonts w:cstheme="minorHAnsi"/>
        </w:rPr>
        <w:t>“</w:t>
      </w:r>
      <w:r w:rsidRPr="00CA7790">
        <w:rPr>
          <w:rFonts w:cstheme="minorHAnsi"/>
        </w:rPr>
        <w:t>I was responding ceaselessly to a necessity which spared me from asking: why am I here?</w:t>
      </w:r>
      <w:r w:rsidR="00CC2285">
        <w:rPr>
          <w:rFonts w:cstheme="minorHAnsi"/>
        </w:rPr>
        <w:t>”</w:t>
      </w:r>
      <w:r w:rsidR="00432924">
        <w:rPr>
          <w:rStyle w:val="FootnoteReference"/>
          <w:rFonts w:cstheme="minorHAnsi"/>
        </w:rPr>
        <w:footnoteReference w:id="12"/>
      </w:r>
      <w:r w:rsidRPr="00CA7790">
        <w:rPr>
          <w:rFonts w:cstheme="minorHAnsi"/>
        </w:rPr>
        <w:t xml:space="preserve"> She also links it to the gendered lifespan she sees ahead of her at that point in her life and she describes having flashes </w:t>
      </w:r>
      <w:r w:rsidR="007B60F5">
        <w:rPr>
          <w:rFonts w:cstheme="minorHAnsi"/>
        </w:rPr>
        <w:t xml:space="preserve">and visions </w:t>
      </w:r>
      <w:r w:rsidRPr="00CA7790">
        <w:rPr>
          <w:rFonts w:cstheme="minorHAnsi"/>
        </w:rPr>
        <w:t xml:space="preserve">of a meaningless, </w:t>
      </w:r>
      <w:r w:rsidR="00932DD6">
        <w:rPr>
          <w:rFonts w:cstheme="minorHAnsi"/>
        </w:rPr>
        <w:t xml:space="preserve">repetitive </w:t>
      </w:r>
      <w:r w:rsidRPr="00CA7790">
        <w:rPr>
          <w:rFonts w:cstheme="minorHAnsi"/>
        </w:rPr>
        <w:t xml:space="preserve">future: </w:t>
      </w:r>
      <w:r w:rsidR="00432924">
        <w:rPr>
          <w:rFonts w:cstheme="minorHAnsi"/>
        </w:rPr>
        <w:t>“</w:t>
      </w:r>
      <w:r w:rsidRPr="00CA7790">
        <w:rPr>
          <w:rFonts w:cstheme="minorHAnsi"/>
        </w:rPr>
        <w:t xml:space="preserve">One afternoon I was helping Mama to wash up; she was washing the plates and I was drying, through the window I </w:t>
      </w:r>
      <w:r w:rsidR="007B60F5">
        <w:rPr>
          <w:rFonts w:cstheme="minorHAnsi"/>
        </w:rPr>
        <w:t>c</w:t>
      </w:r>
      <w:r w:rsidRPr="00CA7790">
        <w:rPr>
          <w:rFonts w:cstheme="minorHAnsi"/>
        </w:rPr>
        <w:t>ould see the wall of the barracks, and other kitchens in which women were scrubbing out saucepans or peeling vegetables. Everyday lunch and dinner; everyday washing-up; all those hours, those endlessly recurring hours, all leading nowhere: could I live like that?</w:t>
      </w:r>
      <w:r w:rsidR="00432924">
        <w:rPr>
          <w:rFonts w:cstheme="minorHAnsi"/>
        </w:rPr>
        <w:t>”</w:t>
      </w:r>
      <w:r w:rsidR="00432924">
        <w:rPr>
          <w:rStyle w:val="FootnoteReference"/>
          <w:rFonts w:cstheme="minorHAnsi"/>
        </w:rPr>
        <w:footnoteReference w:id="13"/>
      </w:r>
      <w:r w:rsidRPr="00CA7790">
        <w:rPr>
          <w:rFonts w:cstheme="minorHAnsi"/>
        </w:rPr>
        <w:t xml:space="preserve"> She continues: </w:t>
      </w:r>
      <w:r w:rsidR="00432924">
        <w:rPr>
          <w:rFonts w:cstheme="minorHAnsi"/>
        </w:rPr>
        <w:t>“</w:t>
      </w:r>
      <w:r w:rsidRPr="00CA7790">
        <w:rPr>
          <w:rFonts w:cstheme="minorHAnsi"/>
        </w:rPr>
        <w:t xml:space="preserve">An image was formed in my mind, an image of such desolate clarity that I can still remember it today; a row of </w:t>
      </w:r>
      <w:r w:rsidRPr="00CA7790">
        <w:rPr>
          <w:rFonts w:cstheme="minorHAnsi"/>
        </w:rPr>
        <w:lastRenderedPageBreak/>
        <w:t>grey squares, diminishing according to the laws of perspective, but all flat, all identical, extending away to the horizon; they were for days and weeks and years</w:t>
      </w:r>
      <w:r w:rsidR="000D0876">
        <w:rPr>
          <w:rFonts w:cstheme="minorHAnsi"/>
        </w:rPr>
        <w:t>.”</w:t>
      </w:r>
      <w:r w:rsidR="00432924">
        <w:rPr>
          <w:rStyle w:val="FootnoteReference"/>
          <w:rFonts w:cstheme="minorHAnsi"/>
        </w:rPr>
        <w:footnoteReference w:id="14"/>
      </w:r>
      <w:r w:rsidRPr="00CA7790">
        <w:rPr>
          <w:rFonts w:cstheme="minorHAnsi"/>
        </w:rPr>
        <w:t xml:space="preserve"> </w:t>
      </w:r>
    </w:p>
    <w:p w14:paraId="73EFD703" w14:textId="05D72245" w:rsidR="000B1D3C" w:rsidRPr="00CA7790" w:rsidRDefault="008654BB" w:rsidP="00FE282E">
      <w:pPr>
        <w:spacing w:line="360" w:lineRule="auto"/>
        <w:ind w:firstLine="284"/>
        <w:rPr>
          <w:rFonts w:cstheme="minorHAnsi"/>
        </w:rPr>
      </w:pPr>
      <w:r>
        <w:rPr>
          <w:rFonts w:cstheme="minorHAnsi"/>
        </w:rPr>
        <w:t xml:space="preserve">If we can </w:t>
      </w:r>
      <w:r w:rsidR="00211457">
        <w:rPr>
          <w:rFonts w:cstheme="minorHAnsi"/>
        </w:rPr>
        <w:t xml:space="preserve">view </w:t>
      </w:r>
      <w:r>
        <w:rPr>
          <w:rFonts w:cstheme="minorHAnsi"/>
        </w:rPr>
        <w:t xml:space="preserve">the above as relating to the </w:t>
      </w:r>
      <w:r w:rsidR="00A14448">
        <w:rPr>
          <w:rFonts w:cstheme="minorHAnsi"/>
        </w:rPr>
        <w:t xml:space="preserve">threat of a </w:t>
      </w:r>
      <w:r w:rsidR="00211457">
        <w:rPr>
          <w:rFonts w:cstheme="minorHAnsi"/>
        </w:rPr>
        <w:t xml:space="preserve">gendered </w:t>
      </w:r>
      <w:r w:rsidR="00A14448">
        <w:rPr>
          <w:rFonts w:cstheme="minorHAnsi"/>
        </w:rPr>
        <w:t>life sunk in immanence</w:t>
      </w:r>
      <w:r>
        <w:rPr>
          <w:rFonts w:cstheme="minorHAnsi"/>
        </w:rPr>
        <w:t xml:space="preserve">, </w:t>
      </w:r>
      <w:r w:rsidR="007B713F">
        <w:rPr>
          <w:rFonts w:cstheme="minorHAnsi"/>
        </w:rPr>
        <w:t xml:space="preserve">something that endured her whole life, </w:t>
      </w:r>
      <w:r>
        <w:rPr>
          <w:rFonts w:cstheme="minorHAnsi"/>
        </w:rPr>
        <w:t xml:space="preserve">then the other </w:t>
      </w:r>
      <w:r w:rsidR="007B713F">
        <w:rPr>
          <w:rFonts w:cstheme="minorHAnsi"/>
        </w:rPr>
        <w:t xml:space="preserve">fear of ageing conversely </w:t>
      </w:r>
      <w:r w:rsidR="00F1086D">
        <w:rPr>
          <w:rFonts w:cstheme="minorHAnsi"/>
        </w:rPr>
        <w:t>relate</w:t>
      </w:r>
      <w:r w:rsidR="007B713F">
        <w:rPr>
          <w:rFonts w:cstheme="minorHAnsi"/>
        </w:rPr>
        <w:t>s</w:t>
      </w:r>
      <w:r w:rsidR="00F1086D">
        <w:rPr>
          <w:rFonts w:cstheme="minorHAnsi"/>
        </w:rPr>
        <w:t xml:space="preserve"> to the</w:t>
      </w:r>
      <w:r w:rsidR="007B713F">
        <w:rPr>
          <w:rFonts w:cstheme="minorHAnsi"/>
        </w:rPr>
        <w:t xml:space="preserve"> loss of the</w:t>
      </w:r>
      <w:r w:rsidR="00F1086D">
        <w:rPr>
          <w:rFonts w:cstheme="minorHAnsi"/>
        </w:rPr>
        <w:t xml:space="preserve"> “advantages” of femininity in terms of the value accorded to it by the male gaze</w:t>
      </w:r>
      <w:r>
        <w:rPr>
          <w:rFonts w:cstheme="minorHAnsi"/>
        </w:rPr>
        <w:t xml:space="preserve"> which</w:t>
      </w:r>
      <w:r w:rsidR="00F90576">
        <w:rPr>
          <w:rFonts w:cstheme="minorHAnsi"/>
        </w:rPr>
        <w:t xml:space="preserve"> i</w:t>
      </w:r>
      <w:r w:rsidR="00432924">
        <w:rPr>
          <w:rFonts w:cstheme="minorHAnsi"/>
        </w:rPr>
        <w:t>s</w:t>
      </w:r>
      <w:r>
        <w:rPr>
          <w:rFonts w:cstheme="minorHAnsi"/>
        </w:rPr>
        <w:t xml:space="preserve"> threatened</w:t>
      </w:r>
      <w:r w:rsidR="00432924">
        <w:rPr>
          <w:rFonts w:cstheme="minorHAnsi"/>
        </w:rPr>
        <w:t xml:space="preserve"> profoundly by ageing</w:t>
      </w:r>
      <w:r w:rsidR="007B713F">
        <w:rPr>
          <w:rFonts w:cstheme="minorHAnsi"/>
        </w:rPr>
        <w:t xml:space="preserve"> (“never again a man”)</w:t>
      </w:r>
      <w:r>
        <w:rPr>
          <w:rFonts w:cstheme="minorHAnsi"/>
        </w:rPr>
        <w:t>. F</w:t>
      </w:r>
      <w:r w:rsidR="000B1D3C" w:rsidRPr="00CA7790">
        <w:rPr>
          <w:rFonts w:cstheme="minorHAnsi"/>
        </w:rPr>
        <w:t xml:space="preserve">rom the first, Beauvoir’s sexuality was connected to her identity as a thinker and free-spirit and </w:t>
      </w:r>
      <w:r w:rsidR="001B73F7" w:rsidRPr="00CA7790">
        <w:rPr>
          <w:rFonts w:cstheme="minorHAnsi"/>
        </w:rPr>
        <w:t xml:space="preserve">while she fully appreciated the danger </w:t>
      </w:r>
      <w:r w:rsidR="007B713F">
        <w:rPr>
          <w:rFonts w:cstheme="minorHAnsi"/>
        </w:rPr>
        <w:t>love and sexuality</w:t>
      </w:r>
      <w:r w:rsidR="001B73F7" w:rsidRPr="00CA7790">
        <w:rPr>
          <w:rFonts w:cstheme="minorHAnsi"/>
        </w:rPr>
        <w:t xml:space="preserve"> also presented to women, nevertheless </w:t>
      </w:r>
      <w:r w:rsidR="000B1D3C" w:rsidRPr="00CA7790">
        <w:rPr>
          <w:rFonts w:cstheme="minorHAnsi"/>
        </w:rPr>
        <w:t xml:space="preserve">it provided enormous meaning to her life at its best. </w:t>
      </w:r>
      <w:r w:rsidR="004E6808" w:rsidRPr="00CA7790">
        <w:rPr>
          <w:rFonts w:cstheme="minorHAnsi"/>
        </w:rPr>
        <w:t>Another way of assessing its importance is looking at what she feels she is about to lose when age and ageing means that what she views as her ‘last love affair’ is over</w:t>
      </w:r>
      <w:r w:rsidR="00F1086D">
        <w:rPr>
          <w:rStyle w:val="FootnoteReference"/>
          <w:rFonts w:cstheme="minorHAnsi"/>
        </w:rPr>
        <w:footnoteReference w:id="15"/>
      </w:r>
      <w:r w:rsidR="004E6808" w:rsidRPr="00CA7790">
        <w:rPr>
          <w:rFonts w:cstheme="minorHAnsi"/>
        </w:rPr>
        <w:t xml:space="preserve">. </w:t>
      </w:r>
      <w:r w:rsidR="0083530F" w:rsidRPr="00CA7790">
        <w:rPr>
          <w:rFonts w:cstheme="minorHAnsi"/>
        </w:rPr>
        <w:t xml:space="preserve"> </w:t>
      </w:r>
    </w:p>
    <w:p w14:paraId="1B5AAFB1" w14:textId="03B71AF2" w:rsidR="001B73F7" w:rsidRDefault="003A30E1" w:rsidP="003A30E1">
      <w:pPr>
        <w:spacing w:line="360" w:lineRule="auto"/>
        <w:ind w:firstLine="284"/>
        <w:rPr>
          <w:rFonts w:cstheme="minorHAnsi"/>
        </w:rPr>
      </w:pPr>
      <w:r>
        <w:rPr>
          <w:rFonts w:cstheme="minorHAnsi"/>
        </w:rPr>
        <w:t>I</w:t>
      </w:r>
      <w:r w:rsidR="001B73F7" w:rsidRPr="00CA7790">
        <w:rPr>
          <w:rFonts w:cstheme="minorHAnsi"/>
        </w:rPr>
        <w:t xml:space="preserve">n </w:t>
      </w:r>
      <w:r w:rsidR="001B73F7" w:rsidRPr="00CA7790">
        <w:rPr>
          <w:rFonts w:cstheme="minorHAnsi"/>
          <w:i/>
          <w:iCs/>
        </w:rPr>
        <w:t>Force of Circumstance</w:t>
      </w:r>
      <w:r w:rsidR="001B73F7" w:rsidRPr="00CA7790">
        <w:rPr>
          <w:rFonts w:cstheme="minorHAnsi"/>
        </w:rPr>
        <w:t xml:space="preserve"> Beauvoir describes </w:t>
      </w:r>
      <w:r w:rsidR="00932DD6">
        <w:rPr>
          <w:rFonts w:cstheme="minorHAnsi"/>
        </w:rPr>
        <w:t xml:space="preserve">her life from her late thirties to her </w:t>
      </w:r>
      <w:r w:rsidR="000A66F8">
        <w:rPr>
          <w:rFonts w:cstheme="minorHAnsi"/>
        </w:rPr>
        <w:t>mid-fifties</w:t>
      </w:r>
      <w:r w:rsidR="00932DD6">
        <w:rPr>
          <w:rFonts w:cstheme="minorHAnsi"/>
        </w:rPr>
        <w:t xml:space="preserve"> </w:t>
      </w:r>
      <w:r w:rsidR="000E3CC3">
        <w:rPr>
          <w:rFonts w:cstheme="minorHAnsi"/>
        </w:rPr>
        <w:t>S</w:t>
      </w:r>
      <w:r w:rsidR="00932DD6">
        <w:rPr>
          <w:rFonts w:cstheme="minorHAnsi"/>
        </w:rPr>
        <w:t>he conveys a</w:t>
      </w:r>
      <w:r w:rsidR="00A20ACB" w:rsidRPr="00CA7790">
        <w:rPr>
          <w:rFonts w:cstheme="minorHAnsi"/>
        </w:rPr>
        <w:t xml:space="preserve"> feeling of regaining a body (with love) and losing it again (at the end of love</w:t>
      </w:r>
      <w:r w:rsidR="00A14448">
        <w:rPr>
          <w:rFonts w:cstheme="minorHAnsi"/>
        </w:rPr>
        <w:t xml:space="preserve"> possibly, as she is an ageing woman, for good)</w:t>
      </w:r>
      <w:r w:rsidR="00A20ACB" w:rsidRPr="00CA7790">
        <w:rPr>
          <w:rFonts w:cstheme="minorHAnsi"/>
        </w:rPr>
        <w:t xml:space="preserve">. </w:t>
      </w:r>
      <w:r w:rsidR="00A14448">
        <w:rPr>
          <w:rFonts w:cstheme="minorHAnsi"/>
        </w:rPr>
        <w:t xml:space="preserve">This emerges </w:t>
      </w:r>
      <w:r>
        <w:rPr>
          <w:rFonts w:cstheme="minorHAnsi"/>
        </w:rPr>
        <w:t xml:space="preserve">when her affair with </w:t>
      </w:r>
      <w:r w:rsidR="00183FEF">
        <w:rPr>
          <w:rFonts w:cstheme="minorHAnsi"/>
        </w:rPr>
        <w:t xml:space="preserve">Nelson </w:t>
      </w:r>
      <w:r>
        <w:rPr>
          <w:rFonts w:cstheme="minorHAnsi"/>
        </w:rPr>
        <w:t>Algren end</w:t>
      </w:r>
      <w:r w:rsidR="00183FEF">
        <w:rPr>
          <w:rFonts w:cstheme="minorHAnsi"/>
        </w:rPr>
        <w:t>s</w:t>
      </w:r>
      <w:r>
        <w:rPr>
          <w:rFonts w:cstheme="minorHAnsi"/>
        </w:rPr>
        <w:t xml:space="preserve"> and she reflects: </w:t>
      </w:r>
      <w:r w:rsidR="00432924">
        <w:rPr>
          <w:rFonts w:cstheme="minorHAnsi"/>
        </w:rPr>
        <w:t>“</w:t>
      </w:r>
      <w:r>
        <w:rPr>
          <w:rFonts w:cstheme="minorHAnsi"/>
        </w:rPr>
        <w:t>I’ll never sleep again warmed by another’s body”</w:t>
      </w:r>
      <w:r w:rsidR="007456A5">
        <w:rPr>
          <w:rFonts w:cstheme="minorHAnsi"/>
        </w:rPr>
        <w:t>.</w:t>
      </w:r>
      <w:r w:rsidR="00432924">
        <w:rPr>
          <w:rStyle w:val="FootnoteReference"/>
          <w:rFonts w:cstheme="minorHAnsi"/>
        </w:rPr>
        <w:footnoteReference w:id="16"/>
      </w:r>
      <w:r>
        <w:rPr>
          <w:rFonts w:cstheme="minorHAnsi"/>
        </w:rPr>
        <w:t xml:space="preserve"> She goes on to describe this as a</w:t>
      </w:r>
      <w:r w:rsidR="00211457">
        <w:rPr>
          <w:rFonts w:cstheme="minorHAnsi"/>
        </w:rPr>
        <w:t xml:space="preserve"> (death)</w:t>
      </w:r>
      <w:r>
        <w:rPr>
          <w:rFonts w:cstheme="minorHAnsi"/>
        </w:rPr>
        <w:t xml:space="preserve"> </w:t>
      </w:r>
      <w:r w:rsidR="00211457">
        <w:rPr>
          <w:rFonts w:cstheme="minorHAnsi"/>
        </w:rPr>
        <w:t>“</w:t>
      </w:r>
      <w:r>
        <w:rPr>
          <w:rFonts w:cstheme="minorHAnsi"/>
        </w:rPr>
        <w:t xml:space="preserve">knell’ and reflects: </w:t>
      </w:r>
      <w:r w:rsidR="007456A5">
        <w:rPr>
          <w:rFonts w:cstheme="minorHAnsi"/>
        </w:rPr>
        <w:t>“</w:t>
      </w:r>
      <w:r>
        <w:rPr>
          <w:rFonts w:cstheme="minorHAnsi"/>
        </w:rPr>
        <w:t>When the realization of these facts penetrated me, I felt myself sinking into death. The void had always frightened me, but till now I had been dying day by day without paying attention to it; suddenly, at one blow, a whole piece of myself was being engulfed before my eyes</w:t>
      </w:r>
      <w:r w:rsidR="007456A5">
        <w:rPr>
          <w:rFonts w:cstheme="minorHAnsi"/>
        </w:rPr>
        <w:t>”.</w:t>
      </w:r>
      <w:r w:rsidR="00432924">
        <w:rPr>
          <w:rStyle w:val="FootnoteReference"/>
          <w:rFonts w:cstheme="minorHAnsi"/>
        </w:rPr>
        <w:footnoteReference w:id="17"/>
      </w:r>
      <w:r>
        <w:rPr>
          <w:rFonts w:cstheme="minorHAnsi"/>
        </w:rPr>
        <w:t xml:space="preserve"> </w:t>
      </w:r>
      <w:r w:rsidR="00211457">
        <w:rPr>
          <w:rFonts w:cstheme="minorHAnsi"/>
        </w:rPr>
        <w:t>Describing</w:t>
      </w:r>
      <w:r>
        <w:rPr>
          <w:rFonts w:cstheme="minorHAnsi"/>
        </w:rPr>
        <w:t xml:space="preserve"> </w:t>
      </w:r>
      <w:r w:rsidR="002B2DC0" w:rsidRPr="00CA7790">
        <w:rPr>
          <w:rFonts w:cstheme="minorHAnsi"/>
        </w:rPr>
        <w:t xml:space="preserve">her affair aged </w:t>
      </w:r>
      <w:r w:rsidR="007456A5">
        <w:rPr>
          <w:rFonts w:cstheme="minorHAnsi"/>
        </w:rPr>
        <w:t>forty-four</w:t>
      </w:r>
      <w:r w:rsidR="002B2DC0" w:rsidRPr="00CA7790">
        <w:rPr>
          <w:rFonts w:cstheme="minorHAnsi"/>
        </w:rPr>
        <w:t xml:space="preserve"> with Claude Lanzmann</w:t>
      </w:r>
      <w:r>
        <w:rPr>
          <w:rFonts w:cstheme="minorHAnsi"/>
        </w:rPr>
        <w:t xml:space="preserve"> she notes</w:t>
      </w:r>
      <w:r w:rsidR="002B2DC0" w:rsidRPr="00CA7790">
        <w:rPr>
          <w:rFonts w:cstheme="minorHAnsi"/>
        </w:rPr>
        <w:t xml:space="preserve">: </w:t>
      </w:r>
      <w:r w:rsidR="000D0876">
        <w:rPr>
          <w:rFonts w:cstheme="minorHAnsi"/>
        </w:rPr>
        <w:t>“</w:t>
      </w:r>
      <w:r w:rsidR="002B2DC0" w:rsidRPr="00CA7790">
        <w:rPr>
          <w:rFonts w:cstheme="minorHAnsi"/>
        </w:rPr>
        <w:t>I had rediscovered my body</w:t>
      </w:r>
      <w:r w:rsidR="000D0876">
        <w:rPr>
          <w:rFonts w:cstheme="minorHAnsi"/>
        </w:rPr>
        <w:t>”</w:t>
      </w:r>
      <w:r w:rsidR="00142AC1">
        <w:rPr>
          <w:rStyle w:val="FootnoteReference"/>
          <w:rFonts w:cstheme="minorHAnsi"/>
        </w:rPr>
        <w:footnoteReference w:id="18"/>
      </w:r>
      <w:r w:rsidR="002B2DC0" w:rsidRPr="00CA7790">
        <w:rPr>
          <w:rFonts w:cstheme="minorHAnsi"/>
        </w:rPr>
        <w:t xml:space="preserve"> and at the end of it: </w:t>
      </w:r>
      <w:r w:rsidR="00432924">
        <w:rPr>
          <w:rFonts w:cstheme="minorHAnsi"/>
        </w:rPr>
        <w:t>“</w:t>
      </w:r>
      <w:r w:rsidR="002B2DC0" w:rsidRPr="00CA7790">
        <w:rPr>
          <w:rFonts w:cstheme="minorHAnsi"/>
        </w:rPr>
        <w:t>It’s strange not to be a body anymore</w:t>
      </w:r>
      <w:r w:rsidR="00432924">
        <w:rPr>
          <w:rFonts w:cstheme="minorHAnsi"/>
        </w:rPr>
        <w:t>”</w:t>
      </w:r>
      <w:r w:rsidR="002B2DC0" w:rsidRPr="00CA7790">
        <w:rPr>
          <w:rFonts w:cstheme="minorHAnsi"/>
        </w:rPr>
        <w:t xml:space="preserve"> </w:t>
      </w:r>
      <w:r w:rsidR="00432924">
        <w:rPr>
          <w:rFonts w:cstheme="minorHAnsi"/>
        </w:rPr>
        <w:t>- that is, not to be seen as a woman</w:t>
      </w:r>
      <w:r w:rsidR="002B2DC0" w:rsidRPr="00CA7790">
        <w:rPr>
          <w:rFonts w:cstheme="minorHAnsi"/>
        </w:rPr>
        <w:t>.</w:t>
      </w:r>
      <w:r w:rsidR="007456A5">
        <w:rPr>
          <w:rStyle w:val="FootnoteReference"/>
          <w:rFonts w:cstheme="minorHAnsi"/>
        </w:rPr>
        <w:footnoteReference w:id="19"/>
      </w:r>
    </w:p>
    <w:p w14:paraId="190E2AB3" w14:textId="3EA4BD16" w:rsidR="00546FFD" w:rsidRDefault="00F1086D" w:rsidP="00FE282E">
      <w:pPr>
        <w:spacing w:line="360" w:lineRule="auto"/>
        <w:ind w:firstLine="284"/>
        <w:rPr>
          <w:rFonts w:cstheme="minorHAnsi"/>
        </w:rPr>
      </w:pPr>
      <w:r>
        <w:rPr>
          <w:rFonts w:cstheme="minorHAnsi"/>
        </w:rPr>
        <w:t xml:space="preserve">In the next sections I consider, and build on, the conceptual and </w:t>
      </w:r>
      <w:r w:rsidR="009F6A7A">
        <w:rPr>
          <w:rFonts w:cstheme="minorHAnsi"/>
        </w:rPr>
        <w:t xml:space="preserve">psychoanalytical </w:t>
      </w:r>
      <w:r>
        <w:rPr>
          <w:rFonts w:cstheme="minorHAnsi"/>
        </w:rPr>
        <w:t xml:space="preserve">explanations that have </w:t>
      </w:r>
      <w:r w:rsidR="00546FFD" w:rsidRPr="00CA7790">
        <w:rPr>
          <w:rFonts w:cstheme="minorHAnsi"/>
        </w:rPr>
        <w:t xml:space="preserve">been suggested </w:t>
      </w:r>
      <w:r w:rsidR="0005386D">
        <w:rPr>
          <w:rFonts w:cstheme="minorHAnsi"/>
        </w:rPr>
        <w:t>to explain</w:t>
      </w:r>
      <w:r w:rsidR="00546FFD" w:rsidRPr="00CA7790">
        <w:rPr>
          <w:rFonts w:cstheme="minorHAnsi"/>
        </w:rPr>
        <w:t xml:space="preserve"> Beauvoir’s </w:t>
      </w:r>
      <w:r w:rsidR="0005386D">
        <w:rPr>
          <w:rFonts w:cstheme="minorHAnsi"/>
        </w:rPr>
        <w:t xml:space="preserve">long-standing dread of age </w:t>
      </w:r>
      <w:r w:rsidR="00142AC1">
        <w:rPr>
          <w:rFonts w:cstheme="minorHAnsi"/>
        </w:rPr>
        <w:t xml:space="preserve">and </w:t>
      </w:r>
      <w:r w:rsidR="0005386D">
        <w:rPr>
          <w:rFonts w:cstheme="minorHAnsi"/>
        </w:rPr>
        <w:t>her shift later in life</w:t>
      </w:r>
      <w:r w:rsidR="00546FFD" w:rsidRPr="00CA7790">
        <w:rPr>
          <w:rFonts w:cstheme="minorHAnsi"/>
        </w:rPr>
        <w:t xml:space="preserve">. </w:t>
      </w:r>
    </w:p>
    <w:p w14:paraId="24BF29DF" w14:textId="77777777" w:rsidR="00142AC1" w:rsidRPr="00CA7790" w:rsidRDefault="00142AC1" w:rsidP="00FE282E">
      <w:pPr>
        <w:spacing w:line="360" w:lineRule="auto"/>
        <w:ind w:firstLine="284"/>
        <w:rPr>
          <w:rFonts w:cstheme="minorHAnsi"/>
        </w:rPr>
      </w:pPr>
    </w:p>
    <w:p w14:paraId="1AD4C515" w14:textId="2933BA40" w:rsidR="002D2DA3" w:rsidRPr="009678C0" w:rsidRDefault="009678C0" w:rsidP="002F7BB9">
      <w:pPr>
        <w:spacing w:line="360" w:lineRule="auto"/>
        <w:rPr>
          <w:rFonts w:cstheme="minorHAnsi"/>
          <w:b/>
          <w:bCs/>
        </w:rPr>
      </w:pPr>
      <w:proofErr w:type="gramStart"/>
      <w:r>
        <w:rPr>
          <w:rFonts w:cstheme="minorHAnsi"/>
          <w:b/>
          <w:bCs/>
        </w:rPr>
        <w:t xml:space="preserve">3  </w:t>
      </w:r>
      <w:r w:rsidR="002D2DA3" w:rsidRPr="009678C0">
        <w:rPr>
          <w:rFonts w:cstheme="minorHAnsi"/>
          <w:b/>
          <w:bCs/>
        </w:rPr>
        <w:t>M</w:t>
      </w:r>
      <w:r w:rsidR="00CF4816" w:rsidRPr="009678C0">
        <w:rPr>
          <w:rFonts w:cstheme="minorHAnsi"/>
          <w:b/>
          <w:bCs/>
        </w:rPr>
        <w:t>elancholia</w:t>
      </w:r>
      <w:proofErr w:type="gramEnd"/>
      <w:r w:rsidR="00CF4816" w:rsidRPr="009678C0">
        <w:rPr>
          <w:rFonts w:cstheme="minorHAnsi"/>
          <w:b/>
          <w:bCs/>
        </w:rPr>
        <w:t>, mourning and anticipatory mourning</w:t>
      </w:r>
    </w:p>
    <w:p w14:paraId="5143BF3A" w14:textId="2985FABD" w:rsidR="00A01372" w:rsidRPr="00CA7790" w:rsidRDefault="00A01372" w:rsidP="00FE282E">
      <w:pPr>
        <w:spacing w:line="360" w:lineRule="auto"/>
        <w:ind w:firstLine="284"/>
        <w:rPr>
          <w:rFonts w:cstheme="minorHAnsi"/>
        </w:rPr>
      </w:pPr>
      <w:r w:rsidRPr="00CA7790">
        <w:rPr>
          <w:rFonts w:cstheme="minorHAnsi"/>
        </w:rPr>
        <w:t>Toril Moi points out that Beauvoir</w:t>
      </w:r>
      <w:r w:rsidR="00577FC2">
        <w:rPr>
          <w:rFonts w:cstheme="minorHAnsi"/>
        </w:rPr>
        <w:t>’s</w:t>
      </w:r>
      <w:r w:rsidRPr="00CA7790">
        <w:rPr>
          <w:rFonts w:cstheme="minorHAnsi"/>
        </w:rPr>
        <w:t xml:space="preserve"> obsession with old age </w:t>
      </w:r>
      <w:r w:rsidR="00431729">
        <w:rPr>
          <w:rFonts w:cstheme="minorHAnsi"/>
        </w:rPr>
        <w:t xml:space="preserve">is a smokescreen for </w:t>
      </w:r>
      <w:r w:rsidRPr="00CA7790">
        <w:rPr>
          <w:rFonts w:cstheme="minorHAnsi"/>
        </w:rPr>
        <w:t xml:space="preserve">a broader depression </w:t>
      </w:r>
      <w:r w:rsidR="00546FFD" w:rsidRPr="00CA7790">
        <w:rPr>
          <w:rFonts w:cstheme="minorHAnsi"/>
        </w:rPr>
        <w:t xml:space="preserve">from which </w:t>
      </w:r>
      <w:r w:rsidRPr="00CA7790">
        <w:rPr>
          <w:rFonts w:cstheme="minorHAnsi"/>
        </w:rPr>
        <w:t>she suffer</w:t>
      </w:r>
      <w:r w:rsidR="00CF4816" w:rsidRPr="00CA7790">
        <w:rPr>
          <w:rFonts w:cstheme="minorHAnsi"/>
        </w:rPr>
        <w:t>ed</w:t>
      </w:r>
      <w:r w:rsidR="00720D89">
        <w:rPr>
          <w:rFonts w:cstheme="minorHAnsi"/>
        </w:rPr>
        <w:t>, even in her twenties</w:t>
      </w:r>
      <w:r w:rsidR="00431729">
        <w:rPr>
          <w:rFonts w:cstheme="minorHAnsi"/>
        </w:rPr>
        <w:t>, but which was hard</w:t>
      </w:r>
      <w:r w:rsidR="00485BF8">
        <w:rPr>
          <w:rFonts w:cstheme="minorHAnsi"/>
        </w:rPr>
        <w:t xml:space="preserve"> for her</w:t>
      </w:r>
      <w:r w:rsidR="00431729">
        <w:rPr>
          <w:rFonts w:cstheme="minorHAnsi"/>
        </w:rPr>
        <w:t xml:space="preserve"> to face </w:t>
      </w:r>
      <w:r w:rsidR="00431729">
        <w:rPr>
          <w:rFonts w:cstheme="minorHAnsi"/>
        </w:rPr>
        <w:lastRenderedPageBreak/>
        <w:t>directly</w:t>
      </w:r>
      <w:r w:rsidRPr="00CA7790">
        <w:rPr>
          <w:rFonts w:cstheme="minorHAnsi"/>
        </w:rPr>
        <w:t xml:space="preserve">: </w:t>
      </w:r>
      <w:r w:rsidR="002F74D0">
        <w:rPr>
          <w:rFonts w:cstheme="minorHAnsi"/>
        </w:rPr>
        <w:t>“</w:t>
      </w:r>
      <w:r w:rsidRPr="00CA7790">
        <w:rPr>
          <w:rFonts w:cstheme="minorHAnsi"/>
        </w:rPr>
        <w:t>When life comes to seem repetitive, colourless, drained of vitality and significance, Beauvoir immediately leaps to the conclusion that all this happens because she is growing old</w:t>
      </w:r>
      <w:r w:rsidR="000D0876">
        <w:rPr>
          <w:rFonts w:cstheme="minorHAnsi"/>
        </w:rPr>
        <w:t>.</w:t>
      </w:r>
      <w:r w:rsidR="002F74D0">
        <w:rPr>
          <w:rFonts w:cstheme="minorHAnsi"/>
        </w:rPr>
        <w:t>”</w:t>
      </w:r>
      <w:r w:rsidR="002F74D0">
        <w:rPr>
          <w:rStyle w:val="FootnoteReference"/>
          <w:rFonts w:cstheme="minorHAnsi"/>
        </w:rPr>
        <w:footnoteReference w:id="20"/>
      </w:r>
      <w:r w:rsidRPr="00CA7790">
        <w:rPr>
          <w:rFonts w:cstheme="minorHAnsi"/>
        </w:rPr>
        <w:t xml:space="preserve"> </w:t>
      </w:r>
      <w:r w:rsidR="00630252">
        <w:rPr>
          <w:rFonts w:cstheme="minorHAnsi"/>
        </w:rPr>
        <w:t xml:space="preserve">Beauvoir’s </w:t>
      </w:r>
      <w:r w:rsidRPr="00CA7790">
        <w:rPr>
          <w:rFonts w:cstheme="minorHAnsi"/>
        </w:rPr>
        <w:t xml:space="preserve">‘depression’, </w:t>
      </w:r>
      <w:r w:rsidR="00630252">
        <w:rPr>
          <w:rFonts w:cstheme="minorHAnsi"/>
        </w:rPr>
        <w:t>Moi</w:t>
      </w:r>
      <w:r w:rsidRPr="00CA7790">
        <w:rPr>
          <w:rFonts w:cstheme="minorHAnsi"/>
        </w:rPr>
        <w:t xml:space="preserve"> maintains, </w:t>
      </w:r>
      <w:r w:rsidR="00081017" w:rsidRPr="00CA7790">
        <w:rPr>
          <w:rFonts w:cstheme="minorHAnsi"/>
        </w:rPr>
        <w:t xml:space="preserve">particularly caught up with her as she headed into mid-life. </w:t>
      </w:r>
      <w:r w:rsidR="00006C53">
        <w:rPr>
          <w:rFonts w:cstheme="minorHAnsi"/>
        </w:rPr>
        <w:t xml:space="preserve">She observes: </w:t>
      </w:r>
      <w:r w:rsidR="00B7085F">
        <w:rPr>
          <w:rFonts w:cstheme="minorHAnsi"/>
        </w:rPr>
        <w:t>“</w:t>
      </w:r>
      <w:r w:rsidR="009B570E">
        <w:rPr>
          <w:rFonts w:cstheme="minorHAnsi"/>
        </w:rPr>
        <w:t xml:space="preserve">Clearly recognizing her mood as one of </w:t>
      </w:r>
      <w:r w:rsidR="00B7085F">
        <w:rPr>
          <w:rFonts w:cstheme="minorHAnsi"/>
        </w:rPr>
        <w:t>‘</w:t>
      </w:r>
      <w:r w:rsidR="009B570E">
        <w:rPr>
          <w:rFonts w:cstheme="minorHAnsi"/>
        </w:rPr>
        <w:t>melancholia</w:t>
      </w:r>
      <w:r w:rsidR="00B7085F">
        <w:rPr>
          <w:rFonts w:cstheme="minorHAnsi"/>
        </w:rPr>
        <w:t>’</w:t>
      </w:r>
      <w:r w:rsidR="009B570E">
        <w:rPr>
          <w:rFonts w:cstheme="minorHAnsi"/>
        </w:rPr>
        <w:t xml:space="preserve">, she refuses to consider other reasons why she might be suffering from a feeling of </w:t>
      </w:r>
      <w:r w:rsidR="00B7085F">
        <w:rPr>
          <w:rFonts w:cstheme="minorHAnsi"/>
        </w:rPr>
        <w:t>‘</w:t>
      </w:r>
      <w:r w:rsidR="009B570E">
        <w:rPr>
          <w:rFonts w:cstheme="minorHAnsi"/>
        </w:rPr>
        <w:t>irreparable loss’</w:t>
      </w:r>
      <w:r w:rsidR="00B7085F">
        <w:rPr>
          <w:rFonts w:cstheme="minorHAnsi"/>
        </w:rPr>
        <w:t>”</w:t>
      </w:r>
      <w:r w:rsidR="007456A5">
        <w:rPr>
          <w:rFonts w:cstheme="minorHAnsi"/>
        </w:rPr>
        <w:t>.</w:t>
      </w:r>
      <w:r w:rsidR="00B7085F">
        <w:rPr>
          <w:rStyle w:val="FootnoteReference"/>
          <w:rFonts w:cstheme="minorHAnsi"/>
        </w:rPr>
        <w:footnoteReference w:id="21"/>
      </w:r>
      <w:r w:rsidR="00B7085F">
        <w:rPr>
          <w:rFonts w:cstheme="minorHAnsi"/>
        </w:rPr>
        <w:t xml:space="preserve"> </w:t>
      </w:r>
      <w:r w:rsidR="009B570E">
        <w:rPr>
          <w:rFonts w:cstheme="minorHAnsi"/>
        </w:rPr>
        <w:t xml:space="preserve">The other reasons Moi points to concern love and its loss, </w:t>
      </w:r>
      <w:r w:rsidR="00B7085F">
        <w:rPr>
          <w:rFonts w:cstheme="minorHAnsi"/>
        </w:rPr>
        <w:t>“</w:t>
      </w:r>
      <w:r w:rsidR="009B570E">
        <w:rPr>
          <w:rFonts w:cstheme="minorHAnsi"/>
        </w:rPr>
        <w:t>her constant fear of solitude and separation</w:t>
      </w:r>
      <w:r w:rsidR="008E4D1A">
        <w:rPr>
          <w:rFonts w:cstheme="minorHAnsi"/>
        </w:rPr>
        <w:t>.</w:t>
      </w:r>
      <w:r w:rsidR="00B7085F">
        <w:rPr>
          <w:rFonts w:cstheme="minorHAnsi"/>
        </w:rPr>
        <w:t>”</w:t>
      </w:r>
      <w:r w:rsidR="00B7085F">
        <w:rPr>
          <w:rStyle w:val="FootnoteReference"/>
          <w:rFonts w:cstheme="minorHAnsi"/>
        </w:rPr>
        <w:footnoteReference w:id="22"/>
      </w:r>
      <w:r w:rsidR="009B570E">
        <w:rPr>
          <w:rFonts w:cstheme="minorHAnsi"/>
        </w:rPr>
        <w:t xml:space="preserve"> </w:t>
      </w:r>
    </w:p>
    <w:p w14:paraId="29517065" w14:textId="224906F7" w:rsidR="007A1491" w:rsidRPr="00CA7790" w:rsidRDefault="007A1491" w:rsidP="00FE282E">
      <w:pPr>
        <w:spacing w:line="360" w:lineRule="auto"/>
        <w:ind w:firstLine="284"/>
        <w:rPr>
          <w:rFonts w:cstheme="minorHAnsi"/>
        </w:rPr>
      </w:pPr>
      <w:r w:rsidRPr="00CA7790">
        <w:rPr>
          <w:rFonts w:cstheme="minorHAnsi"/>
        </w:rPr>
        <w:t xml:space="preserve">Deirdre Bair </w:t>
      </w:r>
      <w:r w:rsidR="00211457">
        <w:rPr>
          <w:rFonts w:cstheme="minorHAnsi"/>
        </w:rPr>
        <w:t>identifies</w:t>
      </w:r>
      <w:r w:rsidR="00181BAF">
        <w:rPr>
          <w:rFonts w:cstheme="minorHAnsi"/>
        </w:rPr>
        <w:t xml:space="preserve"> the</w:t>
      </w:r>
      <w:r w:rsidRPr="00CA7790">
        <w:rPr>
          <w:rFonts w:cstheme="minorHAnsi"/>
        </w:rPr>
        <w:t xml:space="preserve"> key problem </w:t>
      </w:r>
      <w:r w:rsidR="00211457">
        <w:rPr>
          <w:rFonts w:cstheme="minorHAnsi"/>
        </w:rPr>
        <w:t>as</w:t>
      </w:r>
      <w:r w:rsidRPr="00CA7790">
        <w:rPr>
          <w:rFonts w:cstheme="minorHAnsi"/>
        </w:rPr>
        <w:t xml:space="preserve"> fear of </w:t>
      </w:r>
      <w:r w:rsidR="002267BE">
        <w:rPr>
          <w:rFonts w:cstheme="minorHAnsi"/>
        </w:rPr>
        <w:t>“</w:t>
      </w:r>
      <w:r w:rsidRPr="00CA7790">
        <w:rPr>
          <w:rFonts w:cstheme="minorHAnsi"/>
        </w:rPr>
        <w:t>abandonment</w:t>
      </w:r>
      <w:r w:rsidR="007435B3">
        <w:rPr>
          <w:rFonts w:cstheme="minorHAnsi"/>
        </w:rPr>
        <w:t>.</w:t>
      </w:r>
      <w:r w:rsidR="002267BE">
        <w:rPr>
          <w:rFonts w:cstheme="minorHAnsi"/>
        </w:rPr>
        <w:t>” She writes</w:t>
      </w:r>
      <w:r w:rsidR="00181BAF">
        <w:rPr>
          <w:rFonts w:cstheme="minorHAnsi"/>
        </w:rPr>
        <w:t xml:space="preserve">: </w:t>
      </w:r>
      <w:r w:rsidR="00CB6CFA">
        <w:rPr>
          <w:rFonts w:cstheme="minorHAnsi"/>
        </w:rPr>
        <w:t>“</w:t>
      </w:r>
      <w:r w:rsidRPr="00CA7790">
        <w:rPr>
          <w:rFonts w:cstheme="minorHAnsi"/>
        </w:rPr>
        <w:t>It was as if from her earliest rational moments in childhood she began to prepare herself for people and things to be taken away from her</w:t>
      </w:r>
      <w:r w:rsidR="008E4D1A">
        <w:rPr>
          <w:rFonts w:cstheme="minorHAnsi"/>
        </w:rPr>
        <w:t>.</w:t>
      </w:r>
      <w:r w:rsidR="00CB6CFA">
        <w:rPr>
          <w:rFonts w:cstheme="minorHAnsi"/>
        </w:rPr>
        <w:t>”</w:t>
      </w:r>
      <w:r w:rsidRPr="00CA7790">
        <w:rPr>
          <w:rFonts w:cstheme="minorHAnsi"/>
        </w:rPr>
        <w:t xml:space="preserve"> </w:t>
      </w:r>
      <w:r w:rsidR="002267BE">
        <w:rPr>
          <w:rStyle w:val="FootnoteReference"/>
          <w:rFonts w:cstheme="minorHAnsi"/>
        </w:rPr>
        <w:footnoteReference w:id="23"/>
      </w:r>
      <w:r w:rsidRPr="00CA7790">
        <w:rPr>
          <w:rFonts w:cstheme="minorHAnsi"/>
        </w:rPr>
        <w:t xml:space="preserve"> This </w:t>
      </w:r>
      <w:r w:rsidR="00B61D82">
        <w:rPr>
          <w:rFonts w:cstheme="minorHAnsi"/>
        </w:rPr>
        <w:t xml:space="preserve">was focused on </w:t>
      </w:r>
      <w:r w:rsidRPr="00CA7790">
        <w:rPr>
          <w:rFonts w:cstheme="minorHAnsi"/>
        </w:rPr>
        <w:t xml:space="preserve">her fear of Sartre’s death which she </w:t>
      </w:r>
      <w:r w:rsidR="00F96095" w:rsidRPr="00CA7790">
        <w:rPr>
          <w:rFonts w:cstheme="minorHAnsi"/>
        </w:rPr>
        <w:t xml:space="preserve">also </w:t>
      </w:r>
      <w:r w:rsidRPr="00CA7790">
        <w:rPr>
          <w:rFonts w:cstheme="minorHAnsi"/>
        </w:rPr>
        <w:t>equated with abandonment</w:t>
      </w:r>
      <w:r w:rsidR="00F96095" w:rsidRPr="00CA7790">
        <w:rPr>
          <w:rFonts w:cstheme="minorHAnsi"/>
        </w:rPr>
        <w:t xml:space="preserve">: </w:t>
      </w:r>
      <w:r w:rsidR="00CB6CFA">
        <w:rPr>
          <w:rFonts w:cstheme="minorHAnsi"/>
        </w:rPr>
        <w:t>“</w:t>
      </w:r>
      <w:r w:rsidR="00F96095" w:rsidRPr="00CA7790">
        <w:rPr>
          <w:rFonts w:cstheme="minorHAnsi"/>
        </w:rPr>
        <w:t>It is appalling that he should abandon you and then not speak to you again</w:t>
      </w:r>
      <w:r w:rsidR="00CC2285">
        <w:rPr>
          <w:rFonts w:cstheme="minorHAnsi"/>
        </w:rPr>
        <w:t>.</w:t>
      </w:r>
      <w:r w:rsidR="00CB6CFA">
        <w:rPr>
          <w:rFonts w:cstheme="minorHAnsi"/>
        </w:rPr>
        <w:t>”</w:t>
      </w:r>
      <w:r w:rsidR="00CB6CFA">
        <w:rPr>
          <w:rStyle w:val="FootnoteReference"/>
          <w:rFonts w:cstheme="minorHAnsi"/>
        </w:rPr>
        <w:footnoteReference w:id="24"/>
      </w:r>
      <w:r w:rsidR="00F96095" w:rsidRPr="00CA7790">
        <w:rPr>
          <w:rFonts w:cstheme="minorHAnsi"/>
        </w:rPr>
        <w:t xml:space="preserve"> </w:t>
      </w:r>
      <w:r w:rsidR="00467EF1">
        <w:rPr>
          <w:rFonts w:cstheme="minorHAnsi"/>
        </w:rPr>
        <w:t>Countering</w:t>
      </w:r>
      <w:r w:rsidR="00F96095" w:rsidRPr="00CA7790">
        <w:rPr>
          <w:rFonts w:cstheme="minorHAnsi"/>
        </w:rPr>
        <w:t xml:space="preserve"> this were the pleasures of life,</w:t>
      </w:r>
      <w:r w:rsidR="00B61D82">
        <w:rPr>
          <w:rFonts w:cstheme="minorHAnsi"/>
        </w:rPr>
        <w:t xml:space="preserve"> the companionship of Sylvie le Bon, the latter’s encouragement to travel and socialise</w:t>
      </w:r>
      <w:r w:rsidR="00D2742D" w:rsidRPr="00CA7790">
        <w:rPr>
          <w:rFonts w:cstheme="minorHAnsi"/>
        </w:rPr>
        <w:t xml:space="preserve">, as well as </w:t>
      </w:r>
      <w:r w:rsidR="00C56D58">
        <w:rPr>
          <w:rFonts w:cstheme="minorHAnsi"/>
        </w:rPr>
        <w:t>Beauvoir’s</w:t>
      </w:r>
      <w:r w:rsidR="00D2742D" w:rsidRPr="00CA7790">
        <w:rPr>
          <w:rFonts w:cstheme="minorHAnsi"/>
        </w:rPr>
        <w:t xml:space="preserve"> satisfaction in her work</w:t>
      </w:r>
      <w:r w:rsidR="009B570E">
        <w:rPr>
          <w:rFonts w:cstheme="minorHAnsi"/>
        </w:rPr>
        <w:t xml:space="preserve"> which finally helped her to reconcile herself with ageing</w:t>
      </w:r>
      <w:r w:rsidR="00D2742D" w:rsidRPr="00CA7790">
        <w:rPr>
          <w:rFonts w:cstheme="minorHAnsi"/>
        </w:rPr>
        <w:t xml:space="preserve">. </w:t>
      </w:r>
      <w:r w:rsidR="00F96095" w:rsidRPr="00CA7790">
        <w:rPr>
          <w:rFonts w:cstheme="minorHAnsi"/>
        </w:rPr>
        <w:t xml:space="preserve"> </w:t>
      </w:r>
    </w:p>
    <w:p w14:paraId="1CFA1302" w14:textId="335FAC5B" w:rsidR="002D2DA3" w:rsidRPr="00CA7790" w:rsidRDefault="002D2DA3" w:rsidP="00FE282E">
      <w:pPr>
        <w:spacing w:line="360" w:lineRule="auto"/>
        <w:ind w:firstLine="284"/>
        <w:rPr>
          <w:rFonts w:cstheme="minorHAnsi"/>
        </w:rPr>
      </w:pPr>
      <w:r w:rsidRPr="00CA7790">
        <w:rPr>
          <w:rFonts w:cstheme="minorHAnsi"/>
        </w:rPr>
        <w:t xml:space="preserve">Kathleen Woodward </w:t>
      </w:r>
      <w:r w:rsidR="00B61D82">
        <w:rPr>
          <w:rFonts w:cstheme="minorHAnsi"/>
        </w:rPr>
        <w:t>concurs</w:t>
      </w:r>
      <w:r w:rsidR="001F5E22">
        <w:rPr>
          <w:rFonts w:cstheme="minorHAnsi"/>
        </w:rPr>
        <w:t xml:space="preserve"> that Beauvoir’s </w:t>
      </w:r>
      <w:r w:rsidR="00183FEF">
        <w:rPr>
          <w:rFonts w:cstheme="minorHAnsi"/>
        </w:rPr>
        <w:t>“</w:t>
      </w:r>
      <w:r w:rsidR="001F5E22">
        <w:rPr>
          <w:rFonts w:cstheme="minorHAnsi"/>
        </w:rPr>
        <w:t>preoccupation with the death drive</w:t>
      </w:r>
      <w:r w:rsidR="00183FEF">
        <w:rPr>
          <w:rFonts w:cstheme="minorHAnsi"/>
        </w:rPr>
        <w:t>”</w:t>
      </w:r>
      <w:r w:rsidR="001F5E22">
        <w:rPr>
          <w:rFonts w:cstheme="minorHAnsi"/>
        </w:rPr>
        <w:t xml:space="preserve"> is based on her dread and fear of losing Sartre and </w:t>
      </w:r>
      <w:r w:rsidRPr="00CA7790">
        <w:rPr>
          <w:rFonts w:cstheme="minorHAnsi"/>
        </w:rPr>
        <w:t xml:space="preserve">develops this </w:t>
      </w:r>
      <w:r w:rsidR="001F5E22">
        <w:rPr>
          <w:rFonts w:cstheme="minorHAnsi"/>
        </w:rPr>
        <w:t xml:space="preserve">explanatory </w:t>
      </w:r>
      <w:r w:rsidRPr="00CA7790">
        <w:rPr>
          <w:rFonts w:cstheme="minorHAnsi"/>
        </w:rPr>
        <w:t>strand</w:t>
      </w:r>
      <w:r w:rsidR="00B61D82">
        <w:rPr>
          <w:rFonts w:cstheme="minorHAnsi"/>
        </w:rPr>
        <w:t xml:space="preserve"> with the help of Freud and Gregory </w:t>
      </w:r>
      <w:proofErr w:type="spellStart"/>
      <w:r w:rsidR="00B61D82">
        <w:rPr>
          <w:rFonts w:cstheme="minorHAnsi"/>
        </w:rPr>
        <w:t>Rochlin</w:t>
      </w:r>
      <w:proofErr w:type="spellEnd"/>
      <w:r w:rsidR="00D202F2">
        <w:rPr>
          <w:rFonts w:cstheme="minorHAnsi"/>
        </w:rPr>
        <w:t>.</w:t>
      </w:r>
      <w:r w:rsidR="00932DD6">
        <w:rPr>
          <w:rStyle w:val="FootnoteReference"/>
          <w:rFonts w:cstheme="minorHAnsi"/>
        </w:rPr>
        <w:footnoteReference w:id="25"/>
      </w:r>
      <w:r w:rsidR="001F5E22">
        <w:rPr>
          <w:rFonts w:cstheme="minorHAnsi"/>
        </w:rPr>
        <w:t xml:space="preserve"> </w:t>
      </w:r>
      <w:r w:rsidR="00B61D82">
        <w:rPr>
          <w:rFonts w:cstheme="minorHAnsi"/>
        </w:rPr>
        <w:t xml:space="preserve">In </w:t>
      </w:r>
      <w:r w:rsidR="00CF4816" w:rsidRPr="00CA7790">
        <w:rPr>
          <w:rFonts w:cstheme="minorHAnsi"/>
        </w:rPr>
        <w:t>Freud</w:t>
      </w:r>
      <w:r w:rsidR="009B570E">
        <w:rPr>
          <w:rFonts w:cstheme="minorHAnsi"/>
        </w:rPr>
        <w:t xml:space="preserve">, </w:t>
      </w:r>
      <w:r w:rsidRPr="00CA7790">
        <w:rPr>
          <w:rFonts w:cstheme="minorHAnsi"/>
        </w:rPr>
        <w:t>whil</w:t>
      </w:r>
      <w:r w:rsidR="00211457">
        <w:rPr>
          <w:rFonts w:cstheme="minorHAnsi"/>
        </w:rPr>
        <w:t>st</w:t>
      </w:r>
      <w:r w:rsidRPr="00CA7790">
        <w:rPr>
          <w:rFonts w:cstheme="minorHAnsi"/>
        </w:rPr>
        <w:t xml:space="preserve"> in mourning we withdraw libido from one object</w:t>
      </w:r>
      <w:r w:rsidR="00B61D82">
        <w:rPr>
          <w:rFonts w:cstheme="minorHAnsi"/>
        </w:rPr>
        <w:t xml:space="preserve"> and inv</w:t>
      </w:r>
      <w:r w:rsidRPr="00CA7790">
        <w:rPr>
          <w:rFonts w:cstheme="minorHAnsi"/>
        </w:rPr>
        <w:t xml:space="preserve">est it in another, </w:t>
      </w:r>
      <w:r w:rsidR="00B61D82">
        <w:rPr>
          <w:rFonts w:cstheme="minorHAnsi"/>
        </w:rPr>
        <w:t xml:space="preserve">which then functions as a substitute for the lost object, </w:t>
      </w:r>
      <w:r w:rsidRPr="00CA7790">
        <w:rPr>
          <w:rFonts w:cstheme="minorHAnsi"/>
        </w:rPr>
        <w:t>in melancholia</w:t>
      </w:r>
      <w:r w:rsidR="00B61D82">
        <w:rPr>
          <w:rFonts w:cstheme="minorHAnsi"/>
        </w:rPr>
        <w:t xml:space="preserve"> no such disinvestment and reinvestment of libido is made</w:t>
      </w:r>
      <w:r w:rsidRPr="00CA7790">
        <w:rPr>
          <w:rFonts w:cstheme="minorHAnsi"/>
        </w:rPr>
        <w:t xml:space="preserve">. </w:t>
      </w:r>
      <w:r w:rsidR="00731DD5">
        <w:rPr>
          <w:rFonts w:cstheme="minorHAnsi"/>
        </w:rPr>
        <w:t>D</w:t>
      </w:r>
      <w:r w:rsidR="00731DD5" w:rsidRPr="00731DD5">
        <w:rPr>
          <w:rFonts w:cstheme="minorHAnsi"/>
        </w:rPr>
        <w:t xml:space="preserve">rawing on earlier writings of </w:t>
      </w:r>
      <w:proofErr w:type="gramStart"/>
      <w:r w:rsidR="00731DD5" w:rsidRPr="00731DD5">
        <w:rPr>
          <w:rFonts w:cstheme="minorHAnsi"/>
        </w:rPr>
        <w:t xml:space="preserve">Freud, </w:t>
      </w:r>
      <w:r w:rsidR="00FA4971">
        <w:rPr>
          <w:rFonts w:cstheme="minorHAnsi"/>
        </w:rPr>
        <w:t xml:space="preserve"> </w:t>
      </w:r>
      <w:r w:rsidR="00306426">
        <w:rPr>
          <w:rFonts w:cstheme="minorHAnsi"/>
        </w:rPr>
        <w:t>Woodward</w:t>
      </w:r>
      <w:proofErr w:type="gramEnd"/>
      <w:r w:rsidR="00306426">
        <w:rPr>
          <w:rFonts w:cstheme="minorHAnsi"/>
        </w:rPr>
        <w:t xml:space="preserve"> stresses that </w:t>
      </w:r>
      <w:r w:rsidR="00731DD5">
        <w:rPr>
          <w:rFonts w:cstheme="minorHAnsi"/>
        </w:rPr>
        <w:t>e</w:t>
      </w:r>
      <w:r w:rsidR="00731DD5" w:rsidRPr="00731DD5">
        <w:rPr>
          <w:rFonts w:cstheme="minorHAnsi"/>
        </w:rPr>
        <w:t xml:space="preserve">ven in mourning </w:t>
      </w:r>
      <w:r w:rsidR="00306426">
        <w:rPr>
          <w:rFonts w:cstheme="minorHAnsi"/>
        </w:rPr>
        <w:t>the loved object is only ever substituted and thus not ever completely replaced</w:t>
      </w:r>
      <w:r w:rsidR="008D46A2">
        <w:rPr>
          <w:rFonts w:cstheme="minorHAnsi"/>
        </w:rPr>
        <w:t>.</w:t>
      </w:r>
      <w:r w:rsidR="008A569D">
        <w:rPr>
          <w:rStyle w:val="FootnoteReference"/>
          <w:rFonts w:cstheme="minorHAnsi"/>
        </w:rPr>
        <w:footnoteReference w:id="26"/>
      </w:r>
      <w:r w:rsidR="00FA4971">
        <w:rPr>
          <w:rFonts w:cstheme="minorHAnsi"/>
        </w:rPr>
        <w:t xml:space="preserve"> She adds: </w:t>
      </w:r>
      <w:r w:rsidR="00C56D58">
        <w:rPr>
          <w:rFonts w:cstheme="minorHAnsi"/>
        </w:rPr>
        <w:t>“</w:t>
      </w:r>
      <w:r w:rsidR="008A569D">
        <w:rPr>
          <w:rFonts w:cstheme="minorHAnsi"/>
        </w:rPr>
        <w:t>T</w:t>
      </w:r>
      <w:r w:rsidR="00FA4971">
        <w:rPr>
          <w:rFonts w:cstheme="minorHAnsi"/>
        </w:rPr>
        <w:t>he work of mourning, then, is to restore what has been lost, to bring us back to our previous condition</w:t>
      </w:r>
      <w:r w:rsidR="00CC2285">
        <w:rPr>
          <w:rFonts w:cstheme="minorHAnsi"/>
        </w:rPr>
        <w:t>.</w:t>
      </w:r>
      <w:r w:rsidR="00C56D58">
        <w:rPr>
          <w:rFonts w:cstheme="minorHAnsi"/>
        </w:rPr>
        <w:t>”</w:t>
      </w:r>
      <w:r w:rsidR="008A569D">
        <w:rPr>
          <w:rStyle w:val="FootnoteReference"/>
          <w:rFonts w:cstheme="minorHAnsi"/>
        </w:rPr>
        <w:footnoteReference w:id="27"/>
      </w:r>
      <w:r w:rsidR="00FA4971">
        <w:rPr>
          <w:rFonts w:cstheme="minorHAnsi"/>
        </w:rPr>
        <w:t xml:space="preserve"> </w:t>
      </w:r>
      <w:proofErr w:type="spellStart"/>
      <w:r w:rsidR="00FA4971">
        <w:rPr>
          <w:rFonts w:cstheme="minorHAnsi"/>
        </w:rPr>
        <w:t>Rochlin’s</w:t>
      </w:r>
      <w:proofErr w:type="spellEnd"/>
      <w:r w:rsidR="00FA4971">
        <w:rPr>
          <w:rFonts w:cstheme="minorHAnsi"/>
        </w:rPr>
        <w:t xml:space="preserve"> contribution is to add a temporal dimension. He notes that this process starts in early infancy and continues to the end of life, where substitutions (for example, for key relationships) are less </w:t>
      </w:r>
      <w:r w:rsidR="00C56D58">
        <w:rPr>
          <w:rFonts w:cstheme="minorHAnsi"/>
        </w:rPr>
        <w:t>possible</w:t>
      </w:r>
      <w:r w:rsidR="00D92B4E">
        <w:rPr>
          <w:rFonts w:cstheme="minorHAnsi"/>
        </w:rPr>
        <w:t xml:space="preserve"> and melancholia</w:t>
      </w:r>
      <w:r w:rsidR="00C56D58">
        <w:rPr>
          <w:rFonts w:cstheme="minorHAnsi"/>
        </w:rPr>
        <w:t>, thus,</w:t>
      </w:r>
      <w:r w:rsidR="00D92B4E">
        <w:rPr>
          <w:rFonts w:cstheme="minorHAnsi"/>
        </w:rPr>
        <w:t xml:space="preserve"> increasingly likely</w:t>
      </w:r>
      <w:r w:rsidR="00D202F2">
        <w:rPr>
          <w:rFonts w:cstheme="minorHAnsi"/>
        </w:rPr>
        <w:t>.</w:t>
      </w:r>
      <w:r w:rsidR="002D3E39">
        <w:rPr>
          <w:rStyle w:val="FootnoteReference"/>
          <w:rFonts w:cstheme="minorHAnsi"/>
        </w:rPr>
        <w:footnoteReference w:id="28"/>
      </w:r>
      <w:r w:rsidR="00D92B4E">
        <w:rPr>
          <w:rFonts w:cstheme="minorHAnsi"/>
        </w:rPr>
        <w:t xml:space="preserve"> He also points out that much mourning is </w:t>
      </w:r>
      <w:proofErr w:type="gramStart"/>
      <w:r w:rsidR="00D92B4E">
        <w:rPr>
          <w:rFonts w:cstheme="minorHAnsi"/>
        </w:rPr>
        <w:t>actually fantastical</w:t>
      </w:r>
      <w:proofErr w:type="gramEnd"/>
      <w:r w:rsidR="00D92B4E">
        <w:rPr>
          <w:rFonts w:cstheme="minorHAnsi"/>
        </w:rPr>
        <w:t xml:space="preserve">, </w:t>
      </w:r>
      <w:r w:rsidR="0027247E">
        <w:rPr>
          <w:rFonts w:cstheme="minorHAnsi"/>
        </w:rPr>
        <w:t>an imaginative</w:t>
      </w:r>
      <w:r w:rsidR="00D92B4E">
        <w:rPr>
          <w:rFonts w:cstheme="minorHAnsi"/>
        </w:rPr>
        <w:t xml:space="preserve"> rehearsal or </w:t>
      </w:r>
      <w:r w:rsidR="00C56D58">
        <w:rPr>
          <w:rFonts w:cstheme="minorHAnsi"/>
        </w:rPr>
        <w:t>“</w:t>
      </w:r>
      <w:r w:rsidR="00D92B4E">
        <w:rPr>
          <w:rFonts w:cstheme="minorHAnsi"/>
        </w:rPr>
        <w:t xml:space="preserve">anticipatory </w:t>
      </w:r>
      <w:r w:rsidR="00D92B4E">
        <w:rPr>
          <w:rFonts w:cstheme="minorHAnsi"/>
        </w:rPr>
        <w:lastRenderedPageBreak/>
        <w:t>grief</w:t>
      </w:r>
      <w:r w:rsidR="00C56D58">
        <w:rPr>
          <w:rFonts w:cstheme="minorHAnsi"/>
        </w:rPr>
        <w:t>”</w:t>
      </w:r>
      <w:r w:rsidR="00D92B4E">
        <w:rPr>
          <w:rFonts w:cstheme="minorHAnsi"/>
        </w:rPr>
        <w:t xml:space="preserve"> for something that may or may not happen in the future. </w:t>
      </w:r>
      <w:proofErr w:type="gramStart"/>
      <w:r w:rsidR="00D92B4E">
        <w:rPr>
          <w:rFonts w:cstheme="minorHAnsi"/>
        </w:rPr>
        <w:t>Yet in itself, it</w:t>
      </w:r>
      <w:proofErr w:type="gramEnd"/>
      <w:r w:rsidR="00D92B4E">
        <w:rPr>
          <w:rFonts w:cstheme="minorHAnsi"/>
        </w:rPr>
        <w:t xml:space="preserve"> shores up psychological defences and is thus an important protective practice against </w:t>
      </w:r>
      <w:r w:rsidR="00183FEF">
        <w:rPr>
          <w:rFonts w:cstheme="minorHAnsi"/>
        </w:rPr>
        <w:t>future</w:t>
      </w:r>
      <w:r w:rsidR="00D92B4E">
        <w:rPr>
          <w:rFonts w:cstheme="minorHAnsi"/>
        </w:rPr>
        <w:t xml:space="preserve"> melancholia or depression.</w:t>
      </w:r>
      <w:r w:rsidR="00306426">
        <w:rPr>
          <w:rFonts w:cstheme="minorHAnsi"/>
        </w:rPr>
        <w:t xml:space="preserve"> </w:t>
      </w:r>
      <w:r w:rsidR="00FA4971">
        <w:rPr>
          <w:rFonts w:cstheme="minorHAnsi"/>
        </w:rPr>
        <w:t>Woodward applies this thesis to Beauvoir’s life suggesting that anticipatory gri</w:t>
      </w:r>
      <w:r w:rsidR="00D92B4E">
        <w:rPr>
          <w:rFonts w:cstheme="minorHAnsi"/>
        </w:rPr>
        <w:t>ef</w:t>
      </w:r>
      <w:r w:rsidR="00C56D58">
        <w:rPr>
          <w:rFonts w:cstheme="minorHAnsi"/>
        </w:rPr>
        <w:t>, specifically for the losses she anticipated in old age,</w:t>
      </w:r>
      <w:r w:rsidR="00D92B4E">
        <w:rPr>
          <w:rFonts w:cstheme="minorHAnsi"/>
        </w:rPr>
        <w:t xml:space="preserve"> is the reason that </w:t>
      </w:r>
      <w:r w:rsidRPr="00CA7790">
        <w:rPr>
          <w:rFonts w:cstheme="minorHAnsi"/>
        </w:rPr>
        <w:t xml:space="preserve">age was less bad than she </w:t>
      </w:r>
      <w:r w:rsidR="00D92B4E">
        <w:rPr>
          <w:rFonts w:cstheme="minorHAnsi"/>
        </w:rPr>
        <w:t>feared and expected</w:t>
      </w:r>
      <w:r w:rsidR="0065490D">
        <w:rPr>
          <w:rFonts w:cstheme="minorHAnsi"/>
        </w:rPr>
        <w:t>, not just because of what she found there but because she</w:t>
      </w:r>
      <w:r w:rsidR="00D92B4E">
        <w:rPr>
          <w:rFonts w:cstheme="minorHAnsi"/>
        </w:rPr>
        <w:t xml:space="preserve"> had spent many years</w:t>
      </w:r>
      <w:r w:rsidR="0065490D">
        <w:rPr>
          <w:rFonts w:cstheme="minorHAnsi"/>
        </w:rPr>
        <w:t xml:space="preserve"> accommodat</w:t>
      </w:r>
      <w:r w:rsidR="00D92B4E">
        <w:rPr>
          <w:rFonts w:cstheme="minorHAnsi"/>
        </w:rPr>
        <w:t>ing to</w:t>
      </w:r>
      <w:r w:rsidR="00183FEF">
        <w:rPr>
          <w:rFonts w:cstheme="minorHAnsi"/>
        </w:rPr>
        <w:t xml:space="preserve"> the</w:t>
      </w:r>
      <w:r w:rsidR="00D92B4E">
        <w:rPr>
          <w:rFonts w:cstheme="minorHAnsi"/>
        </w:rPr>
        <w:t xml:space="preserve"> losses, imaginary and real, of </w:t>
      </w:r>
      <w:r w:rsidR="0065490D">
        <w:rPr>
          <w:rFonts w:cstheme="minorHAnsi"/>
        </w:rPr>
        <w:t>old age</w:t>
      </w:r>
      <w:r w:rsidR="00D92B4E">
        <w:rPr>
          <w:rFonts w:cstheme="minorHAnsi"/>
        </w:rPr>
        <w:t>.</w:t>
      </w:r>
      <w:r w:rsidRPr="00CA7790">
        <w:rPr>
          <w:rFonts w:cstheme="minorHAnsi"/>
        </w:rPr>
        <w:t xml:space="preserve"> </w:t>
      </w:r>
    </w:p>
    <w:p w14:paraId="0BF04E57" w14:textId="12F41041" w:rsidR="002D2DA3" w:rsidRDefault="0065490D" w:rsidP="00A468AF">
      <w:pPr>
        <w:spacing w:line="360" w:lineRule="auto"/>
        <w:ind w:firstLine="284"/>
        <w:rPr>
          <w:rFonts w:cstheme="minorHAnsi"/>
        </w:rPr>
      </w:pPr>
      <w:r>
        <w:rPr>
          <w:rFonts w:cstheme="minorHAnsi"/>
        </w:rPr>
        <w:t xml:space="preserve">Fascinating and illuminating </w:t>
      </w:r>
      <w:r w:rsidR="00CF4816" w:rsidRPr="00CA7790">
        <w:rPr>
          <w:rFonts w:cstheme="minorHAnsi"/>
        </w:rPr>
        <w:t xml:space="preserve">though these explanations are, they do not factor in the gendered dimension </w:t>
      </w:r>
      <w:r w:rsidR="00A468AF" w:rsidRPr="00CA7790">
        <w:rPr>
          <w:rFonts w:cstheme="minorHAnsi"/>
        </w:rPr>
        <w:t>which</w:t>
      </w:r>
      <w:r w:rsidR="00C56D58">
        <w:rPr>
          <w:rFonts w:cstheme="minorHAnsi"/>
        </w:rPr>
        <w:t>,</w:t>
      </w:r>
      <w:r w:rsidR="00A468AF" w:rsidRPr="00CA7790">
        <w:rPr>
          <w:rFonts w:cstheme="minorHAnsi"/>
        </w:rPr>
        <w:t xml:space="preserve"> </w:t>
      </w:r>
      <w:r w:rsidR="00342BC3">
        <w:rPr>
          <w:rFonts w:cstheme="minorHAnsi"/>
        </w:rPr>
        <w:t>as noted</w:t>
      </w:r>
      <w:r w:rsidR="00C56D58">
        <w:rPr>
          <w:rFonts w:cstheme="minorHAnsi"/>
        </w:rPr>
        <w:t>,</w:t>
      </w:r>
      <w:r w:rsidR="00342BC3">
        <w:rPr>
          <w:rFonts w:cstheme="minorHAnsi"/>
        </w:rPr>
        <w:t xml:space="preserve"> was </w:t>
      </w:r>
      <w:r>
        <w:rPr>
          <w:rFonts w:cstheme="minorHAnsi"/>
        </w:rPr>
        <w:t>undoubtedly present in Beauvoir</w:t>
      </w:r>
      <w:r w:rsidR="00C56D58">
        <w:rPr>
          <w:rFonts w:cstheme="minorHAnsi"/>
        </w:rPr>
        <w:t>’s dread of age</w:t>
      </w:r>
      <w:r w:rsidR="00D92B4E">
        <w:rPr>
          <w:rFonts w:cstheme="minorHAnsi"/>
        </w:rPr>
        <w:t>, nor do they specifically consider her identity as a daughter</w:t>
      </w:r>
      <w:r>
        <w:rPr>
          <w:rFonts w:cstheme="minorHAnsi"/>
        </w:rPr>
        <w:t>. To develop this aspect</w:t>
      </w:r>
      <w:r w:rsidR="00C25CF1">
        <w:rPr>
          <w:rFonts w:cstheme="minorHAnsi"/>
        </w:rPr>
        <w:t>,</w:t>
      </w:r>
      <w:r>
        <w:rPr>
          <w:rFonts w:cstheme="minorHAnsi"/>
        </w:rPr>
        <w:t xml:space="preserve"> I will first turn to </w:t>
      </w:r>
      <w:r w:rsidR="002D2DA3" w:rsidRPr="00CA7790">
        <w:rPr>
          <w:rFonts w:cstheme="minorHAnsi"/>
        </w:rPr>
        <w:t xml:space="preserve">Beauvoir’s idea of the </w:t>
      </w:r>
      <w:r w:rsidR="00183FEF">
        <w:rPr>
          <w:rFonts w:cstheme="minorHAnsi"/>
        </w:rPr>
        <w:t>“</w:t>
      </w:r>
      <w:r w:rsidR="002D2DA3" w:rsidRPr="00CA7790">
        <w:rPr>
          <w:rFonts w:cstheme="minorHAnsi"/>
        </w:rPr>
        <w:t>feminine</w:t>
      </w:r>
      <w:r w:rsidR="00183FEF">
        <w:rPr>
          <w:rFonts w:cstheme="minorHAnsi"/>
        </w:rPr>
        <w:t>”</w:t>
      </w:r>
      <w:r w:rsidR="002D2DA3" w:rsidRPr="00CA7790">
        <w:rPr>
          <w:rFonts w:cstheme="minorHAnsi"/>
        </w:rPr>
        <w:t xml:space="preserve"> in </w:t>
      </w:r>
      <w:r w:rsidR="00342BC3" w:rsidRPr="00342BC3">
        <w:rPr>
          <w:rFonts w:cstheme="minorHAnsi"/>
          <w:i/>
          <w:iCs/>
        </w:rPr>
        <w:t>T</w:t>
      </w:r>
      <w:r w:rsidR="002D2DA3" w:rsidRPr="00342BC3">
        <w:rPr>
          <w:rFonts w:cstheme="minorHAnsi"/>
          <w:i/>
          <w:iCs/>
        </w:rPr>
        <w:t>he Second Sex</w:t>
      </w:r>
      <w:r w:rsidR="002D2DA3" w:rsidRPr="00CA7790">
        <w:rPr>
          <w:rFonts w:cstheme="minorHAnsi"/>
        </w:rPr>
        <w:t xml:space="preserve"> and then draw </w:t>
      </w:r>
      <w:r w:rsidR="00A468AF" w:rsidRPr="00CA7790">
        <w:rPr>
          <w:rFonts w:cstheme="minorHAnsi"/>
        </w:rPr>
        <w:t>out its connection to ageing and death</w:t>
      </w:r>
      <w:r w:rsidR="002D2DA3" w:rsidRPr="00CA7790">
        <w:rPr>
          <w:rFonts w:cstheme="minorHAnsi"/>
        </w:rPr>
        <w:t xml:space="preserve">. </w:t>
      </w:r>
    </w:p>
    <w:p w14:paraId="3820546C" w14:textId="77777777" w:rsidR="005C20A8" w:rsidRPr="00CA7790" w:rsidRDefault="005C20A8" w:rsidP="00A468AF">
      <w:pPr>
        <w:spacing w:line="360" w:lineRule="auto"/>
        <w:ind w:firstLine="284"/>
        <w:rPr>
          <w:rFonts w:cstheme="minorHAnsi"/>
        </w:rPr>
      </w:pPr>
    </w:p>
    <w:p w14:paraId="7AA240A1" w14:textId="72F01BD9" w:rsidR="00505FD3" w:rsidRPr="00CA7790" w:rsidRDefault="00C56D58" w:rsidP="002F7BB9">
      <w:pPr>
        <w:spacing w:line="360" w:lineRule="auto"/>
        <w:rPr>
          <w:rFonts w:cstheme="minorHAnsi"/>
          <w:b/>
          <w:bCs/>
        </w:rPr>
      </w:pPr>
      <w:r>
        <w:rPr>
          <w:rFonts w:cstheme="minorHAnsi"/>
          <w:b/>
          <w:bCs/>
        </w:rPr>
        <w:t xml:space="preserve">4 </w:t>
      </w:r>
      <w:r w:rsidR="00505FD3" w:rsidRPr="00CA7790">
        <w:rPr>
          <w:rFonts w:cstheme="minorHAnsi"/>
          <w:b/>
          <w:bCs/>
        </w:rPr>
        <w:t xml:space="preserve">Femininity, </w:t>
      </w:r>
      <w:proofErr w:type="gramStart"/>
      <w:r w:rsidR="0065490D">
        <w:rPr>
          <w:rFonts w:cstheme="minorHAnsi"/>
          <w:b/>
          <w:bCs/>
        </w:rPr>
        <w:t>alterity</w:t>
      </w:r>
      <w:proofErr w:type="gramEnd"/>
      <w:r w:rsidR="00505FD3" w:rsidRPr="00CA7790">
        <w:rPr>
          <w:rFonts w:cstheme="minorHAnsi"/>
          <w:b/>
          <w:bCs/>
        </w:rPr>
        <w:t xml:space="preserve"> and ageing</w:t>
      </w:r>
    </w:p>
    <w:p w14:paraId="3415C906" w14:textId="7E04A1A7" w:rsidR="0027247E" w:rsidRDefault="00505FD3" w:rsidP="008E784D">
      <w:pPr>
        <w:spacing w:line="360" w:lineRule="auto"/>
        <w:ind w:firstLine="284"/>
        <w:rPr>
          <w:rFonts w:cstheme="minorHAnsi"/>
        </w:rPr>
      </w:pPr>
      <w:r w:rsidRPr="00CA7790">
        <w:rPr>
          <w:rFonts w:cstheme="minorHAnsi"/>
        </w:rPr>
        <w:t>Beauvoir’s</w:t>
      </w:r>
      <w:r w:rsidR="00D92B4E">
        <w:rPr>
          <w:rFonts w:cstheme="minorHAnsi"/>
        </w:rPr>
        <w:t xml:space="preserve"> memoirs and fiction </w:t>
      </w:r>
      <w:r w:rsidRPr="00CA7790">
        <w:rPr>
          <w:rFonts w:cstheme="minorHAnsi"/>
        </w:rPr>
        <w:t xml:space="preserve">suggest that while her feminine sexuality was very important to her </w:t>
      </w:r>
      <w:proofErr w:type="gramStart"/>
      <w:r w:rsidRPr="00CA7790">
        <w:rPr>
          <w:rFonts w:cstheme="minorHAnsi"/>
        </w:rPr>
        <w:t>identity</w:t>
      </w:r>
      <w:proofErr w:type="gramEnd"/>
      <w:r w:rsidRPr="00CA7790">
        <w:rPr>
          <w:rFonts w:cstheme="minorHAnsi"/>
        </w:rPr>
        <w:t xml:space="preserve"> she always also needed to transcend it in certain ways</w:t>
      </w:r>
      <w:r w:rsidR="00FB3F5F" w:rsidRPr="00CA7790">
        <w:rPr>
          <w:rFonts w:cstheme="minorHAnsi"/>
        </w:rPr>
        <w:t xml:space="preserve">, emphasising </w:t>
      </w:r>
      <w:r w:rsidRPr="00CA7790">
        <w:rPr>
          <w:rFonts w:cstheme="minorHAnsi"/>
        </w:rPr>
        <w:t xml:space="preserve">agency, </w:t>
      </w:r>
      <w:r w:rsidR="0086279F">
        <w:rPr>
          <w:rFonts w:cstheme="minorHAnsi"/>
        </w:rPr>
        <w:t xml:space="preserve">the attainment of </w:t>
      </w:r>
      <w:r w:rsidRPr="00CA7790">
        <w:rPr>
          <w:rFonts w:cstheme="minorHAnsi"/>
        </w:rPr>
        <w:t xml:space="preserve">meaningful projects, </w:t>
      </w:r>
      <w:r w:rsidR="0082071A" w:rsidRPr="00CA7790">
        <w:rPr>
          <w:rFonts w:cstheme="minorHAnsi"/>
        </w:rPr>
        <w:t>being a subject</w:t>
      </w:r>
      <w:r w:rsidR="0086279F">
        <w:rPr>
          <w:rFonts w:cstheme="minorHAnsi"/>
        </w:rPr>
        <w:t xml:space="preserve"> and so on</w:t>
      </w:r>
      <w:r w:rsidRPr="00CA7790">
        <w:rPr>
          <w:rFonts w:cstheme="minorHAnsi"/>
        </w:rPr>
        <w:t>.</w:t>
      </w:r>
      <w:r w:rsidR="00FB3F5F" w:rsidRPr="00CA7790">
        <w:rPr>
          <w:rFonts w:cstheme="minorHAnsi"/>
        </w:rPr>
        <w:t xml:space="preserve"> This </w:t>
      </w:r>
      <w:r w:rsidR="0027247E">
        <w:rPr>
          <w:rFonts w:cstheme="minorHAnsi"/>
        </w:rPr>
        <w:t xml:space="preserve">was a </w:t>
      </w:r>
      <w:r w:rsidR="00FB3F5F" w:rsidRPr="00CA7790">
        <w:rPr>
          <w:rFonts w:cstheme="minorHAnsi"/>
        </w:rPr>
        <w:t xml:space="preserve">struggle because of the constitution of femininity in terms of alterity, the inessential Other and object to man’s subject, associated with immanence. </w:t>
      </w:r>
      <w:r w:rsidR="00342BC3">
        <w:rPr>
          <w:rFonts w:cstheme="minorHAnsi"/>
        </w:rPr>
        <w:t>Before proceeding further,</w:t>
      </w:r>
      <w:r w:rsidR="0086279F">
        <w:rPr>
          <w:rFonts w:cstheme="minorHAnsi"/>
        </w:rPr>
        <w:t xml:space="preserve"> a quick note on these terms is in order. For Beauvoir, transcendence refers to the project of world-building, of action and meaningful projects historically associated with the masculine </w:t>
      </w:r>
      <w:proofErr w:type="gramStart"/>
      <w:r w:rsidR="002D22CC">
        <w:rPr>
          <w:rFonts w:cstheme="minorHAnsi"/>
        </w:rPr>
        <w:t>I</w:t>
      </w:r>
      <w:r w:rsidR="00430485">
        <w:rPr>
          <w:rFonts w:cstheme="minorHAnsi"/>
        </w:rPr>
        <w:t>n</w:t>
      </w:r>
      <w:proofErr w:type="gramEnd"/>
      <w:r w:rsidR="00430485">
        <w:rPr>
          <w:rFonts w:cstheme="minorHAnsi"/>
        </w:rPr>
        <w:t xml:space="preserve"> contrast, i</w:t>
      </w:r>
      <w:r w:rsidR="0086279F">
        <w:rPr>
          <w:rFonts w:cstheme="minorHAnsi"/>
        </w:rPr>
        <w:t>mmanence is passivity</w:t>
      </w:r>
      <w:r w:rsidR="00D92B4E">
        <w:rPr>
          <w:rFonts w:cstheme="minorHAnsi"/>
        </w:rPr>
        <w:t xml:space="preserve"> and waiting</w:t>
      </w:r>
      <w:r w:rsidR="00AB0587">
        <w:rPr>
          <w:rFonts w:cstheme="minorHAnsi"/>
        </w:rPr>
        <w:t xml:space="preserve">, </w:t>
      </w:r>
      <w:r w:rsidR="00183FEF">
        <w:rPr>
          <w:rFonts w:cstheme="minorHAnsi"/>
        </w:rPr>
        <w:t>with relegation to the realm of imman</w:t>
      </w:r>
      <w:r w:rsidR="000369A8">
        <w:rPr>
          <w:rFonts w:cstheme="minorHAnsi"/>
        </w:rPr>
        <w:t>e</w:t>
      </w:r>
      <w:r w:rsidR="00183FEF">
        <w:rPr>
          <w:rFonts w:cstheme="minorHAnsi"/>
        </w:rPr>
        <w:t>nce</w:t>
      </w:r>
      <w:r w:rsidR="00AB0587">
        <w:rPr>
          <w:rFonts w:cstheme="minorHAnsi"/>
        </w:rPr>
        <w:t xml:space="preserve"> key to women’s structured disadvantage. </w:t>
      </w:r>
      <w:r w:rsidR="006D14D0">
        <w:rPr>
          <w:rFonts w:cstheme="minorHAnsi"/>
        </w:rPr>
        <w:t xml:space="preserve">Indeed, an authentic life involves the interplay of both immanence and transcendence in individual lives and recognition of the value of both. Because women were denied it, </w:t>
      </w:r>
      <w:r w:rsidR="00066564">
        <w:rPr>
          <w:rFonts w:cstheme="minorHAnsi"/>
        </w:rPr>
        <w:t xml:space="preserve">at the time she was writing, </w:t>
      </w:r>
      <w:r w:rsidR="00894FC4" w:rsidRPr="00CA7790">
        <w:rPr>
          <w:rFonts w:cstheme="minorHAnsi"/>
        </w:rPr>
        <w:t>Beauvoir e</w:t>
      </w:r>
      <w:r w:rsidR="00216556" w:rsidRPr="00CA7790">
        <w:rPr>
          <w:rFonts w:cstheme="minorHAnsi"/>
        </w:rPr>
        <w:t xml:space="preserve">mphasised the importance </w:t>
      </w:r>
      <w:r w:rsidR="00AB0587">
        <w:rPr>
          <w:rFonts w:cstheme="minorHAnsi"/>
        </w:rPr>
        <w:t xml:space="preserve">for women of aiming for </w:t>
      </w:r>
      <w:r w:rsidR="00216556" w:rsidRPr="00CA7790">
        <w:rPr>
          <w:rFonts w:cstheme="minorHAnsi"/>
        </w:rPr>
        <w:t xml:space="preserve">transcendence and in her own life </w:t>
      </w:r>
      <w:r w:rsidR="00AB0587">
        <w:rPr>
          <w:rFonts w:cstheme="minorHAnsi"/>
        </w:rPr>
        <w:t xml:space="preserve">she </w:t>
      </w:r>
      <w:r w:rsidR="006D14D0">
        <w:rPr>
          <w:rFonts w:cstheme="minorHAnsi"/>
        </w:rPr>
        <w:t>strove always to</w:t>
      </w:r>
      <w:r w:rsidR="00AB0587">
        <w:rPr>
          <w:rFonts w:cstheme="minorHAnsi"/>
        </w:rPr>
        <w:t xml:space="preserve"> be </w:t>
      </w:r>
      <w:r w:rsidR="00216556" w:rsidRPr="00CA7790">
        <w:rPr>
          <w:rFonts w:cstheme="minorHAnsi"/>
        </w:rPr>
        <w:t>independent economically, exercising enormous self-discipline</w:t>
      </w:r>
      <w:r w:rsidR="000A3D00" w:rsidRPr="00CA7790">
        <w:rPr>
          <w:rFonts w:cstheme="minorHAnsi"/>
        </w:rPr>
        <w:t>,</w:t>
      </w:r>
      <w:r w:rsidR="007625B5">
        <w:rPr>
          <w:rFonts w:cstheme="minorHAnsi"/>
        </w:rPr>
        <w:t xml:space="preserve"> </w:t>
      </w:r>
      <w:r w:rsidR="000A3D00" w:rsidRPr="00CA7790">
        <w:rPr>
          <w:rFonts w:cstheme="minorHAnsi"/>
        </w:rPr>
        <w:t xml:space="preserve">avoiding </w:t>
      </w:r>
      <w:r w:rsidR="00D92B4E">
        <w:rPr>
          <w:rFonts w:cstheme="minorHAnsi"/>
        </w:rPr>
        <w:t>motherhood</w:t>
      </w:r>
      <w:r w:rsidR="000A3D00" w:rsidRPr="00CA7790">
        <w:rPr>
          <w:rFonts w:cstheme="minorHAnsi"/>
        </w:rPr>
        <w:t xml:space="preserve"> and domestic work</w:t>
      </w:r>
      <w:r w:rsidR="00342BC3">
        <w:rPr>
          <w:rFonts w:cstheme="minorHAnsi"/>
        </w:rPr>
        <w:t xml:space="preserve"> and all the traditional roles that </w:t>
      </w:r>
      <w:r w:rsidR="00AB0587">
        <w:rPr>
          <w:rFonts w:cstheme="minorHAnsi"/>
        </w:rPr>
        <w:t xml:space="preserve">threatened to </w:t>
      </w:r>
      <w:r w:rsidR="00342BC3">
        <w:rPr>
          <w:rFonts w:cstheme="minorHAnsi"/>
        </w:rPr>
        <w:t xml:space="preserve">crush her as </w:t>
      </w:r>
      <w:r w:rsidR="00AB0587">
        <w:rPr>
          <w:rFonts w:cstheme="minorHAnsi"/>
        </w:rPr>
        <w:t xml:space="preserve">she </w:t>
      </w:r>
      <w:r w:rsidR="00183FEF">
        <w:rPr>
          <w:rFonts w:cstheme="minorHAnsi"/>
        </w:rPr>
        <w:t xml:space="preserve">had once </w:t>
      </w:r>
      <w:r w:rsidR="00AB0587">
        <w:rPr>
          <w:rFonts w:cstheme="minorHAnsi"/>
        </w:rPr>
        <w:t>anticipated her future life as a young woman</w:t>
      </w:r>
      <w:r w:rsidR="000A3D00" w:rsidRPr="00CA7790">
        <w:rPr>
          <w:rFonts w:cstheme="minorHAnsi"/>
        </w:rPr>
        <w:t xml:space="preserve">. </w:t>
      </w:r>
      <w:r w:rsidR="0027247E">
        <w:rPr>
          <w:rFonts w:cstheme="minorHAnsi"/>
        </w:rPr>
        <w:t>While</w:t>
      </w:r>
      <w:r w:rsidR="00FF1BAC" w:rsidRPr="00CA7790">
        <w:rPr>
          <w:rFonts w:cstheme="minorHAnsi"/>
        </w:rPr>
        <w:t xml:space="preserve"> </w:t>
      </w:r>
      <w:r w:rsidR="005C1D6D">
        <w:rPr>
          <w:rFonts w:cstheme="minorHAnsi"/>
        </w:rPr>
        <w:t xml:space="preserve">she felt </w:t>
      </w:r>
      <w:r w:rsidR="00FF1BAC" w:rsidRPr="00CA7790">
        <w:rPr>
          <w:rFonts w:cstheme="minorHAnsi"/>
        </w:rPr>
        <w:t>immanence</w:t>
      </w:r>
      <w:r w:rsidR="005C1D6D">
        <w:rPr>
          <w:rFonts w:cstheme="minorHAnsi"/>
        </w:rPr>
        <w:t xml:space="preserve"> as </w:t>
      </w:r>
      <w:r w:rsidR="00FF1BAC" w:rsidRPr="00CA7790">
        <w:rPr>
          <w:rFonts w:cstheme="minorHAnsi"/>
        </w:rPr>
        <w:t>a constant threat</w:t>
      </w:r>
      <w:r w:rsidR="005C1D6D">
        <w:rPr>
          <w:rFonts w:cstheme="minorHAnsi"/>
        </w:rPr>
        <w:t xml:space="preserve">, </w:t>
      </w:r>
      <w:r w:rsidR="008F243F">
        <w:rPr>
          <w:rFonts w:cstheme="minorHAnsi"/>
        </w:rPr>
        <w:t>ageing and old age contributed to this threat</w:t>
      </w:r>
      <w:r w:rsidR="005C1D6D">
        <w:rPr>
          <w:rFonts w:cstheme="minorHAnsi"/>
        </w:rPr>
        <w:t>. For Beauvoir, as an existentialist philosopher and as a woman, the future was a necessary factor for accomplishing projects.</w:t>
      </w:r>
      <w:r w:rsidR="0080363E">
        <w:rPr>
          <w:rFonts w:cstheme="minorHAnsi"/>
        </w:rPr>
        <w:t xml:space="preserve"> In the Introduction to </w:t>
      </w:r>
      <w:r w:rsidR="00D92B4E" w:rsidRPr="00D92B4E">
        <w:rPr>
          <w:rFonts w:cstheme="minorHAnsi"/>
          <w:i/>
          <w:iCs/>
        </w:rPr>
        <w:t>T</w:t>
      </w:r>
      <w:r w:rsidR="0080363E" w:rsidRPr="00D92B4E">
        <w:rPr>
          <w:rFonts w:cstheme="minorHAnsi"/>
          <w:i/>
          <w:iCs/>
        </w:rPr>
        <w:t xml:space="preserve">he Second </w:t>
      </w:r>
      <w:proofErr w:type="gramStart"/>
      <w:r w:rsidR="0080363E" w:rsidRPr="00D92B4E">
        <w:rPr>
          <w:rFonts w:cstheme="minorHAnsi"/>
          <w:i/>
          <w:iCs/>
        </w:rPr>
        <w:t>Sex</w:t>
      </w:r>
      <w:proofErr w:type="gramEnd"/>
      <w:r w:rsidR="0080363E">
        <w:rPr>
          <w:rFonts w:cstheme="minorHAnsi"/>
        </w:rPr>
        <w:t xml:space="preserve"> she declares: </w:t>
      </w:r>
      <w:r w:rsidR="00AB0587">
        <w:rPr>
          <w:rFonts w:cstheme="minorHAnsi"/>
        </w:rPr>
        <w:t>“</w:t>
      </w:r>
      <w:r w:rsidR="004D0D6A">
        <w:rPr>
          <w:rFonts w:cstheme="minorHAnsi"/>
        </w:rPr>
        <w:t>[</w:t>
      </w:r>
      <w:r w:rsidR="0080363E">
        <w:rPr>
          <w:rFonts w:cstheme="minorHAnsi"/>
        </w:rPr>
        <w:t>T</w:t>
      </w:r>
      <w:r w:rsidR="004D0D6A">
        <w:rPr>
          <w:rFonts w:cstheme="minorHAnsi"/>
        </w:rPr>
        <w:t>]</w:t>
      </w:r>
      <w:r w:rsidR="0080363E">
        <w:rPr>
          <w:rFonts w:cstheme="minorHAnsi"/>
        </w:rPr>
        <w:t>here is no other justification for present existence than its expansion towards an indefinitely open future. Every time transcendence lapses into immanence, there is degradation of existence into ‘in-itself’, of freedom into facticity</w:t>
      </w:r>
      <w:r w:rsidR="002530EE">
        <w:rPr>
          <w:rFonts w:cstheme="minorHAnsi"/>
        </w:rPr>
        <w:t>;</w:t>
      </w:r>
      <w:r w:rsidR="008247E9">
        <w:rPr>
          <w:rFonts w:cstheme="minorHAnsi"/>
        </w:rPr>
        <w:t xml:space="preserve"> [</w:t>
      </w:r>
      <w:r w:rsidR="0080363E">
        <w:rPr>
          <w:rFonts w:cstheme="minorHAnsi"/>
        </w:rPr>
        <w:t>…</w:t>
      </w:r>
      <w:r w:rsidR="008247E9">
        <w:rPr>
          <w:rFonts w:cstheme="minorHAnsi"/>
        </w:rPr>
        <w:t>]</w:t>
      </w:r>
      <w:r w:rsidR="0080363E">
        <w:rPr>
          <w:rFonts w:cstheme="minorHAnsi"/>
        </w:rPr>
        <w:t xml:space="preserve"> if this fall is inflicted on the </w:t>
      </w:r>
      <w:r w:rsidR="0080363E">
        <w:rPr>
          <w:rFonts w:cstheme="minorHAnsi"/>
        </w:rPr>
        <w:lastRenderedPageBreak/>
        <w:t>subject, it takes the form of frustration and oppression</w:t>
      </w:r>
      <w:r w:rsidR="002530EE">
        <w:rPr>
          <w:rFonts w:cstheme="minorHAnsi"/>
        </w:rPr>
        <w:t xml:space="preserve"> […]</w:t>
      </w:r>
      <w:r w:rsidR="00CC2285">
        <w:rPr>
          <w:rFonts w:cstheme="minorHAnsi"/>
        </w:rPr>
        <w:t>.</w:t>
      </w:r>
      <w:r w:rsidR="00AB0587">
        <w:rPr>
          <w:rFonts w:cstheme="minorHAnsi"/>
        </w:rPr>
        <w:t>”</w:t>
      </w:r>
      <w:r w:rsidR="00AB0587">
        <w:rPr>
          <w:rStyle w:val="FootnoteReference"/>
          <w:rFonts w:cstheme="minorHAnsi"/>
        </w:rPr>
        <w:footnoteReference w:id="29"/>
      </w:r>
      <w:r w:rsidR="0080363E">
        <w:rPr>
          <w:rFonts w:cstheme="minorHAnsi"/>
        </w:rPr>
        <w:t xml:space="preserve"> She also makes it clear that this is a risk most of all for women: </w:t>
      </w:r>
      <w:r w:rsidR="00AB0587">
        <w:rPr>
          <w:rFonts w:cstheme="minorHAnsi"/>
        </w:rPr>
        <w:t>“</w:t>
      </w:r>
      <w:r w:rsidR="009625C2">
        <w:rPr>
          <w:rFonts w:cstheme="minorHAnsi"/>
        </w:rPr>
        <w:t>But w</w:t>
      </w:r>
      <w:r w:rsidR="0080363E">
        <w:rPr>
          <w:rFonts w:cstheme="minorHAnsi"/>
        </w:rPr>
        <w:t>h</w:t>
      </w:r>
      <w:r w:rsidR="008F243F">
        <w:rPr>
          <w:rFonts w:cstheme="minorHAnsi"/>
        </w:rPr>
        <w:t>at</w:t>
      </w:r>
      <w:r w:rsidR="0080363E">
        <w:rPr>
          <w:rFonts w:cstheme="minorHAnsi"/>
        </w:rPr>
        <w:t xml:space="preserve"> singularly defines the situation of women is that being, like all humans,</w:t>
      </w:r>
      <w:r w:rsidR="006A5644">
        <w:rPr>
          <w:rFonts w:cstheme="minorHAnsi"/>
        </w:rPr>
        <w:t xml:space="preserve"> an</w:t>
      </w:r>
      <w:r w:rsidR="0080363E">
        <w:rPr>
          <w:rFonts w:cstheme="minorHAnsi"/>
        </w:rPr>
        <w:t xml:space="preserve"> autonomous freedom, she discovers and chooses herself in a world where men force her to assume herself as </w:t>
      </w:r>
      <w:r w:rsidR="006A5644">
        <w:rPr>
          <w:rFonts w:cstheme="minorHAnsi"/>
        </w:rPr>
        <w:t>O</w:t>
      </w:r>
      <w:r w:rsidR="0080363E">
        <w:rPr>
          <w:rFonts w:cstheme="minorHAnsi"/>
        </w:rPr>
        <w:t>ther: an attempt is made to freeze her as an object an</w:t>
      </w:r>
      <w:r w:rsidR="00DF09D7">
        <w:rPr>
          <w:rFonts w:cstheme="minorHAnsi"/>
        </w:rPr>
        <w:t>d</w:t>
      </w:r>
      <w:r w:rsidR="0080363E">
        <w:rPr>
          <w:rFonts w:cstheme="minorHAnsi"/>
        </w:rPr>
        <w:t xml:space="preserve"> doom her to immanence</w:t>
      </w:r>
      <w:r w:rsidR="009014EF">
        <w:rPr>
          <w:rFonts w:cstheme="minorHAnsi"/>
        </w:rPr>
        <w:t xml:space="preserve"> […]</w:t>
      </w:r>
      <w:r w:rsidR="00AB0587">
        <w:rPr>
          <w:rFonts w:cstheme="minorHAnsi"/>
        </w:rPr>
        <w:t>”</w:t>
      </w:r>
      <w:r w:rsidR="00AB0587">
        <w:rPr>
          <w:rStyle w:val="FootnoteReference"/>
          <w:rFonts w:cstheme="minorHAnsi"/>
        </w:rPr>
        <w:footnoteReference w:id="30"/>
      </w:r>
      <w:r w:rsidR="00BB1052">
        <w:rPr>
          <w:rFonts w:cstheme="minorHAnsi"/>
        </w:rPr>
        <w:t xml:space="preserve"> </w:t>
      </w:r>
    </w:p>
    <w:p w14:paraId="01586DFA" w14:textId="290AB223" w:rsidR="00D54E2F" w:rsidRPr="00CA7790" w:rsidRDefault="0027247E" w:rsidP="008E784D">
      <w:pPr>
        <w:spacing w:line="360" w:lineRule="auto"/>
        <w:ind w:firstLine="284"/>
        <w:rPr>
          <w:rFonts w:cstheme="minorHAnsi"/>
        </w:rPr>
      </w:pPr>
      <w:r>
        <w:rPr>
          <w:rFonts w:cstheme="minorHAnsi"/>
        </w:rPr>
        <w:t>Thus, y</w:t>
      </w:r>
      <w:r w:rsidR="00DF09D7">
        <w:rPr>
          <w:rFonts w:cstheme="minorHAnsi"/>
        </w:rPr>
        <w:t xml:space="preserve">outh, </w:t>
      </w:r>
      <w:r w:rsidR="00B8777E">
        <w:rPr>
          <w:rFonts w:cstheme="minorHAnsi"/>
        </w:rPr>
        <w:t xml:space="preserve">both in </w:t>
      </w:r>
      <w:r w:rsidR="00DF09D7">
        <w:rPr>
          <w:rFonts w:cstheme="minorHAnsi"/>
        </w:rPr>
        <w:t>the sense of time ahead</w:t>
      </w:r>
      <w:r w:rsidR="00B8777E">
        <w:rPr>
          <w:rFonts w:cstheme="minorHAnsi"/>
        </w:rPr>
        <w:t xml:space="preserve"> for projects to unfold</w:t>
      </w:r>
      <w:r w:rsidR="00DF09D7">
        <w:rPr>
          <w:rFonts w:cstheme="minorHAnsi"/>
        </w:rPr>
        <w:t xml:space="preserve">, </w:t>
      </w:r>
      <w:r w:rsidR="00B8777E">
        <w:rPr>
          <w:rFonts w:cstheme="minorHAnsi"/>
        </w:rPr>
        <w:t xml:space="preserve">as well as one in which her feminine capital remained vibrant, features as </w:t>
      </w:r>
      <w:r>
        <w:rPr>
          <w:rFonts w:cstheme="minorHAnsi"/>
        </w:rPr>
        <w:t xml:space="preserve">a </w:t>
      </w:r>
      <w:r w:rsidR="00DF09D7">
        <w:rPr>
          <w:rFonts w:cstheme="minorHAnsi"/>
        </w:rPr>
        <w:t xml:space="preserve">particularly important </w:t>
      </w:r>
      <w:r>
        <w:rPr>
          <w:rFonts w:cstheme="minorHAnsi"/>
        </w:rPr>
        <w:t xml:space="preserve">theme </w:t>
      </w:r>
      <w:r w:rsidR="009062E0">
        <w:rPr>
          <w:rFonts w:cstheme="minorHAnsi"/>
        </w:rPr>
        <w:t xml:space="preserve">in </w:t>
      </w:r>
      <w:r w:rsidR="00B8777E">
        <w:rPr>
          <w:rFonts w:cstheme="minorHAnsi"/>
        </w:rPr>
        <w:t>Beauvoir’s writing</w:t>
      </w:r>
      <w:r w:rsidR="00DF09D7">
        <w:rPr>
          <w:rFonts w:cstheme="minorHAnsi"/>
        </w:rPr>
        <w:t>.</w:t>
      </w:r>
      <w:r w:rsidR="009062E0">
        <w:rPr>
          <w:rFonts w:cstheme="minorHAnsi"/>
        </w:rPr>
        <w:t xml:space="preserve"> </w:t>
      </w:r>
      <w:r w:rsidR="00DF09D7">
        <w:rPr>
          <w:rFonts w:cstheme="minorHAnsi"/>
        </w:rPr>
        <w:t>This</w:t>
      </w:r>
      <w:r w:rsidR="00B8777E">
        <w:rPr>
          <w:rFonts w:cstheme="minorHAnsi"/>
        </w:rPr>
        <w:t xml:space="preserve"> sentiment</w:t>
      </w:r>
      <w:r w:rsidR="00CE1504" w:rsidRPr="00CA7790">
        <w:rPr>
          <w:rFonts w:cstheme="minorHAnsi"/>
        </w:rPr>
        <w:t xml:space="preserve"> underpins</w:t>
      </w:r>
      <w:r w:rsidR="005A609D" w:rsidRPr="00CA7790">
        <w:rPr>
          <w:rFonts w:cstheme="minorHAnsi"/>
        </w:rPr>
        <w:t xml:space="preserve"> Beauvoir’s disgust at the </w:t>
      </w:r>
      <w:r w:rsidR="00D202F2">
        <w:rPr>
          <w:rFonts w:cstheme="minorHAnsi"/>
        </w:rPr>
        <w:t>“</w:t>
      </w:r>
      <w:r w:rsidR="005A609D" w:rsidRPr="00CA7790">
        <w:rPr>
          <w:rFonts w:cstheme="minorHAnsi"/>
        </w:rPr>
        <w:t>ruined flesh</w:t>
      </w:r>
      <w:r w:rsidR="00D202F2">
        <w:rPr>
          <w:rFonts w:cstheme="minorHAnsi"/>
        </w:rPr>
        <w:t>”</w:t>
      </w:r>
      <w:r w:rsidR="005A609D" w:rsidRPr="00CA7790">
        <w:rPr>
          <w:rFonts w:cstheme="minorHAnsi"/>
        </w:rPr>
        <w:t xml:space="preserve"> of women from mid-life onwards as she vividly depicts in </w:t>
      </w:r>
      <w:r w:rsidR="005A609D" w:rsidRPr="00CA7790">
        <w:rPr>
          <w:rFonts w:cstheme="minorHAnsi"/>
          <w:i/>
          <w:iCs/>
        </w:rPr>
        <w:t>The Mandarins</w:t>
      </w:r>
      <w:r w:rsidR="005A609D" w:rsidRPr="00CA7790">
        <w:rPr>
          <w:rFonts w:cstheme="minorHAnsi"/>
        </w:rPr>
        <w:t xml:space="preserve">: </w:t>
      </w:r>
      <w:r w:rsidR="00D202F2">
        <w:rPr>
          <w:rFonts w:cstheme="minorHAnsi"/>
        </w:rPr>
        <w:t>“</w:t>
      </w:r>
      <w:r w:rsidR="001F627D" w:rsidRPr="00CA7790">
        <w:rPr>
          <w:rFonts w:cstheme="minorHAnsi"/>
        </w:rPr>
        <w:t>The faces of these women of my own age, the flabby skin, those blurred features, those drooping mouths, those bodies so obviously bulging under their corsets</w:t>
      </w:r>
      <w:r w:rsidR="0006622B">
        <w:rPr>
          <w:rFonts w:cstheme="minorHAnsi"/>
        </w:rPr>
        <w:t xml:space="preserve"> [</w:t>
      </w:r>
      <w:r w:rsidR="001F627D" w:rsidRPr="00CA7790">
        <w:rPr>
          <w:rFonts w:cstheme="minorHAnsi"/>
        </w:rPr>
        <w:t>…</w:t>
      </w:r>
      <w:r w:rsidR="0006622B">
        <w:rPr>
          <w:rFonts w:cstheme="minorHAnsi"/>
        </w:rPr>
        <w:t>]</w:t>
      </w:r>
      <w:r w:rsidR="002050DC">
        <w:rPr>
          <w:rFonts w:cstheme="minorHAnsi"/>
        </w:rPr>
        <w:t>.</w:t>
      </w:r>
      <w:r w:rsidR="00D202F2">
        <w:rPr>
          <w:rFonts w:cstheme="minorHAnsi"/>
        </w:rPr>
        <w:t>”</w:t>
      </w:r>
      <w:r w:rsidR="00D25C3B">
        <w:rPr>
          <w:rStyle w:val="FootnoteReference"/>
          <w:rFonts w:cstheme="minorHAnsi"/>
        </w:rPr>
        <w:footnoteReference w:id="31"/>
      </w:r>
      <w:r w:rsidR="00C36B34" w:rsidRPr="00CA7790">
        <w:rPr>
          <w:rFonts w:cstheme="minorHAnsi"/>
        </w:rPr>
        <w:t xml:space="preserve"> </w:t>
      </w:r>
      <w:r w:rsidR="00DF09D7">
        <w:rPr>
          <w:rFonts w:cstheme="minorHAnsi"/>
        </w:rPr>
        <w:t xml:space="preserve">These images jar: as a reader it always struck me as a grotesque exaggeration to depict </w:t>
      </w:r>
      <w:r w:rsidR="00B8777E">
        <w:rPr>
          <w:rFonts w:cstheme="minorHAnsi"/>
        </w:rPr>
        <w:t>forty-</w:t>
      </w:r>
      <w:proofErr w:type="spellStart"/>
      <w:r w:rsidR="00DF09D7">
        <w:rPr>
          <w:rFonts w:cstheme="minorHAnsi"/>
        </w:rPr>
        <w:t>yearold</w:t>
      </w:r>
      <w:proofErr w:type="spellEnd"/>
      <w:r w:rsidR="00DF09D7">
        <w:rPr>
          <w:rFonts w:cstheme="minorHAnsi"/>
        </w:rPr>
        <w:t xml:space="preserve"> women as ageing in this way</w:t>
      </w:r>
      <w:r w:rsidR="00213C80">
        <w:rPr>
          <w:rFonts w:cstheme="minorHAnsi"/>
        </w:rPr>
        <w:t xml:space="preserve">, just as it did to </w:t>
      </w:r>
      <w:r w:rsidR="002050DC">
        <w:rPr>
          <w:rFonts w:cstheme="minorHAnsi"/>
        </w:rPr>
        <w:t>read</w:t>
      </w:r>
      <w:r w:rsidR="00213C80">
        <w:rPr>
          <w:rFonts w:cstheme="minorHAnsi"/>
        </w:rPr>
        <w:t xml:space="preserve"> Beauvoir writing</w:t>
      </w:r>
      <w:r w:rsidR="00213C80" w:rsidRPr="00B8777E">
        <w:rPr>
          <w:rFonts w:cstheme="minorHAnsi"/>
          <w:i/>
          <w:iCs/>
        </w:rPr>
        <w:t>:</w:t>
      </w:r>
      <w:r w:rsidR="00213C80">
        <w:rPr>
          <w:rFonts w:cstheme="minorHAnsi"/>
        </w:rPr>
        <w:t xml:space="preserve"> </w:t>
      </w:r>
      <w:r w:rsidR="00D25C3B">
        <w:rPr>
          <w:rFonts w:cstheme="minorHAnsi"/>
        </w:rPr>
        <w:t>“</w:t>
      </w:r>
      <w:r w:rsidR="00213C80">
        <w:rPr>
          <w:rFonts w:cstheme="minorHAnsi"/>
        </w:rPr>
        <w:t>When I look, I see my face as it was, attacked by the pox of time for which there is no cure</w:t>
      </w:r>
      <w:r w:rsidR="00071A1F">
        <w:rPr>
          <w:rFonts w:cstheme="minorHAnsi"/>
        </w:rPr>
        <w:t>.</w:t>
      </w:r>
      <w:r w:rsidR="00D25C3B">
        <w:rPr>
          <w:rFonts w:cstheme="minorHAnsi"/>
        </w:rPr>
        <w:t>”</w:t>
      </w:r>
      <w:r w:rsidR="00D25C3B">
        <w:rPr>
          <w:rStyle w:val="FootnoteReference"/>
          <w:rFonts w:cstheme="minorHAnsi"/>
        </w:rPr>
        <w:footnoteReference w:id="32"/>
      </w:r>
      <w:r w:rsidR="00DF09D7">
        <w:rPr>
          <w:rFonts w:cstheme="minorHAnsi"/>
        </w:rPr>
        <w:t xml:space="preserve"> Bair notes that her description of her own </w:t>
      </w:r>
      <w:r w:rsidR="00D25C3B">
        <w:rPr>
          <w:rFonts w:cstheme="minorHAnsi"/>
        </w:rPr>
        <w:t>“</w:t>
      </w:r>
      <w:r w:rsidR="00DF09D7">
        <w:rPr>
          <w:rFonts w:cstheme="minorHAnsi"/>
        </w:rPr>
        <w:t>loathsome</w:t>
      </w:r>
      <w:r w:rsidR="00D25C3B">
        <w:rPr>
          <w:rFonts w:cstheme="minorHAnsi"/>
        </w:rPr>
        <w:t>”</w:t>
      </w:r>
      <w:r w:rsidR="00DF09D7">
        <w:rPr>
          <w:rFonts w:cstheme="minorHAnsi"/>
        </w:rPr>
        <w:t xml:space="preserve"> appearance is belied by photographs of her at the time. </w:t>
      </w:r>
      <w:r w:rsidR="00D25C3B">
        <w:rPr>
          <w:rFonts w:cstheme="minorHAnsi"/>
        </w:rPr>
        <w:t>“</w:t>
      </w:r>
      <w:r w:rsidR="00453EE8">
        <w:rPr>
          <w:rFonts w:cstheme="minorHAnsi"/>
        </w:rPr>
        <w:t xml:space="preserve">Her skin is </w:t>
      </w:r>
      <w:proofErr w:type="gramStart"/>
      <w:r w:rsidR="00453EE8">
        <w:rPr>
          <w:rFonts w:cstheme="minorHAnsi"/>
        </w:rPr>
        <w:t>taut;</w:t>
      </w:r>
      <w:proofErr w:type="gramEnd"/>
      <w:r w:rsidR="00453EE8">
        <w:rPr>
          <w:rFonts w:cstheme="minorHAnsi"/>
        </w:rPr>
        <w:t xml:space="preserve"> her face unlined, no bags, no wrinkles. Hers is an enviable youthfulness – in everyone’s eyes but her own</w:t>
      </w:r>
      <w:r w:rsidR="003B7851">
        <w:rPr>
          <w:rFonts w:cstheme="minorHAnsi"/>
        </w:rPr>
        <w:t>.</w:t>
      </w:r>
      <w:r w:rsidR="00D25C3B">
        <w:rPr>
          <w:rFonts w:cstheme="minorHAnsi"/>
        </w:rPr>
        <w:t>”</w:t>
      </w:r>
      <w:r w:rsidR="00D25C3B">
        <w:rPr>
          <w:rStyle w:val="FootnoteReference"/>
          <w:rFonts w:cstheme="minorHAnsi"/>
        </w:rPr>
        <w:footnoteReference w:id="33"/>
      </w:r>
      <w:r w:rsidR="00D25C3B">
        <w:rPr>
          <w:rFonts w:cstheme="minorHAnsi"/>
        </w:rPr>
        <w:t xml:space="preserve"> </w:t>
      </w:r>
      <w:r w:rsidR="00560A86">
        <w:rPr>
          <w:rFonts w:cstheme="minorHAnsi"/>
        </w:rPr>
        <w:t xml:space="preserve">But this </w:t>
      </w:r>
      <w:r w:rsidR="000B2167">
        <w:rPr>
          <w:rFonts w:cstheme="minorHAnsi"/>
        </w:rPr>
        <w:t>becomes understandable</w:t>
      </w:r>
      <w:r w:rsidR="00560A86">
        <w:rPr>
          <w:rFonts w:cstheme="minorHAnsi"/>
        </w:rPr>
        <w:t xml:space="preserve"> if one appreciates age’s role in threatening transcendence</w:t>
      </w:r>
      <w:r w:rsidR="000369A8">
        <w:rPr>
          <w:rFonts w:cstheme="minorHAnsi"/>
        </w:rPr>
        <w:t xml:space="preserve"> by trapping one in a stagnant present</w:t>
      </w:r>
      <w:r w:rsidR="000B2167">
        <w:rPr>
          <w:rFonts w:cstheme="minorHAnsi"/>
        </w:rPr>
        <w:t>, a role</w:t>
      </w:r>
      <w:r w:rsidR="00560A86">
        <w:rPr>
          <w:rFonts w:cstheme="minorHAnsi"/>
        </w:rPr>
        <w:t xml:space="preserve"> which ha</w:t>
      </w:r>
      <w:r w:rsidR="000B2167">
        <w:rPr>
          <w:rFonts w:cstheme="minorHAnsi"/>
        </w:rPr>
        <w:t>s</w:t>
      </w:r>
      <w:r w:rsidR="00560A86">
        <w:rPr>
          <w:rFonts w:cstheme="minorHAnsi"/>
        </w:rPr>
        <w:t xml:space="preserve"> phenomenological as well as symbolic dimensions</w:t>
      </w:r>
      <w:r w:rsidR="000B2167">
        <w:rPr>
          <w:rFonts w:cstheme="minorHAnsi"/>
        </w:rPr>
        <w:t>, as</w:t>
      </w:r>
      <w:r w:rsidR="00560A86">
        <w:rPr>
          <w:rFonts w:cstheme="minorHAnsi"/>
        </w:rPr>
        <w:t xml:space="preserve"> captured by </w:t>
      </w:r>
      <w:r w:rsidR="008E784D">
        <w:rPr>
          <w:rFonts w:cstheme="minorHAnsi"/>
        </w:rPr>
        <w:t xml:space="preserve">Joanna </w:t>
      </w:r>
      <w:proofErr w:type="spellStart"/>
      <w:r w:rsidR="008E784D">
        <w:rPr>
          <w:rFonts w:cstheme="minorHAnsi"/>
        </w:rPr>
        <w:t>Fru</w:t>
      </w:r>
      <w:r w:rsidR="000B2167">
        <w:rPr>
          <w:rFonts w:cstheme="minorHAnsi"/>
        </w:rPr>
        <w:t>e</w:t>
      </w:r>
      <w:r w:rsidR="008E784D">
        <w:rPr>
          <w:rFonts w:cstheme="minorHAnsi"/>
        </w:rPr>
        <w:t>h</w:t>
      </w:r>
      <w:proofErr w:type="spellEnd"/>
      <w:r w:rsidR="005A4794">
        <w:rPr>
          <w:rFonts w:cstheme="minorHAnsi"/>
        </w:rPr>
        <w:t xml:space="preserve"> for mid-life</w:t>
      </w:r>
      <w:r w:rsidR="008E784D">
        <w:rPr>
          <w:rFonts w:cstheme="minorHAnsi"/>
        </w:rPr>
        <w:t xml:space="preserve">: </w:t>
      </w:r>
      <w:r w:rsidR="000B2167">
        <w:rPr>
          <w:rFonts w:cstheme="minorHAnsi"/>
        </w:rPr>
        <w:t>“</w:t>
      </w:r>
      <w:r w:rsidR="008E784D">
        <w:rPr>
          <w:rFonts w:cstheme="minorHAnsi"/>
        </w:rPr>
        <w:t xml:space="preserve">Time, hanging heavy, claims the midlife body, enervating it, degenerating it from lassitude to sluggishness so that </w:t>
      </w:r>
      <w:r w:rsidR="00246D8F">
        <w:rPr>
          <w:rFonts w:cstheme="minorHAnsi"/>
        </w:rPr>
        <w:t>it</w:t>
      </w:r>
      <w:r w:rsidR="008E784D">
        <w:rPr>
          <w:rFonts w:cstheme="minorHAnsi"/>
        </w:rPr>
        <w:t xml:space="preserve"> hangs heavy</w:t>
      </w:r>
      <w:r w:rsidR="003B7851">
        <w:rPr>
          <w:rFonts w:cstheme="minorHAnsi"/>
        </w:rPr>
        <w:t>.</w:t>
      </w:r>
      <w:r w:rsidR="000B2167">
        <w:rPr>
          <w:rFonts w:cstheme="minorHAnsi"/>
        </w:rPr>
        <w:t>”</w:t>
      </w:r>
      <w:r w:rsidR="000B2167">
        <w:rPr>
          <w:rStyle w:val="FootnoteReference"/>
          <w:rFonts w:cstheme="minorHAnsi"/>
        </w:rPr>
        <w:footnoteReference w:id="34"/>
      </w:r>
      <w:r w:rsidR="008E784D">
        <w:rPr>
          <w:rFonts w:cstheme="minorHAnsi"/>
        </w:rPr>
        <w:t xml:space="preserve">  </w:t>
      </w:r>
      <w:r w:rsidR="005A4794">
        <w:rPr>
          <w:rFonts w:cstheme="minorHAnsi"/>
        </w:rPr>
        <w:t xml:space="preserve">Susan </w:t>
      </w:r>
      <w:proofErr w:type="spellStart"/>
      <w:r w:rsidR="005A4794">
        <w:rPr>
          <w:rFonts w:cstheme="minorHAnsi"/>
        </w:rPr>
        <w:t>Gubar</w:t>
      </w:r>
      <w:proofErr w:type="spellEnd"/>
      <w:r w:rsidR="005A4794">
        <w:rPr>
          <w:rFonts w:cstheme="minorHAnsi"/>
        </w:rPr>
        <w:t xml:space="preserve"> also captures the particular immanence of old age fraught with illness: “every</w:t>
      </w:r>
      <w:r w:rsidR="00A24847">
        <w:rPr>
          <w:rFonts w:cstheme="minorHAnsi"/>
        </w:rPr>
        <w:t xml:space="preserve"> </w:t>
      </w:r>
      <w:r w:rsidR="005A4794">
        <w:rPr>
          <w:rFonts w:cstheme="minorHAnsi"/>
        </w:rPr>
        <w:t>day is the same – simply getting cleaned, dressed, fed, undressed, bedded takes up all our time and strength.”</w:t>
      </w:r>
      <w:r w:rsidR="005A4794">
        <w:rPr>
          <w:rStyle w:val="FootnoteReference"/>
          <w:rFonts w:cstheme="minorHAnsi"/>
        </w:rPr>
        <w:footnoteReference w:id="35"/>
      </w:r>
    </w:p>
    <w:p w14:paraId="6071D8AB" w14:textId="36F611DA" w:rsidR="00C36B34" w:rsidRPr="00CA7790" w:rsidRDefault="00C36B34" w:rsidP="00C36B34">
      <w:pPr>
        <w:spacing w:line="360" w:lineRule="auto"/>
        <w:ind w:firstLine="284"/>
        <w:rPr>
          <w:rFonts w:cstheme="minorHAnsi"/>
        </w:rPr>
      </w:pPr>
      <w:r w:rsidRPr="00CA7790">
        <w:rPr>
          <w:rFonts w:cstheme="minorHAnsi"/>
        </w:rPr>
        <w:t xml:space="preserve">In </w:t>
      </w:r>
      <w:r w:rsidRPr="00CA7790">
        <w:rPr>
          <w:rFonts w:cstheme="minorHAnsi"/>
          <w:i/>
          <w:iCs/>
        </w:rPr>
        <w:t>The Second Sex</w:t>
      </w:r>
      <w:r w:rsidRPr="00CA7790">
        <w:rPr>
          <w:rFonts w:cstheme="minorHAnsi"/>
        </w:rPr>
        <w:t xml:space="preserve"> </w:t>
      </w:r>
      <w:r w:rsidR="008E784D">
        <w:rPr>
          <w:rFonts w:cstheme="minorHAnsi"/>
        </w:rPr>
        <w:t>Beauvoir</w:t>
      </w:r>
      <w:r w:rsidRPr="00CA7790">
        <w:rPr>
          <w:rFonts w:cstheme="minorHAnsi"/>
        </w:rPr>
        <w:t xml:space="preserve"> notes how the threat of finitude, of ageing and death, is </w:t>
      </w:r>
      <w:r w:rsidR="008E784D">
        <w:rPr>
          <w:rFonts w:cstheme="minorHAnsi"/>
        </w:rPr>
        <w:t>a key element</w:t>
      </w:r>
      <w:r w:rsidR="00560A86">
        <w:rPr>
          <w:rFonts w:cstheme="minorHAnsi"/>
        </w:rPr>
        <w:t>, moreover,</w:t>
      </w:r>
      <w:r w:rsidR="008E784D">
        <w:rPr>
          <w:rFonts w:cstheme="minorHAnsi"/>
        </w:rPr>
        <w:t xml:space="preserve"> of the construction of the </w:t>
      </w:r>
      <w:r w:rsidRPr="00CA7790">
        <w:rPr>
          <w:rFonts w:cstheme="minorHAnsi"/>
        </w:rPr>
        <w:t xml:space="preserve">feminine as Other within a patriarchal society and is part of femininity’s essential alterity. She writes: </w:t>
      </w:r>
      <w:r w:rsidR="00246D8F">
        <w:rPr>
          <w:rFonts w:cstheme="minorHAnsi"/>
        </w:rPr>
        <w:t>“</w:t>
      </w:r>
      <w:r w:rsidRPr="00CA7790">
        <w:rPr>
          <w:rFonts w:cstheme="minorHAnsi"/>
        </w:rPr>
        <w:t>The cult of germination has always been associated with the cult of the dead. Mother Earth engulfs the bones of its children within it. Women</w:t>
      </w:r>
      <w:r w:rsidR="009B1604">
        <w:rPr>
          <w:rFonts w:cstheme="minorHAnsi"/>
        </w:rPr>
        <w:t xml:space="preserve"> [</w:t>
      </w:r>
      <w:r w:rsidRPr="00CA7790">
        <w:rPr>
          <w:rFonts w:cstheme="minorHAnsi"/>
        </w:rPr>
        <w:t>…</w:t>
      </w:r>
      <w:r w:rsidR="009B1604">
        <w:rPr>
          <w:rFonts w:cstheme="minorHAnsi"/>
        </w:rPr>
        <w:t>]</w:t>
      </w:r>
      <w:r w:rsidRPr="00CA7790">
        <w:rPr>
          <w:rFonts w:cstheme="minorHAnsi"/>
        </w:rPr>
        <w:t xml:space="preserve"> weave human destiny; but they also cut the threads</w:t>
      </w:r>
      <w:r w:rsidR="00246D8F">
        <w:rPr>
          <w:rFonts w:cstheme="minorHAnsi"/>
        </w:rPr>
        <w:t>”</w:t>
      </w:r>
      <w:r w:rsidR="00D202F2">
        <w:rPr>
          <w:rFonts w:cstheme="minorHAnsi"/>
        </w:rPr>
        <w:t>.</w:t>
      </w:r>
      <w:r w:rsidR="00246D8F">
        <w:rPr>
          <w:rStyle w:val="FootnoteReference"/>
          <w:rFonts w:cstheme="minorHAnsi"/>
        </w:rPr>
        <w:footnoteReference w:id="36"/>
      </w:r>
      <w:r w:rsidRPr="00CA7790">
        <w:rPr>
          <w:rFonts w:cstheme="minorHAnsi"/>
        </w:rPr>
        <w:t xml:space="preserve"> Again: </w:t>
      </w:r>
      <w:r w:rsidR="00246D8F">
        <w:rPr>
          <w:rFonts w:cstheme="minorHAnsi"/>
        </w:rPr>
        <w:t>“</w:t>
      </w:r>
      <w:r w:rsidRPr="00CA7790">
        <w:rPr>
          <w:rFonts w:cstheme="minorHAnsi"/>
        </w:rPr>
        <w:t xml:space="preserve">Mother </w:t>
      </w:r>
      <w:r w:rsidR="007D238A">
        <w:rPr>
          <w:rFonts w:cstheme="minorHAnsi"/>
        </w:rPr>
        <w:t>E</w:t>
      </w:r>
      <w:r w:rsidRPr="00CA7790">
        <w:rPr>
          <w:rFonts w:cstheme="minorHAnsi"/>
        </w:rPr>
        <w:t xml:space="preserve">arth has a face of </w:t>
      </w:r>
      <w:r w:rsidRPr="00CA7790">
        <w:rPr>
          <w:rFonts w:cstheme="minorHAnsi"/>
        </w:rPr>
        <w:lastRenderedPageBreak/>
        <w:t>darkness</w:t>
      </w:r>
      <w:r w:rsidR="00F8357C">
        <w:rPr>
          <w:rFonts w:cstheme="minorHAnsi"/>
        </w:rPr>
        <w:t xml:space="preserve"> [</w:t>
      </w:r>
      <w:r w:rsidRPr="00CA7790">
        <w:rPr>
          <w:rFonts w:cstheme="minorHAnsi"/>
        </w:rPr>
        <w:t>…</w:t>
      </w:r>
      <w:r w:rsidR="007D238A">
        <w:rPr>
          <w:rFonts w:cstheme="minorHAnsi"/>
        </w:rPr>
        <w:t>].</w:t>
      </w:r>
      <w:r w:rsidRPr="00CA7790">
        <w:rPr>
          <w:rFonts w:cstheme="minorHAnsi"/>
        </w:rPr>
        <w:t xml:space="preserve"> Man is threatened with being engulfed in this night, the reverse of fertility, and it horrifies him</w:t>
      </w:r>
      <w:r w:rsidR="00EE4EC9">
        <w:rPr>
          <w:rFonts w:cstheme="minorHAnsi"/>
        </w:rPr>
        <w:t xml:space="preserve">. </w:t>
      </w:r>
      <w:r w:rsidR="00246D8F">
        <w:rPr>
          <w:rFonts w:cstheme="minorHAnsi"/>
        </w:rPr>
        <w:t>”</w:t>
      </w:r>
      <w:r w:rsidR="00246D8F">
        <w:rPr>
          <w:rStyle w:val="FootnoteReference"/>
          <w:rFonts w:cstheme="minorHAnsi"/>
        </w:rPr>
        <w:footnoteReference w:id="37"/>
      </w:r>
      <w:r w:rsidRPr="00CA7790">
        <w:rPr>
          <w:rFonts w:cstheme="minorHAnsi"/>
        </w:rPr>
        <w:t xml:space="preserve">  </w:t>
      </w:r>
      <w:r w:rsidR="001A5122">
        <w:rPr>
          <w:rFonts w:cstheme="minorHAnsi"/>
        </w:rPr>
        <w:t>Although constructed through the male gaze, t</w:t>
      </w:r>
      <w:r w:rsidR="002030F7">
        <w:rPr>
          <w:rFonts w:cstheme="minorHAnsi"/>
        </w:rPr>
        <w:t xml:space="preserve">his threat is something, </w:t>
      </w:r>
      <w:proofErr w:type="spellStart"/>
      <w:r w:rsidR="002030F7">
        <w:rPr>
          <w:rFonts w:cstheme="minorHAnsi"/>
        </w:rPr>
        <w:t>Frueh’s</w:t>
      </w:r>
      <w:proofErr w:type="spellEnd"/>
      <w:r w:rsidR="002030F7">
        <w:rPr>
          <w:rFonts w:cstheme="minorHAnsi"/>
        </w:rPr>
        <w:t xml:space="preserve"> work suggests, that women</w:t>
      </w:r>
      <w:r w:rsidR="0085010D">
        <w:rPr>
          <w:rFonts w:cstheme="minorHAnsi"/>
        </w:rPr>
        <w:t xml:space="preserve"> </w:t>
      </w:r>
      <w:r w:rsidR="001A5122">
        <w:rPr>
          <w:rFonts w:cstheme="minorHAnsi"/>
        </w:rPr>
        <w:t xml:space="preserve">also </w:t>
      </w:r>
      <w:r w:rsidR="002030F7">
        <w:rPr>
          <w:rFonts w:cstheme="minorHAnsi"/>
        </w:rPr>
        <w:t xml:space="preserve">feel </w:t>
      </w:r>
      <w:r w:rsidR="0027247E">
        <w:rPr>
          <w:rFonts w:cstheme="minorHAnsi"/>
        </w:rPr>
        <w:t>in and through</w:t>
      </w:r>
      <w:r w:rsidR="002030F7">
        <w:rPr>
          <w:rFonts w:cstheme="minorHAnsi"/>
        </w:rPr>
        <w:t xml:space="preserve"> their bodies.</w:t>
      </w:r>
    </w:p>
    <w:p w14:paraId="20154628" w14:textId="1095C823" w:rsidR="00F10A1F" w:rsidRPr="00CA7790" w:rsidRDefault="00B32D75" w:rsidP="00FE282E">
      <w:pPr>
        <w:spacing w:line="360" w:lineRule="auto"/>
        <w:ind w:firstLine="284"/>
        <w:rPr>
          <w:rFonts w:cstheme="minorHAnsi"/>
        </w:rPr>
      </w:pPr>
      <w:r>
        <w:rPr>
          <w:rFonts w:cstheme="minorHAnsi"/>
        </w:rPr>
        <w:t>Th</w:t>
      </w:r>
      <w:r w:rsidR="0049355E">
        <w:rPr>
          <w:rFonts w:cstheme="minorHAnsi"/>
        </w:rPr>
        <w:t xml:space="preserve">e </w:t>
      </w:r>
      <w:r w:rsidR="00C02F35">
        <w:rPr>
          <w:rFonts w:cstheme="minorHAnsi"/>
        </w:rPr>
        <w:t xml:space="preserve">association of femininity with finitude </w:t>
      </w:r>
      <w:r>
        <w:rPr>
          <w:rFonts w:cstheme="minorHAnsi"/>
        </w:rPr>
        <w:t xml:space="preserve">is </w:t>
      </w:r>
      <w:r w:rsidR="000369A8">
        <w:rPr>
          <w:rFonts w:cstheme="minorHAnsi"/>
        </w:rPr>
        <w:t xml:space="preserve">a </w:t>
      </w:r>
      <w:r>
        <w:rPr>
          <w:rFonts w:cstheme="minorHAnsi"/>
        </w:rPr>
        <w:t xml:space="preserve">crucial, though somewhat overlooked, aspect of </w:t>
      </w:r>
      <w:r w:rsidR="0027247E">
        <w:rPr>
          <w:rFonts w:cstheme="minorHAnsi"/>
        </w:rPr>
        <w:t xml:space="preserve">Beauvoir’s </w:t>
      </w:r>
      <w:r>
        <w:rPr>
          <w:rFonts w:cstheme="minorHAnsi"/>
        </w:rPr>
        <w:t xml:space="preserve">gender theory. </w:t>
      </w:r>
      <w:r w:rsidR="00171D41" w:rsidRPr="00CA7790">
        <w:rPr>
          <w:rFonts w:cstheme="minorHAnsi"/>
        </w:rPr>
        <w:t>One way</w:t>
      </w:r>
      <w:r w:rsidR="00F10A1F" w:rsidRPr="00CA7790">
        <w:rPr>
          <w:rFonts w:cstheme="minorHAnsi"/>
        </w:rPr>
        <w:t xml:space="preserve"> of </w:t>
      </w:r>
      <w:r w:rsidR="00C36B34" w:rsidRPr="00CA7790">
        <w:rPr>
          <w:rFonts w:cstheme="minorHAnsi"/>
        </w:rPr>
        <w:t>exploring</w:t>
      </w:r>
      <w:r>
        <w:rPr>
          <w:rFonts w:cstheme="minorHAnsi"/>
        </w:rPr>
        <w:t xml:space="preserve"> </w:t>
      </w:r>
      <w:r w:rsidR="000369A8">
        <w:rPr>
          <w:rFonts w:cstheme="minorHAnsi"/>
        </w:rPr>
        <w:t>this</w:t>
      </w:r>
      <w:r>
        <w:rPr>
          <w:rFonts w:cstheme="minorHAnsi"/>
        </w:rPr>
        <w:t xml:space="preserve"> more deeply</w:t>
      </w:r>
      <w:r w:rsidR="00414BC1">
        <w:rPr>
          <w:rFonts w:cstheme="minorHAnsi"/>
        </w:rPr>
        <w:t>, t</w:t>
      </w:r>
      <w:r>
        <w:rPr>
          <w:rFonts w:cstheme="minorHAnsi"/>
        </w:rPr>
        <w:t>ogether with the</w:t>
      </w:r>
      <w:r w:rsidR="008E784D">
        <w:rPr>
          <w:rFonts w:cstheme="minorHAnsi"/>
        </w:rPr>
        <w:t xml:space="preserve"> consequence</w:t>
      </w:r>
      <w:r>
        <w:rPr>
          <w:rFonts w:cstheme="minorHAnsi"/>
        </w:rPr>
        <w:t>s</w:t>
      </w:r>
      <w:r w:rsidR="008E784D">
        <w:rPr>
          <w:rFonts w:cstheme="minorHAnsi"/>
        </w:rPr>
        <w:t xml:space="preserve"> of this dual pull of temptation and </w:t>
      </w:r>
      <w:proofErr w:type="gramStart"/>
      <w:r w:rsidR="008E784D">
        <w:rPr>
          <w:rFonts w:cstheme="minorHAnsi"/>
        </w:rPr>
        <w:t>aversion</w:t>
      </w:r>
      <w:r w:rsidR="000369A8">
        <w:rPr>
          <w:rFonts w:cstheme="minorHAnsi"/>
        </w:rPr>
        <w:t>,</w:t>
      </w:r>
      <w:r w:rsidR="008E784D">
        <w:rPr>
          <w:rFonts w:cstheme="minorHAnsi"/>
        </w:rPr>
        <w:t xml:space="preserve"> </w:t>
      </w:r>
      <w:r w:rsidR="00414BC1">
        <w:rPr>
          <w:rFonts w:cstheme="minorHAnsi"/>
        </w:rPr>
        <w:t xml:space="preserve"> </w:t>
      </w:r>
      <w:r w:rsidR="008E784D">
        <w:rPr>
          <w:rFonts w:cstheme="minorHAnsi"/>
        </w:rPr>
        <w:t>is</w:t>
      </w:r>
      <w:proofErr w:type="gramEnd"/>
      <w:r w:rsidR="008E784D">
        <w:rPr>
          <w:rFonts w:cstheme="minorHAnsi"/>
        </w:rPr>
        <w:t xml:space="preserve"> to </w:t>
      </w:r>
      <w:r>
        <w:rPr>
          <w:rFonts w:cstheme="minorHAnsi"/>
        </w:rPr>
        <w:t xml:space="preserve">look at it through the conceptual lens of </w:t>
      </w:r>
      <w:r w:rsidR="00F10A1F" w:rsidRPr="00CA7790">
        <w:rPr>
          <w:rFonts w:cstheme="minorHAnsi"/>
        </w:rPr>
        <w:t xml:space="preserve">abjection as </w:t>
      </w:r>
      <w:r w:rsidR="00414BC1">
        <w:rPr>
          <w:rFonts w:cstheme="minorHAnsi"/>
        </w:rPr>
        <w:t>constructed</w:t>
      </w:r>
      <w:r w:rsidR="00F10A1F" w:rsidRPr="00CA7790">
        <w:rPr>
          <w:rFonts w:cstheme="minorHAnsi"/>
        </w:rPr>
        <w:t xml:space="preserve"> by Julia Kristeva</w:t>
      </w:r>
      <w:r w:rsidR="00414BC1">
        <w:rPr>
          <w:rFonts w:cstheme="minorHAnsi"/>
        </w:rPr>
        <w:t xml:space="preserve">. </w:t>
      </w:r>
      <w:r w:rsidR="00BE4D5A">
        <w:rPr>
          <w:rFonts w:cstheme="minorHAnsi"/>
        </w:rPr>
        <w:t xml:space="preserve">Abjection </w:t>
      </w:r>
      <w:r w:rsidR="004C5C1D" w:rsidRPr="00CA7790">
        <w:rPr>
          <w:rFonts w:cstheme="minorHAnsi"/>
        </w:rPr>
        <w:t xml:space="preserve">is concerned with the rejection of the </w:t>
      </w:r>
      <w:r w:rsidR="008E784D">
        <w:rPr>
          <w:rFonts w:cstheme="minorHAnsi"/>
        </w:rPr>
        <w:t>feminine/</w:t>
      </w:r>
      <w:r w:rsidR="004C5C1D" w:rsidRPr="00CA7790">
        <w:rPr>
          <w:rFonts w:cstheme="minorHAnsi"/>
        </w:rPr>
        <w:t xml:space="preserve">maternal body in the process of self-formation. I turn to this next. </w:t>
      </w:r>
    </w:p>
    <w:p w14:paraId="4B906B3F" w14:textId="77777777" w:rsidR="00490E9C" w:rsidRDefault="00490E9C" w:rsidP="002F7BB9">
      <w:pPr>
        <w:spacing w:line="360" w:lineRule="auto"/>
        <w:rPr>
          <w:rFonts w:cstheme="minorHAnsi"/>
          <w:b/>
          <w:bCs/>
        </w:rPr>
      </w:pPr>
    </w:p>
    <w:p w14:paraId="04C97044" w14:textId="1ECD7865" w:rsidR="009E3B44" w:rsidRPr="002030F7" w:rsidRDefault="002030F7" w:rsidP="002F7BB9">
      <w:pPr>
        <w:spacing w:line="360" w:lineRule="auto"/>
        <w:rPr>
          <w:rFonts w:cstheme="minorHAnsi"/>
          <w:b/>
          <w:bCs/>
        </w:rPr>
      </w:pPr>
      <w:r>
        <w:rPr>
          <w:rFonts w:cstheme="minorHAnsi"/>
          <w:b/>
          <w:bCs/>
        </w:rPr>
        <w:t xml:space="preserve">5 </w:t>
      </w:r>
      <w:r w:rsidR="009E3B44" w:rsidRPr="002030F7">
        <w:rPr>
          <w:rFonts w:cstheme="minorHAnsi"/>
          <w:b/>
          <w:bCs/>
        </w:rPr>
        <w:t xml:space="preserve">Abjection and the </w:t>
      </w:r>
      <w:r w:rsidR="00C36B34" w:rsidRPr="002030F7">
        <w:rPr>
          <w:rFonts w:cstheme="minorHAnsi"/>
          <w:b/>
          <w:bCs/>
        </w:rPr>
        <w:t>(</w:t>
      </w:r>
      <w:r w:rsidR="009E3B44" w:rsidRPr="002030F7">
        <w:rPr>
          <w:rFonts w:cstheme="minorHAnsi"/>
          <w:b/>
          <w:bCs/>
        </w:rPr>
        <w:t>ageing</w:t>
      </w:r>
      <w:r w:rsidR="00C36B34" w:rsidRPr="002030F7">
        <w:rPr>
          <w:rFonts w:cstheme="minorHAnsi"/>
          <w:b/>
          <w:bCs/>
        </w:rPr>
        <w:t>)</w:t>
      </w:r>
      <w:r w:rsidR="009E3B44" w:rsidRPr="002030F7">
        <w:rPr>
          <w:rFonts w:cstheme="minorHAnsi"/>
          <w:b/>
          <w:bCs/>
        </w:rPr>
        <w:t xml:space="preserve"> female body</w:t>
      </w:r>
    </w:p>
    <w:p w14:paraId="2C3D962D" w14:textId="414DB0CA" w:rsidR="00E57209" w:rsidRPr="00CA7790" w:rsidRDefault="00687296" w:rsidP="0085010D">
      <w:pPr>
        <w:spacing w:line="360" w:lineRule="auto"/>
        <w:ind w:firstLine="284"/>
        <w:rPr>
          <w:rFonts w:cstheme="minorHAnsi"/>
        </w:rPr>
      </w:pPr>
      <w:r w:rsidRPr="00CA7790">
        <w:rPr>
          <w:rFonts w:cstheme="minorHAnsi"/>
        </w:rPr>
        <w:t>In Lacan’s version of the Oedipal struggle, the infant passes through several stages in the development of selfhood</w:t>
      </w:r>
      <w:r w:rsidR="00D202F2">
        <w:rPr>
          <w:rFonts w:cstheme="minorHAnsi"/>
        </w:rPr>
        <w:t>.</w:t>
      </w:r>
      <w:r w:rsidR="002030F7">
        <w:rPr>
          <w:rStyle w:val="FootnoteReference"/>
          <w:rFonts w:cstheme="minorHAnsi"/>
        </w:rPr>
        <w:footnoteReference w:id="38"/>
      </w:r>
      <w:r w:rsidRPr="00CA7790">
        <w:rPr>
          <w:rFonts w:cstheme="minorHAnsi"/>
        </w:rPr>
        <w:t xml:space="preserve"> The </w:t>
      </w:r>
      <w:r w:rsidR="002030F7">
        <w:rPr>
          <w:rFonts w:cstheme="minorHAnsi"/>
        </w:rPr>
        <w:t>“</w:t>
      </w:r>
      <w:r w:rsidRPr="00CA7790">
        <w:rPr>
          <w:rFonts w:cstheme="minorHAnsi"/>
        </w:rPr>
        <w:t>Imaginary</w:t>
      </w:r>
      <w:r w:rsidR="002030F7">
        <w:rPr>
          <w:rFonts w:cstheme="minorHAnsi"/>
        </w:rPr>
        <w:t>”</w:t>
      </w:r>
      <w:r w:rsidRPr="00CA7790">
        <w:rPr>
          <w:rFonts w:cstheme="minorHAnsi"/>
        </w:rPr>
        <w:t xml:space="preserve"> is the earliest</w:t>
      </w:r>
      <w:r w:rsidR="004575A4" w:rsidRPr="00CA7790">
        <w:rPr>
          <w:rFonts w:cstheme="minorHAnsi"/>
        </w:rPr>
        <w:t xml:space="preserve">, when the child has not yet individuated from the mother and the mother’s domain. The Oedipal crisis is then the struggle for the leaving of this domain </w:t>
      </w:r>
      <w:r w:rsidR="00E436FF" w:rsidRPr="00CA7790">
        <w:rPr>
          <w:rFonts w:cstheme="minorHAnsi"/>
        </w:rPr>
        <w:t>and the entry into the Symbolic Order, the patriarchal realm presided over by the Phallus or Law of the Father. This is also the realm of language and from now on the desire for the mother’s body must be repressed. Abjection, in Kristeva’s feminist psychoanalytical account, is a process which works at this boundary between the Symbolic and memory of the Imaginary, by casting out the maternal body</w:t>
      </w:r>
      <w:r w:rsidR="00D202F2">
        <w:rPr>
          <w:rFonts w:cstheme="minorHAnsi"/>
        </w:rPr>
        <w:t>.</w:t>
      </w:r>
      <w:r w:rsidR="002030F7">
        <w:rPr>
          <w:rStyle w:val="FootnoteReference"/>
          <w:rFonts w:cstheme="minorHAnsi"/>
        </w:rPr>
        <w:footnoteReference w:id="39"/>
      </w:r>
      <w:r w:rsidR="00E436FF" w:rsidRPr="00CA7790">
        <w:rPr>
          <w:rFonts w:cstheme="minorHAnsi"/>
        </w:rPr>
        <w:t xml:space="preserve"> Kristeva’s theory of abjection is </w:t>
      </w:r>
      <w:r w:rsidR="00E95599" w:rsidRPr="00CA7790">
        <w:rPr>
          <w:rFonts w:cstheme="minorHAnsi"/>
        </w:rPr>
        <w:t xml:space="preserve">thus </w:t>
      </w:r>
      <w:r w:rsidR="00E436FF" w:rsidRPr="00CA7790">
        <w:rPr>
          <w:rFonts w:cstheme="minorHAnsi"/>
        </w:rPr>
        <w:t xml:space="preserve">a counterpart to Freud’s Oedipal theory, depicting the matricide by the sons and particularly the daughters as an alternative to the primal horde and its patricide. </w:t>
      </w:r>
      <w:r w:rsidR="002030F7">
        <w:rPr>
          <w:rStyle w:val="FootnoteReference"/>
          <w:rFonts w:cstheme="minorHAnsi"/>
        </w:rPr>
        <w:footnoteReference w:id="40"/>
      </w:r>
    </w:p>
    <w:p w14:paraId="4C3665D8" w14:textId="45608113" w:rsidR="00F86653" w:rsidRDefault="00F86653" w:rsidP="00FE282E">
      <w:pPr>
        <w:spacing w:line="360" w:lineRule="auto"/>
        <w:ind w:firstLine="284"/>
        <w:rPr>
          <w:rFonts w:cstheme="minorHAnsi"/>
        </w:rPr>
      </w:pPr>
      <w:r w:rsidRPr="00CA7790">
        <w:rPr>
          <w:rFonts w:cstheme="minorHAnsi"/>
        </w:rPr>
        <w:t>Without abjection of the mother</w:t>
      </w:r>
      <w:r w:rsidR="000369A8">
        <w:rPr>
          <w:rFonts w:cstheme="minorHAnsi"/>
        </w:rPr>
        <w:t xml:space="preserve"> countering the attractions of this symbiotic union</w:t>
      </w:r>
      <w:r w:rsidRPr="00CA7790">
        <w:rPr>
          <w:rFonts w:cstheme="minorHAnsi"/>
        </w:rPr>
        <w:t xml:space="preserve">, </w:t>
      </w:r>
      <w:r w:rsidR="00AB3EAC" w:rsidRPr="00CA7790">
        <w:rPr>
          <w:rFonts w:cstheme="minorHAnsi"/>
        </w:rPr>
        <w:t>Kristeva</w:t>
      </w:r>
      <w:r w:rsidRPr="00CA7790">
        <w:rPr>
          <w:rFonts w:cstheme="minorHAnsi"/>
        </w:rPr>
        <w:t xml:space="preserve"> note</w:t>
      </w:r>
      <w:r w:rsidR="00AB3EAC" w:rsidRPr="00CA7790">
        <w:rPr>
          <w:rFonts w:cstheme="minorHAnsi"/>
        </w:rPr>
        <w:t>s</w:t>
      </w:r>
      <w:r w:rsidRPr="00CA7790">
        <w:rPr>
          <w:rFonts w:cstheme="minorHAnsi"/>
        </w:rPr>
        <w:t xml:space="preserve">, integration into the Symbolic order would become difficult if not impossible. This then provokes an ambivalent reaction, associated with desire and fear/horror respectively, an oscillating movement which Kristeva describes as follows: </w:t>
      </w:r>
      <w:r w:rsidR="002030F7">
        <w:rPr>
          <w:rFonts w:cstheme="minorHAnsi"/>
        </w:rPr>
        <w:t>“</w:t>
      </w:r>
      <w:r w:rsidRPr="00CA7790">
        <w:rPr>
          <w:rFonts w:cstheme="minorHAnsi"/>
        </w:rPr>
        <w:t>Unflagging, like an inescapable boomerang, a vortex of summons and repulsion places the one haunted by it literally beside himself</w:t>
      </w:r>
      <w:r w:rsidR="007E5F40">
        <w:rPr>
          <w:rFonts w:cstheme="minorHAnsi"/>
        </w:rPr>
        <w:t>.</w:t>
      </w:r>
      <w:r w:rsidR="002030F7">
        <w:rPr>
          <w:rFonts w:cstheme="minorHAnsi"/>
        </w:rPr>
        <w:t>”</w:t>
      </w:r>
      <w:r w:rsidR="002030F7">
        <w:rPr>
          <w:rStyle w:val="FootnoteReference"/>
          <w:rFonts w:cstheme="minorHAnsi"/>
        </w:rPr>
        <w:footnoteReference w:id="41"/>
      </w:r>
      <w:r w:rsidRPr="00CA7790">
        <w:rPr>
          <w:rFonts w:cstheme="minorHAnsi"/>
        </w:rPr>
        <w:t xml:space="preserve"> In </w:t>
      </w:r>
      <w:r w:rsidR="002D5D0B">
        <w:rPr>
          <w:rFonts w:cstheme="minorHAnsi"/>
        </w:rPr>
        <w:t>a subsequent work on melancholia</w:t>
      </w:r>
      <w:r w:rsidRPr="00CA7790">
        <w:rPr>
          <w:rFonts w:cstheme="minorHAnsi"/>
        </w:rPr>
        <w:t xml:space="preserve">, she </w:t>
      </w:r>
      <w:r w:rsidR="000369A8">
        <w:rPr>
          <w:rFonts w:cstheme="minorHAnsi"/>
        </w:rPr>
        <w:t xml:space="preserve">stresses the need for abjection </w:t>
      </w:r>
      <w:r w:rsidR="00F90576">
        <w:rPr>
          <w:rFonts w:cstheme="minorHAnsi"/>
        </w:rPr>
        <w:t>as an ongoing process</w:t>
      </w:r>
      <w:r w:rsidR="00200395">
        <w:rPr>
          <w:rFonts w:cstheme="minorHAnsi"/>
        </w:rPr>
        <w:t>.</w:t>
      </w:r>
      <w:r w:rsidR="00F90576">
        <w:rPr>
          <w:rFonts w:cstheme="minorHAnsi"/>
        </w:rPr>
        <w:t xml:space="preserve"> </w:t>
      </w:r>
      <w:r w:rsidR="00200395">
        <w:rPr>
          <w:rFonts w:cstheme="minorHAnsi"/>
        </w:rPr>
        <w:t>W</w:t>
      </w:r>
      <w:r w:rsidR="000369A8">
        <w:rPr>
          <w:rFonts w:cstheme="minorHAnsi"/>
        </w:rPr>
        <w:t xml:space="preserve">here matricide is </w:t>
      </w:r>
      <w:r w:rsidRPr="00CA7790">
        <w:rPr>
          <w:rFonts w:cstheme="minorHAnsi"/>
        </w:rPr>
        <w:t xml:space="preserve">hindered – which, </w:t>
      </w:r>
      <w:r w:rsidR="00E95599" w:rsidRPr="00CA7790">
        <w:rPr>
          <w:rFonts w:cstheme="minorHAnsi"/>
        </w:rPr>
        <w:t>she stresses</w:t>
      </w:r>
      <w:r w:rsidRPr="00CA7790">
        <w:rPr>
          <w:rFonts w:cstheme="minorHAnsi"/>
        </w:rPr>
        <w:t xml:space="preserve">, is more likely for women – it is instead internalized, which </w:t>
      </w:r>
      <w:r w:rsidR="00E95599" w:rsidRPr="00CA7790">
        <w:rPr>
          <w:rFonts w:cstheme="minorHAnsi"/>
        </w:rPr>
        <w:t xml:space="preserve">can </w:t>
      </w:r>
      <w:r w:rsidRPr="00CA7790">
        <w:rPr>
          <w:rFonts w:cstheme="minorHAnsi"/>
        </w:rPr>
        <w:t xml:space="preserve">result </w:t>
      </w:r>
      <w:r w:rsidRPr="00CA7790">
        <w:rPr>
          <w:rFonts w:cstheme="minorHAnsi"/>
        </w:rPr>
        <w:lastRenderedPageBreak/>
        <w:t xml:space="preserve">in </w:t>
      </w:r>
      <w:r w:rsidR="00E95599" w:rsidRPr="00CA7790">
        <w:rPr>
          <w:rFonts w:cstheme="minorHAnsi"/>
        </w:rPr>
        <w:t>deep depression</w:t>
      </w:r>
      <w:r w:rsidR="001A5122">
        <w:rPr>
          <w:rStyle w:val="FootnoteReference"/>
          <w:rFonts w:cstheme="minorHAnsi"/>
        </w:rPr>
        <w:footnoteReference w:id="42"/>
      </w:r>
      <w:r w:rsidRPr="00CA7790">
        <w:rPr>
          <w:rFonts w:cstheme="minorHAnsi"/>
        </w:rPr>
        <w:t xml:space="preserve">. </w:t>
      </w:r>
      <w:r w:rsidR="002D5D0B">
        <w:rPr>
          <w:rFonts w:cstheme="minorHAnsi"/>
        </w:rPr>
        <w:t xml:space="preserve">Such a juxtaposition </w:t>
      </w:r>
      <w:r w:rsidR="000369A8">
        <w:rPr>
          <w:rFonts w:cstheme="minorHAnsi"/>
        </w:rPr>
        <w:t>of attraction and repulsion may</w:t>
      </w:r>
      <w:r w:rsidR="002D5D0B">
        <w:rPr>
          <w:rFonts w:cstheme="minorHAnsi"/>
        </w:rPr>
        <w:t xml:space="preserve"> be particularly tense and intense for </w:t>
      </w:r>
      <w:r w:rsidR="000369A8">
        <w:rPr>
          <w:rFonts w:cstheme="minorHAnsi"/>
        </w:rPr>
        <w:t xml:space="preserve">contemporary generations of </w:t>
      </w:r>
      <w:r w:rsidR="002D5D0B">
        <w:rPr>
          <w:rFonts w:cstheme="minorHAnsi"/>
        </w:rPr>
        <w:t>daughters, whether feminist or not, who are going forth in the world and striving towards accomplishments in the public domain in the way their mothers did not</w:t>
      </w:r>
      <w:r w:rsidR="0089001F">
        <w:rPr>
          <w:rFonts w:cstheme="minorHAnsi"/>
        </w:rPr>
        <w:t xml:space="preserve"> (and indeed, as a pioneering independent woman, would have been </w:t>
      </w:r>
      <w:r w:rsidR="00F90576">
        <w:rPr>
          <w:rFonts w:cstheme="minorHAnsi"/>
        </w:rPr>
        <w:t>acutely</w:t>
      </w:r>
      <w:r w:rsidR="0089001F">
        <w:rPr>
          <w:rFonts w:cstheme="minorHAnsi"/>
        </w:rPr>
        <w:t xml:space="preserve"> challenging for Beauvoir herself)</w:t>
      </w:r>
      <w:r w:rsidR="002D5D0B">
        <w:rPr>
          <w:rFonts w:cstheme="minorHAnsi"/>
        </w:rPr>
        <w:t>.</w:t>
      </w:r>
      <w:r w:rsidR="006D14D0">
        <w:rPr>
          <w:rFonts w:cstheme="minorHAnsi"/>
        </w:rPr>
        <w:t xml:space="preserve"> Using Beauvoir’s own conceptual apparatus, we can see this as an </w:t>
      </w:r>
      <w:r w:rsidR="00F90576">
        <w:rPr>
          <w:rFonts w:cstheme="minorHAnsi"/>
        </w:rPr>
        <w:t xml:space="preserve">unresolved and </w:t>
      </w:r>
      <w:r w:rsidR="006D14D0">
        <w:rPr>
          <w:rFonts w:cstheme="minorHAnsi"/>
        </w:rPr>
        <w:t xml:space="preserve">highly strung tension between transcendence and immanence. </w:t>
      </w:r>
      <w:r w:rsidR="002D5D0B">
        <w:rPr>
          <w:rFonts w:cstheme="minorHAnsi"/>
        </w:rPr>
        <w:t xml:space="preserve"> </w:t>
      </w:r>
      <w:r w:rsidR="00B32D75">
        <w:rPr>
          <w:rFonts w:cstheme="minorHAnsi"/>
        </w:rPr>
        <w:t xml:space="preserve">It also suggests that both </w:t>
      </w:r>
      <w:proofErr w:type="gramStart"/>
      <w:r w:rsidR="00B32D75">
        <w:rPr>
          <w:rFonts w:cstheme="minorHAnsi"/>
        </w:rPr>
        <w:t>mourning</w:t>
      </w:r>
      <w:proofErr w:type="gramEnd"/>
      <w:r w:rsidR="00B32D75">
        <w:rPr>
          <w:rFonts w:cstheme="minorHAnsi"/>
        </w:rPr>
        <w:t xml:space="preserve"> and melancholia have a more complicated temporality, involving both looking back to a loss and looking ahead to future losses.</w:t>
      </w:r>
    </w:p>
    <w:p w14:paraId="2C94315C" w14:textId="4F7381DD" w:rsidR="00F86653" w:rsidRPr="00A00349" w:rsidRDefault="00CD1836" w:rsidP="00FE282E">
      <w:pPr>
        <w:spacing w:line="360" w:lineRule="auto"/>
        <w:ind w:firstLine="284"/>
        <w:rPr>
          <w:rFonts w:eastAsiaTheme="minorEastAsia" w:cstheme="minorHAnsi"/>
        </w:rPr>
      </w:pPr>
      <w:r>
        <w:rPr>
          <w:rFonts w:cstheme="minorHAnsi"/>
        </w:rPr>
        <w:t xml:space="preserve">At this point, I </w:t>
      </w:r>
      <w:r w:rsidR="00FD40FF">
        <w:rPr>
          <w:rFonts w:cstheme="minorHAnsi"/>
        </w:rPr>
        <w:t>will</w:t>
      </w:r>
      <w:r>
        <w:rPr>
          <w:rFonts w:cstheme="minorHAnsi"/>
        </w:rPr>
        <w:t xml:space="preserve"> briefly apply </w:t>
      </w:r>
      <w:r w:rsidR="00B32D75">
        <w:rPr>
          <w:rFonts w:cstheme="minorHAnsi"/>
        </w:rPr>
        <w:t>elements of both conceptual frameworks (i</w:t>
      </w:r>
      <w:r w:rsidR="0027247E">
        <w:rPr>
          <w:rFonts w:cstheme="minorHAnsi"/>
        </w:rPr>
        <w:t>.</w:t>
      </w:r>
      <w:r w:rsidR="00B32D75">
        <w:rPr>
          <w:rFonts w:cstheme="minorHAnsi"/>
        </w:rPr>
        <w:t>e</w:t>
      </w:r>
      <w:r w:rsidR="0027247E">
        <w:rPr>
          <w:rFonts w:cstheme="minorHAnsi"/>
        </w:rPr>
        <w:t>.</w:t>
      </w:r>
      <w:r w:rsidR="0083638E">
        <w:rPr>
          <w:rFonts w:cstheme="minorHAnsi"/>
        </w:rPr>
        <w:t>,</w:t>
      </w:r>
      <w:r w:rsidR="00B32D75">
        <w:rPr>
          <w:rFonts w:cstheme="minorHAnsi"/>
        </w:rPr>
        <w:t xml:space="preserve"> mourning/melancholia and abjection) </w:t>
      </w:r>
      <w:r>
        <w:rPr>
          <w:rFonts w:cstheme="minorHAnsi"/>
        </w:rPr>
        <w:t>to Beauvoir’s relationship with her mother</w:t>
      </w:r>
      <w:r w:rsidR="00B32D75">
        <w:rPr>
          <w:rFonts w:cstheme="minorHAnsi"/>
        </w:rPr>
        <w:t xml:space="preserve"> as revealed </w:t>
      </w:r>
      <w:r w:rsidR="001F2A45">
        <w:rPr>
          <w:rFonts w:cstheme="minorHAnsi"/>
        </w:rPr>
        <w:t>through</w:t>
      </w:r>
      <w:r w:rsidR="00B32D75">
        <w:rPr>
          <w:rFonts w:cstheme="minorHAnsi"/>
        </w:rPr>
        <w:t xml:space="preserve"> her memoirs</w:t>
      </w:r>
      <w:r w:rsidR="005B022C">
        <w:rPr>
          <w:rFonts w:cstheme="minorHAnsi"/>
        </w:rPr>
        <w:t xml:space="preserve">. </w:t>
      </w:r>
      <w:r w:rsidR="00AB3EAC" w:rsidRPr="00CA7790">
        <w:rPr>
          <w:rFonts w:cstheme="minorHAnsi"/>
        </w:rPr>
        <w:t xml:space="preserve">There </w:t>
      </w:r>
      <w:r w:rsidR="00FD40FF">
        <w:rPr>
          <w:rFonts w:cstheme="minorHAnsi"/>
        </w:rPr>
        <w:t>are</w:t>
      </w:r>
      <w:r w:rsidR="00AB3EAC" w:rsidRPr="00CA7790">
        <w:rPr>
          <w:rFonts w:cstheme="minorHAnsi"/>
        </w:rPr>
        <w:t xml:space="preserve"> certainly </w:t>
      </w:r>
      <w:r w:rsidR="0089001F">
        <w:rPr>
          <w:rFonts w:cstheme="minorHAnsi"/>
        </w:rPr>
        <w:t>elements of abjection</w:t>
      </w:r>
      <w:r w:rsidR="00FD40FF">
        <w:rPr>
          <w:rFonts w:cstheme="minorHAnsi"/>
        </w:rPr>
        <w:t xml:space="preserve"> in the</w:t>
      </w:r>
      <w:r w:rsidR="00E95599" w:rsidRPr="00CA7790">
        <w:rPr>
          <w:rFonts w:cstheme="minorHAnsi"/>
        </w:rPr>
        <w:t xml:space="preserve"> </w:t>
      </w:r>
      <w:r w:rsidR="00651C9B">
        <w:rPr>
          <w:rFonts w:cstheme="minorHAnsi"/>
        </w:rPr>
        <w:t xml:space="preserve">wavering, gusty </w:t>
      </w:r>
      <w:r w:rsidR="00F90576">
        <w:rPr>
          <w:rFonts w:cstheme="minorHAnsi"/>
        </w:rPr>
        <w:t>movement</w:t>
      </w:r>
      <w:r w:rsidR="00E95599" w:rsidRPr="00CA7790">
        <w:rPr>
          <w:rFonts w:cstheme="minorHAnsi"/>
        </w:rPr>
        <w:t xml:space="preserve"> </w:t>
      </w:r>
      <w:r w:rsidR="00FD40FF">
        <w:rPr>
          <w:rFonts w:cstheme="minorHAnsi"/>
        </w:rPr>
        <w:t xml:space="preserve">Beauvoir describes </w:t>
      </w:r>
      <w:r w:rsidR="00E95599" w:rsidRPr="00CA7790">
        <w:rPr>
          <w:rFonts w:cstheme="minorHAnsi"/>
        </w:rPr>
        <w:t>to and from her mother</w:t>
      </w:r>
      <w:r w:rsidR="00FD40FF">
        <w:rPr>
          <w:rFonts w:cstheme="minorHAnsi"/>
        </w:rPr>
        <w:t>. S</w:t>
      </w:r>
      <w:r w:rsidR="00AB3EAC" w:rsidRPr="00CA7790">
        <w:rPr>
          <w:rFonts w:cstheme="minorHAnsi"/>
        </w:rPr>
        <w:t xml:space="preserve">he </w:t>
      </w:r>
      <w:r w:rsidR="00FD40FF">
        <w:rPr>
          <w:rFonts w:cstheme="minorHAnsi"/>
        </w:rPr>
        <w:t>recounts</w:t>
      </w:r>
      <w:r w:rsidR="00AB3EAC" w:rsidRPr="00CA7790">
        <w:rPr>
          <w:rFonts w:cstheme="minorHAnsi"/>
        </w:rPr>
        <w:t xml:space="preserve"> how, though having little in common with her mother, in terms of values, </w:t>
      </w:r>
      <w:r w:rsidR="0023486A" w:rsidRPr="00CA7790">
        <w:rPr>
          <w:rFonts w:cstheme="minorHAnsi"/>
        </w:rPr>
        <w:t xml:space="preserve">and </w:t>
      </w:r>
      <w:r w:rsidR="008E3CCF">
        <w:rPr>
          <w:rFonts w:cstheme="minorHAnsi"/>
        </w:rPr>
        <w:t xml:space="preserve">feeling herself to be </w:t>
      </w:r>
      <w:r w:rsidR="0023486A" w:rsidRPr="00CA7790">
        <w:rPr>
          <w:rFonts w:cstheme="minorHAnsi"/>
        </w:rPr>
        <w:t>closer to her father intellectually and spiritually, yet her mother wielded enormous power over her</w:t>
      </w:r>
      <w:r w:rsidR="0083638E">
        <w:rPr>
          <w:rFonts w:cstheme="minorHAnsi"/>
        </w:rPr>
        <w:t>,</w:t>
      </w:r>
      <w:r w:rsidR="0023486A" w:rsidRPr="00CA7790">
        <w:rPr>
          <w:rFonts w:cstheme="minorHAnsi"/>
        </w:rPr>
        <w:t xml:space="preserve"> at least in childhood and youth. </w:t>
      </w:r>
      <w:r w:rsidR="00E95599" w:rsidRPr="00CA7790">
        <w:rPr>
          <w:rFonts w:cstheme="minorHAnsi"/>
        </w:rPr>
        <w:t xml:space="preserve">In </w:t>
      </w:r>
      <w:r w:rsidR="008B5DA7" w:rsidRPr="00CA7790">
        <w:rPr>
          <w:rFonts w:cstheme="minorHAnsi"/>
          <w:i/>
          <w:iCs/>
        </w:rPr>
        <w:t xml:space="preserve">Memoirs of a Dutiful </w:t>
      </w:r>
      <w:r w:rsidR="008B5DA7" w:rsidRPr="00CA7790">
        <w:rPr>
          <w:rFonts w:cstheme="minorHAnsi"/>
        </w:rPr>
        <w:t xml:space="preserve">Daughter, Beauvoir </w:t>
      </w:r>
      <w:r w:rsidR="0023486A" w:rsidRPr="00CA7790">
        <w:rPr>
          <w:rFonts w:cstheme="minorHAnsi"/>
        </w:rPr>
        <w:t xml:space="preserve">recalls: </w:t>
      </w:r>
      <w:r w:rsidR="001F2A45">
        <w:rPr>
          <w:rFonts w:cstheme="minorHAnsi"/>
        </w:rPr>
        <w:t>“</w:t>
      </w:r>
      <w:r w:rsidR="0023486A" w:rsidRPr="00CA7790">
        <w:rPr>
          <w:rFonts w:cstheme="minorHAnsi"/>
        </w:rPr>
        <w:t xml:space="preserve">When she was angry with me, she gave me a </w:t>
      </w:r>
      <w:r w:rsidR="0083638E">
        <w:rPr>
          <w:rFonts w:cstheme="minorHAnsi"/>
        </w:rPr>
        <w:t>‘</w:t>
      </w:r>
      <w:r w:rsidR="0023486A" w:rsidRPr="00CA7790">
        <w:rPr>
          <w:rFonts w:cstheme="minorHAnsi"/>
        </w:rPr>
        <w:t>black look</w:t>
      </w:r>
      <w:r w:rsidR="0083638E">
        <w:rPr>
          <w:rFonts w:cstheme="minorHAnsi"/>
        </w:rPr>
        <w:t>’</w:t>
      </w:r>
      <w:r w:rsidR="0023486A" w:rsidRPr="00CA7790">
        <w:rPr>
          <w:rFonts w:cstheme="minorHAnsi"/>
        </w:rPr>
        <w:t>; I used to dread that stormy look which disfigured her charming face; I needed her smile</w:t>
      </w:r>
      <w:r w:rsidR="0027247E">
        <w:rPr>
          <w:rFonts w:cstheme="minorHAnsi"/>
        </w:rPr>
        <w:t>.</w:t>
      </w:r>
      <w:r w:rsidR="001F2A45">
        <w:rPr>
          <w:rFonts w:cstheme="minorHAnsi"/>
        </w:rPr>
        <w:t>”</w:t>
      </w:r>
      <w:r w:rsidR="001F2A45">
        <w:rPr>
          <w:rStyle w:val="FootnoteReference"/>
          <w:rFonts w:cstheme="minorHAnsi"/>
        </w:rPr>
        <w:footnoteReference w:id="43"/>
      </w:r>
      <w:r w:rsidR="0023486A" w:rsidRPr="00CA7790">
        <w:rPr>
          <w:rFonts w:cstheme="minorHAnsi"/>
        </w:rPr>
        <w:t xml:space="preserve"> As she grew bigger, a progress </w:t>
      </w:r>
      <w:r w:rsidR="00502301" w:rsidRPr="00CA7790">
        <w:rPr>
          <w:rFonts w:cstheme="minorHAnsi"/>
        </w:rPr>
        <w:t xml:space="preserve">recorded by pencilled marks on the wall, she felt melancholy at the removal it </w:t>
      </w:r>
      <w:r w:rsidR="0089001F">
        <w:rPr>
          <w:rFonts w:cstheme="minorHAnsi"/>
        </w:rPr>
        <w:t>delineated, inch by inch,</w:t>
      </w:r>
      <w:r w:rsidR="00502301" w:rsidRPr="00CA7790">
        <w:rPr>
          <w:rFonts w:cstheme="minorHAnsi"/>
        </w:rPr>
        <w:t xml:space="preserve"> from union with her mother: </w:t>
      </w:r>
      <w:r w:rsidR="00490E9C">
        <w:rPr>
          <w:rFonts w:cstheme="minorHAnsi"/>
        </w:rPr>
        <w:t>“</w:t>
      </w:r>
      <w:r w:rsidR="00502301" w:rsidRPr="00CA7790">
        <w:rPr>
          <w:rFonts w:cstheme="minorHAnsi"/>
        </w:rPr>
        <w:t xml:space="preserve">I would look at </w:t>
      </w:r>
      <w:proofErr w:type="spellStart"/>
      <w:r w:rsidR="00502301" w:rsidRPr="00CA7790">
        <w:rPr>
          <w:rFonts w:cstheme="minorHAnsi"/>
        </w:rPr>
        <w:t>Mama</w:t>
      </w:r>
      <w:r w:rsidR="008E3CCF">
        <w:rPr>
          <w:rFonts w:cstheme="minorHAnsi"/>
        </w:rPr>
        <w:t>n</w:t>
      </w:r>
      <w:r w:rsidR="00502301" w:rsidRPr="00CA7790">
        <w:rPr>
          <w:rFonts w:cstheme="minorHAnsi"/>
        </w:rPr>
        <w:t>’s</w:t>
      </w:r>
      <w:proofErr w:type="spellEnd"/>
      <w:r w:rsidR="00502301" w:rsidRPr="00CA7790">
        <w:rPr>
          <w:rFonts w:cstheme="minorHAnsi"/>
        </w:rPr>
        <w:t xml:space="preserve"> armchair and think: </w:t>
      </w:r>
      <w:r w:rsidR="00490E9C">
        <w:rPr>
          <w:rFonts w:cstheme="minorHAnsi"/>
        </w:rPr>
        <w:t>‘</w:t>
      </w:r>
      <w:r w:rsidR="00502301" w:rsidRPr="00CA7790">
        <w:rPr>
          <w:rFonts w:cstheme="minorHAnsi"/>
        </w:rPr>
        <w:t>I won’t be able to sit on her knee anymore if I go on growing up.</w:t>
      </w:r>
      <w:r w:rsidR="00490E9C">
        <w:rPr>
          <w:rFonts w:cstheme="minorHAnsi"/>
        </w:rPr>
        <w:t>’”</w:t>
      </w:r>
      <w:r w:rsidR="00490E9C">
        <w:rPr>
          <w:rStyle w:val="FootnoteReference"/>
          <w:rFonts w:cstheme="minorHAnsi"/>
        </w:rPr>
        <w:footnoteReference w:id="44"/>
      </w:r>
      <w:r w:rsidR="00502301" w:rsidRPr="00CA7790">
        <w:rPr>
          <w:rFonts w:cstheme="minorHAnsi"/>
        </w:rPr>
        <w:t xml:space="preserve"> This</w:t>
      </w:r>
      <w:r w:rsidR="008B5DA7" w:rsidRPr="00CA7790">
        <w:rPr>
          <w:rFonts w:cstheme="minorHAnsi"/>
        </w:rPr>
        <w:t xml:space="preserve"> melanchol</w:t>
      </w:r>
      <w:r w:rsidR="004E65CA">
        <w:rPr>
          <w:rFonts w:cstheme="minorHAnsi"/>
        </w:rPr>
        <w:t>ic</w:t>
      </w:r>
      <w:r w:rsidR="00502301" w:rsidRPr="00CA7790">
        <w:rPr>
          <w:rFonts w:cstheme="minorHAnsi"/>
        </w:rPr>
        <w:t xml:space="preserve"> sense of separation from mother directly </w:t>
      </w:r>
      <w:r w:rsidR="00A00349">
        <w:rPr>
          <w:rFonts w:cstheme="minorHAnsi"/>
        </w:rPr>
        <w:t xml:space="preserve">feeds </w:t>
      </w:r>
      <w:r w:rsidR="00502301" w:rsidRPr="00CA7790">
        <w:rPr>
          <w:rFonts w:cstheme="minorHAnsi"/>
        </w:rPr>
        <w:t xml:space="preserve">the sorrow she feels for the impermanence of life: </w:t>
      </w:r>
      <w:r w:rsidR="00490E9C">
        <w:rPr>
          <w:rFonts w:cstheme="minorHAnsi"/>
        </w:rPr>
        <w:t>“</w:t>
      </w:r>
      <w:r w:rsidR="00502301" w:rsidRPr="00CA7790">
        <w:rPr>
          <w:rFonts w:cstheme="minorHAnsi"/>
        </w:rPr>
        <w:t>I had forebodings of all the s</w:t>
      </w:r>
      <w:r w:rsidR="00702A0F" w:rsidRPr="00CA7790">
        <w:rPr>
          <w:rFonts w:cstheme="minorHAnsi"/>
        </w:rPr>
        <w:t>eparations, the refusals, the desertions to come, and of the long succession of my various deaths</w:t>
      </w:r>
      <w:r w:rsidR="003B7851">
        <w:rPr>
          <w:rFonts w:cstheme="minorHAnsi"/>
        </w:rPr>
        <w:t>.</w:t>
      </w:r>
      <w:r w:rsidR="00490E9C">
        <w:rPr>
          <w:rFonts w:cstheme="minorHAnsi"/>
        </w:rPr>
        <w:t>”</w:t>
      </w:r>
      <w:r w:rsidR="00490E9C">
        <w:rPr>
          <w:rStyle w:val="FootnoteReference"/>
          <w:rFonts w:cstheme="minorHAnsi"/>
        </w:rPr>
        <w:footnoteReference w:id="45"/>
      </w:r>
      <w:r w:rsidR="00702A0F" w:rsidRPr="00CA7790">
        <w:rPr>
          <w:rFonts w:cstheme="minorHAnsi"/>
        </w:rPr>
        <w:t xml:space="preserve"> </w:t>
      </w:r>
      <w:r w:rsidR="008B5DA7" w:rsidRPr="00CA7790">
        <w:rPr>
          <w:rFonts w:cstheme="minorHAnsi"/>
        </w:rPr>
        <w:t>By comparison</w:t>
      </w:r>
      <w:r w:rsidR="00702A0F" w:rsidRPr="00CA7790">
        <w:rPr>
          <w:rFonts w:cstheme="minorHAnsi"/>
        </w:rPr>
        <w:t>, disagreements with her Papa</w:t>
      </w:r>
      <w:r w:rsidR="008B5DA7" w:rsidRPr="00CA7790">
        <w:rPr>
          <w:rFonts w:cstheme="minorHAnsi"/>
        </w:rPr>
        <w:t xml:space="preserve"> </w:t>
      </w:r>
      <w:r w:rsidR="00651C9B">
        <w:rPr>
          <w:rFonts w:cstheme="minorHAnsi"/>
        </w:rPr>
        <w:t xml:space="preserve">Georges, </w:t>
      </w:r>
      <w:r w:rsidR="008B5DA7" w:rsidRPr="00CA7790">
        <w:rPr>
          <w:rFonts w:cstheme="minorHAnsi"/>
        </w:rPr>
        <w:t>whilst</w:t>
      </w:r>
      <w:r w:rsidR="00702A0F" w:rsidRPr="00CA7790">
        <w:rPr>
          <w:rFonts w:cstheme="minorHAnsi"/>
        </w:rPr>
        <w:t xml:space="preserve"> unpleasant</w:t>
      </w:r>
      <w:r w:rsidR="008B5DA7" w:rsidRPr="00CA7790">
        <w:rPr>
          <w:rFonts w:cstheme="minorHAnsi"/>
        </w:rPr>
        <w:t xml:space="preserve">, lacked this </w:t>
      </w:r>
      <w:r w:rsidR="00A00349">
        <w:rPr>
          <w:rFonts w:cstheme="minorHAnsi"/>
        </w:rPr>
        <w:t xml:space="preserve">primordially </w:t>
      </w:r>
      <w:r w:rsidR="008B5DA7" w:rsidRPr="00CA7790">
        <w:rPr>
          <w:rFonts w:cstheme="minorHAnsi"/>
        </w:rPr>
        <w:t>threatening quality</w:t>
      </w:r>
      <w:r w:rsidR="00A00349">
        <w:rPr>
          <w:rFonts w:cstheme="minorHAnsi"/>
        </w:rPr>
        <w:t>:</w:t>
      </w:r>
      <w:r w:rsidR="00702A0F" w:rsidRPr="00CA7790">
        <w:rPr>
          <w:rFonts w:cstheme="minorHAnsi"/>
        </w:rPr>
        <w:t xml:space="preserve"> </w:t>
      </w:r>
      <w:r w:rsidR="000320A4">
        <w:rPr>
          <w:rFonts w:cstheme="minorHAnsi"/>
        </w:rPr>
        <w:t>“</w:t>
      </w:r>
      <w:r w:rsidR="00702A0F" w:rsidRPr="00CA7790">
        <w:rPr>
          <w:rFonts w:cstheme="minorHAnsi"/>
        </w:rPr>
        <w:t>On the other hand, any reproach made by my mother, and even her slightest frown was a threat to my security: without her approval, I no longer felt I had any right to live</w:t>
      </w:r>
      <w:r w:rsidR="003B7851">
        <w:rPr>
          <w:rFonts w:cstheme="minorHAnsi"/>
        </w:rPr>
        <w:t>.</w:t>
      </w:r>
      <w:r w:rsidR="000320A4">
        <w:rPr>
          <w:rFonts w:cstheme="minorHAnsi"/>
        </w:rPr>
        <w:t>”</w:t>
      </w:r>
      <w:r w:rsidR="000320A4">
        <w:rPr>
          <w:rStyle w:val="FootnoteReference"/>
          <w:rFonts w:cstheme="minorHAnsi"/>
        </w:rPr>
        <w:footnoteReference w:id="46"/>
      </w:r>
      <w:r w:rsidR="00702A0F" w:rsidRPr="00CA7790">
        <w:rPr>
          <w:rFonts w:cstheme="minorHAnsi"/>
        </w:rPr>
        <w:t xml:space="preserve"> </w:t>
      </w:r>
      <w:r w:rsidR="00A45083">
        <w:rPr>
          <w:rFonts w:cstheme="minorHAnsi"/>
        </w:rPr>
        <w:t xml:space="preserve"> </w:t>
      </w:r>
      <w:r w:rsidR="00FD40FF">
        <w:rPr>
          <w:rFonts w:cstheme="minorHAnsi"/>
        </w:rPr>
        <w:t xml:space="preserve">Where </w:t>
      </w:r>
      <w:r w:rsidR="00A45083">
        <w:rPr>
          <w:rFonts w:cstheme="minorHAnsi"/>
        </w:rPr>
        <w:t xml:space="preserve">Beauvoir violently tugs away </w:t>
      </w:r>
      <w:r w:rsidR="00FD40FF">
        <w:rPr>
          <w:rFonts w:cstheme="minorHAnsi"/>
        </w:rPr>
        <w:t>from this orbit, it</w:t>
      </w:r>
      <w:r w:rsidR="00A45083">
        <w:rPr>
          <w:rFonts w:cstheme="minorHAnsi"/>
        </w:rPr>
        <w:t xml:space="preserve"> is also a rejection of the femininity</w:t>
      </w:r>
      <w:r w:rsidR="00A45083" w:rsidRPr="00A45083">
        <w:rPr>
          <w:rFonts w:cstheme="minorHAnsi"/>
        </w:rPr>
        <w:t xml:space="preserve"> </w:t>
      </w:r>
      <w:r w:rsidR="00A45083">
        <w:rPr>
          <w:rFonts w:cstheme="minorHAnsi"/>
        </w:rPr>
        <w:t>Françoise embodies.</w:t>
      </w:r>
      <w:r w:rsidR="00CC2306">
        <w:rPr>
          <w:rStyle w:val="FootnoteReference"/>
          <w:rFonts w:cstheme="minorHAnsi"/>
        </w:rPr>
        <w:footnoteReference w:id="47"/>
      </w:r>
      <w:r w:rsidR="00CA17F8">
        <w:rPr>
          <w:rFonts w:cstheme="minorHAnsi"/>
        </w:rPr>
        <w:t xml:space="preserve"> On her part, </w:t>
      </w:r>
      <w:r w:rsidR="009E09DA">
        <w:rPr>
          <w:rFonts w:cstheme="minorHAnsi"/>
        </w:rPr>
        <w:t xml:space="preserve">as Simone grew up and acquired friends of her own, </w:t>
      </w:r>
      <w:r w:rsidR="00CA17F8">
        <w:rPr>
          <w:rFonts w:cstheme="minorHAnsi"/>
        </w:rPr>
        <w:t>Françoise</w:t>
      </w:r>
      <w:r w:rsidR="009E09DA">
        <w:rPr>
          <w:rFonts w:cstheme="minorHAnsi"/>
        </w:rPr>
        <w:t xml:space="preserve">’s extreme neediness </w:t>
      </w:r>
      <w:r w:rsidR="00123DC8">
        <w:rPr>
          <w:rFonts w:cstheme="minorHAnsi"/>
        </w:rPr>
        <w:t>was expressed in her imposing herself on her daughter’s privacy</w:t>
      </w:r>
      <w:r w:rsidR="00B26E0A">
        <w:rPr>
          <w:rFonts w:cstheme="minorHAnsi"/>
        </w:rPr>
        <w:t>,</w:t>
      </w:r>
      <w:r w:rsidR="00123DC8">
        <w:rPr>
          <w:rFonts w:cstheme="minorHAnsi"/>
        </w:rPr>
        <w:t xml:space="preserve"> including reading her letters and gate</w:t>
      </w:r>
      <w:r w:rsidR="00FD40FF">
        <w:rPr>
          <w:rFonts w:cstheme="minorHAnsi"/>
        </w:rPr>
        <w:t>-</w:t>
      </w:r>
      <w:r w:rsidR="00123DC8">
        <w:rPr>
          <w:rFonts w:cstheme="minorHAnsi"/>
        </w:rPr>
        <w:t>crashing her meetings with friends</w:t>
      </w:r>
      <w:r w:rsidR="00CA17F8">
        <w:rPr>
          <w:rFonts w:cstheme="minorHAnsi"/>
        </w:rPr>
        <w:t xml:space="preserve">. </w:t>
      </w:r>
      <w:r w:rsidR="00702A0F" w:rsidRPr="00CA7790">
        <w:rPr>
          <w:rFonts w:cstheme="minorHAnsi"/>
        </w:rPr>
        <w:t xml:space="preserve">To escape this </w:t>
      </w:r>
      <w:r w:rsidR="00123DC8">
        <w:rPr>
          <w:rFonts w:cstheme="minorHAnsi"/>
        </w:rPr>
        <w:t>crushingly claustrophobic union</w:t>
      </w:r>
      <w:r w:rsidR="00702A0F" w:rsidRPr="00CA7790">
        <w:rPr>
          <w:rFonts w:cstheme="minorHAnsi"/>
        </w:rPr>
        <w:t xml:space="preserve">, as soon as she can, </w:t>
      </w:r>
      <w:r w:rsidR="00D2742D" w:rsidRPr="00CA7790">
        <w:rPr>
          <w:rFonts w:cstheme="minorHAnsi"/>
        </w:rPr>
        <w:t xml:space="preserve">the minute her studies are </w:t>
      </w:r>
      <w:r w:rsidR="00D2742D" w:rsidRPr="00CA7790">
        <w:rPr>
          <w:rFonts w:cstheme="minorHAnsi"/>
        </w:rPr>
        <w:lastRenderedPageBreak/>
        <w:t>completed</w:t>
      </w:r>
      <w:r w:rsidR="00702A0F" w:rsidRPr="00CA7790">
        <w:rPr>
          <w:rFonts w:cstheme="minorHAnsi"/>
        </w:rPr>
        <w:t>, Simone leaves the family home and lives with her grandmother</w:t>
      </w:r>
      <w:r w:rsidR="009168BA" w:rsidRPr="00CA7790">
        <w:rPr>
          <w:rFonts w:cstheme="minorHAnsi"/>
        </w:rPr>
        <w:t xml:space="preserve">, claiming </w:t>
      </w:r>
      <w:r w:rsidR="00123DC8">
        <w:rPr>
          <w:rFonts w:cstheme="minorHAnsi"/>
        </w:rPr>
        <w:t xml:space="preserve">her own </w:t>
      </w:r>
      <w:r w:rsidR="009168BA" w:rsidRPr="00CA7790">
        <w:rPr>
          <w:rFonts w:cstheme="minorHAnsi"/>
        </w:rPr>
        <w:t xml:space="preserve">space </w:t>
      </w:r>
      <w:r w:rsidR="00123DC8">
        <w:rPr>
          <w:rFonts w:cstheme="minorHAnsi"/>
        </w:rPr>
        <w:t xml:space="preserve">both </w:t>
      </w:r>
      <w:r w:rsidR="009168BA" w:rsidRPr="00CA7790">
        <w:rPr>
          <w:rFonts w:cstheme="minorHAnsi"/>
        </w:rPr>
        <w:t>from the maternal tie</w:t>
      </w:r>
      <w:r w:rsidR="00123DC8">
        <w:rPr>
          <w:rFonts w:cstheme="minorHAnsi"/>
        </w:rPr>
        <w:t>, from the immanent feminine itself and from its inseparable association with finitude and loss</w:t>
      </w:r>
      <w:r w:rsidR="00702A0F" w:rsidRPr="00CA7790">
        <w:rPr>
          <w:rFonts w:cstheme="minorHAnsi"/>
        </w:rPr>
        <w:t xml:space="preserve">. </w:t>
      </w:r>
      <w:r w:rsidR="00A00349">
        <w:rPr>
          <w:rFonts w:cstheme="minorHAnsi"/>
        </w:rPr>
        <w:t>It is reasonable to</w:t>
      </w:r>
      <w:r w:rsidR="001B0C7B" w:rsidRPr="00CA7790">
        <w:rPr>
          <w:rFonts w:cstheme="minorHAnsi"/>
        </w:rPr>
        <w:t xml:space="preserve"> assume that</w:t>
      </w:r>
      <w:r w:rsidR="009168BA" w:rsidRPr="00CA7790">
        <w:rPr>
          <w:rFonts w:cstheme="minorHAnsi"/>
        </w:rPr>
        <w:t xml:space="preserve"> hereafter,</w:t>
      </w:r>
      <w:r w:rsidR="001B0C7B" w:rsidRPr="00CA7790">
        <w:rPr>
          <w:rFonts w:cstheme="minorHAnsi"/>
        </w:rPr>
        <w:t xml:space="preserve"> as Simone becomes an adult and free-thinking existentialist in theory and practice, the threatening quality of her relationship</w:t>
      </w:r>
      <w:r w:rsidR="009168BA" w:rsidRPr="00CA7790">
        <w:rPr>
          <w:rFonts w:cstheme="minorHAnsi"/>
        </w:rPr>
        <w:t xml:space="preserve"> with her mother </w:t>
      </w:r>
      <w:r w:rsidR="00651C9B">
        <w:rPr>
          <w:rFonts w:cstheme="minorHAnsi"/>
        </w:rPr>
        <w:t>exists only as a memory</w:t>
      </w:r>
      <w:r w:rsidR="00B26E0A">
        <w:rPr>
          <w:rFonts w:cstheme="minorHAnsi"/>
        </w:rPr>
        <w:t>. I</w:t>
      </w:r>
      <w:r w:rsidR="00A00349">
        <w:rPr>
          <w:rFonts w:cstheme="minorHAnsi"/>
        </w:rPr>
        <w:t>ndeed</w:t>
      </w:r>
      <w:r w:rsidR="00B26E0A">
        <w:rPr>
          <w:rFonts w:cstheme="minorHAnsi"/>
        </w:rPr>
        <w:t>,</w:t>
      </w:r>
      <w:r w:rsidR="00A00349">
        <w:rPr>
          <w:rFonts w:cstheme="minorHAnsi"/>
        </w:rPr>
        <w:t xml:space="preserve"> the obvious reading of the first volume of her memoirs is </w:t>
      </w:r>
      <w:r w:rsidR="009E09DA">
        <w:rPr>
          <w:rFonts w:cstheme="minorHAnsi"/>
        </w:rPr>
        <w:t xml:space="preserve">a </w:t>
      </w:r>
      <w:r w:rsidR="00A00349">
        <w:rPr>
          <w:rFonts w:cstheme="minorHAnsi"/>
        </w:rPr>
        <w:t xml:space="preserve">story of how Beauvoir </w:t>
      </w:r>
      <w:r w:rsidR="00A00349" w:rsidRPr="00123DC8">
        <w:rPr>
          <w:rFonts w:cstheme="minorHAnsi"/>
          <w:i/>
          <w:iCs/>
        </w:rPr>
        <w:t>c</w:t>
      </w:r>
      <w:r w:rsidR="00123DC8" w:rsidRPr="00123DC8">
        <w:rPr>
          <w:rFonts w:cstheme="minorHAnsi"/>
          <w:i/>
          <w:iCs/>
        </w:rPr>
        <w:t>e</w:t>
      </w:r>
      <w:r w:rsidR="00A00349" w:rsidRPr="00123DC8">
        <w:rPr>
          <w:rFonts w:cstheme="minorHAnsi"/>
          <w:i/>
          <w:iCs/>
        </w:rPr>
        <w:t>ased</w:t>
      </w:r>
      <w:r w:rsidR="00A00349">
        <w:rPr>
          <w:rFonts w:cstheme="minorHAnsi"/>
        </w:rPr>
        <w:t xml:space="preserve"> to be a </w:t>
      </w:r>
      <w:r w:rsidR="009E09DA">
        <w:rPr>
          <w:rFonts w:cstheme="minorHAnsi"/>
        </w:rPr>
        <w:t>“</w:t>
      </w:r>
      <w:r w:rsidR="00A00349">
        <w:rPr>
          <w:rFonts w:cstheme="minorHAnsi"/>
        </w:rPr>
        <w:t>dutiful daughter</w:t>
      </w:r>
      <w:r w:rsidR="009E09DA">
        <w:rPr>
          <w:rFonts w:cstheme="minorHAnsi"/>
        </w:rPr>
        <w:t>”</w:t>
      </w:r>
      <w:r w:rsidR="00BA5313">
        <w:rPr>
          <w:rFonts w:cstheme="minorHAnsi"/>
        </w:rPr>
        <w:t>.</w:t>
      </w:r>
      <w:r w:rsidR="009E09DA">
        <w:rPr>
          <w:rStyle w:val="FootnoteReference"/>
          <w:rFonts w:cstheme="minorHAnsi"/>
        </w:rPr>
        <w:footnoteReference w:id="48"/>
      </w:r>
      <w:r w:rsidR="00A00349">
        <w:rPr>
          <w:rFonts w:cstheme="minorHAnsi"/>
        </w:rPr>
        <w:t xml:space="preserve"> However, the contrast in the way she approached the death of both parents suggests </w:t>
      </w:r>
      <w:r w:rsidR="00123DC8">
        <w:rPr>
          <w:rFonts w:cstheme="minorHAnsi"/>
        </w:rPr>
        <w:t>a continued subterranean attachment to her mother</w:t>
      </w:r>
      <w:r w:rsidR="00A00349">
        <w:rPr>
          <w:rFonts w:cstheme="minorHAnsi"/>
        </w:rPr>
        <w:t>.</w:t>
      </w:r>
      <w:r w:rsidR="0047136C" w:rsidRPr="00CA7790">
        <w:rPr>
          <w:rFonts w:cstheme="minorHAnsi"/>
        </w:rPr>
        <w:t xml:space="preserve"> </w:t>
      </w:r>
      <w:r w:rsidR="00A00349">
        <w:rPr>
          <w:rFonts w:cstheme="minorHAnsi"/>
        </w:rPr>
        <w:t xml:space="preserve">As Beauvoir writes in </w:t>
      </w:r>
      <w:r w:rsidR="00A00349">
        <w:rPr>
          <w:rFonts w:cstheme="minorHAnsi"/>
          <w:i/>
          <w:iCs/>
        </w:rPr>
        <w:t>A Very Easy Death</w:t>
      </w:r>
      <w:r w:rsidR="00A00349">
        <w:rPr>
          <w:rFonts w:cstheme="minorHAnsi"/>
        </w:rPr>
        <w:t xml:space="preserve">: </w:t>
      </w:r>
      <w:r w:rsidR="00BA5313">
        <w:rPr>
          <w:rFonts w:cstheme="minorHAnsi"/>
        </w:rPr>
        <w:t>“</w:t>
      </w:r>
      <w:r w:rsidR="00A00349">
        <w:rPr>
          <w:rFonts w:cstheme="minorHAnsi"/>
        </w:rPr>
        <w:t xml:space="preserve">Suddenly … an outburst of tears that almost degenerated into hysteria. Amazement. When my father </w:t>
      </w:r>
      <w:proofErr w:type="gramStart"/>
      <w:r w:rsidR="00A00349">
        <w:rPr>
          <w:rFonts w:cstheme="minorHAnsi"/>
        </w:rPr>
        <w:t>died</w:t>
      </w:r>
      <w:proofErr w:type="gramEnd"/>
      <w:r w:rsidR="00A00349">
        <w:rPr>
          <w:rFonts w:cstheme="minorHAnsi"/>
        </w:rPr>
        <w:t xml:space="preserve"> I did not cry at all</w:t>
      </w:r>
      <w:r w:rsidR="000D0876">
        <w:rPr>
          <w:rFonts w:cstheme="minorHAnsi"/>
        </w:rPr>
        <w:t>.</w:t>
      </w:r>
      <w:r w:rsidR="00BA5313">
        <w:rPr>
          <w:rFonts w:cstheme="minorHAnsi"/>
        </w:rPr>
        <w:t>”</w:t>
      </w:r>
      <w:r w:rsidR="00BA5313">
        <w:rPr>
          <w:rStyle w:val="FootnoteReference"/>
          <w:rFonts w:cstheme="minorHAnsi"/>
        </w:rPr>
        <w:footnoteReference w:id="49"/>
      </w:r>
    </w:p>
    <w:p w14:paraId="73513B3E" w14:textId="353CD5E4" w:rsidR="0047136C" w:rsidRDefault="00A00349" w:rsidP="00FE282E">
      <w:pPr>
        <w:spacing w:line="360" w:lineRule="auto"/>
        <w:ind w:firstLine="284"/>
        <w:rPr>
          <w:rFonts w:cstheme="minorHAnsi"/>
        </w:rPr>
      </w:pPr>
      <w:r>
        <w:rPr>
          <w:rFonts w:cstheme="minorHAnsi"/>
        </w:rPr>
        <w:t xml:space="preserve">Before turning to </w:t>
      </w:r>
      <w:r w:rsidR="002A01D8">
        <w:rPr>
          <w:rFonts w:cstheme="minorHAnsi"/>
        </w:rPr>
        <w:t xml:space="preserve">explore </w:t>
      </w:r>
      <w:r>
        <w:rPr>
          <w:rFonts w:cstheme="minorHAnsi"/>
        </w:rPr>
        <w:t>this</w:t>
      </w:r>
      <w:r w:rsidR="002A01D8">
        <w:rPr>
          <w:rFonts w:cstheme="minorHAnsi"/>
        </w:rPr>
        <w:t xml:space="preserve"> in more detail,</w:t>
      </w:r>
      <w:r w:rsidR="0047136C" w:rsidRPr="00CA7790">
        <w:rPr>
          <w:rFonts w:cstheme="minorHAnsi"/>
        </w:rPr>
        <w:t xml:space="preserve"> </w:t>
      </w:r>
      <w:r w:rsidR="00CA17F8">
        <w:rPr>
          <w:rFonts w:cstheme="minorHAnsi"/>
        </w:rPr>
        <w:t xml:space="preserve">however, </w:t>
      </w:r>
      <w:r w:rsidR="0047136C" w:rsidRPr="00CA7790">
        <w:rPr>
          <w:rFonts w:cstheme="minorHAnsi"/>
        </w:rPr>
        <w:t xml:space="preserve">I </w:t>
      </w:r>
      <w:r w:rsidR="002A01D8">
        <w:rPr>
          <w:rFonts w:cstheme="minorHAnsi"/>
        </w:rPr>
        <w:t>first l</w:t>
      </w:r>
      <w:r w:rsidR="0047136C" w:rsidRPr="00CA7790">
        <w:rPr>
          <w:rFonts w:cstheme="minorHAnsi"/>
        </w:rPr>
        <w:t>ook at the third strand in Beauvoir’s personal approach to ageing and old age</w:t>
      </w:r>
      <w:r w:rsidR="009C453B">
        <w:rPr>
          <w:rFonts w:cstheme="minorHAnsi"/>
        </w:rPr>
        <w:t>,</w:t>
      </w:r>
      <w:r w:rsidR="0047136C" w:rsidRPr="00CA7790">
        <w:rPr>
          <w:rFonts w:cstheme="minorHAnsi"/>
        </w:rPr>
        <w:t xml:space="preserve"> which is far more positive and appreciative of the place of old age in the life course and the shape it gives to life</w:t>
      </w:r>
      <w:r w:rsidR="009C453B">
        <w:rPr>
          <w:rFonts w:cstheme="minorHAnsi"/>
        </w:rPr>
        <w:t xml:space="preserve">. </w:t>
      </w:r>
      <w:r w:rsidR="006B521C">
        <w:rPr>
          <w:rFonts w:cstheme="minorHAnsi"/>
        </w:rPr>
        <w:t>T</w:t>
      </w:r>
      <w:r w:rsidR="00D56408">
        <w:rPr>
          <w:rFonts w:cstheme="minorHAnsi"/>
        </w:rPr>
        <w:t xml:space="preserve">his </w:t>
      </w:r>
      <w:r w:rsidR="006B521C">
        <w:rPr>
          <w:rFonts w:cstheme="minorHAnsi"/>
        </w:rPr>
        <w:t>element</w:t>
      </w:r>
      <w:r w:rsidR="0047136C" w:rsidRPr="00CA7790">
        <w:rPr>
          <w:rFonts w:cstheme="minorHAnsi"/>
        </w:rPr>
        <w:t xml:space="preserve"> recogniz</w:t>
      </w:r>
      <w:r w:rsidR="009C453B">
        <w:rPr>
          <w:rFonts w:cstheme="minorHAnsi"/>
        </w:rPr>
        <w:t>es</w:t>
      </w:r>
      <w:r w:rsidR="0047136C" w:rsidRPr="00CA7790">
        <w:rPr>
          <w:rFonts w:cstheme="minorHAnsi"/>
        </w:rPr>
        <w:t xml:space="preserve"> that beginnings, profoundly important to her as they are, necessarily require endings. </w:t>
      </w:r>
    </w:p>
    <w:p w14:paraId="7E0EE8B1" w14:textId="77777777" w:rsidR="006801C1" w:rsidRDefault="006801C1" w:rsidP="00FE282E">
      <w:pPr>
        <w:spacing w:line="360" w:lineRule="auto"/>
        <w:ind w:firstLine="284"/>
        <w:rPr>
          <w:rFonts w:cstheme="minorHAnsi"/>
        </w:rPr>
      </w:pPr>
    </w:p>
    <w:p w14:paraId="6F527A31" w14:textId="54A844EB" w:rsidR="0047136C" w:rsidRPr="00CA7790" w:rsidRDefault="002A01D8" w:rsidP="002F7BB9">
      <w:pPr>
        <w:spacing w:line="360" w:lineRule="auto"/>
        <w:rPr>
          <w:rFonts w:cstheme="minorHAnsi"/>
          <w:b/>
          <w:bCs/>
        </w:rPr>
      </w:pPr>
      <w:r>
        <w:rPr>
          <w:rFonts w:cstheme="minorHAnsi"/>
          <w:b/>
          <w:bCs/>
        </w:rPr>
        <w:t xml:space="preserve">6 </w:t>
      </w:r>
      <w:r w:rsidR="0047136C" w:rsidRPr="00CA7790">
        <w:rPr>
          <w:rFonts w:cstheme="minorHAnsi"/>
          <w:b/>
          <w:bCs/>
        </w:rPr>
        <w:t xml:space="preserve">The value of ageing, </w:t>
      </w:r>
      <w:proofErr w:type="gramStart"/>
      <w:r w:rsidR="0047136C" w:rsidRPr="00CA7790">
        <w:rPr>
          <w:rFonts w:cstheme="minorHAnsi"/>
          <w:b/>
          <w:bCs/>
        </w:rPr>
        <w:t>finitude</w:t>
      </w:r>
      <w:proofErr w:type="gramEnd"/>
      <w:r w:rsidR="0047136C" w:rsidRPr="00CA7790">
        <w:rPr>
          <w:rFonts w:cstheme="minorHAnsi"/>
          <w:b/>
          <w:bCs/>
        </w:rPr>
        <w:t xml:space="preserve"> and death</w:t>
      </w:r>
    </w:p>
    <w:p w14:paraId="7990DEFE" w14:textId="79E665E4" w:rsidR="00FE282E" w:rsidRPr="00CA7790" w:rsidRDefault="0047136C" w:rsidP="00FE282E">
      <w:pPr>
        <w:spacing w:line="360" w:lineRule="auto"/>
        <w:ind w:firstLine="284"/>
        <w:rPr>
          <w:rFonts w:cstheme="minorHAnsi"/>
        </w:rPr>
      </w:pPr>
      <w:r w:rsidRPr="00CA7790">
        <w:rPr>
          <w:rFonts w:cstheme="minorHAnsi"/>
        </w:rPr>
        <w:t>The more positive aspect of ageing and old age co-exist</w:t>
      </w:r>
      <w:r w:rsidR="00CA17F8">
        <w:rPr>
          <w:rFonts w:cstheme="minorHAnsi"/>
        </w:rPr>
        <w:t xml:space="preserve">s in Beauvoir’s philosophy </w:t>
      </w:r>
      <w:r w:rsidRPr="00CA7790">
        <w:rPr>
          <w:rFonts w:cstheme="minorHAnsi"/>
        </w:rPr>
        <w:t>with the darker, depress</w:t>
      </w:r>
      <w:r w:rsidR="00123DC8">
        <w:rPr>
          <w:rFonts w:cstheme="minorHAnsi"/>
        </w:rPr>
        <w:t>ed</w:t>
      </w:r>
      <w:r w:rsidRPr="00CA7790">
        <w:rPr>
          <w:rFonts w:cstheme="minorHAnsi"/>
        </w:rPr>
        <w:t xml:space="preserve"> </w:t>
      </w:r>
      <w:r w:rsidR="00A00349">
        <w:rPr>
          <w:rFonts w:cstheme="minorHAnsi"/>
        </w:rPr>
        <w:t>tone</w:t>
      </w:r>
      <w:r w:rsidR="00651C9B">
        <w:rPr>
          <w:rFonts w:cstheme="minorHAnsi"/>
        </w:rPr>
        <w:t xml:space="preserve"> </w:t>
      </w:r>
      <w:r w:rsidR="00A00349">
        <w:rPr>
          <w:rFonts w:cstheme="minorHAnsi"/>
        </w:rPr>
        <w:t xml:space="preserve">with which </w:t>
      </w:r>
      <w:r w:rsidR="006B521C">
        <w:rPr>
          <w:rFonts w:cstheme="minorHAnsi"/>
        </w:rPr>
        <w:t xml:space="preserve">she </w:t>
      </w:r>
      <w:r w:rsidR="00A00349">
        <w:rPr>
          <w:rFonts w:cstheme="minorHAnsi"/>
        </w:rPr>
        <w:t xml:space="preserve">imbues </w:t>
      </w:r>
      <w:r w:rsidR="00651C9B">
        <w:rPr>
          <w:rFonts w:cstheme="minorHAnsi"/>
        </w:rPr>
        <w:t>old age and ageing.</w:t>
      </w:r>
      <w:r w:rsidRPr="00CA7790">
        <w:rPr>
          <w:rFonts w:cstheme="minorHAnsi"/>
        </w:rPr>
        <w:t xml:space="preserve"> This </w:t>
      </w:r>
      <w:r w:rsidR="00AD26A3">
        <w:rPr>
          <w:rFonts w:cstheme="minorHAnsi"/>
        </w:rPr>
        <w:t xml:space="preserve">emerges </w:t>
      </w:r>
      <w:r w:rsidRPr="00CA7790">
        <w:rPr>
          <w:rFonts w:cstheme="minorHAnsi"/>
        </w:rPr>
        <w:t>v</w:t>
      </w:r>
      <w:r w:rsidR="00651C9B">
        <w:rPr>
          <w:rFonts w:cstheme="minorHAnsi"/>
        </w:rPr>
        <w:t>ividly</w:t>
      </w:r>
      <w:r w:rsidRPr="00CA7790">
        <w:rPr>
          <w:rFonts w:cstheme="minorHAnsi"/>
        </w:rPr>
        <w:t xml:space="preserve"> in one of her</w:t>
      </w:r>
      <w:r w:rsidR="00FD40FF">
        <w:rPr>
          <w:rFonts w:cstheme="minorHAnsi"/>
        </w:rPr>
        <w:t xml:space="preserve"> (undeservedly)</w:t>
      </w:r>
      <w:r w:rsidRPr="00CA7790">
        <w:rPr>
          <w:rFonts w:cstheme="minorHAnsi"/>
        </w:rPr>
        <w:t xml:space="preserve"> </w:t>
      </w:r>
      <w:proofErr w:type="gramStart"/>
      <w:r w:rsidRPr="00CA7790">
        <w:rPr>
          <w:rFonts w:cstheme="minorHAnsi"/>
        </w:rPr>
        <w:t>lesser known</w:t>
      </w:r>
      <w:proofErr w:type="gramEnd"/>
      <w:r w:rsidRPr="00CA7790">
        <w:rPr>
          <w:rFonts w:cstheme="minorHAnsi"/>
        </w:rPr>
        <w:t xml:space="preserve"> works, </w:t>
      </w:r>
      <w:r w:rsidRPr="00CA7790">
        <w:rPr>
          <w:rFonts w:cstheme="minorHAnsi"/>
          <w:i/>
          <w:iCs/>
        </w:rPr>
        <w:t>All Men are Mortal.</w:t>
      </w:r>
      <w:r w:rsidR="00DE20CA">
        <w:rPr>
          <w:rStyle w:val="FootnoteReference"/>
          <w:rFonts w:cstheme="minorHAnsi"/>
          <w:i/>
          <w:iCs/>
        </w:rPr>
        <w:footnoteReference w:id="50"/>
      </w:r>
      <w:r w:rsidRPr="00CA7790">
        <w:rPr>
          <w:rFonts w:cstheme="minorHAnsi"/>
        </w:rPr>
        <w:t xml:space="preserve"> </w:t>
      </w:r>
      <w:r w:rsidR="000F134E" w:rsidRPr="00CA7790">
        <w:rPr>
          <w:rFonts w:cstheme="minorHAnsi"/>
        </w:rPr>
        <w:t>Here</w:t>
      </w:r>
      <w:r w:rsidR="002E5AF8" w:rsidRPr="00CA7790">
        <w:rPr>
          <w:rFonts w:cstheme="minorHAnsi"/>
        </w:rPr>
        <w:t xml:space="preserve">, through the character of her immortal protagonist, Count </w:t>
      </w:r>
      <w:proofErr w:type="spellStart"/>
      <w:r w:rsidR="002E5AF8" w:rsidRPr="00CA7790">
        <w:rPr>
          <w:rFonts w:cstheme="minorHAnsi"/>
        </w:rPr>
        <w:t>Fosca</w:t>
      </w:r>
      <w:proofErr w:type="spellEnd"/>
      <w:r w:rsidR="002E5AF8" w:rsidRPr="00CA7790">
        <w:rPr>
          <w:rFonts w:cstheme="minorHAnsi"/>
        </w:rPr>
        <w:t xml:space="preserve">, </w:t>
      </w:r>
      <w:r w:rsidR="00AD26A3">
        <w:rPr>
          <w:rFonts w:cstheme="minorHAnsi"/>
        </w:rPr>
        <w:t xml:space="preserve">Beauvoir advances </w:t>
      </w:r>
      <w:r w:rsidR="002E5AF8" w:rsidRPr="00CA7790">
        <w:rPr>
          <w:rFonts w:cstheme="minorHAnsi"/>
        </w:rPr>
        <w:t>several arguments</w:t>
      </w:r>
      <w:r w:rsidR="00AD26A3">
        <w:rPr>
          <w:rFonts w:cstheme="minorHAnsi"/>
        </w:rPr>
        <w:t xml:space="preserve"> i</w:t>
      </w:r>
      <w:r w:rsidR="002E5AF8" w:rsidRPr="00CA7790">
        <w:rPr>
          <w:rFonts w:cstheme="minorHAnsi"/>
        </w:rPr>
        <w:t xml:space="preserve">n favour of </w:t>
      </w:r>
      <w:r w:rsidR="00CA1E10">
        <w:rPr>
          <w:rFonts w:cstheme="minorHAnsi"/>
        </w:rPr>
        <w:t>“</w:t>
      </w:r>
      <w:r w:rsidR="002E5AF8" w:rsidRPr="00CA7790">
        <w:rPr>
          <w:rFonts w:cstheme="minorHAnsi"/>
        </w:rPr>
        <w:t>mortality</w:t>
      </w:r>
      <w:r w:rsidR="00CA1E10">
        <w:rPr>
          <w:rFonts w:cstheme="minorHAnsi"/>
        </w:rPr>
        <w:t>”</w:t>
      </w:r>
      <w:r w:rsidR="002E5AF8" w:rsidRPr="00CA7790">
        <w:rPr>
          <w:rFonts w:cstheme="minorHAnsi"/>
        </w:rPr>
        <w:t xml:space="preserve"> and all it entails</w:t>
      </w:r>
      <w:r w:rsidR="00CA1E10">
        <w:rPr>
          <w:rFonts w:cstheme="minorHAnsi"/>
        </w:rPr>
        <w:t>, including ageing</w:t>
      </w:r>
      <w:r w:rsidR="002E5AF8" w:rsidRPr="00CA7790">
        <w:rPr>
          <w:rFonts w:cstheme="minorHAnsi"/>
        </w:rPr>
        <w:t xml:space="preserve">. Firstly, without it one would not feel able to invest in anything and certainly one would lack human emotions which contain within them knowledge of transience. Along with that, there would be an alienation from the world, a sense of indifference to its variety, </w:t>
      </w:r>
      <w:r w:rsidR="00651C9B">
        <w:rPr>
          <w:rFonts w:cstheme="minorHAnsi"/>
        </w:rPr>
        <w:t xml:space="preserve">the </w:t>
      </w:r>
      <w:r w:rsidR="002E5AF8" w:rsidRPr="00CA7790">
        <w:rPr>
          <w:rFonts w:cstheme="minorHAnsi"/>
        </w:rPr>
        <w:t xml:space="preserve">loss of any sense of the uniqueness of people and things </w:t>
      </w:r>
      <w:proofErr w:type="gramStart"/>
      <w:r w:rsidR="002E5AF8" w:rsidRPr="00CA7790">
        <w:rPr>
          <w:rFonts w:cstheme="minorHAnsi"/>
        </w:rPr>
        <w:t>and also</w:t>
      </w:r>
      <w:proofErr w:type="gramEnd"/>
      <w:r w:rsidR="002E5AF8" w:rsidRPr="00CA7790">
        <w:rPr>
          <w:rFonts w:cstheme="minorHAnsi"/>
        </w:rPr>
        <w:t xml:space="preserve"> </w:t>
      </w:r>
      <w:r w:rsidR="00651C9B">
        <w:rPr>
          <w:rFonts w:cstheme="minorHAnsi"/>
        </w:rPr>
        <w:t xml:space="preserve">a sense </w:t>
      </w:r>
      <w:r w:rsidR="002E5AF8" w:rsidRPr="00CA7790">
        <w:rPr>
          <w:rFonts w:cstheme="minorHAnsi"/>
        </w:rPr>
        <w:t xml:space="preserve">of being without </w:t>
      </w:r>
      <w:r w:rsidR="00651C9B">
        <w:rPr>
          <w:rFonts w:cstheme="minorHAnsi"/>
        </w:rPr>
        <w:t xml:space="preserve">a </w:t>
      </w:r>
      <w:r w:rsidR="002E5AF8" w:rsidRPr="00CA7790">
        <w:rPr>
          <w:rFonts w:cstheme="minorHAnsi"/>
        </w:rPr>
        <w:t>home</w:t>
      </w:r>
      <w:r w:rsidR="00651C9B">
        <w:rPr>
          <w:rFonts w:cstheme="minorHAnsi"/>
        </w:rPr>
        <w:t xml:space="preserve"> in the world</w:t>
      </w:r>
      <w:r w:rsidR="002E5AF8" w:rsidRPr="00CA7790">
        <w:rPr>
          <w:rFonts w:cstheme="minorHAnsi"/>
        </w:rPr>
        <w:t xml:space="preserve">. </w:t>
      </w:r>
      <w:r w:rsidR="00AD26A3">
        <w:rPr>
          <w:rFonts w:cstheme="minorHAnsi"/>
        </w:rPr>
        <w:t>T</w:t>
      </w:r>
      <w:r w:rsidR="002E5AF8" w:rsidRPr="00CA7790">
        <w:rPr>
          <w:rFonts w:cstheme="minorHAnsi"/>
        </w:rPr>
        <w:t xml:space="preserve">here would not be a story but simply an incoherent ramble, taking up a thread and dropping </w:t>
      </w:r>
      <w:r w:rsidR="006A345B">
        <w:rPr>
          <w:rFonts w:cstheme="minorHAnsi"/>
        </w:rPr>
        <w:t>i</w:t>
      </w:r>
      <w:r w:rsidR="002E5AF8" w:rsidRPr="00CA7790">
        <w:rPr>
          <w:rFonts w:cstheme="minorHAnsi"/>
        </w:rPr>
        <w:t xml:space="preserve">t again. </w:t>
      </w:r>
    </w:p>
    <w:p w14:paraId="763275C1" w14:textId="110CCA04" w:rsidR="004E3042" w:rsidRPr="00CA7790" w:rsidRDefault="00FE282E" w:rsidP="004A3181">
      <w:pPr>
        <w:spacing w:line="360" w:lineRule="auto"/>
        <w:ind w:firstLine="284"/>
        <w:rPr>
          <w:rFonts w:cstheme="minorHAnsi"/>
        </w:rPr>
      </w:pPr>
      <w:proofErr w:type="spellStart"/>
      <w:r w:rsidRPr="00CA7790">
        <w:rPr>
          <w:rFonts w:cstheme="minorHAnsi"/>
        </w:rPr>
        <w:t>Fosca</w:t>
      </w:r>
      <w:proofErr w:type="spellEnd"/>
      <w:r w:rsidRPr="00CA7790">
        <w:rPr>
          <w:rFonts w:cstheme="minorHAnsi"/>
        </w:rPr>
        <w:t xml:space="preserve"> cannot feel human emotions</w:t>
      </w:r>
      <w:r w:rsidR="00AD26A3">
        <w:rPr>
          <w:rFonts w:cstheme="minorHAnsi"/>
        </w:rPr>
        <w:t xml:space="preserve">, because of this, </w:t>
      </w:r>
      <w:r w:rsidR="00E83371">
        <w:rPr>
          <w:rFonts w:cstheme="minorHAnsi"/>
        </w:rPr>
        <w:t xml:space="preserve">and thus </w:t>
      </w:r>
      <w:r w:rsidRPr="00CA7790">
        <w:rPr>
          <w:rFonts w:cstheme="minorHAnsi"/>
        </w:rPr>
        <w:t xml:space="preserve">he feels </w:t>
      </w:r>
      <w:r w:rsidR="00FD40FF">
        <w:rPr>
          <w:rFonts w:cstheme="minorHAnsi"/>
        </w:rPr>
        <w:t>“</w:t>
      </w:r>
      <w:r w:rsidRPr="00CA7790">
        <w:rPr>
          <w:rFonts w:cstheme="minorHAnsi"/>
        </w:rPr>
        <w:t>dead</w:t>
      </w:r>
      <w:r w:rsidR="00FD40FF">
        <w:rPr>
          <w:rFonts w:cstheme="minorHAnsi"/>
        </w:rPr>
        <w:t>”</w:t>
      </w:r>
      <w:r w:rsidRPr="00CA7790">
        <w:rPr>
          <w:rFonts w:cstheme="minorHAnsi"/>
        </w:rPr>
        <w:t xml:space="preserve">. Interestingly, it is love </w:t>
      </w:r>
      <w:r w:rsidR="00142572">
        <w:rPr>
          <w:rFonts w:cstheme="minorHAnsi"/>
        </w:rPr>
        <w:t xml:space="preserve">focused on the unique and irreplaceable nature of the individual </w:t>
      </w:r>
      <w:r w:rsidRPr="00CA7790">
        <w:rPr>
          <w:rFonts w:cstheme="minorHAnsi"/>
        </w:rPr>
        <w:t xml:space="preserve">that offers him the only hope of re-engaging with life again. When </w:t>
      </w:r>
      <w:r w:rsidR="006A345B">
        <w:rPr>
          <w:rFonts w:cstheme="minorHAnsi"/>
        </w:rPr>
        <w:t xml:space="preserve">he </w:t>
      </w:r>
      <w:r w:rsidRPr="00CA7790">
        <w:rPr>
          <w:rFonts w:cstheme="minorHAnsi"/>
        </w:rPr>
        <w:t>first meet</w:t>
      </w:r>
      <w:r w:rsidR="006A345B">
        <w:rPr>
          <w:rFonts w:cstheme="minorHAnsi"/>
        </w:rPr>
        <w:t>s</w:t>
      </w:r>
      <w:r w:rsidRPr="00CA7790">
        <w:rPr>
          <w:rFonts w:cstheme="minorHAnsi"/>
        </w:rPr>
        <w:t xml:space="preserve"> Regina, an aspiring actress who </w:t>
      </w:r>
      <w:r w:rsidR="00AD26A3">
        <w:rPr>
          <w:rFonts w:cstheme="minorHAnsi"/>
        </w:rPr>
        <w:t xml:space="preserve">craves </w:t>
      </w:r>
      <w:r w:rsidRPr="00CA7790">
        <w:rPr>
          <w:rFonts w:cstheme="minorHAnsi"/>
        </w:rPr>
        <w:t xml:space="preserve">ever-lasting fame </w:t>
      </w:r>
      <w:proofErr w:type="gramStart"/>
      <w:r w:rsidRPr="00CA7790">
        <w:rPr>
          <w:rFonts w:cstheme="minorHAnsi"/>
        </w:rPr>
        <w:t>as a result of</w:t>
      </w:r>
      <w:proofErr w:type="gramEnd"/>
      <w:r w:rsidRPr="00CA7790">
        <w:rPr>
          <w:rFonts w:cstheme="minorHAnsi"/>
        </w:rPr>
        <w:t xml:space="preserve"> her association with </w:t>
      </w:r>
      <w:r w:rsidR="00AD26A3">
        <w:rPr>
          <w:rFonts w:cstheme="minorHAnsi"/>
        </w:rPr>
        <w:t>an immortal</w:t>
      </w:r>
      <w:r w:rsidRPr="00CA7790">
        <w:rPr>
          <w:rFonts w:cstheme="minorHAnsi"/>
        </w:rPr>
        <w:t xml:space="preserve">, he </w:t>
      </w:r>
      <w:r w:rsidR="004E3042" w:rsidRPr="00CA7790">
        <w:rPr>
          <w:rFonts w:cstheme="minorHAnsi"/>
        </w:rPr>
        <w:t>implores her</w:t>
      </w:r>
      <w:r w:rsidRPr="00CA7790">
        <w:rPr>
          <w:rFonts w:cstheme="minorHAnsi"/>
        </w:rPr>
        <w:t xml:space="preserve">: </w:t>
      </w:r>
      <w:r w:rsidR="00994A18">
        <w:rPr>
          <w:rFonts w:cstheme="minorHAnsi"/>
        </w:rPr>
        <w:t>“`</w:t>
      </w:r>
      <w:r w:rsidRPr="00CA7790">
        <w:rPr>
          <w:rFonts w:cstheme="minorHAnsi"/>
        </w:rPr>
        <w:t xml:space="preserve">Save me from the </w:t>
      </w:r>
      <w:r w:rsidRPr="00CA7790">
        <w:rPr>
          <w:rFonts w:cstheme="minorHAnsi"/>
        </w:rPr>
        <w:lastRenderedPageBreak/>
        <w:t>night and from apathy</w:t>
      </w:r>
      <w:r w:rsidR="00AD26A3">
        <w:rPr>
          <w:rFonts w:cstheme="minorHAnsi"/>
        </w:rPr>
        <w:t xml:space="preserve"> </w:t>
      </w:r>
      <w:r w:rsidR="00994A18">
        <w:rPr>
          <w:rFonts w:cstheme="minorHAnsi"/>
        </w:rPr>
        <w:t>[</w:t>
      </w:r>
      <w:r w:rsidRPr="00CA7790">
        <w:rPr>
          <w:rFonts w:cstheme="minorHAnsi"/>
        </w:rPr>
        <w:t>…</w:t>
      </w:r>
      <w:r w:rsidR="00994A18">
        <w:rPr>
          <w:rFonts w:cstheme="minorHAnsi"/>
        </w:rPr>
        <w:t>]</w:t>
      </w:r>
      <w:r w:rsidRPr="00CA7790">
        <w:rPr>
          <w:rFonts w:cstheme="minorHAnsi"/>
        </w:rPr>
        <w:t xml:space="preserve"> Make me love you and know that you alone exist among all other women. Then the world will return to its original shape. There will be tears, smiles, expectations, fears. I’ll be a living man again</w:t>
      </w:r>
      <w:r w:rsidR="003B7851">
        <w:rPr>
          <w:rFonts w:cstheme="minorHAnsi"/>
        </w:rPr>
        <w:t>.</w:t>
      </w:r>
      <w:r w:rsidR="00754A41">
        <w:rPr>
          <w:rFonts w:cstheme="minorHAnsi"/>
        </w:rPr>
        <w:t>’</w:t>
      </w:r>
      <w:r w:rsidR="00DE20CA">
        <w:rPr>
          <w:rFonts w:cstheme="minorHAnsi"/>
        </w:rPr>
        <w:t>”</w:t>
      </w:r>
      <w:r w:rsidR="00DE20CA">
        <w:rPr>
          <w:rStyle w:val="FootnoteReference"/>
          <w:rFonts w:cstheme="minorHAnsi"/>
        </w:rPr>
        <w:footnoteReference w:id="51"/>
      </w:r>
      <w:r w:rsidRPr="00CA7790">
        <w:rPr>
          <w:rFonts w:cstheme="minorHAnsi"/>
        </w:rPr>
        <w:t xml:space="preserve"> </w:t>
      </w:r>
      <w:r w:rsidR="00102F10" w:rsidRPr="00CA7790">
        <w:rPr>
          <w:rFonts w:cstheme="minorHAnsi"/>
        </w:rPr>
        <w:t xml:space="preserve"> </w:t>
      </w:r>
      <w:r w:rsidR="000030A1">
        <w:rPr>
          <w:rFonts w:cstheme="minorHAnsi"/>
        </w:rPr>
        <w:t>He suspect</w:t>
      </w:r>
      <w:r w:rsidR="00142572">
        <w:rPr>
          <w:rFonts w:cstheme="minorHAnsi"/>
        </w:rPr>
        <w:t>s, even then, that</w:t>
      </w:r>
      <w:r w:rsidR="000030A1">
        <w:rPr>
          <w:rFonts w:cstheme="minorHAnsi"/>
        </w:rPr>
        <w:t xml:space="preserve"> this w</w:t>
      </w:r>
      <w:r w:rsidR="00142572">
        <w:rPr>
          <w:rFonts w:cstheme="minorHAnsi"/>
        </w:rPr>
        <w:t>ould be</w:t>
      </w:r>
      <w:r w:rsidR="000030A1">
        <w:rPr>
          <w:rFonts w:cstheme="minorHAnsi"/>
        </w:rPr>
        <w:t xml:space="preserve"> impossible</w:t>
      </w:r>
      <w:r w:rsidR="00102F10" w:rsidRPr="00CA7790">
        <w:rPr>
          <w:rFonts w:cstheme="minorHAnsi"/>
        </w:rPr>
        <w:t xml:space="preserve">; he had tried to go down this path once before, centuries ago, with a woman called Marianne, </w:t>
      </w:r>
      <w:r w:rsidR="00A576BA" w:rsidRPr="00CA7790">
        <w:rPr>
          <w:rFonts w:cstheme="minorHAnsi"/>
        </w:rPr>
        <w:t>but of course it had not lasted</w:t>
      </w:r>
      <w:r w:rsidR="000030A1">
        <w:rPr>
          <w:rFonts w:cstheme="minorHAnsi"/>
        </w:rPr>
        <w:t xml:space="preserve">: </w:t>
      </w:r>
      <w:r w:rsidR="00A576BA" w:rsidRPr="00CA7790">
        <w:rPr>
          <w:rFonts w:cstheme="minorHAnsi"/>
        </w:rPr>
        <w:t>she had</w:t>
      </w:r>
      <w:r w:rsidR="000030A1">
        <w:rPr>
          <w:rFonts w:cstheme="minorHAnsi"/>
        </w:rPr>
        <w:t>, eventually,</w:t>
      </w:r>
      <w:r w:rsidR="00A576BA" w:rsidRPr="00CA7790">
        <w:rPr>
          <w:rFonts w:cstheme="minorHAnsi"/>
        </w:rPr>
        <w:t xml:space="preserve"> died. And so, condemned to immortality,</w:t>
      </w:r>
      <w:r w:rsidR="000030A1">
        <w:rPr>
          <w:rFonts w:cstheme="minorHAnsi"/>
        </w:rPr>
        <w:t xml:space="preserve"> alone,</w:t>
      </w:r>
      <w:r w:rsidR="00A576BA" w:rsidRPr="00CA7790">
        <w:rPr>
          <w:rFonts w:cstheme="minorHAnsi"/>
        </w:rPr>
        <w:t xml:space="preserve"> </w:t>
      </w:r>
      <w:r w:rsidR="00DE20CA">
        <w:rPr>
          <w:rFonts w:cstheme="minorHAnsi"/>
        </w:rPr>
        <w:t>“</w:t>
      </w:r>
      <w:r w:rsidR="0099168A" w:rsidRPr="00CA7790">
        <w:rPr>
          <w:rFonts w:cstheme="minorHAnsi"/>
        </w:rPr>
        <w:t>I looked hard at the saffron-coloured rose but there had been too many roses in my life, too many spring times</w:t>
      </w:r>
      <w:r w:rsidR="003B7851">
        <w:rPr>
          <w:rFonts w:cstheme="minorHAnsi"/>
        </w:rPr>
        <w:t>.</w:t>
      </w:r>
      <w:r w:rsidR="00DE20CA">
        <w:rPr>
          <w:rFonts w:cstheme="minorHAnsi"/>
        </w:rPr>
        <w:t>”</w:t>
      </w:r>
      <w:r w:rsidR="00DE20CA">
        <w:rPr>
          <w:rStyle w:val="FootnoteReference"/>
          <w:rFonts w:cstheme="minorHAnsi"/>
        </w:rPr>
        <w:footnoteReference w:id="52"/>
      </w:r>
      <w:r w:rsidR="0099168A" w:rsidRPr="00CA7790">
        <w:rPr>
          <w:rFonts w:cstheme="minorHAnsi"/>
        </w:rPr>
        <w:t xml:space="preserve"> And similarly he </w:t>
      </w:r>
      <w:r w:rsidR="004E3042" w:rsidRPr="00CA7790">
        <w:rPr>
          <w:rFonts w:cstheme="minorHAnsi"/>
        </w:rPr>
        <w:t>declares</w:t>
      </w:r>
      <w:r w:rsidR="0099168A" w:rsidRPr="00CA7790">
        <w:rPr>
          <w:rFonts w:cstheme="minorHAnsi"/>
        </w:rPr>
        <w:t>:</w:t>
      </w:r>
      <w:r w:rsidR="00A17A78">
        <w:rPr>
          <w:rFonts w:cstheme="minorHAnsi"/>
        </w:rPr>
        <w:t xml:space="preserve"> “</w:t>
      </w:r>
      <w:r w:rsidR="0099168A" w:rsidRPr="00CA7790">
        <w:rPr>
          <w:rFonts w:cstheme="minorHAnsi"/>
        </w:rPr>
        <w:t>I hated old men because they were aware of their whole lives behind them, round and full like a huge cake.</w:t>
      </w:r>
      <w:r w:rsidR="00A17A78">
        <w:rPr>
          <w:rFonts w:cstheme="minorHAnsi"/>
        </w:rPr>
        <w:t>”</w:t>
      </w:r>
      <w:r w:rsidR="00A17A78">
        <w:rPr>
          <w:rStyle w:val="FootnoteReference"/>
          <w:rFonts w:cstheme="minorHAnsi"/>
        </w:rPr>
        <w:footnoteReference w:id="53"/>
      </w:r>
      <w:r w:rsidR="00142572">
        <w:rPr>
          <w:rFonts w:cstheme="minorHAnsi"/>
        </w:rPr>
        <w:t xml:space="preserve"> Life everlasting, for </w:t>
      </w:r>
      <w:proofErr w:type="spellStart"/>
      <w:r w:rsidR="00142572">
        <w:rPr>
          <w:rFonts w:cstheme="minorHAnsi"/>
        </w:rPr>
        <w:t>Fosca</w:t>
      </w:r>
      <w:proofErr w:type="spellEnd"/>
      <w:r w:rsidR="00142572">
        <w:rPr>
          <w:rFonts w:cstheme="minorHAnsi"/>
        </w:rPr>
        <w:t>, without ageing and old age, is quite simply a curse.</w:t>
      </w:r>
      <w:r w:rsidR="00AD26A3">
        <w:rPr>
          <w:rFonts w:cstheme="minorHAnsi"/>
        </w:rPr>
        <w:t xml:space="preserve"> These words, written when Beauvoir was </w:t>
      </w:r>
      <w:r w:rsidR="00512FEC">
        <w:rPr>
          <w:rFonts w:cstheme="minorHAnsi"/>
        </w:rPr>
        <w:t>thirty-eight</w:t>
      </w:r>
      <w:r w:rsidR="00AD26A3">
        <w:rPr>
          <w:rFonts w:cstheme="minorHAnsi"/>
        </w:rPr>
        <w:t>, express a truth that is suppressed</w:t>
      </w:r>
      <w:r w:rsidR="00FD40FF">
        <w:rPr>
          <w:rFonts w:cstheme="minorHAnsi"/>
        </w:rPr>
        <w:t xml:space="preserve"> personally at this point </w:t>
      </w:r>
      <w:r w:rsidR="00AD26A3">
        <w:rPr>
          <w:rFonts w:cstheme="minorHAnsi"/>
        </w:rPr>
        <w:t>by the stronger strand of melancholia.</w:t>
      </w:r>
    </w:p>
    <w:p w14:paraId="6D8B2C65" w14:textId="6EBACA3B" w:rsidR="004A3181" w:rsidRPr="00CA7790" w:rsidRDefault="000030A1" w:rsidP="004A3181">
      <w:pPr>
        <w:spacing w:line="360" w:lineRule="auto"/>
        <w:ind w:firstLine="284"/>
        <w:rPr>
          <w:rFonts w:cstheme="minorHAnsi"/>
        </w:rPr>
      </w:pPr>
      <w:r>
        <w:rPr>
          <w:rFonts w:cstheme="minorHAnsi"/>
        </w:rPr>
        <w:t>At this point</w:t>
      </w:r>
      <w:r w:rsidR="00512FEC">
        <w:rPr>
          <w:rFonts w:cstheme="minorHAnsi"/>
        </w:rPr>
        <w:t>,</w:t>
      </w:r>
      <w:r>
        <w:rPr>
          <w:rFonts w:cstheme="minorHAnsi"/>
        </w:rPr>
        <w:t xml:space="preserve"> </w:t>
      </w:r>
      <w:r w:rsidR="00AD26A3">
        <w:rPr>
          <w:rFonts w:cstheme="minorHAnsi"/>
        </w:rPr>
        <w:t>I</w:t>
      </w:r>
      <w:r>
        <w:rPr>
          <w:rFonts w:cstheme="minorHAnsi"/>
        </w:rPr>
        <w:t xml:space="preserve"> return to the question which underpins the paper: h</w:t>
      </w:r>
      <w:r w:rsidR="004E3042" w:rsidRPr="00CA7790">
        <w:rPr>
          <w:rFonts w:cstheme="minorHAnsi"/>
        </w:rPr>
        <w:t>ow is i</w:t>
      </w:r>
      <w:r w:rsidR="00AD26A3">
        <w:rPr>
          <w:rFonts w:cstheme="minorHAnsi"/>
        </w:rPr>
        <w:t xml:space="preserve">t </w:t>
      </w:r>
      <w:r w:rsidR="004E3042" w:rsidRPr="00CA7790">
        <w:rPr>
          <w:rFonts w:cstheme="minorHAnsi"/>
        </w:rPr>
        <w:t xml:space="preserve">that Beauvoir is finally able to reconcile herself to the necessity of a life course that includes old age as well as youth? </w:t>
      </w:r>
      <w:r w:rsidR="00DE53B0" w:rsidRPr="00CA7790">
        <w:rPr>
          <w:rFonts w:cstheme="minorHAnsi"/>
        </w:rPr>
        <w:t xml:space="preserve">My suggestion, as noted, is that Beauvoir’s relationship with her mother as it develops during the latter part of her life, </w:t>
      </w:r>
      <w:r w:rsidR="00512FEC">
        <w:rPr>
          <w:rFonts w:cstheme="minorHAnsi"/>
        </w:rPr>
        <w:t>when</w:t>
      </w:r>
      <w:r>
        <w:rPr>
          <w:rFonts w:cstheme="minorHAnsi"/>
        </w:rPr>
        <w:t xml:space="preserve"> </w:t>
      </w:r>
      <w:r w:rsidR="00DE53B0" w:rsidRPr="00CA7790">
        <w:rPr>
          <w:rFonts w:cstheme="minorHAnsi"/>
        </w:rPr>
        <w:t xml:space="preserve">her mother is dying, </w:t>
      </w:r>
      <w:r>
        <w:rPr>
          <w:rFonts w:cstheme="minorHAnsi"/>
        </w:rPr>
        <w:t xml:space="preserve">as recorded in the memoir </w:t>
      </w:r>
      <w:r>
        <w:rPr>
          <w:rFonts w:cstheme="minorHAnsi"/>
          <w:i/>
          <w:iCs/>
        </w:rPr>
        <w:t xml:space="preserve">A Very Easy </w:t>
      </w:r>
      <w:r w:rsidRPr="00A00349">
        <w:rPr>
          <w:rFonts w:cstheme="minorHAnsi"/>
          <w:i/>
          <w:iCs/>
        </w:rPr>
        <w:t>Death</w:t>
      </w:r>
      <w:r>
        <w:rPr>
          <w:rFonts w:cstheme="minorHAnsi"/>
        </w:rPr>
        <w:t xml:space="preserve">, </w:t>
      </w:r>
      <w:r w:rsidR="00DE53B0" w:rsidRPr="000030A1">
        <w:rPr>
          <w:rFonts w:cstheme="minorHAnsi"/>
        </w:rPr>
        <w:t>is</w:t>
      </w:r>
      <w:r w:rsidR="00DE53B0" w:rsidRPr="00CA7790">
        <w:rPr>
          <w:rFonts w:cstheme="minorHAnsi"/>
        </w:rPr>
        <w:t xml:space="preserve"> also germane to this shift. </w:t>
      </w:r>
      <w:r w:rsidR="00A17A78">
        <w:rPr>
          <w:rFonts w:cstheme="minorHAnsi"/>
        </w:rPr>
        <w:t xml:space="preserve"> Be</w:t>
      </w:r>
      <w:r>
        <w:rPr>
          <w:rFonts w:cstheme="minorHAnsi"/>
        </w:rPr>
        <w:t>fore turning to examine this</w:t>
      </w:r>
      <w:r w:rsidR="00DE53B0" w:rsidRPr="00CA7790">
        <w:rPr>
          <w:rFonts w:cstheme="minorHAnsi"/>
        </w:rPr>
        <w:t>, further conceptual work is required to bring together two of our explanatory frameworks</w:t>
      </w:r>
      <w:r w:rsidR="00840CA7">
        <w:rPr>
          <w:rFonts w:cstheme="minorHAnsi"/>
        </w:rPr>
        <w:t xml:space="preserve"> with the aim of applying them as an analytic lens to this experience</w:t>
      </w:r>
      <w:r w:rsidR="00DE53B0" w:rsidRPr="00CA7790">
        <w:rPr>
          <w:rFonts w:cstheme="minorHAnsi"/>
        </w:rPr>
        <w:t xml:space="preserve">. That is the aim of the next section. </w:t>
      </w:r>
    </w:p>
    <w:p w14:paraId="7A300FB3" w14:textId="5ADC0BF5" w:rsidR="005D1746" w:rsidRPr="00CA7790" w:rsidRDefault="005D1746" w:rsidP="00FE282E">
      <w:pPr>
        <w:spacing w:line="360" w:lineRule="auto"/>
        <w:ind w:firstLine="284"/>
        <w:rPr>
          <w:rFonts w:cstheme="minorHAnsi"/>
        </w:rPr>
      </w:pPr>
    </w:p>
    <w:p w14:paraId="0D530C62" w14:textId="052ABEED" w:rsidR="005D1746" w:rsidRPr="00CA7790" w:rsidRDefault="00A17A78" w:rsidP="00EA4706">
      <w:pPr>
        <w:spacing w:line="360" w:lineRule="auto"/>
        <w:rPr>
          <w:rFonts w:cstheme="minorHAnsi"/>
          <w:b/>
          <w:bCs/>
        </w:rPr>
      </w:pPr>
      <w:r>
        <w:rPr>
          <w:rFonts w:cstheme="minorHAnsi"/>
          <w:b/>
          <w:bCs/>
        </w:rPr>
        <w:t xml:space="preserve">7 </w:t>
      </w:r>
      <w:r w:rsidR="000030A1">
        <w:rPr>
          <w:rFonts w:cstheme="minorHAnsi"/>
          <w:b/>
          <w:bCs/>
        </w:rPr>
        <w:t>Between m</w:t>
      </w:r>
      <w:r w:rsidR="005D1746" w:rsidRPr="00CA7790">
        <w:rPr>
          <w:rFonts w:cstheme="minorHAnsi"/>
          <w:b/>
          <w:bCs/>
        </w:rPr>
        <w:t>ourning</w:t>
      </w:r>
      <w:r w:rsidR="00AD26A3">
        <w:rPr>
          <w:rFonts w:cstheme="minorHAnsi"/>
          <w:b/>
          <w:bCs/>
        </w:rPr>
        <w:t>, melancholia</w:t>
      </w:r>
      <w:r w:rsidR="005D1746" w:rsidRPr="00CA7790">
        <w:rPr>
          <w:rFonts w:cstheme="minorHAnsi"/>
          <w:b/>
          <w:bCs/>
        </w:rPr>
        <w:t xml:space="preserve"> and the abject</w:t>
      </w:r>
    </w:p>
    <w:p w14:paraId="357A4D4C" w14:textId="14256C81" w:rsidR="006D215F" w:rsidRPr="00CA7790" w:rsidRDefault="00AA2F41" w:rsidP="00DF1C6E">
      <w:pPr>
        <w:spacing w:line="360" w:lineRule="auto"/>
        <w:rPr>
          <w:rFonts w:cstheme="minorHAnsi"/>
        </w:rPr>
      </w:pPr>
      <w:r w:rsidRPr="00CA7790">
        <w:rPr>
          <w:rFonts w:cstheme="minorHAnsi"/>
        </w:rPr>
        <w:t>In this section,</w:t>
      </w:r>
      <w:r w:rsidR="00D31F65" w:rsidRPr="00CA7790">
        <w:rPr>
          <w:rFonts w:cstheme="minorHAnsi"/>
        </w:rPr>
        <w:t xml:space="preserve"> </w:t>
      </w:r>
      <w:r w:rsidR="000F7036">
        <w:rPr>
          <w:rFonts w:cstheme="minorHAnsi"/>
        </w:rPr>
        <w:t xml:space="preserve">I suggest </w:t>
      </w:r>
      <w:r w:rsidR="00D31F65" w:rsidRPr="00CA7790">
        <w:rPr>
          <w:rFonts w:cstheme="minorHAnsi"/>
        </w:rPr>
        <w:t xml:space="preserve">ways in which the </w:t>
      </w:r>
      <w:r w:rsidR="000F7036">
        <w:rPr>
          <w:rFonts w:cstheme="minorHAnsi"/>
        </w:rPr>
        <w:t>practice</w:t>
      </w:r>
      <w:r w:rsidR="00D31F65" w:rsidRPr="00CA7790">
        <w:rPr>
          <w:rFonts w:cstheme="minorHAnsi"/>
        </w:rPr>
        <w:t xml:space="preserve"> of mourning</w:t>
      </w:r>
      <w:r w:rsidR="00E83371">
        <w:rPr>
          <w:rFonts w:cstheme="minorHAnsi"/>
        </w:rPr>
        <w:t>,</w:t>
      </w:r>
      <w:r w:rsidR="00D31F65" w:rsidRPr="00CA7790">
        <w:rPr>
          <w:rFonts w:cstheme="minorHAnsi"/>
        </w:rPr>
        <w:t xml:space="preserve"> in detaching libidinal energy from objects of attachment</w:t>
      </w:r>
      <w:r w:rsidR="00E83371">
        <w:rPr>
          <w:rFonts w:cstheme="minorHAnsi"/>
        </w:rPr>
        <w:t>,</w:t>
      </w:r>
      <w:r w:rsidR="00D31F65" w:rsidRPr="00CA7790">
        <w:rPr>
          <w:rFonts w:cstheme="minorHAnsi"/>
        </w:rPr>
        <w:t xml:space="preserve"> can serve to transform abjection and</w:t>
      </w:r>
      <w:r w:rsidR="00512FEC">
        <w:rPr>
          <w:rFonts w:cstheme="minorHAnsi"/>
        </w:rPr>
        <w:t>,</w:t>
      </w:r>
      <w:r w:rsidR="00D31F65" w:rsidRPr="00CA7790">
        <w:rPr>
          <w:rFonts w:cstheme="minorHAnsi"/>
        </w:rPr>
        <w:t xml:space="preserve"> if not wholly </w:t>
      </w:r>
      <w:r w:rsidR="000F7036">
        <w:rPr>
          <w:rFonts w:cstheme="minorHAnsi"/>
        </w:rPr>
        <w:t>undermine</w:t>
      </w:r>
      <w:r w:rsidR="00512FEC">
        <w:rPr>
          <w:rFonts w:cstheme="minorHAnsi"/>
        </w:rPr>
        <w:t>,</w:t>
      </w:r>
      <w:r w:rsidR="00D31F65" w:rsidRPr="00CA7790">
        <w:rPr>
          <w:rFonts w:cstheme="minorHAnsi"/>
        </w:rPr>
        <w:t xml:space="preserve"> then at least reduce its </w:t>
      </w:r>
      <w:r w:rsidR="00441BE1">
        <w:rPr>
          <w:rFonts w:cstheme="minorHAnsi"/>
        </w:rPr>
        <w:t>power</w:t>
      </w:r>
      <w:r w:rsidR="00BC0082">
        <w:rPr>
          <w:rFonts w:cstheme="minorHAnsi"/>
        </w:rPr>
        <w:t>,</w:t>
      </w:r>
      <w:r w:rsidR="00441BE1">
        <w:rPr>
          <w:rFonts w:cstheme="minorHAnsi"/>
        </w:rPr>
        <w:t xml:space="preserve"> both in terms of its </w:t>
      </w:r>
      <w:r w:rsidR="00D31F65" w:rsidRPr="00CA7790">
        <w:rPr>
          <w:rFonts w:cstheme="minorHAnsi"/>
        </w:rPr>
        <w:t xml:space="preserve">instability </w:t>
      </w:r>
      <w:r w:rsidR="00B931DC">
        <w:rPr>
          <w:rFonts w:cstheme="minorHAnsi"/>
        </w:rPr>
        <w:t xml:space="preserve">to the subject </w:t>
      </w:r>
      <w:r w:rsidR="00D31F65" w:rsidRPr="00CA7790">
        <w:rPr>
          <w:rFonts w:cstheme="minorHAnsi"/>
        </w:rPr>
        <w:t xml:space="preserve">and </w:t>
      </w:r>
      <w:r w:rsidR="00441BE1">
        <w:rPr>
          <w:rFonts w:cstheme="minorHAnsi"/>
        </w:rPr>
        <w:t xml:space="preserve">its </w:t>
      </w:r>
      <w:r w:rsidR="00D31F65" w:rsidRPr="00CA7790">
        <w:rPr>
          <w:rFonts w:cstheme="minorHAnsi"/>
        </w:rPr>
        <w:t>threatening quality</w:t>
      </w:r>
      <w:r w:rsidR="00B931DC">
        <w:rPr>
          <w:rFonts w:cstheme="minorHAnsi"/>
        </w:rPr>
        <w:t xml:space="preserve"> to the subject and to the object (mother)</w:t>
      </w:r>
      <w:r w:rsidR="00D31F65" w:rsidRPr="00CA7790">
        <w:rPr>
          <w:rFonts w:cstheme="minorHAnsi"/>
        </w:rPr>
        <w:t>.</w:t>
      </w:r>
      <w:r w:rsidR="00DF1C6E">
        <w:rPr>
          <w:rFonts w:cstheme="minorHAnsi"/>
        </w:rPr>
        <w:t xml:space="preserve"> </w:t>
      </w:r>
      <w:r w:rsidR="00F8306C">
        <w:rPr>
          <w:rFonts w:cstheme="minorHAnsi"/>
        </w:rPr>
        <w:t xml:space="preserve"> Melancholia arises from incomplete </w:t>
      </w:r>
      <w:r w:rsidR="00F31968">
        <w:rPr>
          <w:rFonts w:cstheme="minorHAnsi"/>
        </w:rPr>
        <w:t xml:space="preserve">individuation from the </w:t>
      </w:r>
      <w:proofErr w:type="gramStart"/>
      <w:r w:rsidR="00F31968">
        <w:rPr>
          <w:rFonts w:cstheme="minorHAnsi"/>
        </w:rPr>
        <w:t>mother,</w:t>
      </w:r>
      <w:r w:rsidR="009757B2">
        <w:rPr>
          <w:rFonts w:cstheme="minorHAnsi"/>
        </w:rPr>
        <w:t xml:space="preserve"> </w:t>
      </w:r>
      <w:r w:rsidR="00D31F65" w:rsidRPr="00CA7790">
        <w:rPr>
          <w:rFonts w:cstheme="minorHAnsi"/>
        </w:rPr>
        <w:t>because</w:t>
      </w:r>
      <w:proofErr w:type="gramEnd"/>
      <w:r w:rsidR="00D31F65" w:rsidRPr="00CA7790">
        <w:rPr>
          <w:rFonts w:cstheme="minorHAnsi"/>
        </w:rPr>
        <w:t xml:space="preserve"> separation, facilitated by abjection, has not occurred.</w:t>
      </w:r>
      <w:r w:rsidR="009757B2">
        <w:rPr>
          <w:rFonts w:cstheme="minorHAnsi"/>
        </w:rPr>
        <w:t xml:space="preserve"> </w:t>
      </w:r>
      <w:r w:rsidR="00F31968">
        <w:rPr>
          <w:rFonts w:cstheme="minorHAnsi"/>
        </w:rPr>
        <w:t>However, s</w:t>
      </w:r>
      <w:r w:rsidR="00DF1C6E">
        <w:rPr>
          <w:rFonts w:cstheme="minorHAnsi"/>
        </w:rPr>
        <w:t>uch melancholia, Kristeva state</w:t>
      </w:r>
      <w:r w:rsidR="005F5710" w:rsidRPr="00CA7790">
        <w:rPr>
          <w:rFonts w:cstheme="minorHAnsi"/>
        </w:rPr>
        <w:t>s</w:t>
      </w:r>
      <w:r w:rsidR="00DF1C6E">
        <w:rPr>
          <w:rFonts w:cstheme="minorHAnsi"/>
        </w:rPr>
        <w:t>, is</w:t>
      </w:r>
      <w:r w:rsidR="005F5710" w:rsidRPr="00CA7790">
        <w:rPr>
          <w:rFonts w:cstheme="minorHAnsi"/>
        </w:rPr>
        <w:t xml:space="preserve"> imbued with </w:t>
      </w:r>
      <w:r w:rsidR="006D215F" w:rsidRPr="00CA7790">
        <w:rPr>
          <w:rFonts w:cstheme="minorHAnsi"/>
        </w:rPr>
        <w:t>dark</w:t>
      </w:r>
      <w:r w:rsidR="000F7036">
        <w:rPr>
          <w:rFonts w:cstheme="minorHAnsi"/>
        </w:rPr>
        <w:t xml:space="preserve"> emotions, fee</w:t>
      </w:r>
      <w:r w:rsidR="006D215F" w:rsidRPr="00CA7790">
        <w:rPr>
          <w:rFonts w:cstheme="minorHAnsi"/>
        </w:rPr>
        <w:t xml:space="preserve">lings of anger as well as </w:t>
      </w:r>
      <w:r w:rsidR="00DF1C6E">
        <w:rPr>
          <w:rFonts w:cstheme="minorHAnsi"/>
        </w:rPr>
        <w:t>sorrow</w:t>
      </w:r>
      <w:r w:rsidR="000F7036">
        <w:rPr>
          <w:rFonts w:cstheme="minorHAnsi"/>
        </w:rPr>
        <w:t xml:space="preserve"> </w:t>
      </w:r>
      <w:r w:rsidR="00BD65BD">
        <w:rPr>
          <w:rFonts w:cstheme="minorHAnsi"/>
        </w:rPr>
        <w:t xml:space="preserve">that </w:t>
      </w:r>
      <w:r w:rsidR="00F90576">
        <w:rPr>
          <w:rFonts w:cstheme="minorHAnsi"/>
        </w:rPr>
        <w:t>yet in themselves keep alive the connection:</w:t>
      </w:r>
      <w:r w:rsidR="00BD65BD">
        <w:rPr>
          <w:rFonts w:cstheme="minorHAnsi"/>
        </w:rPr>
        <w:t xml:space="preserve"> </w:t>
      </w:r>
      <w:r w:rsidR="00F90576">
        <w:rPr>
          <w:rFonts w:cstheme="minorHAnsi"/>
        </w:rPr>
        <w:t>”</w:t>
      </w:r>
      <w:r w:rsidR="00BD65BD">
        <w:rPr>
          <w:rFonts w:cstheme="minorHAnsi"/>
        </w:rPr>
        <w:t>[</w:t>
      </w:r>
      <w:r w:rsidR="00F90576">
        <w:rPr>
          <w:rFonts w:cstheme="minorHAnsi"/>
        </w:rPr>
        <w:t>…</w:t>
      </w:r>
      <w:r w:rsidR="00BD65BD">
        <w:rPr>
          <w:rFonts w:cstheme="minorHAnsi"/>
        </w:rPr>
        <w:t xml:space="preserve">] </w:t>
      </w:r>
      <w:r w:rsidR="00342377">
        <w:rPr>
          <w:rFonts w:cstheme="minorHAnsi"/>
        </w:rPr>
        <w:t>in sadness the self is yet joined with the other</w:t>
      </w:r>
      <w:r w:rsidR="00BD65BD">
        <w:rPr>
          <w:rFonts w:cstheme="minorHAnsi"/>
        </w:rPr>
        <w:t xml:space="preserve"> [</w:t>
      </w:r>
      <w:r w:rsidR="00342377">
        <w:rPr>
          <w:rFonts w:cstheme="minorHAnsi"/>
        </w:rPr>
        <w:t>…</w:t>
      </w:r>
      <w:r w:rsidR="00BD65BD">
        <w:rPr>
          <w:rFonts w:cstheme="minorHAnsi"/>
        </w:rPr>
        <w:t>]</w:t>
      </w:r>
      <w:r w:rsidR="00342377">
        <w:rPr>
          <w:rFonts w:cstheme="minorHAnsi"/>
        </w:rPr>
        <w:t xml:space="preserve"> sadness would thus be the negative of omnipotence, the first and primary indication that the other is getting away from me, but that the self, nevertheless, does not put up with being abandoned</w:t>
      </w:r>
      <w:r w:rsidR="003B7851">
        <w:rPr>
          <w:rFonts w:cstheme="minorHAnsi"/>
        </w:rPr>
        <w:t>.</w:t>
      </w:r>
      <w:r w:rsidR="00BA5313">
        <w:rPr>
          <w:rFonts w:cstheme="minorHAnsi"/>
        </w:rPr>
        <w:t>”</w:t>
      </w:r>
      <w:r w:rsidR="00BA5313">
        <w:rPr>
          <w:rStyle w:val="FootnoteReference"/>
          <w:rFonts w:cstheme="minorHAnsi"/>
        </w:rPr>
        <w:footnoteReference w:id="54"/>
      </w:r>
      <w:r w:rsidR="00342377">
        <w:rPr>
          <w:rFonts w:cstheme="minorHAnsi"/>
        </w:rPr>
        <w:t xml:space="preserve"> </w:t>
      </w:r>
      <w:r w:rsidR="00DF1C6E">
        <w:rPr>
          <w:rFonts w:cstheme="minorHAnsi"/>
        </w:rPr>
        <w:t xml:space="preserve">That primal self, the Other, haunts the subject, indeed. </w:t>
      </w:r>
      <w:r w:rsidR="00E62901" w:rsidRPr="00342377">
        <w:rPr>
          <w:rFonts w:cstheme="minorHAnsi"/>
        </w:rPr>
        <w:t>The</w:t>
      </w:r>
      <w:r w:rsidR="00E62901" w:rsidRPr="00CA7790">
        <w:rPr>
          <w:rFonts w:cstheme="minorHAnsi"/>
        </w:rPr>
        <w:t xml:space="preserve"> choices </w:t>
      </w:r>
      <w:r w:rsidR="00DA0ECB">
        <w:rPr>
          <w:rFonts w:cstheme="minorHAnsi"/>
        </w:rPr>
        <w:t xml:space="preserve">between self-destruction and </w:t>
      </w:r>
      <w:r w:rsidR="00DA0ECB">
        <w:rPr>
          <w:rFonts w:cstheme="minorHAnsi"/>
        </w:rPr>
        <w:lastRenderedPageBreak/>
        <w:t xml:space="preserve">destruction of the other </w:t>
      </w:r>
      <w:r w:rsidR="00E62901" w:rsidRPr="00CA7790">
        <w:rPr>
          <w:rFonts w:cstheme="minorHAnsi"/>
        </w:rPr>
        <w:t xml:space="preserve">seem </w:t>
      </w:r>
      <w:r w:rsidR="00C341BB">
        <w:rPr>
          <w:rFonts w:cstheme="minorHAnsi"/>
        </w:rPr>
        <w:t xml:space="preserve">cruelly </w:t>
      </w:r>
      <w:r w:rsidR="00E62901" w:rsidRPr="00CA7790">
        <w:rPr>
          <w:rFonts w:cstheme="minorHAnsi"/>
        </w:rPr>
        <w:t>stark, however</w:t>
      </w:r>
      <w:r w:rsidR="00BD65BD">
        <w:rPr>
          <w:rFonts w:cstheme="minorHAnsi"/>
        </w:rPr>
        <w:t>,</w:t>
      </w:r>
      <w:r w:rsidR="00DA0ECB">
        <w:rPr>
          <w:rFonts w:cstheme="minorHAnsi"/>
        </w:rPr>
        <w:t xml:space="preserve"> and con</w:t>
      </w:r>
      <w:r w:rsidR="00DF1C6E">
        <w:rPr>
          <w:rFonts w:cstheme="minorHAnsi"/>
        </w:rPr>
        <w:t>s</w:t>
      </w:r>
      <w:r w:rsidR="00DA0ECB">
        <w:rPr>
          <w:rFonts w:cstheme="minorHAnsi"/>
        </w:rPr>
        <w:t>equently</w:t>
      </w:r>
      <w:r w:rsidR="00DF1C6E">
        <w:rPr>
          <w:rFonts w:cstheme="minorHAnsi"/>
        </w:rPr>
        <w:t xml:space="preserve"> there is the need to explore</w:t>
      </w:r>
      <w:r w:rsidR="006D215F" w:rsidRPr="00CA7790">
        <w:rPr>
          <w:rFonts w:cstheme="minorHAnsi"/>
        </w:rPr>
        <w:t xml:space="preserve"> alternative way</w:t>
      </w:r>
      <w:r w:rsidR="00DF1C6E">
        <w:rPr>
          <w:rFonts w:cstheme="minorHAnsi"/>
        </w:rPr>
        <w:t>s</w:t>
      </w:r>
      <w:r w:rsidR="006D215F" w:rsidRPr="00CA7790">
        <w:rPr>
          <w:rFonts w:cstheme="minorHAnsi"/>
        </w:rPr>
        <w:t xml:space="preserve"> of understanding the process of self-assertion and individuation which </w:t>
      </w:r>
      <w:r w:rsidR="00E62901" w:rsidRPr="00CA7790">
        <w:rPr>
          <w:rFonts w:cstheme="minorHAnsi"/>
        </w:rPr>
        <w:t xml:space="preserve">may </w:t>
      </w:r>
      <w:r w:rsidR="006D215F" w:rsidRPr="00CA7790">
        <w:rPr>
          <w:rFonts w:cstheme="minorHAnsi"/>
        </w:rPr>
        <w:t>incorporate alternative images and metaphors</w:t>
      </w:r>
      <w:r w:rsidR="00DF1C6E">
        <w:rPr>
          <w:rFonts w:cstheme="minorHAnsi"/>
        </w:rPr>
        <w:t>.</w:t>
      </w:r>
      <w:r w:rsidR="006D215F" w:rsidRPr="00CA7790">
        <w:rPr>
          <w:rFonts w:cstheme="minorHAnsi"/>
        </w:rPr>
        <w:t xml:space="preserve"> Can we move beyond abjection</w:t>
      </w:r>
      <w:r w:rsidR="00520F0B">
        <w:rPr>
          <w:rFonts w:cstheme="minorHAnsi"/>
        </w:rPr>
        <w:t xml:space="preserve">, which is to say, beyond rejection and expulsion </w:t>
      </w:r>
      <w:r w:rsidR="00523C61">
        <w:rPr>
          <w:rFonts w:cstheme="minorHAnsi"/>
        </w:rPr>
        <w:t xml:space="preserve">of the Other </w:t>
      </w:r>
      <w:r w:rsidR="00520F0B">
        <w:rPr>
          <w:rFonts w:cstheme="minorHAnsi"/>
        </w:rPr>
        <w:t xml:space="preserve">to a more harmonious, not to mention, stable </w:t>
      </w:r>
      <w:r w:rsidR="00E869DE">
        <w:rPr>
          <w:rFonts w:cstheme="minorHAnsi"/>
        </w:rPr>
        <w:t>co-</w:t>
      </w:r>
      <w:r w:rsidR="00520F0B">
        <w:rPr>
          <w:rFonts w:cstheme="minorHAnsi"/>
        </w:rPr>
        <w:t>existence</w:t>
      </w:r>
      <w:r w:rsidR="006D215F" w:rsidRPr="00CA7790">
        <w:rPr>
          <w:rFonts w:cstheme="minorHAnsi"/>
        </w:rPr>
        <w:t>? Here I am thinking of modes that, while not denying difference and the pain of separati</w:t>
      </w:r>
      <w:r w:rsidR="00C341BB">
        <w:rPr>
          <w:rFonts w:cstheme="minorHAnsi"/>
        </w:rPr>
        <w:t>on</w:t>
      </w:r>
      <w:r w:rsidR="006D215F" w:rsidRPr="00CA7790">
        <w:rPr>
          <w:rFonts w:cstheme="minorHAnsi"/>
        </w:rPr>
        <w:t xml:space="preserve">, also acknowledge and highlight the more benevolent and cooperative elements that clearly </w:t>
      </w:r>
      <w:r w:rsidR="00C341BB">
        <w:rPr>
          <w:rFonts w:cstheme="minorHAnsi"/>
        </w:rPr>
        <w:t>continue to exist</w:t>
      </w:r>
      <w:r w:rsidR="00E62901" w:rsidRPr="00CA7790">
        <w:rPr>
          <w:rFonts w:cstheme="minorHAnsi"/>
        </w:rPr>
        <w:t xml:space="preserve"> between mothers and daughters (as well as generations of women)</w:t>
      </w:r>
      <w:r w:rsidR="006D215F" w:rsidRPr="00CA7790">
        <w:rPr>
          <w:rFonts w:cstheme="minorHAnsi"/>
        </w:rPr>
        <w:t>.</w:t>
      </w:r>
    </w:p>
    <w:p w14:paraId="3DF9AA1C" w14:textId="5567636A" w:rsidR="006D215F" w:rsidRDefault="005653B1" w:rsidP="006D215F">
      <w:pPr>
        <w:spacing w:line="360" w:lineRule="auto"/>
        <w:ind w:right="284" w:firstLine="284"/>
        <w:rPr>
          <w:rFonts w:cstheme="minorHAnsi"/>
        </w:rPr>
      </w:pPr>
      <w:r>
        <w:rPr>
          <w:rFonts w:cstheme="minorHAnsi"/>
        </w:rPr>
        <w:t xml:space="preserve">The theories of Donald Winnicott </w:t>
      </w:r>
      <w:r w:rsidR="00523C61">
        <w:rPr>
          <w:rFonts w:cstheme="minorHAnsi"/>
        </w:rPr>
        <w:t xml:space="preserve">adumbrate this </w:t>
      </w:r>
      <w:r>
        <w:rPr>
          <w:rFonts w:cstheme="minorHAnsi"/>
        </w:rPr>
        <w:t>middle-ground</w:t>
      </w:r>
      <w:r w:rsidR="00BA5313">
        <w:rPr>
          <w:rFonts w:cstheme="minorHAnsi"/>
        </w:rPr>
        <w:t>.</w:t>
      </w:r>
      <w:r w:rsidR="00F96B10">
        <w:rPr>
          <w:rStyle w:val="FootnoteReference"/>
          <w:rFonts w:cstheme="minorHAnsi"/>
        </w:rPr>
        <w:footnoteReference w:id="55"/>
      </w:r>
      <w:r w:rsidR="006D215F" w:rsidRPr="00CA7790">
        <w:rPr>
          <w:rFonts w:cstheme="minorHAnsi"/>
        </w:rPr>
        <w:t xml:space="preserve"> Discussing </w:t>
      </w:r>
      <w:r w:rsidR="003D59CE" w:rsidRPr="00CA7790">
        <w:rPr>
          <w:rFonts w:cstheme="minorHAnsi"/>
        </w:rPr>
        <w:t xml:space="preserve">the several stages of development of the infant self, </w:t>
      </w:r>
      <w:r w:rsidR="00E62901" w:rsidRPr="00CA7790">
        <w:rPr>
          <w:rFonts w:cstheme="minorHAnsi"/>
        </w:rPr>
        <w:t xml:space="preserve">Winnicott </w:t>
      </w:r>
      <w:r w:rsidR="003D59CE" w:rsidRPr="00CA7790">
        <w:rPr>
          <w:rFonts w:cstheme="minorHAnsi"/>
        </w:rPr>
        <w:t xml:space="preserve">describes how first the child requires the mother’s attention, experienced through a mutual gazing, or mirroring, during which the child develops a sense of self. Then, as the child grows in self-confidence, there appears an oscillation between closeness and distance, in which the mother gives the child sufficient support to feel confident and secure whilst also giving </w:t>
      </w:r>
      <w:r w:rsidR="00D408C7">
        <w:rPr>
          <w:rFonts w:cstheme="minorHAnsi"/>
        </w:rPr>
        <w:t>them</w:t>
      </w:r>
      <w:r w:rsidR="003D59CE" w:rsidRPr="00CA7790">
        <w:rPr>
          <w:rFonts w:cstheme="minorHAnsi"/>
        </w:rPr>
        <w:t xml:space="preserve"> space to separate. The child must be able to be close, then separate, then </w:t>
      </w:r>
      <w:r w:rsidR="00523C61">
        <w:rPr>
          <w:rFonts w:cstheme="minorHAnsi"/>
        </w:rPr>
        <w:t>return</w:t>
      </w:r>
      <w:r w:rsidR="003D59CE" w:rsidRPr="00CA7790">
        <w:rPr>
          <w:rFonts w:cstheme="minorHAnsi"/>
        </w:rPr>
        <w:t xml:space="preserve"> to the mother again </w:t>
      </w:r>
      <w:proofErr w:type="gramStart"/>
      <w:r w:rsidR="003D59CE" w:rsidRPr="00CA7790">
        <w:rPr>
          <w:rFonts w:cstheme="minorHAnsi"/>
        </w:rPr>
        <w:t>in order to</w:t>
      </w:r>
      <w:proofErr w:type="gramEnd"/>
      <w:r w:rsidR="003D59CE" w:rsidRPr="00CA7790">
        <w:rPr>
          <w:rFonts w:cstheme="minorHAnsi"/>
        </w:rPr>
        <w:t xml:space="preserve"> complete the process of separation. </w:t>
      </w:r>
      <w:r w:rsidR="00E62901" w:rsidRPr="00CA7790">
        <w:rPr>
          <w:rFonts w:cstheme="minorHAnsi"/>
        </w:rPr>
        <w:t xml:space="preserve">This does not involve matricide or self-destruction but </w:t>
      </w:r>
      <w:r w:rsidR="004E6D47">
        <w:rPr>
          <w:rFonts w:cstheme="minorHAnsi"/>
        </w:rPr>
        <w:t xml:space="preserve">is </w:t>
      </w:r>
      <w:r w:rsidR="00E62901" w:rsidRPr="00CA7790">
        <w:rPr>
          <w:rFonts w:cstheme="minorHAnsi"/>
        </w:rPr>
        <w:t xml:space="preserve">more like the mutual recognition described by </w:t>
      </w:r>
      <w:r w:rsidR="001D6831">
        <w:rPr>
          <w:rFonts w:cstheme="minorHAnsi"/>
        </w:rPr>
        <w:t xml:space="preserve">Jessica </w:t>
      </w:r>
      <w:r w:rsidR="00E62901" w:rsidRPr="00CA7790">
        <w:rPr>
          <w:rFonts w:cstheme="minorHAnsi"/>
        </w:rPr>
        <w:t>Benjamin</w:t>
      </w:r>
      <w:r w:rsidR="004E6D47">
        <w:rPr>
          <w:rFonts w:cstheme="minorHAnsi"/>
        </w:rPr>
        <w:t xml:space="preserve"> as the basis for intersubjective personhood which requires </w:t>
      </w:r>
      <w:r w:rsidR="001271F4">
        <w:rPr>
          <w:rFonts w:cstheme="minorHAnsi"/>
        </w:rPr>
        <w:t>each party</w:t>
      </w:r>
      <w:r w:rsidR="004E6D47">
        <w:rPr>
          <w:rFonts w:cstheme="minorHAnsi"/>
        </w:rPr>
        <w:t xml:space="preserve"> </w:t>
      </w:r>
      <w:r w:rsidR="001271F4">
        <w:rPr>
          <w:rFonts w:cstheme="minorHAnsi"/>
        </w:rPr>
        <w:t>“</w:t>
      </w:r>
      <w:r w:rsidR="004E6D47">
        <w:rPr>
          <w:rFonts w:cstheme="minorHAnsi"/>
        </w:rPr>
        <w:t>to recognize the other as a separate person who is like us yet distinct</w:t>
      </w:r>
      <w:r w:rsidR="003B7851">
        <w:rPr>
          <w:rFonts w:cstheme="minorHAnsi"/>
        </w:rPr>
        <w:t>.</w:t>
      </w:r>
      <w:r w:rsidR="001271F4">
        <w:rPr>
          <w:rFonts w:cstheme="minorHAnsi"/>
        </w:rPr>
        <w:t>”</w:t>
      </w:r>
      <w:r w:rsidR="001271F4">
        <w:rPr>
          <w:rStyle w:val="FootnoteReference"/>
          <w:rFonts w:cstheme="minorHAnsi"/>
        </w:rPr>
        <w:footnoteReference w:id="56"/>
      </w:r>
      <w:r w:rsidR="004E6D47">
        <w:rPr>
          <w:rFonts w:cstheme="minorHAnsi"/>
        </w:rPr>
        <w:t xml:space="preserve"> </w:t>
      </w:r>
      <w:r w:rsidR="001271F4">
        <w:rPr>
          <w:rFonts w:cstheme="minorHAnsi"/>
        </w:rPr>
        <w:t>On her part,</w:t>
      </w:r>
      <w:r>
        <w:rPr>
          <w:rFonts w:cstheme="minorHAnsi"/>
        </w:rPr>
        <w:t xml:space="preserve"> the mother needs to be responsive, certainly, but not wholly self-sacrificing, merely </w:t>
      </w:r>
      <w:r w:rsidR="005A7EE4">
        <w:rPr>
          <w:rFonts w:cstheme="minorHAnsi"/>
        </w:rPr>
        <w:t>“</w:t>
      </w:r>
      <w:r>
        <w:rPr>
          <w:rFonts w:cstheme="minorHAnsi"/>
        </w:rPr>
        <w:t>good enough</w:t>
      </w:r>
      <w:r w:rsidR="005A7EE4">
        <w:rPr>
          <w:rFonts w:cstheme="minorHAnsi"/>
        </w:rPr>
        <w:t>”</w:t>
      </w:r>
      <w:r w:rsidR="004E6D47">
        <w:rPr>
          <w:rFonts w:cstheme="minorHAnsi"/>
        </w:rPr>
        <w:t xml:space="preserve"> in Winnicott’s famous words</w:t>
      </w:r>
      <w:r>
        <w:rPr>
          <w:rFonts w:cstheme="minorHAnsi"/>
        </w:rPr>
        <w:t xml:space="preserve">. </w:t>
      </w:r>
      <w:r w:rsidR="003D59CE" w:rsidRPr="00CA7790">
        <w:rPr>
          <w:rFonts w:cstheme="minorHAnsi"/>
        </w:rPr>
        <w:t>A</w:t>
      </w:r>
      <w:r w:rsidR="005A7EE4">
        <w:rPr>
          <w:rFonts w:cstheme="minorHAnsi"/>
        </w:rPr>
        <w:t>s Alice Miller further explains, a</w:t>
      </w:r>
      <w:r w:rsidR="003D59CE" w:rsidRPr="00CA7790">
        <w:rPr>
          <w:rFonts w:cstheme="minorHAnsi"/>
        </w:rPr>
        <w:t xml:space="preserve"> child who does not feel that security cannot separate</w:t>
      </w:r>
      <w:r w:rsidR="005A4794">
        <w:rPr>
          <w:rFonts w:cstheme="minorHAnsi"/>
        </w:rPr>
        <w:t xml:space="preserve"> and where she</w:t>
      </w:r>
      <w:r w:rsidR="003D59CE" w:rsidRPr="00CA7790">
        <w:rPr>
          <w:rFonts w:cstheme="minorHAnsi"/>
        </w:rPr>
        <w:t xml:space="preserve"> seek</w:t>
      </w:r>
      <w:r w:rsidR="005A4794">
        <w:rPr>
          <w:rFonts w:cstheme="minorHAnsi"/>
        </w:rPr>
        <w:t>s</w:t>
      </w:r>
      <w:r w:rsidR="003D59CE" w:rsidRPr="00CA7790">
        <w:rPr>
          <w:rFonts w:cstheme="minorHAnsi"/>
        </w:rPr>
        <w:t xml:space="preserve"> to meet her own needs through the child and not vice versa, </w:t>
      </w:r>
      <w:r w:rsidR="00907147">
        <w:rPr>
          <w:rFonts w:cstheme="minorHAnsi"/>
        </w:rPr>
        <w:t>“</w:t>
      </w:r>
      <w:r w:rsidR="003D59CE" w:rsidRPr="00CA7790">
        <w:rPr>
          <w:rFonts w:cstheme="minorHAnsi"/>
        </w:rPr>
        <w:t>this child would remain without a mirror</w:t>
      </w:r>
      <w:r w:rsidR="00BA5313">
        <w:rPr>
          <w:rFonts w:cstheme="minorHAnsi"/>
        </w:rPr>
        <w:t>.</w:t>
      </w:r>
      <w:r w:rsidR="00907147">
        <w:rPr>
          <w:rFonts w:cstheme="minorHAnsi"/>
        </w:rPr>
        <w:t>”</w:t>
      </w:r>
      <w:r w:rsidR="00907147">
        <w:rPr>
          <w:rStyle w:val="FootnoteReference"/>
          <w:rFonts w:cstheme="minorHAnsi"/>
        </w:rPr>
        <w:footnoteReference w:id="57"/>
      </w:r>
      <w:r w:rsidR="003D59CE" w:rsidRPr="00CA7790">
        <w:rPr>
          <w:rFonts w:cstheme="minorHAnsi"/>
        </w:rPr>
        <w:t xml:space="preserve"> </w:t>
      </w:r>
      <w:r w:rsidR="004E6D47">
        <w:rPr>
          <w:rFonts w:cstheme="minorHAnsi"/>
        </w:rPr>
        <w:t>Th</w:t>
      </w:r>
      <w:r w:rsidR="003D59CE" w:rsidRPr="00CA7790">
        <w:rPr>
          <w:rFonts w:cstheme="minorHAnsi"/>
        </w:rPr>
        <w:t>is</w:t>
      </w:r>
      <w:r w:rsidR="004E6D47">
        <w:rPr>
          <w:rFonts w:cstheme="minorHAnsi"/>
        </w:rPr>
        <w:t>,</w:t>
      </w:r>
      <w:r w:rsidR="003D59CE" w:rsidRPr="00CA7790">
        <w:rPr>
          <w:rFonts w:cstheme="minorHAnsi"/>
        </w:rPr>
        <w:t xml:space="preserve"> too</w:t>
      </w:r>
      <w:r w:rsidR="004E6D47">
        <w:rPr>
          <w:rFonts w:cstheme="minorHAnsi"/>
        </w:rPr>
        <w:t>,</w:t>
      </w:r>
      <w:r w:rsidR="003D59CE" w:rsidRPr="00CA7790">
        <w:rPr>
          <w:rFonts w:cstheme="minorHAnsi"/>
        </w:rPr>
        <w:t xml:space="preserve"> </w:t>
      </w:r>
      <w:r w:rsidR="00EE663E">
        <w:rPr>
          <w:rFonts w:cstheme="minorHAnsi"/>
        </w:rPr>
        <w:t xml:space="preserve">however, seems bleakly deterministic, </w:t>
      </w:r>
      <w:r w:rsidR="00FF3B34">
        <w:rPr>
          <w:rFonts w:cstheme="minorHAnsi"/>
        </w:rPr>
        <w:t>shutting the daughter into an infinite enfilade of mirrors without</w:t>
      </w:r>
      <w:r w:rsidR="003D59CE" w:rsidRPr="00CA7790">
        <w:rPr>
          <w:rFonts w:cstheme="minorHAnsi"/>
        </w:rPr>
        <w:t xml:space="preserve"> </w:t>
      </w:r>
      <w:r w:rsidR="004B1172" w:rsidRPr="00CA7790">
        <w:rPr>
          <w:rFonts w:cstheme="minorHAnsi"/>
        </w:rPr>
        <w:t xml:space="preserve">exit. </w:t>
      </w:r>
    </w:p>
    <w:p w14:paraId="41D69379" w14:textId="1E8DE25E" w:rsidR="00326670" w:rsidRPr="00CA7790" w:rsidRDefault="004E6D47" w:rsidP="0012466E">
      <w:pPr>
        <w:spacing w:line="360" w:lineRule="auto"/>
        <w:ind w:right="284" w:firstLine="284"/>
        <w:rPr>
          <w:rFonts w:cstheme="minorHAnsi"/>
        </w:rPr>
      </w:pPr>
      <w:r>
        <w:rPr>
          <w:rFonts w:cstheme="minorHAnsi"/>
        </w:rPr>
        <w:t>However, t</w:t>
      </w:r>
      <w:r w:rsidR="0012466E">
        <w:rPr>
          <w:rFonts w:cstheme="minorHAnsi"/>
        </w:rPr>
        <w:t xml:space="preserve">he adult child can </w:t>
      </w:r>
      <w:r>
        <w:rPr>
          <w:rFonts w:cstheme="minorHAnsi"/>
        </w:rPr>
        <w:t xml:space="preserve">surely </w:t>
      </w:r>
      <w:r w:rsidR="00840CA7">
        <w:rPr>
          <w:rFonts w:cstheme="minorHAnsi"/>
        </w:rPr>
        <w:t xml:space="preserve">strive to </w:t>
      </w:r>
      <w:r w:rsidR="0012466E">
        <w:rPr>
          <w:rFonts w:cstheme="minorHAnsi"/>
        </w:rPr>
        <w:t>find a</w:t>
      </w:r>
      <w:r w:rsidR="00F31968">
        <w:rPr>
          <w:rFonts w:cstheme="minorHAnsi"/>
        </w:rPr>
        <w:t>n alternative to the forking</w:t>
      </w:r>
      <w:r w:rsidR="00DF1C6E">
        <w:rPr>
          <w:rFonts w:cstheme="minorHAnsi"/>
        </w:rPr>
        <w:t xml:space="preserve"> paths of both </w:t>
      </w:r>
      <w:r w:rsidR="0012466E">
        <w:rPr>
          <w:rFonts w:cstheme="minorHAnsi"/>
        </w:rPr>
        <w:t>melancholia and abjection; indeed</w:t>
      </w:r>
      <w:r w:rsidR="00DF1C6E">
        <w:rPr>
          <w:rFonts w:cstheme="minorHAnsi"/>
        </w:rPr>
        <w:t>, if women are to be recognised</w:t>
      </w:r>
      <w:r w:rsidR="00840CA7">
        <w:rPr>
          <w:rFonts w:cstheme="minorHAnsi"/>
        </w:rPr>
        <w:t xml:space="preserve"> and to experience themselves</w:t>
      </w:r>
      <w:r w:rsidR="00DF1C6E">
        <w:rPr>
          <w:rFonts w:cstheme="minorHAnsi"/>
        </w:rPr>
        <w:t xml:space="preserve"> as full subjects,</w:t>
      </w:r>
      <w:r w:rsidR="0012466E">
        <w:rPr>
          <w:rFonts w:cstheme="minorHAnsi"/>
        </w:rPr>
        <w:t xml:space="preserve"> </w:t>
      </w:r>
      <w:r w:rsidR="00DF1C6E">
        <w:rPr>
          <w:rFonts w:cstheme="minorHAnsi"/>
        </w:rPr>
        <w:t xml:space="preserve">this </w:t>
      </w:r>
      <w:r w:rsidR="00840CA7">
        <w:rPr>
          <w:rFonts w:cstheme="minorHAnsi"/>
        </w:rPr>
        <w:t xml:space="preserve">is both </w:t>
      </w:r>
      <w:r w:rsidR="0012466E">
        <w:rPr>
          <w:rFonts w:cstheme="minorHAnsi"/>
        </w:rPr>
        <w:t xml:space="preserve">a </w:t>
      </w:r>
      <w:r w:rsidR="00DF1C6E">
        <w:rPr>
          <w:rFonts w:cstheme="minorHAnsi"/>
        </w:rPr>
        <w:t xml:space="preserve">psychological </w:t>
      </w:r>
      <w:r w:rsidR="00840CA7">
        <w:rPr>
          <w:rFonts w:cstheme="minorHAnsi"/>
        </w:rPr>
        <w:t xml:space="preserve">and social </w:t>
      </w:r>
      <w:r w:rsidR="0012466E">
        <w:rPr>
          <w:rFonts w:cstheme="minorHAnsi"/>
        </w:rPr>
        <w:t xml:space="preserve">imperative. </w:t>
      </w:r>
      <w:r w:rsidR="00F31968">
        <w:rPr>
          <w:rFonts w:cstheme="minorHAnsi"/>
        </w:rPr>
        <w:t xml:space="preserve">In other </w:t>
      </w:r>
      <w:proofErr w:type="gramStart"/>
      <w:r w:rsidR="00F31968">
        <w:rPr>
          <w:rFonts w:cstheme="minorHAnsi"/>
        </w:rPr>
        <w:t xml:space="preserve">words, </w:t>
      </w:r>
      <w:r w:rsidR="00FD40FF">
        <w:rPr>
          <w:rFonts w:cstheme="minorHAnsi"/>
        </w:rPr>
        <w:t xml:space="preserve"> thi</w:t>
      </w:r>
      <w:r w:rsidR="00E62901" w:rsidRPr="00CA7790">
        <w:rPr>
          <w:rFonts w:cstheme="minorHAnsi"/>
        </w:rPr>
        <w:t>s</w:t>
      </w:r>
      <w:proofErr w:type="gramEnd"/>
      <w:r w:rsidR="00E62901" w:rsidRPr="00CA7790">
        <w:rPr>
          <w:rFonts w:cstheme="minorHAnsi"/>
        </w:rPr>
        <w:t xml:space="preserve"> denial of maternal subjec</w:t>
      </w:r>
      <w:r w:rsidR="005A7EE4">
        <w:rPr>
          <w:rFonts w:cstheme="minorHAnsi"/>
        </w:rPr>
        <w:t>thood</w:t>
      </w:r>
      <w:r w:rsidR="00E62901" w:rsidRPr="00CA7790">
        <w:rPr>
          <w:rFonts w:cstheme="minorHAnsi"/>
        </w:rPr>
        <w:t xml:space="preserve">, through an account that posits her othering as the </w:t>
      </w:r>
      <w:r w:rsidR="005A068C">
        <w:rPr>
          <w:rFonts w:cstheme="minorHAnsi"/>
        </w:rPr>
        <w:t>“</w:t>
      </w:r>
      <w:r w:rsidR="00E62901" w:rsidRPr="00CA7790">
        <w:rPr>
          <w:rFonts w:cstheme="minorHAnsi"/>
        </w:rPr>
        <w:t>sine</w:t>
      </w:r>
      <w:r w:rsidR="0012466E">
        <w:rPr>
          <w:rFonts w:cstheme="minorHAnsi"/>
        </w:rPr>
        <w:t>-</w:t>
      </w:r>
      <w:r w:rsidR="00E62901" w:rsidRPr="00CA7790">
        <w:rPr>
          <w:rFonts w:cstheme="minorHAnsi"/>
        </w:rPr>
        <w:t xml:space="preserve"> qua</w:t>
      </w:r>
      <w:r w:rsidR="0012466E">
        <w:rPr>
          <w:rFonts w:cstheme="minorHAnsi"/>
        </w:rPr>
        <w:t>-</w:t>
      </w:r>
      <w:r w:rsidR="00E62901" w:rsidRPr="00CA7790">
        <w:rPr>
          <w:rFonts w:cstheme="minorHAnsi"/>
        </w:rPr>
        <w:t>non</w:t>
      </w:r>
      <w:r w:rsidR="005A068C">
        <w:rPr>
          <w:rFonts w:cstheme="minorHAnsi"/>
        </w:rPr>
        <w:t xml:space="preserve">” </w:t>
      </w:r>
      <w:r w:rsidR="00E62901" w:rsidRPr="00CA7790">
        <w:rPr>
          <w:rFonts w:cstheme="minorHAnsi"/>
        </w:rPr>
        <w:t>of selfhood</w:t>
      </w:r>
      <w:r w:rsidR="005A068C">
        <w:rPr>
          <w:rFonts w:cstheme="minorHAnsi"/>
        </w:rPr>
        <w:t>,</w:t>
      </w:r>
      <w:r w:rsidR="0012466E">
        <w:rPr>
          <w:rFonts w:cstheme="minorHAnsi"/>
        </w:rPr>
        <w:t xml:space="preserve"> </w:t>
      </w:r>
      <w:r w:rsidR="00E62901" w:rsidRPr="00CA7790">
        <w:rPr>
          <w:rFonts w:cstheme="minorHAnsi"/>
        </w:rPr>
        <w:t xml:space="preserve"> requires critique and resistance</w:t>
      </w:r>
      <w:r w:rsidR="00BA5313">
        <w:rPr>
          <w:rFonts w:cstheme="minorHAnsi"/>
        </w:rPr>
        <w:t>.</w:t>
      </w:r>
      <w:r w:rsidR="00D65E91">
        <w:rPr>
          <w:rStyle w:val="FootnoteReference"/>
          <w:rFonts w:cstheme="minorHAnsi"/>
        </w:rPr>
        <w:footnoteReference w:id="58"/>
      </w:r>
      <w:r w:rsidR="00E62901" w:rsidRPr="00CA7790">
        <w:rPr>
          <w:rFonts w:cstheme="minorHAnsi"/>
        </w:rPr>
        <w:t xml:space="preserve"> In this spirit, </w:t>
      </w:r>
      <w:r w:rsidR="0012466E">
        <w:rPr>
          <w:rFonts w:cstheme="minorHAnsi"/>
        </w:rPr>
        <w:t xml:space="preserve">Madelyn </w:t>
      </w:r>
      <w:proofErr w:type="spellStart"/>
      <w:r w:rsidR="00E62901" w:rsidRPr="00CA7790">
        <w:rPr>
          <w:rFonts w:cstheme="minorHAnsi"/>
        </w:rPr>
        <w:t>Detloff</w:t>
      </w:r>
      <w:proofErr w:type="spellEnd"/>
      <w:r w:rsidR="006D215F" w:rsidRPr="00CA7790">
        <w:rPr>
          <w:rFonts w:cstheme="minorHAnsi"/>
        </w:rPr>
        <w:t xml:space="preserve"> stresses the work of mourning in facilitating alternative options, for example, for intergenerational dialogue and acceptance of difference</w:t>
      </w:r>
      <w:r w:rsidR="00B7503E" w:rsidRPr="00CA7790">
        <w:rPr>
          <w:rFonts w:cstheme="minorHAnsi"/>
        </w:rPr>
        <w:t xml:space="preserve"> between mothers and daughters</w:t>
      </w:r>
      <w:r w:rsidR="006D215F" w:rsidRPr="00CA7790">
        <w:rPr>
          <w:rFonts w:cstheme="minorHAnsi"/>
        </w:rPr>
        <w:t xml:space="preserve">. She notes: </w:t>
      </w:r>
      <w:r w:rsidR="005A068C">
        <w:rPr>
          <w:rFonts w:cstheme="minorHAnsi"/>
        </w:rPr>
        <w:t>“</w:t>
      </w:r>
      <w:r w:rsidR="006D215F" w:rsidRPr="00CA7790">
        <w:rPr>
          <w:rFonts w:cstheme="minorHAnsi"/>
        </w:rPr>
        <w:t xml:space="preserve">The ambivalence that complicates individuation for women is the result of an unconscious and therefore </w:t>
      </w:r>
      <w:proofErr w:type="spellStart"/>
      <w:r w:rsidR="006D215F" w:rsidRPr="00CA7790">
        <w:rPr>
          <w:rFonts w:cstheme="minorHAnsi"/>
        </w:rPr>
        <w:t>unmourned</w:t>
      </w:r>
      <w:proofErr w:type="spellEnd"/>
      <w:r w:rsidR="006D215F" w:rsidRPr="00CA7790">
        <w:rPr>
          <w:rFonts w:cstheme="minorHAnsi"/>
        </w:rPr>
        <w:t xml:space="preserve"> </w:t>
      </w:r>
      <w:r w:rsidR="006D215F" w:rsidRPr="00CA7790">
        <w:rPr>
          <w:rFonts w:cstheme="minorHAnsi"/>
        </w:rPr>
        <w:lastRenderedPageBreak/>
        <w:t>loss of attachment to the mother</w:t>
      </w:r>
      <w:r w:rsidR="00BA5313">
        <w:rPr>
          <w:rFonts w:cstheme="minorHAnsi"/>
        </w:rPr>
        <w:t>.</w:t>
      </w:r>
      <w:r w:rsidR="005A068C">
        <w:rPr>
          <w:rFonts w:cstheme="minorHAnsi"/>
        </w:rPr>
        <w:t>”</w:t>
      </w:r>
      <w:r w:rsidR="005A068C">
        <w:rPr>
          <w:rStyle w:val="FootnoteReference"/>
          <w:rFonts w:cstheme="minorHAnsi"/>
        </w:rPr>
        <w:footnoteReference w:id="59"/>
      </w:r>
      <w:r w:rsidR="006D215F" w:rsidRPr="00CA7790">
        <w:rPr>
          <w:rFonts w:cstheme="minorHAnsi"/>
        </w:rPr>
        <w:t xml:space="preserve"> </w:t>
      </w:r>
      <w:r w:rsidR="00840CA7">
        <w:rPr>
          <w:rFonts w:cstheme="minorHAnsi"/>
        </w:rPr>
        <w:t>Her suggestion</w:t>
      </w:r>
      <w:r w:rsidR="006D215F" w:rsidRPr="00CA7790">
        <w:rPr>
          <w:rFonts w:cstheme="minorHAnsi"/>
        </w:rPr>
        <w:t xml:space="preserve"> is: </w:t>
      </w:r>
      <w:r w:rsidR="005A068C">
        <w:rPr>
          <w:rFonts w:cstheme="minorHAnsi"/>
        </w:rPr>
        <w:t>“</w:t>
      </w:r>
      <w:r w:rsidR="006D215F" w:rsidRPr="00CA7790">
        <w:rPr>
          <w:rFonts w:cstheme="minorHAnsi"/>
        </w:rPr>
        <w:t>instead of reiterating the melancholic – suicidal consequences for connectedness – Kristeva’s ‘I am she</w:t>
      </w:r>
      <w:r w:rsidR="005A068C">
        <w:rPr>
          <w:rFonts w:cstheme="minorHAnsi"/>
        </w:rPr>
        <w:t>’</w:t>
      </w:r>
      <w:r w:rsidR="006D215F" w:rsidRPr="00CA7790">
        <w:rPr>
          <w:rFonts w:cstheme="minorHAnsi"/>
        </w:rPr>
        <w:t xml:space="preserve"> – we might offer a variation of the refrain by replacing the metaphor with a simile – </w:t>
      </w:r>
      <w:r w:rsidR="005A068C">
        <w:rPr>
          <w:rFonts w:cstheme="minorHAnsi"/>
        </w:rPr>
        <w:t>‘</w:t>
      </w:r>
      <w:r w:rsidR="006D215F" w:rsidRPr="00CA7790">
        <w:rPr>
          <w:rFonts w:cstheme="minorHAnsi"/>
        </w:rPr>
        <w:t>I am like her</w:t>
      </w:r>
      <w:r w:rsidR="005A068C">
        <w:rPr>
          <w:rFonts w:cstheme="minorHAnsi"/>
        </w:rPr>
        <w:t>’</w:t>
      </w:r>
      <w:r w:rsidR="006D215F" w:rsidRPr="00CA7790">
        <w:rPr>
          <w:rFonts w:cstheme="minorHAnsi"/>
        </w:rPr>
        <w:t xml:space="preserve"> (and </w:t>
      </w:r>
      <w:r w:rsidR="005A068C">
        <w:rPr>
          <w:rFonts w:cstheme="minorHAnsi"/>
        </w:rPr>
        <w:t>‘</w:t>
      </w:r>
      <w:r w:rsidR="006D215F" w:rsidRPr="00CA7790">
        <w:rPr>
          <w:rFonts w:cstheme="minorHAnsi"/>
        </w:rPr>
        <w:t>I am not like her</w:t>
      </w:r>
      <w:r w:rsidR="005A068C">
        <w:rPr>
          <w:rFonts w:cstheme="minorHAnsi"/>
        </w:rPr>
        <w:t>’</w:t>
      </w:r>
      <w:r w:rsidR="006D215F" w:rsidRPr="00CA7790">
        <w:rPr>
          <w:rFonts w:cstheme="minorHAnsi"/>
        </w:rPr>
        <w:t>)</w:t>
      </w:r>
      <w:r w:rsidR="00C92F0A">
        <w:rPr>
          <w:rFonts w:cstheme="minorHAnsi"/>
        </w:rPr>
        <w:t>.</w:t>
      </w:r>
      <w:r w:rsidR="005A068C">
        <w:rPr>
          <w:rFonts w:cstheme="minorHAnsi"/>
        </w:rPr>
        <w:t>”</w:t>
      </w:r>
      <w:r w:rsidR="005A068C">
        <w:rPr>
          <w:rStyle w:val="FootnoteReference"/>
          <w:rFonts w:cstheme="minorHAnsi"/>
        </w:rPr>
        <w:footnoteReference w:id="60"/>
      </w:r>
      <w:r w:rsidR="00B7503E" w:rsidRPr="00CA7790">
        <w:rPr>
          <w:rFonts w:cstheme="minorHAnsi"/>
        </w:rPr>
        <w:t xml:space="preserve"> </w:t>
      </w:r>
      <w:r w:rsidR="00DF1C6E">
        <w:rPr>
          <w:rFonts w:cstheme="minorHAnsi"/>
        </w:rPr>
        <w:t>Identif</w:t>
      </w:r>
      <w:r w:rsidR="00230C5E">
        <w:rPr>
          <w:rFonts w:cstheme="minorHAnsi"/>
        </w:rPr>
        <w:t>ication with elements of the lost mother, which is part of the process of mourning according to Freud, is another way of viewing an ongoing relationship that is neither one of merging nor sharp separation.</w:t>
      </w:r>
      <w:r w:rsidR="0012466E">
        <w:rPr>
          <w:rFonts w:cstheme="minorHAnsi"/>
        </w:rPr>
        <w:t xml:space="preserve"> </w:t>
      </w:r>
      <w:r w:rsidR="00B7503E" w:rsidRPr="00CA7790">
        <w:rPr>
          <w:rFonts w:cstheme="minorHAnsi"/>
        </w:rPr>
        <w:t>Successful mourning in that sense</w:t>
      </w:r>
      <w:r w:rsidR="00B47462" w:rsidRPr="00CA7790">
        <w:rPr>
          <w:rFonts w:cstheme="minorHAnsi"/>
        </w:rPr>
        <w:t xml:space="preserve"> would </w:t>
      </w:r>
      <w:r w:rsidR="00326670" w:rsidRPr="00CA7790">
        <w:rPr>
          <w:rFonts w:cstheme="minorHAnsi"/>
        </w:rPr>
        <w:t xml:space="preserve">make </w:t>
      </w:r>
      <w:r>
        <w:rPr>
          <w:rFonts w:cstheme="minorHAnsi"/>
        </w:rPr>
        <w:t xml:space="preserve">possible </w:t>
      </w:r>
      <w:r w:rsidR="00326670" w:rsidRPr="00CA7790">
        <w:rPr>
          <w:rFonts w:cstheme="minorHAnsi"/>
        </w:rPr>
        <w:t xml:space="preserve">as well  a more </w:t>
      </w:r>
      <w:r w:rsidR="00DC0C00">
        <w:rPr>
          <w:rFonts w:cstheme="minorHAnsi"/>
        </w:rPr>
        <w:t>“</w:t>
      </w:r>
      <w:r w:rsidR="00326670" w:rsidRPr="00CA7790">
        <w:rPr>
          <w:rFonts w:cstheme="minorHAnsi"/>
        </w:rPr>
        <w:t>mature</w:t>
      </w:r>
      <w:r w:rsidR="00DC0C00">
        <w:rPr>
          <w:rFonts w:cstheme="minorHAnsi"/>
        </w:rPr>
        <w:t>”</w:t>
      </w:r>
      <w:r w:rsidR="00326670" w:rsidRPr="00CA7790">
        <w:rPr>
          <w:rFonts w:cstheme="minorHAnsi"/>
        </w:rPr>
        <w:t xml:space="preserve"> mother-daughter relationship: </w:t>
      </w:r>
      <w:r w:rsidR="00DC0C00">
        <w:rPr>
          <w:rFonts w:cstheme="minorHAnsi"/>
        </w:rPr>
        <w:t xml:space="preserve">these include </w:t>
      </w:r>
      <w:r w:rsidR="00326670" w:rsidRPr="00CA7790">
        <w:rPr>
          <w:rFonts w:cstheme="minorHAnsi"/>
        </w:rPr>
        <w:t xml:space="preserve">less conflictual relationships between generations of </w:t>
      </w:r>
      <w:r w:rsidR="0012466E">
        <w:rPr>
          <w:rFonts w:cstheme="minorHAnsi"/>
        </w:rPr>
        <w:t xml:space="preserve">women/feminists </w:t>
      </w:r>
      <w:r w:rsidR="00326670" w:rsidRPr="00CA7790">
        <w:rPr>
          <w:rFonts w:cstheme="minorHAnsi"/>
        </w:rPr>
        <w:t xml:space="preserve">for instance, and, most importantly to this paper, a different approach to age and ageing, freed from the threat of </w:t>
      </w:r>
      <w:r w:rsidR="00840CA7">
        <w:rPr>
          <w:rFonts w:cstheme="minorHAnsi"/>
        </w:rPr>
        <w:t xml:space="preserve">both </w:t>
      </w:r>
      <w:r w:rsidR="00326670" w:rsidRPr="00CA7790">
        <w:rPr>
          <w:rFonts w:cstheme="minorHAnsi"/>
        </w:rPr>
        <w:t>engulfment in the dark side of femininity</w:t>
      </w:r>
      <w:r w:rsidR="00840CA7">
        <w:rPr>
          <w:rFonts w:cstheme="minorHAnsi"/>
        </w:rPr>
        <w:t xml:space="preserve"> and </w:t>
      </w:r>
      <w:r w:rsidR="00E62901" w:rsidRPr="00CA7790">
        <w:rPr>
          <w:rFonts w:cstheme="minorHAnsi"/>
        </w:rPr>
        <w:t>the obliteration of self</w:t>
      </w:r>
      <w:r>
        <w:rPr>
          <w:rFonts w:cstheme="minorHAnsi"/>
        </w:rPr>
        <w:t xml:space="preserve"> in </w:t>
      </w:r>
      <w:r w:rsidR="00EE663E">
        <w:rPr>
          <w:rFonts w:cstheme="minorHAnsi"/>
        </w:rPr>
        <w:t xml:space="preserve">deep old age and </w:t>
      </w:r>
      <w:r>
        <w:rPr>
          <w:rFonts w:cstheme="minorHAnsi"/>
        </w:rPr>
        <w:t>death</w:t>
      </w:r>
      <w:r w:rsidR="00840CA7">
        <w:rPr>
          <w:rFonts w:cstheme="minorHAnsi"/>
        </w:rPr>
        <w:t xml:space="preserve"> which engenders a similar abjection of old age</w:t>
      </w:r>
      <w:r w:rsidR="0003567F">
        <w:rPr>
          <w:rFonts w:cstheme="minorHAnsi"/>
        </w:rPr>
        <w:t>.</w:t>
      </w:r>
      <w:r w:rsidR="00840CA7">
        <w:rPr>
          <w:rStyle w:val="FootnoteReference"/>
          <w:rFonts w:cstheme="minorHAnsi"/>
        </w:rPr>
        <w:footnoteReference w:id="61"/>
      </w:r>
    </w:p>
    <w:p w14:paraId="7361CC14" w14:textId="485F3B6F" w:rsidR="00A40DB5" w:rsidRPr="00CA7790" w:rsidRDefault="00326670" w:rsidP="006D215F">
      <w:pPr>
        <w:spacing w:line="360" w:lineRule="auto"/>
        <w:ind w:firstLine="284"/>
        <w:rPr>
          <w:rFonts w:cstheme="minorHAnsi"/>
        </w:rPr>
      </w:pPr>
      <w:r w:rsidRPr="00CA7790">
        <w:rPr>
          <w:rFonts w:cstheme="minorHAnsi"/>
        </w:rPr>
        <w:t xml:space="preserve">To see how these themes play out in Simone de Beauvoir’s personal </w:t>
      </w:r>
      <w:r w:rsidR="00785B52" w:rsidRPr="00CA7790">
        <w:rPr>
          <w:rFonts w:cstheme="minorHAnsi"/>
        </w:rPr>
        <w:t xml:space="preserve">approach to old age and ageing I </w:t>
      </w:r>
      <w:r w:rsidR="00E62901" w:rsidRPr="00CA7790">
        <w:rPr>
          <w:rFonts w:cstheme="minorHAnsi"/>
        </w:rPr>
        <w:t xml:space="preserve">now </w:t>
      </w:r>
      <w:r w:rsidR="0012466E">
        <w:rPr>
          <w:rFonts w:cstheme="minorHAnsi"/>
        </w:rPr>
        <w:t>re</w:t>
      </w:r>
      <w:r w:rsidR="00E62901" w:rsidRPr="00CA7790">
        <w:rPr>
          <w:rFonts w:cstheme="minorHAnsi"/>
        </w:rPr>
        <w:t>turn to</w:t>
      </w:r>
      <w:r w:rsidR="00785B52" w:rsidRPr="00CA7790">
        <w:rPr>
          <w:rFonts w:cstheme="minorHAnsi"/>
        </w:rPr>
        <w:t xml:space="preserve"> the short memoir she wrote about the dying and death of her mother</w:t>
      </w:r>
      <w:r w:rsidR="00E62901" w:rsidRPr="00CA7790">
        <w:rPr>
          <w:rFonts w:cstheme="minorHAnsi"/>
        </w:rPr>
        <w:t xml:space="preserve">, </w:t>
      </w:r>
      <w:r w:rsidR="00E62901" w:rsidRPr="00CA7790">
        <w:rPr>
          <w:rFonts w:cstheme="minorHAnsi"/>
          <w:i/>
          <w:iCs/>
        </w:rPr>
        <w:t>A Very Easy Death</w:t>
      </w:r>
      <w:r w:rsidR="00C92F0A">
        <w:rPr>
          <w:rFonts w:cstheme="minorHAnsi"/>
          <w:i/>
          <w:iCs/>
        </w:rPr>
        <w:t>.</w:t>
      </w:r>
      <w:r w:rsidR="00DC0C00">
        <w:rPr>
          <w:rStyle w:val="FootnoteReference"/>
          <w:rFonts w:cstheme="minorHAnsi"/>
          <w:i/>
          <w:iCs/>
        </w:rPr>
        <w:footnoteReference w:id="62"/>
      </w:r>
    </w:p>
    <w:p w14:paraId="350D0929" w14:textId="77777777" w:rsidR="00B36593" w:rsidRPr="00CA7790" w:rsidRDefault="00B36593" w:rsidP="006D215F">
      <w:pPr>
        <w:spacing w:line="360" w:lineRule="auto"/>
        <w:ind w:firstLine="284"/>
        <w:rPr>
          <w:rFonts w:cstheme="minorHAnsi"/>
        </w:rPr>
      </w:pPr>
    </w:p>
    <w:p w14:paraId="202F30A9" w14:textId="1DD08174" w:rsidR="00A40DB5" w:rsidRPr="00CA7790" w:rsidRDefault="00DC0C00" w:rsidP="00A40DB5">
      <w:pPr>
        <w:spacing w:line="360" w:lineRule="auto"/>
        <w:rPr>
          <w:rFonts w:cstheme="minorHAnsi"/>
          <w:b/>
          <w:bCs/>
        </w:rPr>
      </w:pPr>
      <w:r>
        <w:rPr>
          <w:rFonts w:cstheme="minorHAnsi"/>
          <w:b/>
          <w:bCs/>
        </w:rPr>
        <w:t xml:space="preserve">8 </w:t>
      </w:r>
      <w:r w:rsidR="00892FDF" w:rsidRPr="00CA7790">
        <w:rPr>
          <w:rFonts w:cstheme="minorHAnsi"/>
          <w:b/>
          <w:bCs/>
        </w:rPr>
        <w:t>The f</w:t>
      </w:r>
      <w:r w:rsidR="00A40DB5" w:rsidRPr="00CA7790">
        <w:rPr>
          <w:rFonts w:cstheme="minorHAnsi"/>
          <w:b/>
          <w:bCs/>
        </w:rPr>
        <w:t xml:space="preserve">ear of ageing and old age </w:t>
      </w:r>
      <w:r w:rsidR="00892FDF" w:rsidRPr="00CA7790">
        <w:rPr>
          <w:rFonts w:cstheme="minorHAnsi"/>
          <w:b/>
          <w:bCs/>
        </w:rPr>
        <w:t>of</w:t>
      </w:r>
      <w:r w:rsidR="00A40DB5" w:rsidRPr="00CA7790">
        <w:rPr>
          <w:rFonts w:cstheme="minorHAnsi"/>
          <w:b/>
          <w:bCs/>
        </w:rPr>
        <w:t xml:space="preserve"> a dutiful daughter</w:t>
      </w:r>
    </w:p>
    <w:p w14:paraId="243030F4" w14:textId="2476A27C" w:rsidR="00C93228" w:rsidRDefault="00A40DB5" w:rsidP="00886A23">
      <w:pPr>
        <w:spacing w:line="360" w:lineRule="auto"/>
        <w:ind w:firstLine="284"/>
        <w:rPr>
          <w:rFonts w:cstheme="minorHAnsi"/>
        </w:rPr>
      </w:pPr>
      <w:r w:rsidRPr="00CA7790">
        <w:rPr>
          <w:rFonts w:cstheme="minorHAnsi"/>
        </w:rPr>
        <w:t xml:space="preserve">In </w:t>
      </w:r>
      <w:r w:rsidRPr="00CA7790">
        <w:rPr>
          <w:rFonts w:cstheme="minorHAnsi"/>
          <w:i/>
          <w:iCs/>
        </w:rPr>
        <w:t>A Very Easy Death</w:t>
      </w:r>
      <w:r w:rsidR="003A098C">
        <w:rPr>
          <w:rFonts w:cstheme="minorHAnsi"/>
        </w:rPr>
        <w:t>,</w:t>
      </w:r>
      <w:r w:rsidRPr="00CA7790">
        <w:rPr>
          <w:rFonts w:cstheme="minorHAnsi"/>
        </w:rPr>
        <w:t xml:space="preserve"> Beauvoir </w:t>
      </w:r>
      <w:r w:rsidR="0012466E">
        <w:rPr>
          <w:rFonts w:cstheme="minorHAnsi"/>
        </w:rPr>
        <w:t>reflects on</w:t>
      </w:r>
      <w:r w:rsidRPr="00CA7790">
        <w:rPr>
          <w:rFonts w:cstheme="minorHAnsi"/>
        </w:rPr>
        <w:t xml:space="preserve"> </w:t>
      </w:r>
      <w:r w:rsidR="00507E18">
        <w:rPr>
          <w:rFonts w:cstheme="minorHAnsi"/>
        </w:rPr>
        <w:t>the</w:t>
      </w:r>
      <w:r w:rsidRPr="00CA7790">
        <w:rPr>
          <w:rFonts w:cstheme="minorHAnsi"/>
        </w:rPr>
        <w:t xml:space="preserve"> </w:t>
      </w:r>
      <w:r w:rsidR="007F61E9">
        <w:rPr>
          <w:rFonts w:cstheme="minorHAnsi"/>
        </w:rPr>
        <w:t xml:space="preserve">dynamic </w:t>
      </w:r>
      <w:r w:rsidR="005A2742">
        <w:rPr>
          <w:rFonts w:cstheme="minorHAnsi"/>
        </w:rPr>
        <w:t xml:space="preserve">between </w:t>
      </w:r>
      <w:r w:rsidRPr="00CA7790">
        <w:rPr>
          <w:rFonts w:cstheme="minorHAnsi"/>
        </w:rPr>
        <w:t xml:space="preserve">attraction and repulsion, closeness and distance involving </w:t>
      </w:r>
      <w:r w:rsidR="00507E18">
        <w:rPr>
          <w:rFonts w:cstheme="minorHAnsi"/>
        </w:rPr>
        <w:t>her</w:t>
      </w:r>
      <w:r w:rsidRPr="00CA7790">
        <w:rPr>
          <w:rFonts w:cstheme="minorHAnsi"/>
        </w:rPr>
        <w:t xml:space="preserve"> relationship </w:t>
      </w:r>
      <w:r w:rsidR="00507E18">
        <w:rPr>
          <w:rFonts w:cstheme="minorHAnsi"/>
        </w:rPr>
        <w:t xml:space="preserve">with her </w:t>
      </w:r>
      <w:r w:rsidRPr="00CA7790">
        <w:rPr>
          <w:rFonts w:cstheme="minorHAnsi"/>
        </w:rPr>
        <w:t>mother for the duration of her life</w:t>
      </w:r>
      <w:r w:rsidR="00507E18">
        <w:rPr>
          <w:rFonts w:cstheme="minorHAnsi"/>
        </w:rPr>
        <w:t>. At</w:t>
      </w:r>
      <w:r w:rsidRPr="00CA7790">
        <w:rPr>
          <w:rFonts w:cstheme="minorHAnsi"/>
        </w:rPr>
        <w:t xml:space="preserve"> the age of nearly</w:t>
      </w:r>
      <w:r w:rsidR="00DC0C00">
        <w:rPr>
          <w:rFonts w:cstheme="minorHAnsi"/>
        </w:rPr>
        <w:t xml:space="preserve"> fifty-seven</w:t>
      </w:r>
      <w:r w:rsidRPr="00CA7790">
        <w:rPr>
          <w:rFonts w:cstheme="minorHAnsi"/>
        </w:rPr>
        <w:t xml:space="preserve"> </w:t>
      </w:r>
      <w:r w:rsidR="007F61E9">
        <w:rPr>
          <w:rFonts w:cstheme="minorHAnsi"/>
        </w:rPr>
        <w:t>Beauvoir</w:t>
      </w:r>
      <w:r w:rsidRPr="00CA7790">
        <w:rPr>
          <w:rFonts w:cstheme="minorHAnsi"/>
        </w:rPr>
        <w:t xml:space="preserve"> </w:t>
      </w:r>
      <w:r w:rsidR="007F61E9">
        <w:rPr>
          <w:rFonts w:cstheme="minorHAnsi"/>
        </w:rPr>
        <w:t xml:space="preserve">finally </w:t>
      </w:r>
      <w:r w:rsidRPr="00CA7790">
        <w:rPr>
          <w:rFonts w:cstheme="minorHAnsi"/>
        </w:rPr>
        <w:t xml:space="preserve">succeeded in </w:t>
      </w:r>
      <w:r w:rsidR="00507E18">
        <w:rPr>
          <w:rFonts w:cstheme="minorHAnsi"/>
        </w:rPr>
        <w:t xml:space="preserve">integrating these opposites </w:t>
      </w:r>
      <w:r w:rsidR="00B36593" w:rsidRPr="00CA7790">
        <w:rPr>
          <w:rFonts w:cstheme="minorHAnsi"/>
        </w:rPr>
        <w:t xml:space="preserve">over </w:t>
      </w:r>
      <w:r w:rsidR="007F61E9">
        <w:rPr>
          <w:rFonts w:cstheme="minorHAnsi"/>
        </w:rPr>
        <w:t xml:space="preserve">the </w:t>
      </w:r>
      <w:r w:rsidR="00B36593" w:rsidRPr="00CA7790">
        <w:rPr>
          <w:rFonts w:cstheme="minorHAnsi"/>
        </w:rPr>
        <w:t>four weeks</w:t>
      </w:r>
      <w:r w:rsidRPr="00CA7790">
        <w:rPr>
          <w:rFonts w:cstheme="minorHAnsi"/>
        </w:rPr>
        <w:t xml:space="preserve"> Françoise lay dying in her </w:t>
      </w:r>
      <w:r w:rsidR="0012466E">
        <w:rPr>
          <w:rFonts w:cstheme="minorHAnsi"/>
        </w:rPr>
        <w:t>private nursing home in Paris</w:t>
      </w:r>
      <w:r w:rsidRPr="00CA7790">
        <w:rPr>
          <w:rFonts w:cstheme="minorHAnsi"/>
        </w:rPr>
        <w:t xml:space="preserve">. </w:t>
      </w:r>
      <w:r w:rsidR="0012466E">
        <w:rPr>
          <w:rFonts w:cstheme="minorHAnsi"/>
        </w:rPr>
        <w:t xml:space="preserve">Recounting </w:t>
      </w:r>
      <w:r w:rsidR="00507E18">
        <w:rPr>
          <w:rFonts w:cstheme="minorHAnsi"/>
        </w:rPr>
        <w:t>the story</w:t>
      </w:r>
      <w:r w:rsidR="0012466E">
        <w:rPr>
          <w:rFonts w:cstheme="minorHAnsi"/>
        </w:rPr>
        <w:t xml:space="preserve"> via a chronological structure, </w:t>
      </w:r>
      <w:r w:rsidR="007F61E9">
        <w:rPr>
          <w:rFonts w:cstheme="minorHAnsi"/>
        </w:rPr>
        <w:t xml:space="preserve">interspersed with flashbacks, </w:t>
      </w:r>
      <w:r w:rsidR="0012466E">
        <w:rPr>
          <w:rFonts w:cstheme="minorHAnsi"/>
        </w:rPr>
        <w:t>s</w:t>
      </w:r>
      <w:r w:rsidRPr="00CA7790">
        <w:rPr>
          <w:rFonts w:cstheme="minorHAnsi"/>
        </w:rPr>
        <w:t xml:space="preserve">everal </w:t>
      </w:r>
      <w:r w:rsidR="00FD40FF">
        <w:rPr>
          <w:rFonts w:cstheme="minorHAnsi"/>
        </w:rPr>
        <w:t>powerfully</w:t>
      </w:r>
      <w:r w:rsidRPr="00CA7790">
        <w:rPr>
          <w:rFonts w:cstheme="minorHAnsi"/>
        </w:rPr>
        <w:t xml:space="preserve"> primal feelings and emotions about her mother’s body re-emerge</w:t>
      </w:r>
      <w:r w:rsidR="007F61E9">
        <w:rPr>
          <w:rFonts w:cstheme="minorHAnsi"/>
        </w:rPr>
        <w:t xml:space="preserve"> which </w:t>
      </w:r>
      <w:r w:rsidR="0085793B">
        <w:rPr>
          <w:rFonts w:cstheme="minorHAnsi"/>
        </w:rPr>
        <w:t xml:space="preserve">may be </w:t>
      </w:r>
      <w:r w:rsidR="007F61E9">
        <w:rPr>
          <w:rFonts w:cstheme="minorHAnsi"/>
        </w:rPr>
        <w:t>captured by</w:t>
      </w:r>
      <w:r w:rsidRPr="00CA7790">
        <w:rPr>
          <w:rFonts w:cstheme="minorHAnsi"/>
        </w:rPr>
        <w:t xml:space="preserve"> the concept of abjection</w:t>
      </w:r>
      <w:r w:rsidR="0049134C" w:rsidRPr="00CA7790">
        <w:rPr>
          <w:rFonts w:cstheme="minorHAnsi"/>
        </w:rPr>
        <w:t xml:space="preserve">. </w:t>
      </w:r>
      <w:r w:rsidR="00507E18">
        <w:rPr>
          <w:rFonts w:cstheme="minorHAnsi"/>
        </w:rPr>
        <w:t>For example, s</w:t>
      </w:r>
      <w:r w:rsidR="00B36593" w:rsidRPr="00CA7790">
        <w:rPr>
          <w:rFonts w:cstheme="minorHAnsi"/>
        </w:rPr>
        <w:t>he describes how</w:t>
      </w:r>
      <w:r w:rsidR="0049134C" w:rsidRPr="00CA7790">
        <w:rPr>
          <w:rFonts w:cstheme="minorHAnsi"/>
        </w:rPr>
        <w:t xml:space="preserve">, when the nurses were treating the </w:t>
      </w:r>
      <w:r w:rsidR="00B36593" w:rsidRPr="00CA7790">
        <w:rPr>
          <w:rFonts w:cstheme="minorHAnsi"/>
        </w:rPr>
        <w:t xml:space="preserve">old, ill </w:t>
      </w:r>
      <w:r w:rsidR="0049134C" w:rsidRPr="00CA7790">
        <w:rPr>
          <w:rFonts w:cstheme="minorHAnsi"/>
        </w:rPr>
        <w:t xml:space="preserve">body, exposing its nakedness, </w:t>
      </w:r>
      <w:r w:rsidR="00B36593" w:rsidRPr="00CA7790">
        <w:rPr>
          <w:rFonts w:cstheme="minorHAnsi"/>
        </w:rPr>
        <w:t>Beauvoir</w:t>
      </w:r>
      <w:r w:rsidR="0049134C" w:rsidRPr="00CA7790">
        <w:rPr>
          <w:rFonts w:cstheme="minorHAnsi"/>
        </w:rPr>
        <w:t xml:space="preserve"> turned away</w:t>
      </w:r>
      <w:r w:rsidR="00C93228">
        <w:rPr>
          <w:rFonts w:cstheme="minorHAnsi"/>
        </w:rPr>
        <w:t xml:space="preserve"> in horror</w:t>
      </w:r>
      <w:r w:rsidR="00B36593" w:rsidRPr="00CA7790">
        <w:rPr>
          <w:rFonts w:cstheme="minorHAnsi"/>
        </w:rPr>
        <w:t>:</w:t>
      </w:r>
      <w:r w:rsidR="0049134C" w:rsidRPr="00CA7790">
        <w:rPr>
          <w:rFonts w:cstheme="minorHAnsi"/>
        </w:rPr>
        <w:t xml:space="preserve"> </w:t>
      </w:r>
      <w:r w:rsidR="00F67E18">
        <w:rPr>
          <w:rFonts w:cstheme="minorHAnsi"/>
        </w:rPr>
        <w:t>“</w:t>
      </w:r>
      <w:r w:rsidR="0049134C" w:rsidRPr="00CA7790">
        <w:rPr>
          <w:rFonts w:cstheme="minorHAnsi"/>
        </w:rPr>
        <w:t>The sight of my mother’s nakedness had jarred me. No body existed less for me: none existed more. As a child I had loved it dearly; as an adolescent it had filled me with an uneasy repulsion</w:t>
      </w:r>
      <w:r w:rsidR="0085793B">
        <w:rPr>
          <w:rFonts w:cstheme="minorHAnsi"/>
        </w:rPr>
        <w:t xml:space="preserve"> [</w:t>
      </w:r>
      <w:r w:rsidR="0049134C" w:rsidRPr="00CA7790">
        <w:rPr>
          <w:rFonts w:cstheme="minorHAnsi"/>
        </w:rPr>
        <w:t>…</w:t>
      </w:r>
      <w:r w:rsidR="0085793B">
        <w:rPr>
          <w:rFonts w:cstheme="minorHAnsi"/>
        </w:rPr>
        <w:t>]</w:t>
      </w:r>
      <w:r w:rsidR="0049134C" w:rsidRPr="00CA7790">
        <w:rPr>
          <w:rFonts w:cstheme="minorHAnsi"/>
        </w:rPr>
        <w:t xml:space="preserve"> it seemed reasonable</w:t>
      </w:r>
      <w:r w:rsidR="000D2517" w:rsidRPr="00CA7790">
        <w:rPr>
          <w:rFonts w:cstheme="minorHAnsi"/>
        </w:rPr>
        <w:t xml:space="preserve"> to</w:t>
      </w:r>
      <w:r w:rsidR="0049134C" w:rsidRPr="00CA7790">
        <w:rPr>
          <w:rFonts w:cstheme="minorHAnsi"/>
        </w:rPr>
        <w:t xml:space="preserve"> me that her body should retain its dual nature, that it should be both repugnant and holy – a taboo</w:t>
      </w:r>
      <w:r w:rsidR="00C92F0A">
        <w:rPr>
          <w:rFonts w:cstheme="minorHAnsi"/>
        </w:rPr>
        <w:t>.</w:t>
      </w:r>
      <w:r w:rsidR="00F67E18">
        <w:rPr>
          <w:rFonts w:cstheme="minorHAnsi"/>
        </w:rPr>
        <w:t>”</w:t>
      </w:r>
      <w:r w:rsidR="00F67E18">
        <w:rPr>
          <w:rStyle w:val="FootnoteReference"/>
          <w:rFonts w:cstheme="minorHAnsi"/>
        </w:rPr>
        <w:footnoteReference w:id="63"/>
      </w:r>
      <w:r w:rsidR="00F67E18">
        <w:rPr>
          <w:rFonts w:cstheme="minorHAnsi"/>
        </w:rPr>
        <w:t xml:space="preserve"> </w:t>
      </w:r>
      <w:r w:rsidR="0049134C" w:rsidRPr="00CA7790">
        <w:rPr>
          <w:rFonts w:cstheme="minorHAnsi"/>
        </w:rPr>
        <w:t>She highlights the agedness of this body as part of its current taboo</w:t>
      </w:r>
      <w:r w:rsidR="0012466E">
        <w:rPr>
          <w:rFonts w:cstheme="minorHAnsi"/>
        </w:rPr>
        <w:t xml:space="preserve">, </w:t>
      </w:r>
      <w:r w:rsidR="00C93228">
        <w:rPr>
          <w:rFonts w:cstheme="minorHAnsi"/>
        </w:rPr>
        <w:t xml:space="preserve">for she was not just refusing to look at her mother’s body but </w:t>
      </w:r>
      <w:r w:rsidR="0012466E">
        <w:rPr>
          <w:rFonts w:cstheme="minorHAnsi"/>
        </w:rPr>
        <w:lastRenderedPageBreak/>
        <w:t>refusing to look at</w:t>
      </w:r>
      <w:r w:rsidR="00005757">
        <w:rPr>
          <w:rFonts w:cstheme="minorHAnsi"/>
        </w:rPr>
        <w:t xml:space="preserve"> “</w:t>
      </w:r>
      <w:r w:rsidR="00B36593" w:rsidRPr="00CA7790">
        <w:rPr>
          <w:rFonts w:cstheme="minorHAnsi"/>
        </w:rPr>
        <w:t>her wrinkled belly, criss-crossed with tiny lines, and her bald pubis</w:t>
      </w:r>
      <w:r w:rsidR="00C92F0A">
        <w:rPr>
          <w:rFonts w:cstheme="minorHAnsi"/>
        </w:rPr>
        <w:t>.</w:t>
      </w:r>
      <w:r w:rsidR="00F67E18">
        <w:rPr>
          <w:rFonts w:cstheme="minorHAnsi"/>
        </w:rPr>
        <w:t>”</w:t>
      </w:r>
      <w:r w:rsidR="00F67E18">
        <w:rPr>
          <w:rStyle w:val="FootnoteReference"/>
          <w:rFonts w:cstheme="minorHAnsi"/>
        </w:rPr>
        <w:footnoteReference w:id="64"/>
      </w:r>
      <w:r w:rsidR="00B36593" w:rsidRPr="00CA7790">
        <w:rPr>
          <w:rFonts w:cstheme="minorHAnsi"/>
        </w:rPr>
        <w:t xml:space="preserve"> </w:t>
      </w:r>
      <w:r w:rsidR="009F682B" w:rsidRPr="00CA7790">
        <w:rPr>
          <w:rFonts w:cstheme="minorHAnsi"/>
        </w:rPr>
        <w:t>Further, in her distress and identification with her mother, she blended with her</w:t>
      </w:r>
      <w:r w:rsidR="0085793B">
        <w:rPr>
          <w:rFonts w:cstheme="minorHAnsi"/>
        </w:rPr>
        <w:t>,</w:t>
      </w:r>
      <w:r w:rsidR="009F682B" w:rsidRPr="00CA7790">
        <w:rPr>
          <w:rFonts w:cstheme="minorHAnsi"/>
        </w:rPr>
        <w:t xml:space="preserve"> as Sartre, who was with her at the time, observed: </w:t>
      </w:r>
      <w:r w:rsidR="00F67E18">
        <w:rPr>
          <w:rFonts w:cstheme="minorHAnsi"/>
        </w:rPr>
        <w:t>“</w:t>
      </w:r>
      <w:r w:rsidR="009F682B" w:rsidRPr="00CA7790">
        <w:rPr>
          <w:rFonts w:cstheme="minorHAnsi"/>
        </w:rPr>
        <w:t xml:space="preserve">I talked to Sartre about my mother’s mouth as I had seen it that morning and about everything I had interpreted in it – greediness refused, an almost servile humility, hope, distress, loneliness – the loneliness of her death and of her life – that did not want to admit its existence. And he told me that my own mouth was not obeying me </w:t>
      </w:r>
      <w:proofErr w:type="gramStart"/>
      <w:r w:rsidR="009F682B" w:rsidRPr="00CA7790">
        <w:rPr>
          <w:rFonts w:cstheme="minorHAnsi"/>
        </w:rPr>
        <w:t>any more</w:t>
      </w:r>
      <w:proofErr w:type="gramEnd"/>
      <w:r w:rsidR="009F682B" w:rsidRPr="00CA7790">
        <w:rPr>
          <w:rFonts w:cstheme="minorHAnsi"/>
        </w:rPr>
        <w:t xml:space="preserve">: I had put </w:t>
      </w:r>
      <w:proofErr w:type="spellStart"/>
      <w:r w:rsidR="009F682B" w:rsidRPr="00CA7790">
        <w:rPr>
          <w:rFonts w:cstheme="minorHAnsi"/>
        </w:rPr>
        <w:t>Maman’s</w:t>
      </w:r>
      <w:proofErr w:type="spellEnd"/>
      <w:r w:rsidR="009F682B" w:rsidRPr="00CA7790">
        <w:rPr>
          <w:rFonts w:cstheme="minorHAnsi"/>
        </w:rPr>
        <w:t xml:space="preserve"> mouth on my own face and in spite of myself, I copied its movements. Her whole person, her whole being, was concentrated there</w:t>
      </w:r>
      <w:r w:rsidR="00C92F0A">
        <w:rPr>
          <w:rFonts w:cstheme="minorHAnsi"/>
        </w:rPr>
        <w:t>.</w:t>
      </w:r>
      <w:r w:rsidR="00F67E18">
        <w:rPr>
          <w:rFonts w:cstheme="minorHAnsi"/>
        </w:rPr>
        <w:t>”</w:t>
      </w:r>
      <w:r w:rsidR="00F67E18">
        <w:rPr>
          <w:rStyle w:val="FootnoteReference"/>
          <w:rFonts w:cstheme="minorHAnsi"/>
        </w:rPr>
        <w:footnoteReference w:id="65"/>
      </w:r>
      <w:r w:rsidR="00200359" w:rsidRPr="00CA7790">
        <w:rPr>
          <w:rFonts w:cstheme="minorHAnsi"/>
        </w:rPr>
        <w:t xml:space="preserve"> </w:t>
      </w:r>
    </w:p>
    <w:p w14:paraId="0B563BED" w14:textId="306E6F06" w:rsidR="00A40DB5" w:rsidRPr="00CA7790" w:rsidRDefault="00751F26" w:rsidP="00886A23">
      <w:pPr>
        <w:spacing w:line="360" w:lineRule="auto"/>
        <w:ind w:firstLine="284"/>
        <w:rPr>
          <w:rFonts w:cstheme="minorHAnsi"/>
        </w:rPr>
      </w:pPr>
      <w:r>
        <w:rPr>
          <w:rFonts w:cstheme="minorHAnsi"/>
        </w:rPr>
        <w:t>Whilst b</w:t>
      </w:r>
      <w:r w:rsidR="00200359" w:rsidRPr="00CA7790">
        <w:rPr>
          <w:rFonts w:cstheme="minorHAnsi"/>
        </w:rPr>
        <w:t xml:space="preserve">oth the pull and push </w:t>
      </w:r>
      <w:r w:rsidR="00A7245C" w:rsidRPr="00CA7790">
        <w:rPr>
          <w:rFonts w:cstheme="minorHAnsi"/>
        </w:rPr>
        <w:t>contribute to a</w:t>
      </w:r>
      <w:r w:rsidR="005A2742">
        <w:rPr>
          <w:rFonts w:cstheme="minorHAnsi"/>
        </w:rPr>
        <w:t>n unstable and contradictory relationship</w:t>
      </w:r>
      <w:r w:rsidR="004219E0">
        <w:rPr>
          <w:rFonts w:cstheme="minorHAnsi"/>
        </w:rPr>
        <w:t xml:space="preserve">, </w:t>
      </w:r>
      <w:r w:rsidR="00A7245C" w:rsidRPr="00CA7790">
        <w:rPr>
          <w:rFonts w:cstheme="minorHAnsi"/>
        </w:rPr>
        <w:t xml:space="preserve">there is </w:t>
      </w:r>
      <w:r w:rsidR="005A2742">
        <w:rPr>
          <w:rFonts w:cstheme="minorHAnsi"/>
        </w:rPr>
        <w:t xml:space="preserve">a </w:t>
      </w:r>
      <w:r w:rsidR="004219E0">
        <w:rPr>
          <w:rFonts w:cstheme="minorHAnsi"/>
        </w:rPr>
        <w:t xml:space="preserve">striking </w:t>
      </w:r>
      <w:r w:rsidR="00A7245C" w:rsidRPr="00CA7790">
        <w:rPr>
          <w:rFonts w:cstheme="minorHAnsi"/>
        </w:rPr>
        <w:t>detail</w:t>
      </w:r>
      <w:r w:rsidR="00840CA7">
        <w:rPr>
          <w:rFonts w:cstheme="minorHAnsi"/>
        </w:rPr>
        <w:t xml:space="preserve">, pulling one’s attention to that which cannot be articulated, </w:t>
      </w:r>
      <w:r w:rsidR="00790C05">
        <w:rPr>
          <w:rFonts w:cstheme="minorHAnsi"/>
        </w:rPr>
        <w:t xml:space="preserve">and that </w:t>
      </w:r>
      <w:r w:rsidR="00840CA7">
        <w:rPr>
          <w:rFonts w:cstheme="minorHAnsi"/>
        </w:rPr>
        <w:t>features</w:t>
      </w:r>
      <w:r w:rsidR="00A7245C" w:rsidRPr="00CA7790">
        <w:rPr>
          <w:rFonts w:cstheme="minorHAnsi"/>
        </w:rPr>
        <w:t xml:space="preserve"> the red dressing gown. </w:t>
      </w:r>
      <w:r w:rsidR="005148A7" w:rsidRPr="00CA7790">
        <w:rPr>
          <w:rFonts w:cstheme="minorHAnsi"/>
        </w:rPr>
        <w:t xml:space="preserve">When </w:t>
      </w:r>
      <w:r w:rsidR="00A7245C" w:rsidRPr="00CA7790">
        <w:rPr>
          <w:rFonts w:cstheme="minorHAnsi"/>
        </w:rPr>
        <w:t>Françoise was first found on the floor</w:t>
      </w:r>
      <w:r w:rsidR="005148A7" w:rsidRPr="00CA7790">
        <w:rPr>
          <w:rFonts w:cstheme="minorHAnsi"/>
        </w:rPr>
        <w:t xml:space="preserve"> of her apartment with a broken femur, she was </w:t>
      </w:r>
      <w:r w:rsidR="00A24871">
        <w:rPr>
          <w:rFonts w:cstheme="minorHAnsi"/>
        </w:rPr>
        <w:t>“</w:t>
      </w:r>
      <w:r w:rsidR="005148A7" w:rsidRPr="00CA7790">
        <w:rPr>
          <w:rFonts w:cstheme="minorHAnsi"/>
        </w:rPr>
        <w:t>in her red corduroy dressing-gown</w:t>
      </w:r>
      <w:r w:rsidR="00C92F0A">
        <w:rPr>
          <w:rFonts w:cstheme="minorHAnsi"/>
        </w:rPr>
        <w:t>.</w:t>
      </w:r>
      <w:r w:rsidR="00A24871">
        <w:rPr>
          <w:rFonts w:cstheme="minorHAnsi"/>
        </w:rPr>
        <w:t>”</w:t>
      </w:r>
      <w:r w:rsidR="00A24871">
        <w:rPr>
          <w:rStyle w:val="FootnoteReference"/>
          <w:rFonts w:cstheme="minorHAnsi"/>
        </w:rPr>
        <w:footnoteReference w:id="66"/>
      </w:r>
      <w:r w:rsidR="005148A7" w:rsidRPr="00CA7790">
        <w:rPr>
          <w:rFonts w:cstheme="minorHAnsi"/>
        </w:rPr>
        <w:t xml:space="preserve"> </w:t>
      </w:r>
      <w:r w:rsidR="003714FF" w:rsidRPr="00CA7790">
        <w:rPr>
          <w:rFonts w:cstheme="minorHAnsi"/>
        </w:rPr>
        <w:t xml:space="preserve">We see it hanging up in the wardrobe, covered with dust, when Beauvoir learns her mother has died and will never rise from bed and put it on again. </w:t>
      </w:r>
      <w:r w:rsidR="002F52CF" w:rsidRPr="00CA7790">
        <w:rPr>
          <w:rFonts w:cstheme="minorHAnsi"/>
        </w:rPr>
        <w:t xml:space="preserve">Can </w:t>
      </w:r>
      <w:r w:rsidR="004219E0">
        <w:rPr>
          <w:rFonts w:cstheme="minorHAnsi"/>
        </w:rPr>
        <w:t xml:space="preserve">the fact that </w:t>
      </w:r>
      <w:r w:rsidR="00FE5294">
        <w:rPr>
          <w:rFonts w:cstheme="minorHAnsi"/>
        </w:rPr>
        <w:t>Beauvoir</w:t>
      </w:r>
      <w:r w:rsidR="004219E0">
        <w:rPr>
          <w:rFonts w:cstheme="minorHAnsi"/>
        </w:rPr>
        <w:t xml:space="preserve"> wore a very similar gown</w:t>
      </w:r>
      <w:r w:rsidR="00FE5294">
        <w:rPr>
          <w:rFonts w:cstheme="minorHAnsi"/>
        </w:rPr>
        <w:t xml:space="preserve">, </w:t>
      </w:r>
      <w:r w:rsidR="005A2742">
        <w:rPr>
          <w:rFonts w:cstheme="minorHAnsi"/>
        </w:rPr>
        <w:t xml:space="preserve">one </w:t>
      </w:r>
      <w:r w:rsidR="00FE5294">
        <w:rPr>
          <w:rFonts w:cstheme="minorHAnsi"/>
        </w:rPr>
        <w:t>to which she was very attached,</w:t>
      </w:r>
      <w:r w:rsidR="004219E0">
        <w:rPr>
          <w:rFonts w:cstheme="minorHAnsi"/>
        </w:rPr>
        <w:t xml:space="preserve"> be merely</w:t>
      </w:r>
      <w:r w:rsidR="002F52CF" w:rsidRPr="00CA7790">
        <w:rPr>
          <w:rFonts w:cstheme="minorHAnsi"/>
        </w:rPr>
        <w:t xml:space="preserve"> a coincidence?</w:t>
      </w:r>
      <w:r w:rsidR="00194891">
        <w:rPr>
          <w:rFonts w:cstheme="minorHAnsi"/>
        </w:rPr>
        <w:t xml:space="preserve"> Or was it rather a sign of their </w:t>
      </w:r>
      <w:r w:rsidR="002D0B80">
        <w:rPr>
          <w:rFonts w:cstheme="minorHAnsi"/>
        </w:rPr>
        <w:t xml:space="preserve">continued </w:t>
      </w:r>
      <w:r w:rsidR="00194891">
        <w:rPr>
          <w:rFonts w:cstheme="minorHAnsi"/>
        </w:rPr>
        <w:t>inextricable</w:t>
      </w:r>
      <w:r w:rsidR="002D0B80">
        <w:rPr>
          <w:rFonts w:cstheme="minorHAnsi"/>
        </w:rPr>
        <w:t>, albeit subterranean, connection</w:t>
      </w:r>
      <w:r w:rsidR="005A2742">
        <w:rPr>
          <w:rFonts w:cstheme="minorHAnsi"/>
        </w:rPr>
        <w:t>; a haunting</w:t>
      </w:r>
      <w:r w:rsidR="005B1C76">
        <w:rPr>
          <w:rFonts w:cstheme="minorHAnsi"/>
        </w:rPr>
        <w:t xml:space="preserve"> of something lost</w:t>
      </w:r>
      <w:r w:rsidR="00FE5294">
        <w:rPr>
          <w:rFonts w:cstheme="minorHAnsi"/>
        </w:rPr>
        <w:t>? Haunting</w:t>
      </w:r>
      <w:r w:rsidR="00BF6545">
        <w:rPr>
          <w:rFonts w:cstheme="minorHAnsi"/>
        </w:rPr>
        <w:t>, as we have seen,</w:t>
      </w:r>
      <w:r w:rsidR="00FE5294">
        <w:rPr>
          <w:rFonts w:cstheme="minorHAnsi"/>
        </w:rPr>
        <w:t xml:space="preserve"> is integral to </w:t>
      </w:r>
      <w:proofErr w:type="gramStart"/>
      <w:r w:rsidR="00FE5294">
        <w:rPr>
          <w:rFonts w:cstheme="minorHAnsi"/>
        </w:rPr>
        <w:t>abjection</w:t>
      </w:r>
      <w:r w:rsidR="00BF6545">
        <w:rPr>
          <w:rFonts w:cstheme="minorHAnsi"/>
        </w:rPr>
        <w:t>;</w:t>
      </w:r>
      <w:proofErr w:type="gramEnd"/>
      <w:r w:rsidR="00BF6545">
        <w:rPr>
          <w:rFonts w:cstheme="minorHAnsi"/>
        </w:rPr>
        <w:t xml:space="preserve"> r</w:t>
      </w:r>
      <w:r w:rsidR="00FE5294">
        <w:rPr>
          <w:rFonts w:cstheme="minorHAnsi"/>
        </w:rPr>
        <w:t xml:space="preserve">eminders of lost connections flash up like dream images. If society is itself based on a haunting, </w:t>
      </w:r>
      <w:r w:rsidR="00A74300">
        <w:rPr>
          <w:rFonts w:cstheme="minorHAnsi"/>
        </w:rPr>
        <w:t>“</w:t>
      </w:r>
      <w:r w:rsidR="00FE5294">
        <w:rPr>
          <w:rFonts w:cstheme="minorHAnsi"/>
        </w:rPr>
        <w:t>the voice of the dead father</w:t>
      </w:r>
      <w:r w:rsidR="00BF6545">
        <w:rPr>
          <w:rFonts w:cstheme="minorHAnsi"/>
        </w:rPr>
        <w:t>”</w:t>
      </w:r>
      <w:r w:rsidR="00FE5294">
        <w:rPr>
          <w:rFonts w:cstheme="minorHAnsi"/>
        </w:rPr>
        <w:t xml:space="preserve">, then for Beauvoir this red dressing gown is the </w:t>
      </w:r>
      <w:r w:rsidR="00BF6545">
        <w:rPr>
          <w:rFonts w:cstheme="minorHAnsi"/>
        </w:rPr>
        <w:t>embrace</w:t>
      </w:r>
      <w:r w:rsidR="00FE5294">
        <w:rPr>
          <w:rFonts w:cstheme="minorHAnsi"/>
        </w:rPr>
        <w:t xml:space="preserve"> of the lost mother</w:t>
      </w:r>
      <w:r w:rsidR="00C92F0A">
        <w:rPr>
          <w:rFonts w:cstheme="minorHAnsi"/>
        </w:rPr>
        <w:t>.</w:t>
      </w:r>
      <w:r w:rsidR="00A74300">
        <w:rPr>
          <w:rStyle w:val="FootnoteReference"/>
          <w:rFonts w:cstheme="minorHAnsi"/>
        </w:rPr>
        <w:footnoteReference w:id="67"/>
      </w:r>
      <w:r w:rsidR="00FE5294">
        <w:rPr>
          <w:rFonts w:cstheme="minorHAnsi"/>
        </w:rPr>
        <w:t xml:space="preserve"> </w:t>
      </w:r>
      <w:r w:rsidR="002D0B80">
        <w:rPr>
          <w:rFonts w:cstheme="minorHAnsi"/>
        </w:rPr>
        <w:t xml:space="preserve"> </w:t>
      </w:r>
    </w:p>
    <w:p w14:paraId="3BE08D4C" w14:textId="1467378D" w:rsidR="00886A23" w:rsidRPr="00CA7790" w:rsidRDefault="0064679F" w:rsidP="00886A23">
      <w:pPr>
        <w:spacing w:line="360" w:lineRule="auto"/>
        <w:ind w:firstLine="284"/>
        <w:rPr>
          <w:rFonts w:cstheme="minorHAnsi"/>
        </w:rPr>
      </w:pPr>
      <w:r w:rsidRPr="00CA7790">
        <w:rPr>
          <w:rFonts w:cstheme="minorHAnsi"/>
        </w:rPr>
        <w:t xml:space="preserve">Alongside this outpouring of emotion, </w:t>
      </w:r>
      <w:r w:rsidR="00DF753E">
        <w:rPr>
          <w:rFonts w:cstheme="minorHAnsi"/>
        </w:rPr>
        <w:t xml:space="preserve">however, for Beauvoir </w:t>
      </w:r>
      <w:r w:rsidRPr="00CA7790">
        <w:rPr>
          <w:rFonts w:cstheme="minorHAnsi"/>
        </w:rPr>
        <w:t xml:space="preserve">the opportunity </w:t>
      </w:r>
      <w:r w:rsidR="00DF753E">
        <w:rPr>
          <w:rFonts w:cstheme="minorHAnsi"/>
        </w:rPr>
        <w:t>came at last</w:t>
      </w:r>
      <w:r w:rsidR="002D0B80">
        <w:rPr>
          <w:rFonts w:cstheme="minorHAnsi"/>
        </w:rPr>
        <w:t xml:space="preserve"> </w:t>
      </w:r>
      <w:r w:rsidRPr="00CA7790">
        <w:rPr>
          <w:rFonts w:cstheme="minorHAnsi"/>
        </w:rPr>
        <w:t xml:space="preserve">to </w:t>
      </w:r>
      <w:r w:rsidR="00253A1A" w:rsidRPr="00CA7790">
        <w:rPr>
          <w:rFonts w:cstheme="minorHAnsi"/>
        </w:rPr>
        <w:t>mourn th</w:t>
      </w:r>
      <w:r w:rsidR="00DF753E">
        <w:rPr>
          <w:rFonts w:cstheme="minorHAnsi"/>
        </w:rPr>
        <w:t>is loss</w:t>
      </w:r>
      <w:r w:rsidR="00253A1A" w:rsidRPr="00CA7790">
        <w:rPr>
          <w:rFonts w:cstheme="minorHAnsi"/>
        </w:rPr>
        <w:t xml:space="preserve">, </w:t>
      </w:r>
      <w:r w:rsidR="005B64AB">
        <w:rPr>
          <w:rFonts w:cstheme="minorHAnsi"/>
        </w:rPr>
        <w:t>n</w:t>
      </w:r>
      <w:r w:rsidR="000470B1">
        <w:rPr>
          <w:rFonts w:cstheme="minorHAnsi"/>
        </w:rPr>
        <w:t xml:space="preserve">ot </w:t>
      </w:r>
      <w:r w:rsidR="00253A1A" w:rsidRPr="00CA7790">
        <w:rPr>
          <w:rFonts w:cstheme="minorHAnsi"/>
        </w:rPr>
        <w:t xml:space="preserve">just </w:t>
      </w:r>
      <w:r w:rsidR="00517A80">
        <w:rPr>
          <w:rFonts w:cstheme="minorHAnsi"/>
        </w:rPr>
        <w:t xml:space="preserve">that of </w:t>
      </w:r>
      <w:r w:rsidR="00253A1A" w:rsidRPr="00CA7790">
        <w:rPr>
          <w:rFonts w:cstheme="minorHAnsi"/>
        </w:rPr>
        <w:t>her aged mother but her mother from childhood, the one that she had to leave behind when she grew too big to sit in her</w:t>
      </w:r>
      <w:r w:rsidR="00F31968">
        <w:rPr>
          <w:rFonts w:cstheme="minorHAnsi"/>
        </w:rPr>
        <w:t xml:space="preserve"> lap </w:t>
      </w:r>
      <w:r w:rsidR="002A108B" w:rsidRPr="00CA7790">
        <w:rPr>
          <w:rFonts w:cstheme="minorHAnsi"/>
        </w:rPr>
        <w:t>As this</w:t>
      </w:r>
      <w:r w:rsidR="002F52CF" w:rsidRPr="00CA7790">
        <w:rPr>
          <w:rFonts w:cstheme="minorHAnsi"/>
        </w:rPr>
        <w:t xml:space="preserve"> loss and separation </w:t>
      </w:r>
      <w:r w:rsidR="002A108B" w:rsidRPr="00CA7790">
        <w:rPr>
          <w:rFonts w:cstheme="minorHAnsi"/>
        </w:rPr>
        <w:t xml:space="preserve">had not been properly mourned, Simone </w:t>
      </w:r>
      <w:r w:rsidR="005366C4" w:rsidRPr="00CA7790">
        <w:rPr>
          <w:rFonts w:cstheme="minorHAnsi"/>
        </w:rPr>
        <w:t xml:space="preserve">had never wholly related to her mother as a person, a woman, </w:t>
      </w:r>
      <w:r w:rsidR="00F31968">
        <w:rPr>
          <w:rFonts w:cstheme="minorHAnsi"/>
        </w:rPr>
        <w:t xml:space="preserve">as </w:t>
      </w:r>
      <w:r w:rsidR="005366C4" w:rsidRPr="00CA7790">
        <w:rPr>
          <w:rFonts w:cstheme="minorHAnsi"/>
        </w:rPr>
        <w:t xml:space="preserve">Françoise, as opposed to </w:t>
      </w:r>
      <w:r w:rsidR="00C770BF">
        <w:rPr>
          <w:rFonts w:cstheme="minorHAnsi"/>
        </w:rPr>
        <w:t>“</w:t>
      </w:r>
      <w:proofErr w:type="spellStart"/>
      <w:r w:rsidR="005366C4" w:rsidRPr="00CA7790">
        <w:rPr>
          <w:rFonts w:cstheme="minorHAnsi"/>
        </w:rPr>
        <w:t>Maman</w:t>
      </w:r>
      <w:proofErr w:type="spellEnd"/>
      <w:r w:rsidR="00C770BF">
        <w:rPr>
          <w:rFonts w:cstheme="minorHAnsi"/>
        </w:rPr>
        <w:t>”</w:t>
      </w:r>
      <w:r w:rsidR="00E90CE8" w:rsidRPr="00CA7790">
        <w:rPr>
          <w:rFonts w:cstheme="minorHAnsi"/>
        </w:rPr>
        <w:t>.</w:t>
      </w:r>
      <w:r w:rsidR="005366C4" w:rsidRPr="00CA7790">
        <w:rPr>
          <w:rFonts w:cstheme="minorHAnsi"/>
        </w:rPr>
        <w:t xml:space="preserve"> </w:t>
      </w:r>
      <w:r w:rsidR="002F52CF" w:rsidRPr="00CA7790">
        <w:rPr>
          <w:rFonts w:cstheme="minorHAnsi"/>
        </w:rPr>
        <w:t xml:space="preserve">Now </w:t>
      </w:r>
      <w:r w:rsidR="002D0B80">
        <w:rPr>
          <w:rFonts w:cstheme="minorHAnsi"/>
        </w:rPr>
        <w:t>she seized the opportunity</w:t>
      </w:r>
      <w:r w:rsidR="002F52CF" w:rsidRPr="00CA7790">
        <w:rPr>
          <w:rFonts w:cstheme="minorHAnsi"/>
        </w:rPr>
        <w:t xml:space="preserve">. </w:t>
      </w:r>
      <w:r w:rsidR="005366C4" w:rsidRPr="00CA7790">
        <w:rPr>
          <w:rFonts w:cstheme="minorHAnsi"/>
        </w:rPr>
        <w:t xml:space="preserve">She reflects: </w:t>
      </w:r>
      <w:r w:rsidR="00C770BF">
        <w:rPr>
          <w:rFonts w:cstheme="minorHAnsi"/>
        </w:rPr>
        <w:t>“</w:t>
      </w:r>
      <w:r w:rsidR="005366C4" w:rsidRPr="00CA7790">
        <w:rPr>
          <w:rFonts w:cstheme="minorHAnsi"/>
        </w:rPr>
        <w:t>As we talked in the half-darkness, I assuaged an old unhappiness; I was renewing the dialogue that had been broken off during my adolescence and that our differences and our likenesses had never allowed us to take up again.</w:t>
      </w:r>
      <w:r w:rsidR="00C770BF">
        <w:rPr>
          <w:rFonts w:cstheme="minorHAnsi"/>
        </w:rPr>
        <w:t>”</w:t>
      </w:r>
      <w:r w:rsidR="00C770BF">
        <w:rPr>
          <w:rStyle w:val="FootnoteReference"/>
          <w:rFonts w:cstheme="minorHAnsi"/>
        </w:rPr>
        <w:footnoteReference w:id="68"/>
      </w:r>
      <w:r w:rsidR="005366C4" w:rsidRPr="00CA7790">
        <w:rPr>
          <w:rFonts w:cstheme="minorHAnsi"/>
        </w:rPr>
        <w:t xml:space="preserve"> This </w:t>
      </w:r>
      <w:r w:rsidR="00DE2220">
        <w:rPr>
          <w:rFonts w:cstheme="minorHAnsi"/>
        </w:rPr>
        <w:t xml:space="preserve">swiftly </w:t>
      </w:r>
      <w:r w:rsidR="005366C4" w:rsidRPr="00CA7790">
        <w:rPr>
          <w:rFonts w:cstheme="minorHAnsi"/>
        </w:rPr>
        <w:t xml:space="preserve">leads to a </w:t>
      </w:r>
      <w:r w:rsidR="00DE2220">
        <w:rPr>
          <w:rFonts w:cstheme="minorHAnsi"/>
        </w:rPr>
        <w:t>transformed</w:t>
      </w:r>
      <w:r w:rsidR="005366C4" w:rsidRPr="00CA7790">
        <w:rPr>
          <w:rFonts w:cstheme="minorHAnsi"/>
        </w:rPr>
        <w:t xml:space="preserve"> relationship: </w:t>
      </w:r>
      <w:r w:rsidR="00C770BF">
        <w:rPr>
          <w:rFonts w:cstheme="minorHAnsi"/>
        </w:rPr>
        <w:t>“</w:t>
      </w:r>
      <w:r w:rsidR="005366C4" w:rsidRPr="00CA7790">
        <w:rPr>
          <w:rFonts w:cstheme="minorHAnsi"/>
        </w:rPr>
        <w:t xml:space="preserve">that early tenderness that I had thought dead for ever </w:t>
      </w:r>
      <w:r w:rsidR="00CB5108">
        <w:rPr>
          <w:rFonts w:cstheme="minorHAnsi"/>
        </w:rPr>
        <w:t>c</w:t>
      </w:r>
      <w:r w:rsidR="005366C4" w:rsidRPr="00CA7790">
        <w:rPr>
          <w:rFonts w:cstheme="minorHAnsi"/>
        </w:rPr>
        <w:t>ame to life again</w:t>
      </w:r>
      <w:r w:rsidR="00C92F0A">
        <w:rPr>
          <w:rFonts w:cstheme="minorHAnsi"/>
        </w:rPr>
        <w:t>.</w:t>
      </w:r>
      <w:r w:rsidR="00C770BF">
        <w:rPr>
          <w:rFonts w:cstheme="minorHAnsi"/>
        </w:rPr>
        <w:t>”</w:t>
      </w:r>
      <w:r w:rsidR="00C770BF">
        <w:rPr>
          <w:rStyle w:val="FootnoteReference"/>
          <w:rFonts w:cstheme="minorHAnsi"/>
        </w:rPr>
        <w:footnoteReference w:id="69"/>
      </w:r>
      <w:r w:rsidR="005366C4" w:rsidRPr="00CA7790">
        <w:rPr>
          <w:rFonts w:cstheme="minorHAnsi"/>
        </w:rPr>
        <w:t xml:space="preserve"> </w:t>
      </w:r>
      <w:r w:rsidR="006B6992">
        <w:rPr>
          <w:rFonts w:cstheme="minorHAnsi"/>
        </w:rPr>
        <w:t xml:space="preserve">Again, this connection is expressed via the </w:t>
      </w:r>
      <w:r w:rsidR="008643FD">
        <w:rPr>
          <w:rFonts w:cstheme="minorHAnsi"/>
        </w:rPr>
        <w:t>“</w:t>
      </w:r>
      <w:r w:rsidR="006B6992">
        <w:rPr>
          <w:rFonts w:cstheme="minorHAnsi"/>
        </w:rPr>
        <w:t>dressing gown</w:t>
      </w:r>
      <w:r w:rsidR="008643FD">
        <w:rPr>
          <w:rFonts w:cstheme="minorHAnsi"/>
        </w:rPr>
        <w:t>”</w:t>
      </w:r>
      <w:r w:rsidR="006B6992">
        <w:rPr>
          <w:rFonts w:cstheme="minorHAnsi"/>
        </w:rPr>
        <w:t xml:space="preserve"> in one memorable scene. Leaving her mother’s bedside one evening</w:t>
      </w:r>
      <w:r w:rsidR="00F31968">
        <w:rPr>
          <w:rFonts w:cstheme="minorHAnsi"/>
        </w:rPr>
        <w:t xml:space="preserve"> to return home</w:t>
      </w:r>
      <w:r w:rsidR="006B6992">
        <w:rPr>
          <w:rFonts w:cstheme="minorHAnsi"/>
        </w:rPr>
        <w:t xml:space="preserve">, </w:t>
      </w:r>
      <w:r w:rsidR="000A777F">
        <w:rPr>
          <w:rFonts w:cstheme="minorHAnsi"/>
        </w:rPr>
        <w:t xml:space="preserve">as her </w:t>
      </w:r>
      <w:r w:rsidR="000A777F">
        <w:rPr>
          <w:rFonts w:cstheme="minorHAnsi"/>
        </w:rPr>
        <w:lastRenderedPageBreak/>
        <w:t xml:space="preserve">mother’s health continues to decline, </w:t>
      </w:r>
      <w:r w:rsidR="006B6992">
        <w:rPr>
          <w:rFonts w:cstheme="minorHAnsi"/>
        </w:rPr>
        <w:t xml:space="preserve">Beauvoir gazes out of the taxi </w:t>
      </w:r>
      <w:r w:rsidR="000A777F">
        <w:rPr>
          <w:rFonts w:cstheme="minorHAnsi"/>
        </w:rPr>
        <w:t xml:space="preserve">window </w:t>
      </w:r>
      <w:r w:rsidR="006B6992">
        <w:rPr>
          <w:rFonts w:cstheme="minorHAnsi"/>
        </w:rPr>
        <w:t xml:space="preserve">at the shop windows and reflects: </w:t>
      </w:r>
      <w:r w:rsidR="008643FD">
        <w:rPr>
          <w:rFonts w:cstheme="minorHAnsi"/>
        </w:rPr>
        <w:t>“</w:t>
      </w:r>
      <w:r w:rsidR="006B6992">
        <w:rPr>
          <w:rFonts w:cstheme="minorHAnsi"/>
        </w:rPr>
        <w:t>I knew this journey through the fashionable quarters</w:t>
      </w:r>
      <w:r w:rsidR="000A777F">
        <w:rPr>
          <w:rFonts w:cstheme="minorHAnsi"/>
        </w:rPr>
        <w:t xml:space="preserve"> by heart: Lancôme, </w:t>
      </w:r>
      <w:proofErr w:type="spellStart"/>
      <w:r w:rsidR="000A777F">
        <w:rPr>
          <w:rFonts w:cstheme="minorHAnsi"/>
        </w:rPr>
        <w:t>Houbigant</w:t>
      </w:r>
      <w:proofErr w:type="spellEnd"/>
      <w:r w:rsidR="000A777F">
        <w:rPr>
          <w:rFonts w:cstheme="minorHAnsi"/>
        </w:rPr>
        <w:t xml:space="preserve">, Hermès, Lanvin </w:t>
      </w:r>
      <w:r w:rsidR="009073C8">
        <w:rPr>
          <w:rFonts w:cstheme="minorHAnsi"/>
        </w:rPr>
        <w:t>[</w:t>
      </w:r>
      <w:r w:rsidR="000A777F">
        <w:rPr>
          <w:rFonts w:cstheme="minorHAnsi"/>
        </w:rPr>
        <w:t>…</w:t>
      </w:r>
      <w:r w:rsidR="009073C8">
        <w:rPr>
          <w:rFonts w:cstheme="minorHAnsi"/>
        </w:rPr>
        <w:t>]</w:t>
      </w:r>
      <w:r w:rsidR="000A777F">
        <w:rPr>
          <w:rFonts w:cstheme="minorHAnsi"/>
        </w:rPr>
        <w:t>.</w:t>
      </w:r>
      <w:r w:rsidR="009073C8">
        <w:rPr>
          <w:rFonts w:cstheme="minorHAnsi"/>
        </w:rPr>
        <w:t xml:space="preserve"> </w:t>
      </w:r>
      <w:r w:rsidR="000A777F">
        <w:rPr>
          <w:rFonts w:cstheme="minorHAnsi"/>
        </w:rPr>
        <w:t xml:space="preserve">Farther on there were beautiful downy dressing gowns, softly coloured: I thought, </w:t>
      </w:r>
      <w:r w:rsidR="00C14C76">
        <w:rPr>
          <w:rFonts w:cstheme="minorHAnsi"/>
        </w:rPr>
        <w:t>‘</w:t>
      </w:r>
      <w:r w:rsidR="000A777F">
        <w:rPr>
          <w:rFonts w:cstheme="minorHAnsi"/>
        </w:rPr>
        <w:t>I will buy her one to take the place of the red peignoir.</w:t>
      </w:r>
      <w:r w:rsidR="008643FD">
        <w:rPr>
          <w:rFonts w:cstheme="minorHAnsi"/>
        </w:rPr>
        <w:t>’”</w:t>
      </w:r>
      <w:r w:rsidR="008643FD">
        <w:rPr>
          <w:rStyle w:val="FootnoteReference"/>
          <w:rFonts w:cstheme="minorHAnsi"/>
        </w:rPr>
        <w:footnoteReference w:id="70"/>
      </w:r>
      <w:r w:rsidR="000A777F">
        <w:rPr>
          <w:rFonts w:cstheme="minorHAnsi"/>
        </w:rPr>
        <w:t xml:space="preserve">. </w:t>
      </w:r>
      <w:r w:rsidR="002F52CF" w:rsidRPr="00CA7790">
        <w:rPr>
          <w:rFonts w:cstheme="minorHAnsi"/>
        </w:rPr>
        <w:t xml:space="preserve">Here is the </w:t>
      </w:r>
      <w:r w:rsidR="000A777F">
        <w:rPr>
          <w:rFonts w:cstheme="minorHAnsi"/>
        </w:rPr>
        <w:t xml:space="preserve">achievement of the </w:t>
      </w:r>
      <w:r w:rsidR="002F52CF" w:rsidRPr="00CA7790">
        <w:rPr>
          <w:rFonts w:cstheme="minorHAnsi"/>
        </w:rPr>
        <w:t xml:space="preserve">accommodation that Winnicott </w:t>
      </w:r>
      <w:proofErr w:type="gramStart"/>
      <w:r w:rsidR="002F52CF" w:rsidRPr="00CA7790">
        <w:rPr>
          <w:rFonts w:cstheme="minorHAnsi"/>
        </w:rPr>
        <w:t>describes</w:t>
      </w:r>
      <w:proofErr w:type="gramEnd"/>
      <w:r w:rsidR="002F52CF" w:rsidRPr="00CA7790">
        <w:rPr>
          <w:rFonts w:cstheme="minorHAnsi"/>
        </w:rPr>
        <w:t xml:space="preserve"> and which is qualitatively different, measured and conscious as well as fulfilling, as compared with the violent boomeranging of an oscillation that never resolves itself. </w:t>
      </w:r>
      <w:r w:rsidR="00CB5108">
        <w:rPr>
          <w:rFonts w:cstheme="minorHAnsi"/>
        </w:rPr>
        <w:t>S</w:t>
      </w:r>
      <w:r w:rsidR="00FE5294">
        <w:rPr>
          <w:rFonts w:cstheme="minorHAnsi"/>
        </w:rPr>
        <w:t>imone</w:t>
      </w:r>
      <w:r w:rsidR="00CB5108">
        <w:rPr>
          <w:rFonts w:cstheme="minorHAnsi"/>
        </w:rPr>
        <w:t xml:space="preserve"> can make common cause with </w:t>
      </w:r>
      <w:r w:rsidR="00FE5294" w:rsidRPr="00CA7790">
        <w:rPr>
          <w:rFonts w:cstheme="minorHAnsi"/>
        </w:rPr>
        <w:t>Françoise,</w:t>
      </w:r>
      <w:r w:rsidR="00FE5294">
        <w:rPr>
          <w:rFonts w:cstheme="minorHAnsi"/>
        </w:rPr>
        <w:t xml:space="preserve"> acknowledging the ways in which they are similar</w:t>
      </w:r>
      <w:r w:rsidR="00C14C76">
        <w:rPr>
          <w:rFonts w:cstheme="minorHAnsi"/>
        </w:rPr>
        <w:t>,</w:t>
      </w:r>
      <w:r w:rsidR="00FE5294">
        <w:rPr>
          <w:rFonts w:cstheme="minorHAnsi"/>
        </w:rPr>
        <w:t xml:space="preserve"> where before she could only assert their difference. F</w:t>
      </w:r>
      <w:r w:rsidR="00CB5108">
        <w:rPr>
          <w:rFonts w:cstheme="minorHAnsi"/>
        </w:rPr>
        <w:t>or example</w:t>
      </w:r>
      <w:r w:rsidR="000A777F">
        <w:rPr>
          <w:rFonts w:cstheme="minorHAnsi"/>
        </w:rPr>
        <w:t>,</w:t>
      </w:r>
      <w:r w:rsidR="00CB5108">
        <w:rPr>
          <w:rFonts w:cstheme="minorHAnsi"/>
        </w:rPr>
        <w:t xml:space="preserve"> </w:t>
      </w:r>
      <w:r w:rsidR="00FE5294">
        <w:rPr>
          <w:rFonts w:cstheme="minorHAnsi"/>
        </w:rPr>
        <w:t>she praises her mother</w:t>
      </w:r>
      <w:r w:rsidR="000A777F">
        <w:rPr>
          <w:rFonts w:cstheme="minorHAnsi"/>
        </w:rPr>
        <w:t xml:space="preserve"> for</w:t>
      </w:r>
      <w:r w:rsidR="00FE5294">
        <w:rPr>
          <w:rFonts w:cstheme="minorHAnsi"/>
        </w:rPr>
        <w:t xml:space="preserve"> training to become a librarian and travelling alone following the death of Georges</w:t>
      </w:r>
      <w:r w:rsidR="000A777F">
        <w:rPr>
          <w:rFonts w:cstheme="minorHAnsi"/>
        </w:rPr>
        <w:t>, her husband</w:t>
      </w:r>
      <w:r w:rsidR="00C14C76">
        <w:rPr>
          <w:rFonts w:cstheme="minorHAnsi"/>
        </w:rPr>
        <w:t>.</w:t>
      </w:r>
      <w:r w:rsidR="00FE5294">
        <w:rPr>
          <w:rFonts w:cstheme="minorHAnsi"/>
        </w:rPr>
        <w:t xml:space="preserve"> </w:t>
      </w:r>
      <w:r w:rsidR="00C14C76">
        <w:rPr>
          <w:rFonts w:cstheme="minorHAnsi"/>
        </w:rPr>
        <w:t>I</w:t>
      </w:r>
      <w:r w:rsidR="00FE5294">
        <w:rPr>
          <w:rFonts w:cstheme="minorHAnsi"/>
        </w:rPr>
        <w:t xml:space="preserve">n the present, </w:t>
      </w:r>
      <w:r w:rsidR="00CB5108">
        <w:rPr>
          <w:rFonts w:cstheme="minorHAnsi"/>
        </w:rPr>
        <w:t xml:space="preserve">she </w:t>
      </w:r>
      <w:r w:rsidR="000A777F">
        <w:rPr>
          <w:rFonts w:cstheme="minorHAnsi"/>
        </w:rPr>
        <w:t xml:space="preserve">makes common cause with her against the </w:t>
      </w:r>
      <w:r w:rsidR="00CB5108">
        <w:rPr>
          <w:rFonts w:cstheme="minorHAnsi"/>
        </w:rPr>
        <w:t xml:space="preserve">patriarchy of the doctors condescending to her dying mother, calling them bigwigs of </w:t>
      </w:r>
      <w:r w:rsidR="00EB268A">
        <w:rPr>
          <w:rFonts w:cstheme="minorHAnsi"/>
        </w:rPr>
        <w:t>“</w:t>
      </w:r>
      <w:r w:rsidR="00CB5108">
        <w:rPr>
          <w:rFonts w:cstheme="minorHAnsi"/>
        </w:rPr>
        <w:t>piddling self-importance</w:t>
      </w:r>
      <w:r w:rsidR="00C92F0A">
        <w:rPr>
          <w:rFonts w:cstheme="minorHAnsi"/>
        </w:rPr>
        <w:t>.</w:t>
      </w:r>
      <w:r w:rsidR="00EB268A">
        <w:rPr>
          <w:rFonts w:cstheme="minorHAnsi"/>
        </w:rPr>
        <w:t>”</w:t>
      </w:r>
      <w:r w:rsidR="00EB268A">
        <w:rPr>
          <w:rStyle w:val="FootnoteReference"/>
          <w:rFonts w:cstheme="minorHAnsi"/>
        </w:rPr>
        <w:footnoteReference w:id="71"/>
      </w:r>
      <w:r w:rsidR="00CB5108">
        <w:rPr>
          <w:rFonts w:cstheme="minorHAnsi"/>
        </w:rPr>
        <w:t xml:space="preserve"> </w:t>
      </w:r>
      <w:r w:rsidR="00CC2306">
        <w:rPr>
          <w:rFonts w:cstheme="minorHAnsi"/>
        </w:rPr>
        <w:t>At the same time, Beauvoir embrace</w:t>
      </w:r>
      <w:r w:rsidR="00517A80">
        <w:rPr>
          <w:rFonts w:cstheme="minorHAnsi"/>
        </w:rPr>
        <w:t>s</w:t>
      </w:r>
      <w:r w:rsidR="00CC2306">
        <w:rPr>
          <w:rFonts w:cstheme="minorHAnsi"/>
        </w:rPr>
        <w:t xml:space="preserve"> the caring sides of her own femininity as they are evoked in her response to both her mother’s suffering and her bravery. </w:t>
      </w:r>
      <w:r w:rsidR="005366C4" w:rsidRPr="00CA7790">
        <w:rPr>
          <w:rFonts w:cstheme="minorHAnsi"/>
        </w:rPr>
        <w:t xml:space="preserve">Even at the very end, </w:t>
      </w:r>
      <w:r w:rsidR="000A777F">
        <w:rPr>
          <w:rFonts w:cstheme="minorHAnsi"/>
        </w:rPr>
        <w:t xml:space="preserve">however, </w:t>
      </w:r>
      <w:r w:rsidR="005366C4" w:rsidRPr="00CA7790">
        <w:rPr>
          <w:rFonts w:cstheme="minorHAnsi"/>
        </w:rPr>
        <w:t xml:space="preserve">as </w:t>
      </w:r>
      <w:r w:rsidR="00C14C76">
        <w:rPr>
          <w:rFonts w:cstheme="minorHAnsi"/>
        </w:rPr>
        <w:t xml:space="preserve">she </w:t>
      </w:r>
      <w:r w:rsidR="005366C4" w:rsidRPr="00CA7790">
        <w:rPr>
          <w:rFonts w:cstheme="minorHAnsi"/>
        </w:rPr>
        <w:t xml:space="preserve">stands by the deathbed, she </w:t>
      </w:r>
      <w:r w:rsidR="00892FDF" w:rsidRPr="00CA7790">
        <w:rPr>
          <w:rFonts w:cstheme="minorHAnsi"/>
        </w:rPr>
        <w:t xml:space="preserve">falters, whether to be consumed by her </w:t>
      </w:r>
      <w:r w:rsidR="00E979A8">
        <w:rPr>
          <w:rFonts w:cstheme="minorHAnsi"/>
        </w:rPr>
        <w:t xml:space="preserve">mother </w:t>
      </w:r>
      <w:r w:rsidR="00892FDF" w:rsidRPr="00CA7790">
        <w:rPr>
          <w:rFonts w:cstheme="minorHAnsi"/>
        </w:rPr>
        <w:t>or to stand back</w:t>
      </w:r>
      <w:r w:rsidR="000A777F">
        <w:rPr>
          <w:rFonts w:cstheme="minorHAnsi"/>
        </w:rPr>
        <w:t xml:space="preserve"> in a more adult relationship</w:t>
      </w:r>
      <w:r w:rsidR="00892FDF" w:rsidRPr="00CA7790">
        <w:rPr>
          <w:rFonts w:cstheme="minorHAnsi"/>
        </w:rPr>
        <w:t xml:space="preserve">: </w:t>
      </w:r>
      <w:r w:rsidR="008D25C7">
        <w:rPr>
          <w:rFonts w:cstheme="minorHAnsi"/>
        </w:rPr>
        <w:t>“</w:t>
      </w:r>
      <w:r w:rsidR="00E979A8">
        <w:rPr>
          <w:rFonts w:cstheme="minorHAnsi"/>
        </w:rPr>
        <w:t>[</w:t>
      </w:r>
      <w:r w:rsidR="00892FDF" w:rsidRPr="00CA7790">
        <w:rPr>
          <w:rFonts w:cstheme="minorHAnsi"/>
        </w:rPr>
        <w:t>…</w:t>
      </w:r>
      <w:r w:rsidR="00E979A8">
        <w:rPr>
          <w:rFonts w:cstheme="minorHAnsi"/>
        </w:rPr>
        <w:t>]</w:t>
      </w:r>
      <w:r w:rsidR="00892FDF" w:rsidRPr="00CA7790">
        <w:rPr>
          <w:rFonts w:cstheme="minorHAnsi"/>
        </w:rPr>
        <w:t xml:space="preserve"> she grows as vast as the world that her absence annihilates for her and whose whole existence was caused by her being there: you feel that she should have had more room in your life – all the room, if need be. You snatch yourself away from this wildness: she was only one among many</w:t>
      </w:r>
      <w:r w:rsidR="00C92F0A">
        <w:rPr>
          <w:rFonts w:cstheme="minorHAnsi"/>
        </w:rPr>
        <w:t>.”</w:t>
      </w:r>
      <w:r w:rsidR="008D25C7">
        <w:rPr>
          <w:rStyle w:val="FootnoteReference"/>
          <w:rFonts w:cstheme="minorHAnsi"/>
        </w:rPr>
        <w:footnoteReference w:id="72"/>
      </w:r>
      <w:r w:rsidR="00892FDF" w:rsidRPr="00CA7790">
        <w:rPr>
          <w:rFonts w:cstheme="minorHAnsi"/>
        </w:rPr>
        <w:t xml:space="preserve"> </w:t>
      </w:r>
      <w:r w:rsidR="00E90CE8" w:rsidRPr="00CA7790">
        <w:rPr>
          <w:rFonts w:cstheme="minorHAnsi"/>
        </w:rPr>
        <w:t xml:space="preserve"> </w:t>
      </w:r>
    </w:p>
    <w:p w14:paraId="3EC07714" w14:textId="56CAD218" w:rsidR="00EE663E" w:rsidRDefault="00FE5294" w:rsidP="004E3C04">
      <w:pPr>
        <w:spacing w:line="360" w:lineRule="auto"/>
        <w:ind w:firstLine="284"/>
        <w:rPr>
          <w:rFonts w:cstheme="minorHAnsi"/>
        </w:rPr>
      </w:pPr>
      <w:r>
        <w:rPr>
          <w:rFonts w:cstheme="minorHAnsi"/>
        </w:rPr>
        <w:t xml:space="preserve">This </w:t>
      </w:r>
      <w:r w:rsidR="00517A80">
        <w:rPr>
          <w:rFonts w:cstheme="minorHAnsi"/>
        </w:rPr>
        <w:t xml:space="preserve">position </w:t>
      </w:r>
      <w:r>
        <w:rPr>
          <w:rFonts w:cstheme="minorHAnsi"/>
        </w:rPr>
        <w:t>is the culmination of</w:t>
      </w:r>
      <w:r w:rsidR="00D25E9F" w:rsidRPr="00CA7790">
        <w:rPr>
          <w:rFonts w:cstheme="minorHAnsi"/>
        </w:rPr>
        <w:t xml:space="preserve"> the work of a lifetime, </w:t>
      </w:r>
      <w:r w:rsidR="000A777F">
        <w:rPr>
          <w:rFonts w:cstheme="minorHAnsi"/>
        </w:rPr>
        <w:t xml:space="preserve">prolonged at least partly </w:t>
      </w:r>
      <w:r w:rsidR="00D25E9F" w:rsidRPr="00CA7790">
        <w:rPr>
          <w:rFonts w:cstheme="minorHAnsi"/>
        </w:rPr>
        <w:t xml:space="preserve">because Françoise’s own mother was also </w:t>
      </w:r>
      <w:r w:rsidR="00576BD7">
        <w:rPr>
          <w:rFonts w:cstheme="minorHAnsi"/>
        </w:rPr>
        <w:t>“</w:t>
      </w:r>
      <w:r w:rsidR="00D25E9F" w:rsidRPr="00CA7790">
        <w:rPr>
          <w:rFonts w:cstheme="minorHAnsi"/>
        </w:rPr>
        <w:t>wounded</w:t>
      </w:r>
      <w:r w:rsidR="00576BD7">
        <w:rPr>
          <w:rFonts w:cstheme="minorHAnsi"/>
        </w:rPr>
        <w:t>”</w:t>
      </w:r>
      <w:r w:rsidR="00D25E9F" w:rsidRPr="00CA7790">
        <w:rPr>
          <w:rFonts w:cstheme="minorHAnsi"/>
        </w:rPr>
        <w:t>. Beauvoir re</w:t>
      </w:r>
      <w:r w:rsidR="00576BD7">
        <w:rPr>
          <w:rFonts w:cstheme="minorHAnsi"/>
        </w:rPr>
        <w:t>cognises</w:t>
      </w:r>
      <w:r w:rsidR="00D25E9F" w:rsidRPr="00CA7790">
        <w:rPr>
          <w:rFonts w:cstheme="minorHAnsi"/>
        </w:rPr>
        <w:t xml:space="preserve"> this: </w:t>
      </w:r>
      <w:r w:rsidR="00C8768C">
        <w:rPr>
          <w:rFonts w:cstheme="minorHAnsi"/>
        </w:rPr>
        <w:t>“</w:t>
      </w:r>
      <w:r w:rsidR="00D25E9F" w:rsidRPr="00CA7790">
        <w:rPr>
          <w:rFonts w:cstheme="minorHAnsi"/>
        </w:rPr>
        <w:t xml:space="preserve">It was not in my power to wipe out the unhappiness in her childhood that condemned </w:t>
      </w:r>
      <w:proofErr w:type="spellStart"/>
      <w:r w:rsidR="00D25E9F" w:rsidRPr="00CA7790">
        <w:rPr>
          <w:rFonts w:cstheme="minorHAnsi"/>
        </w:rPr>
        <w:t>Maman</w:t>
      </w:r>
      <w:proofErr w:type="spellEnd"/>
      <w:r w:rsidR="00D25E9F" w:rsidRPr="00CA7790">
        <w:rPr>
          <w:rFonts w:cstheme="minorHAnsi"/>
        </w:rPr>
        <w:t xml:space="preserve"> to make me unhappy and to suffer in her turn from having done so. For if she embittered several years of my life, I certainly paid her back though I did not set out to do so</w:t>
      </w:r>
      <w:r w:rsidR="00C92F0A">
        <w:rPr>
          <w:rFonts w:cstheme="minorHAnsi"/>
        </w:rPr>
        <w:t>.</w:t>
      </w:r>
      <w:r w:rsidR="00C8768C">
        <w:rPr>
          <w:rFonts w:cstheme="minorHAnsi"/>
        </w:rPr>
        <w:t>”</w:t>
      </w:r>
      <w:r w:rsidR="00C8768C">
        <w:rPr>
          <w:rStyle w:val="FootnoteReference"/>
          <w:rFonts w:cstheme="minorHAnsi"/>
        </w:rPr>
        <w:footnoteReference w:id="73"/>
      </w:r>
      <w:r w:rsidR="00CB5108">
        <w:rPr>
          <w:rFonts w:cstheme="minorHAnsi"/>
        </w:rPr>
        <w:t xml:space="preserve"> </w:t>
      </w:r>
      <w:r w:rsidR="00517A80">
        <w:rPr>
          <w:rFonts w:cstheme="minorHAnsi"/>
        </w:rPr>
        <w:t xml:space="preserve"> Yet this was not the whole story. I</w:t>
      </w:r>
      <w:r w:rsidR="005E4244">
        <w:rPr>
          <w:rFonts w:cstheme="minorHAnsi"/>
        </w:rPr>
        <w:t>n a flashback she describes how,</w:t>
      </w:r>
      <w:r w:rsidR="0092193A">
        <w:rPr>
          <w:rFonts w:cstheme="minorHAnsi"/>
        </w:rPr>
        <w:t xml:space="preserve"> d</w:t>
      </w:r>
      <w:r w:rsidR="00E5326F" w:rsidRPr="00CA7790">
        <w:rPr>
          <w:rFonts w:cstheme="minorHAnsi"/>
        </w:rPr>
        <w:t xml:space="preserve">espite leaving home young, and feeling little </w:t>
      </w:r>
      <w:r w:rsidR="004E3C04">
        <w:rPr>
          <w:rFonts w:cstheme="minorHAnsi"/>
        </w:rPr>
        <w:t xml:space="preserve">empathy </w:t>
      </w:r>
      <w:r w:rsidR="00E5326F" w:rsidRPr="00CA7790">
        <w:rPr>
          <w:rFonts w:cstheme="minorHAnsi"/>
        </w:rPr>
        <w:t>for her mother</w:t>
      </w:r>
      <w:r w:rsidR="0092193A">
        <w:rPr>
          <w:rFonts w:cstheme="minorHAnsi"/>
        </w:rPr>
        <w:t xml:space="preserve">: </w:t>
      </w:r>
      <w:r w:rsidR="00C8768C">
        <w:rPr>
          <w:rFonts w:cstheme="minorHAnsi"/>
        </w:rPr>
        <w:t>“</w:t>
      </w:r>
      <w:r w:rsidR="00E5326F" w:rsidRPr="00CA7790">
        <w:rPr>
          <w:rFonts w:cstheme="minorHAnsi"/>
        </w:rPr>
        <w:t>Yet in my sleep</w:t>
      </w:r>
      <w:r w:rsidR="009441D9">
        <w:rPr>
          <w:rFonts w:cstheme="minorHAnsi"/>
        </w:rPr>
        <w:t xml:space="preserve"> [</w:t>
      </w:r>
      <w:r w:rsidR="00E5326F" w:rsidRPr="00CA7790">
        <w:rPr>
          <w:rFonts w:cstheme="minorHAnsi"/>
        </w:rPr>
        <w:t>…</w:t>
      </w:r>
      <w:r w:rsidR="009441D9">
        <w:rPr>
          <w:rFonts w:cstheme="minorHAnsi"/>
        </w:rPr>
        <w:t>]</w:t>
      </w:r>
      <w:r w:rsidR="00E5326F" w:rsidRPr="00CA7790">
        <w:rPr>
          <w:rFonts w:cstheme="minorHAnsi"/>
        </w:rPr>
        <w:t xml:space="preserve"> she often played a most important part: she blended with Sartre, and we were happy together. And then the dream would turn into a nightmare: why was I living with her once more? How had I come to be in her power again?</w:t>
      </w:r>
      <w:r w:rsidR="00C8768C">
        <w:rPr>
          <w:rFonts w:cstheme="minorHAnsi"/>
        </w:rPr>
        <w:t>”</w:t>
      </w:r>
      <w:r w:rsidR="00C8768C">
        <w:rPr>
          <w:rStyle w:val="FootnoteReference"/>
          <w:rFonts w:cstheme="minorHAnsi"/>
        </w:rPr>
        <w:footnoteReference w:id="74"/>
      </w:r>
      <w:r w:rsidR="00E5326F" w:rsidRPr="00CA7790">
        <w:rPr>
          <w:rFonts w:cstheme="minorHAnsi"/>
        </w:rPr>
        <w:t xml:space="preserve"> </w:t>
      </w:r>
      <w:r w:rsidR="004E3C04">
        <w:rPr>
          <w:rFonts w:cstheme="minorHAnsi"/>
        </w:rPr>
        <w:t xml:space="preserve">This </w:t>
      </w:r>
      <w:r w:rsidR="005E4244">
        <w:rPr>
          <w:rFonts w:cstheme="minorHAnsi"/>
        </w:rPr>
        <w:t>suggests</w:t>
      </w:r>
      <w:r w:rsidR="00517A80">
        <w:rPr>
          <w:rFonts w:cstheme="minorHAnsi"/>
        </w:rPr>
        <w:t>, too,</w:t>
      </w:r>
      <w:r w:rsidR="005E4244">
        <w:rPr>
          <w:rFonts w:cstheme="minorHAnsi"/>
        </w:rPr>
        <w:t xml:space="preserve"> that while she did mourn Sartre’s death for many years beforehand, </w:t>
      </w:r>
      <w:r w:rsidR="005F3381">
        <w:rPr>
          <w:rFonts w:cstheme="minorHAnsi"/>
        </w:rPr>
        <w:t xml:space="preserve">nested </w:t>
      </w:r>
      <w:r w:rsidR="005E4244">
        <w:rPr>
          <w:rFonts w:cstheme="minorHAnsi"/>
        </w:rPr>
        <w:t>deep within this was anticipation of the loss of her mother,</w:t>
      </w:r>
      <w:r w:rsidR="004E3C04">
        <w:rPr>
          <w:rFonts w:cstheme="minorHAnsi"/>
        </w:rPr>
        <w:t xml:space="preserve"> </w:t>
      </w:r>
      <w:r w:rsidR="0092193A">
        <w:rPr>
          <w:rFonts w:cstheme="minorHAnsi"/>
        </w:rPr>
        <w:t>validat</w:t>
      </w:r>
      <w:r w:rsidR="005E4244">
        <w:rPr>
          <w:rFonts w:cstheme="minorHAnsi"/>
        </w:rPr>
        <w:t>ing</w:t>
      </w:r>
      <w:r w:rsidR="0092193A">
        <w:rPr>
          <w:rFonts w:cstheme="minorHAnsi"/>
        </w:rPr>
        <w:t xml:space="preserve"> t</w:t>
      </w:r>
      <w:r w:rsidR="004E3C04">
        <w:rPr>
          <w:rFonts w:cstheme="minorHAnsi"/>
        </w:rPr>
        <w:t xml:space="preserve">he idea that </w:t>
      </w:r>
      <w:r w:rsidR="005E4244">
        <w:rPr>
          <w:rFonts w:cstheme="minorHAnsi"/>
        </w:rPr>
        <w:t xml:space="preserve">any </w:t>
      </w:r>
      <w:r w:rsidR="004E3C04">
        <w:rPr>
          <w:rFonts w:cstheme="minorHAnsi"/>
        </w:rPr>
        <w:t xml:space="preserve">new love object is </w:t>
      </w:r>
      <w:r w:rsidR="005E4244">
        <w:rPr>
          <w:rFonts w:cstheme="minorHAnsi"/>
        </w:rPr>
        <w:t xml:space="preserve">a </w:t>
      </w:r>
      <w:r w:rsidR="004E3C04">
        <w:rPr>
          <w:rFonts w:cstheme="minorHAnsi"/>
        </w:rPr>
        <w:t xml:space="preserve">substitution, in an infinite regression, </w:t>
      </w:r>
      <w:r w:rsidR="005E4244">
        <w:rPr>
          <w:rFonts w:cstheme="minorHAnsi"/>
        </w:rPr>
        <w:t xml:space="preserve">like a reflection of a mirror in a mirror, </w:t>
      </w:r>
      <w:r w:rsidR="004E3C04">
        <w:rPr>
          <w:rFonts w:cstheme="minorHAnsi"/>
        </w:rPr>
        <w:t xml:space="preserve">traceable back to </w:t>
      </w:r>
      <w:r w:rsidR="0092193A">
        <w:rPr>
          <w:rFonts w:cstheme="minorHAnsi"/>
        </w:rPr>
        <w:t xml:space="preserve">the primary relationship with Mother. </w:t>
      </w:r>
      <w:r w:rsidR="005E4244">
        <w:rPr>
          <w:rFonts w:cstheme="minorHAnsi"/>
        </w:rPr>
        <w:t xml:space="preserve">Now, with </w:t>
      </w:r>
      <w:r w:rsidR="005E4244">
        <w:rPr>
          <w:rFonts w:cstheme="minorHAnsi"/>
        </w:rPr>
        <w:lastRenderedPageBreak/>
        <w:t>mourning complete, a</w:t>
      </w:r>
      <w:r w:rsidR="005E4244" w:rsidRPr="00CA7790">
        <w:rPr>
          <w:rFonts w:cstheme="minorHAnsi"/>
        </w:rPr>
        <w:t xml:space="preserve">s she herself puts it, she was finally no longer in her mother’s </w:t>
      </w:r>
      <w:r w:rsidR="00ED6F0A">
        <w:rPr>
          <w:rFonts w:cstheme="minorHAnsi"/>
        </w:rPr>
        <w:t>“</w:t>
      </w:r>
      <w:r w:rsidR="005E4244" w:rsidRPr="00CA7790">
        <w:rPr>
          <w:rFonts w:cstheme="minorHAnsi"/>
        </w:rPr>
        <w:t>power</w:t>
      </w:r>
      <w:r w:rsidR="00ED6F0A">
        <w:rPr>
          <w:rFonts w:cstheme="minorHAnsi"/>
        </w:rPr>
        <w:t>”</w:t>
      </w:r>
      <w:r w:rsidR="002931D7">
        <w:rPr>
          <w:rFonts w:cstheme="minorHAnsi"/>
        </w:rPr>
        <w:t xml:space="preserve">, trapped within those </w:t>
      </w:r>
      <w:r w:rsidR="000470B1">
        <w:rPr>
          <w:rFonts w:cstheme="minorHAnsi"/>
        </w:rPr>
        <w:t xml:space="preserve">sad </w:t>
      </w:r>
      <w:r w:rsidR="002931D7">
        <w:rPr>
          <w:rFonts w:cstheme="minorHAnsi"/>
        </w:rPr>
        <w:t>mirrors</w:t>
      </w:r>
      <w:r w:rsidR="00DB2B17">
        <w:rPr>
          <w:rFonts w:cstheme="minorHAnsi"/>
        </w:rPr>
        <w:t>.</w:t>
      </w:r>
      <w:r w:rsidR="005E4244" w:rsidRPr="00CA7790">
        <w:rPr>
          <w:rFonts w:cstheme="minorHAnsi"/>
        </w:rPr>
        <w:t xml:space="preserve"> </w:t>
      </w:r>
      <w:r w:rsidR="005E4244">
        <w:rPr>
          <w:rFonts w:cstheme="minorHAnsi"/>
        </w:rPr>
        <w:t>In</w:t>
      </w:r>
      <w:r w:rsidR="00DB2B17">
        <w:rPr>
          <w:rFonts w:cstheme="minorHAnsi"/>
        </w:rPr>
        <w:t>stead</w:t>
      </w:r>
      <w:r w:rsidR="005E4244">
        <w:rPr>
          <w:rFonts w:cstheme="minorHAnsi"/>
        </w:rPr>
        <w:t xml:space="preserve">, </w:t>
      </w:r>
      <w:r w:rsidR="002931D7">
        <w:rPr>
          <w:rFonts w:cstheme="minorHAnsi"/>
        </w:rPr>
        <w:t xml:space="preserve">a </w:t>
      </w:r>
      <w:r w:rsidR="000470B1">
        <w:rPr>
          <w:rFonts w:cstheme="minorHAnsi"/>
        </w:rPr>
        <w:t xml:space="preserve">bright </w:t>
      </w:r>
      <w:r w:rsidR="002931D7">
        <w:rPr>
          <w:rFonts w:cstheme="minorHAnsi"/>
        </w:rPr>
        <w:t xml:space="preserve">vista </w:t>
      </w:r>
      <w:proofErr w:type="gramStart"/>
      <w:r w:rsidR="002931D7">
        <w:rPr>
          <w:rFonts w:cstheme="minorHAnsi"/>
        </w:rPr>
        <w:t>opens up</w:t>
      </w:r>
      <w:proofErr w:type="gramEnd"/>
      <w:r w:rsidR="002931D7">
        <w:rPr>
          <w:rFonts w:cstheme="minorHAnsi"/>
        </w:rPr>
        <w:t xml:space="preserve">, and </w:t>
      </w:r>
      <w:r w:rsidR="005E4244">
        <w:rPr>
          <w:rFonts w:cstheme="minorHAnsi"/>
        </w:rPr>
        <w:t xml:space="preserve">as Woodward puts it, </w:t>
      </w:r>
      <w:r w:rsidR="00310E18">
        <w:rPr>
          <w:rFonts w:cstheme="minorHAnsi"/>
        </w:rPr>
        <w:t>“</w:t>
      </w:r>
      <w:r w:rsidR="005E4244">
        <w:rPr>
          <w:rFonts w:cstheme="minorHAnsi"/>
        </w:rPr>
        <w:t xml:space="preserve">Beauvoir discovers </w:t>
      </w:r>
      <w:r w:rsidR="00CF73FA">
        <w:rPr>
          <w:rFonts w:cstheme="minorHAnsi"/>
        </w:rPr>
        <w:t>[</w:t>
      </w:r>
      <w:r w:rsidR="005E4244">
        <w:rPr>
          <w:rFonts w:cstheme="minorHAnsi"/>
        </w:rPr>
        <w:t>…</w:t>
      </w:r>
      <w:r w:rsidR="00CF73FA">
        <w:rPr>
          <w:rFonts w:cstheme="minorHAnsi"/>
        </w:rPr>
        <w:t>]</w:t>
      </w:r>
      <w:r w:rsidR="005E4244">
        <w:rPr>
          <w:rFonts w:cstheme="minorHAnsi"/>
        </w:rPr>
        <w:t xml:space="preserve"> a meaning to her mother’s death and a pattern to her life – to both of their lives</w:t>
      </w:r>
      <w:r w:rsidR="00C92F0A">
        <w:rPr>
          <w:rFonts w:cstheme="minorHAnsi"/>
        </w:rPr>
        <w:t>.</w:t>
      </w:r>
      <w:r w:rsidR="00310E18">
        <w:rPr>
          <w:rFonts w:cstheme="minorHAnsi"/>
        </w:rPr>
        <w:t>”</w:t>
      </w:r>
      <w:r w:rsidR="00DB2B17">
        <w:rPr>
          <w:rStyle w:val="FootnoteReference"/>
          <w:rFonts w:cstheme="minorHAnsi"/>
        </w:rPr>
        <w:footnoteReference w:id="75"/>
      </w:r>
      <w:r w:rsidR="00ED6F0A">
        <w:rPr>
          <w:rFonts w:cstheme="minorHAnsi"/>
        </w:rPr>
        <w:t xml:space="preserve"> </w:t>
      </w:r>
    </w:p>
    <w:p w14:paraId="1EDFFED8" w14:textId="74C303EA" w:rsidR="00613A32" w:rsidRDefault="00573F9C" w:rsidP="004E3C04">
      <w:pPr>
        <w:spacing w:line="360" w:lineRule="auto"/>
        <w:ind w:firstLine="284"/>
        <w:rPr>
          <w:rFonts w:cstheme="minorHAnsi"/>
        </w:rPr>
      </w:pPr>
      <w:r>
        <w:rPr>
          <w:rFonts w:cstheme="minorHAnsi"/>
        </w:rPr>
        <w:t xml:space="preserve">This fundamentally reconfigured the way Beauvoir perceived ageing and old age. </w:t>
      </w:r>
      <w:r w:rsidR="00EE663E">
        <w:rPr>
          <w:rFonts w:cstheme="minorHAnsi"/>
        </w:rPr>
        <w:t>Looking back</w:t>
      </w:r>
      <w:r>
        <w:rPr>
          <w:rFonts w:cstheme="minorHAnsi"/>
        </w:rPr>
        <w:t>, from with</w:t>
      </w:r>
      <w:r w:rsidR="00EE663E">
        <w:rPr>
          <w:rFonts w:cstheme="minorHAnsi"/>
        </w:rPr>
        <w:t xml:space="preserve">in </w:t>
      </w:r>
      <w:r w:rsidR="005F3381">
        <w:rPr>
          <w:rFonts w:cstheme="minorHAnsi"/>
        </w:rPr>
        <w:t xml:space="preserve">the pages of </w:t>
      </w:r>
      <w:r w:rsidR="00EE663E" w:rsidRPr="005F3381">
        <w:rPr>
          <w:rFonts w:cstheme="minorHAnsi"/>
          <w:i/>
          <w:iCs/>
        </w:rPr>
        <w:t>All Said and Done</w:t>
      </w:r>
      <w:r w:rsidR="00EE663E">
        <w:rPr>
          <w:rFonts w:cstheme="minorHAnsi"/>
        </w:rPr>
        <w:t xml:space="preserve">, Beauvoir says, </w:t>
      </w:r>
      <w:r w:rsidR="00DB2B17">
        <w:rPr>
          <w:rFonts w:cstheme="minorHAnsi"/>
        </w:rPr>
        <w:t>“</w:t>
      </w:r>
      <w:r w:rsidR="00EE663E">
        <w:rPr>
          <w:rFonts w:cstheme="minorHAnsi"/>
        </w:rPr>
        <w:t>I was wrong in 1962 when I thought nothing significant would happen to me anymore, apart from calamities; now once again I was given a great chance</w:t>
      </w:r>
      <w:r w:rsidR="00C92F0A">
        <w:rPr>
          <w:rFonts w:cstheme="minorHAnsi"/>
        </w:rPr>
        <w:t>.</w:t>
      </w:r>
      <w:r w:rsidR="00DB2B17">
        <w:rPr>
          <w:rFonts w:cstheme="minorHAnsi"/>
        </w:rPr>
        <w:t>”</w:t>
      </w:r>
      <w:r w:rsidR="00DB2B17">
        <w:rPr>
          <w:rStyle w:val="FootnoteReference"/>
          <w:rFonts w:cstheme="minorHAnsi"/>
        </w:rPr>
        <w:footnoteReference w:id="76"/>
      </w:r>
      <w:r w:rsidR="00EE663E">
        <w:rPr>
          <w:rFonts w:cstheme="minorHAnsi"/>
        </w:rPr>
        <w:t xml:space="preserve"> Moi observes that </w:t>
      </w:r>
      <w:r w:rsidR="005F3381">
        <w:rPr>
          <w:rFonts w:cstheme="minorHAnsi"/>
        </w:rPr>
        <w:t xml:space="preserve">the </w:t>
      </w:r>
      <w:r w:rsidR="002931D7">
        <w:rPr>
          <w:rFonts w:cstheme="minorHAnsi"/>
        </w:rPr>
        <w:t>significant event</w:t>
      </w:r>
      <w:r w:rsidR="00895BB8">
        <w:rPr>
          <w:rFonts w:cstheme="minorHAnsi"/>
        </w:rPr>
        <w:t xml:space="preserve"> </w:t>
      </w:r>
      <w:r w:rsidR="00576BD7">
        <w:rPr>
          <w:rFonts w:cstheme="minorHAnsi"/>
        </w:rPr>
        <w:t xml:space="preserve">in question </w:t>
      </w:r>
      <w:r w:rsidR="00EE663E">
        <w:rPr>
          <w:rFonts w:cstheme="minorHAnsi"/>
        </w:rPr>
        <w:t xml:space="preserve">was the meeting with </w:t>
      </w:r>
      <w:r w:rsidR="00F31968">
        <w:rPr>
          <w:rFonts w:cstheme="minorHAnsi"/>
        </w:rPr>
        <w:t xml:space="preserve">Sylvie </w:t>
      </w:r>
      <w:r w:rsidR="00EE663E">
        <w:rPr>
          <w:rFonts w:cstheme="minorHAnsi"/>
        </w:rPr>
        <w:t xml:space="preserve">le Bon. But Beauvoir </w:t>
      </w:r>
      <w:r w:rsidR="00576BD7">
        <w:rPr>
          <w:rFonts w:cstheme="minorHAnsi"/>
        </w:rPr>
        <w:t xml:space="preserve">first </w:t>
      </w:r>
      <w:r w:rsidR="00EE663E">
        <w:rPr>
          <w:rFonts w:cstheme="minorHAnsi"/>
        </w:rPr>
        <w:t xml:space="preserve">met le Bon in 1960; she published </w:t>
      </w:r>
      <w:r w:rsidR="00EE663E" w:rsidRPr="005F3381">
        <w:rPr>
          <w:rFonts w:cstheme="minorHAnsi"/>
          <w:i/>
          <w:iCs/>
        </w:rPr>
        <w:t>Force of Circumstance</w:t>
      </w:r>
      <w:r w:rsidR="00EE663E">
        <w:rPr>
          <w:rFonts w:cstheme="minorHAnsi"/>
        </w:rPr>
        <w:t xml:space="preserve"> in 1963 and her anguished dread of ageing is very much in evidence</w:t>
      </w:r>
      <w:r w:rsidR="005F3381">
        <w:rPr>
          <w:rFonts w:cstheme="minorHAnsi"/>
        </w:rPr>
        <w:t xml:space="preserve"> in that volume</w:t>
      </w:r>
      <w:r w:rsidR="00EE663E">
        <w:rPr>
          <w:rFonts w:cstheme="minorHAnsi"/>
        </w:rPr>
        <w:t xml:space="preserve">. </w:t>
      </w:r>
      <w:r w:rsidR="005F3381">
        <w:rPr>
          <w:rFonts w:cstheme="minorHAnsi"/>
        </w:rPr>
        <w:t xml:space="preserve">However, </w:t>
      </w:r>
      <w:r w:rsidR="00EE663E">
        <w:rPr>
          <w:rFonts w:cstheme="minorHAnsi"/>
        </w:rPr>
        <w:t>Françoise died in 1963</w:t>
      </w:r>
      <w:r w:rsidR="005F3381">
        <w:rPr>
          <w:rFonts w:cstheme="minorHAnsi"/>
        </w:rPr>
        <w:t xml:space="preserve"> meaning that, </w:t>
      </w:r>
      <w:r w:rsidR="00EE663E">
        <w:rPr>
          <w:rFonts w:cstheme="minorHAnsi"/>
        </w:rPr>
        <w:t>at the very least</w:t>
      </w:r>
      <w:r w:rsidR="005F3381">
        <w:rPr>
          <w:rFonts w:cstheme="minorHAnsi"/>
        </w:rPr>
        <w:t>,</w:t>
      </w:r>
      <w:r w:rsidR="00EE663E">
        <w:rPr>
          <w:rFonts w:cstheme="minorHAnsi"/>
        </w:rPr>
        <w:t xml:space="preserve"> we can speak of the </w:t>
      </w:r>
      <w:r w:rsidR="002931D7">
        <w:rPr>
          <w:rFonts w:cstheme="minorHAnsi"/>
        </w:rPr>
        <w:t>significance</w:t>
      </w:r>
      <w:r w:rsidR="00EE663E">
        <w:rPr>
          <w:rFonts w:cstheme="minorHAnsi"/>
        </w:rPr>
        <w:t xml:space="preserve"> of both these events</w:t>
      </w:r>
      <w:r w:rsidR="002931D7">
        <w:rPr>
          <w:rFonts w:cstheme="minorHAnsi"/>
        </w:rPr>
        <w:t>, including</w:t>
      </w:r>
      <w:r w:rsidR="00EE663E">
        <w:rPr>
          <w:rFonts w:cstheme="minorHAnsi"/>
        </w:rPr>
        <w:t xml:space="preserve"> in underpinning Beauvoir’s acceptance of ageing</w:t>
      </w:r>
      <w:r w:rsidR="0040523C">
        <w:rPr>
          <w:rFonts w:cstheme="minorHAnsi"/>
        </w:rPr>
        <w:t xml:space="preserve">, what </w:t>
      </w:r>
      <w:proofErr w:type="spellStart"/>
      <w:r w:rsidR="0040523C">
        <w:rPr>
          <w:rFonts w:cstheme="minorHAnsi"/>
        </w:rPr>
        <w:t>Ladimer</w:t>
      </w:r>
      <w:proofErr w:type="spellEnd"/>
      <w:r w:rsidR="0040523C">
        <w:rPr>
          <w:rFonts w:cstheme="minorHAnsi"/>
        </w:rPr>
        <w:t xml:space="preserve"> calls a ‘dialectical relationship’ between Sylvie’s presence and the death of Françoise</w:t>
      </w:r>
      <w:r w:rsidR="00B5537B">
        <w:rPr>
          <w:rFonts w:cstheme="minorHAnsi"/>
        </w:rPr>
        <w:t>.</w:t>
      </w:r>
      <w:r w:rsidR="0040523C">
        <w:rPr>
          <w:rStyle w:val="FootnoteReference"/>
          <w:rFonts w:cstheme="minorHAnsi"/>
        </w:rPr>
        <w:footnoteReference w:id="77"/>
      </w:r>
      <w:r w:rsidR="00EE663E">
        <w:rPr>
          <w:rFonts w:cstheme="minorHAnsi"/>
        </w:rPr>
        <w:t xml:space="preserve"> </w:t>
      </w:r>
      <w:r w:rsidR="00576BD7">
        <w:rPr>
          <w:rFonts w:cstheme="minorHAnsi"/>
        </w:rPr>
        <w:t xml:space="preserve">Returning to </w:t>
      </w:r>
      <w:r w:rsidR="00880A5E" w:rsidRPr="00CA7790">
        <w:rPr>
          <w:rFonts w:cstheme="minorHAnsi"/>
        </w:rPr>
        <w:t>the red dressing gown, when Beauvoir and her sister</w:t>
      </w:r>
      <w:r w:rsidR="00C85594">
        <w:rPr>
          <w:rFonts w:cstheme="minorHAnsi"/>
        </w:rPr>
        <w:t xml:space="preserve"> </w:t>
      </w:r>
      <w:r w:rsidR="00880A5E" w:rsidRPr="00CA7790">
        <w:rPr>
          <w:rFonts w:cstheme="minorHAnsi"/>
        </w:rPr>
        <w:t>clear the hospital bedroom of her mother’s belongings, Beauvoir makes the</w:t>
      </w:r>
      <w:r w:rsidR="00880A5E">
        <w:rPr>
          <w:rFonts w:cstheme="minorHAnsi"/>
        </w:rPr>
        <w:t xml:space="preserve"> surely meaningful</w:t>
      </w:r>
      <w:r w:rsidR="00880A5E" w:rsidRPr="00CA7790">
        <w:rPr>
          <w:rFonts w:cstheme="minorHAnsi"/>
        </w:rPr>
        <w:t xml:space="preserve"> decision to leav</w:t>
      </w:r>
      <w:r w:rsidR="00ED6F0A">
        <w:rPr>
          <w:rFonts w:cstheme="minorHAnsi"/>
        </w:rPr>
        <w:t>e th</w:t>
      </w:r>
      <w:r w:rsidR="00880A5E" w:rsidRPr="00CA7790">
        <w:rPr>
          <w:rFonts w:cstheme="minorHAnsi"/>
        </w:rPr>
        <w:t>e red dressing gown behind, on its hanger in the wardrobe</w:t>
      </w:r>
      <w:r w:rsidR="00ED6F0A">
        <w:rPr>
          <w:rFonts w:cstheme="minorHAnsi"/>
        </w:rPr>
        <w:t>, a</w:t>
      </w:r>
      <w:r w:rsidR="00C85594">
        <w:rPr>
          <w:rFonts w:cstheme="minorHAnsi"/>
        </w:rPr>
        <w:t>nd also to leave behind</w:t>
      </w:r>
      <w:r w:rsidR="00ED6F0A">
        <w:rPr>
          <w:rFonts w:cstheme="minorHAnsi"/>
        </w:rPr>
        <w:t xml:space="preserve"> the </w:t>
      </w:r>
      <w:r w:rsidR="00C85594">
        <w:rPr>
          <w:rFonts w:cstheme="minorHAnsi"/>
        </w:rPr>
        <w:t xml:space="preserve">role of the </w:t>
      </w:r>
      <w:r w:rsidR="00ED6F0A">
        <w:rPr>
          <w:rFonts w:cstheme="minorHAnsi"/>
        </w:rPr>
        <w:t xml:space="preserve">“dutiful daughter” both </w:t>
      </w:r>
      <w:r w:rsidR="008D46A2">
        <w:rPr>
          <w:rFonts w:cstheme="minorHAnsi"/>
        </w:rPr>
        <w:t>summoned</w:t>
      </w:r>
      <w:r w:rsidR="00ED6F0A">
        <w:rPr>
          <w:rFonts w:cstheme="minorHAnsi"/>
        </w:rPr>
        <w:t xml:space="preserve"> and rep</w:t>
      </w:r>
      <w:r w:rsidR="008D46A2">
        <w:rPr>
          <w:rFonts w:cstheme="minorHAnsi"/>
        </w:rPr>
        <w:t>ulsed</w:t>
      </w:r>
      <w:r w:rsidR="00ED6F0A">
        <w:rPr>
          <w:rFonts w:cstheme="minorHAnsi"/>
        </w:rPr>
        <w:t xml:space="preserve"> by her femininity as well as her</w:t>
      </w:r>
      <w:r w:rsidR="00576BD7">
        <w:rPr>
          <w:rFonts w:cstheme="minorHAnsi"/>
        </w:rPr>
        <w:t xml:space="preserve"> fear of old age</w:t>
      </w:r>
      <w:r w:rsidR="00ED6F0A">
        <w:rPr>
          <w:rFonts w:cstheme="minorHAnsi"/>
        </w:rPr>
        <w:t>. This</w:t>
      </w:r>
      <w:r w:rsidR="00576BD7">
        <w:rPr>
          <w:rFonts w:cstheme="minorHAnsi"/>
        </w:rPr>
        <w:t xml:space="preserve"> is why in 1970 she was able to record sentiments unthinkable to the writer of </w:t>
      </w:r>
      <w:r w:rsidR="00576BD7" w:rsidRPr="00FF3B34">
        <w:rPr>
          <w:rFonts w:cstheme="minorHAnsi"/>
          <w:i/>
          <w:iCs/>
        </w:rPr>
        <w:t>Force of Circumstance,</w:t>
      </w:r>
      <w:r w:rsidR="00576BD7">
        <w:rPr>
          <w:rFonts w:cstheme="minorHAnsi"/>
        </w:rPr>
        <w:t xml:space="preserve"> namely that in a just society old age “would be a period of life different from youth and maturity, but possessing its own balance and leaving a wide range of possibilities open to the individual</w:t>
      </w:r>
      <w:r w:rsidR="008D46A2">
        <w:rPr>
          <w:rFonts w:cstheme="minorHAnsi"/>
        </w:rPr>
        <w:t>.</w:t>
      </w:r>
      <w:r w:rsidR="00ED6F0A">
        <w:rPr>
          <w:rFonts w:cstheme="minorHAnsi"/>
        </w:rPr>
        <w:t>”</w:t>
      </w:r>
      <w:r w:rsidR="00576BD7">
        <w:rPr>
          <w:rStyle w:val="FootnoteReference"/>
          <w:rFonts w:cstheme="minorHAnsi"/>
        </w:rPr>
        <w:footnoteReference w:id="78"/>
      </w:r>
      <w:r w:rsidR="00576BD7">
        <w:rPr>
          <w:rFonts w:cstheme="minorHAnsi"/>
        </w:rPr>
        <w:t xml:space="preserve"> </w:t>
      </w:r>
    </w:p>
    <w:p w14:paraId="7F66B3C1" w14:textId="1FC09938" w:rsidR="00954B23" w:rsidRPr="00CA7790" w:rsidRDefault="007C1ECF" w:rsidP="00886A23">
      <w:pPr>
        <w:spacing w:line="360" w:lineRule="auto"/>
        <w:ind w:firstLine="284"/>
        <w:rPr>
          <w:rFonts w:cstheme="minorHAnsi"/>
        </w:rPr>
      </w:pPr>
      <w:r w:rsidRPr="00CA7790">
        <w:rPr>
          <w:rFonts w:cstheme="minorHAnsi"/>
        </w:rPr>
        <w:t xml:space="preserve">In the </w:t>
      </w:r>
      <w:r w:rsidR="005F3381">
        <w:rPr>
          <w:rFonts w:cstheme="minorHAnsi"/>
        </w:rPr>
        <w:t>final</w:t>
      </w:r>
      <w:r w:rsidRPr="00CA7790">
        <w:rPr>
          <w:rFonts w:cstheme="minorHAnsi"/>
        </w:rPr>
        <w:t xml:space="preserve"> section I </w:t>
      </w:r>
      <w:r w:rsidR="005F3381">
        <w:rPr>
          <w:rFonts w:cstheme="minorHAnsi"/>
        </w:rPr>
        <w:t xml:space="preserve">sum up by taking a brief look </w:t>
      </w:r>
      <w:r w:rsidRPr="00CA7790">
        <w:rPr>
          <w:rFonts w:cstheme="minorHAnsi"/>
        </w:rPr>
        <w:t>at</w:t>
      </w:r>
      <w:r w:rsidR="00954B23" w:rsidRPr="00CA7790">
        <w:rPr>
          <w:rFonts w:cstheme="minorHAnsi"/>
        </w:rPr>
        <w:t xml:space="preserve"> the </w:t>
      </w:r>
      <w:r w:rsidRPr="00CA7790">
        <w:rPr>
          <w:rFonts w:cstheme="minorHAnsi"/>
        </w:rPr>
        <w:t xml:space="preserve">broader relevance of the </w:t>
      </w:r>
      <w:r w:rsidR="00954B23" w:rsidRPr="00CA7790">
        <w:rPr>
          <w:rFonts w:cstheme="minorHAnsi"/>
        </w:rPr>
        <w:t>shift</w:t>
      </w:r>
      <w:r w:rsidR="002F78A7">
        <w:rPr>
          <w:rFonts w:cstheme="minorHAnsi"/>
        </w:rPr>
        <w:t xml:space="preserve"> I have described here in Beauvoir’s approach</w:t>
      </w:r>
      <w:r w:rsidR="00954B23" w:rsidRPr="00CA7790">
        <w:rPr>
          <w:rFonts w:cstheme="minorHAnsi"/>
        </w:rPr>
        <w:t xml:space="preserve"> in the context of </w:t>
      </w:r>
      <w:r w:rsidR="002F78A7">
        <w:rPr>
          <w:rFonts w:cstheme="minorHAnsi"/>
        </w:rPr>
        <w:t xml:space="preserve">a </w:t>
      </w:r>
      <w:r w:rsidR="00954B23" w:rsidRPr="00CA7790">
        <w:rPr>
          <w:rFonts w:cstheme="minorHAnsi"/>
        </w:rPr>
        <w:t>contemporary society</w:t>
      </w:r>
      <w:r w:rsidR="002F78A7">
        <w:rPr>
          <w:rFonts w:cstheme="minorHAnsi"/>
        </w:rPr>
        <w:t xml:space="preserve"> that both </w:t>
      </w:r>
      <w:r w:rsidR="00800AC0">
        <w:rPr>
          <w:rFonts w:cstheme="minorHAnsi"/>
        </w:rPr>
        <w:t>“</w:t>
      </w:r>
      <w:r w:rsidR="002F78A7">
        <w:rPr>
          <w:rFonts w:cstheme="minorHAnsi"/>
        </w:rPr>
        <w:t>others</w:t>
      </w:r>
      <w:r w:rsidR="00800AC0">
        <w:rPr>
          <w:rFonts w:cstheme="minorHAnsi"/>
        </w:rPr>
        <w:t>”</w:t>
      </w:r>
      <w:r w:rsidR="002F78A7">
        <w:rPr>
          <w:rFonts w:cstheme="minorHAnsi"/>
        </w:rPr>
        <w:t xml:space="preserve"> old age more than ever and is riven with intergenerational discord</w:t>
      </w:r>
      <w:r w:rsidR="00954B23" w:rsidRPr="00CA7790">
        <w:rPr>
          <w:rFonts w:cstheme="minorHAnsi"/>
        </w:rPr>
        <w:t>.</w:t>
      </w:r>
    </w:p>
    <w:p w14:paraId="171733C4" w14:textId="77777777" w:rsidR="00954B23" w:rsidRPr="00CA7790" w:rsidRDefault="00954B23" w:rsidP="00886A23">
      <w:pPr>
        <w:spacing w:line="360" w:lineRule="auto"/>
        <w:ind w:firstLine="284"/>
        <w:rPr>
          <w:rFonts w:cstheme="minorHAnsi"/>
        </w:rPr>
      </w:pPr>
    </w:p>
    <w:p w14:paraId="73AAFE3E" w14:textId="73467B44" w:rsidR="00954B23" w:rsidRPr="00CA7790" w:rsidRDefault="00573F9C" w:rsidP="00954B23">
      <w:pPr>
        <w:spacing w:line="360" w:lineRule="auto"/>
        <w:rPr>
          <w:rFonts w:cstheme="minorHAnsi"/>
          <w:b/>
          <w:bCs/>
        </w:rPr>
      </w:pPr>
      <w:r>
        <w:rPr>
          <w:rFonts w:cstheme="minorHAnsi"/>
          <w:b/>
          <w:bCs/>
        </w:rPr>
        <w:t>9 Discussion and concluding comments: l</w:t>
      </w:r>
      <w:r w:rsidR="00042682">
        <w:rPr>
          <w:rFonts w:cstheme="minorHAnsi"/>
          <w:b/>
          <w:bCs/>
        </w:rPr>
        <w:t xml:space="preserve">earning from the ageing of a dutiful </w:t>
      </w:r>
      <w:proofErr w:type="gramStart"/>
      <w:r w:rsidR="00042682">
        <w:rPr>
          <w:rFonts w:cstheme="minorHAnsi"/>
          <w:b/>
          <w:bCs/>
        </w:rPr>
        <w:t>daughter</w:t>
      </w:r>
      <w:proofErr w:type="gramEnd"/>
    </w:p>
    <w:p w14:paraId="533B7359" w14:textId="0F03EF57" w:rsidR="00954B23" w:rsidRDefault="009F177C" w:rsidP="00954B23">
      <w:pPr>
        <w:spacing w:line="360" w:lineRule="auto"/>
        <w:rPr>
          <w:rFonts w:cstheme="minorHAnsi"/>
        </w:rPr>
      </w:pPr>
      <w:r w:rsidRPr="00CA7790">
        <w:rPr>
          <w:rFonts w:cstheme="minorHAnsi"/>
        </w:rPr>
        <w:t>In contemporary times</w:t>
      </w:r>
      <w:r w:rsidR="00D914E0">
        <w:rPr>
          <w:rFonts w:cstheme="minorHAnsi"/>
        </w:rPr>
        <w:t>,</w:t>
      </w:r>
      <w:r w:rsidRPr="00CA7790">
        <w:rPr>
          <w:rFonts w:cstheme="minorHAnsi"/>
        </w:rPr>
        <w:t xml:space="preserve"> the </w:t>
      </w:r>
      <w:r w:rsidR="00800AC0">
        <w:rPr>
          <w:rFonts w:cstheme="minorHAnsi"/>
        </w:rPr>
        <w:t>“</w:t>
      </w:r>
      <w:r w:rsidRPr="00CA7790">
        <w:rPr>
          <w:rFonts w:cstheme="minorHAnsi"/>
        </w:rPr>
        <w:t>age war</w:t>
      </w:r>
      <w:r w:rsidR="00800AC0">
        <w:rPr>
          <w:rFonts w:cstheme="minorHAnsi"/>
        </w:rPr>
        <w:t>”</w:t>
      </w:r>
      <w:r w:rsidRPr="00CA7790">
        <w:rPr>
          <w:rFonts w:cstheme="minorHAnsi"/>
        </w:rPr>
        <w:t xml:space="preserve"> motif is increasingly used to frame social and political </w:t>
      </w:r>
      <w:r w:rsidR="00CB6EB4" w:rsidRPr="00CA7790">
        <w:rPr>
          <w:rFonts w:cstheme="minorHAnsi"/>
        </w:rPr>
        <w:t>crises</w:t>
      </w:r>
      <w:r w:rsidR="00CB6EB4">
        <w:rPr>
          <w:rFonts w:cstheme="minorHAnsi"/>
        </w:rPr>
        <w:t>, with</w:t>
      </w:r>
      <w:r w:rsidR="006427EE" w:rsidRPr="00CA7790">
        <w:rPr>
          <w:rFonts w:cstheme="minorHAnsi"/>
        </w:rPr>
        <w:t xml:space="preserve"> the trope of the older woman versus the young woman frequently counterposed</w:t>
      </w:r>
      <w:r w:rsidR="009A2DD0">
        <w:rPr>
          <w:rFonts w:cstheme="minorHAnsi"/>
        </w:rPr>
        <w:t xml:space="preserve"> in these stories.</w:t>
      </w:r>
      <w:r w:rsidR="00573F9C">
        <w:rPr>
          <w:rStyle w:val="FootnoteReference"/>
          <w:rFonts w:cstheme="minorHAnsi"/>
        </w:rPr>
        <w:footnoteReference w:id="79"/>
      </w:r>
      <w:r w:rsidR="006427EE" w:rsidRPr="00CA7790">
        <w:rPr>
          <w:rFonts w:cstheme="minorHAnsi"/>
        </w:rPr>
        <w:t xml:space="preserve"> </w:t>
      </w:r>
      <w:r w:rsidR="00116B3B" w:rsidRPr="00CA7790">
        <w:rPr>
          <w:rFonts w:cstheme="minorHAnsi"/>
        </w:rPr>
        <w:t xml:space="preserve">The implicit problem </w:t>
      </w:r>
      <w:r w:rsidR="001A3C1E">
        <w:rPr>
          <w:rFonts w:cstheme="minorHAnsi"/>
        </w:rPr>
        <w:t xml:space="preserve">here </w:t>
      </w:r>
      <w:r w:rsidR="00116B3B" w:rsidRPr="00CA7790">
        <w:rPr>
          <w:rFonts w:cstheme="minorHAnsi"/>
        </w:rPr>
        <w:t xml:space="preserve">is the mother and we can certainly see generational tensions </w:t>
      </w:r>
      <w:r w:rsidR="00116B3B" w:rsidRPr="00CA7790">
        <w:rPr>
          <w:rFonts w:cstheme="minorHAnsi"/>
        </w:rPr>
        <w:lastRenderedPageBreak/>
        <w:t xml:space="preserve">between women underpinning ugly rifts between </w:t>
      </w:r>
      <w:r w:rsidR="005F3381">
        <w:rPr>
          <w:rFonts w:cstheme="minorHAnsi"/>
        </w:rPr>
        <w:t xml:space="preserve">so-called </w:t>
      </w:r>
      <w:r w:rsidR="00116B3B" w:rsidRPr="00CA7790">
        <w:rPr>
          <w:rFonts w:cstheme="minorHAnsi"/>
        </w:rPr>
        <w:t xml:space="preserve">feminist </w:t>
      </w:r>
      <w:r w:rsidR="00C85594">
        <w:rPr>
          <w:rFonts w:cstheme="minorHAnsi"/>
        </w:rPr>
        <w:t>“</w:t>
      </w:r>
      <w:r w:rsidR="00116B3B" w:rsidRPr="00CA7790">
        <w:rPr>
          <w:rFonts w:cstheme="minorHAnsi"/>
        </w:rPr>
        <w:t>waves</w:t>
      </w:r>
      <w:r w:rsidR="00370DB5">
        <w:rPr>
          <w:rFonts w:cstheme="minorHAnsi"/>
        </w:rPr>
        <w:t>.</w:t>
      </w:r>
      <w:r w:rsidR="00C85594">
        <w:rPr>
          <w:rFonts w:cstheme="minorHAnsi"/>
        </w:rPr>
        <w:t>”</w:t>
      </w:r>
      <w:r w:rsidR="00042682">
        <w:rPr>
          <w:rFonts w:cstheme="minorHAnsi"/>
        </w:rPr>
        <w:t xml:space="preserve"> </w:t>
      </w:r>
      <w:proofErr w:type="spellStart"/>
      <w:r w:rsidR="00370DB5">
        <w:rPr>
          <w:rFonts w:cstheme="minorHAnsi"/>
        </w:rPr>
        <w:t>T</w:t>
      </w:r>
      <w:r w:rsidR="00042682">
        <w:rPr>
          <w:rFonts w:cstheme="minorHAnsi"/>
        </w:rPr>
        <w:t>the</w:t>
      </w:r>
      <w:proofErr w:type="spellEnd"/>
      <w:r w:rsidR="00042682">
        <w:rPr>
          <w:rFonts w:cstheme="minorHAnsi"/>
        </w:rPr>
        <w:t xml:space="preserve"> term </w:t>
      </w:r>
      <w:r w:rsidR="009372DF">
        <w:rPr>
          <w:rFonts w:cstheme="minorHAnsi"/>
        </w:rPr>
        <w:t>“</w:t>
      </w:r>
      <w:r w:rsidR="00042682">
        <w:rPr>
          <w:rFonts w:cstheme="minorHAnsi"/>
        </w:rPr>
        <w:t>wave</w:t>
      </w:r>
      <w:r w:rsidR="009372DF">
        <w:rPr>
          <w:rFonts w:cstheme="minorHAnsi"/>
        </w:rPr>
        <w:t>”</w:t>
      </w:r>
      <w:r w:rsidR="00042682">
        <w:rPr>
          <w:rFonts w:cstheme="minorHAnsi"/>
        </w:rPr>
        <w:t xml:space="preserve"> </w:t>
      </w:r>
      <w:r w:rsidR="009372DF">
        <w:rPr>
          <w:rFonts w:cstheme="minorHAnsi"/>
        </w:rPr>
        <w:t xml:space="preserve">suggests </w:t>
      </w:r>
      <w:r w:rsidR="00042682">
        <w:rPr>
          <w:rFonts w:cstheme="minorHAnsi"/>
        </w:rPr>
        <w:t>a</w:t>
      </w:r>
      <w:r w:rsidR="00C85594">
        <w:rPr>
          <w:rFonts w:cstheme="minorHAnsi"/>
        </w:rPr>
        <w:t xml:space="preserve"> restless </w:t>
      </w:r>
      <w:r w:rsidR="00042682">
        <w:rPr>
          <w:rFonts w:cstheme="minorHAnsi"/>
        </w:rPr>
        <w:t>oscillation towards and away from</w:t>
      </w:r>
      <w:r w:rsidR="006C796A">
        <w:rPr>
          <w:rFonts w:cstheme="minorHAnsi"/>
        </w:rPr>
        <w:t>, indicative of the “underwater tow</w:t>
      </w:r>
      <w:r w:rsidR="00CB6EB4">
        <w:rPr>
          <w:rFonts w:cstheme="minorHAnsi"/>
        </w:rPr>
        <w:t>,</w:t>
      </w:r>
      <w:r w:rsidR="006C796A">
        <w:rPr>
          <w:rFonts w:cstheme="minorHAnsi"/>
        </w:rPr>
        <w:t>” or regressive current that drags feminist thought backwards even as it moves forward, due to deep psychic issues such as that of individuation from the mother</w:t>
      </w:r>
      <w:r w:rsidR="005A7EE4">
        <w:rPr>
          <w:rFonts w:cstheme="minorHAnsi"/>
        </w:rPr>
        <w:t>.</w:t>
      </w:r>
      <w:r w:rsidR="006C796A">
        <w:rPr>
          <w:rStyle w:val="FootnoteReference"/>
          <w:rFonts w:cstheme="minorHAnsi"/>
        </w:rPr>
        <w:footnoteReference w:id="80"/>
      </w:r>
      <w:r w:rsidR="00116B3B" w:rsidRPr="00CA7790">
        <w:rPr>
          <w:rFonts w:cstheme="minorHAnsi"/>
        </w:rPr>
        <w:t xml:space="preserve"> </w:t>
      </w:r>
    </w:p>
    <w:p w14:paraId="17AB3B7D" w14:textId="4A570845" w:rsidR="00573F9C" w:rsidRPr="00CA7790" w:rsidRDefault="00573F9C" w:rsidP="00954B23">
      <w:pPr>
        <w:spacing w:line="360" w:lineRule="auto"/>
        <w:rPr>
          <w:rFonts w:cstheme="minorHAnsi"/>
        </w:rPr>
      </w:pPr>
      <w:r>
        <w:rPr>
          <w:rFonts w:cstheme="minorHAnsi"/>
        </w:rPr>
        <w:t xml:space="preserve">    The example Beauvoir</w:t>
      </w:r>
      <w:r w:rsidR="00895BB8">
        <w:rPr>
          <w:rFonts w:cstheme="minorHAnsi"/>
        </w:rPr>
        <w:t xml:space="preserve"> provides of her</w:t>
      </w:r>
      <w:r>
        <w:rPr>
          <w:rFonts w:cstheme="minorHAnsi"/>
        </w:rPr>
        <w:t xml:space="preserve"> own relationship with ageing and with her mother, together with the theoretical tools </w:t>
      </w:r>
      <w:r w:rsidR="006C796A">
        <w:rPr>
          <w:rFonts w:cstheme="minorHAnsi"/>
        </w:rPr>
        <w:t xml:space="preserve">and insights she has bequeathed us, for example in terms of the profound link between the </w:t>
      </w:r>
      <w:r w:rsidR="00F4250E">
        <w:rPr>
          <w:rFonts w:cstheme="minorHAnsi"/>
        </w:rPr>
        <w:t xml:space="preserve">cultural </w:t>
      </w:r>
      <w:r w:rsidR="006C796A">
        <w:rPr>
          <w:rFonts w:cstheme="minorHAnsi"/>
        </w:rPr>
        <w:t xml:space="preserve">constitution of femininity and </w:t>
      </w:r>
      <w:r w:rsidR="00532688">
        <w:rPr>
          <w:rFonts w:cstheme="minorHAnsi"/>
        </w:rPr>
        <w:t xml:space="preserve">of </w:t>
      </w:r>
      <w:r w:rsidR="006C796A">
        <w:rPr>
          <w:rFonts w:cstheme="minorHAnsi"/>
        </w:rPr>
        <w:t>old age</w:t>
      </w:r>
      <w:r>
        <w:rPr>
          <w:rFonts w:cstheme="minorHAnsi"/>
        </w:rPr>
        <w:t>, furnishes us with an opportunity to work towards a more authentic attitude to age and intergenerational relations</w:t>
      </w:r>
      <w:r w:rsidR="006C796A">
        <w:rPr>
          <w:rFonts w:cstheme="minorHAnsi"/>
        </w:rPr>
        <w:t xml:space="preserve"> and </w:t>
      </w:r>
      <w:r w:rsidR="00ED6F0A">
        <w:rPr>
          <w:rFonts w:cstheme="minorHAnsi"/>
        </w:rPr>
        <w:t xml:space="preserve">to </w:t>
      </w:r>
      <w:r w:rsidR="006C796A">
        <w:rPr>
          <w:rFonts w:cstheme="minorHAnsi"/>
        </w:rPr>
        <w:t xml:space="preserve">escape this deep underwater pull </w:t>
      </w:r>
      <w:r w:rsidR="00F4250E">
        <w:rPr>
          <w:rFonts w:cstheme="minorHAnsi"/>
        </w:rPr>
        <w:t>of</w:t>
      </w:r>
      <w:r w:rsidR="006C796A">
        <w:rPr>
          <w:rFonts w:cstheme="minorHAnsi"/>
        </w:rPr>
        <w:t xml:space="preserve"> the old</w:t>
      </w:r>
      <w:r>
        <w:rPr>
          <w:rFonts w:cstheme="minorHAnsi"/>
        </w:rPr>
        <w:t xml:space="preserve">. </w:t>
      </w:r>
      <w:r w:rsidR="00ED6F0A">
        <w:rPr>
          <w:rFonts w:cstheme="minorHAnsi"/>
        </w:rPr>
        <w:t xml:space="preserve">Similarly, </w:t>
      </w:r>
      <w:r w:rsidR="006C796A">
        <w:rPr>
          <w:rFonts w:cstheme="minorHAnsi"/>
        </w:rPr>
        <w:t>Beauvoir</w:t>
      </w:r>
      <w:r w:rsidR="00ED6F0A">
        <w:rPr>
          <w:rFonts w:cstheme="minorHAnsi"/>
        </w:rPr>
        <w:t xml:space="preserve">’s own ethical theory </w:t>
      </w:r>
      <w:r w:rsidR="006C796A">
        <w:rPr>
          <w:rFonts w:cstheme="minorHAnsi"/>
        </w:rPr>
        <w:t>identifies the need for a balance between transcendence and immanence in the form of ambiguity, defined as a “passageway between immanence and transcendence wherein one aspect of being never completely eclipses the other”.</w:t>
      </w:r>
      <w:r w:rsidR="006C796A">
        <w:rPr>
          <w:rStyle w:val="FootnoteReference"/>
          <w:rFonts w:cstheme="minorHAnsi"/>
        </w:rPr>
        <w:footnoteReference w:id="81"/>
      </w:r>
      <w:r w:rsidR="006C796A">
        <w:rPr>
          <w:rFonts w:cstheme="minorHAnsi"/>
        </w:rPr>
        <w:t xml:space="preserve"> </w:t>
      </w:r>
      <w:r w:rsidR="00A5380B">
        <w:rPr>
          <w:rFonts w:cstheme="minorHAnsi"/>
        </w:rPr>
        <w:t xml:space="preserve"> For this to be possible</w:t>
      </w:r>
      <w:r w:rsidR="00ED6F0A">
        <w:rPr>
          <w:rFonts w:cstheme="minorHAnsi"/>
        </w:rPr>
        <w:t xml:space="preserve"> in contemporary society</w:t>
      </w:r>
      <w:r w:rsidR="00A5380B">
        <w:rPr>
          <w:rFonts w:cstheme="minorHAnsi"/>
        </w:rPr>
        <w:t>, psych</w:t>
      </w:r>
      <w:r w:rsidR="00F4250E">
        <w:rPr>
          <w:rFonts w:cstheme="minorHAnsi"/>
        </w:rPr>
        <w:t>ological</w:t>
      </w:r>
      <w:r w:rsidR="00A5380B">
        <w:rPr>
          <w:rFonts w:cstheme="minorHAnsi"/>
        </w:rPr>
        <w:t xml:space="preserve"> changes will need to be intertwined with changes to social structures and norms such that women are no longer trapped in the immanent</w:t>
      </w:r>
      <w:r w:rsidR="00CC2306">
        <w:rPr>
          <w:rFonts w:cstheme="minorHAnsi"/>
        </w:rPr>
        <w:t>, or fear being so trapped</w:t>
      </w:r>
      <w:r w:rsidR="00A5380B">
        <w:rPr>
          <w:rFonts w:cstheme="minorHAnsi"/>
        </w:rPr>
        <w:t xml:space="preserve"> (where the “mystification of motherhood” shows no sign of abating and may even be increasing) and where older people are similarly support</w:t>
      </w:r>
      <w:r w:rsidR="00CC2306">
        <w:rPr>
          <w:rFonts w:cstheme="minorHAnsi"/>
        </w:rPr>
        <w:t xml:space="preserve">ed </w:t>
      </w:r>
      <w:r w:rsidR="00A5380B">
        <w:rPr>
          <w:rFonts w:cstheme="minorHAnsi"/>
        </w:rPr>
        <w:t>to aim towards projects through a range of care, technologies and interactions.</w:t>
      </w:r>
      <w:r w:rsidR="00C85594">
        <w:rPr>
          <w:rStyle w:val="FootnoteReference"/>
          <w:rFonts w:cstheme="minorHAnsi"/>
        </w:rPr>
        <w:footnoteReference w:id="82"/>
      </w:r>
      <w:r w:rsidR="00A5380B">
        <w:rPr>
          <w:rFonts w:cstheme="minorHAnsi"/>
        </w:rPr>
        <w:t xml:space="preserve"> </w:t>
      </w:r>
      <w:r w:rsidR="002F766C">
        <w:rPr>
          <w:rFonts w:cstheme="minorHAnsi"/>
        </w:rPr>
        <w:t xml:space="preserve">That we still have a long way to go </w:t>
      </w:r>
      <w:r w:rsidR="008D46A2">
        <w:rPr>
          <w:rFonts w:cstheme="minorHAnsi"/>
        </w:rPr>
        <w:t xml:space="preserve">(on both counts) </w:t>
      </w:r>
      <w:r w:rsidR="002F766C">
        <w:rPr>
          <w:rFonts w:cstheme="minorHAnsi"/>
        </w:rPr>
        <w:t xml:space="preserve">is </w:t>
      </w:r>
      <w:r w:rsidR="00F4250E">
        <w:rPr>
          <w:rFonts w:cstheme="minorHAnsi"/>
        </w:rPr>
        <w:t>evident through</w:t>
      </w:r>
      <w:r w:rsidR="002F766C">
        <w:rPr>
          <w:rFonts w:cstheme="minorHAnsi"/>
        </w:rPr>
        <w:t xml:space="preserve"> the words of a</w:t>
      </w:r>
      <w:r w:rsidR="00CC2306">
        <w:rPr>
          <w:rFonts w:cstheme="minorHAnsi"/>
        </w:rPr>
        <w:t xml:space="preserve"> </w:t>
      </w:r>
      <w:r w:rsidR="002F766C">
        <w:rPr>
          <w:rFonts w:cstheme="minorHAnsi"/>
        </w:rPr>
        <w:t xml:space="preserve">journalist writing </w:t>
      </w:r>
      <w:r w:rsidR="008D46A2">
        <w:rPr>
          <w:rFonts w:cstheme="minorHAnsi"/>
        </w:rPr>
        <w:t>shortly after the death of her own older mother</w:t>
      </w:r>
      <w:r w:rsidR="00F4250E">
        <w:rPr>
          <w:rFonts w:cstheme="minorHAnsi"/>
        </w:rPr>
        <w:t xml:space="preserve"> </w:t>
      </w:r>
      <w:r w:rsidR="00600B07">
        <w:rPr>
          <w:rFonts w:cstheme="minorHAnsi"/>
        </w:rPr>
        <w:t xml:space="preserve"> - </w:t>
      </w:r>
      <w:r w:rsidR="00F4250E">
        <w:rPr>
          <w:rFonts w:cstheme="minorHAnsi"/>
        </w:rPr>
        <w:t xml:space="preserve">words which echo Beauvoir’s own in the conclusion of </w:t>
      </w:r>
      <w:r w:rsidR="00F4250E">
        <w:rPr>
          <w:rFonts w:cstheme="minorHAnsi"/>
          <w:i/>
          <w:iCs/>
        </w:rPr>
        <w:t xml:space="preserve">The Coming of Age </w:t>
      </w:r>
      <w:r w:rsidR="00F4250E">
        <w:rPr>
          <w:rFonts w:cstheme="minorHAnsi"/>
        </w:rPr>
        <w:t>fifty years earlier</w:t>
      </w:r>
      <w:r w:rsidR="002F766C">
        <w:rPr>
          <w:rFonts w:cstheme="minorHAnsi"/>
        </w:rPr>
        <w:t xml:space="preserve">: </w:t>
      </w:r>
      <w:r w:rsidR="008D46A2">
        <w:rPr>
          <w:rFonts w:cstheme="minorHAnsi"/>
        </w:rPr>
        <w:t>“</w:t>
      </w:r>
      <w:r w:rsidR="002F766C">
        <w:rPr>
          <w:rFonts w:cstheme="minorHAnsi"/>
        </w:rPr>
        <w:t>In Britain we treat the old as barely human, rather than our future selves</w:t>
      </w:r>
      <w:r w:rsidR="008F5E0B">
        <w:rPr>
          <w:rFonts w:cstheme="minorHAnsi"/>
        </w:rPr>
        <w:t xml:space="preserve"> </w:t>
      </w:r>
      <w:r w:rsidR="00600B07">
        <w:rPr>
          <w:rFonts w:cstheme="minorHAnsi"/>
        </w:rPr>
        <w:t>[</w:t>
      </w:r>
      <w:r w:rsidR="008F5E0B">
        <w:rPr>
          <w:rFonts w:cstheme="minorHAnsi"/>
        </w:rPr>
        <w:t>…</w:t>
      </w:r>
      <w:r w:rsidR="00600B07">
        <w:rPr>
          <w:rFonts w:cstheme="minorHAnsi"/>
        </w:rPr>
        <w:t>]</w:t>
      </w:r>
      <w:r w:rsidR="002F766C">
        <w:rPr>
          <w:rFonts w:cstheme="minorHAnsi"/>
        </w:rPr>
        <w:t xml:space="preserve"> [</w:t>
      </w:r>
      <w:r w:rsidR="00C85594">
        <w:rPr>
          <w:rFonts w:cstheme="minorHAnsi"/>
        </w:rPr>
        <w:t>P</w:t>
      </w:r>
      <w:r w:rsidR="002F766C">
        <w:rPr>
          <w:rFonts w:cstheme="minorHAnsi"/>
        </w:rPr>
        <w:t>rogress] means no longer seeing yourself as the child holding a parent’s hand [as they lay dying] but the person who, before long, will lie in the bed.</w:t>
      </w:r>
      <w:r w:rsidR="009D194F">
        <w:rPr>
          <w:rFonts w:cstheme="minorHAnsi"/>
        </w:rPr>
        <w:t>”</w:t>
      </w:r>
      <w:r w:rsidR="00CE10E4">
        <w:rPr>
          <w:rStyle w:val="FootnoteReference"/>
          <w:rFonts w:cstheme="minorHAnsi"/>
        </w:rPr>
        <w:footnoteReference w:id="83"/>
      </w:r>
      <w:r w:rsidR="002F766C">
        <w:rPr>
          <w:rFonts w:cstheme="minorHAnsi"/>
        </w:rPr>
        <w:t xml:space="preserve"> </w:t>
      </w:r>
      <w:r w:rsidR="00F4250E">
        <w:rPr>
          <w:rFonts w:cstheme="minorHAnsi"/>
        </w:rPr>
        <w:t>These words also hit at the complex psychological lessons Beauvoir absorbed at the bedside of her own mother.</w:t>
      </w:r>
    </w:p>
    <w:p w14:paraId="68AFA6EC" w14:textId="5D47A9BB" w:rsidR="003106F7" w:rsidRPr="00CA7790" w:rsidRDefault="007C1ECF" w:rsidP="00907147">
      <w:pPr>
        <w:spacing w:line="360" w:lineRule="auto"/>
        <w:ind w:right="284" w:firstLine="284"/>
        <w:rPr>
          <w:rFonts w:cstheme="minorHAnsi"/>
        </w:rPr>
      </w:pPr>
      <w:r w:rsidRPr="00CA7790">
        <w:rPr>
          <w:rFonts w:cstheme="minorHAnsi"/>
        </w:rPr>
        <w:t xml:space="preserve"> </w:t>
      </w:r>
      <w:r w:rsidR="00F41A3A">
        <w:rPr>
          <w:rFonts w:cstheme="minorHAnsi"/>
        </w:rPr>
        <w:t xml:space="preserve">And </w:t>
      </w:r>
      <w:proofErr w:type="gramStart"/>
      <w:r w:rsidR="00F41A3A">
        <w:rPr>
          <w:rFonts w:cstheme="minorHAnsi"/>
        </w:rPr>
        <w:t>so</w:t>
      </w:r>
      <w:proofErr w:type="gramEnd"/>
      <w:r w:rsidR="00F41A3A">
        <w:rPr>
          <w:rFonts w:cstheme="minorHAnsi"/>
        </w:rPr>
        <w:t xml:space="preserve"> we return </w:t>
      </w:r>
      <w:r w:rsidR="003106F7">
        <w:rPr>
          <w:rFonts w:cstheme="minorHAnsi"/>
        </w:rPr>
        <w:t xml:space="preserve">to the </w:t>
      </w:r>
      <w:r w:rsidR="003A1FFF">
        <w:rPr>
          <w:rFonts w:cstheme="minorHAnsi"/>
        </w:rPr>
        <w:t xml:space="preserve">Adrianople </w:t>
      </w:r>
      <w:r w:rsidR="003106F7">
        <w:rPr>
          <w:rFonts w:cstheme="minorHAnsi"/>
        </w:rPr>
        <w:t>red dressing gown</w:t>
      </w:r>
      <w:r w:rsidR="009D194F">
        <w:rPr>
          <w:rFonts w:cstheme="minorHAnsi"/>
        </w:rPr>
        <w:t xml:space="preserve"> once again</w:t>
      </w:r>
      <w:r w:rsidR="003106F7">
        <w:rPr>
          <w:rFonts w:cstheme="minorHAnsi"/>
        </w:rPr>
        <w:t xml:space="preserve">. </w:t>
      </w:r>
      <w:r w:rsidR="00F41A3A">
        <w:rPr>
          <w:rFonts w:cstheme="minorHAnsi"/>
        </w:rPr>
        <w:t>We learn, from Bair, that Beauvoir</w:t>
      </w:r>
      <w:r w:rsidR="003A1FFF">
        <w:rPr>
          <w:rFonts w:cstheme="minorHAnsi"/>
        </w:rPr>
        <w:t xml:space="preserve"> continued to wear this</w:t>
      </w:r>
      <w:r w:rsidR="0040523C">
        <w:rPr>
          <w:rFonts w:cstheme="minorHAnsi"/>
        </w:rPr>
        <w:t xml:space="preserve"> robe or its replacements, in its vividly bold yet soft and warm </w:t>
      </w:r>
      <w:r w:rsidR="006A7D61">
        <w:rPr>
          <w:rFonts w:cstheme="minorHAnsi"/>
        </w:rPr>
        <w:t>crimson tone</w:t>
      </w:r>
      <w:r w:rsidR="00CC2306">
        <w:rPr>
          <w:rFonts w:cstheme="minorHAnsi"/>
        </w:rPr>
        <w:t>s</w:t>
      </w:r>
      <w:r w:rsidR="003A1FFF">
        <w:rPr>
          <w:rFonts w:cstheme="minorHAnsi"/>
        </w:rPr>
        <w:t>,</w:t>
      </w:r>
      <w:r w:rsidR="00F4250E">
        <w:rPr>
          <w:rFonts w:cstheme="minorHAnsi"/>
        </w:rPr>
        <w:t xml:space="preserve"> supplemented in later years with a matching turban,</w:t>
      </w:r>
      <w:r w:rsidR="003A1FFF">
        <w:rPr>
          <w:rFonts w:cstheme="minorHAnsi"/>
        </w:rPr>
        <w:t xml:space="preserve"> </w:t>
      </w:r>
      <w:r w:rsidR="003B7851">
        <w:rPr>
          <w:rFonts w:cstheme="minorHAnsi"/>
        </w:rPr>
        <w:t xml:space="preserve">through a happy and fulfilled old age, </w:t>
      </w:r>
      <w:r w:rsidR="003A1FFF">
        <w:rPr>
          <w:rFonts w:cstheme="minorHAnsi"/>
        </w:rPr>
        <w:t xml:space="preserve">up to the time she died. </w:t>
      </w:r>
      <w:r w:rsidR="000470B1">
        <w:rPr>
          <w:rFonts w:cstheme="minorHAnsi"/>
        </w:rPr>
        <w:t>S</w:t>
      </w:r>
      <w:r w:rsidR="00F41A3A">
        <w:rPr>
          <w:rFonts w:cstheme="minorHAnsi"/>
        </w:rPr>
        <w:t xml:space="preserve">he was laid to rest, not in the family plot at Père Lachaise, but in the Montparnasse Cemetery, in the plot beside Sartre. </w:t>
      </w:r>
      <w:r w:rsidR="003A1FFF">
        <w:rPr>
          <w:rFonts w:cstheme="minorHAnsi"/>
        </w:rPr>
        <w:t xml:space="preserve">She </w:t>
      </w:r>
      <w:r w:rsidR="00F41A3A">
        <w:rPr>
          <w:rFonts w:cstheme="minorHAnsi"/>
        </w:rPr>
        <w:t xml:space="preserve">was buried in her red dressing </w:t>
      </w:r>
      <w:r w:rsidR="00F41A3A">
        <w:rPr>
          <w:rFonts w:cstheme="minorHAnsi"/>
        </w:rPr>
        <w:lastRenderedPageBreak/>
        <w:t>gown</w:t>
      </w:r>
      <w:r w:rsidR="00C92F0A">
        <w:rPr>
          <w:rFonts w:cstheme="minorHAnsi"/>
        </w:rPr>
        <w:t>.</w:t>
      </w:r>
      <w:r w:rsidR="00907147">
        <w:rPr>
          <w:rStyle w:val="FootnoteReference"/>
          <w:rFonts w:cstheme="minorHAnsi"/>
        </w:rPr>
        <w:footnoteReference w:id="84"/>
      </w:r>
      <w:r w:rsidR="00F41A3A">
        <w:rPr>
          <w:rFonts w:cstheme="minorHAnsi"/>
        </w:rPr>
        <w:t xml:space="preserve"> She </w:t>
      </w:r>
      <w:r w:rsidR="003A1FFF">
        <w:rPr>
          <w:rFonts w:cstheme="minorHAnsi"/>
        </w:rPr>
        <w:t>state</w:t>
      </w:r>
      <w:r w:rsidR="00F41A3A">
        <w:rPr>
          <w:rFonts w:cstheme="minorHAnsi"/>
        </w:rPr>
        <w:t>d</w:t>
      </w:r>
      <w:r w:rsidR="003A1FFF">
        <w:rPr>
          <w:rFonts w:cstheme="minorHAnsi"/>
        </w:rPr>
        <w:t xml:space="preserve"> in </w:t>
      </w:r>
      <w:r w:rsidR="00F41A3A" w:rsidRPr="00F41A3A">
        <w:rPr>
          <w:rFonts w:cstheme="minorHAnsi"/>
          <w:i/>
          <w:iCs/>
        </w:rPr>
        <w:t>The</w:t>
      </w:r>
      <w:r w:rsidR="00F41A3A">
        <w:rPr>
          <w:rFonts w:cstheme="minorHAnsi"/>
        </w:rPr>
        <w:t xml:space="preserve"> </w:t>
      </w:r>
      <w:r w:rsidR="003A1FFF" w:rsidRPr="00F41A3A">
        <w:rPr>
          <w:rFonts w:cstheme="minorHAnsi"/>
          <w:i/>
          <w:iCs/>
        </w:rPr>
        <w:t>Prime of Life</w:t>
      </w:r>
      <w:r w:rsidR="00895BB8">
        <w:rPr>
          <w:rFonts w:cstheme="minorHAnsi"/>
        </w:rPr>
        <w:t>,</w:t>
      </w:r>
      <w:r w:rsidR="003A1FFF">
        <w:rPr>
          <w:rFonts w:cstheme="minorHAnsi"/>
        </w:rPr>
        <w:t xml:space="preserve"> </w:t>
      </w:r>
      <w:r w:rsidR="00880A5E">
        <w:rPr>
          <w:rFonts w:cstheme="minorHAnsi"/>
        </w:rPr>
        <w:t>“</w:t>
      </w:r>
      <w:r w:rsidR="003A1FFF">
        <w:rPr>
          <w:rFonts w:cstheme="minorHAnsi"/>
        </w:rPr>
        <w:t>my greatest wish was to die with the one I love</w:t>
      </w:r>
      <w:r w:rsidR="00C92F0A">
        <w:rPr>
          <w:rFonts w:cstheme="minorHAnsi"/>
        </w:rPr>
        <w:t>.</w:t>
      </w:r>
      <w:r w:rsidR="00880A5E">
        <w:rPr>
          <w:rFonts w:cstheme="minorHAnsi"/>
        </w:rPr>
        <w:t>”</w:t>
      </w:r>
      <w:r w:rsidR="00907147">
        <w:rPr>
          <w:rStyle w:val="FootnoteReference"/>
          <w:rFonts w:cstheme="minorHAnsi"/>
        </w:rPr>
        <w:footnoteReference w:id="85"/>
      </w:r>
      <w:r w:rsidR="003A1FFF">
        <w:rPr>
          <w:rFonts w:cstheme="minorHAnsi"/>
        </w:rPr>
        <w:t xml:space="preserve"> </w:t>
      </w:r>
      <w:r w:rsidR="00880A5E">
        <w:rPr>
          <w:rFonts w:cstheme="minorHAnsi"/>
        </w:rPr>
        <w:t>Lying n</w:t>
      </w:r>
      <w:r w:rsidR="00F41A3A">
        <w:rPr>
          <w:rFonts w:cstheme="minorHAnsi"/>
        </w:rPr>
        <w:t xml:space="preserve">ext to Sartre, </w:t>
      </w:r>
      <w:r w:rsidR="00880A5E">
        <w:rPr>
          <w:rFonts w:cstheme="minorHAnsi"/>
        </w:rPr>
        <w:t>whilst</w:t>
      </w:r>
      <w:r w:rsidR="00F41A3A">
        <w:rPr>
          <w:rFonts w:cstheme="minorHAnsi"/>
        </w:rPr>
        <w:t xml:space="preserve"> wearing this robe</w:t>
      </w:r>
      <w:r w:rsidR="00314234">
        <w:rPr>
          <w:rFonts w:cstheme="minorHAnsi"/>
        </w:rPr>
        <w:t xml:space="preserve"> that she had made her own in her later years, even whilst it bore such powerful resonances of her mother</w:t>
      </w:r>
      <w:r w:rsidR="00F41A3A">
        <w:rPr>
          <w:rFonts w:cstheme="minorHAnsi"/>
        </w:rPr>
        <w:t xml:space="preserve">, </w:t>
      </w:r>
      <w:r w:rsidR="003A1FFF">
        <w:rPr>
          <w:rFonts w:cstheme="minorHAnsi"/>
        </w:rPr>
        <w:t xml:space="preserve">Beauvoir </w:t>
      </w:r>
      <w:r w:rsidR="00F41A3A">
        <w:rPr>
          <w:rFonts w:cstheme="minorHAnsi"/>
        </w:rPr>
        <w:t xml:space="preserve">had, </w:t>
      </w:r>
      <w:r w:rsidR="0069466F">
        <w:rPr>
          <w:rFonts w:cstheme="minorHAnsi"/>
        </w:rPr>
        <w:t xml:space="preserve">through a lifetime’s </w:t>
      </w:r>
      <w:r w:rsidR="002F766C">
        <w:rPr>
          <w:rFonts w:cstheme="minorHAnsi"/>
        </w:rPr>
        <w:t xml:space="preserve">psychological </w:t>
      </w:r>
      <w:r w:rsidR="0069466F">
        <w:rPr>
          <w:rFonts w:cstheme="minorHAnsi"/>
        </w:rPr>
        <w:t>work</w:t>
      </w:r>
      <w:r w:rsidR="00F41A3A">
        <w:rPr>
          <w:rFonts w:cstheme="minorHAnsi"/>
        </w:rPr>
        <w:t xml:space="preserve">, realised </w:t>
      </w:r>
      <w:r w:rsidR="003A1FFF">
        <w:rPr>
          <w:rFonts w:cstheme="minorHAnsi"/>
        </w:rPr>
        <w:t xml:space="preserve">this </w:t>
      </w:r>
      <w:r w:rsidR="00F41A3A">
        <w:rPr>
          <w:rFonts w:cstheme="minorHAnsi"/>
        </w:rPr>
        <w:t>ambition</w:t>
      </w:r>
      <w:r w:rsidR="003A1FFF">
        <w:rPr>
          <w:rFonts w:cstheme="minorHAnsi"/>
        </w:rPr>
        <w:t xml:space="preserve">. </w:t>
      </w:r>
    </w:p>
    <w:sectPr w:rsidR="003106F7" w:rsidRPr="00CA77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46D0" w14:textId="77777777" w:rsidR="00BC7EDF" w:rsidRDefault="00BC7EDF" w:rsidP="008C1294">
      <w:pPr>
        <w:spacing w:after="0" w:line="240" w:lineRule="auto"/>
      </w:pPr>
      <w:r>
        <w:separator/>
      </w:r>
    </w:p>
  </w:endnote>
  <w:endnote w:type="continuationSeparator" w:id="0">
    <w:p w14:paraId="38938266" w14:textId="77777777" w:rsidR="00BC7EDF" w:rsidRDefault="00BC7EDF" w:rsidP="008C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06425"/>
      <w:docPartObj>
        <w:docPartGallery w:val="Page Numbers (Bottom of Page)"/>
        <w:docPartUnique/>
      </w:docPartObj>
    </w:sdtPr>
    <w:sdtEndPr>
      <w:rPr>
        <w:noProof/>
      </w:rPr>
    </w:sdtEndPr>
    <w:sdtContent>
      <w:p w14:paraId="55D7D1AD" w14:textId="63C03FDA" w:rsidR="008C1294" w:rsidRDefault="008C1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F37E99" w14:textId="77777777" w:rsidR="008C1294" w:rsidRDefault="008C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741D" w14:textId="77777777" w:rsidR="00BC7EDF" w:rsidRDefault="00BC7EDF" w:rsidP="008C1294">
      <w:pPr>
        <w:spacing w:after="0" w:line="240" w:lineRule="auto"/>
      </w:pPr>
      <w:r>
        <w:separator/>
      </w:r>
    </w:p>
  </w:footnote>
  <w:footnote w:type="continuationSeparator" w:id="0">
    <w:p w14:paraId="25AF1959" w14:textId="77777777" w:rsidR="00BC7EDF" w:rsidRDefault="00BC7EDF" w:rsidP="008C1294">
      <w:pPr>
        <w:spacing w:after="0" w:line="240" w:lineRule="auto"/>
      </w:pPr>
      <w:r>
        <w:continuationSeparator/>
      </w:r>
    </w:p>
  </w:footnote>
  <w:footnote w:id="1">
    <w:p w14:paraId="645ABABD" w14:textId="770C3D39" w:rsidR="001E314D" w:rsidRDefault="001E314D">
      <w:pPr>
        <w:pStyle w:val="FootnoteText"/>
      </w:pPr>
      <w:r>
        <w:rPr>
          <w:rStyle w:val="FootnoteReference"/>
        </w:rPr>
        <w:footnoteRef/>
      </w:r>
      <w:r>
        <w:t xml:space="preserve"> Cynthia Judah, </w:t>
      </w:r>
      <w:r w:rsidR="008B2386">
        <w:t>“</w:t>
      </w:r>
      <w:r>
        <w:t xml:space="preserve">My </w:t>
      </w:r>
      <w:r w:rsidR="008B2386">
        <w:t xml:space="preserve">Clothes and I, by Simone de Beauvoir,” </w:t>
      </w:r>
      <w:r w:rsidR="008B2386" w:rsidRPr="0025189F">
        <w:rPr>
          <w:i/>
          <w:iCs/>
        </w:rPr>
        <w:t>Observer,</w:t>
      </w:r>
      <w:r w:rsidR="008B2386">
        <w:t xml:space="preserve"> March 20, 1960</w:t>
      </w:r>
      <w:r w:rsidR="00A92870">
        <w:t>.</w:t>
      </w:r>
    </w:p>
  </w:footnote>
  <w:footnote w:id="2">
    <w:p w14:paraId="7B6EC86D" w14:textId="2B959BEF" w:rsidR="00907147" w:rsidRDefault="00907147" w:rsidP="002D3E39">
      <w:pPr>
        <w:pStyle w:val="EndnoteText"/>
      </w:pPr>
      <w:r>
        <w:rPr>
          <w:rStyle w:val="FootnoteReference"/>
        </w:rPr>
        <w:footnoteRef/>
      </w:r>
      <w:r>
        <w:t xml:space="preserve"> Beauvoir in her red dressing gown features on the cover of Toril Moi’s intellectual biography of Beauvoir as well as in Skye Cleary’s recent book on her, among others</w:t>
      </w:r>
      <w:r w:rsidR="00D96617">
        <w:t>: Toril Moi</w:t>
      </w:r>
      <w:r w:rsidR="008B2386">
        <w:t xml:space="preserve"> </w:t>
      </w:r>
      <w:r w:rsidR="008B2386">
        <w:rPr>
          <w:i/>
          <w:iCs/>
        </w:rPr>
        <w:t>Simone de Beauvoir</w:t>
      </w:r>
      <w:r w:rsidR="008B2386">
        <w:t>:</w:t>
      </w:r>
      <w:r w:rsidR="008B2386">
        <w:rPr>
          <w:i/>
          <w:iCs/>
        </w:rPr>
        <w:t xml:space="preserve"> the making of an intellectual woman, </w:t>
      </w:r>
      <w:r w:rsidR="00007C48" w:rsidRPr="00007C48">
        <w:t>second</w:t>
      </w:r>
      <w:r w:rsidR="008B2386" w:rsidRPr="00007C48">
        <w:t xml:space="preserve"> edition</w:t>
      </w:r>
      <w:r w:rsidR="008B2386">
        <w:rPr>
          <w:i/>
          <w:iCs/>
        </w:rPr>
        <w:t xml:space="preserve"> </w:t>
      </w:r>
      <w:r w:rsidR="008B2386">
        <w:t>Oxford, Oxford University Press, 2008</w:t>
      </w:r>
      <w:r w:rsidR="00D96617">
        <w:t xml:space="preserve"> </w:t>
      </w:r>
      <w:r w:rsidR="008B2386">
        <w:t>[1994]; Skye</w:t>
      </w:r>
      <w:r w:rsidR="00D96617">
        <w:t xml:space="preserve"> Cleary</w:t>
      </w:r>
      <w:r w:rsidR="008B2386">
        <w:t xml:space="preserve">, </w:t>
      </w:r>
      <w:proofErr w:type="gramStart"/>
      <w:r w:rsidR="008B2386">
        <w:rPr>
          <w:i/>
          <w:iCs/>
        </w:rPr>
        <w:t>How</w:t>
      </w:r>
      <w:proofErr w:type="gramEnd"/>
      <w:r w:rsidR="008B2386">
        <w:rPr>
          <w:i/>
          <w:iCs/>
        </w:rPr>
        <w:t xml:space="preserve"> to be You: Simone de Beauvoir and the art of authentic living </w:t>
      </w:r>
      <w:r w:rsidR="008B2386">
        <w:t>London: Ebury Press, London 2022</w:t>
      </w:r>
      <w:r w:rsidR="00A92870">
        <w:t>.</w:t>
      </w:r>
    </w:p>
  </w:footnote>
  <w:footnote w:id="3">
    <w:p w14:paraId="6D935E72" w14:textId="258BECC7" w:rsidR="00211457" w:rsidRDefault="00211457">
      <w:pPr>
        <w:pStyle w:val="FootnoteText"/>
      </w:pPr>
      <w:r>
        <w:rPr>
          <w:rStyle w:val="FootnoteReference"/>
        </w:rPr>
        <w:footnoteRef/>
      </w:r>
      <w:r>
        <w:t xml:space="preserve"> Judah, </w:t>
      </w:r>
      <w:r w:rsidRPr="007456A5">
        <w:rPr>
          <w:i/>
          <w:iCs/>
        </w:rPr>
        <w:t>My Clothes</w:t>
      </w:r>
      <w:r w:rsidR="00A92870">
        <w:rPr>
          <w:i/>
          <w:iCs/>
        </w:rPr>
        <w:t>.</w:t>
      </w:r>
    </w:p>
  </w:footnote>
  <w:footnote w:id="4">
    <w:p w14:paraId="37CB1E0B" w14:textId="780F0722" w:rsidR="008D76D3" w:rsidRPr="008D76D3" w:rsidRDefault="008D76D3">
      <w:pPr>
        <w:pStyle w:val="FootnoteText"/>
        <w:rPr>
          <w:i/>
          <w:iCs/>
        </w:rPr>
      </w:pPr>
      <w:r>
        <w:rPr>
          <w:rStyle w:val="FootnoteReference"/>
        </w:rPr>
        <w:footnoteRef/>
      </w:r>
      <w:r>
        <w:t xml:space="preserve"> Simone de Beauvoir, </w:t>
      </w:r>
      <w:r w:rsidRPr="008D76D3">
        <w:rPr>
          <w:i/>
          <w:iCs/>
        </w:rPr>
        <w:t>The Coming of Age</w:t>
      </w:r>
      <w:r>
        <w:t xml:space="preserve">, </w:t>
      </w:r>
      <w:r w:rsidR="00576BD7">
        <w:t>trans. Patrick O’Brian,</w:t>
      </w:r>
      <w:r w:rsidR="007412BF">
        <w:t xml:space="preserve"> </w:t>
      </w:r>
      <w:proofErr w:type="spellStart"/>
      <w:r w:rsidR="007412BF">
        <w:t>W.</w:t>
      </w:r>
      <w:proofErr w:type="gramStart"/>
      <w:r w:rsidR="007412BF">
        <w:t>W.Norton</w:t>
      </w:r>
      <w:proofErr w:type="spellEnd"/>
      <w:proofErr w:type="gramEnd"/>
      <w:r w:rsidR="007412BF">
        <w:t xml:space="preserve"> &amp;Company,</w:t>
      </w:r>
      <w:r w:rsidR="00576BD7">
        <w:t xml:space="preserve"> 1996</w:t>
      </w:r>
      <w:r w:rsidR="007412BF">
        <w:t xml:space="preserve"> [1970]</w:t>
      </w:r>
      <w:r w:rsidR="00A92870">
        <w:t>, p.</w:t>
      </w:r>
      <w:r w:rsidR="00576BD7">
        <w:t xml:space="preserve"> 543</w:t>
      </w:r>
      <w:r w:rsidR="00A92870">
        <w:t>.</w:t>
      </w:r>
    </w:p>
  </w:footnote>
  <w:footnote w:id="5">
    <w:p w14:paraId="0771584B" w14:textId="2F355978" w:rsidR="00932DD6" w:rsidRPr="006E04ED" w:rsidRDefault="00932DD6">
      <w:pPr>
        <w:pStyle w:val="FootnoteText"/>
      </w:pPr>
      <w:r>
        <w:rPr>
          <w:rStyle w:val="FootnoteReference"/>
        </w:rPr>
        <w:footnoteRef/>
      </w:r>
      <w:r>
        <w:t xml:space="preserve"> Sigmund Freud </w:t>
      </w:r>
      <w:r w:rsidR="0025189F">
        <w:t>“</w:t>
      </w:r>
      <w:r w:rsidR="002D3E39" w:rsidRPr="007B713F">
        <w:t>Mourning and Melancholia</w:t>
      </w:r>
      <w:r w:rsidR="0025189F">
        <w:rPr>
          <w:i/>
          <w:iCs/>
        </w:rPr>
        <w:t>”</w:t>
      </w:r>
      <w:r w:rsidR="0025189F">
        <w:t xml:space="preserve">, in </w:t>
      </w:r>
      <w:r w:rsidR="0025189F" w:rsidRPr="007B713F">
        <w:rPr>
          <w:i/>
          <w:iCs/>
        </w:rPr>
        <w:t>The Standard Edition of the Complete Psychological Works of Sigmund Freud,</w:t>
      </w:r>
      <w:r w:rsidR="0025189F">
        <w:t xml:space="preserve"> Vol. 14, London, Hogarth Press, 1917</w:t>
      </w:r>
      <w:r>
        <w:rPr>
          <w:i/>
          <w:iCs/>
        </w:rPr>
        <w:t xml:space="preserve">; </w:t>
      </w:r>
      <w:r>
        <w:t>Julia Kristeva</w:t>
      </w:r>
      <w:r w:rsidR="006E04ED">
        <w:t xml:space="preserve">, </w:t>
      </w:r>
      <w:r w:rsidR="006E04ED">
        <w:rPr>
          <w:i/>
          <w:iCs/>
        </w:rPr>
        <w:t xml:space="preserve">Powers of Horror: An essay on abjection, </w:t>
      </w:r>
      <w:r w:rsidR="006E04ED">
        <w:t xml:space="preserve">trans. Leon S. </w:t>
      </w:r>
      <w:proofErr w:type="spellStart"/>
      <w:r w:rsidR="006E04ED">
        <w:t>Rudiez</w:t>
      </w:r>
      <w:proofErr w:type="spellEnd"/>
      <w:r w:rsidR="006E04ED">
        <w:t>, New York, Columbia University Press, 198</w:t>
      </w:r>
      <w:r w:rsidR="00C34123">
        <w:t>2</w:t>
      </w:r>
      <w:r w:rsidR="006E04ED">
        <w:t xml:space="preserve"> [198</w:t>
      </w:r>
      <w:r w:rsidR="00C34123">
        <w:t>0</w:t>
      </w:r>
      <w:r w:rsidR="006E04ED">
        <w:t>]</w:t>
      </w:r>
      <w:r w:rsidR="00A92870">
        <w:t>.</w:t>
      </w:r>
    </w:p>
  </w:footnote>
  <w:footnote w:id="6">
    <w:p w14:paraId="799C5B69" w14:textId="410454B5" w:rsidR="00941979" w:rsidRPr="008D46A2" w:rsidRDefault="00941979">
      <w:pPr>
        <w:pStyle w:val="FootnoteText"/>
      </w:pPr>
      <w:r>
        <w:rPr>
          <w:rStyle w:val="FootnoteReference"/>
        </w:rPr>
        <w:footnoteRef/>
      </w:r>
      <w:r>
        <w:t xml:space="preserve"> Bethany </w:t>
      </w:r>
      <w:proofErr w:type="spellStart"/>
      <w:r>
        <w:t>Ladimer</w:t>
      </w:r>
      <w:proofErr w:type="spellEnd"/>
      <w:r w:rsidR="00F90576">
        <w:t xml:space="preserve">, </w:t>
      </w:r>
      <w:r w:rsidR="00F90576">
        <w:rPr>
          <w:i/>
          <w:iCs/>
        </w:rPr>
        <w:t xml:space="preserve">Colette, Beauvoir, and </w:t>
      </w:r>
      <w:proofErr w:type="spellStart"/>
      <w:r w:rsidR="00F90576">
        <w:rPr>
          <w:i/>
          <w:iCs/>
        </w:rPr>
        <w:t>Duras</w:t>
      </w:r>
      <w:proofErr w:type="spellEnd"/>
      <w:r w:rsidR="00F90576">
        <w:t xml:space="preserve">: </w:t>
      </w:r>
      <w:r w:rsidR="00F90576">
        <w:rPr>
          <w:i/>
          <w:iCs/>
        </w:rPr>
        <w:t>age and women writers</w:t>
      </w:r>
      <w:r w:rsidR="00F90576">
        <w:t>, Florida, University Press of Florida</w:t>
      </w:r>
      <w:r w:rsidR="007B713F">
        <w:t>. 1999, p. 7</w:t>
      </w:r>
      <w:r w:rsidR="00A92870">
        <w:t>.</w:t>
      </w:r>
    </w:p>
  </w:footnote>
  <w:footnote w:id="7">
    <w:p w14:paraId="69D0249D" w14:textId="6B849F65" w:rsidR="003F0875" w:rsidRDefault="003F0875">
      <w:pPr>
        <w:pStyle w:val="FootnoteText"/>
      </w:pPr>
      <w:r>
        <w:rPr>
          <w:rStyle w:val="FootnoteReference"/>
        </w:rPr>
        <w:footnoteRef/>
      </w:r>
      <w:r>
        <w:t xml:space="preserve"> Genevieve Shepherd, </w:t>
      </w:r>
      <w:r>
        <w:rPr>
          <w:i/>
          <w:iCs/>
        </w:rPr>
        <w:t>Simone de Beauvoir’s Fiction: a psychoanalytic rereading</w:t>
      </w:r>
      <w:r>
        <w:t>, Oxford, Peter Lang, 2003</w:t>
      </w:r>
    </w:p>
  </w:footnote>
  <w:footnote w:id="8">
    <w:p w14:paraId="39053CB3" w14:textId="55DF856A" w:rsidR="003D5A3C" w:rsidRDefault="003D5A3C">
      <w:pPr>
        <w:pStyle w:val="FootnoteText"/>
      </w:pPr>
      <w:r>
        <w:rPr>
          <w:rStyle w:val="FootnoteReference"/>
        </w:rPr>
        <w:footnoteRef/>
      </w:r>
      <w:r>
        <w:t xml:space="preserve"> </w:t>
      </w:r>
      <w:r w:rsidR="007A7548">
        <w:t xml:space="preserve">Simone de Beauvoir, </w:t>
      </w:r>
      <w:r w:rsidR="007A7548">
        <w:rPr>
          <w:i/>
          <w:iCs/>
        </w:rPr>
        <w:t>Force of Circumstance</w:t>
      </w:r>
      <w:r w:rsidR="007308DD">
        <w:t xml:space="preserve">, </w:t>
      </w:r>
      <w:r w:rsidR="000D0876">
        <w:t xml:space="preserve">Vol II </w:t>
      </w:r>
      <w:r w:rsidR="007308DD">
        <w:t>trans. Richard Howard, Harmond</w:t>
      </w:r>
      <w:r w:rsidR="00A92870">
        <w:t>s</w:t>
      </w:r>
      <w:r w:rsidR="007308DD">
        <w:t>worth, Penguin, 1968 [</w:t>
      </w:r>
      <w:r w:rsidR="00F62FAC">
        <w:t>1963], p.</w:t>
      </w:r>
      <w:r w:rsidRPr="00CA7790">
        <w:rPr>
          <w:rFonts w:cstheme="minorHAnsi"/>
        </w:rPr>
        <w:t xml:space="preserve"> </w:t>
      </w:r>
      <w:r w:rsidR="000D0876">
        <w:rPr>
          <w:rFonts w:cstheme="minorHAnsi"/>
        </w:rPr>
        <w:t>671</w:t>
      </w:r>
      <w:r w:rsidR="00A92870">
        <w:rPr>
          <w:rFonts w:cstheme="minorHAnsi"/>
        </w:rPr>
        <w:t>.</w:t>
      </w:r>
    </w:p>
  </w:footnote>
  <w:footnote w:id="9">
    <w:p w14:paraId="5AA13404" w14:textId="126D39AB" w:rsidR="00CC2285" w:rsidRDefault="00CC2285">
      <w:pPr>
        <w:pStyle w:val="FootnoteText"/>
      </w:pPr>
      <w:r>
        <w:rPr>
          <w:rStyle w:val="FootnoteReference"/>
        </w:rPr>
        <w:footnoteRef/>
      </w:r>
      <w:r>
        <w:t xml:space="preserve"> </w:t>
      </w:r>
      <w:r w:rsidRPr="00CC2285">
        <w:rPr>
          <w:i/>
          <w:iCs/>
        </w:rPr>
        <w:t>F</w:t>
      </w:r>
      <w:r w:rsidR="007B713F">
        <w:rPr>
          <w:i/>
          <w:iCs/>
        </w:rPr>
        <w:t>CE</w:t>
      </w:r>
      <w:r w:rsidRPr="00CC2285">
        <w:rPr>
          <w:i/>
          <w:iCs/>
        </w:rPr>
        <w:t>II</w:t>
      </w:r>
      <w:r>
        <w:t>, p. 672</w:t>
      </w:r>
      <w:r w:rsidR="00A92870">
        <w:t>.</w:t>
      </w:r>
    </w:p>
  </w:footnote>
  <w:footnote w:id="10">
    <w:p w14:paraId="6F165DE0" w14:textId="5D0B3B15" w:rsidR="00CC2285" w:rsidRPr="00CC2285" w:rsidRDefault="00CC2285">
      <w:pPr>
        <w:pStyle w:val="FootnoteText"/>
      </w:pPr>
      <w:r>
        <w:rPr>
          <w:rStyle w:val="FootnoteReference"/>
        </w:rPr>
        <w:footnoteRef/>
      </w:r>
      <w:r>
        <w:t xml:space="preserve"> </w:t>
      </w:r>
      <w:r>
        <w:rPr>
          <w:i/>
          <w:iCs/>
        </w:rPr>
        <w:t>F</w:t>
      </w:r>
      <w:r w:rsidR="007B713F">
        <w:rPr>
          <w:i/>
          <w:iCs/>
        </w:rPr>
        <w:t>CE</w:t>
      </w:r>
      <w:r>
        <w:rPr>
          <w:i/>
          <w:iCs/>
        </w:rPr>
        <w:t>II</w:t>
      </w:r>
      <w:r>
        <w:t>, p. 673</w:t>
      </w:r>
      <w:r w:rsidR="00A92870">
        <w:t>.</w:t>
      </w:r>
    </w:p>
  </w:footnote>
  <w:footnote w:id="11">
    <w:p w14:paraId="769BDC0B" w14:textId="624519A8" w:rsidR="00432924" w:rsidRPr="00F62FAC" w:rsidRDefault="00432924">
      <w:pPr>
        <w:pStyle w:val="FootnoteText"/>
      </w:pPr>
      <w:r>
        <w:rPr>
          <w:rStyle w:val="FootnoteReference"/>
        </w:rPr>
        <w:footnoteRef/>
      </w:r>
      <w:r>
        <w:t xml:space="preserve"> Simone de Beauvoir</w:t>
      </w:r>
      <w:r w:rsidR="00932DD6">
        <w:t>,</w:t>
      </w:r>
      <w:r w:rsidRPr="00F62FAC">
        <w:rPr>
          <w:i/>
          <w:iCs/>
        </w:rPr>
        <w:t xml:space="preserve"> Memoirs of a Dutiful Daughter</w:t>
      </w:r>
      <w:r w:rsidR="00F62FAC">
        <w:t>, trans. Jam</w:t>
      </w:r>
      <w:r w:rsidR="00007C48">
        <w:t>e</w:t>
      </w:r>
      <w:r w:rsidR="00F62FAC">
        <w:t xml:space="preserve">s </w:t>
      </w:r>
      <w:proofErr w:type="spellStart"/>
      <w:r w:rsidR="00F62FAC">
        <w:t>Kirkup</w:t>
      </w:r>
      <w:proofErr w:type="spellEnd"/>
      <w:r w:rsidR="00F62FAC">
        <w:t>, Harmondsworth, Penguin 1963 [1958]</w:t>
      </w:r>
    </w:p>
  </w:footnote>
  <w:footnote w:id="12">
    <w:p w14:paraId="32BCBF39" w14:textId="7931F9B1" w:rsidR="00432924" w:rsidRDefault="00432924">
      <w:pPr>
        <w:pStyle w:val="FootnoteText"/>
      </w:pPr>
      <w:r>
        <w:rPr>
          <w:rStyle w:val="FootnoteReference"/>
        </w:rPr>
        <w:footnoteRef/>
      </w:r>
      <w:r>
        <w:t xml:space="preserve"> </w:t>
      </w:r>
      <w:r w:rsidR="00F62FAC" w:rsidRPr="00CB0C3D">
        <w:rPr>
          <w:i/>
          <w:iCs/>
        </w:rPr>
        <w:t>MDD</w:t>
      </w:r>
      <w:r w:rsidR="001B216B">
        <w:rPr>
          <w:i/>
          <w:iCs/>
        </w:rPr>
        <w:t>,</w:t>
      </w:r>
      <w:r w:rsidR="00F62FAC">
        <w:t xml:space="preserve"> </w:t>
      </w:r>
      <w:r w:rsidRPr="00CA7790">
        <w:rPr>
          <w:rFonts w:cstheme="minorHAnsi"/>
        </w:rPr>
        <w:t>p. 67</w:t>
      </w:r>
      <w:r w:rsidR="00A92870">
        <w:rPr>
          <w:rFonts w:cstheme="minorHAnsi"/>
        </w:rPr>
        <w:t>.</w:t>
      </w:r>
    </w:p>
  </w:footnote>
  <w:footnote w:id="13">
    <w:p w14:paraId="16D2B6E7" w14:textId="0D4503F9" w:rsidR="00432924" w:rsidRDefault="00432924">
      <w:pPr>
        <w:pStyle w:val="FootnoteText"/>
      </w:pPr>
      <w:r>
        <w:rPr>
          <w:rStyle w:val="FootnoteReference"/>
        </w:rPr>
        <w:footnoteRef/>
      </w:r>
      <w:r>
        <w:t xml:space="preserve"> </w:t>
      </w:r>
      <w:r w:rsidR="00F62FAC" w:rsidRPr="00CB0C3D">
        <w:rPr>
          <w:i/>
          <w:iCs/>
        </w:rPr>
        <w:t>MDD</w:t>
      </w:r>
      <w:r w:rsidR="001B216B">
        <w:rPr>
          <w:i/>
          <w:iCs/>
        </w:rPr>
        <w:t>,</w:t>
      </w:r>
      <w:r w:rsidR="00F62FAC">
        <w:t xml:space="preserve"> </w:t>
      </w:r>
      <w:r w:rsidRPr="00CA7790">
        <w:rPr>
          <w:rFonts w:cstheme="minorHAnsi"/>
        </w:rPr>
        <w:t>pp</w:t>
      </w:r>
      <w:r w:rsidR="001B216B">
        <w:rPr>
          <w:rFonts w:cstheme="minorHAnsi"/>
        </w:rPr>
        <w:t xml:space="preserve">. </w:t>
      </w:r>
      <w:r w:rsidRPr="00CA7790">
        <w:rPr>
          <w:rFonts w:cstheme="minorHAnsi"/>
        </w:rPr>
        <w:t>103-4</w:t>
      </w:r>
      <w:r w:rsidR="00A92870">
        <w:rPr>
          <w:rFonts w:cstheme="minorHAnsi"/>
        </w:rPr>
        <w:t>.</w:t>
      </w:r>
    </w:p>
  </w:footnote>
  <w:footnote w:id="14">
    <w:p w14:paraId="444AC3C9" w14:textId="4FAC9DB2" w:rsidR="00432924" w:rsidRPr="00F1086D" w:rsidRDefault="00432924">
      <w:pPr>
        <w:pStyle w:val="FootnoteText"/>
      </w:pPr>
      <w:r>
        <w:rPr>
          <w:rStyle w:val="FootnoteReference"/>
        </w:rPr>
        <w:footnoteRef/>
      </w:r>
      <w:r>
        <w:t xml:space="preserve"> </w:t>
      </w:r>
      <w:r w:rsidR="00F62FAC" w:rsidRPr="00CB0C3D">
        <w:rPr>
          <w:i/>
          <w:iCs/>
        </w:rPr>
        <w:t>MDD</w:t>
      </w:r>
      <w:r w:rsidR="003110BB">
        <w:rPr>
          <w:i/>
          <w:iCs/>
        </w:rPr>
        <w:t>,</w:t>
      </w:r>
      <w:r w:rsidR="00F62FAC">
        <w:t xml:space="preserve"> </w:t>
      </w:r>
      <w:r w:rsidRPr="00CA7790">
        <w:rPr>
          <w:rFonts w:cstheme="minorHAnsi"/>
        </w:rPr>
        <w:t>p. 104</w:t>
      </w:r>
      <w:r w:rsidR="00F1086D">
        <w:rPr>
          <w:rFonts w:cstheme="minorHAnsi"/>
        </w:rPr>
        <w:t xml:space="preserve">; a similar image appears in Simone de Beauvoir, </w:t>
      </w:r>
      <w:r w:rsidR="00F1086D">
        <w:rPr>
          <w:rFonts w:cstheme="minorHAnsi"/>
          <w:i/>
          <w:iCs/>
        </w:rPr>
        <w:t>The Second Sex</w:t>
      </w:r>
      <w:r w:rsidR="00F1086D">
        <w:rPr>
          <w:rFonts w:cstheme="minorHAnsi"/>
        </w:rPr>
        <w:t>, t</w:t>
      </w:r>
      <w:r w:rsidR="00542558">
        <w:rPr>
          <w:rFonts w:cstheme="minorHAnsi"/>
        </w:rPr>
        <w:t>r</w:t>
      </w:r>
      <w:r w:rsidR="00F1086D">
        <w:rPr>
          <w:rFonts w:cstheme="minorHAnsi"/>
        </w:rPr>
        <w:t xml:space="preserve">ans. Constance </w:t>
      </w:r>
      <w:proofErr w:type="spellStart"/>
      <w:r w:rsidR="00F1086D">
        <w:rPr>
          <w:rFonts w:cstheme="minorHAnsi"/>
        </w:rPr>
        <w:t>Borde</w:t>
      </w:r>
      <w:proofErr w:type="spellEnd"/>
      <w:r w:rsidR="00F1086D">
        <w:rPr>
          <w:rFonts w:cstheme="minorHAnsi"/>
        </w:rPr>
        <w:t xml:space="preserve"> and Sheila </w:t>
      </w:r>
      <w:proofErr w:type="spellStart"/>
      <w:r w:rsidR="00F1086D">
        <w:rPr>
          <w:rFonts w:cstheme="minorHAnsi"/>
        </w:rPr>
        <w:t>Malovani</w:t>
      </w:r>
      <w:proofErr w:type="spellEnd"/>
      <w:r w:rsidR="00F1086D">
        <w:rPr>
          <w:rFonts w:cstheme="minorHAnsi"/>
        </w:rPr>
        <w:t>-Chevalier, New York, Vintage, 2010, pp</w:t>
      </w:r>
      <w:r w:rsidR="003110BB">
        <w:rPr>
          <w:rFonts w:cstheme="minorHAnsi"/>
        </w:rPr>
        <w:t>.</w:t>
      </w:r>
      <w:r w:rsidR="00F1086D">
        <w:rPr>
          <w:rFonts w:cstheme="minorHAnsi"/>
        </w:rPr>
        <w:t xml:space="preserve"> 475-6</w:t>
      </w:r>
      <w:r w:rsidR="00A92870">
        <w:rPr>
          <w:rFonts w:cstheme="minorHAnsi"/>
        </w:rPr>
        <w:t>.</w:t>
      </w:r>
    </w:p>
  </w:footnote>
  <w:footnote w:id="15">
    <w:p w14:paraId="5014AD49" w14:textId="41F92185" w:rsidR="00F1086D" w:rsidRDefault="00F1086D" w:rsidP="00BD2EDD">
      <w:pPr>
        <w:spacing w:after="0" w:line="240" w:lineRule="auto"/>
      </w:pPr>
      <w:r>
        <w:rPr>
          <w:rStyle w:val="FootnoteReference"/>
        </w:rPr>
        <w:footnoteRef/>
      </w:r>
      <w:r>
        <w:t xml:space="preserve"> </w:t>
      </w:r>
      <w:r w:rsidRPr="00BD2EDD">
        <w:rPr>
          <w:rFonts w:cstheme="minorHAnsi"/>
          <w:sz w:val="20"/>
          <w:szCs w:val="20"/>
        </w:rPr>
        <w:t>See Susan Pickard</w:t>
      </w:r>
      <w:r w:rsidR="00BD2EDD" w:rsidRPr="00BD2EDD">
        <w:rPr>
          <w:rFonts w:cstheme="minorHAnsi"/>
          <w:bCs/>
          <w:sz w:val="20"/>
          <w:szCs w:val="20"/>
        </w:rPr>
        <w:t xml:space="preserve">, </w:t>
      </w:r>
      <w:r w:rsidR="00BD2EDD">
        <w:rPr>
          <w:rFonts w:cstheme="minorHAnsi"/>
          <w:bCs/>
          <w:sz w:val="20"/>
          <w:szCs w:val="20"/>
        </w:rPr>
        <w:t>“</w:t>
      </w:r>
      <w:r w:rsidR="00BD2EDD" w:rsidRPr="00BD2EDD">
        <w:rPr>
          <w:rFonts w:cstheme="minorHAnsi"/>
          <w:bCs/>
          <w:sz w:val="20"/>
          <w:szCs w:val="20"/>
        </w:rPr>
        <w:t>Last Love: the ‘double standard of ageing’ and women’s experience of gender and sexuality at mid-life,</w:t>
      </w:r>
      <w:r w:rsidR="00BD2EDD">
        <w:rPr>
          <w:rFonts w:cstheme="minorHAnsi"/>
          <w:bCs/>
          <w:sz w:val="20"/>
          <w:szCs w:val="20"/>
        </w:rPr>
        <w:t>”</w:t>
      </w:r>
      <w:r w:rsidR="00BD2EDD" w:rsidRPr="00BD2EDD">
        <w:rPr>
          <w:rFonts w:cstheme="minorHAnsi"/>
          <w:bCs/>
          <w:sz w:val="20"/>
          <w:szCs w:val="20"/>
        </w:rPr>
        <w:t xml:space="preserve"> </w:t>
      </w:r>
      <w:r w:rsidR="00BD2EDD" w:rsidRPr="00BD2EDD">
        <w:rPr>
          <w:rFonts w:cstheme="minorHAnsi"/>
          <w:bCs/>
          <w:i/>
          <w:iCs/>
          <w:sz w:val="20"/>
          <w:szCs w:val="20"/>
        </w:rPr>
        <w:t>Journal of Aging Studies</w:t>
      </w:r>
      <w:r w:rsidR="00BD2EDD" w:rsidRPr="00BD2EDD">
        <w:rPr>
          <w:rFonts w:cstheme="minorHAnsi"/>
          <w:bCs/>
          <w:sz w:val="20"/>
          <w:szCs w:val="20"/>
        </w:rPr>
        <w:t>,</w:t>
      </w:r>
      <w:r w:rsidR="00BD2EDD">
        <w:rPr>
          <w:rFonts w:cstheme="minorHAnsi"/>
          <w:bCs/>
          <w:sz w:val="20"/>
          <w:szCs w:val="20"/>
        </w:rPr>
        <w:t xml:space="preserve"> vol. 60,</w:t>
      </w:r>
      <w:r w:rsidR="00BD2EDD" w:rsidRPr="00BD2EDD">
        <w:rPr>
          <w:rFonts w:cstheme="minorHAnsi"/>
          <w:bCs/>
          <w:sz w:val="20"/>
          <w:szCs w:val="20"/>
        </w:rPr>
        <w:t xml:space="preserve"> </w:t>
      </w:r>
      <w:r w:rsidR="00BD2EDD">
        <w:rPr>
          <w:rFonts w:cstheme="minorHAnsi"/>
          <w:bCs/>
          <w:sz w:val="20"/>
          <w:szCs w:val="20"/>
        </w:rPr>
        <w:t>2022,</w:t>
      </w:r>
      <w:r w:rsidR="00BD2EDD" w:rsidRPr="00BD2EDD">
        <w:rPr>
          <w:rFonts w:cstheme="minorHAnsi"/>
          <w:bCs/>
          <w:sz w:val="20"/>
          <w:szCs w:val="20"/>
        </w:rPr>
        <w:t xml:space="preserve"> doi.org/10.1016/j.jaging.2021.100989</w:t>
      </w:r>
    </w:p>
  </w:footnote>
  <w:footnote w:id="16">
    <w:p w14:paraId="38EE3624" w14:textId="719CF9CA" w:rsidR="00432924" w:rsidRDefault="00432924">
      <w:pPr>
        <w:pStyle w:val="FootnoteText"/>
      </w:pPr>
      <w:r>
        <w:rPr>
          <w:rStyle w:val="FootnoteReference"/>
        </w:rPr>
        <w:footnoteRef/>
      </w:r>
      <w:r>
        <w:t xml:space="preserve"> </w:t>
      </w:r>
      <w:r w:rsidR="007B713F">
        <w:t xml:space="preserve">Simone de </w:t>
      </w:r>
      <w:proofErr w:type="gramStart"/>
      <w:r w:rsidR="007B713F">
        <w:t>Beauvoir,,</w:t>
      </w:r>
      <w:proofErr w:type="gramEnd"/>
      <w:r w:rsidR="007B713F">
        <w:t xml:space="preserve"> </w:t>
      </w:r>
      <w:r w:rsidR="00542558" w:rsidRPr="00DF3B6F">
        <w:rPr>
          <w:i/>
          <w:iCs/>
        </w:rPr>
        <w:t>FCEI</w:t>
      </w:r>
      <w:r w:rsidR="00542558">
        <w:t xml:space="preserve">II, </w:t>
      </w:r>
      <w:r w:rsidR="007B713F">
        <w:t>p</w:t>
      </w:r>
      <w:r>
        <w:rPr>
          <w:rFonts w:cstheme="minorHAnsi"/>
        </w:rPr>
        <w:t>. 266</w:t>
      </w:r>
      <w:r w:rsidR="00A92870">
        <w:rPr>
          <w:rFonts w:cstheme="minorHAnsi"/>
        </w:rPr>
        <w:t>.</w:t>
      </w:r>
    </w:p>
  </w:footnote>
  <w:footnote w:id="17">
    <w:p w14:paraId="633D1C41" w14:textId="0B428361" w:rsidR="00432924" w:rsidRDefault="00432924">
      <w:pPr>
        <w:pStyle w:val="FootnoteText"/>
      </w:pPr>
      <w:r>
        <w:rPr>
          <w:rStyle w:val="FootnoteReference"/>
        </w:rPr>
        <w:footnoteRef/>
      </w:r>
      <w:r>
        <w:t xml:space="preserve"> </w:t>
      </w:r>
      <w:r w:rsidR="00F62FAC" w:rsidRPr="00CB0C3D">
        <w:rPr>
          <w:i/>
          <w:iCs/>
        </w:rPr>
        <w:t>FCE</w:t>
      </w:r>
      <w:r w:rsidR="00CC4140" w:rsidRPr="00CB0C3D">
        <w:rPr>
          <w:i/>
          <w:iCs/>
        </w:rPr>
        <w:t>I</w:t>
      </w:r>
      <w:r w:rsidR="00542558">
        <w:rPr>
          <w:i/>
          <w:iCs/>
        </w:rPr>
        <w:t>I</w:t>
      </w:r>
      <w:r>
        <w:t xml:space="preserve"> </w:t>
      </w:r>
      <w:r>
        <w:rPr>
          <w:rFonts w:cstheme="minorHAnsi"/>
        </w:rPr>
        <w:t>p. 266.</w:t>
      </w:r>
    </w:p>
  </w:footnote>
  <w:footnote w:id="18">
    <w:p w14:paraId="24FCDA05" w14:textId="7C65232B" w:rsidR="00142AC1" w:rsidRPr="00DF3B6F" w:rsidRDefault="00142AC1">
      <w:pPr>
        <w:pStyle w:val="FootnoteText"/>
        <w:rPr>
          <w:lang w:val="en-US"/>
        </w:rPr>
      </w:pPr>
      <w:r>
        <w:rPr>
          <w:rStyle w:val="FootnoteReference"/>
        </w:rPr>
        <w:footnoteRef/>
      </w:r>
      <w:r>
        <w:t xml:space="preserve"> </w:t>
      </w:r>
      <w:r w:rsidRPr="00D202F2">
        <w:rPr>
          <w:i/>
          <w:iCs/>
        </w:rPr>
        <w:t>FCE</w:t>
      </w:r>
      <w:r w:rsidRPr="00CC2285">
        <w:rPr>
          <w:i/>
          <w:iCs/>
        </w:rPr>
        <w:t>I</w:t>
      </w:r>
      <w:r>
        <w:rPr>
          <w:i/>
          <w:iCs/>
        </w:rPr>
        <w:t>I</w:t>
      </w:r>
      <w:r>
        <w:t xml:space="preserve"> p. 291.</w:t>
      </w:r>
    </w:p>
  </w:footnote>
  <w:footnote w:id="19">
    <w:p w14:paraId="09E08B8E" w14:textId="3669291F" w:rsidR="007456A5" w:rsidRDefault="007456A5">
      <w:pPr>
        <w:pStyle w:val="FootnoteText"/>
      </w:pPr>
      <w:r>
        <w:rPr>
          <w:rStyle w:val="FootnoteReference"/>
        </w:rPr>
        <w:footnoteRef/>
      </w:r>
      <w:r>
        <w:t xml:space="preserve"> </w:t>
      </w:r>
      <w:r w:rsidR="00525ECD" w:rsidRPr="00D202F2">
        <w:rPr>
          <w:i/>
          <w:iCs/>
        </w:rPr>
        <w:t>FCE</w:t>
      </w:r>
      <w:r w:rsidR="00D202F2" w:rsidRPr="00D202F2">
        <w:rPr>
          <w:i/>
          <w:iCs/>
        </w:rPr>
        <w:t>II</w:t>
      </w:r>
      <w:r w:rsidR="00142AC1">
        <w:rPr>
          <w:i/>
          <w:iCs/>
        </w:rPr>
        <w:t>,</w:t>
      </w:r>
      <w:r w:rsidR="00525ECD">
        <w:t xml:space="preserve"> p. </w:t>
      </w:r>
      <w:r>
        <w:t>6</w:t>
      </w:r>
      <w:r w:rsidR="00525ECD">
        <w:t>73</w:t>
      </w:r>
      <w:r w:rsidR="00A92870">
        <w:t>.</w:t>
      </w:r>
    </w:p>
  </w:footnote>
  <w:footnote w:id="20">
    <w:p w14:paraId="52ADFB31" w14:textId="5D435540" w:rsidR="002F74D0" w:rsidRDefault="002F74D0">
      <w:pPr>
        <w:pStyle w:val="FootnoteText"/>
      </w:pPr>
      <w:r>
        <w:rPr>
          <w:rStyle w:val="FootnoteReference"/>
        </w:rPr>
        <w:footnoteRef/>
      </w:r>
      <w:r>
        <w:t xml:space="preserve"> Toril Moi</w:t>
      </w:r>
      <w:r w:rsidR="00CC4140">
        <w:t xml:space="preserve">, </w:t>
      </w:r>
      <w:r w:rsidR="00CC4140" w:rsidRPr="00007C48">
        <w:rPr>
          <w:i/>
          <w:iCs/>
        </w:rPr>
        <w:t>Simone de Beauvoir</w:t>
      </w:r>
      <w:r w:rsidR="00CC4140">
        <w:t>, p. 239</w:t>
      </w:r>
      <w:r w:rsidR="00A92870">
        <w:t>.</w:t>
      </w:r>
    </w:p>
  </w:footnote>
  <w:footnote w:id="21">
    <w:p w14:paraId="0E819926" w14:textId="7B2A7108" w:rsidR="00B7085F" w:rsidRDefault="00B7085F">
      <w:pPr>
        <w:pStyle w:val="FootnoteText"/>
      </w:pPr>
      <w:r>
        <w:rPr>
          <w:rStyle w:val="FootnoteReference"/>
        </w:rPr>
        <w:footnoteRef/>
      </w:r>
      <w:r>
        <w:t xml:space="preserve"> </w:t>
      </w:r>
      <w:r w:rsidR="00006C53">
        <w:t>Ibid</w:t>
      </w:r>
      <w:r>
        <w:t xml:space="preserve"> p. 256</w:t>
      </w:r>
      <w:r w:rsidR="00A92870">
        <w:t>.</w:t>
      </w:r>
    </w:p>
  </w:footnote>
  <w:footnote w:id="22">
    <w:p w14:paraId="05AA2CF7" w14:textId="263F389E" w:rsidR="00B7085F" w:rsidRDefault="00B7085F">
      <w:pPr>
        <w:pStyle w:val="FootnoteText"/>
      </w:pPr>
      <w:r>
        <w:rPr>
          <w:rStyle w:val="FootnoteReference"/>
        </w:rPr>
        <w:footnoteRef/>
      </w:r>
      <w:r w:rsidR="00CC4140">
        <w:t xml:space="preserve"> Ibid, p. 259</w:t>
      </w:r>
      <w:r w:rsidR="00A92870">
        <w:t>.</w:t>
      </w:r>
    </w:p>
  </w:footnote>
  <w:footnote w:id="23">
    <w:p w14:paraId="6B60347C" w14:textId="6C954D2E" w:rsidR="002267BE" w:rsidRDefault="002267BE">
      <w:pPr>
        <w:pStyle w:val="FootnoteText"/>
      </w:pPr>
      <w:r>
        <w:rPr>
          <w:rStyle w:val="FootnoteReference"/>
        </w:rPr>
        <w:footnoteRef/>
      </w:r>
      <w:r>
        <w:t xml:space="preserve">  Deirdre Bair</w:t>
      </w:r>
      <w:r w:rsidR="00CC4140">
        <w:t xml:space="preserve">, </w:t>
      </w:r>
      <w:r w:rsidR="00CC4140">
        <w:rPr>
          <w:i/>
          <w:iCs/>
        </w:rPr>
        <w:t>Simone de Beauvoir: a biography</w:t>
      </w:r>
      <w:r w:rsidR="00CC4140">
        <w:t>, New York</w:t>
      </w:r>
      <w:r w:rsidR="00007C48">
        <w:t>,</w:t>
      </w:r>
      <w:r w:rsidR="00CC4140">
        <w:t xml:space="preserve"> Simon &amp; Schuster, 1990</w:t>
      </w:r>
      <w:r w:rsidR="007B713F">
        <w:t>, p. 540</w:t>
      </w:r>
      <w:r w:rsidR="00CB6CFA">
        <w:t>.</w:t>
      </w:r>
    </w:p>
  </w:footnote>
  <w:footnote w:id="24">
    <w:p w14:paraId="3EF7D34A" w14:textId="626BD0D9" w:rsidR="00CB6CFA" w:rsidRDefault="00CB6CFA">
      <w:pPr>
        <w:pStyle w:val="FootnoteText"/>
      </w:pPr>
      <w:r>
        <w:rPr>
          <w:rStyle w:val="FootnoteReference"/>
        </w:rPr>
        <w:footnoteRef/>
      </w:r>
      <w:r>
        <w:t xml:space="preserve"> </w:t>
      </w:r>
      <w:r w:rsidR="00CC4140" w:rsidRPr="00D202F2">
        <w:rPr>
          <w:i/>
          <w:iCs/>
        </w:rPr>
        <w:t>FCEII</w:t>
      </w:r>
      <w:r w:rsidR="00CC4140">
        <w:t>, pp 673-4</w:t>
      </w:r>
      <w:r w:rsidR="00A92870">
        <w:t>.</w:t>
      </w:r>
    </w:p>
  </w:footnote>
  <w:footnote w:id="25">
    <w:p w14:paraId="47054C8D" w14:textId="5D3811A9" w:rsidR="00932DD6" w:rsidRDefault="00932DD6">
      <w:pPr>
        <w:pStyle w:val="FootnoteText"/>
      </w:pPr>
      <w:r>
        <w:rPr>
          <w:rStyle w:val="FootnoteReference"/>
        </w:rPr>
        <w:footnoteRef/>
      </w:r>
      <w:r>
        <w:t xml:space="preserve"> Kathleen Woodward “</w:t>
      </w:r>
      <w:r w:rsidRPr="003E7B89">
        <w:t>Simone de Beauvoir: Aging and its discontents</w:t>
      </w:r>
      <w:r>
        <w:rPr>
          <w:i/>
          <w:iCs/>
        </w:rPr>
        <w:t>”</w:t>
      </w:r>
      <w:r>
        <w:t xml:space="preserve">, in </w:t>
      </w:r>
      <w:r>
        <w:rPr>
          <w:i/>
          <w:iCs/>
        </w:rPr>
        <w:t>The Private Self: theory and practice of women’s autobiographical writings</w:t>
      </w:r>
      <w:r>
        <w:t xml:space="preserve">, ed. Shari </w:t>
      </w:r>
      <w:proofErr w:type="spellStart"/>
      <w:r>
        <w:t>Benstock</w:t>
      </w:r>
      <w:proofErr w:type="spellEnd"/>
      <w:r>
        <w:t>, Chapel Hill</w:t>
      </w:r>
      <w:r w:rsidR="00007C48">
        <w:t>,</w:t>
      </w:r>
      <w:r>
        <w:t xml:space="preserve"> University of North Carolina Press, 1988, 90-</w:t>
      </w:r>
      <w:proofErr w:type="gramStart"/>
      <w:r>
        <w:t>113 ;</w:t>
      </w:r>
      <w:proofErr w:type="gramEnd"/>
      <w:r>
        <w:t xml:space="preserve"> Sigmund Freud, </w:t>
      </w:r>
      <w:r w:rsidR="0025189F">
        <w:rPr>
          <w:i/>
          <w:iCs/>
        </w:rPr>
        <w:t>Mourning and Melancholia</w:t>
      </w:r>
      <w:r>
        <w:t xml:space="preserve">; Gregory </w:t>
      </w:r>
      <w:proofErr w:type="spellStart"/>
      <w:r>
        <w:t>Rochlin</w:t>
      </w:r>
      <w:proofErr w:type="spellEnd"/>
      <w:r>
        <w:t xml:space="preserve">, </w:t>
      </w:r>
      <w:r>
        <w:rPr>
          <w:i/>
          <w:iCs/>
        </w:rPr>
        <w:t>Griefs and Discontents: the forces of change</w:t>
      </w:r>
      <w:r>
        <w:t>, Boston, Little Brown, 1984</w:t>
      </w:r>
      <w:r w:rsidR="00A92870">
        <w:t>.</w:t>
      </w:r>
    </w:p>
  </w:footnote>
  <w:footnote w:id="26">
    <w:p w14:paraId="202F2E7A" w14:textId="7B5B6BF7" w:rsidR="008A569D" w:rsidRDefault="008A569D">
      <w:pPr>
        <w:pStyle w:val="FootnoteText"/>
      </w:pPr>
      <w:r>
        <w:rPr>
          <w:rStyle w:val="FootnoteReference"/>
        </w:rPr>
        <w:footnoteRef/>
      </w:r>
      <w:r>
        <w:t xml:space="preserve"> </w:t>
      </w:r>
      <w:r w:rsidR="002D3E39">
        <w:t xml:space="preserve">Sigmund Freud, </w:t>
      </w:r>
      <w:r w:rsidR="002D3E39">
        <w:rPr>
          <w:i/>
          <w:iCs/>
        </w:rPr>
        <w:t xml:space="preserve">“Creative Writers and </w:t>
      </w:r>
      <w:proofErr w:type="gramStart"/>
      <w:r w:rsidR="002D3E39">
        <w:rPr>
          <w:i/>
          <w:iCs/>
        </w:rPr>
        <w:t>Day-Dreaming</w:t>
      </w:r>
      <w:proofErr w:type="gramEnd"/>
      <w:r w:rsidR="002D3E39">
        <w:rPr>
          <w:i/>
          <w:iCs/>
        </w:rPr>
        <w:t>”,</w:t>
      </w:r>
      <w:r w:rsidR="002D3E39">
        <w:t xml:space="preserve"> in </w:t>
      </w:r>
      <w:r w:rsidR="002D3E39">
        <w:rPr>
          <w:i/>
          <w:iCs/>
        </w:rPr>
        <w:t xml:space="preserve">The Standard Edition of the Psychological Work of Sigmund </w:t>
      </w:r>
      <w:r w:rsidR="002D3E39" w:rsidRPr="002D3E39">
        <w:rPr>
          <w:i/>
          <w:iCs/>
        </w:rPr>
        <w:t>Freud</w:t>
      </w:r>
      <w:r w:rsidR="002D3E39">
        <w:t xml:space="preserve">, ed and trans. James Strachey, London: The Hogarth Press, 1908; </w:t>
      </w:r>
      <w:r w:rsidRPr="00A92870">
        <w:t>Woodward</w:t>
      </w:r>
      <w:r w:rsidR="00A92870">
        <w:t>,</w:t>
      </w:r>
      <w:r w:rsidRPr="00A92870">
        <w:t xml:space="preserve"> </w:t>
      </w:r>
      <w:r w:rsidR="002D3E39" w:rsidRPr="00A92870">
        <w:rPr>
          <w:i/>
          <w:iCs/>
        </w:rPr>
        <w:t>S</w:t>
      </w:r>
      <w:r w:rsidR="002D3E39">
        <w:rPr>
          <w:i/>
          <w:iCs/>
        </w:rPr>
        <w:t>imone de Beauvoir</w:t>
      </w:r>
      <w:r w:rsidR="00542558">
        <w:rPr>
          <w:i/>
          <w:iCs/>
        </w:rPr>
        <w:t>,</w:t>
      </w:r>
      <w:r>
        <w:t xml:space="preserve"> p. 106</w:t>
      </w:r>
      <w:r w:rsidR="00A92870">
        <w:t>.</w:t>
      </w:r>
    </w:p>
  </w:footnote>
  <w:footnote w:id="27">
    <w:p w14:paraId="6C105999" w14:textId="15C4C5E3" w:rsidR="008A569D" w:rsidRDefault="008A569D">
      <w:pPr>
        <w:pStyle w:val="FootnoteText"/>
      </w:pPr>
      <w:r>
        <w:rPr>
          <w:rStyle w:val="FootnoteReference"/>
        </w:rPr>
        <w:footnoteRef/>
      </w:r>
      <w:r w:rsidR="002D3E39">
        <w:t xml:space="preserve"> </w:t>
      </w:r>
      <w:r w:rsidR="00542558">
        <w:t xml:space="preserve">Woodward, </w:t>
      </w:r>
      <w:r w:rsidR="00542558" w:rsidRPr="00DF3B6F">
        <w:rPr>
          <w:i/>
          <w:iCs/>
        </w:rPr>
        <w:t>Simone de Beauvoir</w:t>
      </w:r>
      <w:r w:rsidR="00542558">
        <w:t>, p. 106.</w:t>
      </w:r>
    </w:p>
  </w:footnote>
  <w:footnote w:id="28">
    <w:p w14:paraId="5687E8B9" w14:textId="6F22A404" w:rsidR="002D3E39" w:rsidRDefault="002D3E39">
      <w:pPr>
        <w:pStyle w:val="FootnoteText"/>
      </w:pPr>
      <w:r>
        <w:rPr>
          <w:rStyle w:val="FootnoteReference"/>
        </w:rPr>
        <w:footnoteRef/>
      </w:r>
      <w:r>
        <w:t xml:space="preserve"> </w:t>
      </w:r>
      <w:proofErr w:type="spellStart"/>
      <w:r>
        <w:t>Rochlin</w:t>
      </w:r>
      <w:proofErr w:type="spellEnd"/>
      <w:r>
        <w:t xml:space="preserve">, </w:t>
      </w:r>
      <w:r w:rsidRPr="002D3E39">
        <w:rPr>
          <w:i/>
          <w:iCs/>
        </w:rPr>
        <w:t>Griefs and Discontents</w:t>
      </w:r>
      <w:r w:rsidR="00542558">
        <w:rPr>
          <w:i/>
          <w:iCs/>
        </w:rPr>
        <w:t xml:space="preserve">, </w:t>
      </w:r>
      <w:proofErr w:type="spellStart"/>
      <w:proofErr w:type="gramStart"/>
      <w:r w:rsidR="00542558">
        <w:t>p</w:t>
      </w:r>
      <w:r w:rsidR="00142B9F">
        <w:t>p</w:t>
      </w:r>
      <w:r w:rsidR="00542558">
        <w:t>.</w:t>
      </w:r>
      <w:r w:rsidR="00142B9F">
        <w:t>xvii</w:t>
      </w:r>
      <w:proofErr w:type="spellEnd"/>
      <w:proofErr w:type="gramEnd"/>
      <w:r w:rsidR="00142B9F">
        <w:t>; xix; 363</w:t>
      </w:r>
      <w:r w:rsidR="00542558">
        <w:t xml:space="preserve"> *</w:t>
      </w:r>
      <w:r w:rsidR="00A92870">
        <w:rPr>
          <w:i/>
          <w:iCs/>
        </w:rPr>
        <w:t>.</w:t>
      </w:r>
    </w:p>
  </w:footnote>
  <w:footnote w:id="29">
    <w:p w14:paraId="00CDFF80" w14:textId="607E00AD" w:rsidR="00AB0587" w:rsidRDefault="00AB0587">
      <w:pPr>
        <w:pStyle w:val="FootnoteText"/>
      </w:pPr>
      <w:r>
        <w:rPr>
          <w:rStyle w:val="FootnoteReference"/>
        </w:rPr>
        <w:footnoteRef/>
      </w:r>
      <w:r>
        <w:t xml:space="preserve"> </w:t>
      </w:r>
      <w:r w:rsidR="000369A8">
        <w:rPr>
          <w:i/>
          <w:iCs/>
        </w:rPr>
        <w:t xml:space="preserve">SS, </w:t>
      </w:r>
      <w:r>
        <w:rPr>
          <w:rFonts w:cstheme="minorHAnsi"/>
        </w:rPr>
        <w:t>p. 17</w:t>
      </w:r>
      <w:r w:rsidR="00A92870">
        <w:rPr>
          <w:rFonts w:cstheme="minorHAnsi"/>
        </w:rPr>
        <w:t>.</w:t>
      </w:r>
    </w:p>
  </w:footnote>
  <w:footnote w:id="30">
    <w:p w14:paraId="5246E864" w14:textId="5CECD153" w:rsidR="00AB0587" w:rsidRPr="00AB0587" w:rsidRDefault="00AB0587">
      <w:pPr>
        <w:pStyle w:val="FootnoteText"/>
      </w:pPr>
      <w:r>
        <w:rPr>
          <w:rStyle w:val="FootnoteReference"/>
        </w:rPr>
        <w:footnoteRef/>
      </w:r>
      <w:r w:rsidR="00007C48">
        <w:t xml:space="preserve"> </w:t>
      </w:r>
      <w:r w:rsidR="007041A4" w:rsidRPr="00CB0C3D">
        <w:rPr>
          <w:i/>
          <w:iCs/>
        </w:rPr>
        <w:t>SS</w:t>
      </w:r>
      <w:r>
        <w:t>, p. 17</w:t>
      </w:r>
      <w:r w:rsidR="00A92870">
        <w:t>.</w:t>
      </w:r>
    </w:p>
  </w:footnote>
  <w:footnote w:id="31">
    <w:p w14:paraId="52E01465" w14:textId="57A6F72C" w:rsidR="00D25C3B" w:rsidRDefault="00D25C3B">
      <w:pPr>
        <w:pStyle w:val="FootnoteText"/>
      </w:pPr>
      <w:r>
        <w:rPr>
          <w:rStyle w:val="FootnoteReference"/>
        </w:rPr>
        <w:footnoteRef/>
      </w:r>
      <w:r>
        <w:t xml:space="preserve"> Simone de Beauvoir</w:t>
      </w:r>
      <w:r w:rsidR="007041A4">
        <w:t>,</w:t>
      </w:r>
      <w:r>
        <w:t xml:space="preserve"> </w:t>
      </w:r>
      <w:r w:rsidRPr="007041A4">
        <w:rPr>
          <w:i/>
          <w:iCs/>
        </w:rPr>
        <w:t>The Mandarins</w:t>
      </w:r>
      <w:r>
        <w:t>,</w:t>
      </w:r>
      <w:r w:rsidR="007041A4">
        <w:t xml:space="preserve"> trans. Leonard M Friedman, London, Flamingo</w:t>
      </w:r>
      <w:r w:rsidR="006204CF">
        <w:t xml:space="preserve">, 1984 [1954], </w:t>
      </w:r>
      <w:r>
        <w:t>p. 677</w:t>
      </w:r>
      <w:r w:rsidR="00A92870">
        <w:t>.</w:t>
      </w:r>
    </w:p>
  </w:footnote>
  <w:footnote w:id="32">
    <w:p w14:paraId="665A8D33" w14:textId="4398D3DB" w:rsidR="00D25C3B" w:rsidRDefault="00D25C3B">
      <w:pPr>
        <w:pStyle w:val="FootnoteText"/>
      </w:pPr>
      <w:r>
        <w:rPr>
          <w:rStyle w:val="FootnoteReference"/>
        </w:rPr>
        <w:footnoteRef/>
      </w:r>
      <w:r>
        <w:t xml:space="preserve"> </w:t>
      </w:r>
      <w:r w:rsidRPr="006204CF">
        <w:rPr>
          <w:i/>
          <w:iCs/>
        </w:rPr>
        <w:t>FCE</w:t>
      </w:r>
      <w:r w:rsidR="006204CF" w:rsidRPr="006204CF">
        <w:rPr>
          <w:i/>
          <w:iCs/>
        </w:rPr>
        <w:t>II</w:t>
      </w:r>
      <w:r>
        <w:t>, p. 67</w:t>
      </w:r>
      <w:r w:rsidR="007041A4">
        <w:t>3</w:t>
      </w:r>
      <w:r w:rsidR="00A92870">
        <w:t>.</w:t>
      </w:r>
    </w:p>
  </w:footnote>
  <w:footnote w:id="33">
    <w:p w14:paraId="362FB865" w14:textId="1CCACAEF" w:rsidR="00D25C3B" w:rsidRPr="00D25C3B" w:rsidRDefault="00D25C3B">
      <w:pPr>
        <w:pStyle w:val="FootnoteText"/>
      </w:pPr>
      <w:r>
        <w:rPr>
          <w:rStyle w:val="FootnoteReference"/>
        </w:rPr>
        <w:footnoteRef/>
      </w:r>
      <w:r>
        <w:t xml:space="preserve"> Bair, </w:t>
      </w:r>
      <w:r>
        <w:rPr>
          <w:i/>
          <w:iCs/>
        </w:rPr>
        <w:t>Simone de Beauvoir</w:t>
      </w:r>
      <w:r>
        <w:t>, p. 541</w:t>
      </w:r>
      <w:r w:rsidR="00A92870">
        <w:t>.</w:t>
      </w:r>
    </w:p>
  </w:footnote>
  <w:footnote w:id="34">
    <w:p w14:paraId="78ED4B08" w14:textId="2AD8027A" w:rsidR="000B2167" w:rsidRPr="000B2167" w:rsidRDefault="000B2167">
      <w:pPr>
        <w:pStyle w:val="FootnoteText"/>
      </w:pPr>
      <w:r>
        <w:rPr>
          <w:rStyle w:val="FootnoteReference"/>
        </w:rPr>
        <w:footnoteRef/>
      </w:r>
      <w:r>
        <w:t xml:space="preserve"> Joanna </w:t>
      </w:r>
      <w:proofErr w:type="spellStart"/>
      <w:r>
        <w:t>Fru</w:t>
      </w:r>
      <w:r w:rsidR="00246D8F">
        <w:t>e</w:t>
      </w:r>
      <w:r>
        <w:t>h</w:t>
      </w:r>
      <w:proofErr w:type="spellEnd"/>
      <w:r w:rsidR="00007C48">
        <w:t xml:space="preserve">, </w:t>
      </w:r>
      <w:r>
        <w:rPr>
          <w:i/>
          <w:iCs/>
        </w:rPr>
        <w:t>Monster/Beauty: Building the work of love</w:t>
      </w:r>
      <w:r>
        <w:t xml:space="preserve">, California, University of California Press, 2000, p. </w:t>
      </w:r>
      <w:r w:rsidR="00246D8F">
        <w:t>65</w:t>
      </w:r>
      <w:r w:rsidR="00A92870">
        <w:t>.</w:t>
      </w:r>
    </w:p>
  </w:footnote>
  <w:footnote w:id="35">
    <w:p w14:paraId="03BE3268" w14:textId="6679A18C" w:rsidR="005A4794" w:rsidRDefault="005A4794">
      <w:pPr>
        <w:pStyle w:val="FootnoteText"/>
      </w:pPr>
      <w:r>
        <w:rPr>
          <w:rStyle w:val="FootnoteReference"/>
        </w:rPr>
        <w:footnoteRef/>
      </w:r>
      <w:r>
        <w:t xml:space="preserve"> Susan </w:t>
      </w:r>
      <w:proofErr w:type="spellStart"/>
      <w:r>
        <w:t>Gubar</w:t>
      </w:r>
      <w:proofErr w:type="spellEnd"/>
      <w:r>
        <w:t xml:space="preserve">, </w:t>
      </w:r>
      <w:r w:rsidRPr="005A4794">
        <w:rPr>
          <w:i/>
        </w:rPr>
        <w:t>Late-life Love: a memoir</w:t>
      </w:r>
      <w:r>
        <w:t xml:space="preserve">, New York: W.W. Norton </w:t>
      </w:r>
      <w:r w:rsidR="006204CF">
        <w:t>&amp;</w:t>
      </w:r>
      <w:r>
        <w:t xml:space="preserve"> Company, 1998, p. 76</w:t>
      </w:r>
      <w:r w:rsidR="00A92870">
        <w:t>.</w:t>
      </w:r>
    </w:p>
  </w:footnote>
  <w:footnote w:id="36">
    <w:p w14:paraId="4DCB3E93" w14:textId="2A3DBF39" w:rsidR="00246D8F" w:rsidRDefault="00246D8F">
      <w:pPr>
        <w:pStyle w:val="FootnoteText"/>
      </w:pPr>
      <w:r>
        <w:rPr>
          <w:rStyle w:val="FootnoteReference"/>
        </w:rPr>
        <w:footnoteRef/>
      </w:r>
      <w:r>
        <w:t xml:space="preserve"> </w:t>
      </w:r>
      <w:r w:rsidRPr="00CB0C3D">
        <w:rPr>
          <w:i/>
          <w:iCs/>
        </w:rPr>
        <w:t>SS</w:t>
      </w:r>
      <w:r>
        <w:t xml:space="preserve">, </w:t>
      </w:r>
      <w:r w:rsidRPr="00CA7790">
        <w:rPr>
          <w:rFonts w:cstheme="minorHAnsi"/>
        </w:rPr>
        <w:t>p. 170</w:t>
      </w:r>
      <w:r w:rsidR="00A92870">
        <w:rPr>
          <w:rFonts w:cstheme="minorHAnsi"/>
        </w:rPr>
        <w:t>.</w:t>
      </w:r>
    </w:p>
  </w:footnote>
  <w:footnote w:id="37">
    <w:p w14:paraId="2D4041F4" w14:textId="1DDDAF59" w:rsidR="00246D8F" w:rsidRDefault="00246D8F">
      <w:pPr>
        <w:pStyle w:val="FootnoteText"/>
      </w:pPr>
      <w:r>
        <w:rPr>
          <w:rStyle w:val="FootnoteReference"/>
        </w:rPr>
        <w:footnoteRef/>
      </w:r>
      <w:r>
        <w:t xml:space="preserve"> </w:t>
      </w:r>
      <w:r w:rsidRPr="00CB0C3D">
        <w:rPr>
          <w:i/>
          <w:iCs/>
        </w:rPr>
        <w:t>SS</w:t>
      </w:r>
      <w:r>
        <w:t xml:space="preserve">, p. </w:t>
      </w:r>
      <w:r w:rsidRPr="00CA7790">
        <w:rPr>
          <w:rFonts w:cstheme="minorHAnsi"/>
        </w:rPr>
        <w:t>170</w:t>
      </w:r>
      <w:r w:rsidR="00A92870">
        <w:rPr>
          <w:rFonts w:cstheme="minorHAnsi"/>
        </w:rPr>
        <w:t>.</w:t>
      </w:r>
    </w:p>
  </w:footnote>
  <w:footnote w:id="38">
    <w:p w14:paraId="70C8E2A5" w14:textId="6DE28B38" w:rsidR="002030F7" w:rsidRPr="007041A4" w:rsidRDefault="002030F7">
      <w:pPr>
        <w:pStyle w:val="FootnoteText"/>
      </w:pPr>
      <w:r>
        <w:rPr>
          <w:rStyle w:val="FootnoteReference"/>
        </w:rPr>
        <w:footnoteRef/>
      </w:r>
      <w:r>
        <w:t xml:space="preserve"> </w:t>
      </w:r>
      <w:r w:rsidR="007041A4">
        <w:t xml:space="preserve">Jacques </w:t>
      </w:r>
      <w:r>
        <w:t>Lacan</w:t>
      </w:r>
      <w:r w:rsidR="007041A4">
        <w:t xml:space="preserve">, </w:t>
      </w:r>
      <w:proofErr w:type="spellStart"/>
      <w:r w:rsidR="006E04ED" w:rsidRPr="006E04ED">
        <w:rPr>
          <w:rFonts w:cstheme="minorHAnsi"/>
          <w:i/>
          <w:iCs/>
        </w:rPr>
        <w:t>É</w:t>
      </w:r>
      <w:r w:rsidR="007041A4" w:rsidRPr="006E04ED">
        <w:rPr>
          <w:i/>
          <w:iCs/>
        </w:rPr>
        <w:t>crits</w:t>
      </w:r>
      <w:proofErr w:type="spellEnd"/>
      <w:r w:rsidR="007041A4" w:rsidRPr="006E04ED">
        <w:rPr>
          <w:i/>
          <w:iCs/>
        </w:rPr>
        <w:t>. A selection</w:t>
      </w:r>
      <w:r w:rsidR="007041A4">
        <w:t>, trans</w:t>
      </w:r>
      <w:r w:rsidR="006801C1">
        <w:t>.</w:t>
      </w:r>
      <w:r w:rsidR="007041A4">
        <w:t xml:space="preserve"> Alan Sheridan, </w:t>
      </w:r>
      <w:r w:rsidR="006E04ED">
        <w:t>Abin</w:t>
      </w:r>
      <w:r w:rsidR="003B7851">
        <w:t>g</w:t>
      </w:r>
      <w:r w:rsidR="006E04ED">
        <w:t>don, Routledge</w:t>
      </w:r>
      <w:r w:rsidR="007041A4">
        <w:t xml:space="preserve">, </w:t>
      </w:r>
      <w:r w:rsidR="006E04ED">
        <w:t>2001</w:t>
      </w:r>
      <w:r w:rsidR="007041A4">
        <w:t xml:space="preserve"> [1966]</w:t>
      </w:r>
      <w:r w:rsidR="00A92870">
        <w:t>.</w:t>
      </w:r>
    </w:p>
  </w:footnote>
  <w:footnote w:id="39">
    <w:p w14:paraId="7998B27E" w14:textId="7FE4FB1C" w:rsidR="002030F7" w:rsidRDefault="002030F7">
      <w:pPr>
        <w:pStyle w:val="FootnoteText"/>
      </w:pPr>
      <w:r>
        <w:rPr>
          <w:rStyle w:val="FootnoteReference"/>
        </w:rPr>
        <w:footnoteRef/>
      </w:r>
      <w:r>
        <w:t xml:space="preserve"> Kristeva, </w:t>
      </w:r>
      <w:r w:rsidRPr="00007C48">
        <w:rPr>
          <w:i/>
          <w:iCs/>
        </w:rPr>
        <w:t>Powers of Horror</w:t>
      </w:r>
      <w:r w:rsidR="00A92870">
        <w:rPr>
          <w:i/>
          <w:iCs/>
        </w:rPr>
        <w:t>.</w:t>
      </w:r>
    </w:p>
  </w:footnote>
  <w:footnote w:id="40">
    <w:p w14:paraId="07E61584" w14:textId="2703C5E1" w:rsidR="002030F7" w:rsidRDefault="002030F7">
      <w:pPr>
        <w:pStyle w:val="FootnoteText"/>
      </w:pPr>
      <w:r>
        <w:rPr>
          <w:rStyle w:val="FootnoteReference"/>
        </w:rPr>
        <w:footnoteRef/>
      </w:r>
      <w:r>
        <w:t xml:space="preserve"> </w:t>
      </w:r>
      <w:r w:rsidR="00007C48">
        <w:rPr>
          <w:rFonts w:cstheme="minorHAnsi"/>
        </w:rPr>
        <w:t xml:space="preserve">Winfried </w:t>
      </w:r>
      <w:proofErr w:type="spellStart"/>
      <w:r w:rsidRPr="00CA7790">
        <w:rPr>
          <w:rFonts w:cstheme="minorHAnsi"/>
        </w:rPr>
        <w:t>Menninghaus</w:t>
      </w:r>
      <w:proofErr w:type="spellEnd"/>
      <w:r w:rsidRPr="00CA7790">
        <w:rPr>
          <w:rFonts w:cstheme="minorHAnsi"/>
        </w:rPr>
        <w:t xml:space="preserve">, </w:t>
      </w:r>
      <w:r w:rsidR="00007C48">
        <w:rPr>
          <w:rFonts w:cstheme="minorHAnsi"/>
          <w:i/>
          <w:iCs/>
        </w:rPr>
        <w:t>Disgust: Theory an</w:t>
      </w:r>
      <w:r w:rsidR="00D526DB">
        <w:rPr>
          <w:rFonts w:cstheme="minorHAnsi"/>
          <w:i/>
          <w:iCs/>
        </w:rPr>
        <w:t>d</w:t>
      </w:r>
      <w:r w:rsidR="00007C48">
        <w:rPr>
          <w:rFonts w:cstheme="minorHAnsi"/>
          <w:i/>
          <w:iCs/>
        </w:rPr>
        <w:t xml:space="preserve"> History of a Strong State</w:t>
      </w:r>
      <w:r w:rsidR="00007C48" w:rsidRPr="00D65E91">
        <w:rPr>
          <w:rFonts w:cstheme="minorHAnsi"/>
        </w:rPr>
        <w:t>, trans</w:t>
      </w:r>
      <w:r w:rsidR="006801C1">
        <w:rPr>
          <w:rFonts w:cstheme="minorHAnsi"/>
        </w:rPr>
        <w:t>.</w:t>
      </w:r>
      <w:r w:rsidR="00007C48" w:rsidRPr="00D65E91">
        <w:rPr>
          <w:rFonts w:cstheme="minorHAnsi"/>
        </w:rPr>
        <w:t xml:space="preserve"> H</w:t>
      </w:r>
      <w:r w:rsidR="00D65E91" w:rsidRPr="00D65E91">
        <w:rPr>
          <w:rFonts w:cstheme="minorHAnsi"/>
        </w:rPr>
        <w:t>oward</w:t>
      </w:r>
      <w:r w:rsidR="00007C48" w:rsidRPr="00D65E91">
        <w:rPr>
          <w:rFonts w:cstheme="minorHAnsi"/>
        </w:rPr>
        <w:t xml:space="preserve"> Eiland and J</w:t>
      </w:r>
      <w:r w:rsidR="00D65E91" w:rsidRPr="00D65E91">
        <w:rPr>
          <w:rFonts w:cstheme="minorHAnsi"/>
        </w:rPr>
        <w:t>oel</w:t>
      </w:r>
      <w:r w:rsidR="00007C48" w:rsidRPr="00D65E91">
        <w:rPr>
          <w:rFonts w:cstheme="minorHAnsi"/>
        </w:rPr>
        <w:t xml:space="preserve"> </w:t>
      </w:r>
      <w:proofErr w:type="spellStart"/>
      <w:r w:rsidR="00007C48" w:rsidRPr="00D65E91">
        <w:rPr>
          <w:rFonts w:cstheme="minorHAnsi"/>
        </w:rPr>
        <w:t>Golb</w:t>
      </w:r>
      <w:proofErr w:type="spellEnd"/>
      <w:r w:rsidR="00D65E91">
        <w:rPr>
          <w:rFonts w:cstheme="minorHAnsi"/>
        </w:rPr>
        <w:t xml:space="preserve">, Albany, State University of New York Press, </w:t>
      </w:r>
      <w:r w:rsidRPr="00007C48">
        <w:rPr>
          <w:rFonts w:cstheme="minorHAnsi"/>
        </w:rPr>
        <w:t>2003</w:t>
      </w:r>
      <w:r w:rsidR="00A92870">
        <w:rPr>
          <w:rFonts w:cstheme="minorHAnsi"/>
        </w:rPr>
        <w:t>.</w:t>
      </w:r>
    </w:p>
  </w:footnote>
  <w:footnote w:id="41">
    <w:p w14:paraId="2B409ED9" w14:textId="383DCFE3" w:rsidR="002030F7" w:rsidRDefault="002030F7">
      <w:pPr>
        <w:pStyle w:val="FootnoteText"/>
      </w:pPr>
      <w:r>
        <w:rPr>
          <w:rStyle w:val="FootnoteReference"/>
        </w:rPr>
        <w:footnoteRef/>
      </w:r>
      <w:r>
        <w:t xml:space="preserve"> </w:t>
      </w:r>
      <w:r w:rsidR="004A4D06">
        <w:t xml:space="preserve">Kristeva, </w:t>
      </w:r>
      <w:r w:rsidRPr="004A4D06">
        <w:rPr>
          <w:i/>
          <w:iCs/>
        </w:rPr>
        <w:t>Powers of Horror,</w:t>
      </w:r>
      <w:r>
        <w:t xml:space="preserve"> p. 1</w:t>
      </w:r>
      <w:r w:rsidR="00A92870">
        <w:t>.</w:t>
      </w:r>
    </w:p>
  </w:footnote>
  <w:footnote w:id="42">
    <w:p w14:paraId="684D21CF" w14:textId="24E8C4C4" w:rsidR="001A5122" w:rsidRPr="001A5122" w:rsidRDefault="001A5122">
      <w:pPr>
        <w:pStyle w:val="FootnoteText"/>
      </w:pPr>
      <w:r>
        <w:rPr>
          <w:rStyle w:val="FootnoteReference"/>
        </w:rPr>
        <w:footnoteRef/>
      </w:r>
      <w:r>
        <w:t xml:space="preserve"> Julia Kristeva, </w:t>
      </w:r>
      <w:r>
        <w:rPr>
          <w:i/>
          <w:iCs/>
        </w:rPr>
        <w:t>Black Sun: Depression and Melancholia</w:t>
      </w:r>
      <w:r>
        <w:t xml:space="preserve">, trans Leon </w:t>
      </w:r>
      <w:proofErr w:type="spellStart"/>
      <w:proofErr w:type="gramStart"/>
      <w:r>
        <w:t>S.Rudiez</w:t>
      </w:r>
      <w:proofErr w:type="spellEnd"/>
      <w:proofErr w:type="gramEnd"/>
      <w:r>
        <w:t>, New York, Columbia University Press, 1992 [1987]</w:t>
      </w:r>
    </w:p>
  </w:footnote>
  <w:footnote w:id="43">
    <w:p w14:paraId="5C47A0A5" w14:textId="365CF6B5" w:rsidR="001F2A45" w:rsidRDefault="001F2A45">
      <w:pPr>
        <w:pStyle w:val="FootnoteText"/>
      </w:pPr>
      <w:r>
        <w:rPr>
          <w:rStyle w:val="FootnoteReference"/>
        </w:rPr>
        <w:footnoteRef/>
      </w:r>
      <w:r>
        <w:t xml:space="preserve"> </w:t>
      </w:r>
      <w:r w:rsidRPr="00CB0C3D">
        <w:rPr>
          <w:i/>
          <w:iCs/>
        </w:rPr>
        <w:t>MDD</w:t>
      </w:r>
      <w:r>
        <w:t>, p. 6</w:t>
      </w:r>
      <w:r w:rsidR="00A92870">
        <w:t>.</w:t>
      </w:r>
    </w:p>
  </w:footnote>
  <w:footnote w:id="44">
    <w:p w14:paraId="57A9FE4C" w14:textId="27713CEC" w:rsidR="00490E9C" w:rsidRDefault="00490E9C">
      <w:pPr>
        <w:pStyle w:val="FootnoteText"/>
      </w:pPr>
      <w:r>
        <w:rPr>
          <w:rStyle w:val="FootnoteReference"/>
        </w:rPr>
        <w:footnoteRef/>
      </w:r>
      <w:r>
        <w:t xml:space="preserve"> </w:t>
      </w:r>
      <w:r w:rsidRPr="00CB0C3D">
        <w:rPr>
          <w:i/>
          <w:iCs/>
        </w:rPr>
        <w:t>MDD</w:t>
      </w:r>
      <w:r>
        <w:t>, p. 7</w:t>
      </w:r>
      <w:r w:rsidR="00A92870">
        <w:t>.</w:t>
      </w:r>
    </w:p>
  </w:footnote>
  <w:footnote w:id="45">
    <w:p w14:paraId="5F05F6DC" w14:textId="38E84558" w:rsidR="00490E9C" w:rsidRDefault="00490E9C">
      <w:pPr>
        <w:pStyle w:val="FootnoteText"/>
      </w:pPr>
      <w:r>
        <w:rPr>
          <w:rStyle w:val="FootnoteReference"/>
        </w:rPr>
        <w:footnoteRef/>
      </w:r>
      <w:r>
        <w:t xml:space="preserve"> </w:t>
      </w:r>
      <w:r w:rsidRPr="00CB0C3D">
        <w:rPr>
          <w:i/>
          <w:iCs/>
        </w:rPr>
        <w:t>MDD</w:t>
      </w:r>
      <w:r>
        <w:t xml:space="preserve">, </w:t>
      </w:r>
      <w:r w:rsidR="006801C1">
        <w:t>p. 7</w:t>
      </w:r>
      <w:r w:rsidR="00A92870">
        <w:t>.</w:t>
      </w:r>
    </w:p>
  </w:footnote>
  <w:footnote w:id="46">
    <w:p w14:paraId="5201F9A6" w14:textId="1C70821F" w:rsidR="000320A4" w:rsidRDefault="000320A4">
      <w:pPr>
        <w:pStyle w:val="FootnoteText"/>
      </w:pPr>
      <w:r>
        <w:rPr>
          <w:rStyle w:val="FootnoteReference"/>
        </w:rPr>
        <w:footnoteRef/>
      </w:r>
      <w:r>
        <w:t xml:space="preserve"> </w:t>
      </w:r>
      <w:r w:rsidRPr="00CB0C3D">
        <w:rPr>
          <w:i/>
          <w:iCs/>
        </w:rPr>
        <w:t>MDD</w:t>
      </w:r>
      <w:r>
        <w:t>, p. 39</w:t>
      </w:r>
    </w:p>
  </w:footnote>
  <w:footnote w:id="47">
    <w:p w14:paraId="3E8A3647" w14:textId="75AAE457" w:rsidR="00CC2306" w:rsidRDefault="00CC2306">
      <w:pPr>
        <w:pStyle w:val="FootnoteText"/>
      </w:pPr>
      <w:r>
        <w:rPr>
          <w:rStyle w:val="FootnoteReference"/>
        </w:rPr>
        <w:footnoteRef/>
      </w:r>
      <w:r>
        <w:t xml:space="preserve"> </w:t>
      </w:r>
      <w:r w:rsidR="00E03B58">
        <w:t xml:space="preserve">See </w:t>
      </w:r>
      <w:proofErr w:type="spellStart"/>
      <w:r>
        <w:t>Ladimer</w:t>
      </w:r>
      <w:proofErr w:type="spellEnd"/>
      <w:r w:rsidRPr="00CC2306">
        <w:rPr>
          <w:i/>
        </w:rPr>
        <w:t xml:space="preserve">, Colette, Beauvoir, </w:t>
      </w:r>
      <w:proofErr w:type="spellStart"/>
      <w:r w:rsidRPr="00CC2306">
        <w:rPr>
          <w:i/>
        </w:rPr>
        <w:t>Duras</w:t>
      </w:r>
      <w:proofErr w:type="spellEnd"/>
      <w:r w:rsidR="001A5122">
        <w:rPr>
          <w:i/>
        </w:rPr>
        <w:t xml:space="preserve">, </w:t>
      </w:r>
      <w:r w:rsidR="001A5122" w:rsidRPr="00DF3B6F">
        <w:rPr>
          <w:iCs/>
        </w:rPr>
        <w:t xml:space="preserve">p. 120, p </w:t>
      </w:r>
      <w:proofErr w:type="gramStart"/>
      <w:r w:rsidR="001A5122" w:rsidRPr="00DF3B6F">
        <w:rPr>
          <w:iCs/>
        </w:rPr>
        <w:t>144</w:t>
      </w:r>
      <w:proofErr w:type="gramEnd"/>
    </w:p>
  </w:footnote>
  <w:footnote w:id="48">
    <w:p w14:paraId="6684B265" w14:textId="7FB73807" w:rsidR="009E09DA" w:rsidRPr="00F96B10" w:rsidRDefault="009E09DA">
      <w:pPr>
        <w:pStyle w:val="FootnoteText"/>
        <w:rPr>
          <w:u w:val="single"/>
        </w:rPr>
      </w:pPr>
      <w:r>
        <w:rPr>
          <w:rStyle w:val="FootnoteReference"/>
        </w:rPr>
        <w:footnoteRef/>
      </w:r>
      <w:r>
        <w:t xml:space="preserve"> Skye Cleary</w:t>
      </w:r>
      <w:r w:rsidR="00F96B10">
        <w:t>,</w:t>
      </w:r>
      <w:r>
        <w:t xml:space="preserve"> </w:t>
      </w:r>
      <w:proofErr w:type="gramStart"/>
      <w:r w:rsidRPr="00F96B10">
        <w:rPr>
          <w:i/>
          <w:iCs/>
        </w:rPr>
        <w:t>How</w:t>
      </w:r>
      <w:proofErr w:type="gramEnd"/>
      <w:r w:rsidRPr="00F96B10">
        <w:rPr>
          <w:i/>
          <w:iCs/>
        </w:rPr>
        <w:t xml:space="preserve"> to be You</w:t>
      </w:r>
      <w:r w:rsidR="005A7EE4">
        <w:rPr>
          <w:i/>
          <w:iCs/>
        </w:rPr>
        <w:t>.</w:t>
      </w:r>
      <w:r w:rsidR="00F96B10">
        <w:rPr>
          <w:i/>
          <w:iCs/>
        </w:rPr>
        <w:t xml:space="preserve"> </w:t>
      </w:r>
    </w:p>
  </w:footnote>
  <w:footnote w:id="49">
    <w:p w14:paraId="4A6AF35E" w14:textId="32ED6319" w:rsidR="00BA5313" w:rsidRDefault="00BA5313">
      <w:pPr>
        <w:pStyle w:val="FootnoteText"/>
      </w:pPr>
      <w:r>
        <w:rPr>
          <w:rStyle w:val="FootnoteReference"/>
        </w:rPr>
        <w:footnoteRef/>
      </w:r>
      <w:r>
        <w:t xml:space="preserve"> Simone de Beauvoir, </w:t>
      </w:r>
      <w:r>
        <w:rPr>
          <w:i/>
          <w:iCs/>
        </w:rPr>
        <w:t>A Very Easy Death</w:t>
      </w:r>
      <w:r>
        <w:t>, trans. Patrick O’Brian, New York, Pantheon Books, 1985 [1964], p.</w:t>
      </w:r>
      <w:r w:rsidR="000D0876">
        <w:t>31</w:t>
      </w:r>
      <w:r w:rsidR="005A7EE4">
        <w:t>.</w:t>
      </w:r>
      <w:r>
        <w:t xml:space="preserve"> </w:t>
      </w:r>
    </w:p>
  </w:footnote>
  <w:footnote w:id="50">
    <w:p w14:paraId="01F82711" w14:textId="57FF87FA" w:rsidR="00DE20CA" w:rsidRPr="00DE20CA" w:rsidRDefault="00DE20CA">
      <w:pPr>
        <w:pStyle w:val="FootnoteText"/>
      </w:pPr>
      <w:r>
        <w:rPr>
          <w:rStyle w:val="FootnoteReference"/>
        </w:rPr>
        <w:footnoteRef/>
      </w:r>
      <w:r>
        <w:t xml:space="preserve"> Simone de Beauvoir, </w:t>
      </w:r>
      <w:r>
        <w:rPr>
          <w:i/>
          <w:iCs/>
        </w:rPr>
        <w:t>All Men are Mortal</w:t>
      </w:r>
      <w:r w:rsidR="00F96B10">
        <w:t>, trans. Euan Cameron, London, Virago, 2003 [1946]</w:t>
      </w:r>
      <w:r w:rsidR="005A7EE4">
        <w:t>.</w:t>
      </w:r>
      <w:r w:rsidR="00F96B10">
        <w:t xml:space="preserve"> </w:t>
      </w:r>
    </w:p>
  </w:footnote>
  <w:footnote w:id="51">
    <w:p w14:paraId="208A0277" w14:textId="34941C9E" w:rsidR="00DE20CA" w:rsidRDefault="00DE20CA">
      <w:pPr>
        <w:pStyle w:val="FootnoteText"/>
      </w:pPr>
      <w:r>
        <w:rPr>
          <w:rStyle w:val="FootnoteReference"/>
        </w:rPr>
        <w:footnoteRef/>
      </w:r>
      <w:r>
        <w:t xml:space="preserve"> </w:t>
      </w:r>
      <w:r w:rsidR="00CB0C3D">
        <w:rPr>
          <w:i/>
          <w:iCs/>
        </w:rPr>
        <w:t>AMM</w:t>
      </w:r>
      <w:r>
        <w:t>, p. 37</w:t>
      </w:r>
      <w:r w:rsidR="005A7EE4">
        <w:t>.</w:t>
      </w:r>
    </w:p>
  </w:footnote>
  <w:footnote w:id="52">
    <w:p w14:paraId="6CB00516" w14:textId="311AAEE5" w:rsidR="00DE20CA" w:rsidRDefault="00DE20CA">
      <w:pPr>
        <w:pStyle w:val="FootnoteText"/>
      </w:pPr>
      <w:r>
        <w:rPr>
          <w:rStyle w:val="FootnoteReference"/>
        </w:rPr>
        <w:footnoteRef/>
      </w:r>
      <w:r>
        <w:t xml:space="preserve"> </w:t>
      </w:r>
      <w:r w:rsidR="00CB0C3D">
        <w:rPr>
          <w:i/>
          <w:iCs/>
        </w:rPr>
        <w:t>AMM</w:t>
      </w:r>
      <w:r>
        <w:t xml:space="preserve">, </w:t>
      </w:r>
      <w:r w:rsidRPr="00CA7790">
        <w:rPr>
          <w:rFonts w:cstheme="minorHAnsi"/>
        </w:rPr>
        <w:t>p. 301</w:t>
      </w:r>
      <w:r w:rsidR="005A7EE4">
        <w:rPr>
          <w:rFonts w:cstheme="minorHAnsi"/>
        </w:rPr>
        <w:t>.</w:t>
      </w:r>
    </w:p>
  </w:footnote>
  <w:footnote w:id="53">
    <w:p w14:paraId="71D8B0BC" w14:textId="3806E693" w:rsidR="00A17A78" w:rsidRDefault="00A17A78">
      <w:pPr>
        <w:pStyle w:val="FootnoteText"/>
      </w:pPr>
      <w:r>
        <w:rPr>
          <w:rStyle w:val="FootnoteReference"/>
        </w:rPr>
        <w:footnoteRef/>
      </w:r>
      <w:r>
        <w:t xml:space="preserve"> </w:t>
      </w:r>
      <w:r w:rsidR="006801C1" w:rsidRPr="00DF3B6F">
        <w:rPr>
          <w:i/>
          <w:iCs/>
        </w:rPr>
        <w:t>AMM</w:t>
      </w:r>
      <w:r>
        <w:t>, p. 179</w:t>
      </w:r>
      <w:r w:rsidR="005A7EE4">
        <w:t>.</w:t>
      </w:r>
    </w:p>
  </w:footnote>
  <w:footnote w:id="54">
    <w:p w14:paraId="189759ED" w14:textId="0FF7C835" w:rsidR="00BA5313" w:rsidRDefault="00BA5313">
      <w:pPr>
        <w:pStyle w:val="FootnoteText"/>
      </w:pPr>
      <w:r>
        <w:rPr>
          <w:rStyle w:val="FootnoteReference"/>
        </w:rPr>
        <w:footnoteRef/>
      </w:r>
      <w:r>
        <w:t xml:space="preserve"> Kristeva</w:t>
      </w:r>
      <w:r w:rsidR="006801C1">
        <w:t>,</w:t>
      </w:r>
      <w:r>
        <w:t xml:space="preserve"> </w:t>
      </w:r>
      <w:r w:rsidRPr="00BA5313">
        <w:rPr>
          <w:i/>
          <w:iCs/>
        </w:rPr>
        <w:t>Black Sun</w:t>
      </w:r>
      <w:r>
        <w:t>, p. 64</w:t>
      </w:r>
      <w:r w:rsidR="005A7EE4">
        <w:t>.</w:t>
      </w:r>
    </w:p>
  </w:footnote>
  <w:footnote w:id="55">
    <w:p w14:paraId="5D6F205B" w14:textId="7BC870BD" w:rsidR="00F96B10" w:rsidRPr="008F752C" w:rsidRDefault="00F96B10">
      <w:pPr>
        <w:pStyle w:val="FootnoteText"/>
      </w:pPr>
      <w:r>
        <w:rPr>
          <w:rStyle w:val="FootnoteReference"/>
        </w:rPr>
        <w:footnoteRef/>
      </w:r>
      <w:r>
        <w:t xml:space="preserve"> Donald Winnicott</w:t>
      </w:r>
      <w:r w:rsidR="008F752C">
        <w:t xml:space="preserve">, </w:t>
      </w:r>
      <w:r w:rsidR="008F752C" w:rsidRPr="008F752C">
        <w:rPr>
          <w:i/>
          <w:iCs/>
        </w:rPr>
        <w:t>“The Child in the Family Group”</w:t>
      </w:r>
      <w:r w:rsidR="008F752C">
        <w:t xml:space="preserve"> in, </w:t>
      </w:r>
      <w:r w:rsidR="008F752C">
        <w:rPr>
          <w:i/>
          <w:iCs/>
        </w:rPr>
        <w:t>Home is Where We Start From</w:t>
      </w:r>
      <w:r w:rsidR="008F752C">
        <w:t xml:space="preserve">: </w:t>
      </w:r>
      <w:r w:rsidR="008F752C">
        <w:rPr>
          <w:i/>
          <w:iCs/>
        </w:rPr>
        <w:t>essays by a psychoanalyst</w:t>
      </w:r>
      <w:r w:rsidR="008F752C">
        <w:t>, ed</w:t>
      </w:r>
      <w:r w:rsidR="006801C1">
        <w:t>.</w:t>
      </w:r>
      <w:r w:rsidR="008F752C">
        <w:t xml:space="preserve"> Clare Winnicott, Ray </w:t>
      </w:r>
      <w:proofErr w:type="gramStart"/>
      <w:r w:rsidR="008F752C">
        <w:t>Shepard</w:t>
      </w:r>
      <w:proofErr w:type="gramEnd"/>
      <w:r w:rsidR="008F752C">
        <w:t xml:space="preserve"> and Madeleine David, Harmondsworth, Penguin, pp. 128-141</w:t>
      </w:r>
      <w:r w:rsidR="005A7EE4">
        <w:t>.</w:t>
      </w:r>
    </w:p>
  </w:footnote>
  <w:footnote w:id="56">
    <w:p w14:paraId="7C9F3EC6" w14:textId="47A22867" w:rsidR="001271F4" w:rsidRDefault="001271F4">
      <w:pPr>
        <w:pStyle w:val="FootnoteText"/>
      </w:pPr>
      <w:r>
        <w:rPr>
          <w:rStyle w:val="FootnoteReference"/>
        </w:rPr>
        <w:footnoteRef/>
      </w:r>
      <w:r>
        <w:t xml:space="preserve"> Jessica Benjamin, </w:t>
      </w:r>
      <w:r w:rsidRPr="008F752C">
        <w:rPr>
          <w:i/>
          <w:iCs/>
        </w:rPr>
        <w:t>The Bonds of Love</w:t>
      </w:r>
      <w:r>
        <w:t xml:space="preserve">, </w:t>
      </w:r>
      <w:r w:rsidR="008F752C">
        <w:t xml:space="preserve">London, Virago, </w:t>
      </w:r>
      <w:r>
        <w:t>1990, p. 23</w:t>
      </w:r>
      <w:r w:rsidR="005A7EE4">
        <w:t>.</w:t>
      </w:r>
    </w:p>
  </w:footnote>
  <w:footnote w:id="57">
    <w:p w14:paraId="68112916" w14:textId="32F4E365" w:rsidR="00907147" w:rsidRDefault="00907147">
      <w:pPr>
        <w:pStyle w:val="FootnoteText"/>
      </w:pPr>
      <w:r>
        <w:rPr>
          <w:rStyle w:val="FootnoteReference"/>
        </w:rPr>
        <w:footnoteRef/>
      </w:r>
      <w:r>
        <w:t xml:space="preserve"> </w:t>
      </w:r>
      <w:r w:rsidR="005A4794">
        <w:t xml:space="preserve">Alice Miller, </w:t>
      </w:r>
      <w:r w:rsidR="005A4794">
        <w:rPr>
          <w:i/>
          <w:iCs/>
        </w:rPr>
        <w:t>The Drama of Being a Child</w:t>
      </w:r>
      <w:r w:rsidR="005A4794" w:rsidRPr="00D65E91">
        <w:rPr>
          <w:i/>
          <w:iCs/>
        </w:rPr>
        <w:t>: the search for the true self</w:t>
      </w:r>
      <w:r w:rsidR="005A4794">
        <w:t>, revised version, London, Virago, 1987</w:t>
      </w:r>
      <w:r w:rsidR="005A7EE4">
        <w:t>.</w:t>
      </w:r>
    </w:p>
  </w:footnote>
  <w:footnote w:id="58">
    <w:p w14:paraId="37FD32FB" w14:textId="6A5AB30E" w:rsidR="00D65E91" w:rsidRDefault="00D65E91">
      <w:pPr>
        <w:pStyle w:val="FootnoteText"/>
      </w:pPr>
      <w:r>
        <w:rPr>
          <w:rStyle w:val="FootnoteReference"/>
        </w:rPr>
        <w:footnoteRef/>
      </w:r>
      <w:r>
        <w:t xml:space="preserve"> Julia Kristeva,</w:t>
      </w:r>
      <w:r>
        <w:rPr>
          <w:i/>
          <w:iCs/>
        </w:rPr>
        <w:t xml:space="preserve"> Black Sun</w:t>
      </w:r>
      <w:r w:rsidR="005A7EE4">
        <w:t>, p. 28.</w:t>
      </w:r>
    </w:p>
  </w:footnote>
  <w:footnote w:id="59">
    <w:p w14:paraId="651E0CCD" w14:textId="77C45A5A" w:rsidR="005A068C" w:rsidRDefault="005A068C">
      <w:pPr>
        <w:pStyle w:val="FootnoteText"/>
      </w:pPr>
      <w:r>
        <w:rPr>
          <w:rStyle w:val="FootnoteReference"/>
        </w:rPr>
        <w:footnoteRef/>
      </w:r>
      <w:r>
        <w:t xml:space="preserve"> Madelyn </w:t>
      </w:r>
      <w:proofErr w:type="spellStart"/>
      <w:r>
        <w:t>Detloff</w:t>
      </w:r>
      <w:proofErr w:type="spellEnd"/>
      <w:r w:rsidR="00D70A4A">
        <w:t xml:space="preserve">, “Mean Spirits: the politics of contempt between feminist generations”, </w:t>
      </w:r>
      <w:r w:rsidR="00D70A4A">
        <w:rPr>
          <w:i/>
          <w:iCs/>
        </w:rPr>
        <w:t xml:space="preserve">Hypatia, </w:t>
      </w:r>
      <w:r w:rsidR="00D70A4A">
        <w:t>vol. 12, no. 3, 76-99 19</w:t>
      </w:r>
      <w:r w:rsidRPr="00CA7790">
        <w:rPr>
          <w:rFonts w:cstheme="minorHAnsi"/>
        </w:rPr>
        <w:t>97,</w:t>
      </w:r>
      <w:r>
        <w:rPr>
          <w:rFonts w:cstheme="minorHAnsi"/>
        </w:rPr>
        <w:t xml:space="preserve"> </w:t>
      </w:r>
      <w:r w:rsidRPr="00CA7790">
        <w:rPr>
          <w:rFonts w:cstheme="minorHAnsi"/>
        </w:rPr>
        <w:t>p. 88</w:t>
      </w:r>
      <w:r w:rsidR="005A7EE4">
        <w:rPr>
          <w:rFonts w:cstheme="minorHAnsi"/>
        </w:rPr>
        <w:t>.</w:t>
      </w:r>
    </w:p>
  </w:footnote>
  <w:footnote w:id="60">
    <w:p w14:paraId="52FC8201" w14:textId="42CB2588" w:rsidR="005A068C" w:rsidRDefault="005A068C">
      <w:pPr>
        <w:pStyle w:val="FootnoteText"/>
      </w:pPr>
      <w:r>
        <w:rPr>
          <w:rStyle w:val="FootnoteReference"/>
        </w:rPr>
        <w:footnoteRef/>
      </w:r>
      <w:r>
        <w:t xml:space="preserve"> Ibid, p. 90</w:t>
      </w:r>
      <w:r w:rsidR="005A7EE4">
        <w:t>.</w:t>
      </w:r>
    </w:p>
  </w:footnote>
  <w:footnote w:id="61">
    <w:p w14:paraId="452F5186" w14:textId="21B1D1A0" w:rsidR="00840CA7" w:rsidRPr="00840CA7" w:rsidRDefault="00840CA7">
      <w:pPr>
        <w:pStyle w:val="FootnoteText"/>
      </w:pPr>
      <w:r>
        <w:rPr>
          <w:rStyle w:val="FootnoteReference"/>
        </w:rPr>
        <w:footnoteRef/>
      </w:r>
      <w:r>
        <w:t xml:space="preserve"> Chris </w:t>
      </w:r>
      <w:proofErr w:type="spellStart"/>
      <w:r>
        <w:t>Gilleard</w:t>
      </w:r>
      <w:proofErr w:type="spellEnd"/>
      <w:r>
        <w:t xml:space="preserve"> and Paul Higgs, </w:t>
      </w:r>
      <w:r w:rsidRPr="00DF3B6F">
        <w:t>Ageing without Agency</w:t>
      </w:r>
      <w:r w:rsidRPr="006801C1">
        <w:t>:</w:t>
      </w:r>
      <w:r>
        <w:t xml:space="preserve"> theorizing the fourth age, </w:t>
      </w:r>
      <w:r>
        <w:rPr>
          <w:i/>
          <w:iCs/>
        </w:rPr>
        <w:t xml:space="preserve">Ageing and Mental Health, </w:t>
      </w:r>
      <w:r>
        <w:t xml:space="preserve">vol 14, </w:t>
      </w:r>
      <w:r w:rsidR="00BF6545">
        <w:t xml:space="preserve">no. 2, 2010, </w:t>
      </w:r>
      <w:r>
        <w:t>121-128</w:t>
      </w:r>
      <w:r w:rsidR="005A7EE4">
        <w:t>.</w:t>
      </w:r>
    </w:p>
  </w:footnote>
  <w:footnote w:id="62">
    <w:p w14:paraId="5D540A1D" w14:textId="6C3A38DE" w:rsidR="00DC0C00" w:rsidRPr="00005757" w:rsidRDefault="00DC0C00">
      <w:pPr>
        <w:pStyle w:val="FootnoteText"/>
      </w:pPr>
      <w:r>
        <w:rPr>
          <w:rStyle w:val="FootnoteReference"/>
        </w:rPr>
        <w:footnoteRef/>
      </w:r>
      <w:r>
        <w:t xml:space="preserve"> Simone de Beauvoir, </w:t>
      </w:r>
      <w:r>
        <w:rPr>
          <w:i/>
          <w:iCs/>
        </w:rPr>
        <w:t>A Very Easy Death</w:t>
      </w:r>
      <w:r w:rsidR="00005757">
        <w:t>, trans. Patrick O’Brian, New York, Pantheon Books, 1985 [1964]</w:t>
      </w:r>
      <w:r w:rsidR="005A7EE4">
        <w:t>.</w:t>
      </w:r>
    </w:p>
  </w:footnote>
  <w:footnote w:id="63">
    <w:p w14:paraId="7517E7D8" w14:textId="4BE7BAA3" w:rsidR="00F67E18" w:rsidRDefault="00F67E18">
      <w:pPr>
        <w:pStyle w:val="FootnoteText"/>
      </w:pPr>
      <w:r>
        <w:rPr>
          <w:rStyle w:val="FootnoteReference"/>
        </w:rPr>
        <w:footnoteRef/>
      </w:r>
      <w:r>
        <w:t xml:space="preserve"> </w:t>
      </w:r>
      <w:r w:rsidR="00823B50">
        <w:rPr>
          <w:i/>
          <w:iCs/>
        </w:rPr>
        <w:t>VED</w:t>
      </w:r>
      <w:r w:rsidR="006801C1">
        <w:rPr>
          <w:i/>
          <w:iCs/>
        </w:rPr>
        <w:t>,</w:t>
      </w:r>
      <w:r>
        <w:t xml:space="preserve"> pp 19-20</w:t>
      </w:r>
      <w:r w:rsidR="005A7EE4">
        <w:t>.</w:t>
      </w:r>
    </w:p>
  </w:footnote>
  <w:footnote w:id="64">
    <w:p w14:paraId="6B8F1DEB" w14:textId="39AA8CB1" w:rsidR="00F67E18" w:rsidRDefault="00F67E18">
      <w:pPr>
        <w:pStyle w:val="FootnoteText"/>
      </w:pPr>
      <w:r>
        <w:rPr>
          <w:rStyle w:val="FootnoteReference"/>
        </w:rPr>
        <w:footnoteRef/>
      </w:r>
      <w:r>
        <w:t xml:space="preserve"> </w:t>
      </w:r>
      <w:r w:rsidR="00823B50">
        <w:rPr>
          <w:i/>
          <w:iCs/>
        </w:rPr>
        <w:t>VED</w:t>
      </w:r>
      <w:r>
        <w:t>, p. 19</w:t>
      </w:r>
      <w:r w:rsidR="005A7EE4">
        <w:t>.</w:t>
      </w:r>
    </w:p>
  </w:footnote>
  <w:footnote w:id="65">
    <w:p w14:paraId="347669D0" w14:textId="292AAE6C" w:rsidR="00F67E18" w:rsidRDefault="00F67E18">
      <w:pPr>
        <w:pStyle w:val="FootnoteText"/>
      </w:pPr>
      <w:r>
        <w:rPr>
          <w:rStyle w:val="FootnoteReference"/>
        </w:rPr>
        <w:footnoteRef/>
      </w:r>
      <w:r>
        <w:t xml:space="preserve"> </w:t>
      </w:r>
      <w:r w:rsidR="00823B50">
        <w:rPr>
          <w:i/>
          <w:iCs/>
        </w:rPr>
        <w:t>VED</w:t>
      </w:r>
      <w:r>
        <w:t>, p 31</w:t>
      </w:r>
      <w:r w:rsidR="005A7EE4">
        <w:t>.</w:t>
      </w:r>
    </w:p>
  </w:footnote>
  <w:footnote w:id="66">
    <w:p w14:paraId="487720D1" w14:textId="2722E61A" w:rsidR="00A24871" w:rsidRDefault="00A24871">
      <w:pPr>
        <w:pStyle w:val="FootnoteText"/>
      </w:pPr>
      <w:r>
        <w:rPr>
          <w:rStyle w:val="FootnoteReference"/>
        </w:rPr>
        <w:footnoteRef/>
      </w:r>
      <w:r>
        <w:t xml:space="preserve"> </w:t>
      </w:r>
      <w:r w:rsidR="00823B50">
        <w:rPr>
          <w:i/>
          <w:iCs/>
        </w:rPr>
        <w:t>VED</w:t>
      </w:r>
      <w:r>
        <w:t>, p. 9</w:t>
      </w:r>
      <w:r w:rsidR="005A7EE4">
        <w:t>.</w:t>
      </w:r>
    </w:p>
  </w:footnote>
  <w:footnote w:id="67">
    <w:p w14:paraId="190B5FFE" w14:textId="1CC40795" w:rsidR="00A74300" w:rsidRPr="001A3C1E" w:rsidRDefault="00A74300">
      <w:pPr>
        <w:pStyle w:val="FootnoteText"/>
      </w:pPr>
      <w:r>
        <w:rPr>
          <w:rStyle w:val="FootnoteReference"/>
        </w:rPr>
        <w:footnoteRef/>
      </w:r>
      <w:r>
        <w:t xml:space="preserve"> </w:t>
      </w:r>
      <w:proofErr w:type="spellStart"/>
      <w:r w:rsidR="001A3C1E">
        <w:t>Andew</w:t>
      </w:r>
      <w:proofErr w:type="spellEnd"/>
      <w:r w:rsidR="001A3C1E">
        <w:t xml:space="preserve"> </w:t>
      </w:r>
      <w:proofErr w:type="spellStart"/>
      <w:r w:rsidR="001A3C1E">
        <w:t>Gallix</w:t>
      </w:r>
      <w:proofErr w:type="spellEnd"/>
      <w:r w:rsidR="001A3C1E">
        <w:t xml:space="preserve">, “Hauntology: A non-so-new critical manifestation”, </w:t>
      </w:r>
      <w:r w:rsidR="001A3C1E" w:rsidRPr="001A3C1E">
        <w:rPr>
          <w:i/>
          <w:iCs/>
        </w:rPr>
        <w:t>The Guardian</w:t>
      </w:r>
      <w:r w:rsidR="001A3C1E">
        <w:t xml:space="preserve">, 17 </w:t>
      </w:r>
      <w:proofErr w:type="gramStart"/>
      <w:r w:rsidR="001A3C1E">
        <w:t>June,</w:t>
      </w:r>
      <w:proofErr w:type="gramEnd"/>
      <w:r w:rsidR="001A3C1E">
        <w:t xml:space="preserve"> 2011; Sigmund Freud, </w:t>
      </w:r>
      <w:r w:rsidR="001A3C1E">
        <w:rPr>
          <w:i/>
          <w:iCs/>
        </w:rPr>
        <w:t>Moses and Monotheism</w:t>
      </w:r>
      <w:r w:rsidR="001A3C1E">
        <w:t>, trans. Katherine Jones, New York, Vintage, 1967 [1939]</w:t>
      </w:r>
    </w:p>
  </w:footnote>
  <w:footnote w:id="68">
    <w:p w14:paraId="56B816DD" w14:textId="09433F1D" w:rsidR="00C770BF" w:rsidRDefault="00C770BF">
      <w:pPr>
        <w:pStyle w:val="FootnoteText"/>
      </w:pPr>
      <w:r>
        <w:rPr>
          <w:rStyle w:val="FootnoteReference"/>
        </w:rPr>
        <w:footnoteRef/>
      </w:r>
      <w:r>
        <w:t xml:space="preserve"> </w:t>
      </w:r>
      <w:r w:rsidRPr="001A3C1E">
        <w:rPr>
          <w:i/>
          <w:iCs/>
        </w:rPr>
        <w:t>VED</w:t>
      </w:r>
      <w:r>
        <w:t>, p. 76</w:t>
      </w:r>
      <w:r w:rsidR="00A92870">
        <w:t>.</w:t>
      </w:r>
    </w:p>
  </w:footnote>
  <w:footnote w:id="69">
    <w:p w14:paraId="552D5959" w14:textId="73D8FD65" w:rsidR="00C770BF" w:rsidRDefault="00C770BF">
      <w:pPr>
        <w:pStyle w:val="FootnoteText"/>
      </w:pPr>
      <w:r>
        <w:rPr>
          <w:rStyle w:val="FootnoteReference"/>
        </w:rPr>
        <w:footnoteRef/>
      </w:r>
      <w:r>
        <w:t xml:space="preserve"> </w:t>
      </w:r>
      <w:r w:rsidR="001A3C1E" w:rsidRPr="001A3C1E">
        <w:rPr>
          <w:i/>
          <w:iCs/>
        </w:rPr>
        <w:t>VED</w:t>
      </w:r>
      <w:r>
        <w:t>, p. 76</w:t>
      </w:r>
      <w:r w:rsidR="00A92870">
        <w:t>.</w:t>
      </w:r>
    </w:p>
  </w:footnote>
  <w:footnote w:id="70">
    <w:p w14:paraId="182946E4" w14:textId="667DFEEE" w:rsidR="008643FD" w:rsidRDefault="008643FD">
      <w:pPr>
        <w:pStyle w:val="FootnoteText"/>
      </w:pPr>
      <w:r w:rsidRPr="00310E18">
        <w:rPr>
          <w:rStyle w:val="FootnoteReference"/>
          <w:i/>
          <w:iCs/>
        </w:rPr>
        <w:footnoteRef/>
      </w:r>
      <w:r w:rsidRPr="00310E18">
        <w:rPr>
          <w:i/>
          <w:iCs/>
        </w:rPr>
        <w:t xml:space="preserve"> </w:t>
      </w:r>
      <w:r w:rsidR="001A3C1E" w:rsidRPr="001A3C1E">
        <w:rPr>
          <w:i/>
          <w:iCs/>
        </w:rPr>
        <w:t>VED</w:t>
      </w:r>
      <w:proofErr w:type="gramStart"/>
      <w:r w:rsidR="001A3C1E">
        <w:t xml:space="preserve">, </w:t>
      </w:r>
      <w:r>
        <w:t xml:space="preserve"> p.78</w:t>
      </w:r>
      <w:r w:rsidR="00A92870">
        <w:t>.</w:t>
      </w:r>
      <w:proofErr w:type="gramEnd"/>
    </w:p>
  </w:footnote>
  <w:footnote w:id="71">
    <w:p w14:paraId="3E083322" w14:textId="0AA9D864" w:rsidR="00EB268A" w:rsidRDefault="00EB268A">
      <w:pPr>
        <w:pStyle w:val="FootnoteText"/>
      </w:pPr>
      <w:r>
        <w:rPr>
          <w:rStyle w:val="FootnoteReference"/>
        </w:rPr>
        <w:footnoteRef/>
      </w:r>
      <w:r>
        <w:t xml:space="preserve"> </w:t>
      </w:r>
      <w:r w:rsidR="001A3C1E" w:rsidRPr="001A3C1E">
        <w:rPr>
          <w:i/>
          <w:iCs/>
        </w:rPr>
        <w:t>VED</w:t>
      </w:r>
      <w:r>
        <w:t>, p. 21</w:t>
      </w:r>
      <w:r w:rsidR="00A92870">
        <w:t>.</w:t>
      </w:r>
    </w:p>
  </w:footnote>
  <w:footnote w:id="72">
    <w:p w14:paraId="43E7D5A2" w14:textId="30DF2555" w:rsidR="008D25C7" w:rsidRDefault="008D25C7">
      <w:pPr>
        <w:pStyle w:val="FootnoteText"/>
      </w:pPr>
      <w:r>
        <w:rPr>
          <w:rStyle w:val="FootnoteReference"/>
        </w:rPr>
        <w:footnoteRef/>
      </w:r>
      <w:r>
        <w:t xml:space="preserve"> </w:t>
      </w:r>
      <w:r w:rsidR="001A3C1E">
        <w:rPr>
          <w:i/>
          <w:iCs/>
        </w:rPr>
        <w:t>VED</w:t>
      </w:r>
      <w:r w:rsidRPr="00310E18">
        <w:rPr>
          <w:i/>
          <w:iCs/>
        </w:rPr>
        <w:t>,</w:t>
      </w:r>
      <w:r>
        <w:t xml:space="preserve"> p. 94</w:t>
      </w:r>
      <w:r w:rsidR="00A92870">
        <w:t>.</w:t>
      </w:r>
    </w:p>
  </w:footnote>
  <w:footnote w:id="73">
    <w:p w14:paraId="0320E318" w14:textId="7BA7FFC6" w:rsidR="00C8768C" w:rsidRDefault="00C8768C">
      <w:pPr>
        <w:pStyle w:val="FootnoteText"/>
      </w:pPr>
      <w:r>
        <w:rPr>
          <w:rStyle w:val="FootnoteReference"/>
        </w:rPr>
        <w:footnoteRef/>
      </w:r>
      <w:r>
        <w:t xml:space="preserve"> </w:t>
      </w:r>
      <w:r w:rsidR="001A3C1E">
        <w:rPr>
          <w:i/>
          <w:iCs/>
        </w:rPr>
        <w:t>VED</w:t>
      </w:r>
      <w:r>
        <w:t xml:space="preserve"> p. 103</w:t>
      </w:r>
      <w:r w:rsidR="00A92870">
        <w:t>.</w:t>
      </w:r>
    </w:p>
  </w:footnote>
  <w:footnote w:id="74">
    <w:p w14:paraId="10C02A19" w14:textId="3EBF4F8F" w:rsidR="00C8768C" w:rsidRDefault="00C8768C">
      <w:pPr>
        <w:pStyle w:val="FootnoteText"/>
      </w:pPr>
      <w:r>
        <w:rPr>
          <w:rStyle w:val="FootnoteReference"/>
        </w:rPr>
        <w:footnoteRef/>
      </w:r>
      <w:r>
        <w:t xml:space="preserve"> </w:t>
      </w:r>
      <w:r w:rsidR="001A3C1E">
        <w:rPr>
          <w:i/>
          <w:iCs/>
        </w:rPr>
        <w:t>VED</w:t>
      </w:r>
      <w:r>
        <w:t>, p. 102</w:t>
      </w:r>
      <w:r w:rsidR="005A7EE4">
        <w:t>.</w:t>
      </w:r>
    </w:p>
  </w:footnote>
  <w:footnote w:id="75">
    <w:p w14:paraId="54FD8741" w14:textId="13EFDF80" w:rsidR="00DB2B17" w:rsidRDefault="00DB2B17">
      <w:pPr>
        <w:pStyle w:val="FootnoteText"/>
      </w:pPr>
      <w:r>
        <w:rPr>
          <w:rStyle w:val="FootnoteReference"/>
        </w:rPr>
        <w:footnoteRef/>
      </w:r>
      <w:r>
        <w:t xml:space="preserve"> Woodward, </w:t>
      </w:r>
      <w:r w:rsidR="001A3C1E" w:rsidRPr="00DF3B6F">
        <w:rPr>
          <w:i/>
          <w:iCs/>
        </w:rPr>
        <w:t>Simone de Beauvoir</w:t>
      </w:r>
      <w:r w:rsidR="006801C1">
        <w:t>,</w:t>
      </w:r>
      <w:r w:rsidR="001A3C1E">
        <w:t xml:space="preserve"> </w:t>
      </w:r>
      <w:r>
        <w:t>p. 102</w:t>
      </w:r>
      <w:r w:rsidR="005A7EE4">
        <w:t>.</w:t>
      </w:r>
    </w:p>
  </w:footnote>
  <w:footnote w:id="76">
    <w:p w14:paraId="2E3C3ED2" w14:textId="00C7BC84" w:rsidR="00DB2B17" w:rsidRPr="001A3C1E" w:rsidRDefault="00DB2B17">
      <w:pPr>
        <w:pStyle w:val="FootnoteText"/>
      </w:pPr>
      <w:r>
        <w:rPr>
          <w:rStyle w:val="FootnoteReference"/>
        </w:rPr>
        <w:footnoteRef/>
      </w:r>
      <w:r>
        <w:t xml:space="preserve"> Simone de Beauvoir, </w:t>
      </w:r>
      <w:r>
        <w:rPr>
          <w:i/>
          <w:iCs/>
        </w:rPr>
        <w:t>All Said and Done</w:t>
      </w:r>
      <w:r w:rsidR="001A3C1E">
        <w:t>, trans. Patrick O’Brian, Harmondsworth, Penguin, 1974 [1972]</w:t>
      </w:r>
      <w:r w:rsidR="005A7EE4">
        <w:t>.</w:t>
      </w:r>
    </w:p>
  </w:footnote>
  <w:footnote w:id="77">
    <w:p w14:paraId="765E1F77" w14:textId="0997B6E0" w:rsidR="0040523C" w:rsidRPr="0040523C" w:rsidRDefault="0040523C">
      <w:pPr>
        <w:pStyle w:val="FootnoteText"/>
      </w:pPr>
      <w:r>
        <w:rPr>
          <w:rStyle w:val="FootnoteReference"/>
        </w:rPr>
        <w:footnoteRef/>
      </w:r>
      <w:r>
        <w:t xml:space="preserve"> Bethany </w:t>
      </w:r>
      <w:proofErr w:type="spellStart"/>
      <w:r>
        <w:t>Ladimer</w:t>
      </w:r>
      <w:proofErr w:type="spellEnd"/>
      <w:r>
        <w:t xml:space="preserve">, </w:t>
      </w:r>
      <w:r w:rsidRPr="0040523C">
        <w:rPr>
          <w:i/>
          <w:iCs/>
        </w:rPr>
        <w:t xml:space="preserve">Colette, Beauvoir, </w:t>
      </w:r>
      <w:proofErr w:type="spellStart"/>
      <w:r w:rsidRPr="0040523C">
        <w:rPr>
          <w:i/>
          <w:iCs/>
        </w:rPr>
        <w:t>Duras</w:t>
      </w:r>
      <w:proofErr w:type="spellEnd"/>
      <w:r>
        <w:t>, p. 125</w:t>
      </w:r>
      <w:r w:rsidR="005A7EE4">
        <w:t>.</w:t>
      </w:r>
    </w:p>
  </w:footnote>
  <w:footnote w:id="78">
    <w:p w14:paraId="6F1781FB" w14:textId="1C4F5538" w:rsidR="00576BD7" w:rsidRDefault="00576BD7">
      <w:pPr>
        <w:pStyle w:val="FootnoteText"/>
      </w:pPr>
      <w:r>
        <w:rPr>
          <w:rStyle w:val="FootnoteReference"/>
        </w:rPr>
        <w:footnoteRef/>
      </w:r>
      <w:r>
        <w:t xml:space="preserve"> </w:t>
      </w:r>
      <w:r w:rsidRPr="00DF3B6F">
        <w:rPr>
          <w:i/>
          <w:iCs/>
        </w:rPr>
        <w:t>TCA</w:t>
      </w:r>
      <w:r>
        <w:t>, p. 543</w:t>
      </w:r>
      <w:r w:rsidR="005A7EE4">
        <w:t>.</w:t>
      </w:r>
    </w:p>
  </w:footnote>
  <w:footnote w:id="79">
    <w:p w14:paraId="42DBD9B7" w14:textId="7BF9FD17" w:rsidR="00573F9C" w:rsidRPr="009A2DD0" w:rsidRDefault="00573F9C">
      <w:pPr>
        <w:pStyle w:val="FootnoteText"/>
        <w:rPr>
          <w:i/>
          <w:iCs/>
        </w:rPr>
      </w:pPr>
      <w:r>
        <w:rPr>
          <w:rStyle w:val="FootnoteReference"/>
        </w:rPr>
        <w:footnoteRef/>
      </w:r>
      <w:r>
        <w:t xml:space="preserve"> </w:t>
      </w:r>
      <w:r w:rsidR="0099544B">
        <w:t xml:space="preserve">Susan Pickard, “Age War as the new class war? Contemporary Representations of Intergenerational Inequity”, </w:t>
      </w:r>
      <w:r w:rsidR="0099544B">
        <w:rPr>
          <w:i/>
          <w:iCs/>
        </w:rPr>
        <w:t>Journal of Social Policy</w:t>
      </w:r>
      <w:r w:rsidR="0099544B">
        <w:t>, vol 48, no. 2, 2019, 369-386</w:t>
      </w:r>
      <w:r w:rsidR="00C85594">
        <w:t>.</w:t>
      </w:r>
    </w:p>
  </w:footnote>
  <w:footnote w:id="80">
    <w:p w14:paraId="162C2E3B" w14:textId="78AA23B7" w:rsidR="006C796A" w:rsidRPr="006C796A" w:rsidRDefault="006C796A">
      <w:pPr>
        <w:pStyle w:val="FootnoteText"/>
      </w:pPr>
      <w:r>
        <w:rPr>
          <w:rStyle w:val="FootnoteReference"/>
        </w:rPr>
        <w:footnoteRef/>
      </w:r>
      <w:r>
        <w:t xml:space="preserve"> Jul</w:t>
      </w:r>
      <w:r w:rsidR="007D12A9">
        <w:t>i</w:t>
      </w:r>
      <w:r>
        <w:t xml:space="preserve">et Mitchell, </w:t>
      </w:r>
      <w:r>
        <w:rPr>
          <w:i/>
          <w:iCs/>
        </w:rPr>
        <w:t>Feminism and Psychoanalysis</w:t>
      </w:r>
      <w:r w:rsidR="00341A73">
        <w:rPr>
          <w:i/>
          <w:iCs/>
        </w:rPr>
        <w:t>: a radical reassessment of Freudian psychoanalysis</w:t>
      </w:r>
      <w:r>
        <w:t xml:space="preserve">, </w:t>
      </w:r>
      <w:r w:rsidR="00341A73">
        <w:t xml:space="preserve">second edition, New York, </w:t>
      </w:r>
      <w:r>
        <w:t>2000, p. xviii</w:t>
      </w:r>
      <w:r w:rsidR="00C85594">
        <w:t>.</w:t>
      </w:r>
    </w:p>
  </w:footnote>
  <w:footnote w:id="81">
    <w:p w14:paraId="1D91FBD4" w14:textId="440823EF" w:rsidR="006C796A" w:rsidRDefault="006C796A" w:rsidP="008F5E0B">
      <w:pPr>
        <w:pStyle w:val="FootnoteText"/>
      </w:pPr>
      <w:r>
        <w:rPr>
          <w:rStyle w:val="FootnoteReference"/>
        </w:rPr>
        <w:footnoteRef/>
      </w:r>
      <w:r>
        <w:t xml:space="preserve"> Christine Daigle and </w:t>
      </w:r>
      <w:proofErr w:type="spellStart"/>
      <w:r>
        <w:t>Christin</w:t>
      </w:r>
      <w:r w:rsidR="00F4250E">
        <w:t>i</w:t>
      </w:r>
      <w:r>
        <w:t>a</w:t>
      </w:r>
      <w:proofErr w:type="spellEnd"/>
      <w:r>
        <w:t xml:space="preserve"> Landry </w:t>
      </w:r>
      <w:r w:rsidR="008F5E0B">
        <w:t>“An analysis of Sartre’s and Beauvoir’s views on transcendence: exploring intersubjective relations”</w:t>
      </w:r>
      <w:r>
        <w:t xml:space="preserve"> </w:t>
      </w:r>
      <w:proofErr w:type="spellStart"/>
      <w:r w:rsidR="008D46A2">
        <w:rPr>
          <w:i/>
          <w:iCs/>
        </w:rPr>
        <w:t>PhaenEx</w:t>
      </w:r>
      <w:proofErr w:type="spellEnd"/>
      <w:r w:rsidR="008D46A2">
        <w:t>, Vol 8, no.</w:t>
      </w:r>
      <w:proofErr w:type="gramStart"/>
      <w:r w:rsidR="008D46A2">
        <w:t>1</w:t>
      </w:r>
      <w:r w:rsidR="00F4250E">
        <w:t xml:space="preserve"> </w:t>
      </w:r>
      <w:r w:rsidR="008D46A2">
        <w:t>,</w:t>
      </w:r>
      <w:proofErr w:type="gramEnd"/>
      <w:r w:rsidR="00F4250E">
        <w:t xml:space="preserve"> 2013, 91-121,</w:t>
      </w:r>
      <w:r>
        <w:t xml:space="preserve"> p. 109</w:t>
      </w:r>
      <w:r w:rsidR="00C85594">
        <w:t>.</w:t>
      </w:r>
    </w:p>
  </w:footnote>
  <w:footnote w:id="82">
    <w:p w14:paraId="0A975B8B" w14:textId="5017FEDB" w:rsidR="00C85594" w:rsidRPr="00C85594" w:rsidRDefault="00C85594">
      <w:pPr>
        <w:pStyle w:val="FootnoteText"/>
      </w:pPr>
      <w:r>
        <w:rPr>
          <w:rStyle w:val="FootnoteReference"/>
        </w:rPr>
        <w:footnoteRef/>
      </w:r>
      <w:r>
        <w:t xml:space="preserve"> Yolanda Astarita Patterson, </w:t>
      </w:r>
      <w:r w:rsidR="00F4250E">
        <w:t>“</w:t>
      </w:r>
      <w:r w:rsidRPr="00C85594">
        <w:t>Simone de Beauvoir and the demystification of motherhood</w:t>
      </w:r>
      <w:r w:rsidR="00F4250E">
        <w:t>”</w:t>
      </w:r>
      <w:r>
        <w:t xml:space="preserve">, </w:t>
      </w:r>
      <w:r>
        <w:rPr>
          <w:i/>
          <w:iCs/>
        </w:rPr>
        <w:t xml:space="preserve">Yale French Studies, </w:t>
      </w:r>
      <w:r>
        <w:t>Vol. 72,</w:t>
      </w:r>
      <w:r w:rsidR="004A2C14">
        <w:t xml:space="preserve"> 1986, pp.</w:t>
      </w:r>
      <w:r>
        <w:t xml:space="preserve"> 87-105.</w:t>
      </w:r>
    </w:p>
  </w:footnote>
  <w:footnote w:id="83">
    <w:p w14:paraId="1931EF97" w14:textId="27BB58F7" w:rsidR="00CE10E4" w:rsidRPr="00C85594" w:rsidRDefault="00CE10E4">
      <w:pPr>
        <w:pStyle w:val="FootnoteText"/>
      </w:pPr>
      <w:r>
        <w:rPr>
          <w:rStyle w:val="FootnoteReference"/>
        </w:rPr>
        <w:footnoteRef/>
      </w:r>
      <w:r>
        <w:t xml:space="preserve"> Janice Turner, </w:t>
      </w:r>
      <w:r w:rsidR="00F4250E">
        <w:t>“</w:t>
      </w:r>
      <w:r w:rsidR="00C85594">
        <w:t>What I learnt from my mother’s final years</w:t>
      </w:r>
      <w:r w:rsidR="00F4250E">
        <w:t>”</w:t>
      </w:r>
      <w:r w:rsidR="00C85594">
        <w:t xml:space="preserve">, </w:t>
      </w:r>
      <w:r w:rsidR="00C85594">
        <w:rPr>
          <w:i/>
          <w:iCs/>
        </w:rPr>
        <w:t>The Times</w:t>
      </w:r>
      <w:r w:rsidR="00C85594">
        <w:t xml:space="preserve">, 14 </w:t>
      </w:r>
      <w:proofErr w:type="gramStart"/>
      <w:r w:rsidR="00C85594">
        <w:t>October,</w:t>
      </w:r>
      <w:proofErr w:type="gramEnd"/>
      <w:r w:rsidR="00C85594">
        <w:t xml:space="preserve"> 2022.</w:t>
      </w:r>
    </w:p>
  </w:footnote>
  <w:footnote w:id="84">
    <w:p w14:paraId="5CEDD8E5" w14:textId="48345452" w:rsidR="00907147" w:rsidRPr="00C92F0A" w:rsidRDefault="00907147">
      <w:pPr>
        <w:pStyle w:val="FootnoteText"/>
        <w:rPr>
          <w:i/>
          <w:iCs/>
        </w:rPr>
      </w:pPr>
      <w:r>
        <w:rPr>
          <w:rStyle w:val="FootnoteReference"/>
        </w:rPr>
        <w:footnoteRef/>
      </w:r>
      <w:r>
        <w:t xml:space="preserve"> Bair</w:t>
      </w:r>
      <w:r w:rsidR="00C92F0A">
        <w:t xml:space="preserve">, </w:t>
      </w:r>
      <w:r w:rsidR="00C92F0A">
        <w:rPr>
          <w:i/>
          <w:iCs/>
        </w:rPr>
        <w:t>Simone de Beauvoir</w:t>
      </w:r>
      <w:r w:rsidR="00C85594">
        <w:rPr>
          <w:i/>
          <w:iCs/>
        </w:rPr>
        <w:t>.</w:t>
      </w:r>
    </w:p>
  </w:footnote>
  <w:footnote w:id="85">
    <w:p w14:paraId="251E97B2" w14:textId="5399EC9C" w:rsidR="00907147" w:rsidRPr="00907147" w:rsidRDefault="00907147">
      <w:pPr>
        <w:pStyle w:val="FootnoteText"/>
      </w:pPr>
      <w:r>
        <w:rPr>
          <w:rStyle w:val="FootnoteReference"/>
        </w:rPr>
        <w:footnoteRef/>
      </w:r>
      <w:r>
        <w:t xml:space="preserve"> Simone de Beauvoir, </w:t>
      </w:r>
      <w:r>
        <w:rPr>
          <w:i/>
          <w:iCs/>
        </w:rPr>
        <w:t>Prime of Life</w:t>
      </w:r>
      <w:r w:rsidR="006801C1">
        <w:t xml:space="preserve">, </w:t>
      </w:r>
      <w:r w:rsidR="00E87381">
        <w:t xml:space="preserve">trans. Peter Green, Harmondsworth, Penguin, 1965 [1960] </w:t>
      </w:r>
      <w:r>
        <w:t>p. 477</w:t>
      </w:r>
      <w:r w:rsidR="00C8559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6068"/>
    <w:multiLevelType w:val="hybridMultilevel"/>
    <w:tmpl w:val="FDB839E4"/>
    <w:lvl w:ilvl="0" w:tplc="B882E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624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77"/>
    <w:rsid w:val="0000158C"/>
    <w:rsid w:val="000030A1"/>
    <w:rsid w:val="00005757"/>
    <w:rsid w:val="00006C53"/>
    <w:rsid w:val="00007C48"/>
    <w:rsid w:val="00023B56"/>
    <w:rsid w:val="000320A4"/>
    <w:rsid w:val="0003567F"/>
    <w:rsid w:val="000357F1"/>
    <w:rsid w:val="000369A8"/>
    <w:rsid w:val="00042682"/>
    <w:rsid w:val="0004665F"/>
    <w:rsid w:val="000470B1"/>
    <w:rsid w:val="0005386D"/>
    <w:rsid w:val="0006622B"/>
    <w:rsid w:val="00066564"/>
    <w:rsid w:val="000678E9"/>
    <w:rsid w:val="00071A1F"/>
    <w:rsid w:val="00076D57"/>
    <w:rsid w:val="00077845"/>
    <w:rsid w:val="00081017"/>
    <w:rsid w:val="000934D9"/>
    <w:rsid w:val="00096977"/>
    <w:rsid w:val="000A3D00"/>
    <w:rsid w:val="000A46DD"/>
    <w:rsid w:val="000A610E"/>
    <w:rsid w:val="000A66F8"/>
    <w:rsid w:val="000A777F"/>
    <w:rsid w:val="000B1D3C"/>
    <w:rsid w:val="000B2167"/>
    <w:rsid w:val="000B4911"/>
    <w:rsid w:val="000B58C8"/>
    <w:rsid w:val="000C4200"/>
    <w:rsid w:val="000C674D"/>
    <w:rsid w:val="000D0876"/>
    <w:rsid w:val="000D18F1"/>
    <w:rsid w:val="000D1A6A"/>
    <w:rsid w:val="000D2517"/>
    <w:rsid w:val="000D6157"/>
    <w:rsid w:val="000E3CC3"/>
    <w:rsid w:val="000F134E"/>
    <w:rsid w:val="000F3C1E"/>
    <w:rsid w:val="000F7036"/>
    <w:rsid w:val="00102F10"/>
    <w:rsid w:val="00111E6A"/>
    <w:rsid w:val="00116B3B"/>
    <w:rsid w:val="0012351E"/>
    <w:rsid w:val="00123DC8"/>
    <w:rsid w:val="0012466E"/>
    <w:rsid w:val="001271F4"/>
    <w:rsid w:val="0013011D"/>
    <w:rsid w:val="0013088E"/>
    <w:rsid w:val="0013386F"/>
    <w:rsid w:val="00142572"/>
    <w:rsid w:val="00142AC1"/>
    <w:rsid w:val="00142B9F"/>
    <w:rsid w:val="001529AC"/>
    <w:rsid w:val="00171D41"/>
    <w:rsid w:val="00173FAB"/>
    <w:rsid w:val="001767E5"/>
    <w:rsid w:val="00181BAF"/>
    <w:rsid w:val="00183FEF"/>
    <w:rsid w:val="00185955"/>
    <w:rsid w:val="00191A3D"/>
    <w:rsid w:val="00194891"/>
    <w:rsid w:val="00196C48"/>
    <w:rsid w:val="001A3C1E"/>
    <w:rsid w:val="001A5122"/>
    <w:rsid w:val="001B0C7B"/>
    <w:rsid w:val="001B216B"/>
    <w:rsid w:val="001B560B"/>
    <w:rsid w:val="001B73F7"/>
    <w:rsid w:val="001D6831"/>
    <w:rsid w:val="001E314D"/>
    <w:rsid w:val="001E355C"/>
    <w:rsid w:val="001F144A"/>
    <w:rsid w:val="001F2A45"/>
    <w:rsid w:val="001F5E22"/>
    <w:rsid w:val="001F627D"/>
    <w:rsid w:val="00200359"/>
    <w:rsid w:val="00200395"/>
    <w:rsid w:val="002030F7"/>
    <w:rsid w:val="002050DC"/>
    <w:rsid w:val="00210A7D"/>
    <w:rsid w:val="00211457"/>
    <w:rsid w:val="00213C7A"/>
    <w:rsid w:val="00213C80"/>
    <w:rsid w:val="00216556"/>
    <w:rsid w:val="002267BE"/>
    <w:rsid w:val="00230C5E"/>
    <w:rsid w:val="00233256"/>
    <w:rsid w:val="0023486A"/>
    <w:rsid w:val="00240BA7"/>
    <w:rsid w:val="00245246"/>
    <w:rsid w:val="00246D8F"/>
    <w:rsid w:val="0025189F"/>
    <w:rsid w:val="00252951"/>
    <w:rsid w:val="002530EE"/>
    <w:rsid w:val="00253A1A"/>
    <w:rsid w:val="00264A90"/>
    <w:rsid w:val="002704E2"/>
    <w:rsid w:val="00270567"/>
    <w:rsid w:val="00271BF4"/>
    <w:rsid w:val="0027247E"/>
    <w:rsid w:val="002734C8"/>
    <w:rsid w:val="00275062"/>
    <w:rsid w:val="00275C93"/>
    <w:rsid w:val="00287F58"/>
    <w:rsid w:val="00291E58"/>
    <w:rsid w:val="002931D7"/>
    <w:rsid w:val="00294862"/>
    <w:rsid w:val="002A01D8"/>
    <w:rsid w:val="002A108B"/>
    <w:rsid w:val="002B2DC0"/>
    <w:rsid w:val="002C27EA"/>
    <w:rsid w:val="002C699F"/>
    <w:rsid w:val="002D0B80"/>
    <w:rsid w:val="002D22CC"/>
    <w:rsid w:val="002D253E"/>
    <w:rsid w:val="002D2DA3"/>
    <w:rsid w:val="002D3E39"/>
    <w:rsid w:val="002D5D0B"/>
    <w:rsid w:val="002D70E8"/>
    <w:rsid w:val="002E5AF8"/>
    <w:rsid w:val="002F1D6B"/>
    <w:rsid w:val="002F219E"/>
    <w:rsid w:val="002F4098"/>
    <w:rsid w:val="002F52CF"/>
    <w:rsid w:val="002F5A25"/>
    <w:rsid w:val="002F74D0"/>
    <w:rsid w:val="002F766C"/>
    <w:rsid w:val="002F78A7"/>
    <w:rsid w:val="002F7BB9"/>
    <w:rsid w:val="00306426"/>
    <w:rsid w:val="003106F7"/>
    <w:rsid w:val="00310E18"/>
    <w:rsid w:val="003110BB"/>
    <w:rsid w:val="00314234"/>
    <w:rsid w:val="00326670"/>
    <w:rsid w:val="00335487"/>
    <w:rsid w:val="00341A73"/>
    <w:rsid w:val="00342377"/>
    <w:rsid w:val="00342BC3"/>
    <w:rsid w:val="00344C6B"/>
    <w:rsid w:val="00350190"/>
    <w:rsid w:val="00357E9B"/>
    <w:rsid w:val="00370DB5"/>
    <w:rsid w:val="003714FF"/>
    <w:rsid w:val="00390E32"/>
    <w:rsid w:val="00396758"/>
    <w:rsid w:val="003A098C"/>
    <w:rsid w:val="003A1FFF"/>
    <w:rsid w:val="003A2CBE"/>
    <w:rsid w:val="003A30E1"/>
    <w:rsid w:val="003A4211"/>
    <w:rsid w:val="003B0C95"/>
    <w:rsid w:val="003B7851"/>
    <w:rsid w:val="003C0AE1"/>
    <w:rsid w:val="003D59CE"/>
    <w:rsid w:val="003D5A3C"/>
    <w:rsid w:val="003D5A49"/>
    <w:rsid w:val="003D7A7B"/>
    <w:rsid w:val="003E2F05"/>
    <w:rsid w:val="003E7B89"/>
    <w:rsid w:val="003F0875"/>
    <w:rsid w:val="003F7275"/>
    <w:rsid w:val="0040523C"/>
    <w:rsid w:val="00411234"/>
    <w:rsid w:val="00414BC1"/>
    <w:rsid w:val="004219E0"/>
    <w:rsid w:val="004230FC"/>
    <w:rsid w:val="00430485"/>
    <w:rsid w:val="0043158C"/>
    <w:rsid w:val="00431729"/>
    <w:rsid w:val="00432924"/>
    <w:rsid w:val="00441BE1"/>
    <w:rsid w:val="00453EE8"/>
    <w:rsid w:val="00454C9F"/>
    <w:rsid w:val="00455903"/>
    <w:rsid w:val="004575A4"/>
    <w:rsid w:val="00467EF1"/>
    <w:rsid w:val="0047136C"/>
    <w:rsid w:val="0047769F"/>
    <w:rsid w:val="00485BF8"/>
    <w:rsid w:val="00490E9C"/>
    <w:rsid w:val="0049134C"/>
    <w:rsid w:val="0049355E"/>
    <w:rsid w:val="004A2C14"/>
    <w:rsid w:val="004A3181"/>
    <w:rsid w:val="004A4D06"/>
    <w:rsid w:val="004B03C2"/>
    <w:rsid w:val="004B1172"/>
    <w:rsid w:val="004C35B8"/>
    <w:rsid w:val="004C5C1D"/>
    <w:rsid w:val="004D0D6A"/>
    <w:rsid w:val="004D19EE"/>
    <w:rsid w:val="004D5AF2"/>
    <w:rsid w:val="004E3042"/>
    <w:rsid w:val="004E3C04"/>
    <w:rsid w:val="004E5476"/>
    <w:rsid w:val="004E61F7"/>
    <w:rsid w:val="004E65CA"/>
    <w:rsid w:val="004E6808"/>
    <w:rsid w:val="004E6D47"/>
    <w:rsid w:val="004E79B8"/>
    <w:rsid w:val="004F6706"/>
    <w:rsid w:val="004F77A9"/>
    <w:rsid w:val="005017DD"/>
    <w:rsid w:val="00502301"/>
    <w:rsid w:val="0050512B"/>
    <w:rsid w:val="00505FD3"/>
    <w:rsid w:val="00507E18"/>
    <w:rsid w:val="00512FEC"/>
    <w:rsid w:val="005148A7"/>
    <w:rsid w:val="00517A80"/>
    <w:rsid w:val="00520F0B"/>
    <w:rsid w:val="00523C61"/>
    <w:rsid w:val="00524E2A"/>
    <w:rsid w:val="0052559D"/>
    <w:rsid w:val="00525ECD"/>
    <w:rsid w:val="005263DC"/>
    <w:rsid w:val="0052688F"/>
    <w:rsid w:val="00532688"/>
    <w:rsid w:val="00533E94"/>
    <w:rsid w:val="005355CD"/>
    <w:rsid w:val="005366C4"/>
    <w:rsid w:val="00536810"/>
    <w:rsid w:val="00542558"/>
    <w:rsid w:val="00546FFD"/>
    <w:rsid w:val="00560A86"/>
    <w:rsid w:val="005653B1"/>
    <w:rsid w:val="00573F9C"/>
    <w:rsid w:val="00576BD7"/>
    <w:rsid w:val="00577FC2"/>
    <w:rsid w:val="00583AE9"/>
    <w:rsid w:val="005A068C"/>
    <w:rsid w:val="005A2742"/>
    <w:rsid w:val="005A3209"/>
    <w:rsid w:val="005A4794"/>
    <w:rsid w:val="005A4A27"/>
    <w:rsid w:val="005A609D"/>
    <w:rsid w:val="005A706E"/>
    <w:rsid w:val="005A7EE4"/>
    <w:rsid w:val="005B022C"/>
    <w:rsid w:val="005B149E"/>
    <w:rsid w:val="005B1C76"/>
    <w:rsid w:val="005B64AB"/>
    <w:rsid w:val="005C0CC2"/>
    <w:rsid w:val="005C1D6D"/>
    <w:rsid w:val="005C20A8"/>
    <w:rsid w:val="005C229B"/>
    <w:rsid w:val="005C3A44"/>
    <w:rsid w:val="005D1746"/>
    <w:rsid w:val="005D3021"/>
    <w:rsid w:val="005D3DC9"/>
    <w:rsid w:val="005E4244"/>
    <w:rsid w:val="005F257F"/>
    <w:rsid w:val="005F3381"/>
    <w:rsid w:val="005F5710"/>
    <w:rsid w:val="005F6A79"/>
    <w:rsid w:val="00600B07"/>
    <w:rsid w:val="006044D0"/>
    <w:rsid w:val="00613A32"/>
    <w:rsid w:val="006204CF"/>
    <w:rsid w:val="00630252"/>
    <w:rsid w:val="006367CD"/>
    <w:rsid w:val="006427EE"/>
    <w:rsid w:val="006433D4"/>
    <w:rsid w:val="00643B6E"/>
    <w:rsid w:val="0064679F"/>
    <w:rsid w:val="00651C9B"/>
    <w:rsid w:val="006531D1"/>
    <w:rsid w:val="0065490D"/>
    <w:rsid w:val="006631FF"/>
    <w:rsid w:val="0067324A"/>
    <w:rsid w:val="006801C1"/>
    <w:rsid w:val="00687296"/>
    <w:rsid w:val="00691911"/>
    <w:rsid w:val="00692673"/>
    <w:rsid w:val="0069374D"/>
    <w:rsid w:val="0069466F"/>
    <w:rsid w:val="006A345B"/>
    <w:rsid w:val="006A51CF"/>
    <w:rsid w:val="006A5644"/>
    <w:rsid w:val="006A7D61"/>
    <w:rsid w:val="006B521C"/>
    <w:rsid w:val="006B6992"/>
    <w:rsid w:val="006C2F3C"/>
    <w:rsid w:val="006C65EC"/>
    <w:rsid w:val="006C796A"/>
    <w:rsid w:val="006D14D0"/>
    <w:rsid w:val="006D215F"/>
    <w:rsid w:val="006E04ED"/>
    <w:rsid w:val="006E46DD"/>
    <w:rsid w:val="006F3F71"/>
    <w:rsid w:val="00702A0F"/>
    <w:rsid w:val="007041A4"/>
    <w:rsid w:val="00704DA1"/>
    <w:rsid w:val="00720D89"/>
    <w:rsid w:val="007308DD"/>
    <w:rsid w:val="00731DD5"/>
    <w:rsid w:val="007412BF"/>
    <w:rsid w:val="007435B3"/>
    <w:rsid w:val="007456A5"/>
    <w:rsid w:val="00751F26"/>
    <w:rsid w:val="007533EA"/>
    <w:rsid w:val="00754A41"/>
    <w:rsid w:val="0075625F"/>
    <w:rsid w:val="007625B5"/>
    <w:rsid w:val="00764001"/>
    <w:rsid w:val="00776BCB"/>
    <w:rsid w:val="00777803"/>
    <w:rsid w:val="00785B52"/>
    <w:rsid w:val="00790C05"/>
    <w:rsid w:val="00792B0E"/>
    <w:rsid w:val="007A1491"/>
    <w:rsid w:val="007A4156"/>
    <w:rsid w:val="007A7548"/>
    <w:rsid w:val="007B60F5"/>
    <w:rsid w:val="007B713F"/>
    <w:rsid w:val="007C1ECF"/>
    <w:rsid w:val="007C587C"/>
    <w:rsid w:val="007C60AA"/>
    <w:rsid w:val="007D12A9"/>
    <w:rsid w:val="007D238A"/>
    <w:rsid w:val="007D4980"/>
    <w:rsid w:val="007E5F40"/>
    <w:rsid w:val="007F61E9"/>
    <w:rsid w:val="007F6556"/>
    <w:rsid w:val="00800AC0"/>
    <w:rsid w:val="008034C7"/>
    <w:rsid w:val="0080363E"/>
    <w:rsid w:val="00807319"/>
    <w:rsid w:val="0082071A"/>
    <w:rsid w:val="00821F16"/>
    <w:rsid w:val="00823B50"/>
    <w:rsid w:val="008247E9"/>
    <w:rsid w:val="0083530F"/>
    <w:rsid w:val="0083638E"/>
    <w:rsid w:val="0084073D"/>
    <w:rsid w:val="00840CA7"/>
    <w:rsid w:val="008434A8"/>
    <w:rsid w:val="0085010D"/>
    <w:rsid w:val="008568A3"/>
    <w:rsid w:val="0085793B"/>
    <w:rsid w:val="0086279F"/>
    <w:rsid w:val="008643FD"/>
    <w:rsid w:val="008654BB"/>
    <w:rsid w:val="0087137B"/>
    <w:rsid w:val="0087346C"/>
    <w:rsid w:val="00877E17"/>
    <w:rsid w:val="00880A5E"/>
    <w:rsid w:val="008856EC"/>
    <w:rsid w:val="00886A23"/>
    <w:rsid w:val="0089001F"/>
    <w:rsid w:val="008902B0"/>
    <w:rsid w:val="00892FDF"/>
    <w:rsid w:val="00894CD0"/>
    <w:rsid w:val="00894FC4"/>
    <w:rsid w:val="00895BB8"/>
    <w:rsid w:val="008A569D"/>
    <w:rsid w:val="008B2386"/>
    <w:rsid w:val="008B5DA7"/>
    <w:rsid w:val="008B5ED9"/>
    <w:rsid w:val="008C093B"/>
    <w:rsid w:val="008C1294"/>
    <w:rsid w:val="008C228F"/>
    <w:rsid w:val="008C4C28"/>
    <w:rsid w:val="008C598F"/>
    <w:rsid w:val="008C7613"/>
    <w:rsid w:val="008D25C7"/>
    <w:rsid w:val="008D46A2"/>
    <w:rsid w:val="008D76D3"/>
    <w:rsid w:val="008E3CCF"/>
    <w:rsid w:val="008E4D1A"/>
    <w:rsid w:val="008E784D"/>
    <w:rsid w:val="008F1FFE"/>
    <w:rsid w:val="008F243F"/>
    <w:rsid w:val="008F4A6D"/>
    <w:rsid w:val="008F56D7"/>
    <w:rsid w:val="008F5E0B"/>
    <w:rsid w:val="008F74F3"/>
    <w:rsid w:val="008F752C"/>
    <w:rsid w:val="009014EF"/>
    <w:rsid w:val="00901AA5"/>
    <w:rsid w:val="00902A79"/>
    <w:rsid w:val="009062E0"/>
    <w:rsid w:val="00907147"/>
    <w:rsid w:val="009073C8"/>
    <w:rsid w:val="009168BA"/>
    <w:rsid w:val="0092193A"/>
    <w:rsid w:val="00932DD6"/>
    <w:rsid w:val="009367FC"/>
    <w:rsid w:val="009372DF"/>
    <w:rsid w:val="00941979"/>
    <w:rsid w:val="009441D9"/>
    <w:rsid w:val="00951572"/>
    <w:rsid w:val="00954B23"/>
    <w:rsid w:val="009625C2"/>
    <w:rsid w:val="009678C0"/>
    <w:rsid w:val="009757B2"/>
    <w:rsid w:val="00986F8E"/>
    <w:rsid w:val="00990091"/>
    <w:rsid w:val="009913B0"/>
    <w:rsid w:val="0099168A"/>
    <w:rsid w:val="00994A18"/>
    <w:rsid w:val="0099544B"/>
    <w:rsid w:val="009A2DD0"/>
    <w:rsid w:val="009B1604"/>
    <w:rsid w:val="009B3460"/>
    <w:rsid w:val="009B570E"/>
    <w:rsid w:val="009C453B"/>
    <w:rsid w:val="009D1454"/>
    <w:rsid w:val="009D194F"/>
    <w:rsid w:val="009D2505"/>
    <w:rsid w:val="009E09DA"/>
    <w:rsid w:val="009E2F3D"/>
    <w:rsid w:val="009E3B44"/>
    <w:rsid w:val="009F177C"/>
    <w:rsid w:val="009F63C1"/>
    <w:rsid w:val="009F682B"/>
    <w:rsid w:val="009F6A7A"/>
    <w:rsid w:val="00A00349"/>
    <w:rsid w:val="00A01372"/>
    <w:rsid w:val="00A10656"/>
    <w:rsid w:val="00A14448"/>
    <w:rsid w:val="00A154F4"/>
    <w:rsid w:val="00A16483"/>
    <w:rsid w:val="00A17A78"/>
    <w:rsid w:val="00A20ACB"/>
    <w:rsid w:val="00A24847"/>
    <w:rsid w:val="00A24871"/>
    <w:rsid w:val="00A324CF"/>
    <w:rsid w:val="00A40DB5"/>
    <w:rsid w:val="00A45083"/>
    <w:rsid w:val="00A468AF"/>
    <w:rsid w:val="00A5380B"/>
    <w:rsid w:val="00A576BA"/>
    <w:rsid w:val="00A67D7D"/>
    <w:rsid w:val="00A7245C"/>
    <w:rsid w:val="00A7405C"/>
    <w:rsid w:val="00A74300"/>
    <w:rsid w:val="00A8093B"/>
    <w:rsid w:val="00A92870"/>
    <w:rsid w:val="00A92D59"/>
    <w:rsid w:val="00AA2F41"/>
    <w:rsid w:val="00AB0587"/>
    <w:rsid w:val="00AB3EAC"/>
    <w:rsid w:val="00AC2FA7"/>
    <w:rsid w:val="00AC66FB"/>
    <w:rsid w:val="00AD26A3"/>
    <w:rsid w:val="00AD4C9F"/>
    <w:rsid w:val="00AD6C21"/>
    <w:rsid w:val="00AD7F47"/>
    <w:rsid w:val="00AF23B4"/>
    <w:rsid w:val="00B10DB8"/>
    <w:rsid w:val="00B143E3"/>
    <w:rsid w:val="00B26E0A"/>
    <w:rsid w:val="00B27F04"/>
    <w:rsid w:val="00B32D75"/>
    <w:rsid w:val="00B36593"/>
    <w:rsid w:val="00B47462"/>
    <w:rsid w:val="00B519E1"/>
    <w:rsid w:val="00B5537B"/>
    <w:rsid w:val="00B61D82"/>
    <w:rsid w:val="00B7085F"/>
    <w:rsid w:val="00B7379A"/>
    <w:rsid w:val="00B7503E"/>
    <w:rsid w:val="00B85377"/>
    <w:rsid w:val="00B8777E"/>
    <w:rsid w:val="00B931DC"/>
    <w:rsid w:val="00B95708"/>
    <w:rsid w:val="00B96723"/>
    <w:rsid w:val="00BA1DE1"/>
    <w:rsid w:val="00BA4A34"/>
    <w:rsid w:val="00BA5313"/>
    <w:rsid w:val="00BB1052"/>
    <w:rsid w:val="00BC0082"/>
    <w:rsid w:val="00BC4DC1"/>
    <w:rsid w:val="00BC7EDF"/>
    <w:rsid w:val="00BD2EDD"/>
    <w:rsid w:val="00BD501C"/>
    <w:rsid w:val="00BD65BD"/>
    <w:rsid w:val="00BE4D5A"/>
    <w:rsid w:val="00BF6545"/>
    <w:rsid w:val="00C00316"/>
    <w:rsid w:val="00C02F35"/>
    <w:rsid w:val="00C10DC1"/>
    <w:rsid w:val="00C14C76"/>
    <w:rsid w:val="00C25CF1"/>
    <w:rsid w:val="00C34123"/>
    <w:rsid w:val="00C341BB"/>
    <w:rsid w:val="00C36B34"/>
    <w:rsid w:val="00C56D58"/>
    <w:rsid w:val="00C614FA"/>
    <w:rsid w:val="00C62BF9"/>
    <w:rsid w:val="00C67BA3"/>
    <w:rsid w:val="00C72125"/>
    <w:rsid w:val="00C752E3"/>
    <w:rsid w:val="00C770BF"/>
    <w:rsid w:val="00C85594"/>
    <w:rsid w:val="00C8768C"/>
    <w:rsid w:val="00C92F0A"/>
    <w:rsid w:val="00C93228"/>
    <w:rsid w:val="00C9487C"/>
    <w:rsid w:val="00C972A5"/>
    <w:rsid w:val="00CA17F8"/>
    <w:rsid w:val="00CA1E10"/>
    <w:rsid w:val="00CA7790"/>
    <w:rsid w:val="00CB0C3D"/>
    <w:rsid w:val="00CB179E"/>
    <w:rsid w:val="00CB5108"/>
    <w:rsid w:val="00CB6CFA"/>
    <w:rsid w:val="00CB6EB4"/>
    <w:rsid w:val="00CC16B2"/>
    <w:rsid w:val="00CC2285"/>
    <w:rsid w:val="00CC2306"/>
    <w:rsid w:val="00CC4140"/>
    <w:rsid w:val="00CD1836"/>
    <w:rsid w:val="00CE10E4"/>
    <w:rsid w:val="00CE1504"/>
    <w:rsid w:val="00CF41AD"/>
    <w:rsid w:val="00CF4816"/>
    <w:rsid w:val="00CF73FA"/>
    <w:rsid w:val="00CF7B5A"/>
    <w:rsid w:val="00D102A7"/>
    <w:rsid w:val="00D112BB"/>
    <w:rsid w:val="00D202F2"/>
    <w:rsid w:val="00D256B6"/>
    <w:rsid w:val="00D25C3B"/>
    <w:rsid w:val="00D25E9F"/>
    <w:rsid w:val="00D2742D"/>
    <w:rsid w:val="00D308CE"/>
    <w:rsid w:val="00D31F65"/>
    <w:rsid w:val="00D37B2C"/>
    <w:rsid w:val="00D408C7"/>
    <w:rsid w:val="00D508E8"/>
    <w:rsid w:val="00D526DB"/>
    <w:rsid w:val="00D54E2F"/>
    <w:rsid w:val="00D56408"/>
    <w:rsid w:val="00D564C7"/>
    <w:rsid w:val="00D60D97"/>
    <w:rsid w:val="00D6315C"/>
    <w:rsid w:val="00D6412D"/>
    <w:rsid w:val="00D65E91"/>
    <w:rsid w:val="00D65F1B"/>
    <w:rsid w:val="00D677BC"/>
    <w:rsid w:val="00D67B0D"/>
    <w:rsid w:val="00D70A4A"/>
    <w:rsid w:val="00D914E0"/>
    <w:rsid w:val="00D92B4E"/>
    <w:rsid w:val="00D96617"/>
    <w:rsid w:val="00D96F12"/>
    <w:rsid w:val="00DA0ECB"/>
    <w:rsid w:val="00DA269C"/>
    <w:rsid w:val="00DA61BF"/>
    <w:rsid w:val="00DB2B17"/>
    <w:rsid w:val="00DB4AA1"/>
    <w:rsid w:val="00DC0C00"/>
    <w:rsid w:val="00DD2788"/>
    <w:rsid w:val="00DE04B0"/>
    <w:rsid w:val="00DE19D7"/>
    <w:rsid w:val="00DE20CA"/>
    <w:rsid w:val="00DE2220"/>
    <w:rsid w:val="00DE53B0"/>
    <w:rsid w:val="00DF09D7"/>
    <w:rsid w:val="00DF1C6E"/>
    <w:rsid w:val="00DF3B6F"/>
    <w:rsid w:val="00DF4610"/>
    <w:rsid w:val="00DF597B"/>
    <w:rsid w:val="00DF753E"/>
    <w:rsid w:val="00E010FA"/>
    <w:rsid w:val="00E015F0"/>
    <w:rsid w:val="00E03B58"/>
    <w:rsid w:val="00E31E16"/>
    <w:rsid w:val="00E35F2C"/>
    <w:rsid w:val="00E36547"/>
    <w:rsid w:val="00E436FF"/>
    <w:rsid w:val="00E5326F"/>
    <w:rsid w:val="00E57209"/>
    <w:rsid w:val="00E62901"/>
    <w:rsid w:val="00E764E0"/>
    <w:rsid w:val="00E831DC"/>
    <w:rsid w:val="00E83371"/>
    <w:rsid w:val="00E85D8E"/>
    <w:rsid w:val="00E869DE"/>
    <w:rsid w:val="00E87381"/>
    <w:rsid w:val="00E90CE8"/>
    <w:rsid w:val="00E95599"/>
    <w:rsid w:val="00E966E6"/>
    <w:rsid w:val="00E979A8"/>
    <w:rsid w:val="00EA4706"/>
    <w:rsid w:val="00EB01F9"/>
    <w:rsid w:val="00EB268A"/>
    <w:rsid w:val="00ED47D5"/>
    <w:rsid w:val="00ED6BE0"/>
    <w:rsid w:val="00ED6F0A"/>
    <w:rsid w:val="00EE4867"/>
    <w:rsid w:val="00EE4EC9"/>
    <w:rsid w:val="00EE663E"/>
    <w:rsid w:val="00EE7CD3"/>
    <w:rsid w:val="00EF19C3"/>
    <w:rsid w:val="00EF2B2A"/>
    <w:rsid w:val="00F0110E"/>
    <w:rsid w:val="00F04AA3"/>
    <w:rsid w:val="00F1086D"/>
    <w:rsid w:val="00F10A1F"/>
    <w:rsid w:val="00F120ED"/>
    <w:rsid w:val="00F31968"/>
    <w:rsid w:val="00F41A3A"/>
    <w:rsid w:val="00F4250E"/>
    <w:rsid w:val="00F62FAC"/>
    <w:rsid w:val="00F67E18"/>
    <w:rsid w:val="00F8306C"/>
    <w:rsid w:val="00F8357C"/>
    <w:rsid w:val="00F86653"/>
    <w:rsid w:val="00F90576"/>
    <w:rsid w:val="00F95391"/>
    <w:rsid w:val="00F96095"/>
    <w:rsid w:val="00F9654A"/>
    <w:rsid w:val="00F96B10"/>
    <w:rsid w:val="00FA48A7"/>
    <w:rsid w:val="00FA4971"/>
    <w:rsid w:val="00FB3F5F"/>
    <w:rsid w:val="00FB59D8"/>
    <w:rsid w:val="00FD22DF"/>
    <w:rsid w:val="00FD40FF"/>
    <w:rsid w:val="00FE282E"/>
    <w:rsid w:val="00FE5294"/>
    <w:rsid w:val="00FF1BAC"/>
    <w:rsid w:val="00FF3B34"/>
    <w:rsid w:val="00FF4A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0D44"/>
  <w15:chartTrackingRefBased/>
  <w15:docId w15:val="{1CF845FE-0231-4E89-AC29-6691CF0F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294"/>
  </w:style>
  <w:style w:type="paragraph" w:styleId="Footer">
    <w:name w:val="footer"/>
    <w:basedOn w:val="Normal"/>
    <w:link w:val="FooterChar"/>
    <w:uiPriority w:val="99"/>
    <w:unhideWhenUsed/>
    <w:rsid w:val="008C1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294"/>
  </w:style>
  <w:style w:type="character" w:customStyle="1" w:styleId="hgkelc">
    <w:name w:val="hgkelc"/>
    <w:basedOn w:val="DefaultParagraphFont"/>
    <w:rsid w:val="00901AA5"/>
  </w:style>
  <w:style w:type="paragraph" w:styleId="EndnoteText">
    <w:name w:val="endnote text"/>
    <w:basedOn w:val="Normal"/>
    <w:link w:val="EndnoteTextChar"/>
    <w:uiPriority w:val="99"/>
    <w:unhideWhenUsed/>
    <w:rsid w:val="00210A7D"/>
    <w:pPr>
      <w:spacing w:after="0" w:line="240" w:lineRule="auto"/>
    </w:pPr>
    <w:rPr>
      <w:sz w:val="20"/>
      <w:szCs w:val="20"/>
    </w:rPr>
  </w:style>
  <w:style w:type="character" w:customStyle="1" w:styleId="EndnoteTextChar">
    <w:name w:val="Endnote Text Char"/>
    <w:basedOn w:val="DefaultParagraphFont"/>
    <w:link w:val="EndnoteText"/>
    <w:uiPriority w:val="99"/>
    <w:rsid w:val="00210A7D"/>
    <w:rPr>
      <w:sz w:val="20"/>
      <w:szCs w:val="20"/>
    </w:rPr>
  </w:style>
  <w:style w:type="character" w:styleId="EndnoteReference">
    <w:name w:val="endnote reference"/>
    <w:basedOn w:val="DefaultParagraphFont"/>
    <w:uiPriority w:val="99"/>
    <w:semiHidden/>
    <w:unhideWhenUsed/>
    <w:rsid w:val="00210A7D"/>
    <w:rPr>
      <w:vertAlign w:val="superscript"/>
    </w:rPr>
  </w:style>
  <w:style w:type="character" w:styleId="PlaceholderText">
    <w:name w:val="Placeholder Text"/>
    <w:basedOn w:val="DefaultParagraphFont"/>
    <w:uiPriority w:val="99"/>
    <w:semiHidden/>
    <w:rsid w:val="00CA17F8"/>
    <w:rPr>
      <w:color w:val="808080"/>
    </w:rPr>
  </w:style>
  <w:style w:type="paragraph" w:styleId="FootnoteText">
    <w:name w:val="footnote text"/>
    <w:basedOn w:val="Normal"/>
    <w:link w:val="FootnoteTextChar"/>
    <w:uiPriority w:val="99"/>
    <w:semiHidden/>
    <w:unhideWhenUsed/>
    <w:rsid w:val="001E3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14D"/>
    <w:rPr>
      <w:sz w:val="20"/>
      <w:szCs w:val="20"/>
    </w:rPr>
  </w:style>
  <w:style w:type="character" w:styleId="FootnoteReference">
    <w:name w:val="footnote reference"/>
    <w:basedOn w:val="DefaultParagraphFont"/>
    <w:uiPriority w:val="99"/>
    <w:semiHidden/>
    <w:unhideWhenUsed/>
    <w:rsid w:val="001E314D"/>
    <w:rPr>
      <w:vertAlign w:val="superscript"/>
    </w:rPr>
  </w:style>
  <w:style w:type="character" w:styleId="CommentReference">
    <w:name w:val="annotation reference"/>
    <w:basedOn w:val="DefaultParagraphFont"/>
    <w:uiPriority w:val="99"/>
    <w:semiHidden/>
    <w:unhideWhenUsed/>
    <w:rsid w:val="00542558"/>
    <w:rPr>
      <w:sz w:val="16"/>
      <w:szCs w:val="16"/>
    </w:rPr>
  </w:style>
  <w:style w:type="paragraph" w:styleId="CommentText">
    <w:name w:val="annotation text"/>
    <w:basedOn w:val="Normal"/>
    <w:link w:val="CommentTextChar"/>
    <w:uiPriority w:val="99"/>
    <w:unhideWhenUsed/>
    <w:rsid w:val="00542558"/>
    <w:pPr>
      <w:spacing w:line="240" w:lineRule="auto"/>
    </w:pPr>
    <w:rPr>
      <w:sz w:val="20"/>
      <w:szCs w:val="20"/>
    </w:rPr>
  </w:style>
  <w:style w:type="character" w:customStyle="1" w:styleId="CommentTextChar">
    <w:name w:val="Comment Text Char"/>
    <w:basedOn w:val="DefaultParagraphFont"/>
    <w:link w:val="CommentText"/>
    <w:uiPriority w:val="99"/>
    <w:rsid w:val="00542558"/>
    <w:rPr>
      <w:sz w:val="20"/>
      <w:szCs w:val="20"/>
    </w:rPr>
  </w:style>
  <w:style w:type="paragraph" w:styleId="CommentSubject">
    <w:name w:val="annotation subject"/>
    <w:basedOn w:val="CommentText"/>
    <w:next w:val="CommentText"/>
    <w:link w:val="CommentSubjectChar"/>
    <w:uiPriority w:val="99"/>
    <w:semiHidden/>
    <w:unhideWhenUsed/>
    <w:rsid w:val="00542558"/>
    <w:rPr>
      <w:b/>
      <w:bCs/>
    </w:rPr>
  </w:style>
  <w:style w:type="character" w:customStyle="1" w:styleId="CommentSubjectChar">
    <w:name w:val="Comment Subject Char"/>
    <w:basedOn w:val="CommentTextChar"/>
    <w:link w:val="CommentSubject"/>
    <w:uiPriority w:val="99"/>
    <w:semiHidden/>
    <w:rsid w:val="00542558"/>
    <w:rPr>
      <w:b/>
      <w:bCs/>
      <w:sz w:val="20"/>
      <w:szCs w:val="20"/>
    </w:rPr>
  </w:style>
  <w:style w:type="paragraph" w:styleId="Revision">
    <w:name w:val="Revision"/>
    <w:hidden/>
    <w:uiPriority w:val="99"/>
    <w:semiHidden/>
    <w:rsid w:val="00873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834D-6A2D-4F5F-8E6B-6C6CF343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6580</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Pickard, Susan</cp:lastModifiedBy>
  <cp:revision>6</cp:revision>
  <cp:lastPrinted>2022-08-27T12:34:00Z</cp:lastPrinted>
  <dcterms:created xsi:type="dcterms:W3CDTF">2023-05-31T20:04:00Z</dcterms:created>
  <dcterms:modified xsi:type="dcterms:W3CDTF">2023-05-31T20:06:00Z</dcterms:modified>
</cp:coreProperties>
</file>