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EF5" w:rsidRDefault="00D30EF5" w:rsidP="00D30EF5">
      <w:pPr>
        <w:pStyle w:val="Heading3"/>
        <w:rPr>
          <w:rFonts w:ascii="Helvetica" w:hAnsi="Helvetica"/>
          <w:color w:val="616161"/>
        </w:rPr>
      </w:pPr>
      <w:bookmarkStart w:id="0" w:name="_GoBack"/>
      <w:bookmarkEnd w:id="0"/>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469900" cy="469900"/>
            <wp:effectExtent l="0" t="0" r="0" b="0"/>
            <wp:wrapSquare wrapText="bothSides"/>
            <wp:docPr id="1" name="Picture 1" desc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olor w:val="616161"/>
        </w:rPr>
        <w:t>epilepsy</w:t>
      </w:r>
    </w:p>
    <w:p w:rsidR="00D30EF5" w:rsidRDefault="00D30EF5" w:rsidP="00D30EF5">
      <w:pPr>
        <w:pStyle w:val="Heading4"/>
        <w:rPr>
          <w:rFonts w:ascii="Helvetica" w:hAnsi="Helvetica"/>
          <w:color w:val="616161"/>
          <w:sz w:val="25"/>
          <w:szCs w:val="25"/>
        </w:rPr>
      </w:pPr>
      <w:r>
        <w:rPr>
          <w:rFonts w:ascii="Helvetica" w:hAnsi="Helvetica"/>
          <w:color w:val="616161"/>
          <w:sz w:val="25"/>
          <w:szCs w:val="25"/>
        </w:rPr>
        <w:t>60575 Levetiracetam add-on for drug-resistant focal epilepsy: an updated Cochrane systematic review and meta-analysis</w:t>
      </w:r>
    </w:p>
    <w:p w:rsidR="00D30EF5" w:rsidRDefault="00D30EF5" w:rsidP="00D30EF5">
      <w:pPr>
        <w:pStyle w:val="NormalWeb"/>
        <w:spacing w:before="0" w:beforeAutospacing="0" w:after="375" w:afterAutospacing="0" w:line="270" w:lineRule="atLeast"/>
        <w:rPr>
          <w:rFonts w:ascii="Helvetica" w:hAnsi="Helvetica"/>
          <w:color w:val="616161"/>
          <w:sz w:val="20"/>
          <w:szCs w:val="20"/>
        </w:rPr>
      </w:pPr>
      <w:r>
        <w:rPr>
          <w:rStyle w:val="Strong"/>
          <w:rFonts w:ascii="Helvetica" w:hAnsi="Helvetica"/>
          <w:color w:val="616161"/>
          <w:sz w:val="20"/>
          <w:szCs w:val="20"/>
        </w:rPr>
        <w:t>Gashirai K Mbizvo</w:t>
      </w:r>
      <w:r>
        <w:rPr>
          <w:rStyle w:val="Strong"/>
          <w:rFonts w:ascii="Helvetica" w:hAnsi="Helvetica"/>
          <w:color w:val="616161"/>
          <w:sz w:val="20"/>
          <w:szCs w:val="20"/>
          <w:vertAlign w:val="superscript"/>
        </w:rPr>
        <w:t>1,2</w:t>
      </w:r>
      <w:r>
        <w:rPr>
          <w:rFonts w:ascii="Helvetica" w:hAnsi="Helvetica"/>
          <w:color w:val="616161"/>
          <w:sz w:val="20"/>
          <w:szCs w:val="20"/>
        </w:rPr>
        <w:t>, Bharath Chandrasekar</w:t>
      </w:r>
      <w:r>
        <w:rPr>
          <w:rFonts w:ascii="Helvetica" w:hAnsi="Helvetica"/>
          <w:color w:val="616161"/>
          <w:sz w:val="20"/>
          <w:szCs w:val="20"/>
          <w:vertAlign w:val="superscript"/>
        </w:rPr>
        <w:t>3</w:t>
      </w:r>
      <w:r>
        <w:rPr>
          <w:rFonts w:ascii="Helvetica" w:hAnsi="Helvetica"/>
          <w:color w:val="616161"/>
          <w:sz w:val="20"/>
          <w:szCs w:val="20"/>
        </w:rPr>
        <w:t>, Sarah J  Nevitt</w:t>
      </w:r>
      <w:r>
        <w:rPr>
          <w:rFonts w:ascii="Helvetica" w:hAnsi="Helvetica"/>
          <w:color w:val="616161"/>
          <w:sz w:val="20"/>
          <w:szCs w:val="20"/>
          <w:vertAlign w:val="superscript"/>
        </w:rPr>
        <w:t>4</w:t>
      </w:r>
      <w:r>
        <w:rPr>
          <w:rFonts w:ascii="Helvetica" w:hAnsi="Helvetica"/>
          <w:color w:val="616161"/>
          <w:sz w:val="20"/>
          <w:szCs w:val="20"/>
        </w:rPr>
        <w:t>, Pete  Dixon</w:t>
      </w:r>
      <w:r>
        <w:rPr>
          <w:rFonts w:ascii="Helvetica" w:hAnsi="Helvetica"/>
          <w:color w:val="616161"/>
          <w:sz w:val="20"/>
          <w:szCs w:val="20"/>
          <w:vertAlign w:val="superscript"/>
        </w:rPr>
        <w:t>5</w:t>
      </w:r>
      <w:r>
        <w:rPr>
          <w:rFonts w:ascii="Helvetica" w:hAnsi="Helvetica"/>
          <w:color w:val="616161"/>
          <w:sz w:val="20"/>
          <w:szCs w:val="20"/>
        </w:rPr>
        <w:t>, Jane L Hutton</w:t>
      </w:r>
      <w:r>
        <w:rPr>
          <w:rFonts w:ascii="Helvetica" w:hAnsi="Helvetica"/>
          <w:color w:val="616161"/>
          <w:sz w:val="20"/>
          <w:szCs w:val="20"/>
          <w:vertAlign w:val="superscript"/>
        </w:rPr>
        <w:t>6</w:t>
      </w:r>
      <w:r>
        <w:rPr>
          <w:rFonts w:ascii="Helvetica" w:hAnsi="Helvetica"/>
          <w:color w:val="616161"/>
          <w:sz w:val="20"/>
          <w:szCs w:val="20"/>
        </w:rPr>
        <w:t>, Anthony G Marson</w:t>
      </w:r>
      <w:r>
        <w:rPr>
          <w:rFonts w:ascii="Helvetica" w:hAnsi="Helvetica"/>
          <w:color w:val="616161"/>
          <w:sz w:val="20"/>
          <w:szCs w:val="20"/>
          <w:vertAlign w:val="superscript"/>
        </w:rPr>
        <w:t>1,5,7</w:t>
      </w:r>
      <w:r>
        <w:rPr>
          <w:rFonts w:ascii="Helvetica" w:hAnsi="Helvetica"/>
          <w:color w:val="616161"/>
          <w:sz w:val="20"/>
          <w:szCs w:val="20"/>
        </w:rPr>
        <w:t>.</w:t>
      </w:r>
      <w:r>
        <w:rPr>
          <w:rFonts w:ascii="Helvetica" w:hAnsi="Helvetica"/>
          <w:color w:val="616161"/>
          <w:sz w:val="20"/>
          <w:szCs w:val="20"/>
        </w:rPr>
        <w:br/>
      </w:r>
      <w:r>
        <w:rPr>
          <w:rFonts w:ascii="Helvetica" w:hAnsi="Helvetica"/>
          <w:color w:val="616161"/>
          <w:sz w:val="20"/>
          <w:szCs w:val="20"/>
          <w:vertAlign w:val="superscript"/>
        </w:rPr>
        <w:t>1</w:t>
      </w:r>
      <w:r>
        <w:rPr>
          <w:rFonts w:ascii="Helvetica" w:hAnsi="Helvetica"/>
          <w:color w:val="616161"/>
          <w:sz w:val="20"/>
          <w:szCs w:val="20"/>
        </w:rPr>
        <w:t>The Walton Centre NHS Foundation Trust (Liverpool, GB); </w:t>
      </w:r>
      <w:r>
        <w:rPr>
          <w:rFonts w:ascii="Helvetica" w:hAnsi="Helvetica"/>
          <w:color w:val="616161"/>
          <w:sz w:val="20"/>
          <w:szCs w:val="20"/>
          <w:vertAlign w:val="superscript"/>
        </w:rPr>
        <w:t>2</w:t>
      </w:r>
      <w:r>
        <w:rPr>
          <w:rFonts w:ascii="Helvetica" w:hAnsi="Helvetica"/>
          <w:color w:val="616161"/>
          <w:sz w:val="20"/>
          <w:szCs w:val="20"/>
        </w:rPr>
        <w:t>Muir Maxwell Epilepsy Centre, Centre for Clinical Brain Sciences, The University of Edinburgh; </w:t>
      </w:r>
      <w:r>
        <w:rPr>
          <w:rFonts w:ascii="Helvetica" w:hAnsi="Helvetica"/>
          <w:color w:val="616161"/>
          <w:sz w:val="20"/>
          <w:szCs w:val="20"/>
          <w:vertAlign w:val="superscript"/>
        </w:rPr>
        <w:t>3</w:t>
      </w:r>
      <w:r>
        <w:rPr>
          <w:rFonts w:ascii="Helvetica" w:hAnsi="Helvetica"/>
          <w:color w:val="616161"/>
          <w:sz w:val="20"/>
          <w:szCs w:val="20"/>
        </w:rPr>
        <w:t>University of Liverpool; </w:t>
      </w:r>
      <w:r>
        <w:rPr>
          <w:rFonts w:ascii="Helvetica" w:hAnsi="Helvetica"/>
          <w:color w:val="616161"/>
          <w:sz w:val="20"/>
          <w:szCs w:val="20"/>
          <w:vertAlign w:val="superscript"/>
        </w:rPr>
        <w:t>4</w:t>
      </w:r>
      <w:r>
        <w:rPr>
          <w:rFonts w:ascii="Helvetica" w:hAnsi="Helvetica"/>
          <w:color w:val="616161"/>
          <w:sz w:val="20"/>
          <w:szCs w:val="20"/>
        </w:rPr>
        <w:t>Department of Biostatistics, University of Liverpool; </w:t>
      </w:r>
      <w:r>
        <w:rPr>
          <w:rFonts w:ascii="Helvetica" w:hAnsi="Helvetica"/>
          <w:color w:val="616161"/>
          <w:sz w:val="20"/>
          <w:szCs w:val="20"/>
          <w:vertAlign w:val="superscript"/>
        </w:rPr>
        <w:t>5</w:t>
      </w:r>
      <w:r>
        <w:rPr>
          <w:rFonts w:ascii="Helvetica" w:hAnsi="Helvetica"/>
          <w:color w:val="616161"/>
          <w:sz w:val="20"/>
          <w:szCs w:val="20"/>
        </w:rPr>
        <w:t>Molecular and Clinical Pharmacology, University of Liverpool; </w:t>
      </w:r>
      <w:r>
        <w:rPr>
          <w:rFonts w:ascii="Helvetica" w:hAnsi="Helvetica"/>
          <w:color w:val="616161"/>
          <w:sz w:val="20"/>
          <w:szCs w:val="20"/>
          <w:vertAlign w:val="superscript"/>
        </w:rPr>
        <w:t>6</w:t>
      </w:r>
      <w:r>
        <w:rPr>
          <w:rFonts w:ascii="Helvetica" w:hAnsi="Helvetica"/>
          <w:color w:val="616161"/>
          <w:sz w:val="20"/>
          <w:szCs w:val="20"/>
        </w:rPr>
        <w:t>Department of Statistics, University of Warwick; </w:t>
      </w:r>
      <w:r>
        <w:rPr>
          <w:rFonts w:ascii="Helvetica" w:hAnsi="Helvetica"/>
          <w:color w:val="616161"/>
          <w:sz w:val="20"/>
          <w:szCs w:val="20"/>
          <w:vertAlign w:val="superscript"/>
        </w:rPr>
        <w:t>7</w:t>
      </w:r>
      <w:r>
        <w:rPr>
          <w:rFonts w:ascii="Helvetica" w:hAnsi="Helvetica"/>
          <w:color w:val="616161"/>
          <w:sz w:val="20"/>
          <w:szCs w:val="20"/>
        </w:rPr>
        <w:t>Liverpool Health Partners, Liverpool.</w:t>
      </w:r>
    </w:p>
    <w:p w:rsidR="00D30EF5" w:rsidRDefault="00D30EF5" w:rsidP="00D30EF5">
      <w:pPr>
        <w:pStyle w:val="NormalWeb"/>
        <w:spacing w:before="0" w:beforeAutospacing="0" w:after="0" w:afterAutospacing="0" w:line="270" w:lineRule="atLeast"/>
        <w:jc w:val="both"/>
        <w:rPr>
          <w:rFonts w:ascii="Helvetica" w:hAnsi="Helvetica"/>
          <w:color w:val="616161"/>
          <w:sz w:val="20"/>
          <w:szCs w:val="20"/>
        </w:rPr>
      </w:pPr>
      <w:r>
        <w:rPr>
          <w:b/>
          <w:bCs/>
          <w:color w:val="000000"/>
        </w:rPr>
        <w:t>Objective:</w:t>
      </w:r>
      <w:r>
        <w:rPr>
          <w:color w:val="000000"/>
        </w:rPr>
        <w:t> To evaluate the effectiveness of adjuvant levetiracetam in drug-resistant focal epilepsy. This is an update to the 2001 and 2012 reviews.</w:t>
      </w:r>
    </w:p>
    <w:p w:rsidR="00D30EF5" w:rsidRDefault="00D30EF5" w:rsidP="00D30EF5">
      <w:pPr>
        <w:pStyle w:val="NormalWeb"/>
        <w:spacing w:before="0" w:beforeAutospacing="0" w:after="0" w:afterAutospacing="0" w:line="270" w:lineRule="atLeast"/>
        <w:jc w:val="both"/>
        <w:rPr>
          <w:rFonts w:ascii="Helvetica" w:hAnsi="Helvetica"/>
          <w:color w:val="616161"/>
          <w:sz w:val="20"/>
          <w:szCs w:val="20"/>
        </w:rPr>
      </w:pPr>
      <w:r>
        <w:rPr>
          <w:rFonts w:ascii="Helvetica" w:hAnsi="Helvetica"/>
          <w:color w:val="616161"/>
          <w:sz w:val="20"/>
          <w:szCs w:val="20"/>
        </w:rPr>
        <w:t> </w:t>
      </w:r>
    </w:p>
    <w:p w:rsidR="00D30EF5" w:rsidRDefault="00D30EF5" w:rsidP="00D30EF5">
      <w:pPr>
        <w:pStyle w:val="NormalWeb"/>
        <w:spacing w:before="0" w:beforeAutospacing="0" w:after="0" w:afterAutospacing="0" w:line="270" w:lineRule="atLeast"/>
        <w:jc w:val="both"/>
        <w:rPr>
          <w:rFonts w:ascii="Helvetica" w:hAnsi="Helvetica"/>
          <w:color w:val="616161"/>
          <w:sz w:val="20"/>
          <w:szCs w:val="20"/>
        </w:rPr>
      </w:pPr>
      <w:r>
        <w:rPr>
          <w:b/>
          <w:bCs/>
          <w:color w:val="000000"/>
        </w:rPr>
        <w:t>Methods:</w:t>
      </w:r>
      <w:r>
        <w:rPr>
          <w:color w:val="000000"/>
        </w:rPr>
        <w:t> The search included the Cochrane Register of Studies and MEDLINE to 09/2018 for randomised, placebo-controlled trials of add-on levetiracetam in drug-resistant focal epilepsy. Two authors independently performed study selection, data extraction, and risk of bias assessments. Outcomes included ≥50% reduction in seizure frequency (response) and adverse effects. We performed Mantel-</w:t>
      </w:r>
      <w:proofErr w:type="spellStart"/>
      <w:r>
        <w:rPr>
          <w:color w:val="000000"/>
        </w:rPr>
        <w:t>Haenszel</w:t>
      </w:r>
      <w:proofErr w:type="spellEnd"/>
      <w:r>
        <w:rPr>
          <w:color w:val="000000"/>
        </w:rPr>
        <w:t xml:space="preserve"> meta-analyses for risk ratios (RR), with 95% CI (99% for adverse effects). We assessed heterogeneity using I².</w:t>
      </w:r>
    </w:p>
    <w:p w:rsidR="00D30EF5" w:rsidRDefault="00D30EF5" w:rsidP="00D30EF5">
      <w:pPr>
        <w:pStyle w:val="NormalWeb"/>
        <w:spacing w:before="0" w:beforeAutospacing="0" w:after="0" w:afterAutospacing="0" w:line="270" w:lineRule="atLeast"/>
        <w:jc w:val="both"/>
        <w:rPr>
          <w:rFonts w:ascii="Helvetica" w:hAnsi="Helvetica"/>
          <w:color w:val="616161"/>
          <w:sz w:val="20"/>
          <w:szCs w:val="20"/>
        </w:rPr>
      </w:pPr>
      <w:r>
        <w:rPr>
          <w:rFonts w:ascii="Helvetica" w:hAnsi="Helvetica"/>
          <w:color w:val="616161"/>
          <w:sz w:val="20"/>
          <w:szCs w:val="20"/>
        </w:rPr>
        <w:t> </w:t>
      </w:r>
    </w:p>
    <w:p w:rsidR="00D30EF5" w:rsidRDefault="00D30EF5" w:rsidP="00D30EF5">
      <w:pPr>
        <w:pStyle w:val="NormalWeb"/>
        <w:spacing w:before="0" w:beforeAutospacing="0" w:after="0" w:afterAutospacing="0" w:line="270" w:lineRule="atLeast"/>
        <w:jc w:val="both"/>
        <w:rPr>
          <w:rFonts w:ascii="Helvetica" w:hAnsi="Helvetica"/>
          <w:color w:val="616161"/>
          <w:sz w:val="20"/>
          <w:szCs w:val="20"/>
        </w:rPr>
      </w:pPr>
      <w:r>
        <w:rPr>
          <w:b/>
          <w:bCs/>
          <w:color w:val="000000"/>
        </w:rPr>
        <w:t>Results:</w:t>
      </w:r>
      <w:r>
        <w:rPr>
          <w:color w:val="000000"/>
        </w:rPr>
        <w:t> This update includes 14 trials (three more than the previous update), assessing 2,452 participants (296 children). Risks of bias were predominantly low. There were important levels of heterogeneity across multiple comparisons. There were two new findings:</w:t>
      </w:r>
    </w:p>
    <w:p w:rsidR="00D30EF5" w:rsidRDefault="00D30EF5" w:rsidP="00D30EF5">
      <w:pPr>
        <w:pStyle w:val="NormalWeb"/>
        <w:spacing w:before="0" w:beforeAutospacing="0" w:after="0" w:afterAutospacing="0" w:line="270" w:lineRule="atLeast"/>
        <w:jc w:val="both"/>
        <w:rPr>
          <w:rFonts w:ascii="Helvetica" w:hAnsi="Helvetica"/>
          <w:color w:val="616161"/>
          <w:sz w:val="20"/>
          <w:szCs w:val="20"/>
        </w:rPr>
      </w:pPr>
      <w:r>
        <w:rPr>
          <w:rFonts w:ascii="Helvetica" w:hAnsi="Helvetica"/>
          <w:color w:val="616161"/>
          <w:sz w:val="20"/>
          <w:szCs w:val="20"/>
        </w:rPr>
        <w:t> </w:t>
      </w:r>
    </w:p>
    <w:p w:rsidR="00D30EF5" w:rsidRDefault="00D30EF5" w:rsidP="00D30EF5">
      <w:pPr>
        <w:pStyle w:val="NormalWeb"/>
        <w:spacing w:before="0" w:beforeAutospacing="0" w:after="0" w:afterAutospacing="0" w:line="270" w:lineRule="atLeast"/>
        <w:jc w:val="both"/>
        <w:rPr>
          <w:rFonts w:ascii="Helvetica" w:hAnsi="Helvetica"/>
          <w:color w:val="616161"/>
          <w:sz w:val="20"/>
          <w:szCs w:val="20"/>
        </w:rPr>
      </w:pPr>
      <w:r>
        <w:rPr>
          <w:color w:val="000000"/>
        </w:rPr>
        <w:t>1) Levetiracetam at either 500 mg/day or 4000 mg/day did not perform better than placebo for response (500 mg: RR 1.60, CI 0.71-3.62; 4000 mg: RR 1.64, CI 0.59-4.57). Levetiracetam was significantly better than placebo at all other individual doses (1000-3000 mg).</w:t>
      </w:r>
    </w:p>
    <w:p w:rsidR="00D30EF5" w:rsidRDefault="00D30EF5" w:rsidP="00D30EF5">
      <w:pPr>
        <w:pStyle w:val="NormalWeb"/>
        <w:spacing w:before="0" w:beforeAutospacing="0" w:after="0" w:afterAutospacing="0" w:line="270" w:lineRule="atLeast"/>
        <w:jc w:val="both"/>
        <w:rPr>
          <w:rFonts w:ascii="Helvetica" w:hAnsi="Helvetica"/>
          <w:color w:val="616161"/>
          <w:sz w:val="20"/>
          <w:szCs w:val="20"/>
        </w:rPr>
      </w:pPr>
      <w:r>
        <w:rPr>
          <w:rFonts w:ascii="Helvetica" w:hAnsi="Helvetica"/>
          <w:color w:val="616161"/>
          <w:sz w:val="20"/>
          <w:szCs w:val="20"/>
        </w:rPr>
        <w:t> </w:t>
      </w:r>
    </w:p>
    <w:p w:rsidR="00D30EF5" w:rsidRDefault="00D30EF5" w:rsidP="00D30EF5">
      <w:pPr>
        <w:pStyle w:val="NormalWeb"/>
        <w:spacing w:before="0" w:beforeAutospacing="0" w:after="0" w:afterAutospacing="0" w:line="270" w:lineRule="atLeast"/>
        <w:jc w:val="both"/>
        <w:rPr>
          <w:rFonts w:ascii="Helvetica" w:hAnsi="Helvetica"/>
          <w:color w:val="616161"/>
          <w:sz w:val="20"/>
          <w:szCs w:val="20"/>
        </w:rPr>
      </w:pPr>
      <w:r>
        <w:rPr>
          <w:color w:val="000000"/>
        </w:rPr>
        <w:t>2) Odds of achieving response were increased by nearly 40% (odds ratio 1.39, CI 1.23-1.58) for each 1000 mg increase in dose of levetiracetam.</w:t>
      </w:r>
    </w:p>
    <w:p w:rsidR="00D30EF5" w:rsidRDefault="00D30EF5" w:rsidP="00D30EF5">
      <w:pPr>
        <w:pStyle w:val="NormalWeb"/>
        <w:spacing w:before="0" w:beforeAutospacing="0" w:after="0" w:afterAutospacing="0" w:line="270" w:lineRule="atLeast"/>
        <w:jc w:val="both"/>
        <w:rPr>
          <w:rFonts w:ascii="Helvetica" w:hAnsi="Helvetica"/>
          <w:color w:val="616161"/>
          <w:sz w:val="20"/>
          <w:szCs w:val="20"/>
        </w:rPr>
      </w:pPr>
      <w:r>
        <w:rPr>
          <w:rFonts w:ascii="Helvetica" w:hAnsi="Helvetica"/>
          <w:color w:val="616161"/>
          <w:sz w:val="20"/>
          <w:szCs w:val="20"/>
        </w:rPr>
        <w:t> </w:t>
      </w:r>
    </w:p>
    <w:p w:rsidR="00D30EF5" w:rsidRDefault="00D30EF5" w:rsidP="00D30EF5">
      <w:pPr>
        <w:pStyle w:val="NormalWeb"/>
        <w:spacing w:before="0" w:beforeAutospacing="0" w:after="0" w:afterAutospacing="0" w:line="270" w:lineRule="atLeast"/>
        <w:jc w:val="both"/>
        <w:rPr>
          <w:rFonts w:ascii="Helvetica" w:hAnsi="Helvetica"/>
          <w:color w:val="616161"/>
          <w:sz w:val="20"/>
          <w:szCs w:val="20"/>
        </w:rPr>
      </w:pPr>
      <w:r>
        <w:rPr>
          <w:color w:val="000000"/>
        </w:rPr>
        <w:t>Somnolence remained the most common adverse effect, and changes in behaviour were negligible overall.</w:t>
      </w:r>
    </w:p>
    <w:p w:rsidR="00D30EF5" w:rsidRDefault="00D30EF5" w:rsidP="00D30EF5">
      <w:pPr>
        <w:pStyle w:val="NormalWeb"/>
        <w:spacing w:before="0" w:beforeAutospacing="0" w:after="0" w:afterAutospacing="0" w:line="270" w:lineRule="atLeast"/>
        <w:jc w:val="both"/>
        <w:rPr>
          <w:rFonts w:ascii="Helvetica" w:hAnsi="Helvetica"/>
          <w:color w:val="616161"/>
          <w:sz w:val="20"/>
          <w:szCs w:val="20"/>
        </w:rPr>
      </w:pPr>
      <w:r>
        <w:rPr>
          <w:rFonts w:ascii="Helvetica" w:hAnsi="Helvetica"/>
          <w:color w:val="616161"/>
          <w:sz w:val="20"/>
          <w:szCs w:val="20"/>
        </w:rPr>
        <w:t> </w:t>
      </w:r>
    </w:p>
    <w:p w:rsidR="00D30EF5" w:rsidRDefault="00D30EF5" w:rsidP="00D30EF5">
      <w:pPr>
        <w:pStyle w:val="NormalWeb"/>
        <w:spacing w:before="0" w:beforeAutospacing="0" w:after="0" w:afterAutospacing="0" w:line="270" w:lineRule="atLeast"/>
        <w:jc w:val="both"/>
        <w:rPr>
          <w:rFonts w:ascii="Helvetica" w:hAnsi="Helvetica"/>
          <w:color w:val="616161"/>
          <w:sz w:val="20"/>
          <w:szCs w:val="20"/>
        </w:rPr>
      </w:pPr>
      <w:r>
        <w:rPr>
          <w:b/>
          <w:bCs/>
          <w:color w:val="000000"/>
        </w:rPr>
        <w:t>Conclusions:</w:t>
      </w:r>
      <w:r>
        <w:rPr>
          <w:color w:val="000000"/>
        </w:rPr>
        <w:t> It seems reasonable to continue using levetiracetam in drug-resistant focal epilepsy, although a 500-mg dose may be no more effective than placebo.</w:t>
      </w:r>
    </w:p>
    <w:p w:rsidR="00D30EF5" w:rsidRDefault="00D30EF5" w:rsidP="00D30EF5">
      <w:pPr>
        <w:pStyle w:val="NormalWeb"/>
        <w:spacing w:before="0" w:beforeAutospacing="0" w:after="0" w:afterAutospacing="0" w:line="270" w:lineRule="atLeast"/>
        <w:jc w:val="both"/>
        <w:rPr>
          <w:rFonts w:ascii="Helvetica" w:hAnsi="Helvetica"/>
          <w:color w:val="616161"/>
          <w:sz w:val="20"/>
          <w:szCs w:val="20"/>
        </w:rPr>
      </w:pPr>
      <w:r>
        <w:rPr>
          <w:rFonts w:ascii="Helvetica" w:hAnsi="Helvetica"/>
          <w:color w:val="616161"/>
          <w:sz w:val="20"/>
          <w:szCs w:val="20"/>
        </w:rPr>
        <w:t> </w:t>
      </w:r>
    </w:p>
    <w:p w:rsidR="00D30EF5" w:rsidRDefault="002C3C38" w:rsidP="00D30EF5">
      <w:pPr>
        <w:spacing w:after="450"/>
        <w:rPr>
          <w:rFonts w:ascii="Helvetica" w:hAnsi="Helvetica"/>
          <w:color w:val="616161"/>
          <w:sz w:val="21"/>
          <w:szCs w:val="21"/>
        </w:rPr>
      </w:pPr>
      <w:r>
        <w:rPr>
          <w:rFonts w:ascii="Helvetica" w:hAnsi="Helvetica"/>
          <w:noProof/>
          <w:color w:val="616161"/>
          <w:sz w:val="21"/>
          <w:szCs w:val="21"/>
        </w:rPr>
        <w:pict>
          <v:rect id="_x0000_i1025" alt="" style="width:451pt;height:.05pt;mso-width-percent:0;mso-height-percent:0;mso-width-percent:0;mso-height-percent:0" o:hralign="center" o:hrstd="t" o:hrnoshade="t" o:hr="t" fillcolor="silver" stroked="f"/>
        </w:pict>
      </w:r>
    </w:p>
    <w:p w:rsidR="00530CF7" w:rsidRPr="00F312D1" w:rsidRDefault="00530CF7" w:rsidP="00F312D1">
      <w:pPr>
        <w:jc w:val="both"/>
        <w:rPr>
          <w:rFonts w:ascii="Times New Roman" w:hAnsi="Times New Roman" w:cs="Times New Roman"/>
        </w:rPr>
      </w:pPr>
    </w:p>
    <w:sectPr w:rsidR="00530CF7" w:rsidRPr="00F312D1" w:rsidSect="00867C3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615"/>
    <w:rsid w:val="000067B3"/>
    <w:rsid w:val="0000771D"/>
    <w:rsid w:val="00013731"/>
    <w:rsid w:val="0001413A"/>
    <w:rsid w:val="00014891"/>
    <w:rsid w:val="00045F67"/>
    <w:rsid w:val="00052446"/>
    <w:rsid w:val="00054442"/>
    <w:rsid w:val="0009211F"/>
    <w:rsid w:val="000C785C"/>
    <w:rsid w:val="000C7AF7"/>
    <w:rsid w:val="000D28A0"/>
    <w:rsid w:val="000D4820"/>
    <w:rsid w:val="000E176B"/>
    <w:rsid w:val="00101355"/>
    <w:rsid w:val="0010197E"/>
    <w:rsid w:val="00141353"/>
    <w:rsid w:val="001445B8"/>
    <w:rsid w:val="00155A0E"/>
    <w:rsid w:val="00171541"/>
    <w:rsid w:val="0018511D"/>
    <w:rsid w:val="0019013E"/>
    <w:rsid w:val="00197C2C"/>
    <w:rsid w:val="001A0717"/>
    <w:rsid w:val="001C5BB6"/>
    <w:rsid w:val="002039C2"/>
    <w:rsid w:val="002125D2"/>
    <w:rsid w:val="0024424A"/>
    <w:rsid w:val="00244C57"/>
    <w:rsid w:val="00272113"/>
    <w:rsid w:val="00286926"/>
    <w:rsid w:val="002C3C38"/>
    <w:rsid w:val="002F5330"/>
    <w:rsid w:val="003230E5"/>
    <w:rsid w:val="003441A3"/>
    <w:rsid w:val="00352C0A"/>
    <w:rsid w:val="00370897"/>
    <w:rsid w:val="003B6EEF"/>
    <w:rsid w:val="003C7DE1"/>
    <w:rsid w:val="003D165F"/>
    <w:rsid w:val="003D2925"/>
    <w:rsid w:val="0045360F"/>
    <w:rsid w:val="004B27AD"/>
    <w:rsid w:val="004C00DB"/>
    <w:rsid w:val="004F5580"/>
    <w:rsid w:val="004F5924"/>
    <w:rsid w:val="005243FA"/>
    <w:rsid w:val="00527093"/>
    <w:rsid w:val="00530CF7"/>
    <w:rsid w:val="00543203"/>
    <w:rsid w:val="00545BF4"/>
    <w:rsid w:val="005844C8"/>
    <w:rsid w:val="005C5782"/>
    <w:rsid w:val="005D30D2"/>
    <w:rsid w:val="005E3212"/>
    <w:rsid w:val="005E735B"/>
    <w:rsid w:val="00604B89"/>
    <w:rsid w:val="00605FB9"/>
    <w:rsid w:val="00607A0E"/>
    <w:rsid w:val="00617A07"/>
    <w:rsid w:val="006271A7"/>
    <w:rsid w:val="00633B3E"/>
    <w:rsid w:val="0064286A"/>
    <w:rsid w:val="006474AB"/>
    <w:rsid w:val="00693677"/>
    <w:rsid w:val="006B58D8"/>
    <w:rsid w:val="006C5054"/>
    <w:rsid w:val="006D434C"/>
    <w:rsid w:val="007010EB"/>
    <w:rsid w:val="00743EF6"/>
    <w:rsid w:val="007622BA"/>
    <w:rsid w:val="0077054B"/>
    <w:rsid w:val="00770750"/>
    <w:rsid w:val="0078533B"/>
    <w:rsid w:val="007C5E79"/>
    <w:rsid w:val="007C657D"/>
    <w:rsid w:val="007E30EC"/>
    <w:rsid w:val="00802204"/>
    <w:rsid w:val="008209ED"/>
    <w:rsid w:val="008317AE"/>
    <w:rsid w:val="008425E5"/>
    <w:rsid w:val="00867C36"/>
    <w:rsid w:val="008E1418"/>
    <w:rsid w:val="00912AC2"/>
    <w:rsid w:val="009224CE"/>
    <w:rsid w:val="00932AAA"/>
    <w:rsid w:val="00962A15"/>
    <w:rsid w:val="0097065D"/>
    <w:rsid w:val="00973E07"/>
    <w:rsid w:val="00987CB7"/>
    <w:rsid w:val="009A2D42"/>
    <w:rsid w:val="009C29DE"/>
    <w:rsid w:val="009E71F7"/>
    <w:rsid w:val="009F4F74"/>
    <w:rsid w:val="00A00A6F"/>
    <w:rsid w:val="00A1751C"/>
    <w:rsid w:val="00A20D0F"/>
    <w:rsid w:val="00A45626"/>
    <w:rsid w:val="00A55E29"/>
    <w:rsid w:val="00A578E1"/>
    <w:rsid w:val="00A71567"/>
    <w:rsid w:val="00A84615"/>
    <w:rsid w:val="00A93A8B"/>
    <w:rsid w:val="00A94D96"/>
    <w:rsid w:val="00AA3C2D"/>
    <w:rsid w:val="00AC7236"/>
    <w:rsid w:val="00AD2643"/>
    <w:rsid w:val="00AD7D28"/>
    <w:rsid w:val="00AE0B99"/>
    <w:rsid w:val="00AF666A"/>
    <w:rsid w:val="00B00931"/>
    <w:rsid w:val="00B02FA0"/>
    <w:rsid w:val="00B050B3"/>
    <w:rsid w:val="00B10998"/>
    <w:rsid w:val="00B17A8E"/>
    <w:rsid w:val="00B30DD9"/>
    <w:rsid w:val="00B51A69"/>
    <w:rsid w:val="00B613D1"/>
    <w:rsid w:val="00B75366"/>
    <w:rsid w:val="00B901D5"/>
    <w:rsid w:val="00BA09E9"/>
    <w:rsid w:val="00BA0AFD"/>
    <w:rsid w:val="00BC5909"/>
    <w:rsid w:val="00C2253D"/>
    <w:rsid w:val="00C40CB3"/>
    <w:rsid w:val="00C57F7A"/>
    <w:rsid w:val="00C731B1"/>
    <w:rsid w:val="00CB694A"/>
    <w:rsid w:val="00CC2E43"/>
    <w:rsid w:val="00CC4562"/>
    <w:rsid w:val="00CD2512"/>
    <w:rsid w:val="00CE2DFB"/>
    <w:rsid w:val="00D02DEA"/>
    <w:rsid w:val="00D034A6"/>
    <w:rsid w:val="00D12D06"/>
    <w:rsid w:val="00D25D28"/>
    <w:rsid w:val="00D30EF5"/>
    <w:rsid w:val="00D3392A"/>
    <w:rsid w:val="00D55A94"/>
    <w:rsid w:val="00D55F50"/>
    <w:rsid w:val="00D9302C"/>
    <w:rsid w:val="00DD1BA6"/>
    <w:rsid w:val="00DF480E"/>
    <w:rsid w:val="00E026DB"/>
    <w:rsid w:val="00E414A0"/>
    <w:rsid w:val="00E424D8"/>
    <w:rsid w:val="00E44E7B"/>
    <w:rsid w:val="00E5750D"/>
    <w:rsid w:val="00E6426A"/>
    <w:rsid w:val="00E91CAB"/>
    <w:rsid w:val="00E940B6"/>
    <w:rsid w:val="00EC6426"/>
    <w:rsid w:val="00EE1056"/>
    <w:rsid w:val="00EF4060"/>
    <w:rsid w:val="00F13F61"/>
    <w:rsid w:val="00F312D1"/>
    <w:rsid w:val="00F36469"/>
    <w:rsid w:val="00F57677"/>
    <w:rsid w:val="00F87488"/>
    <w:rsid w:val="00F87B48"/>
    <w:rsid w:val="00FC43A1"/>
    <w:rsid w:val="00FD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499861C5-8736-6243-A1AE-7C66FA69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A8461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30EF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D30EF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4615"/>
    <w:rPr>
      <w:rFonts w:ascii="Times New Roman" w:eastAsia="Times New Roman" w:hAnsi="Times New Roman" w:cs="Times New Roman"/>
      <w:b/>
      <w:bCs/>
      <w:sz w:val="36"/>
      <w:szCs w:val="36"/>
      <w:lang w:val="en-GB"/>
    </w:rPr>
  </w:style>
  <w:style w:type="paragraph" w:styleId="NormalWeb">
    <w:name w:val="Normal (Web)"/>
    <w:basedOn w:val="Normal"/>
    <w:uiPriority w:val="99"/>
    <w:semiHidden/>
    <w:unhideWhenUsed/>
    <w:rsid w:val="00A84615"/>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D30EF5"/>
    <w:rPr>
      <w:rFonts w:asciiTheme="majorHAnsi" w:eastAsiaTheme="majorEastAsia" w:hAnsiTheme="majorHAnsi" w:cstheme="majorBidi"/>
      <w:color w:val="1F3763" w:themeColor="accent1" w:themeShade="7F"/>
      <w:lang w:val="en-GB"/>
    </w:rPr>
  </w:style>
  <w:style w:type="character" w:customStyle="1" w:styleId="Heading4Char">
    <w:name w:val="Heading 4 Char"/>
    <w:basedOn w:val="DefaultParagraphFont"/>
    <w:link w:val="Heading4"/>
    <w:uiPriority w:val="9"/>
    <w:semiHidden/>
    <w:rsid w:val="00D30EF5"/>
    <w:rPr>
      <w:rFonts w:asciiTheme="majorHAnsi" w:eastAsiaTheme="majorEastAsia" w:hAnsiTheme="majorHAnsi" w:cstheme="majorBidi"/>
      <w:i/>
      <w:iCs/>
      <w:color w:val="2F5496" w:themeColor="accent1" w:themeShade="BF"/>
      <w:lang w:val="en-GB"/>
    </w:rPr>
  </w:style>
  <w:style w:type="character" w:styleId="Strong">
    <w:name w:val="Strong"/>
    <w:basedOn w:val="DefaultParagraphFont"/>
    <w:uiPriority w:val="22"/>
    <w:qFormat/>
    <w:rsid w:val="00D30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22680">
      <w:bodyDiv w:val="1"/>
      <w:marLeft w:val="0"/>
      <w:marRight w:val="0"/>
      <w:marTop w:val="0"/>
      <w:marBottom w:val="0"/>
      <w:divBdr>
        <w:top w:val="none" w:sz="0" w:space="0" w:color="auto"/>
        <w:left w:val="none" w:sz="0" w:space="0" w:color="auto"/>
        <w:bottom w:val="none" w:sz="0" w:space="0" w:color="auto"/>
        <w:right w:val="none" w:sz="0" w:space="0" w:color="auto"/>
      </w:divBdr>
    </w:div>
    <w:div w:id="846602820">
      <w:bodyDiv w:val="1"/>
      <w:marLeft w:val="0"/>
      <w:marRight w:val="0"/>
      <w:marTop w:val="0"/>
      <w:marBottom w:val="0"/>
      <w:divBdr>
        <w:top w:val="none" w:sz="0" w:space="0" w:color="auto"/>
        <w:left w:val="none" w:sz="0" w:space="0" w:color="auto"/>
        <w:bottom w:val="none" w:sz="0" w:space="0" w:color="auto"/>
        <w:right w:val="none" w:sz="0" w:space="0" w:color="auto"/>
      </w:divBdr>
    </w:div>
    <w:div w:id="1443381092">
      <w:bodyDiv w:val="1"/>
      <w:marLeft w:val="0"/>
      <w:marRight w:val="0"/>
      <w:marTop w:val="0"/>
      <w:marBottom w:val="0"/>
      <w:divBdr>
        <w:top w:val="none" w:sz="0" w:space="0" w:color="auto"/>
        <w:left w:val="none" w:sz="0" w:space="0" w:color="auto"/>
        <w:bottom w:val="none" w:sz="0" w:space="0" w:color="auto"/>
        <w:right w:val="none" w:sz="0" w:space="0" w:color="auto"/>
      </w:divBdr>
    </w:div>
    <w:div w:id="1842503745">
      <w:bodyDiv w:val="1"/>
      <w:marLeft w:val="0"/>
      <w:marRight w:val="0"/>
      <w:marTop w:val="0"/>
      <w:marBottom w:val="0"/>
      <w:divBdr>
        <w:top w:val="none" w:sz="0" w:space="0" w:color="auto"/>
        <w:left w:val="none" w:sz="0" w:space="0" w:color="auto"/>
        <w:bottom w:val="none" w:sz="0" w:space="0" w:color="auto"/>
        <w:right w:val="none" w:sz="0" w:space="0" w:color="auto"/>
      </w:divBdr>
    </w:div>
    <w:div w:id="2056848238">
      <w:bodyDiv w:val="1"/>
      <w:marLeft w:val="0"/>
      <w:marRight w:val="0"/>
      <w:marTop w:val="0"/>
      <w:marBottom w:val="0"/>
      <w:divBdr>
        <w:top w:val="none" w:sz="0" w:space="0" w:color="auto"/>
        <w:left w:val="none" w:sz="0" w:space="0" w:color="auto"/>
        <w:bottom w:val="none" w:sz="0" w:space="0" w:color="auto"/>
        <w:right w:val="none" w:sz="0" w:space="0" w:color="auto"/>
      </w:divBdr>
    </w:div>
    <w:div w:id="206393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MBIZVO Gashirai</dc:creator>
  <cp:keywords/>
  <dc:description/>
  <cp:lastModifiedBy>Gashirai Mbizvo</cp:lastModifiedBy>
  <cp:revision>2</cp:revision>
  <dcterms:created xsi:type="dcterms:W3CDTF">2023-06-07T13:18:00Z</dcterms:created>
  <dcterms:modified xsi:type="dcterms:W3CDTF">2023-06-07T13:18:00Z</dcterms:modified>
</cp:coreProperties>
</file>