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1CB1" w14:textId="77777777" w:rsidR="00D74413" w:rsidRPr="00D74413" w:rsidRDefault="00D74413" w:rsidP="00D74413">
      <w:pPr>
        <w:rPr>
          <w:rFonts w:ascii="Book Antiqua" w:hAnsi="Book Antiqua"/>
          <w:b/>
          <w:bCs/>
          <w:sz w:val="28"/>
          <w:szCs w:val="28"/>
        </w:rPr>
      </w:pPr>
      <w:r w:rsidRPr="00D74413">
        <w:rPr>
          <w:rFonts w:ascii="Book Antiqua" w:hAnsi="Book Antiqua"/>
          <w:b/>
          <w:bCs/>
          <w:sz w:val="28"/>
          <w:szCs w:val="28"/>
        </w:rPr>
        <w:t>International Political Economy and the State in the Middle East</w:t>
      </w:r>
    </w:p>
    <w:p w14:paraId="05BA87B9" w14:textId="77777777" w:rsidR="00D74413" w:rsidRPr="00D74413" w:rsidRDefault="00D74413" w:rsidP="00D74413">
      <w:pPr>
        <w:rPr>
          <w:rFonts w:ascii="Book Antiqua" w:hAnsi="Book Antiqua"/>
          <w:bCs/>
          <w:i/>
          <w:iCs/>
          <w:sz w:val="28"/>
          <w:szCs w:val="28"/>
        </w:rPr>
      </w:pPr>
      <w:r w:rsidRPr="00D74413">
        <w:rPr>
          <w:rFonts w:ascii="Book Antiqua" w:hAnsi="Book Antiqua"/>
          <w:bCs/>
          <w:i/>
          <w:iCs/>
          <w:sz w:val="28"/>
          <w:szCs w:val="28"/>
        </w:rPr>
        <w:t>Hannes Baumann (University of Liverpool)</w:t>
      </w:r>
    </w:p>
    <w:p w14:paraId="6DD3AEA5" w14:textId="77777777" w:rsidR="00D74413" w:rsidRDefault="00D74413" w:rsidP="00D74413">
      <w:pPr>
        <w:rPr>
          <w:rFonts w:ascii="Book Antiqua" w:hAnsi="Book Antiqua"/>
          <w:bCs/>
          <w:i/>
          <w:iCs/>
          <w:sz w:val="28"/>
          <w:szCs w:val="28"/>
        </w:rPr>
      </w:pPr>
      <w:r w:rsidRPr="00D74413">
        <w:rPr>
          <w:rFonts w:ascii="Book Antiqua" w:hAnsi="Book Antiqua"/>
          <w:bCs/>
          <w:i/>
          <w:iCs/>
          <w:sz w:val="28"/>
          <w:szCs w:val="28"/>
        </w:rPr>
        <w:t>Roberto Roccu (King’s College London)</w:t>
      </w:r>
    </w:p>
    <w:p w14:paraId="65B65111" w14:textId="77777777" w:rsidR="00D74413" w:rsidRPr="00D74413" w:rsidRDefault="00D74413" w:rsidP="00D74413">
      <w:pPr>
        <w:rPr>
          <w:rFonts w:ascii="Book Antiqua" w:hAnsi="Book Antiqua"/>
          <w:b/>
          <w:bCs/>
        </w:rPr>
      </w:pPr>
    </w:p>
    <w:p w14:paraId="191E59A2" w14:textId="77777777" w:rsidR="00D74413" w:rsidRPr="00D74413" w:rsidRDefault="00D74413" w:rsidP="00D74413">
      <w:pPr>
        <w:rPr>
          <w:rFonts w:ascii="Book Antiqua" w:hAnsi="Book Antiqua"/>
          <w:bCs/>
        </w:rPr>
      </w:pPr>
      <w:r w:rsidRPr="00D74413">
        <w:rPr>
          <w:rFonts w:ascii="Book Antiqua" w:hAnsi="Book Antiqua"/>
          <w:bCs/>
        </w:rPr>
        <w:t xml:space="preserve">This is an author-accepted version. The version of record of this manuscript will be published and become available in </w:t>
      </w:r>
      <w:r w:rsidRPr="00D74413">
        <w:rPr>
          <w:rFonts w:ascii="Book Antiqua" w:hAnsi="Book Antiqua"/>
          <w:bCs/>
          <w:i/>
        </w:rPr>
        <w:t>Globalizations</w:t>
      </w:r>
      <w:r w:rsidRPr="00D74413">
        <w:rPr>
          <w:rFonts w:ascii="Book Antiqua" w:hAnsi="Book Antiqua"/>
          <w:bCs/>
        </w:rPr>
        <w:t>, DOI: 10.1080/14747731.2023.2223951</w:t>
      </w:r>
    </w:p>
    <w:p w14:paraId="00A247D9" w14:textId="77777777" w:rsidR="00D74413" w:rsidRDefault="00D74413" w:rsidP="00D74413">
      <w:pPr>
        <w:rPr>
          <w:rFonts w:ascii="Book Antiqua" w:hAnsi="Book Antiqua"/>
          <w:bCs/>
          <w:sz w:val="28"/>
          <w:szCs w:val="28"/>
        </w:rPr>
      </w:pPr>
    </w:p>
    <w:p w14:paraId="39DFF3B7" w14:textId="77777777" w:rsidR="00D74413" w:rsidRDefault="00D74413" w:rsidP="00D74413">
      <w:pPr>
        <w:rPr>
          <w:rFonts w:ascii="Book Antiqua" w:hAnsi="Book Antiqua"/>
          <w:bCs/>
          <w:sz w:val="28"/>
          <w:szCs w:val="28"/>
        </w:rPr>
      </w:pPr>
      <w:r>
        <w:rPr>
          <w:rFonts w:ascii="Book Antiqua" w:hAnsi="Book Antiqua"/>
          <w:bCs/>
          <w:sz w:val="28"/>
          <w:szCs w:val="28"/>
        </w:rPr>
        <w:t xml:space="preserve">Abstract: </w:t>
      </w:r>
    </w:p>
    <w:p w14:paraId="1DC0099E" w14:textId="6B3DB89B" w:rsidR="00D74413" w:rsidRDefault="00D74413" w:rsidP="00D74413">
      <w:pPr>
        <w:rPr>
          <w:rFonts w:ascii="Book Antiqua" w:hAnsi="Book Antiqua"/>
        </w:rPr>
      </w:pPr>
      <w:r w:rsidRPr="00EA0274">
        <w:rPr>
          <w:rFonts w:ascii="Book Antiqua" w:hAnsi="Book Antiqua"/>
        </w:rPr>
        <w:t xml:space="preserve">International political economy has largely ignored the Middle East. This special issue not only expands the discipline’s scope geographically but also conceptually by addressing IPE’s ‘blind spots’ including gender and sexuality, race and colonialism, security-economy nexus, and the expertise intensity of our economy. Contributors do so by challenging </w:t>
      </w:r>
      <w:proofErr w:type="spellStart"/>
      <w:r w:rsidRPr="00EA0274">
        <w:rPr>
          <w:rFonts w:ascii="Book Antiqua" w:hAnsi="Book Antiqua"/>
        </w:rPr>
        <w:t>exceptionalist</w:t>
      </w:r>
      <w:proofErr w:type="spellEnd"/>
      <w:r w:rsidRPr="00EA0274">
        <w:rPr>
          <w:rFonts w:ascii="Book Antiqua" w:hAnsi="Book Antiqua"/>
        </w:rPr>
        <w:t xml:space="preserve"> conceptions of the Middle Eastern states as neo-patrimonial ‘rentier states’ unable to face challenges and seize opportunities of globalization. Contributors build on openings in IPE of the Middle East by deploying historical approaches, studying logistics that facilitate flows and circulation, regarding Middle Eastern states not just as passive recipients of globalization but active makers of regional and global capitalism, and through ethnography. The purpose is not to characterise a singular ‘the Middle Eastern state’ but to contribute to novel IPE debates on the state that go beyond Eurocentric institutionalism.</w:t>
      </w:r>
    </w:p>
    <w:p w14:paraId="0150EA47" w14:textId="4491859F" w:rsidR="000B1BF7" w:rsidRPr="00D74413" w:rsidRDefault="000B1BF7" w:rsidP="00D74413">
      <w:pPr>
        <w:rPr>
          <w:rFonts w:ascii="Book Antiqua" w:hAnsi="Book Antiqua"/>
          <w:bCs/>
          <w:sz w:val="28"/>
          <w:szCs w:val="28"/>
        </w:rPr>
      </w:pPr>
      <w:r w:rsidRPr="00D74413">
        <w:rPr>
          <w:rFonts w:ascii="Book Antiqua" w:hAnsi="Book Antiqua"/>
          <w:bCs/>
          <w:sz w:val="28"/>
          <w:szCs w:val="28"/>
        </w:rPr>
        <w:br w:type="page"/>
      </w:r>
    </w:p>
    <w:p w14:paraId="211009C7" w14:textId="6421D763" w:rsidR="006A398A" w:rsidRPr="00EA0274" w:rsidRDefault="00837B2B" w:rsidP="00C96098">
      <w:pPr>
        <w:spacing w:after="0" w:line="360" w:lineRule="auto"/>
        <w:jc w:val="center"/>
        <w:rPr>
          <w:rFonts w:ascii="Book Antiqua" w:hAnsi="Book Antiqua"/>
          <w:b/>
          <w:bCs/>
          <w:sz w:val="28"/>
          <w:szCs w:val="28"/>
        </w:rPr>
      </w:pPr>
      <w:r w:rsidRPr="00EA0274">
        <w:rPr>
          <w:rFonts w:ascii="Book Antiqua" w:hAnsi="Book Antiqua"/>
          <w:b/>
          <w:bCs/>
          <w:sz w:val="28"/>
          <w:szCs w:val="28"/>
        </w:rPr>
        <w:lastRenderedPageBreak/>
        <w:t>International Political Economy and the State in the Middle East</w:t>
      </w:r>
    </w:p>
    <w:p w14:paraId="11B1DF5B" w14:textId="56ED8E22" w:rsidR="00837B2B" w:rsidRPr="00EA0274" w:rsidRDefault="00837B2B" w:rsidP="00C96098">
      <w:pPr>
        <w:spacing w:after="0" w:line="360" w:lineRule="auto"/>
        <w:jc w:val="center"/>
        <w:rPr>
          <w:rFonts w:ascii="Book Antiqua" w:hAnsi="Book Antiqua"/>
          <w:i/>
          <w:iCs/>
          <w:sz w:val="24"/>
          <w:szCs w:val="24"/>
        </w:rPr>
      </w:pPr>
      <w:r w:rsidRPr="00EA0274">
        <w:rPr>
          <w:rFonts w:ascii="Book Antiqua" w:hAnsi="Book Antiqua"/>
          <w:i/>
          <w:iCs/>
          <w:sz w:val="24"/>
          <w:szCs w:val="24"/>
        </w:rPr>
        <w:t>Hannes Baumann (University of Liverpool)</w:t>
      </w:r>
    </w:p>
    <w:p w14:paraId="650BB37F" w14:textId="5778EDAB" w:rsidR="00B64D5B" w:rsidRPr="00EA0274" w:rsidRDefault="00B64D5B" w:rsidP="00C96098">
      <w:pPr>
        <w:spacing w:after="0" w:line="360" w:lineRule="auto"/>
        <w:jc w:val="center"/>
        <w:rPr>
          <w:rFonts w:ascii="Book Antiqua" w:hAnsi="Book Antiqua"/>
          <w:sz w:val="24"/>
          <w:szCs w:val="24"/>
        </w:rPr>
      </w:pPr>
      <w:r w:rsidRPr="00EA0274">
        <w:rPr>
          <w:rFonts w:ascii="Book Antiqua" w:hAnsi="Book Antiqua"/>
          <w:i/>
          <w:iCs/>
          <w:sz w:val="24"/>
          <w:szCs w:val="24"/>
        </w:rPr>
        <w:t>Roberto Roccu (King’s College London)</w:t>
      </w:r>
    </w:p>
    <w:p w14:paraId="77BE4013" w14:textId="299E71B8" w:rsidR="003F03BD" w:rsidRPr="00EA0274" w:rsidRDefault="003F03BD" w:rsidP="00731A98">
      <w:pPr>
        <w:ind w:left="720"/>
        <w:rPr>
          <w:rFonts w:ascii="Book Antiqua" w:hAnsi="Book Antiqua"/>
        </w:rPr>
      </w:pPr>
      <w:r w:rsidRPr="00EA0274">
        <w:rPr>
          <w:rFonts w:ascii="Book Antiqua" w:hAnsi="Book Antiqua"/>
        </w:rPr>
        <w:t>International political economy has largely ignored the Middle East. This special issue not only expands the discipline’s scope geographically but also conceptually by addressing IPE’s ‘blind spots’</w:t>
      </w:r>
      <w:r w:rsidR="00777C7B" w:rsidRPr="00EA0274">
        <w:rPr>
          <w:rFonts w:ascii="Book Antiqua" w:hAnsi="Book Antiqua"/>
        </w:rPr>
        <w:t xml:space="preserve"> including gender and sexuality, race and colonialism, security-economy nexus, and the expertise intensity of our economy</w:t>
      </w:r>
      <w:r w:rsidRPr="00EA0274">
        <w:rPr>
          <w:rFonts w:ascii="Book Antiqua" w:hAnsi="Book Antiqua"/>
        </w:rPr>
        <w:t xml:space="preserve">. Contributors do so by challenging </w:t>
      </w:r>
      <w:proofErr w:type="spellStart"/>
      <w:r w:rsidR="00777C7B" w:rsidRPr="00EA0274">
        <w:rPr>
          <w:rFonts w:ascii="Book Antiqua" w:hAnsi="Book Antiqua"/>
        </w:rPr>
        <w:t>exceptionalist</w:t>
      </w:r>
      <w:proofErr w:type="spellEnd"/>
      <w:r w:rsidRPr="00EA0274">
        <w:rPr>
          <w:rFonts w:ascii="Book Antiqua" w:hAnsi="Book Antiqua"/>
        </w:rPr>
        <w:t xml:space="preserve"> conceptions of the Middle Eastern state</w:t>
      </w:r>
      <w:r w:rsidR="00777C7B" w:rsidRPr="00EA0274">
        <w:rPr>
          <w:rFonts w:ascii="Book Antiqua" w:hAnsi="Book Antiqua"/>
        </w:rPr>
        <w:t>s</w:t>
      </w:r>
      <w:r w:rsidRPr="00EA0274">
        <w:rPr>
          <w:rFonts w:ascii="Book Antiqua" w:hAnsi="Book Antiqua"/>
        </w:rPr>
        <w:t xml:space="preserve"> as neo-patrimonial ‘rentier state</w:t>
      </w:r>
      <w:r w:rsidR="00777C7B" w:rsidRPr="00EA0274">
        <w:rPr>
          <w:rFonts w:ascii="Book Antiqua" w:hAnsi="Book Antiqua"/>
        </w:rPr>
        <w:t>s</w:t>
      </w:r>
      <w:r w:rsidRPr="00EA0274">
        <w:rPr>
          <w:rFonts w:ascii="Book Antiqua" w:hAnsi="Book Antiqua"/>
        </w:rPr>
        <w:t>’ unable to face challenges and seize opportunities of globalization. Contributors build on openings in IPE of the Middle East by deploying historical approach</w:t>
      </w:r>
      <w:r w:rsidR="00777C7B" w:rsidRPr="00EA0274">
        <w:rPr>
          <w:rFonts w:ascii="Book Antiqua" w:hAnsi="Book Antiqua"/>
        </w:rPr>
        <w:t>es</w:t>
      </w:r>
      <w:r w:rsidRPr="00EA0274">
        <w:rPr>
          <w:rFonts w:ascii="Book Antiqua" w:hAnsi="Book Antiqua"/>
        </w:rPr>
        <w:t>, studying logistics that facilitate flows and circulation, regarding Middle East</w:t>
      </w:r>
      <w:r w:rsidR="00777C7B" w:rsidRPr="00EA0274">
        <w:rPr>
          <w:rFonts w:ascii="Book Antiqua" w:hAnsi="Book Antiqua"/>
        </w:rPr>
        <w:t>ern states</w:t>
      </w:r>
      <w:r w:rsidRPr="00EA0274">
        <w:rPr>
          <w:rFonts w:ascii="Book Antiqua" w:hAnsi="Book Antiqua"/>
        </w:rPr>
        <w:t xml:space="preserve"> not just </w:t>
      </w:r>
      <w:r w:rsidR="00777C7B" w:rsidRPr="00EA0274">
        <w:rPr>
          <w:rFonts w:ascii="Book Antiqua" w:hAnsi="Book Antiqua"/>
        </w:rPr>
        <w:t xml:space="preserve">as </w:t>
      </w:r>
      <w:r w:rsidRPr="00EA0274">
        <w:rPr>
          <w:rFonts w:ascii="Book Antiqua" w:hAnsi="Book Antiqua"/>
        </w:rPr>
        <w:t xml:space="preserve">passive recipients of globalization but active makers of regional and global capitalism, and </w:t>
      </w:r>
      <w:r w:rsidR="00777C7B" w:rsidRPr="00EA0274">
        <w:rPr>
          <w:rFonts w:ascii="Book Antiqua" w:hAnsi="Book Antiqua"/>
        </w:rPr>
        <w:t xml:space="preserve">through </w:t>
      </w:r>
      <w:r w:rsidRPr="00EA0274">
        <w:rPr>
          <w:rFonts w:ascii="Book Antiqua" w:hAnsi="Book Antiqua"/>
        </w:rPr>
        <w:t>ethnograph</w:t>
      </w:r>
      <w:r w:rsidR="00777C7B" w:rsidRPr="00EA0274">
        <w:rPr>
          <w:rFonts w:ascii="Book Antiqua" w:hAnsi="Book Antiqua"/>
        </w:rPr>
        <w:t>y</w:t>
      </w:r>
      <w:r w:rsidRPr="00EA0274">
        <w:rPr>
          <w:rFonts w:ascii="Book Antiqua" w:hAnsi="Book Antiqua"/>
        </w:rPr>
        <w:t xml:space="preserve">. </w:t>
      </w:r>
      <w:r w:rsidR="00777C7B" w:rsidRPr="00EA0274">
        <w:rPr>
          <w:rFonts w:ascii="Book Antiqua" w:hAnsi="Book Antiqua"/>
        </w:rPr>
        <w:t>The purpose is not to characterise a singular ‘the Middle Eastern state’ but to contribute to novel IPE debates on the state that go beyond Eurocentric institutionalism.</w:t>
      </w:r>
    </w:p>
    <w:p w14:paraId="217FA13C" w14:textId="77777777" w:rsidR="000B1BF7" w:rsidRPr="00EA0274" w:rsidRDefault="000B1BF7" w:rsidP="00C61587">
      <w:pPr>
        <w:ind w:left="720"/>
      </w:pPr>
    </w:p>
    <w:p w14:paraId="63230214" w14:textId="77777777" w:rsidR="00731A98" w:rsidRPr="00EA0274" w:rsidRDefault="00731A98" w:rsidP="00C61587">
      <w:pPr>
        <w:ind w:left="720"/>
      </w:pPr>
    </w:p>
    <w:p w14:paraId="1F164E46" w14:textId="1E4BAF2A" w:rsidR="00746B40" w:rsidRPr="00EA0274" w:rsidRDefault="00837B2B" w:rsidP="002D136A">
      <w:pPr>
        <w:spacing w:after="0" w:line="360" w:lineRule="auto"/>
        <w:jc w:val="both"/>
        <w:rPr>
          <w:rFonts w:ascii="Book Antiqua" w:hAnsi="Book Antiqua"/>
        </w:rPr>
      </w:pPr>
      <w:r w:rsidRPr="00EA0274">
        <w:rPr>
          <w:rFonts w:ascii="Book Antiqua" w:hAnsi="Book Antiqua"/>
        </w:rPr>
        <w:t>Given the role of oil as the quintessential strategic commodity</w:t>
      </w:r>
      <w:r w:rsidR="00566A34" w:rsidRPr="00EA0274">
        <w:rPr>
          <w:rFonts w:ascii="Book Antiqua" w:hAnsi="Book Antiqua"/>
        </w:rPr>
        <w:t>,</w:t>
      </w:r>
      <w:r w:rsidRPr="00EA0274">
        <w:rPr>
          <w:rFonts w:ascii="Book Antiqua" w:hAnsi="Book Antiqua"/>
        </w:rPr>
        <w:t xml:space="preserve"> the </w:t>
      </w:r>
      <w:r w:rsidR="00F87211" w:rsidRPr="00EA0274">
        <w:rPr>
          <w:rFonts w:ascii="Book Antiqua" w:hAnsi="Book Antiqua"/>
        </w:rPr>
        <w:t xml:space="preserve">recent </w:t>
      </w:r>
      <w:r w:rsidR="00566A34" w:rsidRPr="00EA0274">
        <w:rPr>
          <w:rFonts w:ascii="Book Antiqua" w:hAnsi="Book Antiqua"/>
        </w:rPr>
        <w:t xml:space="preserve">wars in </w:t>
      </w:r>
      <w:r w:rsidR="00CC47F9" w:rsidRPr="00EA0274">
        <w:rPr>
          <w:rFonts w:ascii="Book Antiqua" w:hAnsi="Book Antiqua"/>
        </w:rPr>
        <w:t>Syria and Libya and the ongoing one in</w:t>
      </w:r>
      <w:r w:rsidR="00F87211" w:rsidRPr="00EA0274">
        <w:rPr>
          <w:rFonts w:ascii="Book Antiqua" w:hAnsi="Book Antiqua"/>
        </w:rPr>
        <w:t xml:space="preserve"> Yemen, </w:t>
      </w:r>
      <w:r w:rsidR="00C60184" w:rsidRPr="00EA0274">
        <w:rPr>
          <w:rFonts w:ascii="Book Antiqua" w:hAnsi="Book Antiqua"/>
        </w:rPr>
        <w:t xml:space="preserve">most </w:t>
      </w:r>
      <w:r w:rsidR="008C0423" w:rsidRPr="00EA0274">
        <w:rPr>
          <w:rFonts w:ascii="Book Antiqua" w:hAnsi="Book Antiqua"/>
        </w:rPr>
        <w:t>scholarly literature</w:t>
      </w:r>
      <w:r w:rsidR="00AD704B">
        <w:rPr>
          <w:rFonts w:ascii="Book Antiqua" w:hAnsi="Book Antiqua"/>
        </w:rPr>
        <w:t xml:space="preserve"> </w:t>
      </w:r>
      <w:r w:rsidR="00F86DA1">
        <w:rPr>
          <w:rFonts w:ascii="Book Antiqua" w:hAnsi="Book Antiqua"/>
        </w:rPr>
        <w:t>on</w:t>
      </w:r>
      <w:r w:rsidR="00AD704B">
        <w:rPr>
          <w:rFonts w:ascii="Book Antiqua" w:hAnsi="Book Antiqua"/>
        </w:rPr>
        <w:t xml:space="preserve"> international </w:t>
      </w:r>
      <w:r w:rsidR="00F86DA1">
        <w:rPr>
          <w:rFonts w:ascii="Book Antiqua" w:hAnsi="Book Antiqua"/>
        </w:rPr>
        <w:t>politics</w:t>
      </w:r>
      <w:r w:rsidR="008C0423" w:rsidRPr="00EA0274">
        <w:rPr>
          <w:rFonts w:ascii="Book Antiqua" w:hAnsi="Book Antiqua"/>
        </w:rPr>
        <w:t xml:space="preserve"> analyses the Middle East primarily from a security perspective.</w:t>
      </w:r>
      <w:r w:rsidR="00F86DA1">
        <w:rPr>
          <w:rStyle w:val="FootnoteReference"/>
          <w:rFonts w:ascii="Book Antiqua" w:hAnsi="Book Antiqua"/>
        </w:rPr>
        <w:footnoteReference w:id="1"/>
      </w:r>
      <w:r w:rsidR="008C0423" w:rsidRPr="00EA0274">
        <w:rPr>
          <w:rFonts w:ascii="Book Antiqua" w:hAnsi="Book Antiqua"/>
        </w:rPr>
        <w:t xml:space="preserve"> </w:t>
      </w:r>
      <w:r w:rsidR="0096235D" w:rsidRPr="00EA0274">
        <w:rPr>
          <w:rFonts w:ascii="Book Antiqua" w:hAnsi="Book Antiqua"/>
        </w:rPr>
        <w:t xml:space="preserve">Surveys of international relations scholars reveal that they consider the Middle East to be of little strategic significance for the global political economy </w:t>
      </w:r>
      <w:sdt>
        <w:sdtPr>
          <w:rPr>
            <w:rFonts w:ascii="Book Antiqua" w:hAnsi="Book Antiqua"/>
          </w:rPr>
          <w:id w:val="-863052528"/>
          <w:citation/>
        </w:sdtPr>
        <w:sdtEndPr/>
        <w:sdtContent>
          <w:r w:rsidR="0096235D" w:rsidRPr="00EA0274">
            <w:rPr>
              <w:rFonts w:ascii="Book Antiqua" w:hAnsi="Book Antiqua"/>
            </w:rPr>
            <w:fldChar w:fldCharType="begin"/>
          </w:r>
          <w:r w:rsidR="0096235D" w:rsidRPr="00EA0274">
            <w:rPr>
              <w:rFonts w:ascii="Book Antiqua" w:hAnsi="Book Antiqua"/>
            </w:rPr>
            <w:instrText xml:space="preserve"> CITATION Mal09 \l 2057 </w:instrText>
          </w:r>
          <w:r w:rsidR="0096235D" w:rsidRPr="00EA0274">
            <w:rPr>
              <w:rFonts w:ascii="Book Antiqua" w:hAnsi="Book Antiqua"/>
            </w:rPr>
            <w:fldChar w:fldCharType="separate"/>
          </w:r>
          <w:r w:rsidR="00F12D50" w:rsidRPr="00EA0274">
            <w:rPr>
              <w:rFonts w:ascii="Book Antiqua" w:hAnsi="Book Antiqua"/>
              <w:noProof/>
            </w:rPr>
            <w:t>(Maliniak &amp; Tierney, 2009)</w:t>
          </w:r>
          <w:r w:rsidR="0096235D" w:rsidRPr="00EA0274">
            <w:rPr>
              <w:rFonts w:ascii="Book Antiqua" w:hAnsi="Book Antiqua"/>
            </w:rPr>
            <w:fldChar w:fldCharType="end"/>
          </w:r>
        </w:sdtContent>
      </w:sdt>
      <w:r w:rsidR="0096235D" w:rsidRPr="00EA0274">
        <w:rPr>
          <w:rFonts w:ascii="Book Antiqua" w:hAnsi="Book Antiqua"/>
        </w:rPr>
        <w:t xml:space="preserve">. </w:t>
      </w:r>
      <w:r w:rsidR="008C0423" w:rsidRPr="00EA0274">
        <w:rPr>
          <w:rFonts w:ascii="Book Antiqua" w:hAnsi="Book Antiqua"/>
        </w:rPr>
        <w:t xml:space="preserve">Not infrequently, and even more so in </w:t>
      </w:r>
      <w:r w:rsidR="002A5B02" w:rsidRPr="00EA0274">
        <w:rPr>
          <w:rFonts w:ascii="Book Antiqua" w:hAnsi="Book Antiqua"/>
        </w:rPr>
        <w:t xml:space="preserve">current affairs publications, the region is still seen </w:t>
      </w:r>
      <w:r w:rsidR="003233B1" w:rsidRPr="00EA0274">
        <w:rPr>
          <w:rFonts w:ascii="Book Antiqua" w:hAnsi="Book Antiqua"/>
        </w:rPr>
        <w:t xml:space="preserve">through </w:t>
      </w:r>
      <w:r w:rsidR="003013A1" w:rsidRPr="00EA0274">
        <w:rPr>
          <w:rFonts w:ascii="Book Antiqua" w:hAnsi="Book Antiqua"/>
        </w:rPr>
        <w:t>an Orientalist gaze that per</w:t>
      </w:r>
      <w:r w:rsidR="00AA6121" w:rsidRPr="00EA0274">
        <w:rPr>
          <w:rFonts w:ascii="Book Antiqua" w:hAnsi="Book Antiqua"/>
        </w:rPr>
        <w:t>meates analyses of all facets of economy, politics, and society in the region</w:t>
      </w:r>
      <w:r w:rsidR="0024517F" w:rsidRPr="00EA0274">
        <w:rPr>
          <w:rFonts w:ascii="Book Antiqua" w:hAnsi="Book Antiqua"/>
        </w:rPr>
        <w:t>. This was especially on display</w:t>
      </w:r>
      <w:r w:rsidR="00A02B6C" w:rsidRPr="00EA0274">
        <w:rPr>
          <w:rFonts w:ascii="Book Antiqua" w:hAnsi="Book Antiqua"/>
        </w:rPr>
        <w:t xml:space="preserve"> in the summer 2022 special o</w:t>
      </w:r>
      <w:r w:rsidR="008F6918" w:rsidRPr="00EA0274">
        <w:rPr>
          <w:rFonts w:ascii="Book Antiqua" w:hAnsi="Book Antiqua"/>
        </w:rPr>
        <w:t>f</w:t>
      </w:r>
      <w:r w:rsidR="00A02B6C" w:rsidRPr="00EA0274">
        <w:rPr>
          <w:rFonts w:ascii="Book Antiqua" w:hAnsi="Book Antiqua"/>
        </w:rPr>
        <w:t xml:space="preserve"> </w:t>
      </w:r>
      <w:r w:rsidR="00A02B6C" w:rsidRPr="00EA0274">
        <w:rPr>
          <w:rFonts w:ascii="Book Antiqua" w:hAnsi="Book Antiqua"/>
          <w:i/>
          <w:iCs/>
        </w:rPr>
        <w:t>The Economist</w:t>
      </w:r>
      <w:r w:rsidR="008F6918" w:rsidRPr="00EA0274">
        <w:rPr>
          <w:rFonts w:ascii="Book Antiqua" w:hAnsi="Book Antiqua"/>
        </w:rPr>
        <w:t xml:space="preserve">’s magazine </w:t>
      </w:r>
      <w:r w:rsidR="008F6918" w:rsidRPr="00EA0274">
        <w:rPr>
          <w:rFonts w:ascii="Book Antiqua" w:hAnsi="Book Antiqua"/>
          <w:i/>
          <w:iCs/>
        </w:rPr>
        <w:t>1843</w:t>
      </w:r>
      <w:r w:rsidR="00746B40" w:rsidRPr="00EA0274">
        <w:rPr>
          <w:rFonts w:ascii="Book Antiqua" w:hAnsi="Book Antiqua"/>
        </w:rPr>
        <w:t>, covering issues ranging from ‘the obesity gap’</w:t>
      </w:r>
      <w:r w:rsidR="00DE2B04" w:rsidRPr="00EA0274">
        <w:rPr>
          <w:rFonts w:ascii="Book Antiqua" w:hAnsi="Book Antiqua"/>
        </w:rPr>
        <w:t xml:space="preserve"> allegedly affecting women in the Middle East</w:t>
      </w:r>
      <w:r w:rsidR="00746B40" w:rsidRPr="00EA0274">
        <w:rPr>
          <w:rFonts w:ascii="Book Antiqua" w:hAnsi="Book Antiqua"/>
        </w:rPr>
        <w:t xml:space="preserve"> to</w:t>
      </w:r>
      <w:r w:rsidR="009063A4" w:rsidRPr="00EA0274">
        <w:rPr>
          <w:rFonts w:ascii="Book Antiqua" w:hAnsi="Book Antiqua"/>
        </w:rPr>
        <w:t xml:space="preserve"> presenting Saudi crown prince Mohammed bin Salman </w:t>
      </w:r>
      <w:r w:rsidR="00091105" w:rsidRPr="00EA0274">
        <w:rPr>
          <w:rFonts w:ascii="Book Antiqua" w:hAnsi="Book Antiqua"/>
        </w:rPr>
        <w:t xml:space="preserve">as </w:t>
      </w:r>
      <w:r w:rsidR="00D131F1" w:rsidRPr="00EA0274">
        <w:rPr>
          <w:rFonts w:ascii="Book Antiqua" w:hAnsi="Book Antiqua"/>
        </w:rPr>
        <w:t>the</w:t>
      </w:r>
      <w:r w:rsidR="00091105" w:rsidRPr="00EA0274">
        <w:rPr>
          <w:rFonts w:ascii="Book Antiqua" w:hAnsi="Book Antiqua"/>
        </w:rPr>
        <w:t xml:space="preserve"> ‘millennial autocrat who controls our oil’. </w:t>
      </w:r>
      <w:r w:rsidR="004C23D6">
        <w:rPr>
          <w:rFonts w:ascii="Book Antiqua" w:hAnsi="Book Antiqua"/>
        </w:rPr>
        <w:t>Fred Halliday had characterised the academic literature’s tendency to treat the Middle East ‘exceptional’ as</w:t>
      </w:r>
      <w:r w:rsidR="00577D37" w:rsidRPr="00EA0274">
        <w:rPr>
          <w:rFonts w:ascii="Book Antiqua" w:hAnsi="Book Antiqua"/>
        </w:rPr>
        <w:t xml:space="preserve"> ‘regional narcissism’</w:t>
      </w:r>
      <w:r w:rsidR="004C23D6">
        <w:rPr>
          <w:rFonts w:ascii="Book Antiqua" w:hAnsi="Book Antiqua"/>
        </w:rPr>
        <w:t>.</w:t>
      </w:r>
      <w:r w:rsidR="00671727" w:rsidRPr="00EA0274">
        <w:rPr>
          <w:rStyle w:val="FootnoteReference"/>
          <w:rFonts w:ascii="Book Antiqua" w:hAnsi="Book Antiqua"/>
        </w:rPr>
        <w:footnoteReference w:id="2"/>
      </w:r>
      <w:r w:rsidR="00577D37" w:rsidRPr="00EA0274">
        <w:rPr>
          <w:rFonts w:ascii="Book Antiqua" w:hAnsi="Book Antiqua"/>
        </w:rPr>
        <w:t xml:space="preserve"> </w:t>
      </w:r>
      <w:r w:rsidR="004C23D6">
        <w:rPr>
          <w:rFonts w:ascii="Book Antiqua" w:hAnsi="Book Antiqua"/>
        </w:rPr>
        <w:t xml:space="preserve">Often, such narcissism </w:t>
      </w:r>
      <w:r w:rsidR="00910D50" w:rsidRPr="00EA0274">
        <w:rPr>
          <w:rFonts w:ascii="Book Antiqua" w:hAnsi="Book Antiqua"/>
        </w:rPr>
        <w:t xml:space="preserve">also </w:t>
      </w:r>
      <w:r w:rsidR="003471ED" w:rsidRPr="00EA0274">
        <w:rPr>
          <w:rFonts w:ascii="Book Antiqua" w:hAnsi="Book Antiqua"/>
        </w:rPr>
        <w:t>shows signs of Orientalism, if not in the brazenly explicit form just illustrated.</w:t>
      </w:r>
    </w:p>
    <w:p w14:paraId="5B9F562A" w14:textId="3EF93256" w:rsidR="0083669D" w:rsidRPr="00EA0274" w:rsidRDefault="001D7C1F" w:rsidP="002D136A">
      <w:pPr>
        <w:spacing w:after="0" w:line="360" w:lineRule="auto"/>
        <w:ind w:firstLine="567"/>
        <w:jc w:val="both"/>
        <w:rPr>
          <w:rFonts w:ascii="Book Antiqua" w:hAnsi="Book Antiqua"/>
        </w:rPr>
      </w:pPr>
      <w:r w:rsidRPr="00EA0274">
        <w:rPr>
          <w:rFonts w:ascii="Book Antiqua" w:hAnsi="Book Antiqua"/>
        </w:rPr>
        <w:lastRenderedPageBreak/>
        <w:t xml:space="preserve">Through its claim that oil wealth reduces economic, political, and social pressures for democracy, rentier state theory </w:t>
      </w:r>
      <w:r w:rsidR="00A6348C" w:rsidRPr="00EA0274">
        <w:rPr>
          <w:rFonts w:ascii="Book Antiqua" w:hAnsi="Book Antiqua"/>
        </w:rPr>
        <w:t xml:space="preserve">has been a significant contributor to this </w:t>
      </w:r>
      <w:proofErr w:type="spellStart"/>
      <w:r w:rsidR="00A6348C" w:rsidRPr="00EA0274">
        <w:rPr>
          <w:rFonts w:ascii="Book Antiqua" w:hAnsi="Book Antiqua"/>
        </w:rPr>
        <w:t>exceptionalist</w:t>
      </w:r>
      <w:proofErr w:type="spellEnd"/>
      <w:r w:rsidR="00A6348C" w:rsidRPr="00EA0274">
        <w:rPr>
          <w:rFonts w:ascii="Book Antiqua" w:hAnsi="Book Antiqua"/>
        </w:rPr>
        <w:t xml:space="preserve"> </w:t>
      </w:r>
      <w:r w:rsidR="00BE32CA" w:rsidRPr="00EA0274">
        <w:rPr>
          <w:rFonts w:ascii="Book Antiqua" w:hAnsi="Book Antiqua"/>
        </w:rPr>
        <w:t xml:space="preserve">view of the Middle East. Crucially, rentier state theory also remains the main conceptual contribution that the region </w:t>
      </w:r>
      <w:r w:rsidR="003A169B" w:rsidRPr="00EA0274">
        <w:rPr>
          <w:rFonts w:ascii="Book Antiqua" w:hAnsi="Book Antiqua"/>
        </w:rPr>
        <w:t>has made to the field of International Political Economy (IPE)</w:t>
      </w:r>
      <w:r w:rsidR="00EA3C28" w:rsidRPr="00EA0274">
        <w:rPr>
          <w:rFonts w:ascii="Book Antiqua" w:hAnsi="Book Antiqua"/>
        </w:rPr>
        <w:t xml:space="preserve">, which inevitably colours how </w:t>
      </w:r>
      <w:r w:rsidR="00582BE7" w:rsidRPr="00EA0274">
        <w:rPr>
          <w:rFonts w:ascii="Book Antiqua" w:hAnsi="Book Antiqua"/>
        </w:rPr>
        <w:t>the latter sees the region.</w:t>
      </w:r>
      <w:r w:rsidR="003A169B" w:rsidRPr="00EA0274">
        <w:rPr>
          <w:rFonts w:ascii="Book Antiqua" w:hAnsi="Book Antiqua"/>
        </w:rPr>
        <w:t xml:space="preserve"> </w:t>
      </w:r>
      <w:r w:rsidR="0083669D" w:rsidRPr="00EA0274">
        <w:rPr>
          <w:rFonts w:ascii="Book Antiqua" w:hAnsi="Book Antiqua"/>
        </w:rPr>
        <w:t xml:space="preserve">Beyond the rentier state, the Middle East in IPE has primarily been a </w:t>
      </w:r>
      <w:r w:rsidR="00D8316E" w:rsidRPr="00EA0274">
        <w:rPr>
          <w:rFonts w:ascii="Book Antiqua" w:hAnsi="Book Antiqua"/>
        </w:rPr>
        <w:t>site for data mining and extraction</w:t>
      </w:r>
      <w:r w:rsidR="00EE249B" w:rsidRPr="00EA0274">
        <w:rPr>
          <w:rFonts w:ascii="Book Antiqua" w:hAnsi="Book Antiqua"/>
        </w:rPr>
        <w:t xml:space="preserve"> much more than for theory-building</w:t>
      </w:r>
      <w:r w:rsidR="00EA650B" w:rsidRPr="00EA0274">
        <w:rPr>
          <w:rFonts w:ascii="Book Antiqua" w:hAnsi="Book Antiqua"/>
        </w:rPr>
        <w:t xml:space="preserve">, to the point that even </w:t>
      </w:r>
      <w:r w:rsidR="002C40B4" w:rsidRPr="00EA0274">
        <w:rPr>
          <w:rFonts w:ascii="Book Antiqua" w:hAnsi="Book Antiqua"/>
        </w:rPr>
        <w:t xml:space="preserve">the extent to which hydrocarbon proceeds – ‘petrodollars’ – were crucial in propping up dollar hegemony in the wake of the </w:t>
      </w:r>
      <w:r w:rsidR="00D96FFD" w:rsidRPr="00EA0274">
        <w:rPr>
          <w:rFonts w:ascii="Book Antiqua" w:hAnsi="Book Antiqua"/>
        </w:rPr>
        <w:t>collapse of the Bretton Woods exchange rate arrangement</w:t>
      </w:r>
      <w:r w:rsidR="00F54C83" w:rsidRPr="00EA0274">
        <w:rPr>
          <w:rFonts w:ascii="Book Antiqua" w:hAnsi="Book Antiqua"/>
        </w:rPr>
        <w:t xml:space="preserve"> have only received limited attention in the field (</w:t>
      </w:r>
      <w:proofErr w:type="spellStart"/>
      <w:r w:rsidR="00094491" w:rsidRPr="00EA0274">
        <w:rPr>
          <w:rFonts w:ascii="Book Antiqua" w:hAnsi="Book Antiqua"/>
        </w:rPr>
        <w:t>Nitzan</w:t>
      </w:r>
      <w:proofErr w:type="spellEnd"/>
      <w:r w:rsidR="00094491" w:rsidRPr="00EA0274">
        <w:rPr>
          <w:rFonts w:ascii="Book Antiqua" w:hAnsi="Book Antiqua"/>
        </w:rPr>
        <w:t xml:space="preserve"> </w:t>
      </w:r>
      <w:r w:rsidR="00A076AC" w:rsidRPr="00EA0274">
        <w:rPr>
          <w:rFonts w:ascii="Book Antiqua" w:hAnsi="Book Antiqua"/>
        </w:rPr>
        <w:t xml:space="preserve">&amp; </w:t>
      </w:r>
      <w:proofErr w:type="spellStart"/>
      <w:r w:rsidR="00A076AC" w:rsidRPr="00EA0274">
        <w:rPr>
          <w:rFonts w:ascii="Book Antiqua" w:hAnsi="Book Antiqua"/>
        </w:rPr>
        <w:t>Bichler</w:t>
      </w:r>
      <w:proofErr w:type="spellEnd"/>
      <w:r w:rsidR="00A076AC" w:rsidRPr="00EA0274">
        <w:rPr>
          <w:rFonts w:ascii="Book Antiqua" w:hAnsi="Book Antiqua"/>
        </w:rPr>
        <w:t xml:space="preserve"> </w:t>
      </w:r>
      <w:r w:rsidR="00094491" w:rsidRPr="00EA0274">
        <w:rPr>
          <w:rFonts w:ascii="Book Antiqua" w:hAnsi="Book Antiqua"/>
        </w:rPr>
        <w:t>1995; Spiro 1999</w:t>
      </w:r>
      <w:r w:rsidR="00023117" w:rsidRPr="00EA0274">
        <w:rPr>
          <w:rFonts w:ascii="Book Antiqua" w:hAnsi="Book Antiqua"/>
        </w:rPr>
        <w:t>; Braun et al. 2021</w:t>
      </w:r>
      <w:r w:rsidR="00094491" w:rsidRPr="00EA0274">
        <w:rPr>
          <w:rFonts w:ascii="Book Antiqua" w:hAnsi="Book Antiqua"/>
        </w:rPr>
        <w:t>)</w:t>
      </w:r>
      <w:r w:rsidR="00EE249B" w:rsidRPr="00EA0274">
        <w:rPr>
          <w:rFonts w:ascii="Book Antiqua" w:hAnsi="Book Antiqua"/>
        </w:rPr>
        <w:t>. Thankfully this is beginning to change (Snider 2017)</w:t>
      </w:r>
      <w:r w:rsidR="004C23D6">
        <w:rPr>
          <w:rFonts w:ascii="Book Antiqua" w:hAnsi="Book Antiqua"/>
        </w:rPr>
        <w:t xml:space="preserve">. </w:t>
      </w:r>
      <w:r w:rsidR="00EE249B" w:rsidRPr="00EA0274">
        <w:rPr>
          <w:rFonts w:ascii="Book Antiqua" w:hAnsi="Book Antiqua"/>
        </w:rPr>
        <w:t xml:space="preserve"> </w:t>
      </w:r>
      <w:r w:rsidR="004C23D6" w:rsidRPr="00EA0274">
        <w:rPr>
          <w:rFonts w:ascii="Book Antiqua" w:hAnsi="Book Antiqua"/>
        </w:rPr>
        <w:t xml:space="preserve">This special issue not only expands the discipline’s scope geographically but also conceptually by addressing </w:t>
      </w:r>
      <w:r w:rsidR="00005F26">
        <w:rPr>
          <w:rFonts w:ascii="Book Antiqua" w:hAnsi="Book Antiqua"/>
        </w:rPr>
        <w:t xml:space="preserve">some of </w:t>
      </w:r>
      <w:r w:rsidR="004C23D6" w:rsidRPr="00EA0274">
        <w:rPr>
          <w:rFonts w:ascii="Book Antiqua" w:hAnsi="Book Antiqua"/>
        </w:rPr>
        <w:t xml:space="preserve">IPE’s ‘blind spots’ </w:t>
      </w:r>
      <w:r w:rsidR="00F75B80">
        <w:rPr>
          <w:rFonts w:ascii="Book Antiqua" w:hAnsi="Book Antiqua"/>
        </w:rPr>
        <w:t>related for instance to</w:t>
      </w:r>
      <w:r w:rsidR="004C23D6" w:rsidRPr="00EA0274">
        <w:rPr>
          <w:rFonts w:ascii="Book Antiqua" w:hAnsi="Book Antiqua"/>
        </w:rPr>
        <w:t xml:space="preserve"> gender and sexuality, race and colonialism, </w:t>
      </w:r>
      <w:r w:rsidR="00F75B80">
        <w:rPr>
          <w:rFonts w:ascii="Book Antiqua" w:hAnsi="Book Antiqua"/>
        </w:rPr>
        <w:t xml:space="preserve">the </w:t>
      </w:r>
      <w:r w:rsidR="004C23D6" w:rsidRPr="00EA0274">
        <w:rPr>
          <w:rFonts w:ascii="Book Antiqua" w:hAnsi="Book Antiqua"/>
        </w:rPr>
        <w:t>security-economy nexus, and the expertise intensity of our economy.</w:t>
      </w:r>
      <w:r w:rsidR="004C23D6" w:rsidRPr="00EA0274" w:rsidDel="004C23D6">
        <w:rPr>
          <w:rFonts w:ascii="Book Antiqua" w:hAnsi="Book Antiqua"/>
        </w:rPr>
        <w:t xml:space="preserve"> </w:t>
      </w:r>
      <w:r w:rsidR="004C23D6" w:rsidRPr="00EA0274">
        <w:rPr>
          <w:rFonts w:ascii="Book Antiqua" w:hAnsi="Book Antiqua"/>
        </w:rPr>
        <w:t>The purpose is not to characterise a singular ‘the Middle Eastern state’ but to contribute to novel IPE debates on the state that go beyond Eurocentric institutionalism.</w:t>
      </w:r>
      <w:r w:rsidR="004C23D6">
        <w:rPr>
          <w:rFonts w:ascii="Book Antiqua" w:hAnsi="Book Antiqua"/>
        </w:rPr>
        <w:t xml:space="preserve"> </w:t>
      </w:r>
    </w:p>
    <w:p w14:paraId="78E52D06" w14:textId="7187D29C" w:rsidR="0071297C" w:rsidRPr="00EA0274" w:rsidRDefault="000E5118" w:rsidP="002D136A">
      <w:pPr>
        <w:spacing w:after="0" w:line="360" w:lineRule="auto"/>
        <w:ind w:firstLine="567"/>
        <w:jc w:val="both"/>
        <w:rPr>
          <w:rFonts w:ascii="Book Antiqua" w:hAnsi="Book Antiqua"/>
        </w:rPr>
      </w:pPr>
      <w:r w:rsidRPr="00EA0274">
        <w:rPr>
          <w:rFonts w:ascii="Book Antiqua" w:hAnsi="Book Antiqua"/>
        </w:rPr>
        <w:t xml:space="preserve">Precisely because </w:t>
      </w:r>
      <w:r w:rsidR="0013426D" w:rsidRPr="00EA0274">
        <w:rPr>
          <w:rFonts w:ascii="Book Antiqua" w:hAnsi="Book Antiqua"/>
        </w:rPr>
        <w:t>the state</w:t>
      </w:r>
      <w:r w:rsidRPr="00EA0274">
        <w:rPr>
          <w:rFonts w:ascii="Book Antiqua" w:hAnsi="Book Antiqua"/>
        </w:rPr>
        <w:t xml:space="preserve"> is so often </w:t>
      </w:r>
      <w:r w:rsidR="0035258A" w:rsidRPr="00EA0274">
        <w:rPr>
          <w:rFonts w:ascii="Book Antiqua" w:hAnsi="Book Antiqua"/>
        </w:rPr>
        <w:t xml:space="preserve">identified as the source of what makes the Middle East unique, either </w:t>
      </w:r>
      <w:r w:rsidR="006D0099" w:rsidRPr="00EA0274">
        <w:rPr>
          <w:rFonts w:ascii="Book Antiqua" w:hAnsi="Book Antiqua"/>
        </w:rPr>
        <w:t>in the form of the just mentioned</w:t>
      </w:r>
      <w:r w:rsidR="0035258A" w:rsidRPr="00EA0274">
        <w:rPr>
          <w:rFonts w:ascii="Book Antiqua" w:hAnsi="Book Antiqua"/>
        </w:rPr>
        <w:t xml:space="preserve"> </w:t>
      </w:r>
      <w:r w:rsidR="007835DA" w:rsidRPr="00EA0274">
        <w:rPr>
          <w:rFonts w:ascii="Book Antiqua" w:hAnsi="Book Antiqua"/>
        </w:rPr>
        <w:t xml:space="preserve">rentier state or through reference to authoritarian governance, our efforts to broaden how IPE engages with the Middle East focus primarily </w:t>
      </w:r>
      <w:r w:rsidR="00101CAD" w:rsidRPr="00EA0274">
        <w:rPr>
          <w:rFonts w:ascii="Book Antiqua" w:hAnsi="Book Antiqua"/>
        </w:rPr>
        <w:t xml:space="preserve">on the state conceptually and on </w:t>
      </w:r>
      <w:r w:rsidR="00C77FE0" w:rsidRPr="00EA0274">
        <w:rPr>
          <w:rFonts w:ascii="Book Antiqua" w:hAnsi="Book Antiqua"/>
        </w:rPr>
        <w:t xml:space="preserve">concrete states in the region empirically. </w:t>
      </w:r>
      <w:r w:rsidR="00D26917" w:rsidRPr="00EA0274">
        <w:rPr>
          <w:rFonts w:ascii="Book Antiqua" w:hAnsi="Book Antiqua"/>
        </w:rPr>
        <w:t>Exploring</w:t>
      </w:r>
      <w:r w:rsidR="007D415E" w:rsidRPr="00EA0274">
        <w:rPr>
          <w:rFonts w:ascii="Book Antiqua" w:hAnsi="Book Antiqua"/>
        </w:rPr>
        <w:t xml:space="preserve"> </w:t>
      </w:r>
      <w:r w:rsidR="00872C0B" w:rsidRPr="00EA0274">
        <w:rPr>
          <w:rFonts w:ascii="Book Antiqua" w:hAnsi="Book Antiqua"/>
        </w:rPr>
        <w:t>the ways different Middle Eastern states</w:t>
      </w:r>
      <w:r w:rsidR="00FC3A6E" w:rsidRPr="00EA0274">
        <w:rPr>
          <w:rFonts w:ascii="Book Antiqua" w:hAnsi="Book Antiqua"/>
        </w:rPr>
        <w:t xml:space="preserve">, and at times specific institutions within them, participate in the global political economy provides an opportunity </w:t>
      </w:r>
      <w:r w:rsidR="00254048" w:rsidRPr="00EA0274">
        <w:rPr>
          <w:rFonts w:ascii="Book Antiqua" w:hAnsi="Book Antiqua"/>
        </w:rPr>
        <w:t>not only to de-</w:t>
      </w:r>
      <w:proofErr w:type="spellStart"/>
      <w:r w:rsidR="00254048" w:rsidRPr="00EA0274">
        <w:rPr>
          <w:rFonts w:ascii="Book Antiqua" w:hAnsi="Book Antiqua"/>
        </w:rPr>
        <w:t>exceptionalise</w:t>
      </w:r>
      <w:proofErr w:type="spellEnd"/>
      <w:r w:rsidR="00254048" w:rsidRPr="00EA0274">
        <w:rPr>
          <w:rFonts w:ascii="Book Antiqua" w:hAnsi="Book Antiqua"/>
        </w:rPr>
        <w:t xml:space="preserve"> </w:t>
      </w:r>
      <w:r w:rsidR="003B7913" w:rsidRPr="00EA0274">
        <w:rPr>
          <w:rFonts w:ascii="Book Antiqua" w:hAnsi="Book Antiqua"/>
        </w:rPr>
        <w:t xml:space="preserve">the state in the Middle East, but also to contest and overcome conceptual binaries that </w:t>
      </w:r>
      <w:r w:rsidR="00E90071" w:rsidRPr="00EA0274">
        <w:rPr>
          <w:rFonts w:ascii="Book Antiqua" w:hAnsi="Book Antiqua"/>
        </w:rPr>
        <w:t xml:space="preserve">often shape IPE analysis, including for instance between rent and profit, between security and accumulation, </w:t>
      </w:r>
      <w:r w:rsidR="00794D36" w:rsidRPr="00EA0274">
        <w:rPr>
          <w:rFonts w:ascii="Book Antiqua" w:hAnsi="Book Antiqua"/>
        </w:rPr>
        <w:t xml:space="preserve">and ultimately the foundational one between inside and outside </w:t>
      </w:r>
      <w:r w:rsidR="00126BBF" w:rsidRPr="00EA0274">
        <w:rPr>
          <w:rFonts w:ascii="Book Antiqua" w:hAnsi="Book Antiqua"/>
        </w:rPr>
        <w:t xml:space="preserve">of </w:t>
      </w:r>
      <w:r w:rsidR="00794D36" w:rsidRPr="00EA0274">
        <w:rPr>
          <w:rFonts w:ascii="Book Antiqua" w:hAnsi="Book Antiqua"/>
        </w:rPr>
        <w:t>a state</w:t>
      </w:r>
      <w:r w:rsidR="00C0577B">
        <w:rPr>
          <w:rFonts w:ascii="Book Antiqua" w:hAnsi="Book Antiqua"/>
        </w:rPr>
        <w:t xml:space="preserve"> – both in terms of state/society but also national/international</w:t>
      </w:r>
      <w:r w:rsidR="00794D36" w:rsidRPr="00EA0274">
        <w:rPr>
          <w:rFonts w:ascii="Book Antiqua" w:hAnsi="Book Antiqua"/>
        </w:rPr>
        <w:t>.</w:t>
      </w:r>
    </w:p>
    <w:p w14:paraId="3EE04F8D" w14:textId="7DDEEFBF" w:rsidR="00866543" w:rsidRPr="00EA0274" w:rsidRDefault="008D7938" w:rsidP="002D136A">
      <w:pPr>
        <w:spacing w:after="0" w:line="360" w:lineRule="auto"/>
        <w:ind w:firstLine="567"/>
        <w:jc w:val="both"/>
        <w:rPr>
          <w:rFonts w:ascii="Book Antiqua" w:hAnsi="Book Antiqua"/>
        </w:rPr>
      </w:pPr>
      <w:r w:rsidRPr="00EA0274">
        <w:rPr>
          <w:rFonts w:ascii="Book Antiqua" w:hAnsi="Book Antiqua"/>
        </w:rPr>
        <w:t xml:space="preserve">The stark separation between inside and outside has been contested by globalisation, and the rest of this introduction starts from </w:t>
      </w:r>
      <w:r w:rsidR="00BD53EE" w:rsidRPr="00EA0274">
        <w:rPr>
          <w:rFonts w:ascii="Book Antiqua" w:hAnsi="Book Antiqua"/>
        </w:rPr>
        <w:t xml:space="preserve">outlining the merits and limits of the dominant political economy literature on globalisation and the state in the Middle East. </w:t>
      </w:r>
      <w:r w:rsidR="00E63F8F" w:rsidRPr="00EA0274">
        <w:rPr>
          <w:rFonts w:ascii="Book Antiqua" w:hAnsi="Book Antiqua"/>
        </w:rPr>
        <w:t xml:space="preserve">The second section </w:t>
      </w:r>
      <w:r w:rsidR="00D214C5" w:rsidRPr="00EA0274">
        <w:rPr>
          <w:rFonts w:ascii="Book Antiqua" w:hAnsi="Book Antiqua"/>
        </w:rPr>
        <w:t xml:space="preserve">then outlines how </w:t>
      </w:r>
      <w:r w:rsidR="003F5FE8" w:rsidRPr="00EA0274">
        <w:rPr>
          <w:rFonts w:ascii="Book Antiqua" w:hAnsi="Book Antiqua"/>
        </w:rPr>
        <w:t>work that challenges the blind spots of this dominant</w:t>
      </w:r>
      <w:r w:rsidR="004356A3" w:rsidRPr="00EA0274">
        <w:rPr>
          <w:rFonts w:ascii="Book Antiqua" w:hAnsi="Book Antiqua"/>
        </w:rPr>
        <w:t xml:space="preserve"> IPE</w:t>
      </w:r>
      <w:r w:rsidR="003F5FE8" w:rsidRPr="00EA0274">
        <w:rPr>
          <w:rFonts w:ascii="Book Antiqua" w:hAnsi="Book Antiqua"/>
        </w:rPr>
        <w:t xml:space="preserve"> literature has been produced by scholars </w:t>
      </w:r>
      <w:r w:rsidR="000758D3" w:rsidRPr="00EA0274">
        <w:rPr>
          <w:rFonts w:ascii="Book Antiqua" w:hAnsi="Book Antiqua"/>
        </w:rPr>
        <w:t xml:space="preserve">focusing on the region </w:t>
      </w:r>
      <w:r w:rsidR="00BB010D" w:rsidRPr="00EA0274">
        <w:rPr>
          <w:rFonts w:ascii="Book Antiqua" w:hAnsi="Book Antiqua"/>
        </w:rPr>
        <w:t>even if this</w:t>
      </w:r>
      <w:r w:rsidR="003F5FE8" w:rsidRPr="00EA0274">
        <w:rPr>
          <w:rFonts w:ascii="Book Antiqua" w:hAnsi="Book Antiqua"/>
        </w:rPr>
        <w:t xml:space="preserve"> </w:t>
      </w:r>
      <w:r w:rsidR="000758D3" w:rsidRPr="00EA0274">
        <w:rPr>
          <w:rFonts w:ascii="Book Antiqua" w:hAnsi="Book Antiqua"/>
        </w:rPr>
        <w:t>may</w:t>
      </w:r>
      <w:r w:rsidR="003F5FE8" w:rsidRPr="00EA0274">
        <w:rPr>
          <w:rFonts w:ascii="Book Antiqua" w:hAnsi="Book Antiqua"/>
        </w:rPr>
        <w:t xml:space="preserve"> not necessarily identify with </w:t>
      </w:r>
      <w:r w:rsidR="000758D3" w:rsidRPr="00EA0274">
        <w:rPr>
          <w:rFonts w:ascii="Book Antiqua" w:hAnsi="Book Antiqua"/>
        </w:rPr>
        <w:t>IPE as a field of inquiry</w:t>
      </w:r>
      <w:r w:rsidR="00D5443D" w:rsidRPr="00EA0274">
        <w:rPr>
          <w:rFonts w:ascii="Book Antiqua" w:hAnsi="Book Antiqua"/>
        </w:rPr>
        <w:t xml:space="preserve">. </w:t>
      </w:r>
      <w:r w:rsidR="002232D1" w:rsidRPr="00EA0274">
        <w:rPr>
          <w:rFonts w:ascii="Book Antiqua" w:hAnsi="Book Antiqua"/>
        </w:rPr>
        <w:t>The third</w:t>
      </w:r>
      <w:r w:rsidR="00621514" w:rsidRPr="00EA0274">
        <w:rPr>
          <w:rFonts w:ascii="Book Antiqua" w:hAnsi="Book Antiqua"/>
        </w:rPr>
        <w:t xml:space="preserve"> section</w:t>
      </w:r>
      <w:r w:rsidR="002A08D5" w:rsidRPr="00EA0274">
        <w:rPr>
          <w:rFonts w:ascii="Book Antiqua" w:hAnsi="Book Antiqua"/>
        </w:rPr>
        <w:t xml:space="preserve"> shows how </w:t>
      </w:r>
      <w:r w:rsidR="00AD704B">
        <w:rPr>
          <w:rFonts w:ascii="Book Antiqua" w:hAnsi="Book Antiqua"/>
        </w:rPr>
        <w:t>the</w:t>
      </w:r>
      <w:r w:rsidR="00AD704B" w:rsidRPr="00EA0274">
        <w:rPr>
          <w:rFonts w:ascii="Book Antiqua" w:hAnsi="Book Antiqua"/>
        </w:rPr>
        <w:t xml:space="preserve"> </w:t>
      </w:r>
      <w:r w:rsidR="002A08D5" w:rsidRPr="00EA0274">
        <w:rPr>
          <w:rFonts w:ascii="Book Antiqua" w:hAnsi="Book Antiqua"/>
        </w:rPr>
        <w:t xml:space="preserve">contributions to this special issue </w:t>
      </w:r>
      <w:r w:rsidR="00AD704B">
        <w:rPr>
          <w:rFonts w:ascii="Book Antiqua" w:hAnsi="Book Antiqua"/>
        </w:rPr>
        <w:t>push</w:t>
      </w:r>
      <w:r w:rsidR="009A4C44" w:rsidRPr="00EA0274">
        <w:rPr>
          <w:rFonts w:ascii="Book Antiqua" w:hAnsi="Book Antiqua"/>
        </w:rPr>
        <w:t xml:space="preserve"> the boundaries of IPE – both geographically and conceptually – by </w:t>
      </w:r>
      <w:r w:rsidR="002A08D5" w:rsidRPr="00EA0274">
        <w:rPr>
          <w:rFonts w:ascii="Book Antiqua" w:hAnsi="Book Antiqua"/>
        </w:rPr>
        <w:t>question</w:t>
      </w:r>
      <w:r w:rsidR="009A4C44" w:rsidRPr="00EA0274">
        <w:rPr>
          <w:rFonts w:ascii="Book Antiqua" w:hAnsi="Book Antiqua"/>
        </w:rPr>
        <w:t>ing</w:t>
      </w:r>
      <w:r w:rsidR="002A08D5" w:rsidRPr="00EA0274">
        <w:rPr>
          <w:rFonts w:ascii="Book Antiqua" w:hAnsi="Book Antiqua"/>
        </w:rPr>
        <w:t xml:space="preserve"> </w:t>
      </w:r>
      <w:proofErr w:type="spellStart"/>
      <w:r w:rsidR="002A08D5" w:rsidRPr="00EA0274">
        <w:rPr>
          <w:rFonts w:ascii="Book Antiqua" w:hAnsi="Book Antiqua"/>
        </w:rPr>
        <w:t>exceptionalist</w:t>
      </w:r>
      <w:proofErr w:type="spellEnd"/>
      <w:r w:rsidR="002A08D5" w:rsidRPr="00EA0274">
        <w:rPr>
          <w:rFonts w:ascii="Book Antiqua" w:hAnsi="Book Antiqua"/>
        </w:rPr>
        <w:t xml:space="preserve"> </w:t>
      </w:r>
      <w:r w:rsidR="006F73C4" w:rsidRPr="00EA0274">
        <w:rPr>
          <w:rFonts w:ascii="Book Antiqua" w:hAnsi="Book Antiqua"/>
        </w:rPr>
        <w:t xml:space="preserve">understandings of the Middle East through reference to specific </w:t>
      </w:r>
      <w:r w:rsidR="00267294" w:rsidRPr="00EA0274">
        <w:rPr>
          <w:rFonts w:ascii="Book Antiqua" w:hAnsi="Book Antiqua"/>
        </w:rPr>
        <w:t xml:space="preserve">elements of state </w:t>
      </w:r>
      <w:r w:rsidR="00DA6EF0" w:rsidRPr="00EA0274">
        <w:rPr>
          <w:rFonts w:ascii="Book Antiqua" w:hAnsi="Book Antiqua"/>
        </w:rPr>
        <w:t xml:space="preserve">activities and policies, ranging from neoliberal transformations in Iran to </w:t>
      </w:r>
      <w:r w:rsidR="00353A44" w:rsidRPr="00EA0274">
        <w:rPr>
          <w:rFonts w:ascii="Book Antiqua" w:hAnsi="Book Antiqua"/>
        </w:rPr>
        <w:t xml:space="preserve">the politics of </w:t>
      </w:r>
      <w:r w:rsidR="00353A44" w:rsidRPr="00EA0274">
        <w:rPr>
          <w:rFonts w:ascii="Book Antiqua" w:hAnsi="Book Antiqua"/>
        </w:rPr>
        <w:lastRenderedPageBreak/>
        <w:t xml:space="preserve">developing poverty indicators in Jordan, </w:t>
      </w:r>
      <w:r w:rsidR="0011008A" w:rsidRPr="00EA0274">
        <w:rPr>
          <w:rFonts w:ascii="Book Antiqua" w:hAnsi="Book Antiqua"/>
        </w:rPr>
        <w:t xml:space="preserve">from the perceived marginalisation of ‘visibly Muslim women’ </w:t>
      </w:r>
      <w:r w:rsidR="008A088A" w:rsidRPr="00EA0274">
        <w:rPr>
          <w:rFonts w:ascii="Book Antiqua" w:hAnsi="Book Antiqua"/>
        </w:rPr>
        <w:t>by</w:t>
      </w:r>
      <w:r w:rsidR="0011008A" w:rsidRPr="00EA0274">
        <w:rPr>
          <w:rFonts w:ascii="Book Antiqua" w:hAnsi="Book Antiqua"/>
        </w:rPr>
        <w:t xml:space="preserve"> the Lebanese banking sector to </w:t>
      </w:r>
      <w:r w:rsidR="005F7C82" w:rsidRPr="00EA0274">
        <w:rPr>
          <w:rFonts w:ascii="Book Antiqua" w:hAnsi="Book Antiqua"/>
        </w:rPr>
        <w:t xml:space="preserve">the ’micropolitics’ of US transitional assistance to Egypt in the wake of the 2011 uprisings, </w:t>
      </w:r>
      <w:r w:rsidR="00920905" w:rsidRPr="00EA0274">
        <w:rPr>
          <w:rFonts w:ascii="Book Antiqua" w:hAnsi="Book Antiqua"/>
        </w:rPr>
        <w:t>and from the international economic activities of Iraqi and West German intelligence agencies</w:t>
      </w:r>
      <w:r w:rsidR="00EA62B5" w:rsidRPr="00EA0274">
        <w:rPr>
          <w:rFonts w:ascii="Book Antiqua" w:hAnsi="Book Antiqua"/>
        </w:rPr>
        <w:t xml:space="preserve"> in the 1980s to the deployment of food security discourse by states of the Gulf Cooperation Council </w:t>
      </w:r>
      <w:r w:rsidR="00B84362" w:rsidRPr="00EA0274">
        <w:rPr>
          <w:rFonts w:ascii="Book Antiqua" w:hAnsi="Book Antiqua"/>
        </w:rPr>
        <w:t xml:space="preserve">(GCC). </w:t>
      </w:r>
    </w:p>
    <w:p w14:paraId="6A6B155F" w14:textId="291FCC1C" w:rsidR="00866543" w:rsidRPr="00EA0274" w:rsidRDefault="00866543" w:rsidP="00866543">
      <w:pPr>
        <w:spacing w:after="0" w:line="360" w:lineRule="auto"/>
        <w:rPr>
          <w:rFonts w:ascii="Book Antiqua" w:hAnsi="Book Antiqua"/>
        </w:rPr>
      </w:pPr>
    </w:p>
    <w:p w14:paraId="50E23987" w14:textId="6E34B61E" w:rsidR="004B216A" w:rsidRPr="00EA0274" w:rsidRDefault="00AC27C4" w:rsidP="002D136A">
      <w:pPr>
        <w:spacing w:after="0" w:line="360" w:lineRule="auto"/>
        <w:jc w:val="both"/>
        <w:rPr>
          <w:rFonts w:ascii="Book Antiqua" w:hAnsi="Book Antiqua"/>
          <w:b/>
          <w:bCs/>
        </w:rPr>
      </w:pPr>
      <w:r w:rsidRPr="00EA0274">
        <w:rPr>
          <w:rFonts w:ascii="Book Antiqua" w:hAnsi="Book Antiqua"/>
          <w:b/>
          <w:bCs/>
        </w:rPr>
        <w:t>Globalisation and the state in the Middle East</w:t>
      </w:r>
    </w:p>
    <w:p w14:paraId="3B26A16D" w14:textId="0D3245FF" w:rsidR="009F6798" w:rsidRPr="00EA0274" w:rsidRDefault="00E0636C" w:rsidP="009F6798">
      <w:pPr>
        <w:spacing w:after="0" w:line="360" w:lineRule="auto"/>
        <w:jc w:val="both"/>
        <w:rPr>
          <w:rFonts w:ascii="Book Antiqua" w:hAnsi="Book Antiqua"/>
        </w:rPr>
      </w:pPr>
      <w:r w:rsidRPr="00EA0274">
        <w:rPr>
          <w:rFonts w:ascii="Book Antiqua" w:hAnsi="Book Antiqua"/>
        </w:rPr>
        <w:t xml:space="preserve">Until relatively recently, when looking at the IPE literature on the Middle East we would be looking at a sparsely populated field, </w:t>
      </w:r>
      <w:r w:rsidR="00A07647" w:rsidRPr="00EA0274">
        <w:rPr>
          <w:rFonts w:ascii="Book Antiqua" w:hAnsi="Book Antiqua"/>
        </w:rPr>
        <w:t xml:space="preserve">and one rife with </w:t>
      </w:r>
      <w:r w:rsidR="00A73EE9" w:rsidRPr="00EA0274">
        <w:rPr>
          <w:rFonts w:ascii="Book Antiqua" w:hAnsi="Book Antiqua"/>
        </w:rPr>
        <w:t>simplifications and stereotypes</w:t>
      </w:r>
      <w:r w:rsidR="009A4C44" w:rsidRPr="00EA0274">
        <w:rPr>
          <w:rFonts w:ascii="Book Antiqua" w:hAnsi="Book Antiqua"/>
        </w:rPr>
        <w:t xml:space="preserve"> </w:t>
      </w:r>
      <w:r w:rsidR="00C72A41" w:rsidRPr="00EA0274">
        <w:rPr>
          <w:rFonts w:ascii="Book Antiqua" w:hAnsi="Book Antiqua"/>
        </w:rPr>
        <w:t xml:space="preserve">(Tansel &amp; </w:t>
      </w:r>
      <w:proofErr w:type="spellStart"/>
      <w:r w:rsidR="00C72A41" w:rsidRPr="00EA0274">
        <w:rPr>
          <w:rFonts w:ascii="Book Antiqua" w:hAnsi="Book Antiqua"/>
        </w:rPr>
        <w:t>Sancak</w:t>
      </w:r>
      <w:proofErr w:type="spellEnd"/>
      <w:r w:rsidR="00C72A41" w:rsidRPr="00EA0274">
        <w:rPr>
          <w:rFonts w:ascii="Book Antiqua" w:hAnsi="Book Antiqua"/>
        </w:rPr>
        <w:t>, 2022)</w:t>
      </w:r>
      <w:r w:rsidR="009A4C44" w:rsidRPr="00EA0274">
        <w:rPr>
          <w:rFonts w:ascii="Book Antiqua" w:hAnsi="Book Antiqua"/>
        </w:rPr>
        <w:t>. Similar omissions and distortions</w:t>
      </w:r>
      <w:r w:rsidR="009A6203" w:rsidRPr="00EA0274">
        <w:rPr>
          <w:rFonts w:ascii="Book Antiqua" w:hAnsi="Book Antiqua"/>
        </w:rPr>
        <w:t xml:space="preserve"> of the region</w:t>
      </w:r>
      <w:r w:rsidR="009A4C44" w:rsidRPr="00EA0274">
        <w:rPr>
          <w:rFonts w:ascii="Book Antiqua" w:hAnsi="Book Antiqua"/>
        </w:rPr>
        <w:t xml:space="preserve"> also plague IPE teaching</w:t>
      </w:r>
      <w:r w:rsidR="009A6203" w:rsidRPr="00EA0274">
        <w:rPr>
          <w:rFonts w:ascii="Book Antiqua" w:hAnsi="Book Antiqua"/>
        </w:rPr>
        <w:t xml:space="preserve"> </w:t>
      </w:r>
      <w:r w:rsidR="00383B67" w:rsidRPr="00EA0274">
        <w:rPr>
          <w:rFonts w:ascii="Book Antiqua" w:hAnsi="Book Antiqua"/>
          <w:noProof/>
        </w:rPr>
        <w:t>(Baumann, 202</w:t>
      </w:r>
      <w:r w:rsidR="00B60970" w:rsidRPr="00EA0274">
        <w:rPr>
          <w:rFonts w:ascii="Book Antiqua" w:hAnsi="Book Antiqua"/>
          <w:noProof/>
        </w:rPr>
        <w:t>1</w:t>
      </w:r>
      <w:r w:rsidR="00383B67" w:rsidRPr="00EA0274">
        <w:rPr>
          <w:rFonts w:ascii="Book Antiqua" w:hAnsi="Book Antiqua"/>
          <w:noProof/>
        </w:rPr>
        <w:t>)</w:t>
      </w:r>
      <w:r w:rsidR="00A73EE9" w:rsidRPr="00EA0274">
        <w:rPr>
          <w:rFonts w:ascii="Book Antiqua" w:hAnsi="Book Antiqua"/>
        </w:rPr>
        <w:t>.</w:t>
      </w:r>
      <w:r w:rsidR="0017378A" w:rsidRPr="00EA0274">
        <w:rPr>
          <w:rFonts w:ascii="Book Antiqua" w:hAnsi="Book Antiqua"/>
        </w:rPr>
        <w:t xml:space="preserve"> The combination of neglect and </w:t>
      </w:r>
      <w:proofErr w:type="spellStart"/>
      <w:r w:rsidR="0017378A" w:rsidRPr="00EA0274">
        <w:rPr>
          <w:rFonts w:ascii="Book Antiqua" w:hAnsi="Book Antiqua"/>
        </w:rPr>
        <w:t>exceptionalist</w:t>
      </w:r>
      <w:proofErr w:type="spellEnd"/>
      <w:r w:rsidR="0017378A" w:rsidRPr="00EA0274">
        <w:rPr>
          <w:rFonts w:ascii="Book Antiqua" w:hAnsi="Book Antiqua"/>
        </w:rPr>
        <w:t xml:space="preserve"> coverage contributed to the same overall outcome: either because not </w:t>
      </w:r>
      <w:r w:rsidR="0010390D" w:rsidRPr="00EA0274">
        <w:rPr>
          <w:rFonts w:ascii="Book Antiqua" w:hAnsi="Book Antiqua"/>
        </w:rPr>
        <w:t>eno</w:t>
      </w:r>
      <w:r w:rsidR="006B50BA" w:rsidRPr="00EA0274">
        <w:rPr>
          <w:rFonts w:ascii="Book Antiqua" w:hAnsi="Book Antiqua"/>
        </w:rPr>
        <w:t xml:space="preserve">ugh attention was paid to political economy dynamics, or because </w:t>
      </w:r>
      <w:r w:rsidR="00F809B7" w:rsidRPr="00EA0274">
        <w:rPr>
          <w:rFonts w:ascii="Book Antiqua" w:hAnsi="Book Antiqua"/>
        </w:rPr>
        <w:t xml:space="preserve">of a primary focus on perceived ‘dangers’, coverage of the region in IR and IPE was heavily ‘securitised’, </w:t>
      </w:r>
      <w:r w:rsidR="003455DE" w:rsidRPr="00EA0274">
        <w:rPr>
          <w:rFonts w:ascii="Book Antiqua" w:hAnsi="Book Antiqua"/>
        </w:rPr>
        <w:t>subordinating the political economy of the region to considerations of energy security and conflict management</w:t>
      </w:r>
      <w:r w:rsidR="00854ED6" w:rsidRPr="00EA0274">
        <w:rPr>
          <w:rFonts w:ascii="Book Antiqua" w:hAnsi="Book Antiqua"/>
        </w:rPr>
        <w:t xml:space="preserve"> in the context of authoritarian rule.</w:t>
      </w:r>
      <w:r w:rsidR="00975840" w:rsidRPr="00EA0274">
        <w:rPr>
          <w:rFonts w:ascii="Book Antiqua" w:hAnsi="Book Antiqua"/>
        </w:rPr>
        <w:t xml:space="preserve"> As mentioned above, </w:t>
      </w:r>
      <w:r w:rsidR="00FD0DFD" w:rsidRPr="00EA0274">
        <w:rPr>
          <w:rFonts w:ascii="Book Antiqua" w:hAnsi="Book Antiqua"/>
        </w:rPr>
        <w:t xml:space="preserve">the rentier state paradigm very much provides an analytical framework </w:t>
      </w:r>
      <w:r w:rsidR="009E60C9" w:rsidRPr="00EA0274">
        <w:rPr>
          <w:rFonts w:ascii="Book Antiqua" w:hAnsi="Book Antiqua"/>
        </w:rPr>
        <w:t xml:space="preserve">that captures this combination of </w:t>
      </w:r>
      <w:r w:rsidR="005B11E6" w:rsidRPr="00EA0274">
        <w:rPr>
          <w:rFonts w:ascii="Book Antiqua" w:hAnsi="Book Antiqua"/>
        </w:rPr>
        <w:t xml:space="preserve">energy security, authoritarianism, and </w:t>
      </w:r>
      <w:r w:rsidR="00E85555" w:rsidRPr="00EA0274">
        <w:rPr>
          <w:rFonts w:ascii="Book Antiqua" w:hAnsi="Book Antiqua"/>
        </w:rPr>
        <w:t>propensity towards conflict.</w:t>
      </w:r>
    </w:p>
    <w:p w14:paraId="763E1E92" w14:textId="352E9F32" w:rsidR="006B22B8" w:rsidRPr="00EA0274" w:rsidRDefault="009F6798" w:rsidP="00C17B81">
      <w:pPr>
        <w:spacing w:after="0" w:line="360" w:lineRule="auto"/>
        <w:ind w:firstLine="567"/>
        <w:jc w:val="both"/>
        <w:rPr>
          <w:rFonts w:ascii="Book Antiqua" w:hAnsi="Book Antiqua"/>
        </w:rPr>
      </w:pPr>
      <w:r w:rsidRPr="00EA0274">
        <w:rPr>
          <w:rFonts w:ascii="Book Antiqua" w:hAnsi="Book Antiqua" w:cs="Times New Roman"/>
        </w:rPr>
        <w:t>In rentier states, external rent is an unproductive ‘gift of nature’ that accrues to the state and is then allocated to society</w:t>
      </w:r>
      <w:r w:rsidRPr="00EA0274">
        <w:rPr>
          <w:rFonts w:ascii="Book Antiqua" w:hAnsi="Book Antiqua" w:cs="Times New Roman"/>
          <w:noProof/>
        </w:rPr>
        <w:t xml:space="preserve"> </w:t>
      </w:r>
      <w:sdt>
        <w:sdtPr>
          <w:rPr>
            <w:rFonts w:ascii="Book Antiqua" w:hAnsi="Book Antiqua" w:cs="Times New Roman"/>
            <w:noProof/>
          </w:rPr>
          <w:id w:val="1729337620"/>
          <w:citation/>
        </w:sdtPr>
        <w:sdtEndPr/>
        <w:sdtContent>
          <w:r w:rsidRPr="00EA0274">
            <w:rPr>
              <w:rFonts w:ascii="Book Antiqua" w:hAnsi="Book Antiqua" w:cs="Times New Roman"/>
              <w:noProof/>
            </w:rPr>
            <w:fldChar w:fldCharType="begin"/>
          </w:r>
          <w:r w:rsidRPr="00EA0274">
            <w:rPr>
              <w:rFonts w:ascii="Book Antiqua" w:hAnsi="Book Antiqua" w:cs="Times New Roman"/>
              <w:noProof/>
            </w:rPr>
            <w:instrText xml:space="preserve"> CITATION Beb87 \l 2057  \m Luc90</w:instrText>
          </w:r>
          <w:r w:rsidRPr="00EA0274">
            <w:rPr>
              <w:rFonts w:ascii="Book Antiqua" w:hAnsi="Book Antiqua" w:cs="Times New Roman"/>
              <w:noProof/>
            </w:rPr>
            <w:fldChar w:fldCharType="separate"/>
          </w:r>
          <w:r w:rsidR="00F12D50" w:rsidRPr="00EA0274">
            <w:rPr>
              <w:rFonts w:ascii="Book Antiqua" w:hAnsi="Book Antiqua" w:cs="Times New Roman"/>
              <w:noProof/>
            </w:rPr>
            <w:t>(Beblawi, 1987; Luciani, 1990)</w:t>
          </w:r>
          <w:r w:rsidRPr="00EA0274">
            <w:rPr>
              <w:rFonts w:ascii="Book Antiqua" w:hAnsi="Book Antiqua" w:cs="Times New Roman"/>
              <w:noProof/>
            </w:rPr>
            <w:fldChar w:fldCharType="end"/>
          </w:r>
        </w:sdtContent>
      </w:sdt>
      <w:r w:rsidRPr="00EA0274">
        <w:rPr>
          <w:rFonts w:ascii="Book Antiqua" w:hAnsi="Book Antiqua" w:cs="Times New Roman"/>
        </w:rPr>
        <w:t xml:space="preserve">. This leads to a lack of democracy, as oil states </w:t>
      </w:r>
      <w:r w:rsidR="008474EE" w:rsidRPr="00EA0274">
        <w:rPr>
          <w:rFonts w:ascii="Book Antiqua" w:hAnsi="Book Antiqua" w:cs="Times New Roman"/>
        </w:rPr>
        <w:t>‘</w:t>
      </w:r>
      <w:r w:rsidRPr="00EA0274">
        <w:rPr>
          <w:rFonts w:ascii="Book Antiqua" w:hAnsi="Book Antiqua" w:cs="Times New Roman"/>
        </w:rPr>
        <w:t>buy off</w:t>
      </w:r>
      <w:r w:rsidR="008474EE" w:rsidRPr="00EA0274">
        <w:rPr>
          <w:rFonts w:ascii="Book Antiqua" w:hAnsi="Book Antiqua" w:cs="Times New Roman"/>
        </w:rPr>
        <w:t>’</w:t>
      </w:r>
      <w:r w:rsidRPr="00EA0274">
        <w:rPr>
          <w:rFonts w:ascii="Book Antiqua" w:hAnsi="Book Antiqua" w:cs="Times New Roman"/>
        </w:rPr>
        <w:t xml:space="preserve"> society. A ‘rentier mentality’ that impedes economic development, and a diffusion of </w:t>
      </w:r>
      <w:proofErr w:type="spellStart"/>
      <w:r w:rsidRPr="00EA0274">
        <w:rPr>
          <w:rFonts w:ascii="Book Antiqua" w:hAnsi="Book Antiqua" w:cs="Times New Roman"/>
        </w:rPr>
        <w:t>rentierism</w:t>
      </w:r>
      <w:proofErr w:type="spellEnd"/>
      <w:r w:rsidRPr="00EA0274">
        <w:rPr>
          <w:rFonts w:ascii="Book Antiqua" w:hAnsi="Book Antiqua" w:cs="Times New Roman"/>
        </w:rPr>
        <w:t xml:space="preserve"> across the Middle East through Gulf aid. </w:t>
      </w:r>
      <w:r w:rsidRPr="00EA0274">
        <w:rPr>
          <w:rFonts w:ascii="Book Antiqua" w:hAnsi="Book Antiqua" w:cs="Times New Roman"/>
          <w:noProof/>
        </w:rPr>
        <w:t>(Beblawi, 1990; Luciani, 1990)</w:t>
      </w:r>
      <w:r w:rsidRPr="00EA0274">
        <w:rPr>
          <w:rFonts w:ascii="Book Antiqua" w:hAnsi="Book Antiqua" w:cs="Times New Roman"/>
        </w:rPr>
        <w:t xml:space="preserve">. </w:t>
      </w:r>
      <w:r w:rsidR="000A5773" w:rsidRPr="00EA0274">
        <w:rPr>
          <w:rFonts w:ascii="Book Antiqua" w:hAnsi="Book Antiqua"/>
          <w:iCs/>
        </w:rPr>
        <w:t xml:space="preserve">The following generations of rentier state theory provided greater sophistication to the model, nuancing Gulf oil states’ relations with society </w:t>
      </w:r>
      <w:r w:rsidR="003E299C" w:rsidRPr="00EA0274">
        <w:rPr>
          <w:rFonts w:ascii="Book Antiqua" w:hAnsi="Book Antiqua"/>
          <w:noProof/>
        </w:rPr>
        <w:t>(</w:t>
      </w:r>
      <w:r w:rsidR="003E299C">
        <w:rPr>
          <w:rFonts w:ascii="Book Antiqua" w:hAnsi="Book Antiqua"/>
          <w:noProof/>
        </w:rPr>
        <w:t xml:space="preserve">Beck and Richter, 2021; </w:t>
      </w:r>
      <w:r w:rsidR="003E299C" w:rsidRPr="00EA0274">
        <w:rPr>
          <w:rFonts w:ascii="Book Antiqua" w:hAnsi="Book Antiqua"/>
          <w:noProof/>
        </w:rPr>
        <w:t xml:space="preserve">Chaudhry, 1997; Crystal, 1990; </w:t>
      </w:r>
      <w:r w:rsidR="003E299C">
        <w:rPr>
          <w:rFonts w:ascii="Book Antiqua" w:hAnsi="Book Antiqua"/>
          <w:noProof/>
        </w:rPr>
        <w:t xml:space="preserve">Herb, 2018; </w:t>
      </w:r>
      <w:r w:rsidR="003E299C" w:rsidRPr="00EA0274">
        <w:rPr>
          <w:rFonts w:ascii="Book Antiqua" w:hAnsi="Book Antiqua"/>
          <w:noProof/>
        </w:rPr>
        <w:t>Hertog, 2010; Moore, 2002</w:t>
      </w:r>
      <w:r w:rsidR="003E299C">
        <w:rPr>
          <w:rFonts w:ascii="Book Antiqua" w:hAnsi="Book Antiqua"/>
          <w:noProof/>
        </w:rPr>
        <w:t>; Smith and Waldner, 2021</w:t>
      </w:r>
      <w:r w:rsidR="003E299C" w:rsidRPr="00EA0274">
        <w:rPr>
          <w:rFonts w:ascii="Book Antiqua" w:hAnsi="Book Antiqua"/>
          <w:noProof/>
        </w:rPr>
        <w:t>)</w:t>
      </w:r>
      <w:r w:rsidR="000A5773" w:rsidRPr="00EA0274">
        <w:rPr>
          <w:rFonts w:ascii="Book Antiqua" w:hAnsi="Book Antiqua" w:cs="Times New Roman"/>
          <w:noProof/>
        </w:rPr>
        <w:t xml:space="preserve">. However, rentier state theory has failed to </w:t>
      </w:r>
      <w:r w:rsidR="00BF5E54" w:rsidRPr="00EA0274">
        <w:rPr>
          <w:rFonts w:ascii="Book Antiqua" w:hAnsi="Book Antiqua" w:cs="Times New Roman"/>
          <w:noProof/>
        </w:rPr>
        <w:t xml:space="preserve">account properly for the position of Gulf states in the global political economy, </w:t>
      </w:r>
      <w:r w:rsidR="00383B67" w:rsidRPr="00EA0274">
        <w:rPr>
          <w:rFonts w:ascii="Book Antiqua" w:hAnsi="Book Antiqua" w:cs="Times New Roman"/>
          <w:noProof/>
        </w:rPr>
        <w:t>even if it managed to</w:t>
      </w:r>
      <w:r w:rsidR="00BF5E54" w:rsidRPr="00EA0274">
        <w:rPr>
          <w:rFonts w:ascii="Book Antiqua" w:hAnsi="Book Antiqua" w:cs="Times New Roman"/>
          <w:noProof/>
        </w:rPr>
        <w:t xml:space="preserve"> generat</w:t>
      </w:r>
      <w:r w:rsidR="00383B67" w:rsidRPr="00EA0274">
        <w:rPr>
          <w:rFonts w:ascii="Book Antiqua" w:hAnsi="Book Antiqua" w:cs="Times New Roman"/>
          <w:noProof/>
        </w:rPr>
        <w:t>e</w:t>
      </w:r>
      <w:r w:rsidR="00BF5E54" w:rsidRPr="00EA0274">
        <w:rPr>
          <w:rFonts w:ascii="Book Antiqua" w:hAnsi="Book Antiqua" w:cs="Times New Roman"/>
          <w:noProof/>
        </w:rPr>
        <w:t xml:space="preserve"> and test hypotheses about relations between state and domestic society </w:t>
      </w:r>
      <w:r w:rsidR="00383B67" w:rsidRPr="00EA0274">
        <w:rPr>
          <w:rFonts w:ascii="Book Antiqua" w:hAnsi="Book Antiqua" w:cs="Times New Roman"/>
          <w:noProof/>
        </w:rPr>
        <w:t>(Baumann, 2019</w:t>
      </w:r>
      <w:r w:rsidR="00753FD8" w:rsidRPr="00EA0274">
        <w:rPr>
          <w:rFonts w:ascii="Book Antiqua" w:hAnsi="Book Antiqua" w:cs="Times New Roman"/>
          <w:noProof/>
        </w:rPr>
        <w:t>; Ennis, 2019</w:t>
      </w:r>
      <w:r w:rsidR="00383B67" w:rsidRPr="00EA0274">
        <w:rPr>
          <w:rFonts w:ascii="Book Antiqua" w:hAnsi="Book Antiqua" w:cs="Times New Roman"/>
          <w:noProof/>
        </w:rPr>
        <w:t>)</w:t>
      </w:r>
      <w:r w:rsidR="00BF5E54" w:rsidRPr="00EA0274">
        <w:rPr>
          <w:rFonts w:ascii="Book Antiqua" w:hAnsi="Book Antiqua" w:cs="Times New Roman"/>
          <w:noProof/>
        </w:rPr>
        <w:t>.</w:t>
      </w:r>
    </w:p>
    <w:p w14:paraId="6B133184" w14:textId="76E8F959" w:rsidR="004532E7" w:rsidRPr="00EA0274" w:rsidRDefault="00121D17" w:rsidP="002D136A">
      <w:pPr>
        <w:spacing w:after="0" w:line="360" w:lineRule="auto"/>
        <w:ind w:firstLine="567"/>
        <w:jc w:val="both"/>
        <w:rPr>
          <w:rFonts w:ascii="Book Antiqua" w:hAnsi="Book Antiqua"/>
          <w:vertAlign w:val="superscript"/>
        </w:rPr>
      </w:pPr>
      <w:r w:rsidRPr="00EA0274">
        <w:rPr>
          <w:rFonts w:ascii="Book Antiqua" w:hAnsi="Book Antiqua"/>
        </w:rPr>
        <w:t xml:space="preserve">Importantly, </w:t>
      </w:r>
      <w:r w:rsidR="00251108" w:rsidRPr="00EA0274">
        <w:rPr>
          <w:rFonts w:ascii="Book Antiqua" w:hAnsi="Book Antiqua"/>
        </w:rPr>
        <w:t xml:space="preserve">many of the features attributed to rentier states also carry forward </w:t>
      </w:r>
      <w:r w:rsidR="00AF2948" w:rsidRPr="00EA0274">
        <w:rPr>
          <w:rFonts w:ascii="Book Antiqua" w:hAnsi="Book Antiqua"/>
        </w:rPr>
        <w:t xml:space="preserve">to resource-scarce states in the region. An early attempt at this analytical extension was the </w:t>
      </w:r>
      <w:r w:rsidR="00533AC3" w:rsidRPr="00EA0274">
        <w:rPr>
          <w:rFonts w:ascii="Book Antiqua" w:hAnsi="Book Antiqua"/>
        </w:rPr>
        <w:t xml:space="preserve">derivation of </w:t>
      </w:r>
      <w:r w:rsidR="00657CB3" w:rsidRPr="00EA0274">
        <w:rPr>
          <w:rFonts w:ascii="Book Antiqua" w:hAnsi="Book Antiqua"/>
        </w:rPr>
        <w:t>‘</w:t>
      </w:r>
      <w:r w:rsidR="00533AC3" w:rsidRPr="00EA0274">
        <w:rPr>
          <w:rFonts w:ascii="Book Antiqua" w:hAnsi="Book Antiqua"/>
        </w:rPr>
        <w:t>second-order</w:t>
      </w:r>
      <w:r w:rsidR="00284F2A" w:rsidRPr="00EA0274">
        <w:rPr>
          <w:rFonts w:ascii="Book Antiqua" w:hAnsi="Book Antiqua"/>
        </w:rPr>
        <w:t xml:space="preserve"> rentiers’</w:t>
      </w:r>
      <w:r w:rsidR="00634F12" w:rsidRPr="00EA0274">
        <w:rPr>
          <w:rFonts w:ascii="Book Antiqua" w:hAnsi="Book Antiqua"/>
        </w:rPr>
        <w:t xml:space="preserve"> (</w:t>
      </w:r>
      <w:proofErr w:type="spellStart"/>
      <w:r w:rsidR="00634F12" w:rsidRPr="00EA0274">
        <w:rPr>
          <w:rFonts w:ascii="Book Antiqua" w:hAnsi="Book Antiqua"/>
        </w:rPr>
        <w:t>B</w:t>
      </w:r>
      <w:r w:rsidR="006B22B8" w:rsidRPr="00EA0274">
        <w:rPr>
          <w:rFonts w:ascii="Book Antiqua" w:hAnsi="Book Antiqua"/>
        </w:rPr>
        <w:t>e</w:t>
      </w:r>
      <w:r w:rsidR="00634F12" w:rsidRPr="00EA0274">
        <w:rPr>
          <w:rFonts w:ascii="Book Antiqua" w:hAnsi="Book Antiqua"/>
        </w:rPr>
        <w:t>blawi</w:t>
      </w:r>
      <w:proofErr w:type="spellEnd"/>
      <w:r w:rsidR="006B22B8" w:rsidRPr="00EA0274">
        <w:rPr>
          <w:rFonts w:ascii="Book Antiqua" w:hAnsi="Book Antiqua"/>
        </w:rPr>
        <w:t xml:space="preserve"> 1987</w:t>
      </w:r>
      <w:r w:rsidR="00982060" w:rsidRPr="00EA0274">
        <w:rPr>
          <w:rFonts w:ascii="Book Antiqua" w:hAnsi="Book Antiqua"/>
        </w:rPr>
        <w:t>: 393</w:t>
      </w:r>
      <w:r w:rsidR="006B22B8" w:rsidRPr="00EA0274">
        <w:rPr>
          <w:rFonts w:ascii="Book Antiqua" w:hAnsi="Book Antiqua"/>
        </w:rPr>
        <w:t>)</w:t>
      </w:r>
      <w:r w:rsidR="002D0DBA" w:rsidRPr="00EA0274">
        <w:rPr>
          <w:rFonts w:ascii="Book Antiqua" w:hAnsi="Book Antiqua"/>
        </w:rPr>
        <w:t xml:space="preserve">, </w:t>
      </w:r>
      <w:r w:rsidR="006B22B8" w:rsidRPr="00EA0274">
        <w:rPr>
          <w:rFonts w:ascii="Book Antiqua" w:hAnsi="Book Antiqua"/>
        </w:rPr>
        <w:t>benefitting</w:t>
      </w:r>
      <w:r w:rsidR="002D0DBA" w:rsidRPr="00EA0274">
        <w:rPr>
          <w:rFonts w:ascii="Book Antiqua" w:hAnsi="Book Antiqua"/>
        </w:rPr>
        <w:t xml:space="preserve"> indirectly from hydrocarbon rents</w:t>
      </w:r>
      <w:r w:rsidR="00634F12" w:rsidRPr="00EA0274">
        <w:rPr>
          <w:rFonts w:ascii="Book Antiqua" w:hAnsi="Book Antiqua"/>
        </w:rPr>
        <w:t xml:space="preserve">, for instance through </w:t>
      </w:r>
      <w:r w:rsidR="008D5F67" w:rsidRPr="00EA0274">
        <w:rPr>
          <w:rFonts w:ascii="Book Antiqua" w:hAnsi="Book Antiqua"/>
        </w:rPr>
        <w:t xml:space="preserve">workers’ </w:t>
      </w:r>
      <w:r w:rsidR="00634F12" w:rsidRPr="00EA0274">
        <w:rPr>
          <w:rFonts w:ascii="Book Antiqua" w:hAnsi="Book Antiqua"/>
        </w:rPr>
        <w:t>remittances and regional aid.</w:t>
      </w:r>
      <w:r w:rsidR="00F25E2C" w:rsidRPr="00EA0274">
        <w:rPr>
          <w:rFonts w:ascii="Book Antiqua" w:hAnsi="Book Antiqua"/>
        </w:rPr>
        <w:t xml:space="preserve"> </w:t>
      </w:r>
      <w:r w:rsidR="00991F2A" w:rsidRPr="00EA0274">
        <w:rPr>
          <w:rFonts w:ascii="Book Antiqua" w:hAnsi="Book Antiqua"/>
        </w:rPr>
        <w:t>As a result, irrespective of hydrocarbon</w:t>
      </w:r>
      <w:r w:rsidR="00AA3438" w:rsidRPr="00EA0274">
        <w:rPr>
          <w:rFonts w:ascii="Book Antiqua" w:hAnsi="Book Antiqua"/>
        </w:rPr>
        <w:t xml:space="preserve"> endowments,</w:t>
      </w:r>
      <w:r w:rsidR="00991F2A" w:rsidRPr="00EA0274">
        <w:rPr>
          <w:rFonts w:ascii="Book Antiqua" w:hAnsi="Book Antiqua"/>
        </w:rPr>
        <w:t xml:space="preserve"> rents </w:t>
      </w:r>
      <w:r w:rsidR="00527C62" w:rsidRPr="00EA0274">
        <w:rPr>
          <w:rFonts w:ascii="Book Antiqua" w:hAnsi="Book Antiqua"/>
        </w:rPr>
        <w:t xml:space="preserve">are considered to </w:t>
      </w:r>
      <w:r w:rsidR="00991F2A" w:rsidRPr="00EA0274">
        <w:rPr>
          <w:rFonts w:ascii="Book Antiqua" w:hAnsi="Book Antiqua"/>
        </w:rPr>
        <w:t xml:space="preserve">warp how Middle Eastern states engage with the global economy, </w:t>
      </w:r>
      <w:r w:rsidR="00121D9B" w:rsidRPr="00EA0274">
        <w:rPr>
          <w:rFonts w:ascii="Book Antiqua" w:hAnsi="Book Antiqua"/>
        </w:rPr>
        <w:t xml:space="preserve">as ‘the oil disease has contaminated all of the Arab </w:t>
      </w:r>
      <w:r w:rsidR="00121D9B" w:rsidRPr="00EA0274">
        <w:rPr>
          <w:rFonts w:ascii="Book Antiqua" w:hAnsi="Book Antiqua"/>
        </w:rPr>
        <w:lastRenderedPageBreak/>
        <w:t>world’ (</w:t>
      </w:r>
      <w:r w:rsidR="00982060" w:rsidRPr="00EA0274">
        <w:rPr>
          <w:rFonts w:ascii="Book Antiqua" w:hAnsi="Book Antiqua"/>
        </w:rPr>
        <w:t>ibid). These argument</w:t>
      </w:r>
      <w:r w:rsidR="00887FC2" w:rsidRPr="00EA0274">
        <w:rPr>
          <w:rFonts w:ascii="Book Antiqua" w:hAnsi="Book Antiqua"/>
        </w:rPr>
        <w:t>s</w:t>
      </w:r>
      <w:r w:rsidR="00982060" w:rsidRPr="00EA0274">
        <w:rPr>
          <w:rFonts w:ascii="Book Antiqua" w:hAnsi="Book Antiqua"/>
        </w:rPr>
        <w:t xml:space="preserve"> carry </w:t>
      </w:r>
      <w:r w:rsidR="00527C62" w:rsidRPr="00EA0274">
        <w:rPr>
          <w:rFonts w:ascii="Book Antiqua" w:hAnsi="Book Antiqua"/>
        </w:rPr>
        <w:t>significant</w:t>
      </w:r>
      <w:r w:rsidR="00982060" w:rsidRPr="00EA0274">
        <w:rPr>
          <w:rFonts w:ascii="Book Antiqua" w:hAnsi="Book Antiqua"/>
        </w:rPr>
        <w:t xml:space="preserve"> weight also among scholars exploring </w:t>
      </w:r>
      <w:r w:rsidR="00E733BE" w:rsidRPr="00EA0274">
        <w:rPr>
          <w:rFonts w:ascii="Book Antiqua" w:hAnsi="Book Antiqua"/>
        </w:rPr>
        <w:t>how globalisation has shaped the political economy of the region</w:t>
      </w:r>
      <w:r w:rsidR="00475705" w:rsidRPr="00EA0274">
        <w:rPr>
          <w:rFonts w:ascii="Book Antiqua" w:hAnsi="Book Antiqua"/>
        </w:rPr>
        <w:t xml:space="preserve">. </w:t>
      </w:r>
      <w:r w:rsidR="004076AF" w:rsidRPr="00EA0274">
        <w:rPr>
          <w:rFonts w:ascii="Book Antiqua" w:hAnsi="Book Antiqua"/>
        </w:rPr>
        <w:t xml:space="preserve">Leading scholars on this issue see Middle Eastern states engaging with globalisation at best as ‘defensive modernizers’ (Henry &amp; </w:t>
      </w:r>
      <w:proofErr w:type="spellStart"/>
      <w:r w:rsidR="004076AF" w:rsidRPr="00EA0274">
        <w:rPr>
          <w:rFonts w:ascii="Book Antiqua" w:hAnsi="Book Antiqua"/>
        </w:rPr>
        <w:t>Springborg</w:t>
      </w:r>
      <w:proofErr w:type="spellEnd"/>
      <w:r w:rsidR="004076AF" w:rsidRPr="00EA0274">
        <w:rPr>
          <w:rFonts w:ascii="Book Antiqua" w:hAnsi="Book Antiqua"/>
        </w:rPr>
        <w:t xml:space="preserve"> 2010: 3), </w:t>
      </w:r>
      <w:r w:rsidR="008F616C" w:rsidRPr="00EA0274">
        <w:rPr>
          <w:rFonts w:ascii="Book Antiqua" w:hAnsi="Book Antiqua"/>
        </w:rPr>
        <w:t>while others essentially present regional states as distorting the logic of globalisation by fostering rent-seeking and cronyism</w:t>
      </w:r>
      <w:r w:rsidR="00B069AA" w:rsidRPr="00EA0274">
        <w:rPr>
          <w:rFonts w:ascii="Book Antiqua" w:hAnsi="Book Antiqua"/>
        </w:rPr>
        <w:t xml:space="preserve"> (</w:t>
      </w:r>
      <w:proofErr w:type="spellStart"/>
      <w:r w:rsidR="00B069AA" w:rsidRPr="00EA0274">
        <w:rPr>
          <w:rFonts w:ascii="Book Antiqua" w:hAnsi="Book Antiqua"/>
        </w:rPr>
        <w:t>Cammett</w:t>
      </w:r>
      <w:proofErr w:type="spellEnd"/>
      <w:r w:rsidR="00B069AA" w:rsidRPr="00EA0274">
        <w:rPr>
          <w:rFonts w:ascii="Book Antiqua" w:hAnsi="Book Antiqua"/>
        </w:rPr>
        <w:t xml:space="preserve"> et al. 2015: 273-287).</w:t>
      </w:r>
      <w:r w:rsidR="00224879" w:rsidRPr="00EA0274">
        <w:rPr>
          <w:rFonts w:ascii="Book Antiqua" w:hAnsi="Book Antiqua"/>
        </w:rPr>
        <w:t xml:space="preserve"> While these assessments are not </w:t>
      </w:r>
      <w:r w:rsidR="006E63CF" w:rsidRPr="00EA0274">
        <w:rPr>
          <w:rFonts w:ascii="Book Antiqua" w:hAnsi="Book Antiqua"/>
        </w:rPr>
        <w:t xml:space="preserve">wholly </w:t>
      </w:r>
      <w:r w:rsidR="00224879" w:rsidRPr="00EA0274">
        <w:rPr>
          <w:rFonts w:ascii="Book Antiqua" w:hAnsi="Book Antiqua"/>
        </w:rPr>
        <w:t xml:space="preserve">inaccurate, they reproduce the issue, first identified by </w:t>
      </w:r>
      <w:proofErr w:type="spellStart"/>
      <w:r w:rsidR="00224879" w:rsidRPr="00EA0274">
        <w:rPr>
          <w:rFonts w:ascii="Book Antiqua" w:hAnsi="Book Antiqua"/>
        </w:rPr>
        <w:t>Nazih</w:t>
      </w:r>
      <w:proofErr w:type="spellEnd"/>
      <w:r w:rsidR="00224879" w:rsidRPr="00EA0274">
        <w:rPr>
          <w:rFonts w:ascii="Book Antiqua" w:hAnsi="Book Antiqua"/>
        </w:rPr>
        <w:t xml:space="preserve"> </w:t>
      </w:r>
      <w:proofErr w:type="spellStart"/>
      <w:r w:rsidR="00224879" w:rsidRPr="00EA0274">
        <w:rPr>
          <w:rFonts w:ascii="Book Antiqua" w:hAnsi="Book Antiqua"/>
        </w:rPr>
        <w:t>Ayubi</w:t>
      </w:r>
      <w:proofErr w:type="spellEnd"/>
      <w:r w:rsidR="00224879" w:rsidRPr="00EA0274">
        <w:rPr>
          <w:rFonts w:ascii="Book Antiqua" w:hAnsi="Book Antiqua"/>
        </w:rPr>
        <w:t xml:space="preserve"> (1995), of ‘over-stating</w:t>
      </w:r>
      <w:r w:rsidR="00104493" w:rsidRPr="00EA0274">
        <w:rPr>
          <w:rFonts w:ascii="Book Antiqua" w:hAnsi="Book Antiqua"/>
        </w:rPr>
        <w:t xml:space="preserve">’ </w:t>
      </w:r>
      <w:r w:rsidR="0066761A" w:rsidRPr="00EA0274">
        <w:rPr>
          <w:rFonts w:ascii="Book Antiqua" w:hAnsi="Book Antiqua"/>
        </w:rPr>
        <w:t>the relevance of the state in the Middle East.</w:t>
      </w:r>
      <w:r w:rsidR="0066761A" w:rsidRPr="00EA0274">
        <w:rPr>
          <w:rStyle w:val="FootnoteReference"/>
          <w:rFonts w:ascii="Book Antiqua" w:hAnsi="Book Antiqua"/>
        </w:rPr>
        <w:footnoteReference w:id="3"/>
      </w:r>
      <w:r w:rsidR="00C527C2" w:rsidRPr="00EA0274">
        <w:rPr>
          <w:rFonts w:ascii="Book Antiqua" w:hAnsi="Book Antiqua"/>
        </w:rPr>
        <w:t xml:space="preserve"> While invoked as a key determinant of the peculiarities of economic, political, and social development in the region, the state </w:t>
      </w:r>
      <w:r w:rsidR="009F41C5" w:rsidRPr="00EA0274">
        <w:rPr>
          <w:rFonts w:ascii="Book Antiqua" w:hAnsi="Book Antiqua"/>
        </w:rPr>
        <w:t>is much less often adequately theorised, both in its relations with society and in its interactions with the wider world.</w:t>
      </w:r>
      <w:r w:rsidR="005D1CA7" w:rsidRPr="00EA0274">
        <w:rPr>
          <w:rFonts w:ascii="Book Antiqua" w:hAnsi="Book Antiqua"/>
          <w:vertAlign w:val="superscript"/>
        </w:rPr>
        <w:t xml:space="preserve"> </w:t>
      </w:r>
      <w:r w:rsidR="005D1CA7" w:rsidRPr="00EA0274">
        <w:rPr>
          <w:rFonts w:ascii="Book Antiqua" w:hAnsi="Book Antiqua"/>
          <w:vertAlign w:val="superscript"/>
        </w:rPr>
        <w:footnoteReference w:id="4"/>
      </w:r>
    </w:p>
    <w:p w14:paraId="6026152F" w14:textId="2EE86475" w:rsidR="00D90A71" w:rsidRPr="00EA0274" w:rsidRDefault="000531CD" w:rsidP="00D90A71">
      <w:pPr>
        <w:spacing w:after="0" w:line="360" w:lineRule="auto"/>
        <w:ind w:firstLine="567"/>
        <w:jc w:val="both"/>
        <w:rPr>
          <w:rFonts w:ascii="Book Antiqua" w:hAnsi="Book Antiqua"/>
        </w:rPr>
      </w:pPr>
      <w:r w:rsidRPr="00EA0274">
        <w:rPr>
          <w:rFonts w:ascii="Book Antiqua" w:hAnsi="Book Antiqua"/>
        </w:rPr>
        <w:t xml:space="preserve">This analytical limitation of dominant approaches to the political economy of the Middle East has two </w:t>
      </w:r>
      <w:r w:rsidR="00816B5A" w:rsidRPr="00EA0274">
        <w:rPr>
          <w:rFonts w:ascii="Book Antiqua" w:hAnsi="Book Antiqua"/>
        </w:rPr>
        <w:t>metatheoretical sources</w:t>
      </w:r>
      <w:r w:rsidR="00CB2CC4" w:rsidRPr="00EA0274">
        <w:rPr>
          <w:rFonts w:ascii="Book Antiqua" w:hAnsi="Book Antiqua"/>
        </w:rPr>
        <w:t xml:space="preserve">, namely methodological nationalism and </w:t>
      </w:r>
      <w:r w:rsidR="00057643" w:rsidRPr="00EA0274">
        <w:rPr>
          <w:rFonts w:ascii="Book Antiqua" w:hAnsi="Book Antiqua"/>
        </w:rPr>
        <w:t>an additive understanding of political economy</w:t>
      </w:r>
      <w:r w:rsidR="00CB2CC4" w:rsidRPr="00EA0274">
        <w:rPr>
          <w:rFonts w:ascii="Book Antiqua" w:hAnsi="Book Antiqua"/>
        </w:rPr>
        <w:t>. The former is understood here as the tendency to take ‘the nation-state as the self-evident container of political, cultural, and economic relations’ (Goswami 200</w:t>
      </w:r>
      <w:r w:rsidR="0028762E" w:rsidRPr="00EA0274">
        <w:rPr>
          <w:rFonts w:ascii="Book Antiqua" w:hAnsi="Book Antiqua"/>
        </w:rPr>
        <w:t>2</w:t>
      </w:r>
      <w:r w:rsidR="00CB2CC4" w:rsidRPr="00EA0274">
        <w:rPr>
          <w:rFonts w:ascii="Book Antiqua" w:hAnsi="Book Antiqua"/>
        </w:rPr>
        <w:t>: 794)</w:t>
      </w:r>
      <w:r w:rsidR="001C6783" w:rsidRPr="00EA0274">
        <w:rPr>
          <w:rFonts w:ascii="Book Antiqua" w:hAnsi="Book Antiqua"/>
        </w:rPr>
        <w:t xml:space="preserve">. </w:t>
      </w:r>
      <w:r w:rsidR="00393231" w:rsidRPr="00EA0274">
        <w:rPr>
          <w:rFonts w:ascii="Book Antiqua" w:hAnsi="Book Antiqua"/>
        </w:rPr>
        <w:t xml:space="preserve">Global processes and transformations, </w:t>
      </w:r>
      <w:r w:rsidR="00FD6A37" w:rsidRPr="00EA0274">
        <w:rPr>
          <w:rFonts w:ascii="Book Antiqua" w:hAnsi="Book Antiqua"/>
        </w:rPr>
        <w:t>such as</w:t>
      </w:r>
      <w:r w:rsidR="00393231" w:rsidRPr="00EA0274">
        <w:rPr>
          <w:rFonts w:ascii="Book Antiqua" w:hAnsi="Book Antiqua"/>
        </w:rPr>
        <w:t xml:space="preserve"> container shipping </w:t>
      </w:r>
      <w:r w:rsidR="00FD6A37" w:rsidRPr="00EA0274">
        <w:rPr>
          <w:rFonts w:ascii="Book Antiqua" w:hAnsi="Book Antiqua"/>
        </w:rPr>
        <w:t>or</w:t>
      </w:r>
      <w:r w:rsidR="00393231" w:rsidRPr="00EA0274">
        <w:rPr>
          <w:rFonts w:ascii="Book Antiqua" w:hAnsi="Book Antiqua"/>
        </w:rPr>
        <w:t xml:space="preserve"> </w:t>
      </w:r>
      <w:proofErr w:type="spellStart"/>
      <w:r w:rsidR="008A379E" w:rsidRPr="00EA0274">
        <w:rPr>
          <w:rFonts w:ascii="Book Antiqua" w:hAnsi="Book Antiqua"/>
        </w:rPr>
        <w:t>financialisation</w:t>
      </w:r>
      <w:proofErr w:type="spellEnd"/>
      <w:r w:rsidR="008A379E" w:rsidRPr="00EA0274">
        <w:rPr>
          <w:rFonts w:ascii="Book Antiqua" w:hAnsi="Book Antiqua"/>
        </w:rPr>
        <w:t xml:space="preserve">, </w:t>
      </w:r>
      <w:r w:rsidR="007A5A37" w:rsidRPr="00EA0274">
        <w:rPr>
          <w:rFonts w:ascii="Book Antiqua" w:hAnsi="Book Antiqua"/>
        </w:rPr>
        <w:t>are thus taken not as generative of new conditions within which states act,</w:t>
      </w:r>
      <w:r w:rsidR="00FD6A37" w:rsidRPr="00EA0274">
        <w:rPr>
          <w:rFonts w:ascii="Book Antiqua" w:hAnsi="Book Antiqua"/>
        </w:rPr>
        <w:t xml:space="preserve"> and they are certainly not seen as being generated by Middle Eastern states. Instead they are merely seen as</w:t>
      </w:r>
      <w:r w:rsidR="007A5A37" w:rsidRPr="00EA0274">
        <w:rPr>
          <w:rFonts w:ascii="Book Antiqua" w:hAnsi="Book Antiqua"/>
        </w:rPr>
        <w:t xml:space="preserve"> external stimuli, which </w:t>
      </w:r>
      <w:r w:rsidR="000B440A" w:rsidRPr="00EA0274">
        <w:rPr>
          <w:rFonts w:ascii="Book Antiqua" w:hAnsi="Book Antiqua"/>
        </w:rPr>
        <w:t>incumbent autocrats in Middle Eastern states can manipulate at will to advance their own agenda</w:t>
      </w:r>
      <w:r w:rsidR="00D94378" w:rsidRPr="00EA0274">
        <w:rPr>
          <w:rFonts w:ascii="Book Antiqua" w:hAnsi="Book Antiqua"/>
        </w:rPr>
        <w:t xml:space="preserve"> (</w:t>
      </w:r>
      <w:proofErr w:type="spellStart"/>
      <w:r w:rsidR="00D94378" w:rsidRPr="00EA0274">
        <w:rPr>
          <w:rFonts w:ascii="Book Antiqua" w:hAnsi="Book Antiqua"/>
        </w:rPr>
        <w:t>Kamrava</w:t>
      </w:r>
      <w:proofErr w:type="spellEnd"/>
      <w:r w:rsidR="00D94378" w:rsidRPr="00EA0274">
        <w:rPr>
          <w:rFonts w:ascii="Book Antiqua" w:hAnsi="Book Antiqua"/>
        </w:rPr>
        <w:t xml:space="preserve"> 2004; Henry &amp; </w:t>
      </w:r>
      <w:proofErr w:type="spellStart"/>
      <w:r w:rsidR="00D94378" w:rsidRPr="00EA0274">
        <w:rPr>
          <w:rFonts w:ascii="Book Antiqua" w:hAnsi="Book Antiqua"/>
        </w:rPr>
        <w:t>Springborg</w:t>
      </w:r>
      <w:proofErr w:type="spellEnd"/>
      <w:r w:rsidR="00D94378" w:rsidRPr="00EA0274">
        <w:rPr>
          <w:rFonts w:ascii="Book Antiqua" w:hAnsi="Book Antiqua"/>
        </w:rPr>
        <w:t>, 2010)</w:t>
      </w:r>
      <w:r w:rsidR="000B440A" w:rsidRPr="00EA0274">
        <w:rPr>
          <w:rFonts w:ascii="Book Antiqua" w:hAnsi="Book Antiqua"/>
        </w:rPr>
        <w:t xml:space="preserve">. </w:t>
      </w:r>
      <w:r w:rsidR="00C45E60" w:rsidRPr="00EA0274">
        <w:rPr>
          <w:rFonts w:ascii="Book Antiqua" w:hAnsi="Book Antiqua"/>
        </w:rPr>
        <w:t xml:space="preserve">This tendency might well be understood as another way of ‘over-stating’ the state </w:t>
      </w:r>
      <w:r w:rsidR="00A1429F" w:rsidRPr="00EA0274">
        <w:rPr>
          <w:rFonts w:ascii="Book Antiqua" w:hAnsi="Book Antiqua"/>
        </w:rPr>
        <w:t xml:space="preserve">that </w:t>
      </w:r>
      <w:proofErr w:type="spellStart"/>
      <w:r w:rsidR="00A1429F" w:rsidRPr="00EA0274">
        <w:rPr>
          <w:rFonts w:ascii="Book Antiqua" w:hAnsi="Book Antiqua"/>
        </w:rPr>
        <w:t>Ayubi</w:t>
      </w:r>
      <w:proofErr w:type="spellEnd"/>
      <w:r w:rsidR="00A1429F" w:rsidRPr="00EA0274">
        <w:rPr>
          <w:rFonts w:ascii="Book Antiqua" w:hAnsi="Book Antiqua"/>
        </w:rPr>
        <w:t xml:space="preserve"> had not originally covered, and one of the main challenges for this special issue </w:t>
      </w:r>
      <w:r w:rsidR="00A63057" w:rsidRPr="00EA0274">
        <w:rPr>
          <w:rFonts w:ascii="Book Antiqua" w:hAnsi="Book Antiqua"/>
        </w:rPr>
        <w:t xml:space="preserve">lies </w:t>
      </w:r>
      <w:r w:rsidR="00A1429F" w:rsidRPr="00EA0274">
        <w:rPr>
          <w:rFonts w:ascii="Book Antiqua" w:hAnsi="Book Antiqua"/>
        </w:rPr>
        <w:t xml:space="preserve">exactly in dealing with the state in the Middle East, and Middle Eastern states, without </w:t>
      </w:r>
      <w:r w:rsidR="00C404D6" w:rsidRPr="00EA0274">
        <w:rPr>
          <w:rFonts w:ascii="Book Antiqua" w:hAnsi="Book Antiqua"/>
        </w:rPr>
        <w:t>falling in the trap of methodological nationalism/</w:t>
      </w:r>
      <w:proofErr w:type="spellStart"/>
      <w:r w:rsidR="00C404D6" w:rsidRPr="00EA0274">
        <w:rPr>
          <w:rFonts w:ascii="Book Antiqua" w:hAnsi="Book Antiqua"/>
        </w:rPr>
        <w:t>statism</w:t>
      </w:r>
      <w:proofErr w:type="spellEnd"/>
      <w:r w:rsidR="00C404D6" w:rsidRPr="00EA0274">
        <w:rPr>
          <w:rFonts w:ascii="Book Antiqua" w:hAnsi="Book Antiqua"/>
        </w:rPr>
        <w:t>.</w:t>
      </w:r>
    </w:p>
    <w:p w14:paraId="2ED76337" w14:textId="42260210" w:rsidR="00B1358B" w:rsidRPr="00EA0274" w:rsidRDefault="00057643" w:rsidP="00E220DC">
      <w:pPr>
        <w:spacing w:after="0" w:line="360" w:lineRule="auto"/>
        <w:ind w:firstLine="567"/>
        <w:jc w:val="both"/>
        <w:rPr>
          <w:rFonts w:ascii="Book Antiqua" w:hAnsi="Book Antiqua"/>
        </w:rPr>
      </w:pPr>
      <w:r w:rsidRPr="00EA0274">
        <w:rPr>
          <w:rFonts w:ascii="Book Antiqua" w:hAnsi="Book Antiqua"/>
        </w:rPr>
        <w:t>The additive understanding of political economy</w:t>
      </w:r>
      <w:r w:rsidR="00E96AFD" w:rsidRPr="00EA0274">
        <w:rPr>
          <w:rFonts w:ascii="Book Antiqua" w:hAnsi="Book Antiqua"/>
        </w:rPr>
        <w:t>, as ‘politics + economics’,</w:t>
      </w:r>
      <w:r w:rsidR="00137A22" w:rsidRPr="00EA0274">
        <w:rPr>
          <w:rFonts w:ascii="Book Antiqua" w:hAnsi="Book Antiqua"/>
        </w:rPr>
        <w:t xml:space="preserve"> is another key component of </w:t>
      </w:r>
      <w:r w:rsidR="00890F0D" w:rsidRPr="00EA0274">
        <w:rPr>
          <w:rFonts w:ascii="Book Antiqua" w:hAnsi="Book Antiqua"/>
        </w:rPr>
        <w:t xml:space="preserve">this inability to adequately grasp global dynamics. </w:t>
      </w:r>
      <w:r w:rsidR="00FD6A37" w:rsidRPr="00EA0274">
        <w:rPr>
          <w:rFonts w:ascii="Book Antiqua" w:hAnsi="Book Antiqua"/>
        </w:rPr>
        <w:t xml:space="preserve">Middle Eastern economies are interpreted as crony </w:t>
      </w:r>
      <w:proofErr w:type="spellStart"/>
      <w:r w:rsidR="00FD6A37" w:rsidRPr="00EA0274">
        <w:rPr>
          <w:rFonts w:ascii="Book Antiqua" w:hAnsi="Book Antiqua"/>
        </w:rPr>
        <w:t>capitalis</w:t>
      </w:r>
      <w:r w:rsidR="007067EE" w:rsidRPr="00EA0274">
        <w:rPr>
          <w:rFonts w:ascii="Book Antiqua" w:hAnsi="Book Antiqua"/>
        </w:rPr>
        <w:t>t</w:t>
      </w:r>
      <w:proofErr w:type="spellEnd"/>
      <w:r w:rsidR="00FD6A37" w:rsidRPr="00EA0274">
        <w:rPr>
          <w:rFonts w:ascii="Book Antiqua" w:hAnsi="Book Antiqua"/>
        </w:rPr>
        <w:t>, distorted by the “primacy of politics”, meaning the “imperative of regime security”</w:t>
      </w:r>
      <w:r w:rsidR="00D36362" w:rsidRPr="00EA0274">
        <w:rPr>
          <w:rFonts w:ascii="Book Antiqua" w:hAnsi="Book Antiqua"/>
        </w:rPr>
        <w:t xml:space="preserve"> </w:t>
      </w:r>
      <w:r w:rsidR="008D3797" w:rsidRPr="00EA0274">
        <w:rPr>
          <w:rFonts w:ascii="Book Antiqua" w:hAnsi="Book Antiqua"/>
        </w:rPr>
        <w:t xml:space="preserve">(Malik, </w:t>
      </w:r>
      <w:proofErr w:type="spellStart"/>
      <w:r w:rsidR="008D3797" w:rsidRPr="00EA0274">
        <w:rPr>
          <w:rFonts w:ascii="Book Antiqua" w:hAnsi="Book Antiqua"/>
        </w:rPr>
        <w:t>Atiyas</w:t>
      </w:r>
      <w:proofErr w:type="spellEnd"/>
      <w:r w:rsidR="008D3797" w:rsidRPr="00EA0274">
        <w:rPr>
          <w:rFonts w:ascii="Book Antiqua" w:hAnsi="Book Antiqua"/>
        </w:rPr>
        <w:t xml:space="preserve"> &amp; Diwan, 2019: 3)</w:t>
      </w:r>
      <w:r w:rsidR="00FD6A37" w:rsidRPr="00EA0274">
        <w:rPr>
          <w:rFonts w:ascii="Book Antiqua" w:hAnsi="Book Antiqua"/>
        </w:rPr>
        <w:t xml:space="preserve">. The “political” is here reduced to actions of the authoritarian regime which distort the functioning of the market. </w:t>
      </w:r>
      <w:r w:rsidR="00B53FBF" w:rsidRPr="00EA0274">
        <w:rPr>
          <w:rFonts w:ascii="Book Antiqua" w:hAnsi="Book Antiqua"/>
        </w:rPr>
        <w:t xml:space="preserve">As Halliday had put it in his influential textbook, autocrats’ “political concerns override economic ones, but in </w:t>
      </w:r>
      <w:bookmarkStart w:id="0" w:name="_GoBack"/>
      <w:bookmarkEnd w:id="0"/>
      <w:r w:rsidR="00B53FBF" w:rsidRPr="00EA0274">
        <w:rPr>
          <w:rFonts w:ascii="Book Antiqua" w:hAnsi="Book Antiqua"/>
        </w:rPr>
        <w:t>a relationship that is none the less intense for that”</w:t>
      </w:r>
      <w:r w:rsidR="00985156" w:rsidRPr="00EA0274">
        <w:rPr>
          <w:rFonts w:ascii="Book Antiqua" w:hAnsi="Book Antiqua"/>
        </w:rPr>
        <w:t xml:space="preserve"> (Halliday, 2005: 263)</w:t>
      </w:r>
      <w:r w:rsidR="00B53FBF" w:rsidRPr="00EA0274">
        <w:rPr>
          <w:rFonts w:ascii="Book Antiqua" w:hAnsi="Book Antiqua"/>
        </w:rPr>
        <w:t xml:space="preserve">. </w:t>
      </w:r>
      <w:r w:rsidR="00E220DC">
        <w:rPr>
          <w:rFonts w:ascii="Book Antiqua" w:hAnsi="Book Antiqua"/>
        </w:rPr>
        <w:lastRenderedPageBreak/>
        <w:t xml:space="preserve">Such a </w:t>
      </w:r>
      <w:r w:rsidR="00E220DC" w:rsidRPr="00E220DC">
        <w:rPr>
          <w:rFonts w:ascii="Book Antiqua" w:hAnsi="Book Antiqua"/>
        </w:rPr>
        <w:t xml:space="preserve">Weberian conception is </w:t>
      </w:r>
      <w:r w:rsidR="00C505A3">
        <w:rPr>
          <w:rFonts w:ascii="Book Antiqua" w:hAnsi="Book Antiqua"/>
        </w:rPr>
        <w:t xml:space="preserve">still </w:t>
      </w:r>
      <w:r w:rsidR="00E220DC" w:rsidRPr="00E220DC">
        <w:rPr>
          <w:rFonts w:ascii="Book Antiqua" w:hAnsi="Book Antiqua"/>
        </w:rPr>
        <w:t>heavily influential in comparative</w:t>
      </w:r>
      <w:r w:rsidR="00E220DC">
        <w:rPr>
          <w:rFonts w:ascii="Book Antiqua" w:hAnsi="Book Antiqua"/>
        </w:rPr>
        <w:t xml:space="preserve"> </w:t>
      </w:r>
      <w:r w:rsidR="00E220DC" w:rsidRPr="00E220DC">
        <w:rPr>
          <w:rFonts w:ascii="Book Antiqua" w:hAnsi="Book Antiqua"/>
        </w:rPr>
        <w:t xml:space="preserve">political science and positivist IR approaches, </w:t>
      </w:r>
      <w:r w:rsidR="00334ADD">
        <w:rPr>
          <w:rFonts w:ascii="Book Antiqua" w:hAnsi="Book Antiqua"/>
        </w:rPr>
        <w:t>which</w:t>
      </w:r>
      <w:r w:rsidR="00E220DC" w:rsidRPr="00E220DC">
        <w:rPr>
          <w:rFonts w:ascii="Book Antiqua" w:hAnsi="Book Antiqua"/>
        </w:rPr>
        <w:t xml:space="preserve"> have played an</w:t>
      </w:r>
      <w:r w:rsidR="00E220DC">
        <w:rPr>
          <w:rFonts w:ascii="Book Antiqua" w:hAnsi="Book Antiqua"/>
        </w:rPr>
        <w:t xml:space="preserve"> </w:t>
      </w:r>
      <w:r w:rsidR="00E220DC" w:rsidRPr="00E220DC">
        <w:rPr>
          <w:rFonts w:ascii="Book Antiqua" w:hAnsi="Book Antiqua"/>
        </w:rPr>
        <w:t xml:space="preserve">important role in the production of </w:t>
      </w:r>
      <w:r w:rsidR="00C870B1">
        <w:rPr>
          <w:rFonts w:ascii="Book Antiqua" w:hAnsi="Book Antiqua"/>
        </w:rPr>
        <w:t>often</w:t>
      </w:r>
      <w:r w:rsidR="00E220DC" w:rsidRPr="00E220DC">
        <w:rPr>
          <w:rFonts w:ascii="Book Antiqua" w:hAnsi="Book Antiqua"/>
        </w:rPr>
        <w:t xml:space="preserve"> misleading accounts of ‘democratisation’</w:t>
      </w:r>
      <w:r w:rsidR="00E220DC">
        <w:rPr>
          <w:rFonts w:ascii="Book Antiqua" w:hAnsi="Book Antiqua"/>
        </w:rPr>
        <w:t xml:space="preserve"> </w:t>
      </w:r>
      <w:r w:rsidR="00E220DC" w:rsidRPr="00E220DC">
        <w:rPr>
          <w:rFonts w:ascii="Book Antiqua" w:hAnsi="Book Antiqua"/>
        </w:rPr>
        <w:t>and ‘democratic backsliding’ in the region</w:t>
      </w:r>
      <w:r w:rsidR="00E220DC">
        <w:rPr>
          <w:rFonts w:ascii="Book Antiqua" w:hAnsi="Book Antiqua"/>
        </w:rPr>
        <w:t xml:space="preserve"> (Tansel, 2018). </w:t>
      </w:r>
      <w:r w:rsidR="00FD6A37" w:rsidRPr="00EA0274">
        <w:rPr>
          <w:rFonts w:ascii="Book Antiqua" w:hAnsi="Book Antiqua"/>
        </w:rPr>
        <w:t>P</w:t>
      </w:r>
      <w:r w:rsidR="001427A6" w:rsidRPr="00EA0274">
        <w:rPr>
          <w:rFonts w:ascii="Book Antiqua" w:hAnsi="Book Antiqua"/>
        </w:rPr>
        <w:t>olitics and economics a</w:t>
      </w:r>
      <w:r w:rsidR="00FD6A37" w:rsidRPr="00EA0274">
        <w:rPr>
          <w:rFonts w:ascii="Book Antiqua" w:hAnsi="Book Antiqua"/>
        </w:rPr>
        <w:t xml:space="preserve">re conceptualised as </w:t>
      </w:r>
      <w:r w:rsidR="001427A6" w:rsidRPr="00EA0274">
        <w:rPr>
          <w:rFonts w:ascii="Book Antiqua" w:hAnsi="Book Antiqua"/>
        </w:rPr>
        <w:t xml:space="preserve">separate fields of social activity, each with their </w:t>
      </w:r>
      <w:r w:rsidR="00BA756C" w:rsidRPr="00EA0274">
        <w:rPr>
          <w:rFonts w:ascii="Book Antiqua" w:hAnsi="Book Antiqua"/>
        </w:rPr>
        <w:t xml:space="preserve">own logic, with politics oriented towards seeking power, and economics towards seeking profit. </w:t>
      </w:r>
      <w:r w:rsidR="00BF66CA" w:rsidRPr="00EA0274">
        <w:rPr>
          <w:rFonts w:ascii="Book Antiqua" w:hAnsi="Book Antiqua"/>
        </w:rPr>
        <w:t xml:space="preserve">Once understood in these terms, politics gains the ability to disrupt, distort, and pervert </w:t>
      </w:r>
      <w:r w:rsidR="007F6912" w:rsidRPr="00EA0274">
        <w:rPr>
          <w:rFonts w:ascii="Book Antiqua" w:hAnsi="Book Antiqua"/>
        </w:rPr>
        <w:t>the economic imperative</w:t>
      </w:r>
      <w:r w:rsidR="008502C1" w:rsidRPr="00EA0274">
        <w:rPr>
          <w:rFonts w:ascii="Book Antiqua" w:hAnsi="Book Antiqua"/>
        </w:rPr>
        <w:t>s of globalisation, thus preventing the full realisation of its benefits f</w:t>
      </w:r>
      <w:r w:rsidR="00E566ED" w:rsidRPr="00EA0274">
        <w:rPr>
          <w:rFonts w:ascii="Book Antiqua" w:hAnsi="Book Antiqua"/>
        </w:rPr>
        <w:t xml:space="preserve">or states and peoples of the Middle East. If all corrupting influences of the market logic come from politics, </w:t>
      </w:r>
      <w:r w:rsidR="00D80291" w:rsidRPr="00EA0274">
        <w:rPr>
          <w:rFonts w:ascii="Book Antiqua" w:hAnsi="Book Antiqua"/>
        </w:rPr>
        <w:t>then the dominance of trade policy by crony entrepreneurs can be presented as ‘political capture’ (</w:t>
      </w:r>
      <w:proofErr w:type="spellStart"/>
      <w:r w:rsidR="00D80291" w:rsidRPr="00EA0274">
        <w:rPr>
          <w:rFonts w:ascii="Book Antiqua" w:hAnsi="Book Antiqua"/>
        </w:rPr>
        <w:t>Eibl</w:t>
      </w:r>
      <w:proofErr w:type="spellEnd"/>
      <w:r w:rsidR="00D80291" w:rsidRPr="00EA0274">
        <w:rPr>
          <w:rFonts w:ascii="Book Antiqua" w:hAnsi="Book Antiqua"/>
        </w:rPr>
        <w:t xml:space="preserve"> &amp; Malik 2016: 34), even though the capturing is by economic actors for economic gain.</w:t>
      </w:r>
      <w:r w:rsidR="00B53FBF" w:rsidRPr="00EA0274">
        <w:rPr>
          <w:rFonts w:ascii="Book Antiqua" w:hAnsi="Book Antiqua"/>
        </w:rPr>
        <w:t xml:space="preserve"> </w:t>
      </w:r>
      <w:r w:rsidR="002D16BA" w:rsidRPr="00EA0274">
        <w:rPr>
          <w:rFonts w:ascii="Book Antiqua" w:hAnsi="Book Antiqua"/>
        </w:rPr>
        <w:t>While t</w:t>
      </w:r>
      <w:r w:rsidR="007C50EF" w:rsidRPr="00EA0274">
        <w:rPr>
          <w:rFonts w:ascii="Book Antiqua" w:hAnsi="Book Antiqua"/>
        </w:rPr>
        <w:t>hese</w:t>
      </w:r>
      <w:r w:rsidR="002D16BA" w:rsidRPr="00EA0274">
        <w:rPr>
          <w:rFonts w:ascii="Book Antiqua" w:hAnsi="Book Antiqua"/>
        </w:rPr>
        <w:t xml:space="preserve"> limitations are not insignificant, they should </w:t>
      </w:r>
      <w:r w:rsidR="006D7C96" w:rsidRPr="00EA0274">
        <w:rPr>
          <w:rFonts w:ascii="Book Antiqua" w:hAnsi="Book Antiqua"/>
        </w:rPr>
        <w:t>not d</w:t>
      </w:r>
      <w:r w:rsidR="002D16BA" w:rsidRPr="00EA0274">
        <w:rPr>
          <w:rFonts w:ascii="Book Antiqua" w:hAnsi="Book Antiqua"/>
        </w:rPr>
        <w:t>is</w:t>
      </w:r>
      <w:r w:rsidR="006D7C96" w:rsidRPr="00EA0274">
        <w:rPr>
          <w:rFonts w:ascii="Book Antiqua" w:hAnsi="Book Antiqua"/>
        </w:rPr>
        <w:t xml:space="preserve">tract </w:t>
      </w:r>
      <w:r w:rsidR="002D16BA" w:rsidRPr="00EA0274">
        <w:rPr>
          <w:rFonts w:ascii="Book Antiqua" w:hAnsi="Book Antiqua"/>
        </w:rPr>
        <w:t xml:space="preserve">us </w:t>
      </w:r>
      <w:r w:rsidR="006D7C96" w:rsidRPr="00EA0274">
        <w:rPr>
          <w:rFonts w:ascii="Book Antiqua" w:hAnsi="Book Antiqua"/>
        </w:rPr>
        <w:t xml:space="preserve">from the profound insights </w:t>
      </w:r>
      <w:r w:rsidR="00285E0C" w:rsidRPr="00EA0274">
        <w:rPr>
          <w:rFonts w:ascii="Book Antiqua" w:hAnsi="Book Antiqua"/>
        </w:rPr>
        <w:t xml:space="preserve">of this literature </w:t>
      </w:r>
      <w:r w:rsidR="00B53FBF" w:rsidRPr="00EA0274">
        <w:rPr>
          <w:rFonts w:ascii="Book Antiqua" w:hAnsi="Book Antiqua"/>
        </w:rPr>
        <w:t>into the ‘networks of privilege’ and cronyism which Middle Eastern regimes have woven to ‘upgrade authoritarianism’</w:t>
      </w:r>
      <w:r w:rsidR="006E3E3D" w:rsidRPr="00EA0274">
        <w:rPr>
          <w:rFonts w:ascii="Book Antiqua" w:hAnsi="Book Antiqua"/>
        </w:rPr>
        <w:t xml:space="preserve"> (</w:t>
      </w:r>
      <w:proofErr w:type="spellStart"/>
      <w:r w:rsidR="006E3E3D" w:rsidRPr="00EA0274">
        <w:rPr>
          <w:rFonts w:ascii="Book Antiqua" w:hAnsi="Book Antiqua"/>
        </w:rPr>
        <w:t>Heydemann</w:t>
      </w:r>
      <w:proofErr w:type="spellEnd"/>
      <w:r w:rsidR="006E3E3D" w:rsidRPr="00EA0274">
        <w:rPr>
          <w:rFonts w:ascii="Book Antiqua" w:hAnsi="Book Antiqua"/>
        </w:rPr>
        <w:t xml:space="preserve"> 2004; </w:t>
      </w:r>
      <w:proofErr w:type="spellStart"/>
      <w:r w:rsidR="006E3E3D" w:rsidRPr="00EA0274">
        <w:rPr>
          <w:rFonts w:ascii="Book Antiqua" w:hAnsi="Book Antiqua"/>
        </w:rPr>
        <w:t>Heydemann</w:t>
      </w:r>
      <w:proofErr w:type="spellEnd"/>
      <w:r w:rsidR="006E3E3D" w:rsidRPr="00EA0274">
        <w:rPr>
          <w:rFonts w:ascii="Book Antiqua" w:hAnsi="Book Antiqua"/>
        </w:rPr>
        <w:t xml:space="preserve"> 2007; Diwan, Malik &amp; </w:t>
      </w:r>
      <w:proofErr w:type="spellStart"/>
      <w:r w:rsidR="006E3E3D" w:rsidRPr="00EA0274">
        <w:rPr>
          <w:rFonts w:ascii="Book Antiqua" w:hAnsi="Book Antiqua"/>
        </w:rPr>
        <w:t>Atiyas</w:t>
      </w:r>
      <w:proofErr w:type="spellEnd"/>
      <w:r w:rsidR="00204D8F" w:rsidRPr="00EA0274">
        <w:rPr>
          <w:rFonts w:ascii="Book Antiqua" w:hAnsi="Book Antiqua"/>
        </w:rPr>
        <w:t>, 2019)</w:t>
      </w:r>
      <w:r w:rsidR="00B53FBF" w:rsidRPr="00EA0274">
        <w:rPr>
          <w:rFonts w:ascii="Book Antiqua" w:hAnsi="Book Antiqua"/>
        </w:rPr>
        <w:t>.</w:t>
      </w:r>
      <w:r w:rsidR="00E220DC">
        <w:rPr>
          <w:rFonts w:ascii="Book Antiqua" w:hAnsi="Book Antiqua"/>
        </w:rPr>
        <w:t xml:space="preserve"> </w:t>
      </w:r>
    </w:p>
    <w:p w14:paraId="7E11B3CB" w14:textId="32E2103E" w:rsidR="00561967" w:rsidRPr="00EA0274" w:rsidRDefault="00C86DE0" w:rsidP="00655EC4">
      <w:pPr>
        <w:spacing w:after="0" w:line="360" w:lineRule="auto"/>
        <w:ind w:firstLine="567"/>
        <w:jc w:val="both"/>
        <w:rPr>
          <w:rFonts w:ascii="Book Antiqua" w:hAnsi="Book Antiqua" w:cs="Times New Roman"/>
          <w:color w:val="000000" w:themeColor="text1"/>
        </w:rPr>
      </w:pPr>
      <w:r w:rsidRPr="00EA0274">
        <w:rPr>
          <w:rFonts w:ascii="Book Antiqua" w:hAnsi="Book Antiqua"/>
        </w:rPr>
        <w:t>Good governance has been one of the key conceptual tools, especially since the 200</w:t>
      </w:r>
      <w:r w:rsidR="00655EC4" w:rsidRPr="00EA0274">
        <w:rPr>
          <w:rFonts w:ascii="Book Antiqua" w:hAnsi="Book Antiqua"/>
        </w:rPr>
        <w:t>0</w:t>
      </w:r>
      <w:r w:rsidRPr="00EA0274">
        <w:rPr>
          <w:rFonts w:ascii="Book Antiqua" w:hAnsi="Book Antiqua"/>
        </w:rPr>
        <w:t xml:space="preserve">s, through which </w:t>
      </w:r>
      <w:r w:rsidR="00561967" w:rsidRPr="00EA0274">
        <w:rPr>
          <w:rFonts w:ascii="Book Antiqua" w:hAnsi="Book Antiqua"/>
        </w:rPr>
        <w:t xml:space="preserve">political distortion is excised from market-making. The World Bank (2003) diagnosed a ‘governance gap’ in the Middle East, </w:t>
      </w:r>
      <w:r w:rsidR="008872A0">
        <w:rPr>
          <w:rFonts w:ascii="Book Antiqua" w:hAnsi="Book Antiqua"/>
        </w:rPr>
        <w:t>where</w:t>
      </w:r>
      <w:r w:rsidR="008872A0" w:rsidRPr="00EA0274">
        <w:rPr>
          <w:rFonts w:ascii="Book Antiqua" w:hAnsi="Book Antiqua"/>
        </w:rPr>
        <w:t xml:space="preserve"> </w:t>
      </w:r>
      <w:r w:rsidR="00C55B12">
        <w:rPr>
          <w:rFonts w:ascii="Book Antiqua" w:hAnsi="Book Antiqua"/>
        </w:rPr>
        <w:t xml:space="preserve">the quality and </w:t>
      </w:r>
      <w:r w:rsidR="00C55B12" w:rsidRPr="00C55B12">
        <w:rPr>
          <w:rFonts w:ascii="Book Antiqua" w:hAnsi="Book Antiqua"/>
        </w:rPr>
        <w:t>effectiveness</w:t>
      </w:r>
      <w:r w:rsidR="00C55B12">
        <w:rPr>
          <w:rFonts w:ascii="Book Antiqua" w:hAnsi="Book Antiqua"/>
        </w:rPr>
        <w:t xml:space="preserve"> of </w:t>
      </w:r>
      <w:r w:rsidR="00561967" w:rsidRPr="00EA0274">
        <w:rPr>
          <w:rFonts w:ascii="Book Antiqua" w:hAnsi="Book Antiqua"/>
        </w:rPr>
        <w:t xml:space="preserve">governance in the region considered weaker than in countries with comparable income levels elsewhere. If the 1980s and 1990s, under the mantra of ‘getting prices right’, were the decade of market-oriented policy reforms, the shift towards governance signalled an additional, rather than alternative, focus on ‘good governance’ as the institutional precondition for functioning markets. References to a region-wide ‘governance gap’ chime </w:t>
      </w:r>
      <w:r w:rsidR="00561967" w:rsidRPr="00EA0274">
        <w:rPr>
          <w:rFonts w:ascii="Book Antiqua" w:hAnsi="Book Antiqua" w:cs="Times New Roman"/>
          <w:color w:val="000000" w:themeColor="text1"/>
        </w:rPr>
        <w:t xml:space="preserve">with political economists in the 2000s arguing that the neo-patrimonial nature of Middle Eastern states meant they were unable to seize the opportunities of globalization and deal with its challenges (Henry &amp; </w:t>
      </w:r>
      <w:proofErr w:type="spellStart"/>
      <w:r w:rsidR="00561967" w:rsidRPr="00EA0274">
        <w:rPr>
          <w:rFonts w:ascii="Book Antiqua" w:hAnsi="Book Antiqua" w:cs="Times New Roman"/>
          <w:color w:val="000000" w:themeColor="text1"/>
        </w:rPr>
        <w:t>Springborg</w:t>
      </w:r>
      <w:proofErr w:type="spellEnd"/>
      <w:r w:rsidR="00561967" w:rsidRPr="00EA0274">
        <w:rPr>
          <w:rFonts w:ascii="Book Antiqua" w:hAnsi="Book Antiqua" w:cs="Times New Roman"/>
          <w:color w:val="000000" w:themeColor="text1"/>
        </w:rPr>
        <w:t xml:space="preserve"> 2010). Globalization is then conceived as an external shock onto a passive Middle Eastern state, with very little attention to</w:t>
      </w:r>
      <w:r w:rsidR="006030E6" w:rsidRPr="00EA0274">
        <w:rPr>
          <w:rFonts w:ascii="Book Antiqua" w:hAnsi="Book Antiqua" w:cs="Times New Roman"/>
          <w:color w:val="000000" w:themeColor="text1"/>
        </w:rPr>
        <w:t xml:space="preserve"> the</w:t>
      </w:r>
      <w:r w:rsidR="00561967" w:rsidRPr="00EA0274">
        <w:rPr>
          <w:rFonts w:ascii="Book Antiqua" w:hAnsi="Book Antiqua" w:cs="Times New Roman"/>
          <w:color w:val="000000" w:themeColor="text1"/>
        </w:rPr>
        <w:t xml:space="preserve"> high level of intra-regional differentiation in terms of both implementation of market-oriented reforms and participation in global financial and production networks.</w:t>
      </w:r>
      <w:r w:rsidR="00BB6F17">
        <w:rPr>
          <w:rFonts w:ascii="Book Antiqua" w:hAnsi="Book Antiqua" w:cs="Times New Roman"/>
          <w:color w:val="000000" w:themeColor="text1"/>
        </w:rPr>
        <w:t xml:space="preserve"> </w:t>
      </w:r>
    </w:p>
    <w:p w14:paraId="082B70DB" w14:textId="4AFD9E8E" w:rsidR="00561967" w:rsidRPr="00EA0274" w:rsidRDefault="00561967" w:rsidP="007E771A">
      <w:pPr>
        <w:spacing w:after="0" w:line="360" w:lineRule="auto"/>
        <w:ind w:firstLine="567"/>
        <w:jc w:val="both"/>
        <w:rPr>
          <w:rFonts w:ascii="Book Antiqua" w:hAnsi="Book Antiqua" w:cs="Times New Roman"/>
          <w:color w:val="000000" w:themeColor="text1"/>
        </w:rPr>
      </w:pPr>
      <w:r w:rsidRPr="00EA0274">
        <w:rPr>
          <w:rFonts w:ascii="Book Antiqua" w:hAnsi="Book Antiqua" w:cs="Times New Roman"/>
          <w:color w:val="000000" w:themeColor="text1"/>
        </w:rPr>
        <w:t xml:space="preserve">In addition to this homogenising tendency, such an approach can also slip into exceptionalism, insofar as the purported exceptional nature of states in the Middle East, driven by rent and hence </w:t>
      </w:r>
      <w:r w:rsidR="00722F50" w:rsidRPr="00EA0274">
        <w:rPr>
          <w:rFonts w:ascii="Book Antiqua" w:hAnsi="Book Antiqua" w:cs="Times New Roman"/>
          <w:color w:val="000000" w:themeColor="text1"/>
        </w:rPr>
        <w:t xml:space="preserve">predisposed </w:t>
      </w:r>
      <w:r w:rsidRPr="00EA0274">
        <w:rPr>
          <w:rFonts w:ascii="Book Antiqua" w:hAnsi="Book Antiqua" w:cs="Times New Roman"/>
          <w:color w:val="000000" w:themeColor="text1"/>
        </w:rPr>
        <w:t>to a patrimonial or neo-patrimonial approach to state finances, is given explanatory centrality in accounting for political and/or developmental ‘</w:t>
      </w:r>
      <w:proofErr w:type="gramStart"/>
      <w:r w:rsidRPr="00EA0274">
        <w:rPr>
          <w:rFonts w:ascii="Book Antiqua" w:hAnsi="Book Antiqua" w:cs="Times New Roman"/>
          <w:color w:val="000000" w:themeColor="text1"/>
        </w:rPr>
        <w:t>failures’</w:t>
      </w:r>
      <w:proofErr w:type="gramEnd"/>
      <w:r w:rsidRPr="00EA0274">
        <w:rPr>
          <w:rFonts w:ascii="Book Antiqua" w:hAnsi="Book Antiqua" w:cs="Times New Roman"/>
          <w:color w:val="000000" w:themeColor="text1"/>
        </w:rPr>
        <w:t xml:space="preserve">. John Hobson </w:t>
      </w:r>
      <w:r w:rsidR="001843FB" w:rsidRPr="00EA0274">
        <w:rPr>
          <w:rFonts w:ascii="Book Antiqua" w:hAnsi="Book Antiqua" w:cs="Times New Roman"/>
          <w:color w:val="000000" w:themeColor="text1"/>
        </w:rPr>
        <w:t>called</w:t>
      </w:r>
      <w:r w:rsidRPr="00EA0274">
        <w:rPr>
          <w:rFonts w:ascii="Book Antiqua" w:hAnsi="Book Antiqua" w:cs="Times New Roman"/>
          <w:color w:val="000000" w:themeColor="text1"/>
        </w:rPr>
        <w:t xml:space="preserve"> this </w:t>
      </w:r>
      <w:r w:rsidR="001843FB" w:rsidRPr="00EA0274">
        <w:rPr>
          <w:rFonts w:ascii="Book Antiqua" w:hAnsi="Book Antiqua" w:cs="Times New Roman"/>
          <w:color w:val="000000" w:themeColor="text1"/>
        </w:rPr>
        <w:t>‘</w:t>
      </w:r>
      <w:r w:rsidRPr="00EA0274">
        <w:rPr>
          <w:rFonts w:ascii="Book Antiqua" w:hAnsi="Book Antiqua" w:cs="Times New Roman"/>
          <w:color w:val="000000" w:themeColor="text1"/>
        </w:rPr>
        <w:t>Eurocentric institutionalism</w:t>
      </w:r>
      <w:r w:rsidR="001843FB" w:rsidRPr="00EA0274">
        <w:rPr>
          <w:rFonts w:ascii="Book Antiqua" w:hAnsi="Book Antiqua" w:cs="Times New Roman"/>
          <w:color w:val="000000" w:themeColor="text1"/>
        </w:rPr>
        <w:t>’</w:t>
      </w:r>
      <w:r w:rsidRPr="00EA0274">
        <w:rPr>
          <w:rFonts w:ascii="Book Antiqua" w:hAnsi="Book Antiqua" w:cs="Times New Roman"/>
          <w:color w:val="000000" w:themeColor="text1"/>
        </w:rPr>
        <w:t xml:space="preserve">, whereby institutions beyond the West are considered fundamentally different and inferior (Hobson 2013). This </w:t>
      </w:r>
      <w:r w:rsidR="00B267C7" w:rsidRPr="00EA0274">
        <w:rPr>
          <w:rFonts w:ascii="Book Antiqua" w:hAnsi="Book Antiqua" w:cs="Times New Roman"/>
          <w:color w:val="000000" w:themeColor="text1"/>
        </w:rPr>
        <w:t xml:space="preserve">glosses over </w:t>
      </w:r>
      <w:r w:rsidRPr="00EA0274">
        <w:rPr>
          <w:rFonts w:ascii="Book Antiqua" w:hAnsi="Book Antiqua" w:cs="Times New Roman"/>
          <w:color w:val="000000" w:themeColor="text1"/>
        </w:rPr>
        <w:lastRenderedPageBreak/>
        <w:t xml:space="preserve">the fact that Europe may share responsibility for the economic malaise and the nature of Middle Eastern states, not least due to legacies of colonialism (Weber 2015). It can lead to what </w:t>
      </w:r>
      <w:proofErr w:type="spellStart"/>
      <w:r w:rsidRPr="00EA0274">
        <w:rPr>
          <w:rFonts w:ascii="Book Antiqua" w:hAnsi="Book Antiqua" w:cs="Times New Roman"/>
          <w:color w:val="000000" w:themeColor="text1"/>
        </w:rPr>
        <w:t>Inayatullah</w:t>
      </w:r>
      <w:proofErr w:type="spellEnd"/>
      <w:r w:rsidRPr="00EA0274">
        <w:rPr>
          <w:rFonts w:ascii="Book Antiqua" w:hAnsi="Book Antiqua" w:cs="Times New Roman"/>
          <w:color w:val="000000" w:themeColor="text1"/>
        </w:rPr>
        <w:t xml:space="preserve"> and Blaney (2015) call the ‘condemnation imperative’, whereby Middle Eastern institutions keep being examined and found wanting.</w:t>
      </w:r>
      <w:r w:rsidR="00F81386" w:rsidRPr="00EA0274">
        <w:rPr>
          <w:rStyle w:val="FootnoteReference"/>
          <w:rFonts w:ascii="Book Antiqua" w:hAnsi="Book Antiqua" w:cs="Times New Roman"/>
          <w:color w:val="000000" w:themeColor="text1"/>
        </w:rPr>
        <w:footnoteReference w:id="5"/>
      </w:r>
      <w:r w:rsidRPr="00EA0274">
        <w:rPr>
          <w:rFonts w:ascii="Book Antiqua" w:hAnsi="Book Antiqua" w:cs="Times New Roman"/>
          <w:color w:val="000000" w:themeColor="text1"/>
        </w:rPr>
        <w:t xml:space="preserve"> </w:t>
      </w:r>
    </w:p>
    <w:p w14:paraId="04A642FB" w14:textId="5687349E" w:rsidR="002916D9" w:rsidRPr="00EA0274" w:rsidRDefault="00561967" w:rsidP="00876CFD">
      <w:pPr>
        <w:spacing w:after="0" w:line="360" w:lineRule="auto"/>
        <w:ind w:firstLine="567"/>
        <w:jc w:val="both"/>
        <w:rPr>
          <w:rFonts w:ascii="Book Antiqua" w:hAnsi="Book Antiqua"/>
        </w:rPr>
      </w:pPr>
      <w:r w:rsidRPr="00EA0274">
        <w:rPr>
          <w:rFonts w:ascii="Book Antiqua" w:hAnsi="Book Antiqua"/>
        </w:rPr>
        <w:t>The IPE analyses in this special issue challenge accounts which see Middle Eastern states as self-contained boxes divorced from the global political economy. What is more, the contributors show that Middle Eastern states are shaped by globalization and</w:t>
      </w:r>
      <w:r w:rsidR="006A3180" w:rsidRPr="00EA0274">
        <w:rPr>
          <w:rFonts w:ascii="Book Antiqua" w:hAnsi="Book Antiqua"/>
        </w:rPr>
        <w:t>, in turn,</w:t>
      </w:r>
      <w:r w:rsidRPr="00EA0274">
        <w:rPr>
          <w:rFonts w:ascii="Book Antiqua" w:hAnsi="Book Antiqua"/>
        </w:rPr>
        <w:t xml:space="preserve"> shape </w:t>
      </w:r>
      <w:r w:rsidR="006A3180" w:rsidRPr="00EA0274">
        <w:rPr>
          <w:rFonts w:ascii="Book Antiqua" w:hAnsi="Book Antiqua"/>
        </w:rPr>
        <w:t>globalization</w:t>
      </w:r>
      <w:r w:rsidRPr="00EA0274">
        <w:rPr>
          <w:rFonts w:ascii="Book Antiqua" w:hAnsi="Book Antiqua"/>
        </w:rPr>
        <w:t xml:space="preserve">. </w:t>
      </w:r>
      <w:r w:rsidR="00493D8C" w:rsidRPr="00EA0274">
        <w:rPr>
          <w:rFonts w:ascii="Book Antiqua" w:hAnsi="Book Antiqua"/>
        </w:rPr>
        <w:t xml:space="preserve">This way, Middle Eastern cases </w:t>
      </w:r>
      <w:r w:rsidR="003340D1" w:rsidRPr="00EA0274">
        <w:rPr>
          <w:rFonts w:ascii="Book Antiqua" w:hAnsi="Book Antiqua"/>
        </w:rPr>
        <w:t xml:space="preserve">are not merely sites for applying existing IPE theories, but </w:t>
      </w:r>
      <w:r w:rsidR="00493D8C" w:rsidRPr="00EA0274">
        <w:rPr>
          <w:rFonts w:ascii="Book Antiqua" w:hAnsi="Book Antiqua"/>
        </w:rPr>
        <w:t xml:space="preserve">can </w:t>
      </w:r>
      <w:r w:rsidR="003340D1" w:rsidRPr="00EA0274">
        <w:rPr>
          <w:rFonts w:ascii="Book Antiqua" w:hAnsi="Book Antiqua"/>
        </w:rPr>
        <w:t xml:space="preserve">actively </w:t>
      </w:r>
      <w:r w:rsidR="00493D8C" w:rsidRPr="00EA0274">
        <w:rPr>
          <w:rFonts w:ascii="Book Antiqua" w:hAnsi="Book Antiqua"/>
        </w:rPr>
        <w:t xml:space="preserve">contribute to </w:t>
      </w:r>
      <w:r w:rsidR="006B1E49" w:rsidRPr="00EA0274">
        <w:rPr>
          <w:rFonts w:ascii="Book Antiqua" w:hAnsi="Book Antiqua"/>
        </w:rPr>
        <w:t xml:space="preserve">theorising in IPE. </w:t>
      </w:r>
      <w:r w:rsidR="003340D1" w:rsidRPr="00EA0274">
        <w:rPr>
          <w:rFonts w:ascii="Book Antiqua" w:hAnsi="Book Antiqua"/>
        </w:rPr>
        <w:t>The region</w:t>
      </w:r>
      <w:r w:rsidR="006B1E49" w:rsidRPr="00EA0274">
        <w:rPr>
          <w:rFonts w:ascii="Book Antiqua" w:hAnsi="Book Antiqua"/>
        </w:rPr>
        <w:t xml:space="preserve"> is no longer exceptional but central to debates in IPE.</w:t>
      </w:r>
      <w:r w:rsidR="006A3180" w:rsidRPr="00EA0274">
        <w:rPr>
          <w:rFonts w:ascii="Book Antiqua" w:hAnsi="Book Antiqua"/>
        </w:rPr>
        <w:t xml:space="preserve"> The special issue contributes to two debates in particular. Firstly, it addresses several of the “blind spots” </w:t>
      </w:r>
      <w:r w:rsidR="00CF5224" w:rsidRPr="00EA0274">
        <w:rPr>
          <w:rFonts w:ascii="Book Antiqua" w:hAnsi="Book Antiqua"/>
        </w:rPr>
        <w:t xml:space="preserve">in IPE summarised in a recent special issue </w:t>
      </w:r>
      <w:r w:rsidR="0053595A" w:rsidRPr="00EA0274">
        <w:rPr>
          <w:rFonts w:ascii="Book Antiqua" w:hAnsi="Book Antiqua"/>
        </w:rPr>
        <w:t xml:space="preserve">edited </w:t>
      </w:r>
      <w:r w:rsidR="00CF5224" w:rsidRPr="00EA0274">
        <w:rPr>
          <w:rFonts w:ascii="Book Antiqua" w:hAnsi="Book Antiqua"/>
        </w:rPr>
        <w:t xml:space="preserve">by </w:t>
      </w:r>
      <w:proofErr w:type="spellStart"/>
      <w:r w:rsidR="00CF5224" w:rsidRPr="00EA0274">
        <w:rPr>
          <w:rFonts w:ascii="Book Antiqua" w:hAnsi="Book Antiqua"/>
        </w:rPr>
        <w:t>LeBaron</w:t>
      </w:r>
      <w:proofErr w:type="spellEnd"/>
      <w:r w:rsidR="00CF5224" w:rsidRPr="00EA0274">
        <w:rPr>
          <w:rFonts w:ascii="Book Antiqua" w:hAnsi="Book Antiqua"/>
        </w:rPr>
        <w:t xml:space="preserve">, </w:t>
      </w:r>
      <w:proofErr w:type="spellStart"/>
      <w:r w:rsidR="00CF5224" w:rsidRPr="00EA0274">
        <w:rPr>
          <w:rFonts w:ascii="Book Antiqua" w:hAnsi="Book Antiqua"/>
        </w:rPr>
        <w:t>Mügge</w:t>
      </w:r>
      <w:proofErr w:type="spellEnd"/>
      <w:r w:rsidR="00CF5224" w:rsidRPr="00EA0274">
        <w:rPr>
          <w:rFonts w:ascii="Book Antiqua" w:hAnsi="Book Antiqua"/>
        </w:rPr>
        <w:t xml:space="preserve">, Best, and Hay </w:t>
      </w:r>
      <w:sdt>
        <w:sdtPr>
          <w:rPr>
            <w:rFonts w:ascii="Book Antiqua" w:hAnsi="Book Antiqua"/>
          </w:rPr>
          <w:id w:val="-1189061000"/>
          <w:citation/>
        </w:sdtPr>
        <w:sdtEndPr/>
        <w:sdtContent>
          <w:r w:rsidR="006A3180" w:rsidRPr="00EA0274">
            <w:rPr>
              <w:rFonts w:ascii="Book Antiqua" w:hAnsi="Book Antiqua"/>
            </w:rPr>
            <w:fldChar w:fldCharType="begin"/>
          </w:r>
          <w:r w:rsidR="006A3180" w:rsidRPr="00EA0274">
            <w:rPr>
              <w:rFonts w:ascii="Book Antiqua" w:hAnsi="Book Antiqua"/>
            </w:rPr>
            <w:instrText xml:space="preserve"> CITATION LeB21 \l 2057 </w:instrText>
          </w:r>
          <w:r w:rsidR="006A3180" w:rsidRPr="00EA0274">
            <w:rPr>
              <w:rFonts w:ascii="Book Antiqua" w:hAnsi="Book Antiqua"/>
            </w:rPr>
            <w:fldChar w:fldCharType="separate"/>
          </w:r>
          <w:r w:rsidR="00F12D50" w:rsidRPr="00EA0274">
            <w:rPr>
              <w:rFonts w:ascii="Book Antiqua" w:hAnsi="Book Antiqua"/>
              <w:noProof/>
            </w:rPr>
            <w:t>(LeBaron, Mugge, Best, &amp; Hay, 2021)</w:t>
          </w:r>
          <w:r w:rsidR="006A3180" w:rsidRPr="00EA0274">
            <w:rPr>
              <w:rFonts w:ascii="Book Antiqua" w:hAnsi="Book Antiqua"/>
            </w:rPr>
            <w:fldChar w:fldCharType="end"/>
          </w:r>
        </w:sdtContent>
      </w:sdt>
      <w:r w:rsidR="006A3180" w:rsidRPr="00EA0274">
        <w:rPr>
          <w:rFonts w:ascii="Book Antiqua" w:hAnsi="Book Antiqua"/>
        </w:rPr>
        <w:t xml:space="preserve">, especially </w:t>
      </w:r>
      <w:r w:rsidR="0053595A" w:rsidRPr="00EA0274">
        <w:rPr>
          <w:rFonts w:ascii="Book Antiqua" w:hAnsi="Book Antiqua"/>
        </w:rPr>
        <w:t xml:space="preserve">with reference to </w:t>
      </w:r>
      <w:r w:rsidR="006A3180" w:rsidRPr="00EA0274">
        <w:rPr>
          <w:rFonts w:ascii="Book Antiqua" w:hAnsi="Book Antiqua"/>
        </w:rPr>
        <w:t xml:space="preserve">gender and social reproduction, race and colonialism, the security-economy nexus, the expertise-intensity of our economy and its governance, and climate change. The contributors thus </w:t>
      </w:r>
      <w:r w:rsidR="00424BCE" w:rsidRPr="00EA0274">
        <w:rPr>
          <w:rFonts w:ascii="Book Antiqua" w:hAnsi="Book Antiqua"/>
        </w:rPr>
        <w:t xml:space="preserve">use Middle Eastern cases to </w:t>
      </w:r>
      <w:r w:rsidR="006A3180" w:rsidRPr="00EA0274">
        <w:rPr>
          <w:rFonts w:ascii="Book Antiqua" w:hAnsi="Book Antiqua"/>
        </w:rPr>
        <w:t xml:space="preserve">drive forward empirical and conceptual </w:t>
      </w:r>
      <w:r w:rsidR="00424BCE" w:rsidRPr="00EA0274">
        <w:rPr>
          <w:rFonts w:ascii="Book Antiqua" w:hAnsi="Book Antiqua"/>
        </w:rPr>
        <w:t xml:space="preserve">debates in IPE. </w:t>
      </w:r>
    </w:p>
    <w:p w14:paraId="186F9FFB" w14:textId="139ECE40" w:rsidR="001C5E8D" w:rsidRPr="00EA0274" w:rsidRDefault="00424BCE" w:rsidP="00876CFD">
      <w:pPr>
        <w:spacing w:after="0" w:line="360" w:lineRule="auto"/>
        <w:ind w:firstLine="567"/>
        <w:jc w:val="both"/>
        <w:rPr>
          <w:rFonts w:ascii="Book Antiqua" w:hAnsi="Book Antiqua"/>
        </w:rPr>
      </w:pPr>
      <w:r w:rsidRPr="00EA0274">
        <w:rPr>
          <w:rFonts w:ascii="Book Antiqua" w:hAnsi="Book Antiqua"/>
        </w:rPr>
        <w:t xml:space="preserve">Secondly, the state is back in IPE. This is firstly due to the expanding role of states prompting a renewed engagement with </w:t>
      </w:r>
      <w:r w:rsidR="00FB0636" w:rsidRPr="00EA0274">
        <w:rPr>
          <w:rFonts w:ascii="Book Antiqua" w:hAnsi="Book Antiqua"/>
        </w:rPr>
        <w:t>’</w:t>
      </w:r>
      <w:r w:rsidRPr="00EA0274">
        <w:rPr>
          <w:rFonts w:ascii="Book Antiqua" w:hAnsi="Book Antiqua"/>
        </w:rPr>
        <w:t>state capitalism</w:t>
      </w:r>
      <w:r w:rsidR="00FB0636" w:rsidRPr="00EA0274">
        <w:rPr>
          <w:rFonts w:ascii="Book Antiqua" w:hAnsi="Book Antiqua"/>
        </w:rPr>
        <w:t>’</w:t>
      </w:r>
      <w:r w:rsidRPr="00EA0274">
        <w:rPr>
          <w:rFonts w:ascii="Book Antiqua" w:hAnsi="Book Antiqua"/>
        </w:rPr>
        <w:t xml:space="preserve"> </w:t>
      </w:r>
      <w:sdt>
        <w:sdtPr>
          <w:rPr>
            <w:rFonts w:ascii="Book Antiqua" w:hAnsi="Book Antiqua"/>
          </w:rPr>
          <w:id w:val="-1761675531"/>
          <w:citation/>
        </w:sdtPr>
        <w:sdtEndPr/>
        <w:sdtContent>
          <w:r w:rsidRPr="00EA0274">
            <w:rPr>
              <w:rFonts w:ascii="Book Antiqua" w:hAnsi="Book Antiqua"/>
            </w:rPr>
            <w:fldChar w:fldCharType="begin"/>
          </w:r>
          <w:r w:rsidRPr="00EA0274">
            <w:rPr>
              <w:rFonts w:ascii="Book Antiqua" w:hAnsi="Book Antiqua"/>
            </w:rPr>
            <w:instrText xml:space="preserve"> CITATION Ala20 \l 2057 </w:instrText>
          </w:r>
          <w:r w:rsidRPr="00EA0274">
            <w:rPr>
              <w:rFonts w:ascii="Book Antiqua" w:hAnsi="Book Antiqua"/>
            </w:rPr>
            <w:fldChar w:fldCharType="separate"/>
          </w:r>
          <w:r w:rsidR="00F12D50" w:rsidRPr="00EA0274">
            <w:rPr>
              <w:rFonts w:ascii="Book Antiqua" w:hAnsi="Book Antiqua"/>
              <w:noProof/>
            </w:rPr>
            <w:t>(Alami &amp; Dixon, 2020)</w:t>
          </w:r>
          <w:r w:rsidRPr="00EA0274">
            <w:rPr>
              <w:rFonts w:ascii="Book Antiqua" w:hAnsi="Book Antiqua"/>
            </w:rPr>
            <w:fldChar w:fldCharType="end"/>
          </w:r>
        </w:sdtContent>
      </w:sdt>
      <w:r w:rsidR="00E42040" w:rsidRPr="00EA0274">
        <w:rPr>
          <w:rFonts w:ascii="Book Antiqua" w:hAnsi="Book Antiqua"/>
        </w:rPr>
        <w:t xml:space="preserve">, as well as </w:t>
      </w:r>
      <w:r w:rsidR="00546E22" w:rsidRPr="00EA0274">
        <w:rPr>
          <w:rFonts w:ascii="Book Antiqua" w:hAnsi="Book Antiqua"/>
        </w:rPr>
        <w:t>an emerging literature on a ‘new state capitalism’ (Alami et al. 2022)</w:t>
      </w:r>
      <w:r w:rsidR="00266C9F" w:rsidRPr="00EA0274">
        <w:rPr>
          <w:rFonts w:ascii="Book Antiqua" w:hAnsi="Book Antiqua"/>
        </w:rPr>
        <w:t xml:space="preserve"> and on state capital in the global political economy (</w:t>
      </w:r>
      <w:proofErr w:type="spellStart"/>
      <w:r w:rsidR="00266C9F" w:rsidRPr="00EA0274">
        <w:rPr>
          <w:rFonts w:ascii="Book Antiqua" w:hAnsi="Book Antiqua"/>
        </w:rPr>
        <w:t>Babic</w:t>
      </w:r>
      <w:proofErr w:type="spellEnd"/>
      <w:r w:rsidR="00266C9F" w:rsidRPr="00EA0274">
        <w:rPr>
          <w:rFonts w:ascii="Book Antiqua" w:hAnsi="Book Antiqua"/>
        </w:rPr>
        <w:t xml:space="preserve"> et al. 202</w:t>
      </w:r>
      <w:r w:rsidR="00F04BE5" w:rsidRPr="00EA0274">
        <w:rPr>
          <w:rFonts w:ascii="Book Antiqua" w:hAnsi="Book Antiqua"/>
        </w:rPr>
        <w:t xml:space="preserve">0; </w:t>
      </w:r>
      <w:proofErr w:type="spellStart"/>
      <w:r w:rsidR="00F04BE5" w:rsidRPr="00EA0274">
        <w:rPr>
          <w:rFonts w:ascii="Book Antiqua" w:hAnsi="Book Antiqua"/>
        </w:rPr>
        <w:t>Babic</w:t>
      </w:r>
      <w:proofErr w:type="spellEnd"/>
      <w:r w:rsidR="00F04BE5" w:rsidRPr="00EA0274">
        <w:rPr>
          <w:rFonts w:ascii="Book Antiqua" w:hAnsi="Book Antiqua"/>
        </w:rPr>
        <w:t xml:space="preserve"> 2021)</w:t>
      </w:r>
      <w:r w:rsidRPr="00EA0274">
        <w:rPr>
          <w:rFonts w:ascii="Book Antiqua" w:hAnsi="Book Antiqua"/>
        </w:rPr>
        <w:t xml:space="preserve">. </w:t>
      </w:r>
      <w:r w:rsidR="00D5656F" w:rsidRPr="00EA0274">
        <w:rPr>
          <w:rFonts w:ascii="Book Antiqua" w:hAnsi="Book Antiqua"/>
        </w:rPr>
        <w:t>In this vein, this special issue</w:t>
      </w:r>
      <w:r w:rsidR="006B0717" w:rsidRPr="00EA0274">
        <w:rPr>
          <w:rFonts w:ascii="Book Antiqua" w:hAnsi="Book Antiqua"/>
        </w:rPr>
        <w:t xml:space="preserve"> builds on a strand in IPE which grapple</w:t>
      </w:r>
      <w:r w:rsidR="004754F2" w:rsidRPr="00EA0274">
        <w:rPr>
          <w:rFonts w:ascii="Book Antiqua" w:hAnsi="Book Antiqua"/>
        </w:rPr>
        <w:t>s</w:t>
      </w:r>
      <w:r w:rsidR="006B0717" w:rsidRPr="00EA0274">
        <w:rPr>
          <w:rFonts w:ascii="Book Antiqua" w:hAnsi="Book Antiqua"/>
        </w:rPr>
        <w:t xml:space="preserve"> with the role of states in the global political economy by drawing on concepts from theorists in a Marxian tradition, including Gramsci, </w:t>
      </w:r>
      <w:proofErr w:type="spellStart"/>
      <w:r w:rsidR="006B0717" w:rsidRPr="00EA0274">
        <w:rPr>
          <w:rFonts w:ascii="Book Antiqua" w:hAnsi="Book Antiqua"/>
        </w:rPr>
        <w:t>Poulantzas</w:t>
      </w:r>
      <w:proofErr w:type="spellEnd"/>
      <w:r w:rsidR="006031ED" w:rsidRPr="00EA0274">
        <w:rPr>
          <w:rFonts w:ascii="Book Antiqua" w:hAnsi="Book Antiqua"/>
        </w:rPr>
        <w:t>,</w:t>
      </w:r>
      <w:r w:rsidR="006B0717" w:rsidRPr="00EA0274">
        <w:rPr>
          <w:rFonts w:ascii="Book Antiqua" w:hAnsi="Book Antiqua"/>
        </w:rPr>
        <w:t xml:space="preserve"> Jessop, </w:t>
      </w:r>
      <w:r w:rsidR="006031ED" w:rsidRPr="00EA0274">
        <w:rPr>
          <w:rFonts w:ascii="Book Antiqua" w:hAnsi="Book Antiqua"/>
        </w:rPr>
        <w:t>and</w:t>
      </w:r>
      <w:r w:rsidR="006B0717" w:rsidRPr="00EA0274">
        <w:rPr>
          <w:rFonts w:ascii="Book Antiqua" w:hAnsi="Book Antiqua"/>
        </w:rPr>
        <w:t xml:space="preserve"> Trotsky </w:t>
      </w:r>
      <w:sdt>
        <w:sdtPr>
          <w:rPr>
            <w:rFonts w:ascii="Book Antiqua" w:hAnsi="Book Antiqua"/>
          </w:rPr>
          <w:id w:val="584191942"/>
          <w:citation/>
        </w:sdtPr>
        <w:sdtEndPr/>
        <w:sdtContent>
          <w:r w:rsidR="00D36362" w:rsidRPr="00EA0274">
            <w:rPr>
              <w:rFonts w:ascii="Book Antiqua" w:hAnsi="Book Antiqua"/>
            </w:rPr>
            <w:fldChar w:fldCharType="begin"/>
          </w:r>
          <w:r w:rsidR="00D36362" w:rsidRPr="00EA0274">
            <w:rPr>
              <w:rFonts w:ascii="Book Antiqua" w:hAnsi="Book Antiqua"/>
            </w:rPr>
            <w:instrText xml:space="preserve"> CITATION All09 \l 2057  \m Mor07 \m Hes17</w:instrText>
          </w:r>
          <w:r w:rsidR="00EB4708" w:rsidRPr="00EA0274">
            <w:rPr>
              <w:rFonts w:ascii="Book Antiqua" w:hAnsi="Book Antiqua"/>
            </w:rPr>
            <w:instrText xml:space="preserve"> \m Rob13</w:instrText>
          </w:r>
          <w:r w:rsidR="00D36362" w:rsidRPr="00EA0274">
            <w:rPr>
              <w:rFonts w:ascii="Book Antiqua" w:hAnsi="Book Antiqua"/>
            </w:rPr>
            <w:fldChar w:fldCharType="separate"/>
          </w:r>
          <w:r w:rsidR="00F12D50" w:rsidRPr="00EA0274">
            <w:rPr>
              <w:rFonts w:ascii="Book Antiqua" w:hAnsi="Book Antiqua"/>
              <w:noProof/>
            </w:rPr>
            <w:t>(Allinson &amp; Anievas, 2009; Morton, 2007; Hesketh, 2017; Roccu, 2013)</w:t>
          </w:r>
          <w:r w:rsidR="00D36362" w:rsidRPr="00EA0274">
            <w:rPr>
              <w:rFonts w:ascii="Book Antiqua" w:hAnsi="Book Antiqua"/>
            </w:rPr>
            <w:fldChar w:fldCharType="end"/>
          </w:r>
        </w:sdtContent>
      </w:sdt>
      <w:r w:rsidR="00047CE7" w:rsidRPr="00EA0274">
        <w:rPr>
          <w:rFonts w:ascii="Book Antiqua" w:hAnsi="Book Antiqua"/>
        </w:rPr>
        <w:t xml:space="preserve">As several contributions to this special issue show, Foucauldian approaches to the state can also be fruitfully deployed, </w:t>
      </w:r>
      <w:r w:rsidR="005505BB" w:rsidRPr="00EA0274">
        <w:rPr>
          <w:rFonts w:ascii="Book Antiqua" w:hAnsi="Book Antiqua"/>
        </w:rPr>
        <w:t>for instance by treating the state as an effect</w:t>
      </w:r>
      <w:r w:rsidR="006031ED" w:rsidRPr="00EA0274">
        <w:rPr>
          <w:rFonts w:ascii="Book Antiqua" w:hAnsi="Book Antiqua"/>
        </w:rPr>
        <w:t xml:space="preserve"> (Mitchell, 1991),</w:t>
      </w:r>
      <w:r w:rsidR="005505BB" w:rsidRPr="00EA0274">
        <w:rPr>
          <w:rFonts w:ascii="Book Antiqua" w:hAnsi="Book Antiqua"/>
        </w:rPr>
        <w:t xml:space="preserve"> or </w:t>
      </w:r>
      <w:r w:rsidR="00DD42D9" w:rsidRPr="00EA0274">
        <w:rPr>
          <w:rFonts w:ascii="Book Antiqua" w:hAnsi="Book Antiqua"/>
        </w:rPr>
        <w:t xml:space="preserve">in order </w:t>
      </w:r>
      <w:r w:rsidR="005505BB" w:rsidRPr="00EA0274">
        <w:rPr>
          <w:rFonts w:ascii="Book Antiqua" w:hAnsi="Book Antiqua"/>
        </w:rPr>
        <w:t xml:space="preserve">to </w:t>
      </w:r>
      <w:r w:rsidR="00047CE7" w:rsidRPr="00EA0274">
        <w:rPr>
          <w:rFonts w:ascii="Book Antiqua" w:hAnsi="Book Antiqua"/>
        </w:rPr>
        <w:t>tackle issues such as expertise or quantification</w:t>
      </w:r>
      <w:r w:rsidR="005505BB" w:rsidRPr="00EA0274">
        <w:rPr>
          <w:rFonts w:ascii="Book Antiqua" w:hAnsi="Book Antiqua"/>
        </w:rPr>
        <w:t xml:space="preserve"> </w:t>
      </w:r>
      <w:r w:rsidR="00B02AE7" w:rsidRPr="00EA0274">
        <w:rPr>
          <w:rFonts w:ascii="Book Antiqua" w:hAnsi="Book Antiqua"/>
          <w:noProof/>
        </w:rPr>
        <w:t>(Mitchell, 2002)</w:t>
      </w:r>
      <w:r w:rsidR="00047CE7" w:rsidRPr="00EA0274">
        <w:rPr>
          <w:rFonts w:ascii="Book Antiqua" w:hAnsi="Book Antiqua"/>
        </w:rPr>
        <w:t>.</w:t>
      </w:r>
      <w:r w:rsidR="005505BB" w:rsidRPr="00EA0274">
        <w:rPr>
          <w:rFonts w:ascii="Book Antiqua" w:hAnsi="Book Antiqua"/>
        </w:rPr>
        <w:t xml:space="preserve"> </w:t>
      </w:r>
    </w:p>
    <w:p w14:paraId="56E95CBF" w14:textId="2595ED65" w:rsidR="005505BB" w:rsidRPr="00EA0274" w:rsidRDefault="001C5E8D" w:rsidP="009557F7">
      <w:pPr>
        <w:spacing w:after="0" w:line="360" w:lineRule="auto"/>
        <w:ind w:firstLine="567"/>
        <w:jc w:val="both"/>
        <w:rPr>
          <w:rFonts w:ascii="Book Antiqua" w:hAnsi="Book Antiqua"/>
        </w:rPr>
      </w:pPr>
      <w:r w:rsidRPr="00EA0274">
        <w:rPr>
          <w:rFonts w:ascii="Book Antiqua" w:hAnsi="Book Antiqua"/>
        </w:rPr>
        <w:t>Finally, a</w:t>
      </w:r>
      <w:r w:rsidR="001C3410" w:rsidRPr="00EA0274">
        <w:rPr>
          <w:rFonts w:ascii="Book Antiqua" w:hAnsi="Book Antiqua"/>
        </w:rPr>
        <w:t xml:space="preserve"> common feature of these new literature</w:t>
      </w:r>
      <w:r w:rsidR="007B2A11" w:rsidRPr="00EA0274">
        <w:rPr>
          <w:rFonts w:ascii="Book Antiqua" w:hAnsi="Book Antiqua"/>
        </w:rPr>
        <w:t>s</w:t>
      </w:r>
      <w:r w:rsidR="001C3410" w:rsidRPr="00EA0274">
        <w:rPr>
          <w:rFonts w:ascii="Book Antiqua" w:hAnsi="Book Antiqua"/>
        </w:rPr>
        <w:t xml:space="preserve"> on the state is a conscious attempt to face the challenge </w:t>
      </w:r>
      <w:r w:rsidR="009557F7" w:rsidRPr="00EA0274">
        <w:rPr>
          <w:rFonts w:ascii="Book Antiqua" w:hAnsi="Book Antiqua"/>
        </w:rPr>
        <w:t xml:space="preserve">mentioned above </w:t>
      </w:r>
      <w:r w:rsidR="001C3410" w:rsidRPr="00EA0274">
        <w:rPr>
          <w:rFonts w:ascii="Book Antiqua" w:hAnsi="Book Antiqua"/>
        </w:rPr>
        <w:t>of Eurocentric institutionalism</w:t>
      </w:r>
      <w:r w:rsidR="0032774D" w:rsidRPr="00EA0274">
        <w:rPr>
          <w:rFonts w:ascii="Book Antiqua" w:hAnsi="Book Antiqua"/>
        </w:rPr>
        <w:t xml:space="preserve"> </w:t>
      </w:r>
      <w:sdt>
        <w:sdtPr>
          <w:rPr>
            <w:rFonts w:ascii="Book Antiqua" w:hAnsi="Book Antiqua"/>
          </w:rPr>
          <w:id w:val="-1882931382"/>
          <w:citation/>
        </w:sdtPr>
        <w:sdtEndPr/>
        <w:sdtContent>
          <w:r w:rsidR="001C3410" w:rsidRPr="00EA0274">
            <w:rPr>
              <w:rFonts w:ascii="Book Antiqua" w:hAnsi="Book Antiqua"/>
            </w:rPr>
            <w:fldChar w:fldCharType="begin"/>
          </w:r>
          <w:r w:rsidR="001C3410" w:rsidRPr="00EA0274">
            <w:rPr>
              <w:rFonts w:ascii="Book Antiqua" w:hAnsi="Book Antiqua"/>
            </w:rPr>
            <w:instrText xml:space="preserve"> CITATION Hob13 \l 2057 </w:instrText>
          </w:r>
          <w:r w:rsidR="001C3410" w:rsidRPr="00EA0274">
            <w:rPr>
              <w:rFonts w:ascii="Book Antiqua" w:hAnsi="Book Antiqua"/>
            </w:rPr>
            <w:fldChar w:fldCharType="separate"/>
          </w:r>
          <w:r w:rsidR="00F12D50" w:rsidRPr="00EA0274">
            <w:rPr>
              <w:rFonts w:ascii="Book Antiqua" w:hAnsi="Book Antiqua"/>
              <w:noProof/>
            </w:rPr>
            <w:t>(Hobson, 2013)</w:t>
          </w:r>
          <w:r w:rsidR="001C3410" w:rsidRPr="00EA0274">
            <w:rPr>
              <w:rFonts w:ascii="Book Antiqua" w:hAnsi="Book Antiqua"/>
            </w:rPr>
            <w:fldChar w:fldCharType="end"/>
          </w:r>
        </w:sdtContent>
      </w:sdt>
      <w:r w:rsidR="001C3410" w:rsidRPr="00EA0274">
        <w:rPr>
          <w:rFonts w:ascii="Book Antiqua" w:hAnsi="Book Antiqua"/>
        </w:rPr>
        <w:t>.</w:t>
      </w:r>
      <w:r w:rsidRPr="00EA0274">
        <w:rPr>
          <w:rFonts w:ascii="Book Antiqua" w:hAnsi="Book Antiqua"/>
        </w:rPr>
        <w:t xml:space="preserve"> </w:t>
      </w:r>
      <w:r w:rsidR="009C6F90" w:rsidRPr="00EA0274">
        <w:rPr>
          <w:rFonts w:ascii="Book Antiqua" w:hAnsi="Book Antiqua"/>
        </w:rPr>
        <w:t>This special issue seeks to</w:t>
      </w:r>
      <w:r w:rsidRPr="00EA0274">
        <w:rPr>
          <w:rFonts w:ascii="Book Antiqua" w:hAnsi="Book Antiqua"/>
        </w:rPr>
        <w:t xml:space="preserve"> conceptualise capitalist development beyond the dominant model characterised by ‘Eurocentric diffusionism’ (</w:t>
      </w:r>
      <w:proofErr w:type="spellStart"/>
      <w:r w:rsidRPr="00EA0274">
        <w:rPr>
          <w:rFonts w:ascii="Book Antiqua" w:hAnsi="Book Antiqua"/>
        </w:rPr>
        <w:t>Anievas</w:t>
      </w:r>
      <w:proofErr w:type="spellEnd"/>
      <w:r w:rsidRPr="00EA0274">
        <w:rPr>
          <w:rFonts w:ascii="Book Antiqua" w:hAnsi="Book Antiqua"/>
        </w:rPr>
        <w:t xml:space="preserve"> &amp; </w:t>
      </w:r>
      <w:proofErr w:type="spellStart"/>
      <w:r w:rsidRPr="00EA0274">
        <w:rPr>
          <w:rFonts w:ascii="Book Antiqua" w:hAnsi="Book Antiqua"/>
        </w:rPr>
        <w:t>Nişancıoğlu</w:t>
      </w:r>
      <w:proofErr w:type="spellEnd"/>
      <w:r w:rsidRPr="00EA0274">
        <w:rPr>
          <w:rFonts w:ascii="Book Antiqua" w:hAnsi="Book Antiqua"/>
        </w:rPr>
        <w:t xml:space="preserve"> 2015; Tansel 201</w:t>
      </w:r>
      <w:r w:rsidR="000E0578">
        <w:rPr>
          <w:rFonts w:ascii="Book Antiqua" w:hAnsi="Book Antiqua"/>
        </w:rPr>
        <w:t>5</w:t>
      </w:r>
      <w:r w:rsidRPr="00EA0274">
        <w:rPr>
          <w:rFonts w:ascii="Book Antiqua" w:hAnsi="Book Antiqua"/>
        </w:rPr>
        <w:t>). Similarly, the special issue contributes to literature focusing on the role of the periphery in global knowledge production about IPE (</w:t>
      </w:r>
      <w:proofErr w:type="spellStart"/>
      <w:r w:rsidRPr="00EA0274">
        <w:rPr>
          <w:rFonts w:ascii="Book Antiqua" w:hAnsi="Book Antiqua"/>
        </w:rPr>
        <w:t>Helleiner</w:t>
      </w:r>
      <w:proofErr w:type="spellEnd"/>
      <w:r w:rsidRPr="00EA0274">
        <w:rPr>
          <w:rFonts w:ascii="Book Antiqua" w:hAnsi="Book Antiqua"/>
        </w:rPr>
        <w:t xml:space="preserve"> &amp; Rosales 2017</w:t>
      </w:r>
      <w:r w:rsidR="00A30F36">
        <w:rPr>
          <w:rFonts w:ascii="Book Antiqua" w:hAnsi="Book Antiqua"/>
        </w:rPr>
        <w:t xml:space="preserve">; </w:t>
      </w:r>
      <w:proofErr w:type="spellStart"/>
      <w:r w:rsidR="00A30F36">
        <w:rPr>
          <w:rFonts w:ascii="Book Antiqua" w:hAnsi="Book Antiqua"/>
        </w:rPr>
        <w:t>Helleiner</w:t>
      </w:r>
      <w:proofErr w:type="spellEnd"/>
      <w:r w:rsidR="00A30F36">
        <w:rPr>
          <w:rFonts w:ascii="Book Antiqua" w:hAnsi="Book Antiqua"/>
        </w:rPr>
        <w:t xml:space="preserve"> 2023</w:t>
      </w:r>
      <w:r w:rsidRPr="00EA0274">
        <w:rPr>
          <w:rFonts w:ascii="Book Antiqua" w:hAnsi="Book Antiqua"/>
        </w:rPr>
        <w:t>).</w:t>
      </w:r>
    </w:p>
    <w:p w14:paraId="7FC99095" w14:textId="3EFBB9CC" w:rsidR="00B53FBF" w:rsidRPr="00EA0274" w:rsidRDefault="00B53FBF" w:rsidP="009B1D6E">
      <w:pPr>
        <w:spacing w:after="0" w:line="360" w:lineRule="auto"/>
        <w:ind w:firstLine="567"/>
        <w:jc w:val="both"/>
        <w:rPr>
          <w:rFonts w:ascii="Book Antiqua" w:hAnsi="Book Antiqua"/>
        </w:rPr>
      </w:pPr>
    </w:p>
    <w:p w14:paraId="5D0EF21E" w14:textId="1C45CFC5" w:rsidR="00D947D1" w:rsidRPr="00EA0274" w:rsidRDefault="00D947D1" w:rsidP="005C6962">
      <w:pPr>
        <w:spacing w:after="0" w:line="360" w:lineRule="auto"/>
        <w:jc w:val="both"/>
        <w:rPr>
          <w:rFonts w:ascii="Book Antiqua" w:hAnsi="Book Antiqua"/>
        </w:rPr>
      </w:pPr>
    </w:p>
    <w:p w14:paraId="6F66A82F" w14:textId="70AB454D" w:rsidR="0033319A" w:rsidRPr="00EA0274" w:rsidRDefault="0033319A" w:rsidP="002D136A">
      <w:pPr>
        <w:spacing w:after="0" w:line="360" w:lineRule="auto"/>
        <w:jc w:val="both"/>
        <w:rPr>
          <w:rFonts w:ascii="Book Antiqua" w:hAnsi="Book Antiqua"/>
        </w:rPr>
      </w:pPr>
      <w:r w:rsidRPr="00EA0274">
        <w:rPr>
          <w:rFonts w:ascii="Book Antiqua" w:hAnsi="Book Antiqua"/>
          <w:b/>
          <w:bCs/>
        </w:rPr>
        <w:t>Openings to build on</w:t>
      </w:r>
    </w:p>
    <w:p w14:paraId="17D520B7" w14:textId="3C2D519E" w:rsidR="00261165" w:rsidRPr="00EA0274" w:rsidRDefault="001C5E8D" w:rsidP="002D136A">
      <w:pPr>
        <w:spacing w:after="0" w:line="360" w:lineRule="auto"/>
        <w:jc w:val="both"/>
        <w:rPr>
          <w:rFonts w:ascii="Book Antiqua" w:hAnsi="Book Antiqua"/>
        </w:rPr>
      </w:pPr>
      <w:r w:rsidRPr="00EA0274">
        <w:rPr>
          <w:rFonts w:ascii="Book Antiqua" w:hAnsi="Book Antiqua"/>
        </w:rPr>
        <w:t>Political economy writing on the Middle East has</w:t>
      </w:r>
      <w:r w:rsidR="0033319A" w:rsidRPr="00EA0274">
        <w:rPr>
          <w:rFonts w:ascii="Book Antiqua" w:hAnsi="Book Antiqua"/>
        </w:rPr>
        <w:t xml:space="preserve"> started to change, especially </w:t>
      </w:r>
      <w:r w:rsidR="006D7957" w:rsidRPr="00EA0274">
        <w:rPr>
          <w:rFonts w:ascii="Book Antiqua" w:hAnsi="Book Antiqua"/>
        </w:rPr>
        <w:t>in</w:t>
      </w:r>
      <w:r w:rsidR="0033319A" w:rsidRPr="00EA0274">
        <w:rPr>
          <w:rFonts w:ascii="Book Antiqua" w:hAnsi="Book Antiqua"/>
        </w:rPr>
        <w:t xml:space="preserve"> the past decade bookended by popular uprisings</w:t>
      </w:r>
      <w:r w:rsidR="00D20294" w:rsidRPr="00EA0274">
        <w:rPr>
          <w:rFonts w:ascii="Book Antiqua" w:hAnsi="Book Antiqua"/>
        </w:rPr>
        <w:t xml:space="preserve"> first in 2010-11 and then in 2019. Despite the undoubted peculiarities of specific popular movements and demands, their very geographical pervasiveness from Morocco to Bahrain </w:t>
      </w:r>
      <w:r w:rsidR="00870C24" w:rsidRPr="00EA0274">
        <w:rPr>
          <w:rFonts w:ascii="Book Antiqua" w:hAnsi="Book Antiqua"/>
        </w:rPr>
        <w:t xml:space="preserve">has elicited greater interest </w:t>
      </w:r>
      <w:r w:rsidR="00A4098C" w:rsidRPr="00EA0274">
        <w:rPr>
          <w:rFonts w:ascii="Book Antiqua" w:hAnsi="Book Antiqua"/>
        </w:rPr>
        <w:t>towards</w:t>
      </w:r>
      <w:r w:rsidR="00870C24" w:rsidRPr="00EA0274">
        <w:rPr>
          <w:rFonts w:ascii="Book Antiqua" w:hAnsi="Book Antiqua"/>
        </w:rPr>
        <w:t xml:space="preserve"> the role of regional and global processes in creating some of the preconditions of the uprisings (Snider 2017). </w:t>
      </w:r>
      <w:r w:rsidR="0008574E" w:rsidRPr="00EA0274">
        <w:rPr>
          <w:rFonts w:ascii="Book Antiqua" w:hAnsi="Book Antiqua"/>
        </w:rPr>
        <w:t>Many</w:t>
      </w:r>
      <w:r w:rsidR="006B7AFF" w:rsidRPr="00EA0274">
        <w:rPr>
          <w:rFonts w:ascii="Book Antiqua" w:hAnsi="Book Antiqua"/>
        </w:rPr>
        <w:t xml:space="preserve"> authors </w:t>
      </w:r>
      <w:r w:rsidR="00354E12" w:rsidRPr="00EA0274">
        <w:rPr>
          <w:rFonts w:ascii="Book Antiqua" w:hAnsi="Book Antiqua"/>
        </w:rPr>
        <w:t>contributing to</w:t>
      </w:r>
      <w:r w:rsidR="006B7AFF" w:rsidRPr="00EA0274">
        <w:rPr>
          <w:rFonts w:ascii="Book Antiqua" w:hAnsi="Book Antiqua"/>
        </w:rPr>
        <w:t xml:space="preserve"> this literature would not necessarily see themselves as working within </w:t>
      </w:r>
      <w:r w:rsidR="003F6C03" w:rsidRPr="00EA0274">
        <w:rPr>
          <w:rFonts w:ascii="Book Antiqua" w:hAnsi="Book Antiqua"/>
        </w:rPr>
        <w:t xml:space="preserve">IPE, but their work is clearly relevant </w:t>
      </w:r>
      <w:r w:rsidR="00354E12" w:rsidRPr="00EA0274">
        <w:rPr>
          <w:rFonts w:ascii="Book Antiqua" w:hAnsi="Book Antiqua"/>
        </w:rPr>
        <w:t xml:space="preserve">to the field, </w:t>
      </w:r>
      <w:r w:rsidR="00261165" w:rsidRPr="00EA0274">
        <w:rPr>
          <w:rFonts w:ascii="Book Antiqua" w:hAnsi="Book Antiqua"/>
        </w:rPr>
        <w:t xml:space="preserve">and informs much of our thinking around how Middle Eastern states participate in </w:t>
      </w:r>
      <w:r w:rsidRPr="00EA0274">
        <w:rPr>
          <w:rFonts w:ascii="Book Antiqua" w:hAnsi="Book Antiqua"/>
        </w:rPr>
        <w:t xml:space="preserve">and shape </w:t>
      </w:r>
      <w:r w:rsidR="00261165" w:rsidRPr="00EA0274">
        <w:rPr>
          <w:rFonts w:ascii="Book Antiqua" w:hAnsi="Book Antiqua"/>
        </w:rPr>
        <w:t>the global political economy.</w:t>
      </w:r>
      <w:r w:rsidR="00774B2D" w:rsidRPr="00EA0274">
        <w:rPr>
          <w:rFonts w:ascii="Book Antiqua" w:hAnsi="Book Antiqua"/>
        </w:rPr>
        <w:t xml:space="preserve"> </w:t>
      </w:r>
      <w:r w:rsidR="003307A8" w:rsidRPr="00EA0274">
        <w:rPr>
          <w:rFonts w:ascii="Book Antiqua" w:hAnsi="Book Antiqua"/>
        </w:rPr>
        <w:t>Four</w:t>
      </w:r>
      <w:r w:rsidR="00774B2D" w:rsidRPr="00EA0274">
        <w:rPr>
          <w:rFonts w:ascii="Book Antiqua" w:hAnsi="Book Antiqua"/>
        </w:rPr>
        <w:t xml:space="preserve"> strands of literature are especially important from the perspective of this special issue.</w:t>
      </w:r>
    </w:p>
    <w:p w14:paraId="7F35AAE1" w14:textId="61250744" w:rsidR="001823FD" w:rsidRPr="00EA0274" w:rsidRDefault="00191D91" w:rsidP="002D136A">
      <w:pPr>
        <w:spacing w:after="0" w:line="360" w:lineRule="auto"/>
        <w:ind w:firstLine="567"/>
        <w:jc w:val="both"/>
        <w:rPr>
          <w:rFonts w:ascii="Book Antiqua" w:hAnsi="Book Antiqua"/>
        </w:rPr>
      </w:pPr>
      <w:r w:rsidRPr="00EA0274">
        <w:rPr>
          <w:rFonts w:ascii="Book Antiqua" w:hAnsi="Book Antiqua"/>
        </w:rPr>
        <w:t xml:space="preserve">First, </w:t>
      </w:r>
      <w:r w:rsidR="00B251B8" w:rsidRPr="00EA0274">
        <w:rPr>
          <w:rFonts w:ascii="Book Antiqua" w:hAnsi="Book Antiqua"/>
        </w:rPr>
        <w:t>there is a body of literature that is historical in orientation, at times speaking directly to debates in historical sociology</w:t>
      </w:r>
      <w:r w:rsidR="00A725A4" w:rsidRPr="00EA0274">
        <w:rPr>
          <w:rFonts w:ascii="Book Antiqua" w:hAnsi="Book Antiqua"/>
        </w:rPr>
        <w:t xml:space="preserve">, which </w:t>
      </w:r>
      <w:r w:rsidR="00BA25F8" w:rsidRPr="00EA0274">
        <w:rPr>
          <w:rFonts w:ascii="Book Antiqua" w:hAnsi="Book Antiqua"/>
        </w:rPr>
        <w:t xml:space="preserve">locates the region within global economic and political transformations while keeping a firm eye </w:t>
      </w:r>
      <w:r w:rsidR="0002591D" w:rsidRPr="00EA0274">
        <w:rPr>
          <w:rFonts w:ascii="Book Antiqua" w:hAnsi="Book Antiqua"/>
        </w:rPr>
        <w:t>on the contribution of local actors to such processes</w:t>
      </w:r>
      <w:r w:rsidR="00B251B8" w:rsidRPr="00EA0274">
        <w:rPr>
          <w:rFonts w:ascii="Book Antiqua" w:hAnsi="Book Antiqua"/>
        </w:rPr>
        <w:t xml:space="preserve">. </w:t>
      </w:r>
      <w:r w:rsidR="00607CD8" w:rsidRPr="00EA0274">
        <w:rPr>
          <w:rFonts w:ascii="Book Antiqua" w:hAnsi="Book Antiqua"/>
        </w:rPr>
        <w:t xml:space="preserve">It is perhaps not entirely surprising that much of this literature focuses either on colonial history or on </w:t>
      </w:r>
      <w:r w:rsidR="002B6375" w:rsidRPr="00EA0274">
        <w:rPr>
          <w:rFonts w:ascii="Book Antiqua" w:hAnsi="Book Antiqua"/>
        </w:rPr>
        <w:t>the dynamics of state formation</w:t>
      </w:r>
      <w:r w:rsidR="001D0E4A" w:rsidRPr="00EA0274">
        <w:rPr>
          <w:rFonts w:ascii="Book Antiqua" w:hAnsi="Book Antiqua"/>
        </w:rPr>
        <w:t xml:space="preserve">. </w:t>
      </w:r>
      <w:r w:rsidR="001823FD" w:rsidRPr="00EA0274">
        <w:rPr>
          <w:rFonts w:ascii="Book Antiqua" w:hAnsi="Book Antiqua"/>
        </w:rPr>
        <w:t xml:space="preserve">In the former, </w:t>
      </w:r>
      <w:r w:rsidR="000A2F8A" w:rsidRPr="00EA0274">
        <w:rPr>
          <w:rFonts w:ascii="Book Antiqua" w:hAnsi="Book Antiqua"/>
        </w:rPr>
        <w:t>one can more easily see the formative influence of international and transnational processes in shaping politico-economic developments</w:t>
      </w:r>
      <w:r w:rsidR="00F670B2" w:rsidRPr="00EA0274">
        <w:rPr>
          <w:rFonts w:ascii="Book Antiqua" w:hAnsi="Book Antiqua"/>
        </w:rPr>
        <w:t xml:space="preserve"> in specific regional locales, </w:t>
      </w:r>
      <w:r w:rsidR="006567A0" w:rsidRPr="00EA0274">
        <w:rPr>
          <w:rFonts w:ascii="Book Antiqua" w:hAnsi="Book Antiqua"/>
        </w:rPr>
        <w:t xml:space="preserve">but there is also a conscious attempt </w:t>
      </w:r>
      <w:r w:rsidR="000A4D81" w:rsidRPr="00EA0274">
        <w:rPr>
          <w:rFonts w:ascii="Book Antiqua" w:hAnsi="Book Antiqua"/>
        </w:rPr>
        <w:t>to avoid writing out local agency.</w:t>
      </w:r>
      <w:r w:rsidR="00E2477B" w:rsidRPr="00EA0274">
        <w:rPr>
          <w:rFonts w:ascii="Book Antiqua" w:hAnsi="Book Antiqua"/>
        </w:rPr>
        <w:t xml:space="preserve"> This is </w:t>
      </w:r>
      <w:r w:rsidR="00BE0F2F" w:rsidRPr="00EA0274">
        <w:rPr>
          <w:rFonts w:ascii="Book Antiqua" w:hAnsi="Book Antiqua"/>
        </w:rPr>
        <w:t>most</w:t>
      </w:r>
      <w:r w:rsidR="00E2477B" w:rsidRPr="00EA0274">
        <w:rPr>
          <w:rFonts w:ascii="Book Antiqua" w:hAnsi="Book Antiqua"/>
        </w:rPr>
        <w:t xml:space="preserve"> visible </w:t>
      </w:r>
      <w:r w:rsidR="00FA218D" w:rsidRPr="00EA0274">
        <w:rPr>
          <w:rFonts w:ascii="Book Antiqua" w:hAnsi="Book Antiqua"/>
        </w:rPr>
        <w:t>in Sherene Seikaly (2016)’s work demystifying the common conception of pre-</w:t>
      </w:r>
      <w:r w:rsidR="00FA218D" w:rsidRPr="00EA0274">
        <w:rPr>
          <w:rFonts w:ascii="Book Antiqua" w:hAnsi="Book Antiqua"/>
          <w:i/>
          <w:iCs/>
        </w:rPr>
        <w:t>Nakba</w:t>
      </w:r>
      <w:r w:rsidR="00FA218D" w:rsidRPr="00EA0274">
        <w:rPr>
          <w:rFonts w:ascii="Book Antiqua" w:hAnsi="Book Antiqua"/>
        </w:rPr>
        <w:t xml:space="preserve"> Palestine as agricultural land, through a specific</w:t>
      </w:r>
      <w:r w:rsidR="00BE0F2F" w:rsidRPr="00EA0274">
        <w:rPr>
          <w:rFonts w:ascii="Book Antiqua" w:hAnsi="Book Antiqua"/>
        </w:rPr>
        <w:t xml:space="preserve"> focus</w:t>
      </w:r>
      <w:r w:rsidR="00FA218D" w:rsidRPr="00EA0274">
        <w:rPr>
          <w:rFonts w:ascii="Book Antiqua" w:hAnsi="Book Antiqua"/>
        </w:rPr>
        <w:t xml:space="preserve"> on commercial and industrial ventures undertaken by local capitalists in mandate Palestine</w:t>
      </w:r>
      <w:r w:rsidR="009A58FD" w:rsidRPr="00EA0274">
        <w:rPr>
          <w:rFonts w:ascii="Book Antiqua" w:hAnsi="Book Antiqua"/>
        </w:rPr>
        <w:t xml:space="preserve">, as well as their </w:t>
      </w:r>
      <w:r w:rsidR="00BE1B9F" w:rsidRPr="00EA0274">
        <w:rPr>
          <w:rFonts w:ascii="Book Antiqua" w:hAnsi="Book Antiqua"/>
        </w:rPr>
        <w:t>understandings and visions of economy</w:t>
      </w:r>
      <w:r w:rsidR="00FA218D" w:rsidRPr="00EA0274">
        <w:rPr>
          <w:rFonts w:ascii="Book Antiqua" w:hAnsi="Book Antiqua"/>
        </w:rPr>
        <w:t>.</w:t>
      </w:r>
      <w:r w:rsidR="00FA218D" w:rsidRPr="00EA0274">
        <w:rPr>
          <w:rStyle w:val="FootnoteReference"/>
          <w:rFonts w:ascii="Book Antiqua" w:hAnsi="Book Antiqua"/>
        </w:rPr>
        <w:footnoteReference w:id="6"/>
      </w:r>
      <w:r w:rsidR="00BE0F2F" w:rsidRPr="00EA0274">
        <w:rPr>
          <w:rFonts w:ascii="Book Antiqua" w:hAnsi="Book Antiqua"/>
        </w:rPr>
        <w:t xml:space="preserve"> </w:t>
      </w:r>
    </w:p>
    <w:p w14:paraId="422643E1" w14:textId="43F76585" w:rsidR="00677354" w:rsidRPr="00EA0274" w:rsidRDefault="00677354" w:rsidP="00FD0A6C">
      <w:pPr>
        <w:spacing w:after="0" w:line="360" w:lineRule="auto"/>
        <w:ind w:firstLine="567"/>
        <w:jc w:val="both"/>
        <w:rPr>
          <w:rFonts w:ascii="Book Antiqua" w:hAnsi="Book Antiqua"/>
          <w:lang w:bidi="ar-MA"/>
        </w:rPr>
      </w:pPr>
      <w:r w:rsidRPr="00EA0274">
        <w:rPr>
          <w:rFonts w:ascii="Book Antiqua" w:hAnsi="Book Antiqua"/>
        </w:rPr>
        <w:t>Located at the intersection between IR a</w:t>
      </w:r>
      <w:r w:rsidR="000E0578">
        <w:rPr>
          <w:rFonts w:ascii="Book Antiqua" w:hAnsi="Book Antiqua"/>
        </w:rPr>
        <w:t>n</w:t>
      </w:r>
      <w:r w:rsidRPr="00EA0274">
        <w:rPr>
          <w:rFonts w:ascii="Book Antiqua" w:hAnsi="Book Antiqua"/>
        </w:rPr>
        <w:t xml:space="preserve">d historical sociology, </w:t>
      </w:r>
      <w:r w:rsidR="00E56010" w:rsidRPr="00EA0274">
        <w:rPr>
          <w:rFonts w:ascii="Book Antiqua" w:hAnsi="Book Antiqua"/>
        </w:rPr>
        <w:t xml:space="preserve">Jamie </w:t>
      </w:r>
      <w:proofErr w:type="spellStart"/>
      <w:r w:rsidRPr="00EA0274">
        <w:rPr>
          <w:rFonts w:ascii="Book Antiqua" w:hAnsi="Book Antiqua"/>
        </w:rPr>
        <w:t>Allinso</w:t>
      </w:r>
      <w:r w:rsidRPr="00EA0274">
        <w:rPr>
          <w:rFonts w:ascii="Book Antiqua" w:hAnsi="Book Antiqua"/>
          <w:lang w:bidi="ar-MA"/>
        </w:rPr>
        <w:t>n</w:t>
      </w:r>
      <w:r w:rsidR="00E56010" w:rsidRPr="00EA0274">
        <w:rPr>
          <w:rFonts w:ascii="Book Antiqua" w:hAnsi="Book Antiqua"/>
          <w:lang w:bidi="ar-MA"/>
        </w:rPr>
        <w:t>’s</w:t>
      </w:r>
      <w:proofErr w:type="spellEnd"/>
      <w:r w:rsidR="00E56010" w:rsidRPr="00EA0274">
        <w:rPr>
          <w:rFonts w:ascii="Book Antiqua" w:hAnsi="Book Antiqua"/>
          <w:lang w:bidi="ar-MA"/>
        </w:rPr>
        <w:t xml:space="preserve"> work </w:t>
      </w:r>
      <w:r w:rsidR="00A676CD" w:rsidRPr="00EA0274">
        <w:rPr>
          <w:rFonts w:ascii="Book Antiqua" w:hAnsi="Book Antiqua"/>
          <w:lang w:bidi="ar-MA"/>
        </w:rPr>
        <w:t>is essential to make sense of</w:t>
      </w:r>
      <w:r w:rsidR="00004304" w:rsidRPr="00EA0274">
        <w:rPr>
          <w:rFonts w:ascii="Book Antiqua" w:hAnsi="Book Antiqua"/>
          <w:lang w:bidi="ar-MA"/>
        </w:rPr>
        <w:t xml:space="preserve"> local agency in shaping not only local, but also regional and global </w:t>
      </w:r>
      <w:r w:rsidR="00037B22" w:rsidRPr="00EA0274">
        <w:rPr>
          <w:rFonts w:ascii="Book Antiqua" w:hAnsi="Book Antiqua"/>
          <w:lang w:bidi="ar-MA"/>
        </w:rPr>
        <w:t>outcomes</w:t>
      </w:r>
      <w:r w:rsidR="002B50C7" w:rsidRPr="00EA0274">
        <w:rPr>
          <w:rFonts w:ascii="Book Antiqua" w:hAnsi="Book Antiqua"/>
          <w:lang w:bidi="ar-MA"/>
        </w:rPr>
        <w:t>, all within</w:t>
      </w:r>
      <w:r w:rsidR="00037B22" w:rsidRPr="00EA0274">
        <w:rPr>
          <w:rFonts w:ascii="Book Antiqua" w:hAnsi="Book Antiqua"/>
          <w:lang w:bidi="ar-MA"/>
        </w:rPr>
        <w:t xml:space="preserve"> ‘a process of contradictory universalisation’ (</w:t>
      </w:r>
      <w:proofErr w:type="spellStart"/>
      <w:r w:rsidR="00037B22" w:rsidRPr="00EA0274">
        <w:rPr>
          <w:rFonts w:ascii="Book Antiqua" w:hAnsi="Book Antiqua"/>
          <w:lang w:bidi="ar-MA"/>
        </w:rPr>
        <w:t>Allinson</w:t>
      </w:r>
      <w:proofErr w:type="spellEnd"/>
      <w:r w:rsidR="00037B22" w:rsidRPr="00EA0274">
        <w:rPr>
          <w:rFonts w:ascii="Book Antiqua" w:hAnsi="Book Antiqua"/>
          <w:lang w:bidi="ar-MA"/>
        </w:rPr>
        <w:t xml:space="preserve"> 2016: 2)</w:t>
      </w:r>
      <w:r w:rsidR="002B50C7" w:rsidRPr="00EA0274">
        <w:rPr>
          <w:rFonts w:ascii="Book Antiqua" w:hAnsi="Book Antiqua"/>
          <w:lang w:bidi="ar-MA"/>
        </w:rPr>
        <w:t xml:space="preserve">. This is the case </w:t>
      </w:r>
      <w:r w:rsidR="009461A0" w:rsidRPr="00EA0274">
        <w:rPr>
          <w:rFonts w:ascii="Book Antiqua" w:hAnsi="Book Antiqua"/>
          <w:lang w:bidi="ar-MA"/>
        </w:rPr>
        <w:t xml:space="preserve">both in his </w:t>
      </w:r>
      <w:r w:rsidR="005D21A5" w:rsidRPr="00EA0274">
        <w:rPr>
          <w:rFonts w:ascii="Book Antiqua" w:hAnsi="Book Antiqua"/>
          <w:lang w:bidi="ar-MA"/>
        </w:rPr>
        <w:t>study of</w:t>
      </w:r>
      <w:r w:rsidR="00F97EF9" w:rsidRPr="00EA0274">
        <w:rPr>
          <w:rFonts w:ascii="Book Antiqua" w:hAnsi="Book Antiqua"/>
          <w:lang w:bidi="ar-MA"/>
        </w:rPr>
        <w:t xml:space="preserve"> the geopolitics of state formation and foreign policy alignments in Jordan</w:t>
      </w:r>
      <w:r w:rsidR="005D21A5" w:rsidRPr="00EA0274">
        <w:rPr>
          <w:rFonts w:ascii="Book Antiqua" w:hAnsi="Book Antiqua"/>
          <w:lang w:bidi="ar-MA"/>
        </w:rPr>
        <w:t xml:space="preserve"> (</w:t>
      </w:r>
      <w:proofErr w:type="spellStart"/>
      <w:r w:rsidR="005D21A5" w:rsidRPr="00EA0274">
        <w:rPr>
          <w:rFonts w:ascii="Book Antiqua" w:hAnsi="Book Antiqua"/>
          <w:lang w:bidi="ar-MA"/>
        </w:rPr>
        <w:t>Allinson</w:t>
      </w:r>
      <w:proofErr w:type="spellEnd"/>
      <w:r w:rsidR="005D21A5" w:rsidRPr="00EA0274">
        <w:rPr>
          <w:rFonts w:ascii="Book Antiqua" w:hAnsi="Book Antiqua"/>
          <w:lang w:bidi="ar-MA"/>
        </w:rPr>
        <w:t xml:space="preserve"> 2016)</w:t>
      </w:r>
      <w:r w:rsidR="00F97EF9" w:rsidRPr="00EA0274">
        <w:rPr>
          <w:rFonts w:ascii="Book Antiqua" w:hAnsi="Book Antiqua"/>
          <w:lang w:bidi="ar-MA"/>
        </w:rPr>
        <w:t xml:space="preserve">, and in </w:t>
      </w:r>
      <w:r w:rsidR="007A4C1C" w:rsidRPr="00EA0274">
        <w:rPr>
          <w:rFonts w:ascii="Book Antiqua" w:hAnsi="Book Antiqua"/>
          <w:lang w:bidi="ar-MA"/>
        </w:rPr>
        <w:t>his more</w:t>
      </w:r>
      <w:r w:rsidR="00F97EF9" w:rsidRPr="00EA0274">
        <w:rPr>
          <w:rFonts w:ascii="Book Antiqua" w:hAnsi="Book Antiqua"/>
          <w:lang w:bidi="ar-MA"/>
        </w:rPr>
        <w:t xml:space="preserve"> recent work </w:t>
      </w:r>
      <w:r w:rsidR="00FD0A6C" w:rsidRPr="00EA0274">
        <w:rPr>
          <w:rFonts w:ascii="Book Antiqua" w:hAnsi="Book Antiqua"/>
          <w:lang w:bidi="ar-MA"/>
        </w:rPr>
        <w:t>on the aftermath of the Arab uprisings</w:t>
      </w:r>
      <w:r w:rsidR="007A4C1C" w:rsidRPr="00EA0274">
        <w:rPr>
          <w:rFonts w:ascii="Book Antiqua" w:hAnsi="Book Antiqua"/>
          <w:lang w:bidi="ar-MA"/>
        </w:rPr>
        <w:t xml:space="preserve"> (</w:t>
      </w:r>
      <w:proofErr w:type="spellStart"/>
      <w:r w:rsidR="007A4C1C" w:rsidRPr="00EA0274">
        <w:rPr>
          <w:rFonts w:ascii="Book Antiqua" w:hAnsi="Book Antiqua"/>
          <w:lang w:bidi="ar-MA"/>
        </w:rPr>
        <w:t>Allinson</w:t>
      </w:r>
      <w:proofErr w:type="spellEnd"/>
      <w:r w:rsidR="007A4C1C" w:rsidRPr="00EA0274">
        <w:rPr>
          <w:rFonts w:ascii="Book Antiqua" w:hAnsi="Book Antiqua"/>
          <w:lang w:bidi="ar-MA"/>
        </w:rPr>
        <w:t xml:space="preserve"> 2019, 2022)</w:t>
      </w:r>
      <w:r w:rsidR="00FD0A6C" w:rsidRPr="00EA0274">
        <w:rPr>
          <w:rFonts w:ascii="Book Antiqua" w:hAnsi="Book Antiqua"/>
          <w:lang w:bidi="ar-MA"/>
        </w:rPr>
        <w:t xml:space="preserve">. Here, </w:t>
      </w:r>
      <w:proofErr w:type="spellStart"/>
      <w:r w:rsidR="00747E33" w:rsidRPr="00EA0274">
        <w:rPr>
          <w:rFonts w:ascii="Book Antiqua" w:hAnsi="Book Antiqua"/>
          <w:lang w:bidi="ar-MA"/>
        </w:rPr>
        <w:t>Allinson</w:t>
      </w:r>
      <w:proofErr w:type="spellEnd"/>
      <w:r w:rsidR="00747E33" w:rsidRPr="00EA0274">
        <w:rPr>
          <w:rFonts w:ascii="Book Antiqua" w:hAnsi="Book Antiqua"/>
          <w:lang w:bidi="ar-MA"/>
        </w:rPr>
        <w:t xml:space="preserve"> shows the centrality of successful counterrevolutionaries </w:t>
      </w:r>
      <w:r w:rsidR="0052654E" w:rsidRPr="00EA0274">
        <w:rPr>
          <w:rFonts w:ascii="Book Antiqua" w:hAnsi="Book Antiqua"/>
          <w:lang w:bidi="ar-MA"/>
        </w:rPr>
        <w:t>in creating a collective subject with both local and international components,</w:t>
      </w:r>
      <w:r w:rsidR="00CF4D7C" w:rsidRPr="00EA0274">
        <w:rPr>
          <w:rFonts w:ascii="Book Antiqua" w:hAnsi="Book Antiqua"/>
          <w:lang w:bidi="ar-MA"/>
        </w:rPr>
        <w:t xml:space="preserve"> enabling them </w:t>
      </w:r>
      <w:r w:rsidR="00CF4D7C" w:rsidRPr="00EA0274">
        <w:rPr>
          <w:rFonts w:ascii="Book Antiqua" w:hAnsi="Book Antiqua"/>
          <w:lang w:bidi="ar-MA"/>
        </w:rPr>
        <w:lastRenderedPageBreak/>
        <w:t>to ‘recompose previously existing regional and international orders’ (</w:t>
      </w:r>
      <w:proofErr w:type="spellStart"/>
      <w:r w:rsidR="00CF4D7C" w:rsidRPr="00EA0274">
        <w:rPr>
          <w:rFonts w:ascii="Book Antiqua" w:hAnsi="Book Antiqua"/>
          <w:lang w:bidi="ar-MA"/>
        </w:rPr>
        <w:t>Allinson</w:t>
      </w:r>
      <w:proofErr w:type="spellEnd"/>
      <w:r w:rsidR="00CF4D7C" w:rsidRPr="00EA0274">
        <w:rPr>
          <w:rFonts w:ascii="Book Antiqua" w:hAnsi="Book Antiqua"/>
          <w:lang w:bidi="ar-MA"/>
        </w:rPr>
        <w:t xml:space="preserve"> 2022: 19).</w:t>
      </w:r>
      <w:r w:rsidR="00A676CD" w:rsidRPr="00EA0274">
        <w:rPr>
          <w:rFonts w:ascii="Book Antiqua" w:hAnsi="Book Antiqua"/>
          <w:lang w:bidi="ar-MA"/>
        </w:rPr>
        <w:t xml:space="preserve"> </w:t>
      </w:r>
      <w:r w:rsidR="009F4A69" w:rsidRPr="00EA0274">
        <w:rPr>
          <w:rFonts w:ascii="Book Antiqua" w:hAnsi="Book Antiqua"/>
          <w:lang w:bidi="ar-MA"/>
        </w:rPr>
        <w:t>In a similar vein</w:t>
      </w:r>
      <w:r w:rsidR="00A101FB" w:rsidRPr="00EA0274">
        <w:rPr>
          <w:rFonts w:ascii="Book Antiqua" w:hAnsi="Book Antiqua"/>
          <w:lang w:bidi="ar-MA"/>
        </w:rPr>
        <w:t xml:space="preserve"> and similarly located in historical sociology</w:t>
      </w:r>
      <w:r w:rsidR="009F4A69" w:rsidRPr="00EA0274">
        <w:rPr>
          <w:rFonts w:ascii="Book Antiqua" w:hAnsi="Book Antiqua"/>
          <w:lang w:bidi="ar-MA"/>
        </w:rPr>
        <w:t xml:space="preserve">, </w:t>
      </w:r>
      <w:r w:rsidR="00461256" w:rsidRPr="00EA0274">
        <w:rPr>
          <w:rFonts w:ascii="Book Antiqua" w:hAnsi="Book Antiqua"/>
          <w:lang w:bidi="ar-MA"/>
        </w:rPr>
        <w:t xml:space="preserve">Daniel </w:t>
      </w:r>
      <w:proofErr w:type="spellStart"/>
      <w:r w:rsidR="00461256" w:rsidRPr="00EA0274">
        <w:rPr>
          <w:rFonts w:ascii="Book Antiqua" w:hAnsi="Book Antiqua"/>
          <w:lang w:bidi="ar-MA"/>
        </w:rPr>
        <w:t>Neep</w:t>
      </w:r>
      <w:r w:rsidR="002C1198" w:rsidRPr="00EA0274">
        <w:rPr>
          <w:rFonts w:ascii="Book Antiqua" w:hAnsi="Book Antiqua"/>
          <w:lang w:bidi="ar-MA"/>
        </w:rPr>
        <w:t>’s</w:t>
      </w:r>
      <w:proofErr w:type="spellEnd"/>
      <w:r w:rsidR="0090297F" w:rsidRPr="00EA0274">
        <w:rPr>
          <w:rFonts w:ascii="Book Antiqua" w:hAnsi="Book Antiqua"/>
          <w:lang w:bidi="ar-MA"/>
        </w:rPr>
        <w:t xml:space="preserve"> (2018)</w:t>
      </w:r>
      <w:r w:rsidR="00461256" w:rsidRPr="00EA0274">
        <w:rPr>
          <w:rFonts w:ascii="Book Antiqua" w:hAnsi="Book Antiqua"/>
          <w:lang w:bidi="ar-MA"/>
        </w:rPr>
        <w:t xml:space="preserve"> work on economic expertise </w:t>
      </w:r>
      <w:r w:rsidR="00912812" w:rsidRPr="00EA0274">
        <w:rPr>
          <w:rFonts w:ascii="Book Antiqua" w:hAnsi="Book Antiqua"/>
          <w:lang w:bidi="ar-MA"/>
        </w:rPr>
        <w:t xml:space="preserve">in </w:t>
      </w:r>
      <w:r w:rsidR="00B35932" w:rsidRPr="00EA0274">
        <w:rPr>
          <w:rFonts w:ascii="Book Antiqua" w:hAnsi="Book Antiqua"/>
          <w:lang w:bidi="ar-MA"/>
        </w:rPr>
        <w:t>post-independence Syria</w:t>
      </w:r>
      <w:r w:rsidR="00425C64" w:rsidRPr="00EA0274">
        <w:rPr>
          <w:rFonts w:ascii="Book Antiqua" w:hAnsi="Book Antiqua"/>
          <w:lang w:bidi="ar-MA"/>
        </w:rPr>
        <w:t xml:space="preserve"> shows the centrality of </w:t>
      </w:r>
      <w:r w:rsidR="009B2CF3" w:rsidRPr="00EA0274">
        <w:rPr>
          <w:rFonts w:ascii="Book Antiqua" w:hAnsi="Book Antiqua"/>
          <w:lang w:bidi="ar-MA"/>
        </w:rPr>
        <w:t xml:space="preserve">ideas and narratives in the emergence of </w:t>
      </w:r>
      <w:r w:rsidR="00695F39" w:rsidRPr="00EA0274">
        <w:rPr>
          <w:rFonts w:ascii="Book Antiqua" w:hAnsi="Book Antiqua"/>
          <w:lang w:bidi="ar-MA"/>
        </w:rPr>
        <w:t xml:space="preserve">a specific variety of economic </w:t>
      </w:r>
      <w:proofErr w:type="spellStart"/>
      <w:r w:rsidR="00695F39" w:rsidRPr="00EA0274">
        <w:rPr>
          <w:rFonts w:ascii="Book Antiqua" w:hAnsi="Book Antiqua"/>
          <w:lang w:bidi="ar-MA"/>
        </w:rPr>
        <w:t>statism</w:t>
      </w:r>
      <w:proofErr w:type="spellEnd"/>
      <w:r w:rsidR="00A36DBD" w:rsidRPr="00EA0274">
        <w:rPr>
          <w:rFonts w:ascii="Book Antiqua" w:hAnsi="Book Antiqua"/>
          <w:lang w:bidi="ar-MA"/>
        </w:rPr>
        <w:t xml:space="preserve">, </w:t>
      </w:r>
      <w:r w:rsidR="0068259E" w:rsidRPr="00EA0274">
        <w:rPr>
          <w:rFonts w:ascii="Book Antiqua" w:hAnsi="Book Antiqua"/>
          <w:lang w:bidi="ar-MA"/>
        </w:rPr>
        <w:t xml:space="preserve">far away from both the Latin American import-substitution model and the East Asian developmental state. </w:t>
      </w:r>
      <w:r w:rsidR="00C77012" w:rsidRPr="00EA0274">
        <w:rPr>
          <w:rFonts w:ascii="Book Antiqua" w:hAnsi="Book Antiqua"/>
          <w:lang w:bidi="ar-MA"/>
        </w:rPr>
        <w:t xml:space="preserve">In the process, Syria becomes a site </w:t>
      </w:r>
      <w:r w:rsidR="004402B3" w:rsidRPr="00EA0274">
        <w:rPr>
          <w:rFonts w:ascii="Book Antiqua" w:hAnsi="Book Antiqua"/>
          <w:lang w:bidi="ar-MA"/>
        </w:rPr>
        <w:t>for a more complex theorisation of the relationship between crisis, ideas, and institutional change.</w:t>
      </w:r>
      <w:r w:rsidR="005C56FD">
        <w:rPr>
          <w:rFonts w:ascii="Book Antiqua" w:hAnsi="Book Antiqua"/>
          <w:lang w:bidi="ar-MA"/>
        </w:rPr>
        <w:t xml:space="preserve"> </w:t>
      </w:r>
      <w:r w:rsidR="00BD43A3">
        <w:rPr>
          <w:rFonts w:ascii="Book Antiqua" w:hAnsi="Book Antiqua"/>
          <w:lang w:bidi="ar-MA"/>
        </w:rPr>
        <w:t xml:space="preserve">Also criss-crossing </w:t>
      </w:r>
      <w:r w:rsidR="00062BA2">
        <w:rPr>
          <w:rFonts w:ascii="Book Antiqua" w:hAnsi="Book Antiqua"/>
          <w:lang w:bidi="ar-MA"/>
        </w:rPr>
        <w:t>historical sociology, political economy, and IR</w:t>
      </w:r>
      <w:r w:rsidR="005C56FD">
        <w:rPr>
          <w:rFonts w:ascii="Book Antiqua" w:hAnsi="Book Antiqua"/>
          <w:lang w:bidi="ar-MA"/>
        </w:rPr>
        <w:t>, Hoffmann (2018</w:t>
      </w:r>
      <w:r w:rsidR="00A61B32">
        <w:rPr>
          <w:rFonts w:ascii="Book Antiqua" w:hAnsi="Book Antiqua"/>
          <w:lang w:bidi="ar-MA"/>
        </w:rPr>
        <w:t>: 94</w:t>
      </w:r>
      <w:r w:rsidR="005C56FD">
        <w:rPr>
          <w:rFonts w:ascii="Book Antiqua" w:hAnsi="Book Antiqua"/>
          <w:lang w:bidi="ar-MA"/>
        </w:rPr>
        <w:t xml:space="preserve">) makes </w:t>
      </w:r>
      <w:r w:rsidR="00062BA2">
        <w:rPr>
          <w:rFonts w:ascii="Book Antiqua" w:hAnsi="Book Antiqua"/>
          <w:lang w:bidi="ar-MA"/>
        </w:rPr>
        <w:t>a compelling</w:t>
      </w:r>
      <w:r w:rsidR="005C56FD">
        <w:rPr>
          <w:rFonts w:ascii="Book Antiqua" w:hAnsi="Book Antiqua"/>
          <w:lang w:bidi="ar-MA"/>
        </w:rPr>
        <w:t xml:space="preserve"> case for ‘re-</w:t>
      </w:r>
      <w:r w:rsidR="00A61B32">
        <w:rPr>
          <w:rFonts w:ascii="Book Antiqua" w:hAnsi="Book Antiqua"/>
          <w:lang w:bidi="ar-MA"/>
        </w:rPr>
        <w:t xml:space="preserve">socialising and </w:t>
      </w:r>
      <w:r w:rsidR="005C56FD">
        <w:rPr>
          <w:rFonts w:ascii="Book Antiqua" w:hAnsi="Book Antiqua"/>
          <w:lang w:bidi="ar-MA"/>
        </w:rPr>
        <w:t>historicising nature-society relations’ in the Middle East in a rejection of the orientalist assumption that</w:t>
      </w:r>
      <w:r w:rsidR="005C56FD" w:rsidRPr="005C56FD">
        <w:rPr>
          <w:rFonts w:ascii="Book Antiqua" w:hAnsi="Book Antiqua"/>
          <w:lang w:bidi="ar-MA"/>
        </w:rPr>
        <w:t xml:space="preserve"> </w:t>
      </w:r>
      <w:r w:rsidR="005C56FD">
        <w:rPr>
          <w:rFonts w:ascii="Book Antiqua" w:hAnsi="Book Antiqua"/>
          <w:lang w:bidi="ar-MA"/>
        </w:rPr>
        <w:t>scarce water and abundant oil are</w:t>
      </w:r>
      <w:r w:rsidR="005C56FD" w:rsidRPr="005C56FD">
        <w:rPr>
          <w:rFonts w:ascii="Book Antiqua" w:hAnsi="Book Antiqua"/>
          <w:lang w:bidi="ar-MA"/>
        </w:rPr>
        <w:t xml:space="preserve"> </w:t>
      </w:r>
      <w:r w:rsidR="005C56FD">
        <w:rPr>
          <w:rFonts w:ascii="Book Antiqua" w:hAnsi="Book Antiqua"/>
          <w:lang w:bidi="ar-MA"/>
        </w:rPr>
        <w:t>‘</w:t>
      </w:r>
      <w:r w:rsidR="005C56FD" w:rsidRPr="005C56FD">
        <w:rPr>
          <w:rFonts w:ascii="Book Antiqua" w:hAnsi="Book Antiqua"/>
          <w:lang w:bidi="ar-MA"/>
        </w:rPr>
        <w:t>mismanaged by societies and states overall incapable of negotiating modernity</w:t>
      </w:r>
      <w:r w:rsidR="005C56FD">
        <w:rPr>
          <w:rFonts w:ascii="Book Antiqua" w:hAnsi="Book Antiqua"/>
          <w:lang w:bidi="ar-MA"/>
        </w:rPr>
        <w:t>’.</w:t>
      </w:r>
      <w:r w:rsidR="00F6021E" w:rsidRPr="00EA0274">
        <w:rPr>
          <w:rFonts w:ascii="Book Antiqua" w:hAnsi="Book Antiqua"/>
          <w:lang w:bidi="ar-MA"/>
        </w:rPr>
        <w:t xml:space="preserve"> Snider’s contribution to </w:t>
      </w:r>
      <w:r w:rsidR="00BD1CEB">
        <w:rPr>
          <w:rFonts w:ascii="Book Antiqua" w:hAnsi="Book Antiqua"/>
          <w:lang w:bidi="ar-MA"/>
        </w:rPr>
        <w:t>our</w:t>
      </w:r>
      <w:r w:rsidR="00BD1CEB" w:rsidRPr="00EA0274">
        <w:rPr>
          <w:rFonts w:ascii="Book Antiqua" w:hAnsi="Book Antiqua"/>
          <w:lang w:bidi="ar-MA"/>
        </w:rPr>
        <w:t xml:space="preserve"> </w:t>
      </w:r>
      <w:r w:rsidR="00F6021E" w:rsidRPr="00EA0274">
        <w:rPr>
          <w:rFonts w:ascii="Book Antiqua" w:hAnsi="Book Antiqua"/>
          <w:lang w:bidi="ar-MA"/>
        </w:rPr>
        <w:t xml:space="preserve">special issue </w:t>
      </w:r>
      <w:r w:rsidR="005767EC" w:rsidRPr="00EA0274">
        <w:rPr>
          <w:rFonts w:ascii="Book Antiqua" w:hAnsi="Book Antiqua"/>
          <w:lang w:bidi="ar-MA"/>
        </w:rPr>
        <w:t>similarly provides a way of retheorising the IPE of aid by looking at the brief demo</w:t>
      </w:r>
      <w:r w:rsidR="000E6B99" w:rsidRPr="00EA0274">
        <w:rPr>
          <w:rFonts w:ascii="Book Antiqua" w:hAnsi="Book Antiqua"/>
          <w:lang w:bidi="ar-MA"/>
        </w:rPr>
        <w:t>cratic interregnum in Egypt following the 2011 uprisings.</w:t>
      </w:r>
    </w:p>
    <w:p w14:paraId="2BC920A6" w14:textId="0865628B" w:rsidR="00870A29" w:rsidRPr="00EA0274" w:rsidRDefault="00DA5A84" w:rsidP="00771F16">
      <w:pPr>
        <w:spacing w:after="0" w:line="360" w:lineRule="auto"/>
        <w:ind w:firstLine="567"/>
        <w:jc w:val="both"/>
        <w:rPr>
          <w:rFonts w:ascii="Book Antiqua" w:hAnsi="Book Antiqua"/>
        </w:rPr>
      </w:pPr>
      <w:r w:rsidRPr="00EA0274">
        <w:rPr>
          <w:rFonts w:ascii="Book Antiqua" w:hAnsi="Book Antiqua"/>
        </w:rPr>
        <w:t xml:space="preserve">Second, we also draw inspiration from the </w:t>
      </w:r>
      <w:r w:rsidR="00251AA1" w:rsidRPr="00EA0274">
        <w:rPr>
          <w:rFonts w:ascii="Book Antiqua" w:hAnsi="Book Antiqua"/>
        </w:rPr>
        <w:t>literature on logistics</w:t>
      </w:r>
      <w:r w:rsidR="00916AB6" w:rsidRPr="00EA0274">
        <w:rPr>
          <w:rFonts w:ascii="Book Antiqua" w:hAnsi="Book Antiqua"/>
        </w:rPr>
        <w:t xml:space="preserve"> in the Middle East. Insofar as it centres its analysis on flows and circulation across</w:t>
      </w:r>
      <w:r w:rsidR="00AF7D39" w:rsidRPr="00EA0274">
        <w:rPr>
          <w:rFonts w:ascii="Book Antiqua" w:hAnsi="Book Antiqua"/>
        </w:rPr>
        <w:t xml:space="preserve"> scales, this literature provides a formidable antidote against methodological nationalism</w:t>
      </w:r>
      <w:r w:rsidR="00503FE6" w:rsidRPr="00EA0274">
        <w:rPr>
          <w:rFonts w:ascii="Book Antiqua" w:hAnsi="Book Antiqua"/>
        </w:rPr>
        <w:t xml:space="preserve">. </w:t>
      </w:r>
      <w:r w:rsidR="00F10A82" w:rsidRPr="00EA0274">
        <w:rPr>
          <w:rFonts w:ascii="Book Antiqua" w:hAnsi="Book Antiqua"/>
        </w:rPr>
        <w:t xml:space="preserve">Crucially, </w:t>
      </w:r>
      <w:r w:rsidR="00281E90" w:rsidRPr="00EA0274">
        <w:rPr>
          <w:rFonts w:ascii="Book Antiqua" w:hAnsi="Book Antiqua"/>
        </w:rPr>
        <w:t>the focus on ‘networked infrastructures, trade corridors, gateways and logistics hubs’ (Ziadah 2018</w:t>
      </w:r>
      <w:r w:rsidR="00DB6AF8" w:rsidRPr="00EA0274">
        <w:rPr>
          <w:rFonts w:ascii="Book Antiqua" w:hAnsi="Book Antiqua"/>
        </w:rPr>
        <w:t>a</w:t>
      </w:r>
      <w:r w:rsidR="00281E90" w:rsidRPr="00EA0274">
        <w:rPr>
          <w:rFonts w:ascii="Book Antiqua" w:hAnsi="Book Antiqua"/>
        </w:rPr>
        <w:t xml:space="preserve">: 669) </w:t>
      </w:r>
      <w:r w:rsidR="004451E7" w:rsidRPr="00EA0274">
        <w:rPr>
          <w:rFonts w:ascii="Book Antiqua" w:hAnsi="Book Antiqua"/>
        </w:rPr>
        <w:t>avoids a flattening of space, highlighting spatial fragmentation</w:t>
      </w:r>
      <w:r w:rsidR="005D407C" w:rsidRPr="00EA0274">
        <w:rPr>
          <w:rFonts w:ascii="Book Antiqua" w:hAnsi="Book Antiqua"/>
        </w:rPr>
        <w:t xml:space="preserve"> </w:t>
      </w:r>
      <w:r w:rsidR="00280B2D" w:rsidRPr="00EA0274">
        <w:rPr>
          <w:rFonts w:ascii="Book Antiqua" w:hAnsi="Book Antiqua"/>
        </w:rPr>
        <w:t xml:space="preserve">and hence </w:t>
      </w:r>
      <w:r w:rsidR="00DB68BA" w:rsidRPr="00EA0274">
        <w:rPr>
          <w:rFonts w:ascii="Book Antiqua" w:hAnsi="Book Antiqua"/>
        </w:rPr>
        <w:t xml:space="preserve">the co-existence and indeed co-implication of </w:t>
      </w:r>
      <w:r w:rsidR="00A22BE7" w:rsidRPr="00EA0274">
        <w:rPr>
          <w:rFonts w:ascii="Book Antiqua" w:hAnsi="Book Antiqua"/>
        </w:rPr>
        <w:t>corridors and borders (Manchanda &amp; Plonski 2022</w:t>
      </w:r>
      <w:r w:rsidR="00D12194" w:rsidRPr="00EA0274">
        <w:rPr>
          <w:rFonts w:ascii="Book Antiqua" w:hAnsi="Book Antiqua"/>
        </w:rPr>
        <w:t>; Plonski 2022</w:t>
      </w:r>
      <w:r w:rsidR="00A22BE7" w:rsidRPr="00EA0274">
        <w:rPr>
          <w:rFonts w:ascii="Book Antiqua" w:hAnsi="Book Antiqua"/>
        </w:rPr>
        <w:t>)</w:t>
      </w:r>
      <w:r w:rsidR="00333B00" w:rsidRPr="00EA0274">
        <w:rPr>
          <w:rFonts w:ascii="Book Antiqua" w:hAnsi="Book Antiqua"/>
        </w:rPr>
        <w:t xml:space="preserve">, and how </w:t>
      </w:r>
      <w:proofErr w:type="gramStart"/>
      <w:r w:rsidR="00333B00" w:rsidRPr="00EA0274">
        <w:rPr>
          <w:rFonts w:ascii="Book Antiqua" w:hAnsi="Book Antiqua"/>
        </w:rPr>
        <w:t>this shapes</w:t>
      </w:r>
      <w:proofErr w:type="gramEnd"/>
      <w:r w:rsidR="00333B00" w:rsidRPr="00EA0274">
        <w:rPr>
          <w:rFonts w:ascii="Book Antiqua" w:hAnsi="Book Antiqua"/>
        </w:rPr>
        <w:t xml:space="preserve"> the </w:t>
      </w:r>
      <w:r w:rsidR="00475C98" w:rsidRPr="00EA0274">
        <w:rPr>
          <w:rFonts w:ascii="Book Antiqua" w:hAnsi="Book Antiqua"/>
        </w:rPr>
        <w:t xml:space="preserve">resulting dynamics of social struggle. </w:t>
      </w:r>
      <w:r w:rsidR="008868AC" w:rsidRPr="00EA0274">
        <w:rPr>
          <w:rFonts w:ascii="Book Antiqua" w:hAnsi="Book Antiqua"/>
        </w:rPr>
        <w:t xml:space="preserve">Work in this tradition </w:t>
      </w:r>
      <w:r w:rsidR="004F1CAC" w:rsidRPr="00EA0274">
        <w:rPr>
          <w:rFonts w:ascii="Book Antiqua" w:hAnsi="Book Antiqua"/>
        </w:rPr>
        <w:t>has focused on as varied themes as</w:t>
      </w:r>
      <w:r w:rsidR="006701C5" w:rsidRPr="00EA0274">
        <w:rPr>
          <w:rFonts w:ascii="Book Antiqua" w:hAnsi="Book Antiqua"/>
        </w:rPr>
        <w:t xml:space="preserve"> the proliferation of ports and logistics hubs in the region (Ziadah </w:t>
      </w:r>
      <w:r w:rsidR="005A6B51" w:rsidRPr="00EA0274">
        <w:rPr>
          <w:rFonts w:ascii="Book Antiqua" w:hAnsi="Book Antiqua"/>
        </w:rPr>
        <w:t>2018</w:t>
      </w:r>
      <w:r w:rsidR="00DB6AF8" w:rsidRPr="00EA0274">
        <w:rPr>
          <w:rFonts w:ascii="Book Antiqua" w:hAnsi="Book Antiqua"/>
        </w:rPr>
        <w:t xml:space="preserve">b; Plonski 2022), </w:t>
      </w:r>
      <w:r w:rsidR="00183B47" w:rsidRPr="00EA0274">
        <w:rPr>
          <w:rFonts w:ascii="Book Antiqua" w:hAnsi="Book Antiqua"/>
        </w:rPr>
        <w:t xml:space="preserve">the aid-trade-war relation and how it coheres in the field of ‘humanitarian logistics’ with specific reference to </w:t>
      </w:r>
      <w:r w:rsidR="00A357D5" w:rsidRPr="00EA0274">
        <w:rPr>
          <w:rFonts w:ascii="Book Antiqua" w:hAnsi="Book Antiqua"/>
        </w:rPr>
        <w:t>the UAE</w:t>
      </w:r>
      <w:r w:rsidR="00183B47" w:rsidRPr="00EA0274">
        <w:rPr>
          <w:rFonts w:ascii="Book Antiqua" w:hAnsi="Book Antiqua"/>
        </w:rPr>
        <w:t xml:space="preserve"> (Ziadah 2019)</w:t>
      </w:r>
      <w:r w:rsidR="00E22C83" w:rsidRPr="00EA0274">
        <w:rPr>
          <w:rFonts w:ascii="Book Antiqua" w:hAnsi="Book Antiqua"/>
        </w:rPr>
        <w:t xml:space="preserve">, </w:t>
      </w:r>
      <w:r w:rsidR="00B92799" w:rsidRPr="00EA0274">
        <w:rPr>
          <w:rFonts w:ascii="Book Antiqua" w:hAnsi="Book Antiqua"/>
        </w:rPr>
        <w:t>the emergence of transnational education zones in the Arab Gulf (</w:t>
      </w:r>
      <w:proofErr w:type="spellStart"/>
      <w:r w:rsidR="004D39A8" w:rsidRPr="00EA0274">
        <w:rPr>
          <w:rFonts w:ascii="Book Antiqua" w:hAnsi="Book Antiqua"/>
        </w:rPr>
        <w:t>Rottleb</w:t>
      </w:r>
      <w:proofErr w:type="spellEnd"/>
      <w:r w:rsidR="004D39A8" w:rsidRPr="00EA0274">
        <w:rPr>
          <w:rFonts w:ascii="Book Antiqua" w:hAnsi="Book Antiqua"/>
        </w:rPr>
        <w:t xml:space="preserve"> &amp; </w:t>
      </w:r>
      <w:proofErr w:type="spellStart"/>
      <w:r w:rsidR="004D39A8" w:rsidRPr="00EA0274">
        <w:rPr>
          <w:rFonts w:ascii="Book Antiqua" w:hAnsi="Book Antiqua"/>
        </w:rPr>
        <w:t>Kleibert</w:t>
      </w:r>
      <w:proofErr w:type="spellEnd"/>
      <w:r w:rsidR="004D39A8" w:rsidRPr="00EA0274">
        <w:rPr>
          <w:rFonts w:ascii="Book Antiqua" w:hAnsi="Book Antiqua"/>
        </w:rPr>
        <w:t xml:space="preserve"> 2022)</w:t>
      </w:r>
      <w:r w:rsidR="00E22C83" w:rsidRPr="00EA0274">
        <w:rPr>
          <w:rFonts w:ascii="Book Antiqua" w:hAnsi="Book Antiqua"/>
        </w:rPr>
        <w:t>, and the logistics of food regimes in the region (Henderson &amp; Ziadah 2022).</w:t>
      </w:r>
      <w:r w:rsidR="004F1CAC" w:rsidRPr="00EA0274">
        <w:rPr>
          <w:rFonts w:ascii="Book Antiqua" w:hAnsi="Book Antiqua"/>
        </w:rPr>
        <w:t xml:space="preserve"> </w:t>
      </w:r>
      <w:r w:rsidR="00475C98" w:rsidRPr="00EA0274">
        <w:rPr>
          <w:rFonts w:ascii="Book Antiqua" w:hAnsi="Book Antiqua"/>
        </w:rPr>
        <w:t xml:space="preserve">Additionally, this literature provides </w:t>
      </w:r>
      <w:r w:rsidR="002424B4" w:rsidRPr="00EA0274">
        <w:rPr>
          <w:rFonts w:ascii="Book Antiqua" w:hAnsi="Book Antiqua"/>
        </w:rPr>
        <w:t xml:space="preserve">an ally for many contributions to this special issue because of its commitment to tearing down conceptual dichotomies often used to make sense of the Middle East in the global political economy, including for instance </w:t>
      </w:r>
      <w:r w:rsidR="00050049" w:rsidRPr="00EA0274">
        <w:rPr>
          <w:rFonts w:ascii="Book Antiqua" w:hAnsi="Book Antiqua"/>
        </w:rPr>
        <w:t>distinctions around ‘public/private, state/corporations, domestic/foreign or civilian/military’ (Khalili 2018: 913).</w:t>
      </w:r>
      <w:r w:rsidR="00EE536A" w:rsidRPr="00EA0274">
        <w:rPr>
          <w:rFonts w:ascii="Book Antiqua" w:hAnsi="Book Antiqua"/>
        </w:rPr>
        <w:t xml:space="preserve"> </w:t>
      </w:r>
      <w:r w:rsidR="00771F16" w:rsidRPr="00EA0274">
        <w:rPr>
          <w:rFonts w:ascii="Book Antiqua" w:hAnsi="Book Antiqua"/>
        </w:rPr>
        <w:t>This is for instance</w:t>
      </w:r>
      <w:r w:rsidR="00EE536A" w:rsidRPr="00EA0274">
        <w:rPr>
          <w:rFonts w:ascii="Book Antiqua" w:hAnsi="Book Antiqua"/>
        </w:rPr>
        <w:t xml:space="preserve"> especially visible in </w:t>
      </w:r>
      <w:r w:rsidR="00587E89" w:rsidRPr="00EA0274">
        <w:rPr>
          <w:rFonts w:ascii="Book Antiqua" w:hAnsi="Book Antiqua"/>
        </w:rPr>
        <w:t xml:space="preserve">Christian </w:t>
      </w:r>
      <w:r w:rsidR="00EE536A" w:rsidRPr="00EA0274">
        <w:rPr>
          <w:rFonts w:ascii="Book Antiqua" w:hAnsi="Book Antiqua"/>
        </w:rPr>
        <w:t xml:space="preserve">Henderson’s </w:t>
      </w:r>
      <w:r w:rsidR="00587E89" w:rsidRPr="00EA0274">
        <w:rPr>
          <w:rFonts w:ascii="Book Antiqua" w:hAnsi="Book Antiqua"/>
        </w:rPr>
        <w:t>contribution</w:t>
      </w:r>
      <w:r w:rsidR="000112D5" w:rsidRPr="00EA0274">
        <w:rPr>
          <w:rFonts w:ascii="Book Antiqua" w:hAnsi="Book Antiqua"/>
        </w:rPr>
        <w:t xml:space="preserve"> on</w:t>
      </w:r>
      <w:r w:rsidR="00F422D2" w:rsidRPr="00EA0274">
        <w:rPr>
          <w:rFonts w:ascii="Book Antiqua" w:hAnsi="Book Antiqua"/>
        </w:rPr>
        <w:t xml:space="preserve"> </w:t>
      </w:r>
      <w:r w:rsidR="007024AC" w:rsidRPr="00EA0274">
        <w:rPr>
          <w:rFonts w:ascii="Book Antiqua" w:hAnsi="Book Antiqua"/>
        </w:rPr>
        <w:t>how state and private sector</w:t>
      </w:r>
      <w:r w:rsidR="003663E5" w:rsidRPr="00EA0274">
        <w:rPr>
          <w:rFonts w:ascii="Book Antiqua" w:hAnsi="Book Antiqua"/>
        </w:rPr>
        <w:t xml:space="preserve"> jointly construct </w:t>
      </w:r>
      <w:r w:rsidR="00E349A6" w:rsidRPr="00EA0274">
        <w:rPr>
          <w:rFonts w:ascii="Book Antiqua" w:hAnsi="Book Antiqua"/>
        </w:rPr>
        <w:t xml:space="preserve">the governmentality of food security discourse in the Gulf Cooperation Council (GCC) monarchies </w:t>
      </w:r>
      <w:r w:rsidR="00772F7F" w:rsidRPr="00EA0274">
        <w:rPr>
          <w:rFonts w:ascii="Book Antiqua" w:hAnsi="Book Antiqua"/>
        </w:rPr>
        <w:t>of Bahrain, Kuwait, Oman, Qatar, Saudi Arabia, and the United Arab Emirates (UAE).</w:t>
      </w:r>
      <w:r w:rsidR="007024AC" w:rsidRPr="00EA0274">
        <w:rPr>
          <w:rFonts w:ascii="Book Antiqua" w:hAnsi="Book Antiqua"/>
        </w:rPr>
        <w:t xml:space="preserve"> </w:t>
      </w:r>
      <w:r w:rsidR="00771F16" w:rsidRPr="00EA0274">
        <w:rPr>
          <w:rFonts w:ascii="Book Antiqua" w:hAnsi="Book Antiqua"/>
        </w:rPr>
        <w:t xml:space="preserve">Ali Kassem’s </w:t>
      </w:r>
      <w:r w:rsidR="00876CFD" w:rsidRPr="00EA0274">
        <w:rPr>
          <w:rFonts w:ascii="Book Antiqua" w:hAnsi="Book Antiqua"/>
        </w:rPr>
        <w:t>analysis</w:t>
      </w:r>
      <w:r w:rsidR="00B01385" w:rsidRPr="00EA0274">
        <w:rPr>
          <w:rFonts w:ascii="Book Antiqua" w:hAnsi="Book Antiqua"/>
        </w:rPr>
        <w:t xml:space="preserve"> of the perceived erasure and exclusion</w:t>
      </w:r>
      <w:r w:rsidR="00B91494" w:rsidRPr="00EA0274">
        <w:rPr>
          <w:rFonts w:ascii="Book Antiqua" w:hAnsi="Book Antiqua"/>
        </w:rPr>
        <w:t xml:space="preserve"> of visibly Muslim women from the Lebanese banking sector similarly shows </w:t>
      </w:r>
      <w:r w:rsidR="00CC3E85" w:rsidRPr="00EA0274">
        <w:rPr>
          <w:rFonts w:ascii="Book Antiqua" w:hAnsi="Book Antiqua"/>
        </w:rPr>
        <w:t xml:space="preserve">the co-imbrication of state and private </w:t>
      </w:r>
      <w:r w:rsidR="00CC3E85" w:rsidRPr="00EA0274">
        <w:rPr>
          <w:rFonts w:ascii="Book Antiqua" w:hAnsi="Book Antiqua"/>
        </w:rPr>
        <w:lastRenderedPageBreak/>
        <w:t xml:space="preserve">sector in establishing and enforcing </w:t>
      </w:r>
      <w:r w:rsidR="00893DC9" w:rsidRPr="00EA0274">
        <w:rPr>
          <w:rFonts w:ascii="Book Antiqua" w:hAnsi="Book Antiqua"/>
        </w:rPr>
        <w:t>the Lebanese project of Eurocentric modernity.</w:t>
      </w:r>
      <w:r w:rsidR="00B01385" w:rsidRPr="00EA0274">
        <w:rPr>
          <w:rFonts w:ascii="Book Antiqua" w:hAnsi="Book Antiqua"/>
        </w:rPr>
        <w:t xml:space="preserve"> </w:t>
      </w:r>
      <w:r w:rsidR="00435174" w:rsidRPr="00EA0274">
        <w:rPr>
          <w:rFonts w:ascii="Book Antiqua" w:hAnsi="Book Antiqua"/>
        </w:rPr>
        <w:t xml:space="preserve">Not dissimilarly, in her examination of the commercial activities of intelligence agencies, Sophia Hoffmann </w:t>
      </w:r>
      <w:r w:rsidR="00C473B5" w:rsidRPr="00EA0274">
        <w:rPr>
          <w:rFonts w:ascii="Book Antiqua" w:hAnsi="Book Antiqua"/>
        </w:rPr>
        <w:t>contests the security-econom</w:t>
      </w:r>
      <w:r w:rsidR="00251C05" w:rsidRPr="00EA0274">
        <w:rPr>
          <w:rFonts w:ascii="Book Antiqua" w:hAnsi="Book Antiqua"/>
        </w:rPr>
        <w:t>y</w:t>
      </w:r>
      <w:r w:rsidR="00C473B5" w:rsidRPr="00EA0274">
        <w:rPr>
          <w:rFonts w:ascii="Book Antiqua" w:hAnsi="Book Antiqua"/>
        </w:rPr>
        <w:t xml:space="preserve"> distinction, one of the most common devices </w:t>
      </w:r>
      <w:r w:rsidR="00B41622" w:rsidRPr="00EA0274">
        <w:rPr>
          <w:rFonts w:ascii="Book Antiqua" w:hAnsi="Book Antiqua"/>
        </w:rPr>
        <w:t xml:space="preserve">for the division of academic labour in the broad field of IR. </w:t>
      </w:r>
    </w:p>
    <w:p w14:paraId="3B9C0EB1" w14:textId="3E792D5D" w:rsidR="005645F0" w:rsidRPr="00EA0274" w:rsidRDefault="002C1198" w:rsidP="002D136A">
      <w:pPr>
        <w:spacing w:after="0" w:line="360" w:lineRule="auto"/>
        <w:ind w:firstLine="567"/>
        <w:jc w:val="both"/>
        <w:rPr>
          <w:rFonts w:ascii="Book Antiqua" w:hAnsi="Book Antiqua"/>
        </w:rPr>
      </w:pPr>
      <w:r w:rsidRPr="00EA0274">
        <w:rPr>
          <w:rFonts w:ascii="Book Antiqua" w:hAnsi="Book Antiqua"/>
        </w:rPr>
        <w:t>Thirdly</w:t>
      </w:r>
      <w:r w:rsidR="00EF4FDF" w:rsidRPr="00EA0274">
        <w:rPr>
          <w:rFonts w:ascii="Book Antiqua" w:hAnsi="Book Antiqua"/>
        </w:rPr>
        <w:t xml:space="preserve">, and perhaps more visibly, </w:t>
      </w:r>
      <w:r w:rsidR="00564845" w:rsidRPr="00EA0274">
        <w:rPr>
          <w:rFonts w:ascii="Book Antiqua" w:hAnsi="Book Antiqua"/>
        </w:rPr>
        <w:t xml:space="preserve">we cannot but be inspired by Adam </w:t>
      </w:r>
      <w:proofErr w:type="spellStart"/>
      <w:r w:rsidR="00564845" w:rsidRPr="00EA0274">
        <w:rPr>
          <w:rFonts w:ascii="Book Antiqua" w:hAnsi="Book Antiqua"/>
        </w:rPr>
        <w:t>Hanieh’s</w:t>
      </w:r>
      <w:proofErr w:type="spellEnd"/>
      <w:r w:rsidR="004C54AF" w:rsidRPr="00EA0274">
        <w:rPr>
          <w:rFonts w:ascii="Book Antiqua" w:hAnsi="Book Antiqua"/>
        </w:rPr>
        <w:t xml:space="preserve"> </w:t>
      </w:r>
      <w:r w:rsidR="00264BD9" w:rsidRPr="00EA0274">
        <w:rPr>
          <w:rFonts w:ascii="Book Antiqua" w:hAnsi="Book Antiqua"/>
        </w:rPr>
        <w:t xml:space="preserve">research agenda on the Gulf as a maker of the transformations of global and regional capitalism. </w:t>
      </w:r>
      <w:r w:rsidR="007510D2" w:rsidRPr="00EA0274">
        <w:rPr>
          <w:rFonts w:ascii="Book Antiqua" w:hAnsi="Book Antiqua"/>
        </w:rPr>
        <w:t>This has resulted in publications on</w:t>
      </w:r>
      <w:r w:rsidR="003B06C5" w:rsidRPr="00EA0274">
        <w:rPr>
          <w:rFonts w:ascii="Book Antiqua" w:hAnsi="Book Antiqua"/>
        </w:rPr>
        <w:t>, inter alia,</w:t>
      </w:r>
      <w:r w:rsidR="007510D2" w:rsidRPr="00EA0274">
        <w:rPr>
          <w:rFonts w:ascii="Book Antiqua" w:hAnsi="Book Antiqua"/>
        </w:rPr>
        <w:t xml:space="preserve"> </w:t>
      </w:r>
      <w:r w:rsidR="00151B12" w:rsidRPr="00EA0274">
        <w:rPr>
          <w:rFonts w:ascii="Book Antiqua" w:hAnsi="Book Antiqua"/>
        </w:rPr>
        <w:t>the dynamics of class formation and attendant social struggles in the Gulf and the broader Middle East (Hanieh 2011, 2013)</w:t>
      </w:r>
      <w:r w:rsidR="00AA1478" w:rsidRPr="00EA0274">
        <w:rPr>
          <w:rFonts w:ascii="Book Antiqua" w:hAnsi="Book Antiqua"/>
        </w:rPr>
        <w:t xml:space="preserve">, but </w:t>
      </w:r>
      <w:r w:rsidR="003C268A" w:rsidRPr="00EA0274">
        <w:rPr>
          <w:rFonts w:ascii="Book Antiqua" w:hAnsi="Book Antiqua"/>
        </w:rPr>
        <w:t xml:space="preserve">has </w:t>
      </w:r>
      <w:r w:rsidR="00AA1478" w:rsidRPr="00EA0274">
        <w:rPr>
          <w:rFonts w:ascii="Book Antiqua" w:hAnsi="Book Antiqua"/>
        </w:rPr>
        <w:t xml:space="preserve">more recently also </w:t>
      </w:r>
      <w:r w:rsidR="00A72AAD" w:rsidRPr="00EA0274">
        <w:rPr>
          <w:rFonts w:ascii="Book Antiqua" w:hAnsi="Book Antiqua"/>
        </w:rPr>
        <w:t xml:space="preserve">detailed </w:t>
      </w:r>
      <w:r w:rsidR="00FB3333" w:rsidRPr="00EA0274">
        <w:rPr>
          <w:rFonts w:ascii="Book Antiqua" w:hAnsi="Book Antiqua"/>
        </w:rPr>
        <w:t>the avenues through which Gulf capital has taken a</w:t>
      </w:r>
      <w:r w:rsidR="00077E4C" w:rsidRPr="00EA0274">
        <w:rPr>
          <w:rFonts w:ascii="Book Antiqua" w:hAnsi="Book Antiqua"/>
        </w:rPr>
        <w:t xml:space="preserve"> </w:t>
      </w:r>
      <w:r w:rsidR="00FB3333" w:rsidRPr="00EA0274">
        <w:rPr>
          <w:rFonts w:ascii="Book Antiqua" w:hAnsi="Book Antiqua"/>
        </w:rPr>
        <w:t>prominent role on the global scale, most notably through petrodollars and investments from its sovereign wealth funds</w:t>
      </w:r>
      <w:r w:rsidR="00A91DC1" w:rsidRPr="00EA0274">
        <w:rPr>
          <w:rFonts w:ascii="Book Antiqua" w:hAnsi="Book Antiqua"/>
        </w:rPr>
        <w:t xml:space="preserve"> (Hanieh 20</w:t>
      </w:r>
      <w:r w:rsidR="009E6336" w:rsidRPr="00EA0274">
        <w:rPr>
          <w:rFonts w:ascii="Book Antiqua" w:hAnsi="Book Antiqua"/>
        </w:rPr>
        <w:t>18)</w:t>
      </w:r>
      <w:r w:rsidR="00A91DC1" w:rsidRPr="00EA0274">
        <w:rPr>
          <w:rFonts w:ascii="Book Antiqua" w:hAnsi="Book Antiqua"/>
        </w:rPr>
        <w:t>.</w:t>
      </w:r>
      <w:r w:rsidR="00077E4C" w:rsidRPr="00EA0274">
        <w:rPr>
          <w:rFonts w:ascii="Book Antiqua" w:hAnsi="Book Antiqua"/>
        </w:rPr>
        <w:t xml:space="preserve"> </w:t>
      </w:r>
      <w:r w:rsidR="0018399A" w:rsidRPr="00EA0274">
        <w:rPr>
          <w:rFonts w:ascii="Book Antiqua" w:hAnsi="Book Antiqua"/>
        </w:rPr>
        <w:t xml:space="preserve">These transformations, </w:t>
      </w:r>
      <w:r w:rsidR="000E74C3" w:rsidRPr="00EA0274">
        <w:rPr>
          <w:rFonts w:ascii="Book Antiqua" w:hAnsi="Book Antiqua"/>
        </w:rPr>
        <w:t xml:space="preserve">Hanieh argues, demand </w:t>
      </w:r>
      <w:r w:rsidR="00727A5E" w:rsidRPr="00EA0274">
        <w:rPr>
          <w:rFonts w:ascii="Book Antiqua" w:hAnsi="Book Antiqua"/>
        </w:rPr>
        <w:t>an emphasis ‘on processes, practices, and interconnections, rather than on the supposedly bounded, pregiven and discrete spatial units through which we are accustomed to view</w:t>
      </w:r>
      <w:r w:rsidR="003D7C9B" w:rsidRPr="00EA0274">
        <w:rPr>
          <w:rFonts w:ascii="Book Antiqua" w:hAnsi="Book Antiqua"/>
        </w:rPr>
        <w:t>ing</w:t>
      </w:r>
      <w:r w:rsidR="00727A5E" w:rsidRPr="00EA0274">
        <w:rPr>
          <w:rFonts w:ascii="Book Antiqua" w:hAnsi="Book Antiqua"/>
        </w:rPr>
        <w:t xml:space="preserve"> the world’ (Hanieh 2018: </w:t>
      </w:r>
      <w:r w:rsidR="003D7C9B" w:rsidRPr="00EA0274">
        <w:rPr>
          <w:rFonts w:ascii="Book Antiqua" w:hAnsi="Book Antiqua"/>
        </w:rPr>
        <w:t xml:space="preserve">18). </w:t>
      </w:r>
      <w:r w:rsidR="001A5B6B" w:rsidRPr="00EA0274">
        <w:rPr>
          <w:rFonts w:ascii="Book Antiqua" w:hAnsi="Book Antiqua"/>
        </w:rPr>
        <w:t xml:space="preserve">In his examination of class formation and transformation in </w:t>
      </w:r>
      <w:r w:rsidR="00A20B7D" w:rsidRPr="00EA0274">
        <w:rPr>
          <w:rFonts w:ascii="Book Antiqua" w:hAnsi="Book Antiqua"/>
        </w:rPr>
        <w:t xml:space="preserve">Iran in the era of neoliberal restructuring, Kayhan Valadbaygi </w:t>
      </w:r>
      <w:r w:rsidR="003C268A" w:rsidRPr="00EA0274">
        <w:rPr>
          <w:rFonts w:ascii="Book Antiqua" w:hAnsi="Book Antiqua"/>
        </w:rPr>
        <w:t xml:space="preserve">in this special issue </w:t>
      </w:r>
      <w:r w:rsidR="00A20B7D" w:rsidRPr="00EA0274">
        <w:rPr>
          <w:rFonts w:ascii="Book Antiqua" w:hAnsi="Book Antiqua"/>
        </w:rPr>
        <w:t xml:space="preserve">is </w:t>
      </w:r>
      <w:r w:rsidR="0080705D" w:rsidRPr="00EA0274">
        <w:rPr>
          <w:rFonts w:ascii="Book Antiqua" w:hAnsi="Book Antiqua"/>
        </w:rPr>
        <w:t xml:space="preserve">undoubtedly influenced by this </w:t>
      </w:r>
      <w:r w:rsidR="00B36D95" w:rsidRPr="00EA0274">
        <w:rPr>
          <w:rFonts w:ascii="Book Antiqua" w:hAnsi="Book Antiqua"/>
        </w:rPr>
        <w:t>perspective</w:t>
      </w:r>
      <w:r w:rsidR="0080705D" w:rsidRPr="00EA0274">
        <w:rPr>
          <w:rFonts w:ascii="Book Antiqua" w:hAnsi="Book Antiqua"/>
        </w:rPr>
        <w:t xml:space="preserve">. </w:t>
      </w:r>
    </w:p>
    <w:p w14:paraId="723C91EE" w14:textId="2EF1226F" w:rsidR="004C79FA" w:rsidRPr="00EA0274" w:rsidRDefault="00F64055" w:rsidP="00172982">
      <w:pPr>
        <w:spacing w:after="0" w:line="360" w:lineRule="auto"/>
        <w:ind w:firstLine="567"/>
        <w:jc w:val="both"/>
        <w:rPr>
          <w:rFonts w:ascii="Book Antiqua" w:hAnsi="Book Antiqua"/>
        </w:rPr>
      </w:pPr>
      <w:r w:rsidRPr="00EA0274">
        <w:rPr>
          <w:rFonts w:ascii="Book Antiqua" w:hAnsi="Book Antiqua"/>
        </w:rPr>
        <w:t xml:space="preserve">If these three bodies of literature have opened up new ways of </w:t>
      </w:r>
      <w:r w:rsidR="00E379C8" w:rsidRPr="00EA0274">
        <w:rPr>
          <w:rFonts w:ascii="Book Antiqua" w:hAnsi="Book Antiqua"/>
        </w:rPr>
        <w:t xml:space="preserve">researching the Middle East in the global political economy, </w:t>
      </w:r>
      <w:r w:rsidR="002C1198" w:rsidRPr="00EA0274">
        <w:rPr>
          <w:rFonts w:ascii="Book Antiqua" w:hAnsi="Book Antiqua"/>
        </w:rPr>
        <w:t xml:space="preserve">then the final one – </w:t>
      </w:r>
      <w:r w:rsidR="00DE6D94" w:rsidRPr="00EA0274">
        <w:rPr>
          <w:rFonts w:ascii="Book Antiqua" w:hAnsi="Book Antiqua"/>
        </w:rPr>
        <w:t xml:space="preserve">ethnographic </w:t>
      </w:r>
      <w:r w:rsidR="00967B0C" w:rsidRPr="00EA0274">
        <w:rPr>
          <w:rFonts w:ascii="Book Antiqua" w:hAnsi="Book Antiqua"/>
        </w:rPr>
        <w:t xml:space="preserve">scholarship </w:t>
      </w:r>
      <w:r w:rsidR="002C1198" w:rsidRPr="00EA0274">
        <w:rPr>
          <w:rFonts w:ascii="Book Antiqua" w:hAnsi="Book Antiqua"/>
        </w:rPr>
        <w:t xml:space="preserve">– </w:t>
      </w:r>
      <w:r w:rsidR="00967B0C" w:rsidRPr="00EA0274">
        <w:rPr>
          <w:rFonts w:ascii="Book Antiqua" w:hAnsi="Book Antiqua"/>
        </w:rPr>
        <w:t xml:space="preserve">has provided us with a different way of approaching states in the Middle East. </w:t>
      </w:r>
      <w:r w:rsidR="00EC2F47" w:rsidRPr="00EA0274">
        <w:rPr>
          <w:rFonts w:ascii="Book Antiqua" w:hAnsi="Book Antiqua"/>
        </w:rPr>
        <w:t xml:space="preserve">Some works within this tradition have also </w:t>
      </w:r>
      <w:r w:rsidR="008D4DC7" w:rsidRPr="00EA0274">
        <w:rPr>
          <w:rFonts w:ascii="Book Antiqua" w:hAnsi="Book Antiqua"/>
        </w:rPr>
        <w:t xml:space="preserve">shed light on the political economy of specific processes, mentioning but rarely focusing directly on international </w:t>
      </w:r>
      <w:r w:rsidR="00BA320B" w:rsidRPr="00EA0274">
        <w:rPr>
          <w:rFonts w:ascii="Book Antiqua" w:hAnsi="Book Antiqua"/>
        </w:rPr>
        <w:t>actors and factors. For instance,</w:t>
      </w:r>
      <w:r w:rsidR="004F2D31" w:rsidRPr="00EA0274">
        <w:rPr>
          <w:rFonts w:ascii="Book Antiqua" w:hAnsi="Book Antiqua"/>
        </w:rPr>
        <w:t xml:space="preserve"> from the Cairo neighbourhood of el-</w:t>
      </w:r>
      <w:proofErr w:type="spellStart"/>
      <w:r w:rsidR="004F2D31" w:rsidRPr="00EA0274">
        <w:rPr>
          <w:rFonts w:ascii="Book Antiqua" w:hAnsi="Book Antiqua"/>
        </w:rPr>
        <w:t>Hirafiy</w:t>
      </w:r>
      <w:r w:rsidR="00990906" w:rsidRPr="00EA0274">
        <w:rPr>
          <w:rFonts w:ascii="Book Antiqua" w:hAnsi="Book Antiqua"/>
        </w:rPr>
        <w:t>een</w:t>
      </w:r>
      <w:proofErr w:type="spellEnd"/>
      <w:r w:rsidR="00990906" w:rsidRPr="00EA0274">
        <w:rPr>
          <w:rFonts w:ascii="Book Antiqua" w:hAnsi="Book Antiqua"/>
        </w:rPr>
        <w:t>,</w:t>
      </w:r>
      <w:r w:rsidR="00BA320B" w:rsidRPr="00EA0274">
        <w:rPr>
          <w:rFonts w:ascii="Book Antiqua" w:hAnsi="Book Antiqua"/>
        </w:rPr>
        <w:t xml:space="preserve"> Julia </w:t>
      </w:r>
      <w:proofErr w:type="spellStart"/>
      <w:r w:rsidR="00BA320B" w:rsidRPr="00EA0274">
        <w:rPr>
          <w:rFonts w:ascii="Book Antiqua" w:hAnsi="Book Antiqua"/>
        </w:rPr>
        <w:t>Elyachar</w:t>
      </w:r>
      <w:proofErr w:type="spellEnd"/>
      <w:r w:rsidR="00F851DD" w:rsidRPr="00EA0274">
        <w:rPr>
          <w:rFonts w:ascii="Book Antiqua" w:hAnsi="Book Antiqua"/>
        </w:rPr>
        <w:t xml:space="preserve"> (200</w:t>
      </w:r>
      <w:r w:rsidR="00A91960" w:rsidRPr="00EA0274">
        <w:rPr>
          <w:rFonts w:ascii="Book Antiqua" w:hAnsi="Book Antiqua"/>
        </w:rPr>
        <w:t>5</w:t>
      </w:r>
      <w:r w:rsidR="00F851DD" w:rsidRPr="00EA0274">
        <w:rPr>
          <w:rFonts w:ascii="Book Antiqua" w:hAnsi="Book Antiqua"/>
        </w:rPr>
        <w:t>: 15)</w:t>
      </w:r>
      <w:r w:rsidR="00BA320B" w:rsidRPr="00EA0274">
        <w:rPr>
          <w:rFonts w:ascii="Book Antiqua" w:hAnsi="Book Antiqua"/>
        </w:rPr>
        <w:t xml:space="preserve"> </w:t>
      </w:r>
      <w:r w:rsidR="00E114DE" w:rsidRPr="00EA0274">
        <w:rPr>
          <w:rFonts w:ascii="Book Antiqua" w:hAnsi="Book Antiqua"/>
        </w:rPr>
        <w:t xml:space="preserve">developed </w:t>
      </w:r>
      <w:r w:rsidR="0097611E" w:rsidRPr="00EA0274">
        <w:rPr>
          <w:rFonts w:ascii="Book Antiqua" w:hAnsi="Book Antiqua"/>
        </w:rPr>
        <w:t>an ‘ethnography of the market and the invisible hand’</w:t>
      </w:r>
      <w:r w:rsidR="00990906" w:rsidRPr="00EA0274">
        <w:rPr>
          <w:rFonts w:ascii="Book Antiqua" w:hAnsi="Book Antiqua"/>
        </w:rPr>
        <w:t xml:space="preserve">. This </w:t>
      </w:r>
      <w:r w:rsidR="0097611E" w:rsidRPr="00EA0274">
        <w:rPr>
          <w:rFonts w:ascii="Book Antiqua" w:hAnsi="Book Antiqua"/>
        </w:rPr>
        <w:t xml:space="preserve">co-implicates </w:t>
      </w:r>
      <w:r w:rsidR="004312DB" w:rsidRPr="00EA0274">
        <w:rPr>
          <w:rFonts w:ascii="Book Antiqua" w:hAnsi="Book Antiqua"/>
        </w:rPr>
        <w:t>the state</w:t>
      </w:r>
      <w:r w:rsidR="0056579D" w:rsidRPr="00EA0274">
        <w:rPr>
          <w:rFonts w:ascii="Book Antiqua" w:hAnsi="Book Antiqua"/>
        </w:rPr>
        <w:t>, international organisations,</w:t>
      </w:r>
      <w:r w:rsidR="004312DB" w:rsidRPr="00EA0274">
        <w:rPr>
          <w:rFonts w:ascii="Book Antiqua" w:hAnsi="Book Antiqua"/>
        </w:rPr>
        <w:t xml:space="preserve"> and non-governmental organisations (NGOs) in the </w:t>
      </w:r>
      <w:r w:rsidR="00CA5F5B" w:rsidRPr="00EA0274">
        <w:rPr>
          <w:rFonts w:ascii="Book Antiqua" w:hAnsi="Book Antiqua"/>
        </w:rPr>
        <w:t>production</w:t>
      </w:r>
      <w:r w:rsidR="00431169" w:rsidRPr="00EA0274">
        <w:rPr>
          <w:rFonts w:ascii="Book Antiqua" w:hAnsi="Book Antiqua"/>
        </w:rPr>
        <w:t xml:space="preserve"> of market economies </w:t>
      </w:r>
      <w:r w:rsidR="004F2D31" w:rsidRPr="00EA0274">
        <w:rPr>
          <w:rFonts w:ascii="Book Antiqua" w:hAnsi="Book Antiqua"/>
        </w:rPr>
        <w:t xml:space="preserve">that, while </w:t>
      </w:r>
      <w:r w:rsidR="00431169" w:rsidRPr="00EA0274">
        <w:rPr>
          <w:rFonts w:ascii="Book Antiqua" w:hAnsi="Book Antiqua"/>
        </w:rPr>
        <w:t>conforming to the demands of neoliberal restructuring</w:t>
      </w:r>
      <w:r w:rsidR="0000715E" w:rsidRPr="00EA0274">
        <w:rPr>
          <w:rFonts w:ascii="Book Antiqua" w:hAnsi="Book Antiqua"/>
        </w:rPr>
        <w:t xml:space="preserve">, </w:t>
      </w:r>
      <w:r w:rsidR="004F2D31" w:rsidRPr="00EA0274">
        <w:rPr>
          <w:rFonts w:ascii="Book Antiqua" w:hAnsi="Book Antiqua"/>
        </w:rPr>
        <w:t xml:space="preserve">were heavily </w:t>
      </w:r>
      <w:r w:rsidR="0000715E" w:rsidRPr="00EA0274">
        <w:rPr>
          <w:rFonts w:ascii="Book Antiqua" w:hAnsi="Book Antiqua"/>
        </w:rPr>
        <w:t xml:space="preserve">reliant on </w:t>
      </w:r>
      <w:r w:rsidR="00B27731" w:rsidRPr="00EA0274">
        <w:rPr>
          <w:rFonts w:ascii="Book Antiqua" w:hAnsi="Book Antiqua"/>
        </w:rPr>
        <w:t xml:space="preserve">dismantling the real-existing market economies </w:t>
      </w:r>
      <w:r w:rsidR="0068645F" w:rsidRPr="00EA0274">
        <w:rPr>
          <w:rFonts w:ascii="Book Antiqua" w:hAnsi="Book Antiqua"/>
        </w:rPr>
        <w:t xml:space="preserve">of </w:t>
      </w:r>
      <w:r w:rsidR="001C04D7" w:rsidRPr="00EA0274">
        <w:rPr>
          <w:rFonts w:ascii="Book Antiqua" w:hAnsi="Book Antiqua"/>
        </w:rPr>
        <w:t xml:space="preserve">workshops and craftmanship. </w:t>
      </w:r>
      <w:r w:rsidR="006433A9">
        <w:rPr>
          <w:rFonts w:ascii="Book Antiqua" w:hAnsi="Book Antiqua"/>
        </w:rPr>
        <w:t xml:space="preserve">Cristiana </w:t>
      </w:r>
      <w:proofErr w:type="spellStart"/>
      <w:r w:rsidR="006433A9">
        <w:rPr>
          <w:rFonts w:ascii="Book Antiqua" w:hAnsi="Book Antiqua"/>
        </w:rPr>
        <w:t>Strava's</w:t>
      </w:r>
      <w:proofErr w:type="spellEnd"/>
      <w:r w:rsidR="006433A9">
        <w:rPr>
          <w:rFonts w:ascii="Book Antiqua" w:hAnsi="Book Antiqua"/>
        </w:rPr>
        <w:t xml:space="preserve"> ethnography of the urban margins in Casablanca </w:t>
      </w:r>
      <w:r w:rsidR="006861FF">
        <w:rPr>
          <w:rFonts w:ascii="Book Antiqua" w:hAnsi="Book Antiqua"/>
        </w:rPr>
        <w:t xml:space="preserve">charts both their depoliticization and the reproduction of deep inequalities, but also </w:t>
      </w:r>
      <w:r w:rsidR="009654E0">
        <w:rPr>
          <w:rFonts w:ascii="Book Antiqua" w:hAnsi="Book Antiqua"/>
        </w:rPr>
        <w:t xml:space="preserve">explores such margins as </w:t>
      </w:r>
      <w:r w:rsidR="006861FF">
        <w:rPr>
          <w:rFonts w:ascii="Book Antiqua" w:hAnsi="Book Antiqua"/>
        </w:rPr>
        <w:t>space</w:t>
      </w:r>
      <w:r w:rsidR="009654E0">
        <w:rPr>
          <w:rFonts w:ascii="Book Antiqua" w:hAnsi="Book Antiqua"/>
        </w:rPr>
        <w:t>s</w:t>
      </w:r>
      <w:r w:rsidR="006861FF">
        <w:rPr>
          <w:rFonts w:ascii="Book Antiqua" w:hAnsi="Book Antiqua"/>
        </w:rPr>
        <w:t xml:space="preserve"> for novel forms of political engagement (</w:t>
      </w:r>
      <w:proofErr w:type="spellStart"/>
      <w:r w:rsidR="006861FF">
        <w:rPr>
          <w:rFonts w:ascii="Book Antiqua" w:hAnsi="Book Antiqua"/>
        </w:rPr>
        <w:t>Strava</w:t>
      </w:r>
      <w:proofErr w:type="spellEnd"/>
      <w:r w:rsidR="006861FF">
        <w:rPr>
          <w:rFonts w:ascii="Book Antiqua" w:hAnsi="Book Antiqua"/>
        </w:rPr>
        <w:t>, 2023).</w:t>
      </w:r>
      <w:r w:rsidR="006433A9">
        <w:rPr>
          <w:rFonts w:ascii="Book Antiqua" w:hAnsi="Book Antiqua"/>
        </w:rPr>
        <w:t xml:space="preserve"> </w:t>
      </w:r>
      <w:r w:rsidR="00A23A35" w:rsidRPr="00EA0274">
        <w:rPr>
          <w:rFonts w:ascii="Book Antiqua" w:hAnsi="Book Antiqua"/>
        </w:rPr>
        <w:t>Jos</w:t>
      </w:r>
      <w:r w:rsidR="00A23A35" w:rsidRPr="00EA0274">
        <w:rPr>
          <w:rFonts w:ascii="Book Antiqua" w:hAnsi="Book Antiqua" w:cs="Calibri"/>
          <w:lang w:bidi="ar-MA"/>
        </w:rPr>
        <w:t>é Martínez</w:t>
      </w:r>
      <w:r w:rsidR="00EE3BFE" w:rsidRPr="00EA0274">
        <w:rPr>
          <w:rFonts w:ascii="Book Antiqua" w:hAnsi="Book Antiqua" w:cs="Calibri"/>
          <w:lang w:bidi="ar-MA"/>
        </w:rPr>
        <w:t xml:space="preserve"> </w:t>
      </w:r>
      <w:r w:rsidR="00D27DFE" w:rsidRPr="00EA0274">
        <w:rPr>
          <w:rFonts w:ascii="Book Antiqua" w:hAnsi="Book Antiqua" w:cs="Calibri"/>
          <w:lang w:bidi="ar-MA"/>
        </w:rPr>
        <w:t>(2022)</w:t>
      </w:r>
      <w:r w:rsidR="000B2509">
        <w:rPr>
          <w:rFonts w:ascii="Book Antiqua" w:hAnsi="Book Antiqua" w:cs="Calibri"/>
          <w:lang w:bidi="ar-MA"/>
        </w:rPr>
        <w:t>, meanwhile,</w:t>
      </w:r>
      <w:r w:rsidR="00D27DFE" w:rsidRPr="00EA0274">
        <w:rPr>
          <w:rFonts w:ascii="Book Antiqua" w:hAnsi="Book Antiqua" w:cs="Calibri"/>
          <w:lang w:bidi="ar-MA"/>
        </w:rPr>
        <w:t xml:space="preserve"> </w:t>
      </w:r>
      <w:r w:rsidR="00EE3BFE" w:rsidRPr="00EA0274">
        <w:rPr>
          <w:rFonts w:ascii="Book Antiqua" w:hAnsi="Book Antiqua" w:cs="Calibri"/>
          <w:lang w:bidi="ar-MA"/>
        </w:rPr>
        <w:t xml:space="preserve">builds </w:t>
      </w:r>
      <w:r w:rsidR="009245F5" w:rsidRPr="00EA0274">
        <w:rPr>
          <w:rFonts w:ascii="Book Antiqua" w:hAnsi="Book Antiqua" w:cs="Calibri"/>
          <w:lang w:bidi="ar-MA"/>
        </w:rPr>
        <w:t xml:space="preserve">on and against Mitchell’s </w:t>
      </w:r>
      <w:r w:rsidR="00242B7C" w:rsidRPr="00EA0274">
        <w:rPr>
          <w:rFonts w:ascii="Book Antiqua" w:hAnsi="Book Antiqua" w:cs="Calibri"/>
          <w:lang w:bidi="ar-MA"/>
        </w:rPr>
        <w:t xml:space="preserve">work on the state as a power effect, already mentioned above, from </w:t>
      </w:r>
      <w:r w:rsidR="001D0A5D" w:rsidRPr="00EA0274">
        <w:rPr>
          <w:rFonts w:ascii="Book Antiqua" w:hAnsi="Book Antiqua" w:cs="Calibri"/>
          <w:lang w:bidi="ar-MA"/>
        </w:rPr>
        <w:t xml:space="preserve">ethnographic fieldwork in the bakeries of Amman. </w:t>
      </w:r>
      <w:r w:rsidR="003F4F54" w:rsidRPr="00EA0274">
        <w:rPr>
          <w:rFonts w:ascii="Book Antiqua" w:hAnsi="Book Antiqua" w:cs="Calibri"/>
          <w:lang w:bidi="ar-MA"/>
        </w:rPr>
        <w:t xml:space="preserve">Through a focus on bread, its production, </w:t>
      </w:r>
      <w:r w:rsidR="00B354AF" w:rsidRPr="00EA0274">
        <w:rPr>
          <w:rFonts w:ascii="Book Antiqua" w:hAnsi="Book Antiqua" w:cs="Calibri"/>
          <w:lang w:bidi="ar-MA"/>
        </w:rPr>
        <w:t xml:space="preserve">circulation, consumption, </w:t>
      </w:r>
      <w:r w:rsidR="00E73F36" w:rsidRPr="00EA0274">
        <w:rPr>
          <w:rFonts w:ascii="Book Antiqua" w:hAnsi="Book Antiqua" w:cs="Calibri"/>
          <w:lang w:bidi="ar-MA"/>
        </w:rPr>
        <w:t>but also the public policies surrounding it</w:t>
      </w:r>
      <w:r w:rsidR="00D4021A" w:rsidRPr="00EA0274">
        <w:rPr>
          <w:rFonts w:ascii="Book Antiqua" w:hAnsi="Book Antiqua" w:cs="Calibri"/>
          <w:lang w:bidi="ar-MA"/>
        </w:rPr>
        <w:t xml:space="preserve">, especially in the form of subsidies, </w:t>
      </w:r>
      <w:r w:rsidR="00B354AF" w:rsidRPr="00EA0274">
        <w:rPr>
          <w:rFonts w:ascii="Book Antiqua" w:hAnsi="Book Antiqua" w:cs="Calibri"/>
          <w:lang w:bidi="ar-MA"/>
        </w:rPr>
        <w:t>Martínez</w:t>
      </w:r>
      <w:r w:rsidR="00D4021A" w:rsidRPr="00EA0274">
        <w:rPr>
          <w:rFonts w:ascii="Book Antiqua" w:hAnsi="Book Antiqua" w:cs="Calibri"/>
          <w:lang w:bidi="ar-MA"/>
        </w:rPr>
        <w:t xml:space="preserve"> (2022: 15-16)</w:t>
      </w:r>
      <w:r w:rsidR="00B354AF" w:rsidRPr="00EA0274">
        <w:rPr>
          <w:rFonts w:ascii="Book Antiqua" w:hAnsi="Book Antiqua" w:cs="Calibri"/>
          <w:lang w:bidi="ar-MA"/>
        </w:rPr>
        <w:t xml:space="preserve"> </w:t>
      </w:r>
      <w:r w:rsidR="00D4021A" w:rsidRPr="00EA0274">
        <w:rPr>
          <w:rFonts w:ascii="Book Antiqua" w:hAnsi="Book Antiqua" w:cs="Calibri"/>
          <w:lang w:bidi="ar-MA"/>
        </w:rPr>
        <w:t xml:space="preserve">provides ‘a political ethnography of the state by way of the ordinary and the mundane’. </w:t>
      </w:r>
      <w:r w:rsidR="00D54137" w:rsidRPr="00EA0274">
        <w:rPr>
          <w:rFonts w:ascii="Book Antiqua" w:hAnsi="Book Antiqua" w:cs="Calibri"/>
          <w:lang w:bidi="ar-MA"/>
        </w:rPr>
        <w:t xml:space="preserve">Having already contributed to </w:t>
      </w:r>
      <w:r w:rsidR="00566A9C" w:rsidRPr="00EA0274">
        <w:rPr>
          <w:rFonts w:ascii="Book Antiqua" w:hAnsi="Book Antiqua" w:cs="Calibri"/>
          <w:lang w:bidi="ar-MA"/>
        </w:rPr>
        <w:t>these debates</w:t>
      </w:r>
      <w:r w:rsidR="00D54137" w:rsidRPr="00EA0274">
        <w:rPr>
          <w:rFonts w:ascii="Book Antiqua" w:hAnsi="Book Antiqua" w:cs="Calibri"/>
          <w:lang w:bidi="ar-MA"/>
        </w:rPr>
        <w:t xml:space="preserve"> </w:t>
      </w:r>
      <w:r w:rsidR="00566A9C" w:rsidRPr="00EA0274">
        <w:rPr>
          <w:rFonts w:ascii="Book Antiqua" w:hAnsi="Book Antiqua" w:cs="Calibri"/>
          <w:lang w:bidi="ar-MA"/>
        </w:rPr>
        <w:t xml:space="preserve">(Lenner &amp; Turner 2019), </w:t>
      </w:r>
      <w:r w:rsidR="00566A9C" w:rsidRPr="00EA0274">
        <w:rPr>
          <w:rFonts w:ascii="Book Antiqua" w:hAnsi="Book Antiqua" w:cs="Calibri"/>
          <w:lang w:bidi="ar-MA"/>
        </w:rPr>
        <w:lastRenderedPageBreak/>
        <w:t xml:space="preserve">Katharina Lenner furthers this line of inquiry </w:t>
      </w:r>
      <w:r w:rsidR="00B6169A" w:rsidRPr="00EA0274">
        <w:rPr>
          <w:rFonts w:ascii="Book Antiqua" w:hAnsi="Book Antiqua" w:cs="Calibri"/>
          <w:lang w:bidi="ar-MA"/>
        </w:rPr>
        <w:t>in her contribution to this special issue</w:t>
      </w:r>
      <w:r w:rsidR="00B356BF" w:rsidRPr="00EA0274">
        <w:rPr>
          <w:rFonts w:ascii="Book Antiqua" w:hAnsi="Book Antiqua" w:cs="Calibri"/>
          <w:lang w:bidi="ar-MA"/>
        </w:rPr>
        <w:t xml:space="preserve"> through a focus on the IPE of poverty indicators in Jordan.</w:t>
      </w:r>
    </w:p>
    <w:p w14:paraId="14D819FB" w14:textId="41695E2B" w:rsidR="005056C8" w:rsidRPr="00EA0274" w:rsidRDefault="005056C8" w:rsidP="002D136A">
      <w:pPr>
        <w:spacing w:after="0" w:line="360" w:lineRule="auto"/>
        <w:jc w:val="both"/>
        <w:rPr>
          <w:rFonts w:ascii="Book Antiqua" w:hAnsi="Book Antiqua"/>
        </w:rPr>
      </w:pPr>
    </w:p>
    <w:p w14:paraId="024E6301" w14:textId="02BA93BB" w:rsidR="005056C8" w:rsidRPr="00EA0274" w:rsidRDefault="005056C8" w:rsidP="002D136A">
      <w:pPr>
        <w:spacing w:after="0" w:line="360" w:lineRule="auto"/>
        <w:jc w:val="both"/>
        <w:rPr>
          <w:rFonts w:ascii="Book Antiqua" w:hAnsi="Book Antiqua"/>
          <w:b/>
          <w:bCs/>
        </w:rPr>
      </w:pPr>
      <w:r w:rsidRPr="00EA0274">
        <w:rPr>
          <w:rFonts w:ascii="Book Antiqua" w:hAnsi="Book Antiqua"/>
          <w:b/>
          <w:bCs/>
        </w:rPr>
        <w:t xml:space="preserve">Questioning </w:t>
      </w:r>
      <w:r w:rsidR="002A3C4D" w:rsidRPr="00EA0274">
        <w:rPr>
          <w:rFonts w:ascii="Book Antiqua" w:hAnsi="Book Antiqua"/>
          <w:b/>
          <w:bCs/>
        </w:rPr>
        <w:t>state exceptionalism in the Middle East</w:t>
      </w:r>
    </w:p>
    <w:p w14:paraId="66407A1F" w14:textId="35D62F1D" w:rsidR="00FA7557" w:rsidRPr="00EA0274" w:rsidRDefault="00F64FCB" w:rsidP="00E73649">
      <w:pPr>
        <w:spacing w:after="0" w:line="360" w:lineRule="auto"/>
        <w:jc w:val="both"/>
        <w:rPr>
          <w:rFonts w:ascii="Book Antiqua" w:hAnsi="Book Antiqua" w:cs="Times New Roman"/>
          <w:color w:val="000000" w:themeColor="text1"/>
        </w:rPr>
      </w:pPr>
      <w:r w:rsidRPr="00EA0274">
        <w:rPr>
          <w:rFonts w:ascii="Book Antiqua" w:hAnsi="Book Antiqua" w:cs="Times New Roman"/>
          <w:color w:val="000000" w:themeColor="text1"/>
        </w:rPr>
        <w:t xml:space="preserve">Drawing inspiration on the authors and debates just mentioned, this special issue </w:t>
      </w:r>
      <w:r w:rsidR="009D270A" w:rsidRPr="00EA0274">
        <w:rPr>
          <w:rFonts w:ascii="Book Antiqua" w:hAnsi="Book Antiqua" w:cs="Times New Roman"/>
          <w:color w:val="000000" w:themeColor="text1"/>
        </w:rPr>
        <w:t xml:space="preserve">seeks to examine and contest the exceptionalism </w:t>
      </w:r>
      <w:r w:rsidR="00E25985" w:rsidRPr="00EA0274">
        <w:rPr>
          <w:rFonts w:ascii="Book Antiqua" w:hAnsi="Book Antiqua" w:cs="Times New Roman"/>
          <w:color w:val="000000" w:themeColor="text1"/>
        </w:rPr>
        <w:t xml:space="preserve">that so often characterises how IPE studies </w:t>
      </w:r>
      <w:r w:rsidR="009300F7" w:rsidRPr="00EA0274">
        <w:rPr>
          <w:rFonts w:ascii="Book Antiqua" w:hAnsi="Book Antiqua" w:cs="Times New Roman"/>
          <w:color w:val="000000" w:themeColor="text1"/>
        </w:rPr>
        <w:t>Middle Eastern states</w:t>
      </w:r>
      <w:r w:rsidR="0052141B" w:rsidRPr="00EA0274">
        <w:rPr>
          <w:rFonts w:ascii="Book Antiqua" w:hAnsi="Book Antiqua" w:cs="Times New Roman"/>
          <w:color w:val="000000" w:themeColor="text1"/>
        </w:rPr>
        <w:t>.</w:t>
      </w:r>
      <w:r w:rsidR="003C6804">
        <w:rPr>
          <w:rFonts w:ascii="Book Antiqua" w:hAnsi="Book Antiqua" w:cs="Times New Roman"/>
          <w:color w:val="000000" w:themeColor="text1"/>
        </w:rPr>
        <w:t xml:space="preserve"> One comm</w:t>
      </w:r>
      <w:r w:rsidR="00317421">
        <w:rPr>
          <w:rFonts w:ascii="Book Antiqua" w:hAnsi="Book Antiqua" w:cs="Times New Roman"/>
          <w:color w:val="000000" w:themeColor="text1"/>
        </w:rPr>
        <w:t>o</w:t>
      </w:r>
      <w:r w:rsidR="003C6804">
        <w:rPr>
          <w:rFonts w:ascii="Book Antiqua" w:hAnsi="Book Antiqua" w:cs="Times New Roman"/>
          <w:color w:val="000000" w:themeColor="text1"/>
        </w:rPr>
        <w:t xml:space="preserve">n theme is that Middle Eastern </w:t>
      </w:r>
      <w:r w:rsidR="003C6804" w:rsidRPr="003C6804">
        <w:rPr>
          <w:rFonts w:ascii="Book Antiqua" w:hAnsi="Book Antiqua" w:cs="Times New Roman"/>
          <w:color w:val="000000" w:themeColor="text1"/>
        </w:rPr>
        <w:t>states are shaped by globalization and, in turn, shape globalization</w:t>
      </w:r>
      <w:r w:rsidR="003C6804">
        <w:rPr>
          <w:rFonts w:ascii="Book Antiqua" w:hAnsi="Book Antiqua" w:cs="Times New Roman"/>
          <w:color w:val="000000" w:themeColor="text1"/>
        </w:rPr>
        <w:t xml:space="preserve">. Contributors conceptualise globalization and the role of the state in this in different ways: </w:t>
      </w:r>
      <w:r w:rsidR="00F26B87">
        <w:rPr>
          <w:rFonts w:ascii="Book Antiqua" w:hAnsi="Book Antiqua" w:cs="Times New Roman"/>
          <w:color w:val="000000" w:themeColor="text1"/>
        </w:rPr>
        <w:t>t</w:t>
      </w:r>
      <w:r w:rsidR="003C6804">
        <w:rPr>
          <w:rFonts w:ascii="Book Antiqua" w:hAnsi="Book Antiqua" w:cs="Times New Roman"/>
          <w:color w:val="000000" w:themeColor="text1"/>
        </w:rPr>
        <w:t>he role of foreign donors as integral in the making of the state (Snider), contributing to forms of global knowledge production about poverty or food security (Henderson, Lenner), the enmeshment of global security and global economy (Hoffmann), the reproduction of a global Eurocentric modernity in everyday practices (Kass</w:t>
      </w:r>
      <w:r w:rsidR="007B49E2">
        <w:rPr>
          <w:rFonts w:ascii="Book Antiqua" w:hAnsi="Book Antiqua" w:cs="Times New Roman"/>
          <w:color w:val="000000" w:themeColor="text1"/>
        </w:rPr>
        <w:t>e</w:t>
      </w:r>
      <w:r w:rsidR="003C6804">
        <w:rPr>
          <w:rFonts w:ascii="Book Antiqua" w:hAnsi="Book Antiqua" w:cs="Times New Roman"/>
          <w:color w:val="000000" w:themeColor="text1"/>
        </w:rPr>
        <w:t>m), or the transformations of local class structures as part of neoliberal global capitalism (Valadbaygi).</w:t>
      </w:r>
      <w:r w:rsidR="00116202">
        <w:rPr>
          <w:rFonts w:ascii="Book Antiqua" w:hAnsi="Book Antiqua" w:cs="Times New Roman"/>
          <w:color w:val="000000" w:themeColor="text1"/>
        </w:rPr>
        <w:t xml:space="preserve"> </w:t>
      </w:r>
      <w:r w:rsidR="002F3184">
        <w:rPr>
          <w:rFonts w:ascii="Book Antiqua" w:hAnsi="Book Antiqua" w:cs="Times New Roman"/>
          <w:color w:val="000000" w:themeColor="text1"/>
        </w:rPr>
        <w:t xml:space="preserve">Since contributors embrace different conceptualisations of the state, they also identify different ways in which states are shaped and shape globalization. </w:t>
      </w:r>
    </w:p>
    <w:p w14:paraId="1A451454" w14:textId="08F56D8D" w:rsidR="00EB4708" w:rsidRPr="00EA0274" w:rsidRDefault="00EB4708" w:rsidP="0004315F">
      <w:pPr>
        <w:spacing w:after="0" w:line="360" w:lineRule="auto"/>
        <w:ind w:firstLine="567"/>
        <w:jc w:val="both"/>
        <w:rPr>
          <w:rFonts w:ascii="Book Antiqua" w:hAnsi="Book Antiqua"/>
        </w:rPr>
      </w:pPr>
      <w:r w:rsidRPr="00EA0274">
        <w:rPr>
          <w:rFonts w:ascii="Book Antiqua" w:hAnsi="Book Antiqua"/>
        </w:rPr>
        <w:t xml:space="preserve">In her contribution to the special issue, Erin Snider argues that IPE has paid little attention to transitional aid, although transitions are </w:t>
      </w:r>
      <w:r w:rsidR="00B35E1B" w:rsidRPr="00EA0274">
        <w:rPr>
          <w:rFonts w:ascii="Book Antiqua" w:hAnsi="Book Antiqua"/>
        </w:rPr>
        <w:t>‘</w:t>
      </w:r>
      <w:r w:rsidRPr="00EA0274">
        <w:rPr>
          <w:rFonts w:ascii="Book Antiqua" w:hAnsi="Book Antiqua"/>
        </w:rPr>
        <w:t>critical junctures</w:t>
      </w:r>
      <w:r w:rsidR="00B35E1B" w:rsidRPr="00EA0274">
        <w:rPr>
          <w:rFonts w:ascii="Book Antiqua" w:hAnsi="Book Antiqua"/>
        </w:rPr>
        <w:t>’</w:t>
      </w:r>
      <w:r w:rsidRPr="00EA0274">
        <w:rPr>
          <w:rFonts w:ascii="Book Antiqua" w:hAnsi="Book Antiqua"/>
        </w:rPr>
        <w:t xml:space="preserve"> where foreign donors have an opportunity to challenge or reinforce existing domestic power structures. Snider identifies the 2011 uprising as such a critical juncture. The</w:t>
      </w:r>
      <w:r w:rsidR="003E4841" w:rsidRPr="00EA0274">
        <w:rPr>
          <w:rFonts w:ascii="Book Antiqua" w:hAnsi="Book Antiqua"/>
        </w:rPr>
        <w:t>o</w:t>
      </w:r>
      <w:r w:rsidRPr="00EA0274">
        <w:rPr>
          <w:rFonts w:ascii="Book Antiqua" w:hAnsi="Book Antiqua"/>
        </w:rPr>
        <w:t xml:space="preserve">ries of aid in international relations suggest that it sustains survival of political </w:t>
      </w:r>
      <w:r w:rsidR="00B44FB3" w:rsidRPr="00EA0274">
        <w:rPr>
          <w:rFonts w:ascii="Book Antiqua" w:hAnsi="Book Antiqua"/>
        </w:rPr>
        <w:t>l</w:t>
      </w:r>
      <w:r w:rsidRPr="00EA0274">
        <w:rPr>
          <w:rFonts w:ascii="Book Antiqua" w:hAnsi="Book Antiqua"/>
        </w:rPr>
        <w:t xml:space="preserve">eaders in recipient countries. Continuity of neoliberal economic policies and autocratic elites were indeed the outcome of Snider’s case study – the US aid response to the Egyptian uprising in 2011 – but her analysis of the </w:t>
      </w:r>
      <w:r w:rsidR="00621682" w:rsidRPr="00EA0274">
        <w:rPr>
          <w:rFonts w:ascii="Book Antiqua" w:hAnsi="Book Antiqua"/>
        </w:rPr>
        <w:t>‘</w:t>
      </w:r>
      <w:r w:rsidRPr="00EA0274">
        <w:rPr>
          <w:rFonts w:ascii="Book Antiqua" w:hAnsi="Book Antiqua"/>
        </w:rPr>
        <w:t>micro-politics</w:t>
      </w:r>
      <w:r w:rsidR="00621682" w:rsidRPr="00EA0274">
        <w:rPr>
          <w:rFonts w:ascii="Book Antiqua" w:hAnsi="Book Antiqua"/>
        </w:rPr>
        <w:t>’</w:t>
      </w:r>
      <w:r w:rsidRPr="00EA0274">
        <w:rPr>
          <w:rFonts w:ascii="Book Antiqua" w:hAnsi="Book Antiqua"/>
        </w:rPr>
        <w:t xml:space="preserve"> of aid between donors, recipient government, and civil society, demonstrates that influential sections of US policy makers had suggested a more radical break. This road was not travelled, however, depriving Egyptian advocates of </w:t>
      </w:r>
      <w:r w:rsidR="006F101E" w:rsidRPr="00EA0274">
        <w:rPr>
          <w:rFonts w:ascii="Book Antiqua" w:hAnsi="Book Antiqua"/>
        </w:rPr>
        <w:t>an</w:t>
      </w:r>
      <w:r w:rsidR="003248A3" w:rsidRPr="00EA0274">
        <w:rPr>
          <w:rFonts w:ascii="Book Antiqua" w:hAnsi="Book Antiqua"/>
        </w:rPr>
        <w:t xml:space="preserve"> ally in the pursuit of alternative economic policies perceived </w:t>
      </w:r>
      <w:r w:rsidR="006F101E" w:rsidRPr="00EA0274">
        <w:rPr>
          <w:rFonts w:ascii="Book Antiqua" w:hAnsi="Book Antiqua"/>
        </w:rPr>
        <w:t xml:space="preserve">as key to </w:t>
      </w:r>
      <w:proofErr w:type="spellStart"/>
      <w:proofErr w:type="gramStart"/>
      <w:r w:rsidRPr="00EA0274">
        <w:rPr>
          <w:rFonts w:ascii="Book Antiqua" w:hAnsi="Book Antiqua"/>
        </w:rPr>
        <w:t>a</w:t>
      </w:r>
      <w:proofErr w:type="spellEnd"/>
      <w:proofErr w:type="gramEnd"/>
      <w:r w:rsidRPr="00EA0274">
        <w:rPr>
          <w:rFonts w:ascii="Book Antiqua" w:hAnsi="Book Antiqua"/>
        </w:rPr>
        <w:t xml:space="preserve"> economic change. Gulf aid, supporting the military regime </w:t>
      </w:r>
      <w:r w:rsidR="0022449B" w:rsidRPr="00EA0274">
        <w:rPr>
          <w:rFonts w:ascii="Book Antiqua" w:hAnsi="Book Antiqua"/>
        </w:rPr>
        <w:t xml:space="preserve">from 2013 onwards and </w:t>
      </w:r>
      <w:r w:rsidR="00CA779E" w:rsidRPr="00EA0274">
        <w:rPr>
          <w:rFonts w:ascii="Book Antiqua" w:hAnsi="Book Antiqua"/>
        </w:rPr>
        <w:t xml:space="preserve">the ensuing </w:t>
      </w:r>
      <w:r w:rsidR="0022449B" w:rsidRPr="00EA0274">
        <w:rPr>
          <w:rFonts w:ascii="Book Antiqua" w:hAnsi="Book Antiqua"/>
        </w:rPr>
        <w:t>restoration of exclusi</w:t>
      </w:r>
      <w:r w:rsidR="00157EE8" w:rsidRPr="00EA0274">
        <w:rPr>
          <w:rFonts w:ascii="Book Antiqua" w:hAnsi="Book Antiqua"/>
        </w:rPr>
        <w:t>onary</w:t>
      </w:r>
      <w:r w:rsidR="0022449B" w:rsidRPr="00EA0274">
        <w:rPr>
          <w:rFonts w:ascii="Book Antiqua" w:hAnsi="Book Antiqua"/>
        </w:rPr>
        <w:t xml:space="preserve"> economic policies further undermined the transformative potential of foreign aid. </w:t>
      </w:r>
      <w:r w:rsidRPr="00EA0274">
        <w:rPr>
          <w:rFonts w:ascii="Book Antiqua" w:hAnsi="Book Antiqua"/>
        </w:rPr>
        <w:t xml:space="preserve">Snider builds on critiques of crony capitalist restructuring in Egypt and the wider Arab world </w:t>
      </w:r>
      <w:r w:rsidR="00FB2087" w:rsidRPr="00EA0274">
        <w:rPr>
          <w:rFonts w:ascii="Book Antiqua" w:hAnsi="Book Antiqua"/>
          <w:noProof/>
        </w:rPr>
        <w:t>(Adly, 2020; Heydemann, 2004)</w:t>
      </w:r>
      <w:r w:rsidRPr="00EA0274">
        <w:rPr>
          <w:rFonts w:ascii="Book Antiqua" w:hAnsi="Book Antiqua"/>
        </w:rPr>
        <w:t xml:space="preserve">. </w:t>
      </w:r>
      <w:r w:rsidR="0022449B" w:rsidRPr="00EA0274">
        <w:rPr>
          <w:rFonts w:ascii="Book Antiqua" w:hAnsi="Book Antiqua"/>
        </w:rPr>
        <w:t>She shows that cronyism and networks of privilege are very real, but also that they do not exist in a vacuum</w:t>
      </w:r>
      <w:r w:rsidR="00CA779E" w:rsidRPr="00EA0274">
        <w:rPr>
          <w:rFonts w:ascii="Book Antiqua" w:hAnsi="Book Antiqua"/>
        </w:rPr>
        <w:t>. Rather, t</w:t>
      </w:r>
      <w:r w:rsidR="00845B43" w:rsidRPr="00EA0274">
        <w:rPr>
          <w:rFonts w:ascii="Book Antiqua" w:hAnsi="Book Antiqua"/>
        </w:rPr>
        <w:t>hey are embedded in an international political economy where powerful outside actors can choose to sustain the status quo or disrupt it</w:t>
      </w:r>
      <w:r w:rsidR="0022449B" w:rsidRPr="00EA0274">
        <w:rPr>
          <w:rFonts w:ascii="Book Antiqua" w:hAnsi="Book Antiqua"/>
        </w:rPr>
        <w:t xml:space="preserve">. The 2011 Egyptian uprising was a missed opportunity for the US to support an emerging coalition of social forces and civil society demanding more inclusive economic reforms. </w:t>
      </w:r>
    </w:p>
    <w:p w14:paraId="0CDB5A5A" w14:textId="289F2A45" w:rsidR="00CF5224" w:rsidRPr="00EA0274" w:rsidRDefault="005450EE" w:rsidP="0004315F">
      <w:pPr>
        <w:spacing w:after="0" w:line="360" w:lineRule="auto"/>
        <w:ind w:firstLine="567"/>
        <w:jc w:val="both"/>
        <w:rPr>
          <w:rFonts w:ascii="Book Antiqua" w:hAnsi="Book Antiqua"/>
        </w:rPr>
      </w:pPr>
      <w:r w:rsidRPr="00EA0274">
        <w:rPr>
          <w:rFonts w:ascii="Book Antiqua" w:hAnsi="Book Antiqua"/>
        </w:rPr>
        <w:lastRenderedPageBreak/>
        <w:t>Returning towards Arab Gulf monarchies, Christian Henderson’s contribution looks at food security discourse as a form of knowledge-power. This approach both deconstructs the predominant technocratic understanding of food security and its policies and shows how this very discourse facilitates the acquisition of foreign land</w:t>
      </w:r>
      <w:r w:rsidR="00CA064B">
        <w:rPr>
          <w:rFonts w:ascii="Book Antiqua" w:hAnsi="Book Antiqua"/>
        </w:rPr>
        <w:t xml:space="preserve">. Both public and private </w:t>
      </w:r>
      <w:r w:rsidR="00CF5224" w:rsidRPr="00EA0274">
        <w:rPr>
          <w:rFonts w:ascii="Book Antiqua" w:hAnsi="Book Antiqua"/>
        </w:rPr>
        <w:t>Gulf</w:t>
      </w:r>
      <w:r w:rsidRPr="00EA0274">
        <w:rPr>
          <w:rFonts w:ascii="Book Antiqua" w:hAnsi="Book Antiqua"/>
        </w:rPr>
        <w:t xml:space="preserve"> actors</w:t>
      </w:r>
      <w:r w:rsidR="00CA064B">
        <w:rPr>
          <w:rFonts w:ascii="Book Antiqua" w:hAnsi="Book Antiqua"/>
        </w:rPr>
        <w:t xml:space="preserve"> are key players in</w:t>
      </w:r>
      <w:r w:rsidRPr="00EA0274">
        <w:rPr>
          <w:rFonts w:ascii="Book Antiqua" w:hAnsi="Book Antiqua"/>
        </w:rPr>
        <w:t xml:space="preserve"> global land grab</w:t>
      </w:r>
      <w:r w:rsidR="00CA064B">
        <w:rPr>
          <w:rFonts w:ascii="Book Antiqua" w:hAnsi="Book Antiqua"/>
        </w:rPr>
        <w:t>s and are thus</w:t>
      </w:r>
      <w:r w:rsidRPr="00EA0274">
        <w:rPr>
          <w:rFonts w:ascii="Book Antiqua" w:hAnsi="Book Antiqua"/>
        </w:rPr>
        <w:t xml:space="preserve"> also makers of globalisation beyond the</w:t>
      </w:r>
      <w:r w:rsidR="00CA064B">
        <w:rPr>
          <w:rFonts w:ascii="Book Antiqua" w:hAnsi="Book Antiqua"/>
        </w:rPr>
        <w:t xml:space="preserve"> Gulf states’</w:t>
      </w:r>
      <w:r w:rsidRPr="00EA0274">
        <w:rPr>
          <w:rFonts w:ascii="Book Antiqua" w:hAnsi="Book Antiqua"/>
        </w:rPr>
        <w:t xml:space="preserve"> traditional role in hydrocarbons. </w:t>
      </w:r>
      <w:r w:rsidR="00CF5224" w:rsidRPr="00EA0274">
        <w:rPr>
          <w:rFonts w:ascii="Book Antiqua" w:hAnsi="Book Antiqua"/>
        </w:rPr>
        <w:t xml:space="preserve">Food security in the Gulf is not merely a technical problem, nor can its dynamics be </w:t>
      </w:r>
      <w:r w:rsidR="00562303" w:rsidRPr="00EA0274">
        <w:rPr>
          <w:rFonts w:ascii="Book Antiqua" w:hAnsi="Book Antiqua"/>
        </w:rPr>
        <w:t xml:space="preserve">fully </w:t>
      </w:r>
      <w:r w:rsidR="00CF5224" w:rsidRPr="00EA0274">
        <w:rPr>
          <w:rFonts w:ascii="Book Antiqua" w:hAnsi="Book Antiqua"/>
        </w:rPr>
        <w:t xml:space="preserve">captured with reference to rentier states. Henderson casts Gulf food security as governmentality and a “knowledge power constellation”. He charts the history of food security, which was initially a form of distributing rents through subsidised domestic agriculture. </w:t>
      </w:r>
      <w:r w:rsidR="00006864" w:rsidRPr="00EA0274">
        <w:rPr>
          <w:rFonts w:ascii="Book Antiqua" w:hAnsi="Book Antiqua"/>
        </w:rPr>
        <w:t xml:space="preserve">As </w:t>
      </w:r>
      <w:r w:rsidR="00CF5224" w:rsidRPr="00EA0274">
        <w:rPr>
          <w:rFonts w:ascii="Book Antiqua" w:hAnsi="Book Antiqua"/>
        </w:rPr>
        <w:t xml:space="preserve">this strategy hit its environmental limits, food security strategy shifted towards </w:t>
      </w:r>
      <w:r w:rsidR="00006864" w:rsidRPr="00EA0274">
        <w:rPr>
          <w:rFonts w:ascii="Book Antiqua" w:hAnsi="Book Antiqua"/>
        </w:rPr>
        <w:t>‘</w:t>
      </w:r>
      <w:r w:rsidR="00CF5224" w:rsidRPr="00EA0274">
        <w:rPr>
          <w:rFonts w:ascii="Book Antiqua" w:hAnsi="Book Antiqua"/>
        </w:rPr>
        <w:t>government</w:t>
      </w:r>
      <w:r w:rsidR="001535DF" w:rsidRPr="00EA0274">
        <w:rPr>
          <w:rFonts w:ascii="Book Antiqua" w:hAnsi="Book Antiqua"/>
        </w:rPr>
        <w:t>a</w:t>
      </w:r>
      <w:r w:rsidR="00CF5224" w:rsidRPr="00EA0274">
        <w:rPr>
          <w:rFonts w:ascii="Book Antiqua" w:hAnsi="Book Antiqua"/>
        </w:rPr>
        <w:t>lity</w:t>
      </w:r>
      <w:r w:rsidR="00006864" w:rsidRPr="00EA0274">
        <w:rPr>
          <w:rFonts w:ascii="Book Antiqua" w:hAnsi="Book Antiqua"/>
        </w:rPr>
        <w:t>’</w:t>
      </w:r>
      <w:r w:rsidR="00CF5224" w:rsidRPr="00EA0274">
        <w:rPr>
          <w:rFonts w:ascii="Book Antiqua" w:hAnsi="Book Antiqua"/>
        </w:rPr>
        <w:t xml:space="preserve"> produced jointly by state and private sector. </w:t>
      </w:r>
    </w:p>
    <w:p w14:paraId="78F7520B" w14:textId="302BAD99" w:rsidR="00DE177A" w:rsidRPr="00EA0274" w:rsidRDefault="00DE177A" w:rsidP="0004315F">
      <w:pPr>
        <w:spacing w:after="0" w:line="360" w:lineRule="auto"/>
        <w:ind w:firstLine="567"/>
        <w:jc w:val="both"/>
        <w:rPr>
          <w:rFonts w:ascii="Book Antiqua" w:hAnsi="Book Antiqua"/>
        </w:rPr>
      </w:pPr>
      <w:r w:rsidRPr="00EA0274">
        <w:rPr>
          <w:rFonts w:ascii="Book Antiqua" w:hAnsi="Book Antiqua"/>
        </w:rPr>
        <w:t xml:space="preserve">Henderson traces discourses of food security, combining contradictory themes of security, profit, altruism, and sustainability. </w:t>
      </w:r>
      <w:r w:rsidR="00243DD2" w:rsidRPr="00EA0274">
        <w:rPr>
          <w:rFonts w:ascii="Book Antiqua" w:hAnsi="Book Antiqua"/>
        </w:rPr>
        <w:t>These work to depolitic</w:t>
      </w:r>
      <w:r w:rsidR="000D6CB5" w:rsidRPr="00EA0274">
        <w:rPr>
          <w:rFonts w:ascii="Book Antiqua" w:hAnsi="Book Antiqua"/>
        </w:rPr>
        <w:t>i</w:t>
      </w:r>
      <w:r w:rsidR="00243DD2" w:rsidRPr="00EA0274">
        <w:rPr>
          <w:rFonts w:ascii="Book Antiqua" w:hAnsi="Book Antiqua"/>
        </w:rPr>
        <w:t xml:space="preserve">se deeply political processes </w:t>
      </w:r>
      <w:r w:rsidR="006C3D68" w:rsidRPr="00EA0274">
        <w:rPr>
          <w:rFonts w:ascii="Book Antiqua" w:hAnsi="Book Antiqua"/>
        </w:rPr>
        <w:t>exceeding</w:t>
      </w:r>
      <w:r w:rsidR="00243DD2" w:rsidRPr="00EA0274">
        <w:rPr>
          <w:rFonts w:ascii="Book Antiqua" w:hAnsi="Book Antiqua"/>
        </w:rPr>
        <w:t xml:space="preserve"> the borders of the</w:t>
      </w:r>
      <w:r w:rsidR="00CF5224" w:rsidRPr="00EA0274">
        <w:rPr>
          <w:rFonts w:ascii="Book Antiqua" w:hAnsi="Book Antiqua"/>
        </w:rPr>
        <w:t xml:space="preserve"> </w:t>
      </w:r>
      <w:r w:rsidR="00772F7F" w:rsidRPr="00EA0274">
        <w:rPr>
          <w:rFonts w:ascii="Book Antiqua" w:hAnsi="Book Antiqua"/>
        </w:rPr>
        <w:t>GCC</w:t>
      </w:r>
      <w:r w:rsidR="00243DD2" w:rsidRPr="00EA0274">
        <w:rPr>
          <w:rFonts w:ascii="Book Antiqua" w:hAnsi="Book Antiqua"/>
        </w:rPr>
        <w:t xml:space="preserve">. </w:t>
      </w:r>
      <w:r w:rsidR="008666FA" w:rsidRPr="00EA0274">
        <w:rPr>
          <w:rFonts w:ascii="Book Antiqua" w:hAnsi="Book Antiqua"/>
        </w:rPr>
        <w:t xml:space="preserve">These processes </w:t>
      </w:r>
      <w:r w:rsidR="00CF5224" w:rsidRPr="00EA0274">
        <w:rPr>
          <w:rFonts w:ascii="Book Antiqua" w:hAnsi="Book Antiqua"/>
        </w:rPr>
        <w:t xml:space="preserve">include land grabs in </w:t>
      </w:r>
      <w:proofErr w:type="gramStart"/>
      <w:r w:rsidR="00CF5224" w:rsidRPr="00EA0274">
        <w:rPr>
          <w:rFonts w:ascii="Book Antiqua" w:hAnsi="Book Antiqua"/>
        </w:rPr>
        <w:t>Africa</w:t>
      </w:r>
      <w:r w:rsidR="008666FA" w:rsidRPr="00EA0274">
        <w:rPr>
          <w:rFonts w:ascii="Book Antiqua" w:hAnsi="Book Antiqua"/>
        </w:rPr>
        <w:t>,</w:t>
      </w:r>
      <w:r w:rsidR="00CF5224" w:rsidRPr="00EA0274">
        <w:rPr>
          <w:rFonts w:ascii="Book Antiqua" w:hAnsi="Book Antiqua"/>
        </w:rPr>
        <w:t xml:space="preserve">  providing</w:t>
      </w:r>
      <w:proofErr w:type="gramEnd"/>
      <w:r w:rsidR="00CF5224" w:rsidRPr="00EA0274">
        <w:rPr>
          <w:rFonts w:ascii="Book Antiqua" w:hAnsi="Book Antiqua"/>
        </w:rPr>
        <w:t xml:space="preserve"> reassurance to domestic populations that food is secured, continuing narratives of state master</w:t>
      </w:r>
      <w:r w:rsidR="00F4010F" w:rsidRPr="00EA0274">
        <w:rPr>
          <w:rFonts w:ascii="Book Antiqua" w:hAnsi="Book Antiqua"/>
        </w:rPr>
        <w:t>y</w:t>
      </w:r>
      <w:r w:rsidR="00CF5224" w:rsidRPr="00EA0274">
        <w:rPr>
          <w:rFonts w:ascii="Book Antiqua" w:hAnsi="Book Antiqua"/>
        </w:rPr>
        <w:t xml:space="preserve"> over nature which help </w:t>
      </w:r>
      <w:r w:rsidR="00EE536A" w:rsidRPr="00EA0274">
        <w:rPr>
          <w:rFonts w:ascii="Book Antiqua" w:hAnsi="Book Antiqua"/>
        </w:rPr>
        <w:t>shore up state</w:t>
      </w:r>
      <w:r w:rsidR="00CF5224" w:rsidRPr="00EA0274">
        <w:rPr>
          <w:rFonts w:ascii="Book Antiqua" w:hAnsi="Book Antiqua"/>
        </w:rPr>
        <w:t xml:space="preserve"> power. </w:t>
      </w:r>
      <w:r w:rsidR="004679FC" w:rsidRPr="00EA0274">
        <w:rPr>
          <w:rFonts w:ascii="Book Antiqua" w:hAnsi="Book Antiqua"/>
        </w:rPr>
        <w:t xml:space="preserve">Henderson’s </w:t>
      </w:r>
      <w:r w:rsidR="00CF5224" w:rsidRPr="00EA0274">
        <w:rPr>
          <w:rFonts w:ascii="Book Antiqua" w:hAnsi="Book Antiqua"/>
        </w:rPr>
        <w:t xml:space="preserve">history of food security discourse as produced by Gulf states contributes to a Foucauldian approach to the state, where food security is an </w:t>
      </w:r>
      <w:r w:rsidR="00EE536A" w:rsidRPr="00EA0274">
        <w:rPr>
          <w:rFonts w:ascii="Book Antiqua" w:hAnsi="Book Antiqua"/>
        </w:rPr>
        <w:t>‘</w:t>
      </w:r>
      <w:r w:rsidR="00CF5224" w:rsidRPr="00EA0274">
        <w:rPr>
          <w:rFonts w:ascii="Book Antiqua" w:hAnsi="Book Antiqua"/>
        </w:rPr>
        <w:t>effect</w:t>
      </w:r>
      <w:r w:rsidR="00EE536A" w:rsidRPr="00EA0274">
        <w:rPr>
          <w:rFonts w:ascii="Book Antiqua" w:hAnsi="Book Antiqua"/>
        </w:rPr>
        <w:t>’</w:t>
      </w:r>
      <w:r w:rsidR="00CF5224" w:rsidRPr="00EA0274">
        <w:rPr>
          <w:rFonts w:ascii="Book Antiqua" w:hAnsi="Book Antiqua"/>
        </w:rPr>
        <w:t xml:space="preserve"> of state intervention. </w:t>
      </w:r>
    </w:p>
    <w:p w14:paraId="2BF5AF87" w14:textId="3B485793" w:rsidR="00384AE8" w:rsidRPr="00EA0274" w:rsidRDefault="00CF5224" w:rsidP="0004315F">
      <w:pPr>
        <w:spacing w:after="0" w:line="360" w:lineRule="auto"/>
        <w:ind w:firstLine="567"/>
        <w:jc w:val="both"/>
        <w:rPr>
          <w:rFonts w:ascii="Book Antiqua" w:hAnsi="Book Antiqua"/>
        </w:rPr>
      </w:pPr>
      <w:r w:rsidRPr="00EA0274">
        <w:rPr>
          <w:rFonts w:ascii="Book Antiqua" w:hAnsi="Book Antiqua"/>
        </w:rPr>
        <w:t xml:space="preserve">Sophia Hoffmann’s article directly addresses </w:t>
      </w:r>
      <w:r w:rsidR="00DC53C4" w:rsidRPr="00EA0274">
        <w:rPr>
          <w:rFonts w:ascii="Book Antiqua" w:hAnsi="Book Antiqua"/>
        </w:rPr>
        <w:t xml:space="preserve">the security-economy nexus, identified as one of the </w:t>
      </w:r>
      <w:r w:rsidR="001969C9" w:rsidRPr="00EA0274">
        <w:rPr>
          <w:rFonts w:ascii="Book Antiqua" w:hAnsi="Book Antiqua"/>
        </w:rPr>
        <w:t>‘</w:t>
      </w:r>
      <w:r w:rsidRPr="00EA0274">
        <w:rPr>
          <w:rFonts w:ascii="Book Antiqua" w:hAnsi="Book Antiqua"/>
        </w:rPr>
        <w:t>blind spots</w:t>
      </w:r>
      <w:r w:rsidR="001969C9" w:rsidRPr="00EA0274">
        <w:rPr>
          <w:rFonts w:ascii="Book Antiqua" w:hAnsi="Book Antiqua"/>
        </w:rPr>
        <w:t>’</w:t>
      </w:r>
      <w:r w:rsidRPr="00EA0274">
        <w:rPr>
          <w:rFonts w:ascii="Book Antiqua" w:hAnsi="Book Antiqua"/>
        </w:rPr>
        <w:t xml:space="preserve"> of IPE</w:t>
      </w:r>
      <w:r w:rsidR="00DC53C4" w:rsidRPr="00EA0274">
        <w:rPr>
          <w:rFonts w:ascii="Book Antiqua" w:hAnsi="Book Antiqua"/>
        </w:rPr>
        <w:t xml:space="preserve"> </w:t>
      </w:r>
      <w:r w:rsidR="001969C9" w:rsidRPr="00EA0274">
        <w:rPr>
          <w:rFonts w:ascii="Book Antiqua" w:hAnsi="Book Antiqua"/>
        </w:rPr>
        <w:t xml:space="preserve">in </w:t>
      </w:r>
      <w:proofErr w:type="spellStart"/>
      <w:r w:rsidR="00DC53C4" w:rsidRPr="00EA0274">
        <w:rPr>
          <w:rFonts w:ascii="Book Antiqua" w:hAnsi="Book Antiqua"/>
        </w:rPr>
        <w:t>LeBaron</w:t>
      </w:r>
      <w:proofErr w:type="spellEnd"/>
      <w:r w:rsidR="001969C9" w:rsidRPr="00EA0274">
        <w:rPr>
          <w:rFonts w:ascii="Book Antiqua" w:hAnsi="Book Antiqua"/>
        </w:rPr>
        <w:t xml:space="preserve"> et al.</w:t>
      </w:r>
      <w:r w:rsidR="00DC53C4" w:rsidRPr="00EA0274">
        <w:rPr>
          <w:rFonts w:ascii="Book Antiqua" w:hAnsi="Book Antiqua"/>
        </w:rPr>
        <w:t xml:space="preserve"> (2021). </w:t>
      </w:r>
      <w:r w:rsidR="00B14AA4" w:rsidRPr="00EA0274">
        <w:rPr>
          <w:rFonts w:ascii="Book Antiqua" w:hAnsi="Book Antiqua"/>
        </w:rPr>
        <w:t xml:space="preserve">Hoffmann looks at intelligence agencies </w:t>
      </w:r>
      <w:r w:rsidR="00384AE8" w:rsidRPr="00EA0274">
        <w:rPr>
          <w:rFonts w:ascii="Book Antiqua" w:hAnsi="Book Antiqua"/>
        </w:rPr>
        <w:t xml:space="preserve">to question the distinction of security studies and IPE. She argues that intelligence agencies engaging in </w:t>
      </w:r>
      <w:r w:rsidR="001969C9" w:rsidRPr="00EA0274">
        <w:rPr>
          <w:rFonts w:ascii="Book Antiqua" w:hAnsi="Book Antiqua"/>
        </w:rPr>
        <w:t>‘</w:t>
      </w:r>
      <w:r w:rsidR="00384AE8" w:rsidRPr="00EA0274">
        <w:rPr>
          <w:rFonts w:ascii="Book Antiqua" w:hAnsi="Book Antiqua"/>
        </w:rPr>
        <w:t>intelligence commerce</w:t>
      </w:r>
      <w:r w:rsidR="001969C9" w:rsidRPr="00EA0274">
        <w:rPr>
          <w:rFonts w:ascii="Book Antiqua" w:hAnsi="Book Antiqua"/>
        </w:rPr>
        <w:t>’</w:t>
      </w:r>
      <w:r w:rsidR="00384AE8" w:rsidRPr="00EA0274">
        <w:rPr>
          <w:rFonts w:ascii="Book Antiqua" w:hAnsi="Book Antiqua"/>
        </w:rPr>
        <w:t xml:space="preserve"> are of interests to researchers of IPE. Intelligence agencies’ commercial activities serve not only the goal of spying but also economic goals such as clandestine movement of money or the exchange of restricted goods. Her case studies are the intelligence agencies of West Germany and Iraq in the Cold War. Both engaged in intelligence commerce to manage economic interactions shaped by the capitalist organisation o</w:t>
      </w:r>
      <w:r w:rsidR="001969C9" w:rsidRPr="00EA0274">
        <w:rPr>
          <w:rFonts w:ascii="Book Antiqua" w:hAnsi="Book Antiqua"/>
        </w:rPr>
        <w:t>f</w:t>
      </w:r>
      <w:r w:rsidR="00384AE8" w:rsidRPr="00EA0274">
        <w:rPr>
          <w:rFonts w:ascii="Book Antiqua" w:hAnsi="Book Antiqua"/>
        </w:rPr>
        <w:t xml:space="preserve"> the world economy, where intelligence agencies utilise private companies or run their own front companies. However, the nature of commerce the two agencies engaged in differed in accordance with their differing positions in the world economy. West Germany was a </w:t>
      </w:r>
      <w:r w:rsidR="009B56B3" w:rsidRPr="00EA0274">
        <w:rPr>
          <w:rFonts w:ascii="Book Antiqua" w:hAnsi="Book Antiqua"/>
        </w:rPr>
        <w:t>‘</w:t>
      </w:r>
      <w:r w:rsidR="00384AE8" w:rsidRPr="00EA0274">
        <w:rPr>
          <w:rFonts w:ascii="Book Antiqua" w:hAnsi="Book Antiqua"/>
        </w:rPr>
        <w:t>heartland state</w:t>
      </w:r>
      <w:r w:rsidR="009B56B3" w:rsidRPr="00EA0274">
        <w:rPr>
          <w:rFonts w:ascii="Book Antiqua" w:hAnsi="Book Antiqua"/>
        </w:rPr>
        <w:t>’</w:t>
      </w:r>
      <w:r w:rsidR="00384AE8" w:rsidRPr="00EA0274">
        <w:rPr>
          <w:rFonts w:ascii="Book Antiqua" w:hAnsi="Book Antiqua"/>
        </w:rPr>
        <w:t xml:space="preserve">, where the intelligence agencies worked to circumvent export controls meant to project the state’s peaceful image. Iraq, meanwhile, was one of the </w:t>
      </w:r>
      <w:r w:rsidR="009B56B3" w:rsidRPr="00EA0274">
        <w:rPr>
          <w:rFonts w:ascii="Book Antiqua" w:hAnsi="Book Antiqua"/>
        </w:rPr>
        <w:t>‘</w:t>
      </w:r>
      <w:r w:rsidR="00384AE8" w:rsidRPr="00EA0274">
        <w:rPr>
          <w:rFonts w:ascii="Book Antiqua" w:hAnsi="Book Antiqua"/>
        </w:rPr>
        <w:t>contender state</w:t>
      </w:r>
      <w:r w:rsidR="009B56B3" w:rsidRPr="00EA0274">
        <w:rPr>
          <w:rFonts w:ascii="Book Antiqua" w:hAnsi="Book Antiqua"/>
        </w:rPr>
        <w:t>s’</w:t>
      </w:r>
      <w:r w:rsidR="00384AE8" w:rsidRPr="00EA0274">
        <w:rPr>
          <w:rFonts w:ascii="Book Antiqua" w:hAnsi="Book Antiqua"/>
        </w:rPr>
        <w:t xml:space="preserve"> challenging the hegemony of the </w:t>
      </w:r>
      <w:r w:rsidR="009B56B3" w:rsidRPr="00EA0274">
        <w:rPr>
          <w:rFonts w:ascii="Book Antiqua" w:hAnsi="Book Antiqua"/>
        </w:rPr>
        <w:t>‘</w:t>
      </w:r>
      <w:r w:rsidR="00384AE8" w:rsidRPr="00EA0274">
        <w:rPr>
          <w:rFonts w:ascii="Book Antiqua" w:hAnsi="Book Antiqua"/>
        </w:rPr>
        <w:t>heartland</w:t>
      </w:r>
      <w:r w:rsidR="009B56B3" w:rsidRPr="00EA0274">
        <w:rPr>
          <w:rFonts w:ascii="Book Antiqua" w:hAnsi="Book Antiqua"/>
        </w:rPr>
        <w:t>’</w:t>
      </w:r>
      <w:r w:rsidR="00384AE8" w:rsidRPr="00EA0274">
        <w:rPr>
          <w:rFonts w:ascii="Book Antiqua" w:hAnsi="Book Antiqua"/>
        </w:rPr>
        <w:t xml:space="preserve"> of global capitalism. Its intelligence agencies worked to circumvent restrictions on imports to the country. Hoffmann provides a starting point to think about intelligence agencies as economic actors and she does so from the </w:t>
      </w:r>
      <w:r w:rsidR="00384AE8" w:rsidRPr="00EA0274">
        <w:rPr>
          <w:rFonts w:ascii="Book Antiqua" w:hAnsi="Book Antiqua"/>
        </w:rPr>
        <w:lastRenderedPageBreak/>
        <w:t>perspective of the Iraqi state, demonstrating the value of theorising from the Middle Eastern periphery.</w:t>
      </w:r>
      <w:r w:rsidR="00F445AE" w:rsidRPr="00EA0274">
        <w:rPr>
          <w:rFonts w:ascii="Book Antiqua" w:hAnsi="Book Antiqua"/>
        </w:rPr>
        <w:t xml:space="preserve"> </w:t>
      </w:r>
      <w:r w:rsidR="00EE345D" w:rsidRPr="00EA0274">
        <w:rPr>
          <w:rFonts w:ascii="Book Antiqua" w:hAnsi="Book Antiqua"/>
        </w:rPr>
        <w:t>M</w:t>
      </w:r>
      <w:r w:rsidR="00051DD1" w:rsidRPr="00EA0274">
        <w:rPr>
          <w:rFonts w:ascii="Book Antiqua" w:hAnsi="Book Antiqua"/>
        </w:rPr>
        <w:t xml:space="preserve">ethodologically, through its case selection strategy this article challenges dominant assumptions about comparability in IPE, while at the same time echoing Benedict Anderson (2016)’s view on comparison as a discursive strategy in which ‘the most instructive comparisons, whether of difference or similarity, are the ones that surprise’. Importantly, this enables Hoffmann to also contest the hard-and-fast application of the consolidated binary between democracy and authoritarianism, arguing not only that intelligence-commerce occurs across the </w:t>
      </w:r>
      <w:r w:rsidR="009B56B3" w:rsidRPr="00EA0274">
        <w:rPr>
          <w:rFonts w:ascii="Book Antiqua" w:hAnsi="Book Antiqua"/>
        </w:rPr>
        <w:t>board</w:t>
      </w:r>
      <w:r w:rsidR="00051DD1" w:rsidRPr="00EA0274">
        <w:rPr>
          <w:rFonts w:ascii="Book Antiqua" w:hAnsi="Book Antiqua"/>
        </w:rPr>
        <w:t>, but also that the most influential factor shaping the economic activities of different intelligence agencies is not so much the nature of their political regime, but rather their structural position in the global economy.</w:t>
      </w:r>
    </w:p>
    <w:p w14:paraId="1F6CFB32" w14:textId="57505EC6" w:rsidR="00314E32" w:rsidRPr="00EA0274" w:rsidRDefault="00314E32" w:rsidP="0004315F">
      <w:pPr>
        <w:spacing w:after="0" w:line="360" w:lineRule="auto"/>
        <w:ind w:firstLine="567"/>
        <w:jc w:val="both"/>
        <w:rPr>
          <w:rFonts w:ascii="Book Antiqua" w:hAnsi="Book Antiqua"/>
        </w:rPr>
      </w:pPr>
      <w:r w:rsidRPr="00EA0274">
        <w:rPr>
          <w:rFonts w:ascii="Book Antiqua" w:hAnsi="Book Antiqua"/>
        </w:rPr>
        <w:t xml:space="preserve">Ali Kassem addresses various IPE blind spots – race, gender, coloniality – by advancing an everyday decolonial IPE. </w:t>
      </w:r>
      <w:r w:rsidR="00187F1B">
        <w:rPr>
          <w:rFonts w:ascii="Book Antiqua" w:hAnsi="Book Antiqua"/>
        </w:rPr>
        <w:t>H</w:t>
      </w:r>
      <w:r w:rsidRPr="00EA0274">
        <w:rPr>
          <w:rFonts w:ascii="Book Antiqua" w:hAnsi="Book Antiqua"/>
        </w:rPr>
        <w:t>e identifies capitalism as a crucial part of Eurocentric modernity, which</w:t>
      </w:r>
      <w:r w:rsidR="00187F1B">
        <w:rPr>
          <w:rFonts w:ascii="Book Antiqua" w:hAnsi="Book Antiqua"/>
        </w:rPr>
        <w:t xml:space="preserve">, following Walter </w:t>
      </w:r>
      <w:proofErr w:type="spellStart"/>
      <w:r w:rsidR="00187F1B" w:rsidRPr="00EA0274">
        <w:rPr>
          <w:rFonts w:ascii="Book Antiqua" w:hAnsi="Book Antiqua"/>
        </w:rPr>
        <w:t>Mignolo</w:t>
      </w:r>
      <w:proofErr w:type="spellEnd"/>
      <w:r w:rsidR="007B49E2">
        <w:rPr>
          <w:rFonts w:ascii="Book Antiqua" w:hAnsi="Book Antiqua"/>
        </w:rPr>
        <w:t xml:space="preserve"> (2012)</w:t>
      </w:r>
      <w:r w:rsidR="00187F1B">
        <w:rPr>
          <w:rFonts w:ascii="Book Antiqua" w:hAnsi="Book Antiqua"/>
        </w:rPr>
        <w:t>,</w:t>
      </w:r>
      <w:r w:rsidR="00187F1B" w:rsidRPr="00EA0274">
        <w:rPr>
          <w:rFonts w:ascii="Book Antiqua" w:hAnsi="Book Antiqua"/>
        </w:rPr>
        <w:t xml:space="preserve"> </w:t>
      </w:r>
      <w:r w:rsidRPr="00EA0274">
        <w:rPr>
          <w:rFonts w:ascii="Book Antiqua" w:hAnsi="Book Antiqua"/>
        </w:rPr>
        <w:t xml:space="preserve">he interprets as a colonial project of </w:t>
      </w:r>
      <w:proofErr w:type="gramStart"/>
      <w:r w:rsidRPr="00EA0274">
        <w:rPr>
          <w:rFonts w:ascii="Book Antiqua" w:hAnsi="Book Antiqua"/>
        </w:rPr>
        <w:t>domination,.</w:t>
      </w:r>
      <w:proofErr w:type="gramEnd"/>
      <w:r w:rsidRPr="00EA0274">
        <w:rPr>
          <w:rFonts w:ascii="Book Antiqua" w:hAnsi="Book Antiqua"/>
        </w:rPr>
        <w:t xml:space="preserve"> Crucially, he finds that this project is being reproduced in everyday economic practices in Lebanon, namely the erasure and exclusion of visibly Muslim women from the Lebanese banking sector. He arrives at this conclusion by practicing </w:t>
      </w:r>
      <w:r w:rsidR="00E6212D" w:rsidRPr="00EA0274">
        <w:rPr>
          <w:rFonts w:ascii="Book Antiqua" w:hAnsi="Book Antiqua"/>
        </w:rPr>
        <w:t>‘</w:t>
      </w:r>
      <w:r w:rsidRPr="00EA0274">
        <w:rPr>
          <w:rFonts w:ascii="Book Antiqua" w:hAnsi="Book Antiqua"/>
        </w:rPr>
        <w:t>decolonial listening</w:t>
      </w:r>
      <w:r w:rsidR="00E6212D" w:rsidRPr="00EA0274">
        <w:rPr>
          <w:rFonts w:ascii="Book Antiqua" w:hAnsi="Book Antiqua"/>
        </w:rPr>
        <w:t>’</w:t>
      </w:r>
      <w:r w:rsidRPr="00EA0274">
        <w:rPr>
          <w:rFonts w:ascii="Book Antiqua" w:hAnsi="Book Antiqua"/>
        </w:rPr>
        <w:t xml:space="preserve"> in focus groups and interviews with 88 visibly Muslim women in Lebanon. Crucially, </w:t>
      </w:r>
      <w:r w:rsidR="005A7842" w:rsidRPr="00EA0274">
        <w:rPr>
          <w:rFonts w:ascii="Book Antiqua" w:hAnsi="Book Antiqua"/>
        </w:rPr>
        <w:t xml:space="preserve">insofar as </w:t>
      </w:r>
      <w:r w:rsidRPr="00EA0274">
        <w:rPr>
          <w:rFonts w:ascii="Book Antiqua" w:hAnsi="Book Antiqua"/>
        </w:rPr>
        <w:t>the Lebanese banking sector symbolises the country’s claim to progressive modernity</w:t>
      </w:r>
      <w:r w:rsidR="003C268A" w:rsidRPr="00EA0274">
        <w:rPr>
          <w:rFonts w:ascii="Book Antiqua" w:hAnsi="Book Antiqua"/>
        </w:rPr>
        <w:t>,</w:t>
      </w:r>
      <w:r w:rsidRPr="00EA0274">
        <w:rPr>
          <w:rFonts w:ascii="Book Antiqua" w:hAnsi="Book Antiqua"/>
        </w:rPr>
        <w:t xml:space="preserve"> Kassem interprets the exclusion of visibly Muslim women from employment in </w:t>
      </w:r>
      <w:r w:rsidR="00C27464" w:rsidRPr="00EA0274">
        <w:rPr>
          <w:rFonts w:ascii="Book Antiqua" w:hAnsi="Book Antiqua"/>
        </w:rPr>
        <w:t>Lebanese</w:t>
      </w:r>
      <w:r w:rsidRPr="00EA0274">
        <w:rPr>
          <w:rFonts w:ascii="Book Antiqua" w:hAnsi="Book Antiqua"/>
        </w:rPr>
        <w:t xml:space="preserve"> banking as a form of gendered anti-Muslim racism const</w:t>
      </w:r>
      <w:r w:rsidR="00C27464" w:rsidRPr="00EA0274">
        <w:rPr>
          <w:rFonts w:ascii="Book Antiqua" w:hAnsi="Book Antiqua"/>
        </w:rPr>
        <w:t>it</w:t>
      </w:r>
      <w:r w:rsidRPr="00EA0274">
        <w:rPr>
          <w:rFonts w:ascii="Book Antiqua" w:hAnsi="Book Antiqua"/>
        </w:rPr>
        <w:t>u</w:t>
      </w:r>
      <w:r w:rsidR="00C27464" w:rsidRPr="00EA0274">
        <w:rPr>
          <w:rFonts w:ascii="Book Antiqua" w:hAnsi="Book Antiqua"/>
        </w:rPr>
        <w:t>ti</w:t>
      </w:r>
      <w:r w:rsidRPr="00EA0274">
        <w:rPr>
          <w:rFonts w:ascii="Book Antiqua" w:hAnsi="Book Antiqua"/>
        </w:rPr>
        <w:t>ve of the Lebanese project of Eurocentric modernity. While such erasure is here pursued by private sector financial institutions independently from the state, this practice is in line with the Lebanese nation state’s post-colonial imaginary.</w:t>
      </w:r>
      <w:r w:rsidR="00C27464" w:rsidRPr="00EA0274">
        <w:rPr>
          <w:rFonts w:ascii="Book Antiqua" w:hAnsi="Book Antiqua"/>
        </w:rPr>
        <w:t xml:space="preserve"> </w:t>
      </w:r>
    </w:p>
    <w:p w14:paraId="7C648F7B" w14:textId="03FA6BD8" w:rsidR="00A63E2F" w:rsidRPr="00EA0274" w:rsidRDefault="00A63E2F" w:rsidP="0004315F">
      <w:pPr>
        <w:spacing w:after="0" w:line="360" w:lineRule="auto"/>
        <w:ind w:firstLine="567"/>
        <w:jc w:val="both"/>
        <w:rPr>
          <w:rFonts w:ascii="Book Antiqua" w:hAnsi="Book Antiqua"/>
        </w:rPr>
      </w:pPr>
      <w:r w:rsidRPr="00EA0274">
        <w:rPr>
          <w:rFonts w:ascii="Book Antiqua" w:hAnsi="Book Antiqua"/>
        </w:rPr>
        <w:t>Indicators are a crucial technology of government</w:t>
      </w:r>
      <w:r w:rsidR="0088006C" w:rsidRPr="00EA0274">
        <w:rPr>
          <w:rFonts w:ascii="Book Antiqua" w:hAnsi="Book Antiqua"/>
        </w:rPr>
        <w:t xml:space="preserve"> and scholarship on them helps address another blind spot of IPE, namely the expertise-intensity of our economy and its governance</w:t>
      </w:r>
      <w:r w:rsidRPr="00EA0274">
        <w:rPr>
          <w:rFonts w:ascii="Book Antiqua" w:hAnsi="Book Antiqua"/>
        </w:rPr>
        <w:t>. Drawing on the literature on indicators and governmentality, Lenner points out that they make a phenomenon legible and hold the state respon</w:t>
      </w:r>
      <w:r w:rsidR="00A833F2" w:rsidRPr="00EA0274">
        <w:rPr>
          <w:rFonts w:ascii="Book Antiqua" w:hAnsi="Book Antiqua"/>
        </w:rPr>
        <w:t>s</w:t>
      </w:r>
      <w:r w:rsidRPr="00EA0274">
        <w:rPr>
          <w:rFonts w:ascii="Book Antiqua" w:hAnsi="Book Antiqua"/>
        </w:rPr>
        <w:t xml:space="preserve">ible for tackling it. At the same time, </w:t>
      </w:r>
      <w:r w:rsidR="00E6212D" w:rsidRPr="00EA0274">
        <w:rPr>
          <w:rFonts w:ascii="Book Antiqua" w:hAnsi="Book Antiqua"/>
        </w:rPr>
        <w:t>s</w:t>
      </w:r>
      <w:r w:rsidRPr="00EA0274">
        <w:rPr>
          <w:rFonts w:ascii="Book Antiqua" w:hAnsi="Book Antiqua"/>
        </w:rPr>
        <w:t xml:space="preserve">he identifies </w:t>
      </w:r>
      <w:r w:rsidR="00A833F2" w:rsidRPr="00EA0274">
        <w:rPr>
          <w:rFonts w:ascii="Book Antiqua" w:hAnsi="Book Antiqua"/>
        </w:rPr>
        <w:t>‘</w:t>
      </w:r>
      <w:r w:rsidRPr="00EA0274">
        <w:rPr>
          <w:rFonts w:ascii="Book Antiqua" w:hAnsi="Book Antiqua"/>
        </w:rPr>
        <w:t>opacity</w:t>
      </w:r>
      <w:r w:rsidR="00A833F2" w:rsidRPr="00EA0274">
        <w:rPr>
          <w:rFonts w:ascii="Book Antiqua" w:hAnsi="Book Antiqua"/>
        </w:rPr>
        <w:t>’</w:t>
      </w:r>
      <w:r w:rsidRPr="00EA0274">
        <w:rPr>
          <w:rFonts w:ascii="Book Antiqua" w:hAnsi="Book Antiqua"/>
        </w:rPr>
        <w:t xml:space="preserve"> as a technology of government that allows the state to </w:t>
      </w:r>
      <w:r w:rsidR="0088006C" w:rsidRPr="00EA0274">
        <w:rPr>
          <w:rFonts w:ascii="Book Antiqua" w:hAnsi="Book Antiqua"/>
        </w:rPr>
        <w:t>evade this very responsibility. She shows how this tension between legibility and opacity produced poverty indicators in Jordan</w:t>
      </w:r>
      <w:r w:rsidR="00355094" w:rsidRPr="00EA0274">
        <w:rPr>
          <w:rFonts w:ascii="Book Antiqua" w:hAnsi="Book Antiqua"/>
        </w:rPr>
        <w:t>,</w:t>
      </w:r>
      <w:r w:rsidR="0088006C" w:rsidRPr="00EA0274">
        <w:rPr>
          <w:rFonts w:ascii="Book Antiqua" w:hAnsi="Book Antiqua"/>
        </w:rPr>
        <w:t xml:space="preserve"> which were </w:t>
      </w:r>
      <w:r w:rsidR="00A833F2" w:rsidRPr="00EA0274">
        <w:rPr>
          <w:rFonts w:ascii="Book Antiqua" w:hAnsi="Book Antiqua"/>
        </w:rPr>
        <w:t>‘</w:t>
      </w:r>
      <w:r w:rsidR="0088006C" w:rsidRPr="00EA0274">
        <w:rPr>
          <w:rFonts w:ascii="Book Antiqua" w:hAnsi="Book Antiqua"/>
        </w:rPr>
        <w:t>not too high and not too low</w:t>
      </w:r>
      <w:r w:rsidR="00A833F2" w:rsidRPr="00EA0274">
        <w:rPr>
          <w:rFonts w:ascii="Book Antiqua" w:hAnsi="Book Antiqua"/>
        </w:rPr>
        <w:t>’</w:t>
      </w:r>
      <w:r w:rsidR="0088006C" w:rsidRPr="00EA0274">
        <w:rPr>
          <w:rFonts w:ascii="Book Antiqua" w:hAnsi="Book Antiqua"/>
        </w:rPr>
        <w:t>. They were low enough for the state to be able to claim it was able to address the issue</w:t>
      </w:r>
      <w:r w:rsidR="00355094" w:rsidRPr="00EA0274">
        <w:rPr>
          <w:rFonts w:ascii="Book Antiqua" w:hAnsi="Book Antiqua"/>
        </w:rPr>
        <w:t>,</w:t>
      </w:r>
      <w:r w:rsidR="0088006C" w:rsidRPr="00EA0274">
        <w:rPr>
          <w:rFonts w:ascii="Book Antiqua" w:hAnsi="Book Antiqua"/>
        </w:rPr>
        <w:t xml:space="preserve"> </w:t>
      </w:r>
      <w:r w:rsidR="00355094" w:rsidRPr="00EA0274">
        <w:rPr>
          <w:rFonts w:ascii="Book Antiqua" w:hAnsi="Book Antiqua"/>
        </w:rPr>
        <w:t>bu</w:t>
      </w:r>
      <w:r w:rsidR="0088006C" w:rsidRPr="00EA0274">
        <w:rPr>
          <w:rFonts w:ascii="Book Antiqua" w:hAnsi="Book Antiqua"/>
        </w:rPr>
        <w:t xml:space="preserve">t high enough to still demand aid from international donors. Lenner </w:t>
      </w:r>
      <w:r w:rsidR="00355094" w:rsidRPr="00EA0274">
        <w:rPr>
          <w:rFonts w:ascii="Book Antiqua" w:hAnsi="Book Antiqua"/>
        </w:rPr>
        <w:t xml:space="preserve">thus interprets the indicators as a </w:t>
      </w:r>
      <w:proofErr w:type="spellStart"/>
      <w:r w:rsidR="00355094" w:rsidRPr="00EA0274">
        <w:rPr>
          <w:rFonts w:ascii="Book Antiqua" w:hAnsi="Book Antiqua"/>
        </w:rPr>
        <w:t>Mitchellian</w:t>
      </w:r>
      <w:proofErr w:type="spellEnd"/>
      <w:r w:rsidR="00355094" w:rsidRPr="00EA0274">
        <w:rPr>
          <w:rFonts w:ascii="Book Antiqua" w:hAnsi="Book Antiqua"/>
        </w:rPr>
        <w:t xml:space="preserve"> state effect, which came about through the interaction of various actors across government agencies, donor agencies, and international financial institutions. It produced the </w:t>
      </w:r>
      <w:r w:rsidR="00355094" w:rsidRPr="00EA0274">
        <w:rPr>
          <w:rFonts w:ascii="Book Antiqua" w:hAnsi="Book Antiqua"/>
        </w:rPr>
        <w:lastRenderedPageBreak/>
        <w:t xml:space="preserve">paradoxical effect of apparent transparency coupled with the impossibility to assess the success or </w:t>
      </w:r>
      <w:r w:rsidR="00257AF0" w:rsidRPr="00EA0274">
        <w:rPr>
          <w:rFonts w:ascii="Book Antiqua" w:hAnsi="Book Antiqua"/>
        </w:rPr>
        <w:t>f</w:t>
      </w:r>
      <w:r w:rsidR="00355094" w:rsidRPr="00EA0274">
        <w:rPr>
          <w:rFonts w:ascii="Book Antiqua" w:hAnsi="Book Antiqua"/>
        </w:rPr>
        <w:t>ailure of specific policies as well as public cynicism vis-à-vis these figures.</w:t>
      </w:r>
      <w:r w:rsidR="00E71977" w:rsidRPr="00EA0274">
        <w:rPr>
          <w:rFonts w:ascii="Book Antiqua" w:hAnsi="Book Antiqua"/>
        </w:rPr>
        <w:t xml:space="preserve"> </w:t>
      </w:r>
    </w:p>
    <w:p w14:paraId="43A08177" w14:textId="0CBC2A96" w:rsidR="00E71977" w:rsidRDefault="00051DD1" w:rsidP="0004315F">
      <w:pPr>
        <w:spacing w:after="0" w:line="360" w:lineRule="auto"/>
        <w:ind w:firstLine="567"/>
        <w:jc w:val="both"/>
        <w:rPr>
          <w:rFonts w:ascii="Book Antiqua" w:hAnsi="Book Antiqua"/>
        </w:rPr>
      </w:pPr>
      <w:r w:rsidRPr="00EA0274">
        <w:rPr>
          <w:rFonts w:ascii="Book Antiqua" w:hAnsi="Book Antiqua"/>
        </w:rPr>
        <w:t xml:space="preserve">Finally, the special issue also looks at how global economic transformations have reconfigured the state-society complex (Cox 1987) in some Middle Eastern countries. These transformations however do not see the region as passive recipient of external stimuli, but rather as an active participant in adapting and ‘localising’ global processes, practices, and norms. </w:t>
      </w:r>
      <w:r w:rsidR="00E71977" w:rsidRPr="00EA0274">
        <w:rPr>
          <w:rFonts w:ascii="Book Antiqua" w:hAnsi="Book Antiqua"/>
        </w:rPr>
        <w:t xml:space="preserve">Kayhan Valadbaygi rejects </w:t>
      </w:r>
      <w:proofErr w:type="spellStart"/>
      <w:r w:rsidR="00E71977" w:rsidRPr="00EA0274">
        <w:rPr>
          <w:rFonts w:ascii="Book Antiqua" w:hAnsi="Book Antiqua"/>
        </w:rPr>
        <w:t>exceptionalist</w:t>
      </w:r>
      <w:proofErr w:type="spellEnd"/>
      <w:r w:rsidR="00E71977" w:rsidRPr="00EA0274">
        <w:rPr>
          <w:rFonts w:ascii="Book Antiqua" w:hAnsi="Book Antiqua"/>
        </w:rPr>
        <w:t xml:space="preserve"> accounts of Iranian political economy, whether base</w:t>
      </w:r>
      <w:r w:rsidR="009268BB">
        <w:rPr>
          <w:rFonts w:ascii="Book Antiqua" w:hAnsi="Book Antiqua"/>
        </w:rPr>
        <w:t>d</w:t>
      </w:r>
      <w:r w:rsidR="00E71977" w:rsidRPr="00EA0274">
        <w:rPr>
          <w:rFonts w:ascii="Book Antiqua" w:hAnsi="Book Antiqua"/>
        </w:rPr>
        <w:t xml:space="preserve"> on rentier-</w:t>
      </w:r>
      <w:proofErr w:type="spellStart"/>
      <w:r w:rsidR="00E71977" w:rsidRPr="00EA0274">
        <w:rPr>
          <w:rFonts w:ascii="Book Antiqua" w:hAnsi="Book Antiqua"/>
        </w:rPr>
        <w:t>statism</w:t>
      </w:r>
      <w:proofErr w:type="spellEnd"/>
      <w:r w:rsidR="00E71977" w:rsidRPr="00EA0274">
        <w:rPr>
          <w:rFonts w:ascii="Book Antiqua" w:hAnsi="Book Antiqua"/>
        </w:rPr>
        <w:t>,</w:t>
      </w:r>
      <w:r w:rsidR="00A833F2" w:rsidRPr="00EA0274">
        <w:rPr>
          <w:rFonts w:ascii="Book Antiqua" w:hAnsi="Book Antiqua"/>
        </w:rPr>
        <w:t xml:space="preserve"> </w:t>
      </w:r>
      <w:r w:rsidR="00E71977" w:rsidRPr="00EA0274">
        <w:rPr>
          <w:rFonts w:ascii="Book Antiqua" w:hAnsi="Book Antiqua"/>
        </w:rPr>
        <w:t xml:space="preserve">elite factionalism and patronage networks, or Shia Islam. Instead, he </w:t>
      </w:r>
      <w:r w:rsidR="003C268A" w:rsidRPr="00EA0274">
        <w:rPr>
          <w:rFonts w:ascii="Book Antiqua" w:hAnsi="Book Antiqua"/>
        </w:rPr>
        <w:t>‘</w:t>
      </w:r>
      <w:r w:rsidR="00E71977" w:rsidRPr="00EA0274">
        <w:rPr>
          <w:rFonts w:ascii="Book Antiqua" w:hAnsi="Book Antiqua"/>
        </w:rPr>
        <w:t>situates Iran within the wider motion and tendencies of global capitalism</w:t>
      </w:r>
      <w:r w:rsidR="003C268A" w:rsidRPr="00EA0274">
        <w:rPr>
          <w:rFonts w:ascii="Book Antiqua" w:hAnsi="Book Antiqua"/>
        </w:rPr>
        <w:t>’</w:t>
      </w:r>
      <w:r w:rsidR="00E71977" w:rsidRPr="00EA0274">
        <w:rPr>
          <w:rFonts w:ascii="Book Antiqua" w:hAnsi="Book Antiqua"/>
        </w:rPr>
        <w:t xml:space="preserve"> while taking account of local dynamics. He thus tracks Iranian </w:t>
      </w:r>
      <w:proofErr w:type="spellStart"/>
      <w:r w:rsidR="00E71977" w:rsidRPr="00EA0274">
        <w:rPr>
          <w:rFonts w:ascii="Book Antiqua" w:hAnsi="Book Antiqua"/>
        </w:rPr>
        <w:t>neoliberalisation</w:t>
      </w:r>
      <w:proofErr w:type="spellEnd"/>
      <w:r w:rsidR="00E71977" w:rsidRPr="00EA0274">
        <w:rPr>
          <w:rFonts w:ascii="Book Antiqua" w:hAnsi="Book Antiqua"/>
        </w:rPr>
        <w:t xml:space="preserve"> across two phases. An initial economic opening from 1990 to 2005 created an </w:t>
      </w:r>
      <w:r w:rsidR="003C268A" w:rsidRPr="00EA0274">
        <w:rPr>
          <w:rFonts w:ascii="Book Antiqua" w:hAnsi="Book Antiqua"/>
        </w:rPr>
        <w:t>‘</w:t>
      </w:r>
      <w:r w:rsidR="00E71977" w:rsidRPr="00EA0274">
        <w:rPr>
          <w:rFonts w:ascii="Book Antiqua" w:hAnsi="Book Antiqua"/>
        </w:rPr>
        <w:t>internationally oriented capital faction</w:t>
      </w:r>
      <w:r w:rsidR="003C268A" w:rsidRPr="00EA0274">
        <w:rPr>
          <w:rFonts w:ascii="Book Antiqua" w:hAnsi="Book Antiqua"/>
        </w:rPr>
        <w:t>’</w:t>
      </w:r>
      <w:r w:rsidR="00E71977" w:rsidRPr="00EA0274">
        <w:rPr>
          <w:rFonts w:ascii="Book Antiqua" w:hAnsi="Book Antiqua"/>
        </w:rPr>
        <w:t xml:space="preserve"> seeking integration into the global </w:t>
      </w:r>
      <w:r w:rsidR="00DF7C35" w:rsidRPr="00EA0274">
        <w:rPr>
          <w:rFonts w:ascii="Book Antiqua" w:hAnsi="Book Antiqua"/>
        </w:rPr>
        <w:t xml:space="preserve">capitalist order. This faction pushed for accommodation with the West and stands firmly behind the nuclear agreement that Iran struck with the five permanent UN Security Council members plus Germany in 2015. </w:t>
      </w:r>
      <w:r w:rsidR="00715114" w:rsidRPr="00EA0274">
        <w:rPr>
          <w:rFonts w:ascii="Book Antiqua" w:hAnsi="Book Antiqua"/>
        </w:rPr>
        <w:t xml:space="preserve">A second wave of </w:t>
      </w:r>
      <w:proofErr w:type="spellStart"/>
      <w:r w:rsidR="00715114" w:rsidRPr="00EA0274">
        <w:rPr>
          <w:rFonts w:ascii="Book Antiqua" w:hAnsi="Book Antiqua"/>
        </w:rPr>
        <w:t>neoliberalisation</w:t>
      </w:r>
      <w:proofErr w:type="spellEnd"/>
      <w:r w:rsidR="00715114" w:rsidRPr="00EA0274">
        <w:rPr>
          <w:rFonts w:ascii="Book Antiqua" w:hAnsi="Book Antiqua"/>
        </w:rPr>
        <w:t xml:space="preserve"> from 2005 to 2013 created a military-bonyad complex, with reference to Islamic revolutionary foundations which were handed control over state-owned enterprises during this period. The military-bonyad complex pursued neoliberal accumulation based on a </w:t>
      </w:r>
      <w:r w:rsidR="003C268A" w:rsidRPr="00EA0274">
        <w:rPr>
          <w:rFonts w:ascii="Book Antiqua" w:hAnsi="Book Antiqua"/>
        </w:rPr>
        <w:t>‘</w:t>
      </w:r>
      <w:r w:rsidR="00715114" w:rsidRPr="00EA0274">
        <w:rPr>
          <w:rFonts w:ascii="Book Antiqua" w:hAnsi="Book Antiqua"/>
        </w:rPr>
        <w:t>flexible</w:t>
      </w:r>
      <w:r w:rsidR="003C268A" w:rsidRPr="00EA0274">
        <w:rPr>
          <w:rFonts w:ascii="Book Antiqua" w:hAnsi="Book Antiqua"/>
        </w:rPr>
        <w:t>’</w:t>
      </w:r>
      <w:r w:rsidR="00715114" w:rsidRPr="00EA0274">
        <w:rPr>
          <w:rFonts w:ascii="Book Antiqua" w:hAnsi="Book Antiqua"/>
        </w:rPr>
        <w:t xml:space="preserve"> labour market but opposed integration into Western-dominated capitalism. Valadbaygi explains the institutional reorganisation of the Iranian state with reference to the dynamic between the two capital fractions. </w:t>
      </w:r>
      <w:r w:rsidR="004D07DD" w:rsidRPr="00EA0274">
        <w:rPr>
          <w:rFonts w:ascii="Book Antiqua" w:hAnsi="Book Antiqua"/>
        </w:rPr>
        <w:t xml:space="preserve">Iran’s state is thus not shaped by oil, neo-patrimonial elite factionalism, or Shia Islamist ideology but by the dynamics of global capitalism, mediated via domestic class dynamics. </w:t>
      </w:r>
    </w:p>
    <w:p w14:paraId="4F519B39" w14:textId="0BEE1EF9" w:rsidR="00F41D49" w:rsidRPr="00EA0274" w:rsidRDefault="00F41D49" w:rsidP="00F41D49">
      <w:pPr>
        <w:spacing w:after="0" w:line="360" w:lineRule="auto"/>
        <w:ind w:firstLine="567"/>
        <w:jc w:val="both"/>
        <w:rPr>
          <w:rFonts w:ascii="Book Antiqua" w:hAnsi="Book Antiqua"/>
        </w:rPr>
      </w:pPr>
      <w:r w:rsidRPr="00EA0274">
        <w:rPr>
          <w:rFonts w:ascii="Book Antiqua" w:hAnsi="Book Antiqua"/>
        </w:rPr>
        <w:t xml:space="preserve">International political economy </w:t>
      </w:r>
      <w:r>
        <w:rPr>
          <w:rFonts w:ascii="Book Antiqua" w:hAnsi="Book Antiqua"/>
        </w:rPr>
        <w:t>can no longer ignore</w:t>
      </w:r>
      <w:r w:rsidRPr="00EA0274">
        <w:rPr>
          <w:rFonts w:ascii="Book Antiqua" w:hAnsi="Book Antiqua"/>
        </w:rPr>
        <w:t xml:space="preserve"> the Middle East. </w:t>
      </w:r>
      <w:r>
        <w:rPr>
          <w:rFonts w:ascii="Book Antiqua" w:hAnsi="Book Antiqua"/>
        </w:rPr>
        <w:t xml:space="preserve">The contributions to this special issue demonstrate the </w:t>
      </w:r>
      <w:r w:rsidR="00D65476">
        <w:rPr>
          <w:rFonts w:ascii="Book Antiqua" w:hAnsi="Book Antiqua"/>
        </w:rPr>
        <w:t xml:space="preserve">importance of engaging with this </w:t>
      </w:r>
      <w:r>
        <w:rPr>
          <w:rFonts w:ascii="Book Antiqua" w:hAnsi="Book Antiqua"/>
        </w:rPr>
        <w:t>region to challenge</w:t>
      </w:r>
      <w:r w:rsidRPr="00EA0274">
        <w:rPr>
          <w:rFonts w:ascii="Book Antiqua" w:hAnsi="Book Antiqua"/>
        </w:rPr>
        <w:t xml:space="preserve"> IPE’s ‘blind spots’ </w:t>
      </w:r>
      <w:r w:rsidR="00CF5B7D">
        <w:rPr>
          <w:rFonts w:ascii="Book Antiqua" w:hAnsi="Book Antiqua"/>
        </w:rPr>
        <w:t>pertaining to</w:t>
      </w:r>
      <w:r>
        <w:rPr>
          <w:rFonts w:ascii="Book Antiqua" w:hAnsi="Book Antiqua"/>
        </w:rPr>
        <w:t xml:space="preserve"> </w:t>
      </w:r>
      <w:r w:rsidRPr="00EA0274">
        <w:rPr>
          <w:rFonts w:ascii="Book Antiqua" w:hAnsi="Book Antiqua"/>
        </w:rPr>
        <w:t>gender and sexuality, race</w:t>
      </w:r>
      <w:r>
        <w:rPr>
          <w:rFonts w:ascii="Book Antiqua" w:hAnsi="Book Antiqua"/>
        </w:rPr>
        <w:t xml:space="preserve">, </w:t>
      </w:r>
      <w:r w:rsidRPr="00EA0274">
        <w:rPr>
          <w:rFonts w:ascii="Book Antiqua" w:hAnsi="Book Antiqua"/>
        </w:rPr>
        <w:t xml:space="preserve">colonialism, </w:t>
      </w:r>
      <w:r w:rsidR="00CF5B7D">
        <w:rPr>
          <w:rFonts w:ascii="Book Antiqua" w:hAnsi="Book Antiqua"/>
        </w:rPr>
        <w:t xml:space="preserve">the </w:t>
      </w:r>
      <w:r w:rsidRPr="00EA0274">
        <w:rPr>
          <w:rFonts w:ascii="Book Antiqua" w:hAnsi="Book Antiqua"/>
        </w:rPr>
        <w:t>security-economy nexus, and the expertise intensity of our economy.</w:t>
      </w:r>
      <w:r>
        <w:rPr>
          <w:rFonts w:ascii="Book Antiqua" w:hAnsi="Book Antiqua"/>
        </w:rPr>
        <w:t xml:space="preserve"> They </w:t>
      </w:r>
      <w:r w:rsidR="00CF5B7D">
        <w:rPr>
          <w:rFonts w:ascii="Book Antiqua" w:hAnsi="Book Antiqua"/>
        </w:rPr>
        <w:t>do</w:t>
      </w:r>
      <w:r>
        <w:rPr>
          <w:rFonts w:ascii="Book Antiqua" w:hAnsi="Book Antiqua"/>
        </w:rPr>
        <w:t xml:space="preserve"> so by looking at the state from a variety of perspectives – history, ethnography, or flows and circulation. What emerges from these accounts is not a </w:t>
      </w:r>
      <w:r w:rsidRPr="00EA0274">
        <w:rPr>
          <w:rFonts w:ascii="Book Antiqua" w:hAnsi="Book Antiqua"/>
        </w:rPr>
        <w:t>singular ‘Middle Eastern state’</w:t>
      </w:r>
      <w:r>
        <w:rPr>
          <w:rFonts w:ascii="Book Antiqua" w:hAnsi="Book Antiqua"/>
        </w:rPr>
        <w:t xml:space="preserve"> but </w:t>
      </w:r>
      <w:r w:rsidR="00CF5B7D">
        <w:rPr>
          <w:rFonts w:ascii="Book Antiqua" w:hAnsi="Book Antiqua"/>
        </w:rPr>
        <w:t xml:space="preserve">rather </w:t>
      </w:r>
      <w:r>
        <w:rPr>
          <w:rFonts w:ascii="Book Antiqua" w:hAnsi="Book Antiqua"/>
        </w:rPr>
        <w:t xml:space="preserve">Middle Eastern states as </w:t>
      </w:r>
      <w:r w:rsidRPr="00EA0274">
        <w:rPr>
          <w:rFonts w:ascii="Book Antiqua" w:hAnsi="Book Antiqua"/>
        </w:rPr>
        <w:t>active makers of regional and global capitalism</w:t>
      </w:r>
      <w:r>
        <w:rPr>
          <w:rFonts w:ascii="Book Antiqua" w:hAnsi="Book Antiqua"/>
        </w:rPr>
        <w:t xml:space="preserve">. </w:t>
      </w:r>
    </w:p>
    <w:p w14:paraId="4A58CAA4" w14:textId="38BD1D66" w:rsidR="00DE177A" w:rsidRPr="00EA0274" w:rsidRDefault="00DE177A" w:rsidP="00DE177A">
      <w:pPr>
        <w:spacing w:after="0" w:line="360" w:lineRule="auto"/>
        <w:ind w:firstLine="567"/>
        <w:rPr>
          <w:rFonts w:ascii="Book Antiqua" w:hAnsi="Book Antiqua" w:cs="Times New Roman"/>
          <w:color w:val="000000" w:themeColor="text1"/>
        </w:rPr>
      </w:pPr>
    </w:p>
    <w:p w14:paraId="50972626" w14:textId="6B90EE07" w:rsidR="00DD7201" w:rsidRPr="00EA0274" w:rsidRDefault="00392675" w:rsidP="00C61587">
      <w:pPr>
        <w:rPr>
          <w:rFonts w:ascii="Book Antiqua" w:hAnsi="Book Antiqua"/>
          <w:b/>
          <w:bCs/>
        </w:rPr>
      </w:pPr>
      <w:r w:rsidRPr="00EA0274">
        <w:rPr>
          <w:rFonts w:ascii="Book Antiqua" w:hAnsi="Book Antiqua"/>
          <w:b/>
          <w:bCs/>
        </w:rPr>
        <w:t>References</w:t>
      </w:r>
    </w:p>
    <w:p w14:paraId="31D482B2" w14:textId="29A914FC" w:rsidR="005A05CF" w:rsidRPr="000B1BF7" w:rsidRDefault="00E52476" w:rsidP="005A05CF">
      <w:pPr>
        <w:spacing w:after="0" w:line="360" w:lineRule="auto"/>
        <w:ind w:left="567" w:hanging="567"/>
        <w:jc w:val="both"/>
        <w:rPr>
          <w:noProof/>
        </w:rPr>
      </w:pPr>
      <w:r w:rsidRPr="00EA0274">
        <w:rPr>
          <w:rFonts w:ascii="Book Antiqua" w:hAnsi="Book Antiqua"/>
        </w:rPr>
        <w:t xml:space="preserve">Achcar, G. </w:t>
      </w:r>
      <w:r w:rsidR="00A91960" w:rsidRPr="00EA0274">
        <w:rPr>
          <w:rFonts w:ascii="Book Antiqua" w:hAnsi="Book Antiqua"/>
        </w:rPr>
        <w:t>(</w:t>
      </w:r>
      <w:r w:rsidRPr="00EA0274">
        <w:rPr>
          <w:rFonts w:ascii="Book Antiqua" w:hAnsi="Book Antiqua"/>
        </w:rPr>
        <w:t>2021</w:t>
      </w:r>
      <w:r w:rsidR="00A91960" w:rsidRPr="00EA0274">
        <w:rPr>
          <w:rFonts w:ascii="Book Antiqua" w:hAnsi="Book Antiqua"/>
        </w:rPr>
        <w:t>)</w:t>
      </w:r>
      <w:r w:rsidRPr="00EA0274">
        <w:rPr>
          <w:rFonts w:ascii="Book Antiqua" w:hAnsi="Book Antiqua"/>
        </w:rPr>
        <w:t xml:space="preserve">. Hegemony, Domination, Corruption and Fraud in the Arab Region. </w:t>
      </w:r>
      <w:r w:rsidRPr="00EA0274">
        <w:rPr>
          <w:rFonts w:ascii="Book Antiqua" w:hAnsi="Book Antiqua"/>
          <w:i/>
          <w:iCs/>
        </w:rPr>
        <w:t>Middle East Critique</w:t>
      </w:r>
      <w:r w:rsidRPr="00EA0274">
        <w:rPr>
          <w:rFonts w:ascii="Book Antiqua" w:hAnsi="Book Antiqua"/>
        </w:rPr>
        <w:t xml:space="preserve">. </w:t>
      </w:r>
      <w:r w:rsidRPr="00EA0274">
        <w:rPr>
          <w:rFonts w:ascii="Book Antiqua" w:hAnsi="Book Antiqua"/>
          <w:i/>
          <w:iCs/>
        </w:rPr>
        <w:t>30</w:t>
      </w:r>
      <w:r w:rsidRPr="00EA0274">
        <w:rPr>
          <w:rFonts w:ascii="Book Antiqua" w:hAnsi="Book Antiqua"/>
        </w:rPr>
        <w:t>(1): 57-66.</w:t>
      </w:r>
      <w:r w:rsidR="005A05CF" w:rsidRPr="000B1BF7">
        <w:rPr>
          <w:noProof/>
        </w:rPr>
        <w:t xml:space="preserve"> </w:t>
      </w:r>
    </w:p>
    <w:p w14:paraId="362C4CDF" w14:textId="41F86DBD" w:rsidR="00E52476" w:rsidRPr="000B1BF7" w:rsidRDefault="005A05CF" w:rsidP="005A05CF">
      <w:pPr>
        <w:spacing w:after="0" w:line="360" w:lineRule="auto"/>
        <w:ind w:left="567" w:hanging="567"/>
        <w:jc w:val="both"/>
        <w:rPr>
          <w:rFonts w:ascii="Book Antiqua" w:hAnsi="Book Antiqua"/>
        </w:rPr>
      </w:pPr>
      <w:proofErr w:type="spellStart"/>
      <w:r w:rsidRPr="000B1BF7">
        <w:rPr>
          <w:rFonts w:ascii="Book Antiqua" w:hAnsi="Book Antiqua"/>
        </w:rPr>
        <w:lastRenderedPageBreak/>
        <w:t>Adly</w:t>
      </w:r>
      <w:proofErr w:type="spellEnd"/>
      <w:r w:rsidRPr="000B1BF7">
        <w:rPr>
          <w:rFonts w:ascii="Book Antiqua" w:hAnsi="Book Antiqua"/>
        </w:rPr>
        <w:t xml:space="preserve">, A. (2020). </w:t>
      </w:r>
      <w:r w:rsidRPr="000B1BF7">
        <w:rPr>
          <w:rFonts w:ascii="Book Antiqua" w:hAnsi="Book Antiqua"/>
          <w:i/>
          <w:iCs/>
        </w:rPr>
        <w:t>Cleft capitalism: The social origins of failed market making in Egypt.</w:t>
      </w:r>
      <w:r w:rsidRPr="000B1BF7">
        <w:rPr>
          <w:rFonts w:ascii="Book Antiqua" w:hAnsi="Book Antiqua"/>
        </w:rPr>
        <w:t xml:space="preserve"> Stanford: Stanford University Press.</w:t>
      </w:r>
    </w:p>
    <w:p w14:paraId="5DFA64E8" w14:textId="38AC384B" w:rsidR="005A05CF" w:rsidRPr="000B1BF7" w:rsidRDefault="005A05CF" w:rsidP="005A05CF">
      <w:pPr>
        <w:spacing w:after="0" w:line="360" w:lineRule="auto"/>
        <w:ind w:left="567" w:hanging="567"/>
        <w:jc w:val="both"/>
        <w:rPr>
          <w:rFonts w:ascii="Book Antiqua" w:hAnsi="Book Antiqua"/>
        </w:rPr>
      </w:pPr>
      <w:r w:rsidRPr="000B1BF7">
        <w:rPr>
          <w:rFonts w:ascii="Book Antiqua" w:hAnsi="Book Antiqua"/>
        </w:rPr>
        <w:t xml:space="preserve">Alami, I., &amp; Dixon, A. (2020). State capitalism(s) redux? Theories, tensions, controversies. </w:t>
      </w:r>
      <w:r w:rsidRPr="000B1BF7">
        <w:rPr>
          <w:rFonts w:ascii="Book Antiqua" w:hAnsi="Book Antiqua"/>
          <w:i/>
          <w:iCs/>
        </w:rPr>
        <w:t>Competition and Change, 24</w:t>
      </w:r>
      <w:r w:rsidRPr="000B1BF7">
        <w:rPr>
          <w:rFonts w:ascii="Book Antiqua" w:hAnsi="Book Antiqua"/>
        </w:rPr>
        <w:t>(1), 70-94.</w:t>
      </w:r>
    </w:p>
    <w:p w14:paraId="67E002E9" w14:textId="17367357" w:rsidR="00465022" w:rsidRPr="00EA0274" w:rsidRDefault="00465022" w:rsidP="006A79F1">
      <w:pPr>
        <w:spacing w:after="0" w:line="360" w:lineRule="auto"/>
        <w:ind w:left="567" w:hanging="567"/>
        <w:jc w:val="both"/>
        <w:rPr>
          <w:rFonts w:ascii="Book Antiqua" w:hAnsi="Book Antiqua"/>
        </w:rPr>
      </w:pPr>
      <w:r w:rsidRPr="000B1BF7">
        <w:rPr>
          <w:rFonts w:ascii="Book Antiqua" w:hAnsi="Book Antiqua"/>
        </w:rPr>
        <w:t xml:space="preserve">Alami, I. </w:t>
      </w:r>
      <w:proofErr w:type="spellStart"/>
      <w:r w:rsidRPr="000B1BF7">
        <w:rPr>
          <w:rFonts w:ascii="Book Antiqua" w:hAnsi="Book Antiqua"/>
        </w:rPr>
        <w:t>Babic</w:t>
      </w:r>
      <w:proofErr w:type="spellEnd"/>
      <w:r w:rsidRPr="000B1BF7">
        <w:rPr>
          <w:rFonts w:ascii="Book Antiqua" w:hAnsi="Book Antiqua"/>
        </w:rPr>
        <w:t>, M., Dixon, A., Liu. I.</w:t>
      </w:r>
      <w:r w:rsidR="00415ED7" w:rsidRPr="000B1BF7">
        <w:rPr>
          <w:rFonts w:ascii="Book Antiqua" w:hAnsi="Book Antiqua"/>
        </w:rPr>
        <w:t xml:space="preserve"> </w:t>
      </w:r>
      <w:r w:rsidR="00A91960" w:rsidRPr="000B1BF7">
        <w:rPr>
          <w:rFonts w:ascii="Book Antiqua" w:hAnsi="Book Antiqua"/>
        </w:rPr>
        <w:t>(</w:t>
      </w:r>
      <w:r w:rsidR="00415ED7" w:rsidRPr="000B1BF7">
        <w:rPr>
          <w:rFonts w:ascii="Book Antiqua" w:hAnsi="Book Antiqua"/>
        </w:rPr>
        <w:t>2022</w:t>
      </w:r>
      <w:r w:rsidR="00A91960" w:rsidRPr="000B1BF7">
        <w:rPr>
          <w:rFonts w:ascii="Book Antiqua" w:hAnsi="Book Antiqua"/>
        </w:rPr>
        <w:t>)</w:t>
      </w:r>
      <w:r w:rsidR="00415ED7" w:rsidRPr="000B1BF7">
        <w:rPr>
          <w:rFonts w:ascii="Book Antiqua" w:hAnsi="Book Antiqua"/>
        </w:rPr>
        <w:t xml:space="preserve">. </w:t>
      </w:r>
      <w:r w:rsidR="00415ED7" w:rsidRPr="00EA0274">
        <w:rPr>
          <w:rFonts w:ascii="Book Antiqua" w:hAnsi="Book Antiqua"/>
        </w:rPr>
        <w:t xml:space="preserve">Special issue introduction: what is the new state capitalism? </w:t>
      </w:r>
      <w:r w:rsidR="00415ED7" w:rsidRPr="00EA0274">
        <w:rPr>
          <w:rFonts w:ascii="Book Antiqua" w:hAnsi="Book Antiqua"/>
          <w:i/>
          <w:iCs/>
        </w:rPr>
        <w:t>Contemporary Politics</w:t>
      </w:r>
      <w:r w:rsidR="00415ED7" w:rsidRPr="00EA0274">
        <w:rPr>
          <w:rFonts w:ascii="Book Antiqua" w:hAnsi="Book Antiqua"/>
        </w:rPr>
        <w:t xml:space="preserve">. </w:t>
      </w:r>
      <w:r w:rsidR="00EA4F13" w:rsidRPr="00EA0274">
        <w:rPr>
          <w:rFonts w:ascii="Book Antiqua" w:hAnsi="Book Antiqua"/>
          <w:i/>
          <w:iCs/>
        </w:rPr>
        <w:t>28</w:t>
      </w:r>
      <w:r w:rsidR="00EA4F13" w:rsidRPr="00EA0274">
        <w:rPr>
          <w:rFonts w:ascii="Book Antiqua" w:hAnsi="Book Antiqua"/>
        </w:rPr>
        <w:t>(3): 245-263.</w:t>
      </w:r>
    </w:p>
    <w:p w14:paraId="3EA4BBD2" w14:textId="0D4257BD" w:rsidR="00E42096" w:rsidRPr="00EA0274" w:rsidRDefault="00E42096" w:rsidP="006A79F1">
      <w:pPr>
        <w:spacing w:after="0" w:line="360" w:lineRule="auto"/>
        <w:ind w:left="567" w:hanging="567"/>
        <w:jc w:val="both"/>
        <w:rPr>
          <w:rFonts w:ascii="Book Antiqua" w:hAnsi="Book Antiqua"/>
        </w:rPr>
      </w:pPr>
      <w:proofErr w:type="spellStart"/>
      <w:r w:rsidRPr="00EA0274">
        <w:rPr>
          <w:rFonts w:ascii="Book Antiqua" w:hAnsi="Book Antiqua"/>
        </w:rPr>
        <w:t>Allinson</w:t>
      </w:r>
      <w:proofErr w:type="spellEnd"/>
      <w:r w:rsidRPr="00EA0274">
        <w:rPr>
          <w:rFonts w:ascii="Book Antiqua" w:hAnsi="Book Antiqua"/>
        </w:rPr>
        <w:t xml:space="preserve">, J. </w:t>
      </w:r>
      <w:r w:rsidR="00A91960" w:rsidRPr="00EA0274">
        <w:rPr>
          <w:rFonts w:ascii="Book Antiqua" w:hAnsi="Book Antiqua"/>
        </w:rPr>
        <w:t>(</w:t>
      </w:r>
      <w:r w:rsidRPr="00EA0274">
        <w:rPr>
          <w:rFonts w:ascii="Book Antiqua" w:hAnsi="Book Antiqua"/>
        </w:rPr>
        <w:t>2016</w:t>
      </w:r>
      <w:r w:rsidR="00A91960" w:rsidRPr="00EA0274">
        <w:rPr>
          <w:rFonts w:ascii="Book Antiqua" w:hAnsi="Book Antiqua"/>
        </w:rPr>
        <w:t>)</w:t>
      </w:r>
      <w:r w:rsidR="00602B67" w:rsidRPr="00EA0274">
        <w:rPr>
          <w:rFonts w:ascii="Book Antiqua" w:hAnsi="Book Antiqua"/>
        </w:rPr>
        <w:t>.</w:t>
      </w:r>
      <w:r w:rsidR="00E75DC9" w:rsidRPr="00EA0274">
        <w:rPr>
          <w:rFonts w:ascii="Book Antiqua" w:hAnsi="Book Antiqua"/>
        </w:rPr>
        <w:t xml:space="preserve"> </w:t>
      </w:r>
      <w:r w:rsidR="00E75DC9" w:rsidRPr="00EA0274">
        <w:rPr>
          <w:rFonts w:ascii="Book Antiqua" w:hAnsi="Book Antiqua"/>
          <w:i/>
          <w:iCs/>
        </w:rPr>
        <w:t>The Struggle for the State in Jordan: The Social Origins of Alliances in the Middle East</w:t>
      </w:r>
      <w:r w:rsidR="00602B67" w:rsidRPr="00EA0274">
        <w:rPr>
          <w:rFonts w:ascii="Book Antiqua" w:hAnsi="Book Antiqua"/>
        </w:rPr>
        <w:t>.</w:t>
      </w:r>
      <w:r w:rsidR="00E75DC9" w:rsidRPr="00EA0274">
        <w:rPr>
          <w:rFonts w:ascii="Book Antiqua" w:hAnsi="Book Antiqua"/>
        </w:rPr>
        <w:t xml:space="preserve"> </w:t>
      </w:r>
      <w:r w:rsidR="00602B67" w:rsidRPr="00EA0274">
        <w:rPr>
          <w:rFonts w:ascii="Book Antiqua" w:hAnsi="Book Antiqua"/>
        </w:rPr>
        <w:t>I.B Tauris.</w:t>
      </w:r>
    </w:p>
    <w:p w14:paraId="5E13BE3E" w14:textId="1B9A0FFF" w:rsidR="007A4C1C" w:rsidRPr="00EA0274" w:rsidRDefault="007A4C1C" w:rsidP="006A79F1">
      <w:pPr>
        <w:spacing w:after="0" w:line="360" w:lineRule="auto"/>
        <w:ind w:left="567" w:hanging="567"/>
        <w:jc w:val="both"/>
        <w:rPr>
          <w:rFonts w:ascii="Book Antiqua" w:hAnsi="Book Antiqua"/>
        </w:rPr>
      </w:pPr>
      <w:proofErr w:type="spellStart"/>
      <w:r w:rsidRPr="00EA0274">
        <w:rPr>
          <w:rFonts w:ascii="Book Antiqua" w:hAnsi="Book Antiqua"/>
        </w:rPr>
        <w:t>Allinson</w:t>
      </w:r>
      <w:proofErr w:type="spellEnd"/>
      <w:r w:rsidRPr="00EA0274">
        <w:rPr>
          <w:rFonts w:ascii="Book Antiqua" w:hAnsi="Book Antiqua"/>
        </w:rPr>
        <w:t xml:space="preserve">, J. </w:t>
      </w:r>
      <w:r w:rsidR="00A91960" w:rsidRPr="00EA0274">
        <w:rPr>
          <w:rFonts w:ascii="Book Antiqua" w:hAnsi="Book Antiqua"/>
        </w:rPr>
        <w:t>(</w:t>
      </w:r>
      <w:r w:rsidRPr="00EA0274">
        <w:rPr>
          <w:rFonts w:ascii="Book Antiqua" w:hAnsi="Book Antiqua"/>
        </w:rPr>
        <w:t>2019</w:t>
      </w:r>
      <w:r w:rsidR="00A91960" w:rsidRPr="00EA0274">
        <w:rPr>
          <w:rFonts w:ascii="Book Antiqua" w:hAnsi="Book Antiqua"/>
        </w:rPr>
        <w:t>)</w:t>
      </w:r>
      <w:r w:rsidR="009F4A69" w:rsidRPr="00EA0274">
        <w:rPr>
          <w:rFonts w:ascii="Book Antiqua" w:hAnsi="Book Antiqua"/>
        </w:rPr>
        <w:t xml:space="preserve">. Counter-revolution as international phenomenon: the case of Egypt. </w:t>
      </w:r>
      <w:r w:rsidR="009F4A69" w:rsidRPr="00EA0274">
        <w:rPr>
          <w:rFonts w:ascii="Book Antiqua" w:hAnsi="Book Antiqua"/>
          <w:i/>
          <w:iCs/>
        </w:rPr>
        <w:t>Review of International Studies</w:t>
      </w:r>
      <w:r w:rsidR="009F4A69" w:rsidRPr="00EA0274">
        <w:rPr>
          <w:rFonts w:ascii="Book Antiqua" w:hAnsi="Book Antiqua"/>
        </w:rPr>
        <w:t xml:space="preserve">, </w:t>
      </w:r>
      <w:r w:rsidR="009F4A69" w:rsidRPr="00EA0274">
        <w:rPr>
          <w:rFonts w:ascii="Book Antiqua" w:hAnsi="Book Antiqua"/>
          <w:i/>
          <w:iCs/>
        </w:rPr>
        <w:t>45</w:t>
      </w:r>
      <w:r w:rsidR="009F4A69" w:rsidRPr="00EA0274">
        <w:rPr>
          <w:rFonts w:ascii="Book Antiqua" w:hAnsi="Book Antiqua"/>
        </w:rPr>
        <w:t>(2): 320-344.</w:t>
      </w:r>
    </w:p>
    <w:p w14:paraId="445B351F" w14:textId="33ABAEE2" w:rsidR="00CF4D7C" w:rsidRPr="00EA0274" w:rsidRDefault="00CF4D7C" w:rsidP="006A79F1">
      <w:pPr>
        <w:spacing w:after="0" w:line="360" w:lineRule="auto"/>
        <w:ind w:left="567" w:hanging="567"/>
        <w:jc w:val="both"/>
        <w:rPr>
          <w:rFonts w:ascii="Book Antiqua" w:hAnsi="Book Antiqua"/>
        </w:rPr>
      </w:pPr>
      <w:proofErr w:type="spellStart"/>
      <w:r w:rsidRPr="00EA0274">
        <w:rPr>
          <w:rFonts w:ascii="Book Antiqua" w:hAnsi="Book Antiqua"/>
        </w:rPr>
        <w:t>Allinson</w:t>
      </w:r>
      <w:proofErr w:type="spellEnd"/>
      <w:r w:rsidRPr="00EA0274">
        <w:rPr>
          <w:rFonts w:ascii="Book Antiqua" w:hAnsi="Book Antiqua"/>
        </w:rPr>
        <w:t xml:space="preserve">, J. </w:t>
      </w:r>
      <w:r w:rsidR="00A91960" w:rsidRPr="00EA0274">
        <w:rPr>
          <w:rFonts w:ascii="Book Antiqua" w:hAnsi="Book Antiqua"/>
        </w:rPr>
        <w:t>(</w:t>
      </w:r>
      <w:r w:rsidRPr="00EA0274">
        <w:rPr>
          <w:rFonts w:ascii="Book Antiqua" w:hAnsi="Book Antiqua"/>
        </w:rPr>
        <w:t>2022</w:t>
      </w:r>
      <w:r w:rsidR="00A91960" w:rsidRPr="00EA0274">
        <w:rPr>
          <w:rFonts w:ascii="Book Antiqua" w:hAnsi="Book Antiqua"/>
        </w:rPr>
        <w:t>)</w:t>
      </w:r>
      <w:r w:rsidRPr="00EA0274">
        <w:rPr>
          <w:rFonts w:ascii="Book Antiqua" w:hAnsi="Book Antiqua"/>
        </w:rPr>
        <w:t xml:space="preserve">. </w:t>
      </w:r>
      <w:r w:rsidR="00D533A7" w:rsidRPr="00EA0274">
        <w:rPr>
          <w:rFonts w:ascii="Book Antiqua" w:hAnsi="Book Antiqua"/>
          <w:i/>
          <w:iCs/>
        </w:rPr>
        <w:t>The Age of Counter-Revolution: States and Revolutions in the Middle East.</w:t>
      </w:r>
      <w:r w:rsidR="00D533A7" w:rsidRPr="00EA0274">
        <w:rPr>
          <w:rFonts w:ascii="Book Antiqua" w:hAnsi="Book Antiqua"/>
        </w:rPr>
        <w:t xml:space="preserve"> Cambridge University Press.</w:t>
      </w:r>
    </w:p>
    <w:p w14:paraId="51CDB5B2" w14:textId="31B28314" w:rsidR="005A05CF" w:rsidRPr="00EA0274" w:rsidRDefault="005A05CF" w:rsidP="006A79F1">
      <w:pPr>
        <w:spacing w:after="0" w:line="360" w:lineRule="auto"/>
        <w:ind w:left="567" w:hanging="567"/>
        <w:jc w:val="both"/>
        <w:rPr>
          <w:rFonts w:ascii="Book Antiqua" w:hAnsi="Book Antiqua"/>
        </w:rPr>
      </w:pPr>
      <w:proofErr w:type="spellStart"/>
      <w:r w:rsidRPr="000B1BF7">
        <w:rPr>
          <w:rFonts w:ascii="Book Antiqua" w:hAnsi="Book Antiqua"/>
        </w:rPr>
        <w:t>Allinson</w:t>
      </w:r>
      <w:proofErr w:type="spellEnd"/>
      <w:r w:rsidRPr="000B1BF7">
        <w:rPr>
          <w:rFonts w:ascii="Book Antiqua" w:hAnsi="Book Antiqua"/>
        </w:rPr>
        <w:t xml:space="preserve">, J., &amp; </w:t>
      </w:r>
      <w:proofErr w:type="spellStart"/>
      <w:r w:rsidRPr="000B1BF7">
        <w:rPr>
          <w:rFonts w:ascii="Book Antiqua" w:hAnsi="Book Antiqua"/>
        </w:rPr>
        <w:t>Anievas</w:t>
      </w:r>
      <w:proofErr w:type="spellEnd"/>
      <w:r w:rsidRPr="000B1BF7">
        <w:rPr>
          <w:rFonts w:ascii="Book Antiqua" w:hAnsi="Book Antiqua"/>
        </w:rPr>
        <w:t xml:space="preserve">, A. (2009). The uses and misuses of uneven and combined development: an anatomy of a concept. </w:t>
      </w:r>
      <w:r w:rsidRPr="000B1BF7">
        <w:rPr>
          <w:rFonts w:ascii="Book Antiqua" w:hAnsi="Book Antiqua"/>
          <w:i/>
          <w:iCs/>
        </w:rPr>
        <w:t>Cambridge Review of International Affairs, 22</w:t>
      </w:r>
      <w:r w:rsidRPr="000B1BF7">
        <w:rPr>
          <w:rFonts w:ascii="Book Antiqua" w:hAnsi="Book Antiqua"/>
        </w:rPr>
        <w:t>(1), 47-67.</w:t>
      </w:r>
    </w:p>
    <w:p w14:paraId="488C47FD" w14:textId="5F578F4D" w:rsidR="004D0E63" w:rsidRPr="00EA0274" w:rsidRDefault="004D0E63" w:rsidP="006A79F1">
      <w:pPr>
        <w:spacing w:after="0" w:line="360" w:lineRule="auto"/>
        <w:ind w:left="567" w:hanging="567"/>
        <w:jc w:val="both"/>
        <w:rPr>
          <w:rFonts w:ascii="Book Antiqua" w:hAnsi="Book Antiqua"/>
        </w:rPr>
      </w:pPr>
      <w:proofErr w:type="spellStart"/>
      <w:r w:rsidRPr="00EA0274">
        <w:rPr>
          <w:rFonts w:ascii="Book Antiqua" w:hAnsi="Book Antiqua"/>
        </w:rPr>
        <w:t>Ayubi</w:t>
      </w:r>
      <w:proofErr w:type="spellEnd"/>
      <w:r w:rsidRPr="00EA0274">
        <w:rPr>
          <w:rFonts w:ascii="Book Antiqua" w:hAnsi="Book Antiqua"/>
        </w:rPr>
        <w:t xml:space="preserve">, N. </w:t>
      </w:r>
      <w:r w:rsidR="00A91960" w:rsidRPr="00EA0274">
        <w:rPr>
          <w:rFonts w:ascii="Book Antiqua" w:hAnsi="Book Antiqua"/>
        </w:rPr>
        <w:t>(</w:t>
      </w:r>
      <w:r w:rsidRPr="00EA0274">
        <w:rPr>
          <w:rFonts w:ascii="Book Antiqua" w:hAnsi="Book Antiqua"/>
        </w:rPr>
        <w:t>1995</w:t>
      </w:r>
      <w:r w:rsidR="00A91960" w:rsidRPr="00EA0274">
        <w:rPr>
          <w:rFonts w:ascii="Book Antiqua" w:hAnsi="Book Antiqua"/>
        </w:rPr>
        <w:t>)</w:t>
      </w:r>
      <w:r w:rsidRPr="00EA0274">
        <w:rPr>
          <w:rFonts w:ascii="Book Antiqua" w:hAnsi="Book Antiqua"/>
        </w:rPr>
        <w:t xml:space="preserve">. </w:t>
      </w:r>
      <w:r w:rsidRPr="00EA0274">
        <w:rPr>
          <w:rFonts w:ascii="Book Antiqua" w:hAnsi="Book Antiqua"/>
          <w:i/>
          <w:iCs/>
        </w:rPr>
        <w:t xml:space="preserve">Over-Stating the Arab State: </w:t>
      </w:r>
      <w:r w:rsidR="002B1ABC" w:rsidRPr="00EA0274">
        <w:rPr>
          <w:rFonts w:ascii="Book Antiqua" w:hAnsi="Book Antiqua"/>
          <w:i/>
          <w:iCs/>
        </w:rPr>
        <w:t>Politics and Society in the Middle East</w:t>
      </w:r>
      <w:r w:rsidR="002B1ABC" w:rsidRPr="00EA0274">
        <w:rPr>
          <w:rFonts w:ascii="Book Antiqua" w:hAnsi="Book Antiqua"/>
        </w:rPr>
        <w:t>. I.B. Tauris.</w:t>
      </w:r>
    </w:p>
    <w:p w14:paraId="0D276526" w14:textId="5AA771FB" w:rsidR="00761351" w:rsidRPr="00EA0274" w:rsidRDefault="00761351" w:rsidP="00761351">
      <w:pPr>
        <w:spacing w:after="0" w:line="360" w:lineRule="auto"/>
        <w:ind w:left="567" w:hanging="567"/>
        <w:jc w:val="both"/>
        <w:rPr>
          <w:rFonts w:ascii="Book Antiqua" w:hAnsi="Book Antiqua"/>
        </w:rPr>
      </w:pPr>
      <w:proofErr w:type="spellStart"/>
      <w:r w:rsidRPr="00EA0274">
        <w:rPr>
          <w:rFonts w:ascii="Book Antiqua" w:hAnsi="Book Antiqua"/>
        </w:rPr>
        <w:t>Babic</w:t>
      </w:r>
      <w:proofErr w:type="spellEnd"/>
      <w:r w:rsidRPr="00EA0274">
        <w:rPr>
          <w:rFonts w:ascii="Book Antiqua" w:hAnsi="Book Antiqua"/>
        </w:rPr>
        <w:t xml:space="preserve">, M. </w:t>
      </w:r>
      <w:r w:rsidR="00A91960" w:rsidRPr="00EA0274">
        <w:rPr>
          <w:rFonts w:ascii="Book Antiqua" w:hAnsi="Book Antiqua"/>
        </w:rPr>
        <w:t>(</w:t>
      </w:r>
      <w:r w:rsidRPr="00EA0274">
        <w:rPr>
          <w:rFonts w:ascii="Book Antiqua" w:hAnsi="Book Antiqua"/>
        </w:rPr>
        <w:t>2021</w:t>
      </w:r>
      <w:r w:rsidR="00A91960" w:rsidRPr="00EA0274">
        <w:rPr>
          <w:rFonts w:ascii="Book Antiqua" w:hAnsi="Book Antiqua"/>
        </w:rPr>
        <w:t>)</w:t>
      </w:r>
      <w:r w:rsidRPr="00EA0274">
        <w:rPr>
          <w:rFonts w:ascii="Book Antiqua" w:hAnsi="Book Antiqua"/>
        </w:rPr>
        <w:t xml:space="preserve">. </w:t>
      </w:r>
      <w:r w:rsidR="00D757E0" w:rsidRPr="00EA0274">
        <w:rPr>
          <w:rFonts w:ascii="Book Antiqua" w:hAnsi="Book Antiqua"/>
        </w:rPr>
        <w:t xml:space="preserve">State capital in a </w:t>
      </w:r>
      <w:proofErr w:type="spellStart"/>
      <w:r w:rsidR="00D757E0" w:rsidRPr="00EA0274">
        <w:rPr>
          <w:rFonts w:ascii="Book Antiqua" w:hAnsi="Book Antiqua"/>
        </w:rPr>
        <w:t>geoeconomic</w:t>
      </w:r>
      <w:proofErr w:type="spellEnd"/>
      <w:r w:rsidR="00D757E0" w:rsidRPr="00EA0274">
        <w:rPr>
          <w:rFonts w:ascii="Book Antiqua" w:hAnsi="Book Antiqua"/>
        </w:rPr>
        <w:t xml:space="preserve"> world: Mapping state-led foreign investment in the global political economy. </w:t>
      </w:r>
      <w:r w:rsidR="00D757E0" w:rsidRPr="00EA0274">
        <w:rPr>
          <w:rFonts w:ascii="Book Antiqua" w:hAnsi="Book Antiqua"/>
          <w:i/>
          <w:iCs/>
        </w:rPr>
        <w:t>Review of International Political Economy</w:t>
      </w:r>
      <w:r w:rsidR="00D757E0" w:rsidRPr="00EA0274">
        <w:rPr>
          <w:rFonts w:ascii="Book Antiqua" w:hAnsi="Book Antiqua"/>
        </w:rPr>
        <w:t xml:space="preserve">. </w:t>
      </w:r>
      <w:r w:rsidR="00621171" w:rsidRPr="00EA0274">
        <w:rPr>
          <w:rFonts w:ascii="Book Antiqua" w:hAnsi="Book Antiqua"/>
        </w:rPr>
        <w:t>DOI: 10.1080/09692290.2021.1993301.</w:t>
      </w:r>
    </w:p>
    <w:p w14:paraId="0DF13136" w14:textId="6C4578CF" w:rsidR="00761351" w:rsidRPr="00EA0274" w:rsidRDefault="00F04BE5" w:rsidP="00761351">
      <w:pPr>
        <w:spacing w:after="0" w:line="360" w:lineRule="auto"/>
        <w:ind w:left="567" w:hanging="567"/>
        <w:jc w:val="both"/>
        <w:rPr>
          <w:rFonts w:ascii="Book Antiqua" w:hAnsi="Book Antiqua"/>
        </w:rPr>
      </w:pPr>
      <w:proofErr w:type="spellStart"/>
      <w:r w:rsidRPr="00EA0274">
        <w:rPr>
          <w:rFonts w:ascii="Book Antiqua" w:hAnsi="Book Antiqua"/>
        </w:rPr>
        <w:t>Babic</w:t>
      </w:r>
      <w:proofErr w:type="spellEnd"/>
      <w:r w:rsidRPr="00EA0274">
        <w:rPr>
          <w:rFonts w:ascii="Book Antiqua" w:hAnsi="Book Antiqua"/>
        </w:rPr>
        <w:t>, M., Garcia-Bernardo, J. &amp; Heemskerk, E.</w:t>
      </w:r>
      <w:r w:rsidR="00761351" w:rsidRPr="00EA0274">
        <w:rPr>
          <w:rFonts w:ascii="Book Antiqua" w:hAnsi="Book Antiqua"/>
        </w:rPr>
        <w:t xml:space="preserve"> </w:t>
      </w:r>
      <w:r w:rsidR="00A91960" w:rsidRPr="00EA0274">
        <w:rPr>
          <w:rFonts w:ascii="Book Antiqua" w:hAnsi="Book Antiqua"/>
        </w:rPr>
        <w:t>(</w:t>
      </w:r>
      <w:r w:rsidR="00761351" w:rsidRPr="00EA0274">
        <w:rPr>
          <w:rFonts w:ascii="Book Antiqua" w:hAnsi="Book Antiqua"/>
        </w:rPr>
        <w:t>2020</w:t>
      </w:r>
      <w:r w:rsidR="00A91960" w:rsidRPr="00EA0274">
        <w:rPr>
          <w:rFonts w:ascii="Book Antiqua" w:hAnsi="Book Antiqua"/>
        </w:rPr>
        <w:t>)</w:t>
      </w:r>
      <w:r w:rsidR="00761351" w:rsidRPr="00EA0274">
        <w:rPr>
          <w:rFonts w:ascii="Book Antiqua" w:hAnsi="Book Antiqua"/>
        </w:rPr>
        <w:t>. The rise of transnational state capital: State-led foreign investment in the 21</w:t>
      </w:r>
      <w:r w:rsidR="00761351" w:rsidRPr="00EA0274">
        <w:rPr>
          <w:rFonts w:ascii="Book Antiqua" w:hAnsi="Book Antiqua"/>
          <w:vertAlign w:val="superscript"/>
        </w:rPr>
        <w:t>st</w:t>
      </w:r>
      <w:r w:rsidR="00761351" w:rsidRPr="00EA0274">
        <w:rPr>
          <w:rFonts w:ascii="Book Antiqua" w:hAnsi="Book Antiqua"/>
        </w:rPr>
        <w:t xml:space="preserve"> century. </w:t>
      </w:r>
      <w:r w:rsidR="00761351" w:rsidRPr="00EA0274">
        <w:rPr>
          <w:rFonts w:ascii="Book Antiqua" w:hAnsi="Book Antiqua"/>
          <w:i/>
          <w:iCs/>
        </w:rPr>
        <w:t>Review of International Political Economy</w:t>
      </w:r>
      <w:r w:rsidR="00761351" w:rsidRPr="00EA0274">
        <w:rPr>
          <w:rFonts w:ascii="Book Antiqua" w:hAnsi="Book Antiqua"/>
        </w:rPr>
        <w:t xml:space="preserve">. </w:t>
      </w:r>
      <w:r w:rsidR="00761351" w:rsidRPr="00EA0274">
        <w:rPr>
          <w:rFonts w:ascii="Book Antiqua" w:hAnsi="Book Antiqua"/>
          <w:i/>
          <w:iCs/>
        </w:rPr>
        <w:t>27</w:t>
      </w:r>
      <w:r w:rsidR="00761351" w:rsidRPr="00EA0274">
        <w:rPr>
          <w:rFonts w:ascii="Book Antiqua" w:hAnsi="Book Antiqua"/>
        </w:rPr>
        <w:t>(3): 433-475.</w:t>
      </w:r>
    </w:p>
    <w:p w14:paraId="3736B0EF" w14:textId="77777777" w:rsidR="005A05CF" w:rsidRPr="000B1BF7" w:rsidRDefault="005A05CF" w:rsidP="005A05CF">
      <w:pPr>
        <w:spacing w:after="0" w:line="360" w:lineRule="auto"/>
        <w:ind w:left="567" w:hanging="567"/>
        <w:jc w:val="both"/>
        <w:rPr>
          <w:rFonts w:ascii="Book Antiqua" w:hAnsi="Book Antiqua"/>
        </w:rPr>
      </w:pPr>
      <w:r w:rsidRPr="000B1BF7">
        <w:rPr>
          <w:rFonts w:ascii="Book Antiqua" w:hAnsi="Book Antiqua"/>
        </w:rPr>
        <w:t xml:space="preserve">Baumann, H. (2019). The transformation of Saudi Arabia’s rentier state and ‘the international'. </w:t>
      </w:r>
      <w:r w:rsidRPr="000B1BF7">
        <w:rPr>
          <w:rFonts w:ascii="Book Antiqua" w:hAnsi="Book Antiqua"/>
          <w:i/>
          <w:iCs/>
        </w:rPr>
        <w:t>Globalizations, 16</w:t>
      </w:r>
      <w:r w:rsidRPr="000B1BF7">
        <w:rPr>
          <w:rFonts w:ascii="Book Antiqua" w:hAnsi="Book Antiqua"/>
        </w:rPr>
        <w:t>(7), 1165-1183.</w:t>
      </w:r>
    </w:p>
    <w:p w14:paraId="482E9711" w14:textId="0C280C06" w:rsidR="005A05CF" w:rsidRPr="000B1BF7" w:rsidRDefault="005A05CF" w:rsidP="005A05CF">
      <w:pPr>
        <w:spacing w:after="0" w:line="360" w:lineRule="auto"/>
        <w:ind w:left="567" w:hanging="567"/>
        <w:jc w:val="both"/>
        <w:rPr>
          <w:rFonts w:ascii="Book Antiqua" w:hAnsi="Book Antiqua"/>
        </w:rPr>
      </w:pPr>
      <w:r w:rsidRPr="000B1BF7">
        <w:rPr>
          <w:rFonts w:ascii="Book Antiqua" w:hAnsi="Book Antiqua"/>
        </w:rPr>
        <w:t>Baumann, H. (202</w:t>
      </w:r>
      <w:r w:rsidR="0028378A" w:rsidRPr="000B1BF7">
        <w:rPr>
          <w:rFonts w:ascii="Book Antiqua" w:hAnsi="Book Antiqua"/>
        </w:rPr>
        <w:t>1</w:t>
      </w:r>
      <w:r w:rsidRPr="000B1BF7">
        <w:rPr>
          <w:rFonts w:ascii="Book Antiqua" w:hAnsi="Book Antiqua"/>
        </w:rPr>
        <w:t xml:space="preserve">). Avatars of Eurocentrism in international political economy textbooks: The case of the Middle East and North Africa. </w:t>
      </w:r>
      <w:r w:rsidRPr="000B1BF7">
        <w:rPr>
          <w:rFonts w:ascii="Book Antiqua" w:hAnsi="Book Antiqua"/>
          <w:i/>
          <w:iCs/>
        </w:rPr>
        <w:t>Politics</w:t>
      </w:r>
      <w:r w:rsidRPr="000B1BF7">
        <w:rPr>
          <w:rFonts w:ascii="Book Antiqua" w:hAnsi="Book Antiqua"/>
        </w:rPr>
        <w:t>, online first.</w:t>
      </w:r>
    </w:p>
    <w:p w14:paraId="14791E23" w14:textId="36F1E0D7" w:rsidR="006B22B8" w:rsidRPr="004C23D6" w:rsidRDefault="006B22B8" w:rsidP="006A79F1">
      <w:pPr>
        <w:spacing w:after="0" w:line="360" w:lineRule="auto"/>
        <w:ind w:left="567" w:hanging="567"/>
        <w:jc w:val="both"/>
        <w:rPr>
          <w:rFonts w:ascii="Book Antiqua" w:hAnsi="Book Antiqua"/>
        </w:rPr>
      </w:pPr>
      <w:proofErr w:type="spellStart"/>
      <w:r w:rsidRPr="00EA0274">
        <w:rPr>
          <w:rFonts w:ascii="Book Antiqua" w:hAnsi="Book Antiqua"/>
        </w:rPr>
        <w:t>Beblawi</w:t>
      </w:r>
      <w:proofErr w:type="spellEnd"/>
      <w:r w:rsidRPr="00EA0274">
        <w:rPr>
          <w:rFonts w:ascii="Book Antiqua" w:hAnsi="Book Antiqua"/>
        </w:rPr>
        <w:t xml:space="preserve">, H. </w:t>
      </w:r>
      <w:r w:rsidR="00A91960" w:rsidRPr="00EA0274">
        <w:rPr>
          <w:rFonts w:ascii="Book Antiqua" w:hAnsi="Book Antiqua"/>
        </w:rPr>
        <w:t>(</w:t>
      </w:r>
      <w:r w:rsidRPr="00EA0274">
        <w:rPr>
          <w:rFonts w:ascii="Book Antiqua" w:hAnsi="Book Antiqua"/>
        </w:rPr>
        <w:t>1987</w:t>
      </w:r>
      <w:r w:rsidR="00A91960" w:rsidRPr="00EA0274">
        <w:rPr>
          <w:rFonts w:ascii="Book Antiqua" w:hAnsi="Book Antiqua"/>
        </w:rPr>
        <w:t>)</w:t>
      </w:r>
      <w:r w:rsidRPr="00EA0274">
        <w:rPr>
          <w:rFonts w:ascii="Book Antiqua" w:hAnsi="Book Antiqua"/>
        </w:rPr>
        <w:t xml:space="preserve">. The Rentier State in the Arab World. </w:t>
      </w:r>
      <w:r w:rsidRPr="004C23D6">
        <w:rPr>
          <w:rFonts w:ascii="Book Antiqua" w:hAnsi="Book Antiqua"/>
          <w:i/>
          <w:iCs/>
        </w:rPr>
        <w:t>Arab Studies Quarterly</w:t>
      </w:r>
      <w:r w:rsidRPr="004C23D6">
        <w:rPr>
          <w:rFonts w:ascii="Book Antiqua" w:hAnsi="Book Antiqua"/>
        </w:rPr>
        <w:t xml:space="preserve">, </w:t>
      </w:r>
      <w:r w:rsidRPr="004C23D6">
        <w:rPr>
          <w:rFonts w:ascii="Book Antiqua" w:hAnsi="Book Antiqua"/>
          <w:i/>
          <w:iCs/>
        </w:rPr>
        <w:t>9</w:t>
      </w:r>
      <w:r w:rsidRPr="004C23D6">
        <w:rPr>
          <w:rFonts w:ascii="Book Antiqua" w:hAnsi="Book Antiqua"/>
        </w:rPr>
        <w:t>(4): 383-398.</w:t>
      </w:r>
    </w:p>
    <w:p w14:paraId="2642825D" w14:textId="4926DADF" w:rsidR="003E299C" w:rsidRPr="003E299C" w:rsidRDefault="003E299C" w:rsidP="00AD7E6A">
      <w:pPr>
        <w:spacing w:after="0" w:line="360" w:lineRule="auto"/>
        <w:ind w:left="567" w:hanging="567"/>
        <w:jc w:val="both"/>
        <w:rPr>
          <w:rFonts w:ascii="Book Antiqua" w:hAnsi="Book Antiqua"/>
        </w:rPr>
      </w:pPr>
      <w:r w:rsidRPr="003E299C">
        <w:rPr>
          <w:rFonts w:ascii="Book Antiqua" w:hAnsi="Book Antiqua"/>
        </w:rPr>
        <w:t>Beck, M</w:t>
      </w:r>
      <w:r w:rsidRPr="000B1BF7">
        <w:rPr>
          <w:rFonts w:ascii="Book Antiqua" w:hAnsi="Book Antiqua"/>
        </w:rPr>
        <w:t xml:space="preserve">. &amp; Richter, T. (2021). </w:t>
      </w:r>
      <w:r w:rsidRPr="000B1BF7">
        <w:rPr>
          <w:rFonts w:ascii="Book Antiqua" w:hAnsi="Book Antiqua"/>
          <w:i/>
          <w:iCs/>
        </w:rPr>
        <w:t>Oil and the political economy in the Middle East</w:t>
      </w:r>
      <w:r w:rsidR="00AD7E6A">
        <w:rPr>
          <w:rFonts w:ascii="Book Antiqua" w:hAnsi="Book Antiqua"/>
          <w:i/>
          <w:iCs/>
        </w:rPr>
        <w:t xml:space="preserve">: </w:t>
      </w:r>
      <w:r w:rsidRPr="000B1BF7">
        <w:rPr>
          <w:rFonts w:ascii="Book Antiqua" w:hAnsi="Book Antiqua"/>
          <w:i/>
          <w:iCs/>
        </w:rPr>
        <w:t>Post-2014 adjustment policies of the Arab Gulf and beyond</w:t>
      </w:r>
      <w:r>
        <w:rPr>
          <w:rFonts w:ascii="Book Antiqua" w:hAnsi="Book Antiqua"/>
        </w:rPr>
        <w:t>. Manchester: Manchester University Press.</w:t>
      </w:r>
      <w:r w:rsidRPr="000B1BF7">
        <w:rPr>
          <w:rFonts w:ascii="Book Antiqua" w:hAnsi="Book Antiqua"/>
          <w:i/>
          <w:iCs/>
        </w:rPr>
        <w:t xml:space="preserve"> </w:t>
      </w:r>
    </w:p>
    <w:p w14:paraId="71090412" w14:textId="29727014" w:rsidR="00DA67B1" w:rsidRPr="00EA0274" w:rsidRDefault="00DA67B1" w:rsidP="006A79F1">
      <w:pPr>
        <w:spacing w:after="0" w:line="360" w:lineRule="auto"/>
        <w:ind w:left="567" w:hanging="567"/>
        <w:jc w:val="both"/>
        <w:rPr>
          <w:rFonts w:ascii="Book Antiqua" w:hAnsi="Book Antiqua"/>
        </w:rPr>
      </w:pPr>
      <w:r w:rsidRPr="00F86DA1">
        <w:rPr>
          <w:rFonts w:ascii="Book Antiqua" w:hAnsi="Book Antiqua"/>
        </w:rPr>
        <w:t xml:space="preserve">Braun, B., </w:t>
      </w:r>
      <w:proofErr w:type="spellStart"/>
      <w:r w:rsidRPr="00F86DA1">
        <w:rPr>
          <w:rFonts w:ascii="Book Antiqua" w:hAnsi="Book Antiqua"/>
        </w:rPr>
        <w:t>Krampf</w:t>
      </w:r>
      <w:proofErr w:type="spellEnd"/>
      <w:r w:rsidRPr="00F86DA1">
        <w:rPr>
          <w:rFonts w:ascii="Book Antiqua" w:hAnsi="Book Antiqua"/>
        </w:rPr>
        <w:t xml:space="preserve">, A. &amp; </w:t>
      </w:r>
      <w:proofErr w:type="spellStart"/>
      <w:r w:rsidRPr="00F86DA1">
        <w:rPr>
          <w:rFonts w:ascii="Book Antiqua" w:hAnsi="Book Antiqua"/>
        </w:rPr>
        <w:t>Murau</w:t>
      </w:r>
      <w:proofErr w:type="spellEnd"/>
      <w:r w:rsidRPr="00F86DA1">
        <w:rPr>
          <w:rFonts w:ascii="Book Antiqua" w:hAnsi="Book Antiqua"/>
        </w:rPr>
        <w:t xml:space="preserve">, S. </w:t>
      </w:r>
      <w:r w:rsidR="00A91960" w:rsidRPr="00F86DA1">
        <w:rPr>
          <w:rFonts w:ascii="Book Antiqua" w:hAnsi="Book Antiqua"/>
        </w:rPr>
        <w:t>(</w:t>
      </w:r>
      <w:r w:rsidRPr="00F86DA1">
        <w:rPr>
          <w:rFonts w:ascii="Book Antiqua" w:hAnsi="Book Antiqua"/>
        </w:rPr>
        <w:t>2021</w:t>
      </w:r>
      <w:r w:rsidR="00A91960" w:rsidRPr="00F86DA1">
        <w:rPr>
          <w:rFonts w:ascii="Book Antiqua" w:hAnsi="Book Antiqua"/>
        </w:rPr>
        <w:t>)</w:t>
      </w:r>
      <w:r w:rsidRPr="00F86DA1">
        <w:rPr>
          <w:rFonts w:ascii="Book Antiqua" w:hAnsi="Book Antiqua"/>
        </w:rPr>
        <w:t xml:space="preserve">. </w:t>
      </w:r>
      <w:r w:rsidRPr="00EA0274">
        <w:rPr>
          <w:rFonts w:ascii="Book Antiqua" w:hAnsi="Book Antiqua"/>
        </w:rPr>
        <w:t xml:space="preserve">Financial Globalization as Positive Integration: Monetary Technocrats and the Eurodollar Market in the 1970s. </w:t>
      </w:r>
      <w:r w:rsidRPr="00EA0274">
        <w:rPr>
          <w:rFonts w:ascii="Book Antiqua" w:hAnsi="Book Antiqua"/>
          <w:i/>
          <w:iCs/>
        </w:rPr>
        <w:t>Review of International Political Economy</w:t>
      </w:r>
      <w:r w:rsidRPr="00EA0274">
        <w:rPr>
          <w:rFonts w:ascii="Book Antiqua" w:hAnsi="Book Antiqua"/>
        </w:rPr>
        <w:t xml:space="preserve">. </w:t>
      </w:r>
      <w:r w:rsidR="00B65ECC" w:rsidRPr="00EA0274">
        <w:rPr>
          <w:rFonts w:ascii="Book Antiqua" w:hAnsi="Book Antiqua"/>
        </w:rPr>
        <w:t>28(4): 794-819.</w:t>
      </w:r>
    </w:p>
    <w:p w14:paraId="5CF87F25" w14:textId="20A7430D" w:rsidR="000756D5" w:rsidRPr="00EA0274" w:rsidRDefault="000756D5" w:rsidP="006A79F1">
      <w:pPr>
        <w:spacing w:after="0" w:line="360" w:lineRule="auto"/>
        <w:ind w:left="567" w:hanging="567"/>
        <w:jc w:val="both"/>
        <w:rPr>
          <w:rFonts w:ascii="Book Antiqua" w:hAnsi="Book Antiqua"/>
        </w:rPr>
      </w:pPr>
      <w:proofErr w:type="spellStart"/>
      <w:r w:rsidRPr="00EA0274">
        <w:rPr>
          <w:rFonts w:ascii="Book Antiqua" w:hAnsi="Book Antiqua"/>
        </w:rPr>
        <w:t>Cammett</w:t>
      </w:r>
      <w:proofErr w:type="spellEnd"/>
      <w:r w:rsidRPr="00EA0274">
        <w:rPr>
          <w:rFonts w:ascii="Book Antiqua" w:hAnsi="Book Antiqua"/>
        </w:rPr>
        <w:t xml:space="preserve">, M., Diwan, I., Richards, A. &amp; Waterbury, R. </w:t>
      </w:r>
      <w:r w:rsidR="00A91960" w:rsidRPr="00EA0274">
        <w:rPr>
          <w:rFonts w:ascii="Book Antiqua" w:hAnsi="Book Antiqua"/>
        </w:rPr>
        <w:t>(</w:t>
      </w:r>
      <w:r w:rsidRPr="00EA0274">
        <w:rPr>
          <w:rFonts w:ascii="Book Antiqua" w:hAnsi="Book Antiqua"/>
        </w:rPr>
        <w:t>2015</w:t>
      </w:r>
      <w:r w:rsidR="00A91960" w:rsidRPr="00EA0274">
        <w:rPr>
          <w:rFonts w:ascii="Book Antiqua" w:hAnsi="Book Antiqua"/>
        </w:rPr>
        <w:t>)</w:t>
      </w:r>
      <w:r w:rsidRPr="00EA0274">
        <w:rPr>
          <w:rFonts w:ascii="Book Antiqua" w:hAnsi="Book Antiqua"/>
        </w:rPr>
        <w:t xml:space="preserve">. </w:t>
      </w:r>
      <w:r w:rsidRPr="00EA0274">
        <w:rPr>
          <w:rFonts w:ascii="Book Antiqua" w:hAnsi="Book Antiqua"/>
          <w:i/>
          <w:iCs/>
        </w:rPr>
        <w:t>A Political Economy of the Middle East</w:t>
      </w:r>
      <w:r w:rsidRPr="00EA0274">
        <w:rPr>
          <w:rFonts w:ascii="Book Antiqua" w:hAnsi="Book Antiqua"/>
        </w:rPr>
        <w:t>, 5</w:t>
      </w:r>
      <w:r w:rsidRPr="00EA0274">
        <w:rPr>
          <w:rFonts w:ascii="Book Antiqua" w:hAnsi="Book Antiqua"/>
          <w:vertAlign w:val="superscript"/>
        </w:rPr>
        <w:t>th</w:t>
      </w:r>
      <w:r w:rsidRPr="00EA0274">
        <w:rPr>
          <w:rFonts w:ascii="Book Antiqua" w:hAnsi="Book Antiqua"/>
        </w:rPr>
        <w:t xml:space="preserve"> edition. Westview Press.</w:t>
      </w:r>
    </w:p>
    <w:p w14:paraId="706BFECB" w14:textId="50E845E3" w:rsidR="005A05CF" w:rsidRPr="000B1BF7" w:rsidRDefault="005A05CF" w:rsidP="005A05CF">
      <w:pPr>
        <w:spacing w:after="0" w:line="360" w:lineRule="auto"/>
        <w:ind w:left="567" w:hanging="567"/>
        <w:jc w:val="both"/>
        <w:rPr>
          <w:rFonts w:ascii="Book Antiqua" w:hAnsi="Book Antiqua"/>
        </w:rPr>
      </w:pPr>
      <w:r w:rsidRPr="000B1BF7">
        <w:rPr>
          <w:rFonts w:ascii="Book Antiqua" w:hAnsi="Book Antiqua"/>
        </w:rPr>
        <w:lastRenderedPageBreak/>
        <w:t xml:space="preserve">Chaudhry, K. A. (1997). </w:t>
      </w:r>
      <w:r w:rsidRPr="000B1BF7">
        <w:rPr>
          <w:rFonts w:ascii="Book Antiqua" w:hAnsi="Book Antiqua"/>
          <w:i/>
          <w:iCs/>
        </w:rPr>
        <w:t>The Price of Wealth: Economics and Institutions in the Middle East.</w:t>
      </w:r>
      <w:r w:rsidRPr="000B1BF7">
        <w:rPr>
          <w:rFonts w:ascii="Book Antiqua" w:hAnsi="Book Antiqua"/>
        </w:rPr>
        <w:t xml:space="preserve"> Ithaca, NY: Cornell University Press.</w:t>
      </w:r>
    </w:p>
    <w:p w14:paraId="4A3F9699" w14:textId="06BB317B" w:rsidR="005A05CF" w:rsidRPr="000B1BF7" w:rsidRDefault="005A05CF" w:rsidP="005A05CF">
      <w:pPr>
        <w:spacing w:after="0" w:line="360" w:lineRule="auto"/>
        <w:ind w:left="567" w:hanging="567"/>
        <w:jc w:val="both"/>
        <w:rPr>
          <w:rFonts w:ascii="Book Antiqua" w:hAnsi="Book Antiqua"/>
        </w:rPr>
      </w:pPr>
      <w:r w:rsidRPr="000B1BF7">
        <w:rPr>
          <w:rFonts w:ascii="Book Antiqua" w:hAnsi="Book Antiqua"/>
        </w:rPr>
        <w:t xml:space="preserve">Crystal, J. (1990). </w:t>
      </w:r>
      <w:r w:rsidRPr="000B1BF7">
        <w:rPr>
          <w:rFonts w:ascii="Book Antiqua" w:hAnsi="Book Antiqua"/>
          <w:i/>
          <w:iCs/>
        </w:rPr>
        <w:t>Oil and Politics in the Gulf: Rulers and Merchants in Kuwait and Qatar.</w:t>
      </w:r>
      <w:r w:rsidRPr="000B1BF7">
        <w:rPr>
          <w:rFonts w:ascii="Book Antiqua" w:hAnsi="Book Antiqua"/>
        </w:rPr>
        <w:t xml:space="preserve"> Cambridge: Cambridge University Press.</w:t>
      </w:r>
    </w:p>
    <w:p w14:paraId="3CBEBB2A" w14:textId="77777777" w:rsidR="005A05CF" w:rsidRPr="000B1BF7" w:rsidRDefault="005A05CF" w:rsidP="005A05CF">
      <w:pPr>
        <w:spacing w:after="0" w:line="360" w:lineRule="auto"/>
        <w:ind w:left="567" w:hanging="567"/>
        <w:jc w:val="both"/>
        <w:rPr>
          <w:rFonts w:ascii="Book Antiqua" w:hAnsi="Book Antiqua"/>
        </w:rPr>
      </w:pPr>
      <w:r w:rsidRPr="000B1BF7">
        <w:rPr>
          <w:rFonts w:ascii="Book Antiqua" w:hAnsi="Book Antiqua"/>
        </w:rPr>
        <w:t xml:space="preserve">Diwan, I., Malik, A., &amp; </w:t>
      </w:r>
      <w:proofErr w:type="spellStart"/>
      <w:r w:rsidRPr="000B1BF7">
        <w:rPr>
          <w:rFonts w:ascii="Book Antiqua" w:hAnsi="Book Antiqua"/>
        </w:rPr>
        <w:t>Atiyas</w:t>
      </w:r>
      <w:proofErr w:type="spellEnd"/>
      <w:r w:rsidRPr="000B1BF7">
        <w:rPr>
          <w:rFonts w:ascii="Book Antiqua" w:hAnsi="Book Antiqua"/>
        </w:rPr>
        <w:t xml:space="preserve">, I. (2019). </w:t>
      </w:r>
      <w:r w:rsidRPr="000B1BF7">
        <w:rPr>
          <w:rFonts w:ascii="Book Antiqua" w:hAnsi="Book Antiqua"/>
          <w:i/>
          <w:iCs/>
        </w:rPr>
        <w:t>Crony Capitalism in the Middle East: Business and Politics from Liberalization to the Arab Spring.</w:t>
      </w:r>
      <w:r w:rsidRPr="000B1BF7">
        <w:rPr>
          <w:rFonts w:ascii="Book Antiqua" w:hAnsi="Book Antiqua"/>
        </w:rPr>
        <w:t xml:space="preserve"> Oxford: Oxford University Press.</w:t>
      </w:r>
    </w:p>
    <w:p w14:paraId="1DFA230E" w14:textId="7552E94C" w:rsidR="006A79F1" w:rsidRPr="00EA0274" w:rsidRDefault="006A79F1" w:rsidP="006A79F1">
      <w:pPr>
        <w:spacing w:after="0" w:line="360" w:lineRule="auto"/>
        <w:ind w:left="567" w:hanging="567"/>
        <w:jc w:val="both"/>
        <w:rPr>
          <w:rFonts w:ascii="Book Antiqua" w:hAnsi="Book Antiqua"/>
        </w:rPr>
      </w:pPr>
      <w:proofErr w:type="spellStart"/>
      <w:r w:rsidRPr="00EA0274">
        <w:rPr>
          <w:rFonts w:ascii="Book Antiqua" w:hAnsi="Book Antiqua"/>
        </w:rPr>
        <w:t>Eibl</w:t>
      </w:r>
      <w:proofErr w:type="spellEnd"/>
      <w:r w:rsidRPr="00EA0274">
        <w:rPr>
          <w:rFonts w:ascii="Book Antiqua" w:hAnsi="Book Antiqua"/>
        </w:rPr>
        <w:t xml:space="preserve">, F. &amp; Malik. A. </w:t>
      </w:r>
      <w:r w:rsidR="00A91960" w:rsidRPr="00EA0274">
        <w:rPr>
          <w:rFonts w:ascii="Book Antiqua" w:hAnsi="Book Antiqua"/>
        </w:rPr>
        <w:t>(</w:t>
      </w:r>
      <w:r w:rsidR="00637781" w:rsidRPr="00EA0274">
        <w:rPr>
          <w:rFonts w:ascii="Book Antiqua" w:hAnsi="Book Antiqua"/>
        </w:rPr>
        <w:t>2016</w:t>
      </w:r>
      <w:r w:rsidR="00A91960" w:rsidRPr="00EA0274">
        <w:rPr>
          <w:rFonts w:ascii="Book Antiqua" w:hAnsi="Book Antiqua"/>
        </w:rPr>
        <w:t>)</w:t>
      </w:r>
      <w:r w:rsidR="00637781" w:rsidRPr="00EA0274">
        <w:rPr>
          <w:rFonts w:ascii="Book Antiqua" w:hAnsi="Book Antiqua"/>
        </w:rPr>
        <w:t xml:space="preserve">. The Politics of Partial Liberalization: Cronyism and Non-Tariff Protection in Mubarak’s Egypt. </w:t>
      </w:r>
      <w:r w:rsidR="00637781" w:rsidRPr="00EA0274">
        <w:rPr>
          <w:rFonts w:ascii="Book Antiqua" w:hAnsi="Book Antiqua"/>
          <w:i/>
          <w:iCs/>
        </w:rPr>
        <w:t>CSAE Working Paper</w:t>
      </w:r>
      <w:r w:rsidR="00281A80" w:rsidRPr="00EA0274">
        <w:rPr>
          <w:rFonts w:ascii="Book Antiqua" w:hAnsi="Book Antiqua"/>
        </w:rPr>
        <w:t>. WPS/2016-27. Oxford: Centre for the Study of African Economies.</w:t>
      </w:r>
      <w:r w:rsidRPr="00EA0274">
        <w:rPr>
          <w:rFonts w:ascii="Book Antiqua" w:hAnsi="Book Antiqua"/>
        </w:rPr>
        <w:t xml:space="preserve"> </w:t>
      </w:r>
    </w:p>
    <w:p w14:paraId="4802306D" w14:textId="183BF24B" w:rsidR="00F851DD" w:rsidRPr="00EA0274" w:rsidRDefault="00E80161" w:rsidP="006A79F1">
      <w:pPr>
        <w:spacing w:after="0" w:line="360" w:lineRule="auto"/>
        <w:ind w:left="567" w:hanging="567"/>
        <w:jc w:val="both"/>
        <w:rPr>
          <w:rFonts w:ascii="Book Antiqua" w:hAnsi="Book Antiqua"/>
        </w:rPr>
      </w:pPr>
      <w:proofErr w:type="spellStart"/>
      <w:r w:rsidRPr="00EA0274">
        <w:rPr>
          <w:rFonts w:ascii="Book Antiqua" w:hAnsi="Book Antiqua"/>
        </w:rPr>
        <w:t>Elyachar</w:t>
      </w:r>
      <w:proofErr w:type="spellEnd"/>
      <w:r w:rsidRPr="00EA0274">
        <w:rPr>
          <w:rFonts w:ascii="Book Antiqua" w:hAnsi="Book Antiqua"/>
        </w:rPr>
        <w:t xml:space="preserve">, J. </w:t>
      </w:r>
      <w:r w:rsidR="00A91960" w:rsidRPr="00EA0274">
        <w:rPr>
          <w:rFonts w:ascii="Book Antiqua" w:hAnsi="Book Antiqua"/>
        </w:rPr>
        <w:t>(</w:t>
      </w:r>
      <w:r w:rsidRPr="00EA0274">
        <w:rPr>
          <w:rFonts w:ascii="Book Antiqua" w:hAnsi="Book Antiqua"/>
        </w:rPr>
        <w:t>2005</w:t>
      </w:r>
      <w:r w:rsidR="00A91960" w:rsidRPr="00EA0274">
        <w:rPr>
          <w:rFonts w:ascii="Book Antiqua" w:hAnsi="Book Antiqua"/>
        </w:rPr>
        <w:t>)</w:t>
      </w:r>
      <w:r w:rsidRPr="00EA0274">
        <w:rPr>
          <w:rFonts w:ascii="Book Antiqua" w:hAnsi="Book Antiqua"/>
        </w:rPr>
        <w:t xml:space="preserve">. </w:t>
      </w:r>
      <w:r w:rsidR="006D7B8E" w:rsidRPr="00EA0274">
        <w:rPr>
          <w:rFonts w:ascii="Book Antiqua" w:hAnsi="Book Antiqua"/>
          <w:i/>
          <w:iCs/>
        </w:rPr>
        <w:t>Markets of Dispossession: NGOs, Economic Development, and the State in Cairo</w:t>
      </w:r>
      <w:r w:rsidR="006D7B8E" w:rsidRPr="00EA0274">
        <w:rPr>
          <w:rFonts w:ascii="Book Antiqua" w:hAnsi="Book Antiqua"/>
        </w:rPr>
        <w:t>. Duke University Press.</w:t>
      </w:r>
    </w:p>
    <w:p w14:paraId="3D586D77" w14:textId="10AFA28B" w:rsidR="00753FD8" w:rsidRPr="00EA0274" w:rsidRDefault="00753FD8" w:rsidP="006A79F1">
      <w:pPr>
        <w:spacing w:after="0" w:line="360" w:lineRule="auto"/>
        <w:ind w:left="567" w:hanging="567"/>
        <w:jc w:val="both"/>
        <w:rPr>
          <w:rFonts w:ascii="Book Antiqua" w:hAnsi="Book Antiqua"/>
        </w:rPr>
      </w:pPr>
      <w:r w:rsidRPr="00EA0274">
        <w:rPr>
          <w:rFonts w:ascii="Book Antiqua" w:hAnsi="Book Antiqua"/>
        </w:rPr>
        <w:t>Ennis, C. (2019). “Rentier-</w:t>
      </w:r>
      <w:proofErr w:type="spellStart"/>
      <w:r w:rsidRPr="00EA0274">
        <w:rPr>
          <w:rFonts w:ascii="Book Antiqua" w:hAnsi="Book Antiqua"/>
        </w:rPr>
        <w:t>preneurship</w:t>
      </w:r>
      <w:proofErr w:type="spellEnd"/>
      <w:r w:rsidRPr="00EA0274">
        <w:rPr>
          <w:rFonts w:ascii="Book Antiqua" w:hAnsi="Book Antiqua"/>
        </w:rPr>
        <w:t>: dependence and autonomy in women’s entrepreneurship in the Gulf”. In M. Herb (ed.)</w:t>
      </w:r>
      <w:r w:rsidRPr="00EA0274">
        <w:t xml:space="preserve"> </w:t>
      </w:r>
      <w:r w:rsidRPr="00EA0274">
        <w:rPr>
          <w:rFonts w:ascii="Book Antiqua" w:hAnsi="Book Antiqua"/>
          <w:i/>
        </w:rPr>
        <w:t xml:space="preserve">The Politics of Rentier States in the Gulf </w:t>
      </w:r>
      <w:r w:rsidR="002F456F" w:rsidRPr="00EA0274">
        <w:rPr>
          <w:rFonts w:ascii="Book Antiqua" w:hAnsi="Book Antiqua"/>
        </w:rPr>
        <w:t>(pp. 60-66). POMEPS: Washington, DC.</w:t>
      </w:r>
    </w:p>
    <w:p w14:paraId="099B131B" w14:textId="7F09FDBE" w:rsidR="0028762E" w:rsidRPr="00EA0274" w:rsidRDefault="0028762E" w:rsidP="006A79F1">
      <w:pPr>
        <w:spacing w:after="0" w:line="360" w:lineRule="auto"/>
        <w:ind w:left="567" w:hanging="567"/>
        <w:jc w:val="both"/>
        <w:rPr>
          <w:rFonts w:ascii="Book Antiqua" w:hAnsi="Book Antiqua"/>
        </w:rPr>
      </w:pPr>
      <w:r w:rsidRPr="00EA0274">
        <w:rPr>
          <w:rFonts w:ascii="Book Antiqua" w:hAnsi="Book Antiqua"/>
        </w:rPr>
        <w:t xml:space="preserve">Goswami, M. </w:t>
      </w:r>
      <w:r w:rsidR="00A91960" w:rsidRPr="00EA0274">
        <w:rPr>
          <w:rFonts w:ascii="Book Antiqua" w:hAnsi="Book Antiqua"/>
        </w:rPr>
        <w:t>(</w:t>
      </w:r>
      <w:r w:rsidRPr="00EA0274">
        <w:rPr>
          <w:rFonts w:ascii="Book Antiqua" w:hAnsi="Book Antiqua"/>
        </w:rPr>
        <w:t>2002</w:t>
      </w:r>
      <w:r w:rsidR="00A91960" w:rsidRPr="00EA0274">
        <w:rPr>
          <w:rFonts w:ascii="Book Antiqua" w:hAnsi="Book Antiqua"/>
        </w:rPr>
        <w:t>)</w:t>
      </w:r>
      <w:r w:rsidRPr="00EA0274">
        <w:rPr>
          <w:rFonts w:ascii="Book Antiqua" w:hAnsi="Book Antiqua"/>
        </w:rPr>
        <w:t xml:space="preserve">. Rethinking the Modular Nation Form: Towards a Sociohistorical Conception of Nationalism. </w:t>
      </w:r>
      <w:r w:rsidRPr="00EA0274">
        <w:rPr>
          <w:rFonts w:ascii="Book Antiqua" w:hAnsi="Book Antiqua"/>
          <w:i/>
          <w:iCs/>
        </w:rPr>
        <w:t>Comparative Studies in Society and History</w:t>
      </w:r>
      <w:r w:rsidRPr="00EA0274">
        <w:rPr>
          <w:rFonts w:ascii="Book Antiqua" w:hAnsi="Book Antiqua"/>
        </w:rPr>
        <w:t xml:space="preserve">. </w:t>
      </w:r>
      <w:r w:rsidRPr="00EA0274">
        <w:rPr>
          <w:rFonts w:ascii="Book Antiqua" w:hAnsi="Book Antiqua"/>
          <w:i/>
          <w:iCs/>
        </w:rPr>
        <w:t>44</w:t>
      </w:r>
      <w:r w:rsidRPr="00EA0274">
        <w:rPr>
          <w:rFonts w:ascii="Book Antiqua" w:hAnsi="Book Antiqua"/>
        </w:rPr>
        <w:t>(4): 770-799.</w:t>
      </w:r>
    </w:p>
    <w:p w14:paraId="40415320" w14:textId="4DC2EA60" w:rsidR="003B15C8" w:rsidRPr="00EA0274" w:rsidRDefault="003B15C8" w:rsidP="006A79F1">
      <w:pPr>
        <w:spacing w:after="0" w:line="360" w:lineRule="auto"/>
        <w:ind w:left="567" w:hanging="567"/>
        <w:jc w:val="both"/>
        <w:rPr>
          <w:rFonts w:ascii="Book Antiqua" w:hAnsi="Book Antiqua"/>
        </w:rPr>
      </w:pPr>
      <w:proofErr w:type="spellStart"/>
      <w:r w:rsidRPr="00EA0274">
        <w:rPr>
          <w:rFonts w:ascii="Book Antiqua" w:hAnsi="Book Antiqua"/>
        </w:rPr>
        <w:t>Haleh</w:t>
      </w:r>
      <w:proofErr w:type="spellEnd"/>
      <w:r w:rsidRPr="00EA0274">
        <w:rPr>
          <w:rFonts w:ascii="Book Antiqua" w:hAnsi="Book Antiqua"/>
        </w:rPr>
        <w:t xml:space="preserve"> Davis, M. </w:t>
      </w:r>
      <w:r w:rsidR="00A91960" w:rsidRPr="00EA0274">
        <w:rPr>
          <w:rFonts w:ascii="Book Antiqua" w:hAnsi="Book Antiqua"/>
        </w:rPr>
        <w:t>(</w:t>
      </w:r>
      <w:r w:rsidRPr="00EA0274">
        <w:rPr>
          <w:rFonts w:ascii="Book Antiqua" w:hAnsi="Book Antiqua"/>
        </w:rPr>
        <w:t>2022</w:t>
      </w:r>
      <w:r w:rsidR="00A91960" w:rsidRPr="00EA0274">
        <w:rPr>
          <w:rFonts w:ascii="Book Antiqua" w:hAnsi="Book Antiqua"/>
        </w:rPr>
        <w:t>)</w:t>
      </w:r>
      <w:r w:rsidR="001D6546" w:rsidRPr="00EA0274">
        <w:rPr>
          <w:rFonts w:ascii="Book Antiqua" w:hAnsi="Book Antiqua"/>
        </w:rPr>
        <w:t>.</w:t>
      </w:r>
      <w:r w:rsidRPr="00EA0274">
        <w:rPr>
          <w:rFonts w:ascii="Book Antiqua" w:hAnsi="Book Antiqua"/>
        </w:rPr>
        <w:t xml:space="preserve"> </w:t>
      </w:r>
      <w:r w:rsidR="001D6546" w:rsidRPr="00EA0274">
        <w:rPr>
          <w:rFonts w:ascii="Book Antiqua" w:hAnsi="Book Antiqua"/>
          <w:i/>
          <w:iCs/>
        </w:rPr>
        <w:t>Markets of Civilization: Islam and Racial Capitalism in Algeria</w:t>
      </w:r>
      <w:r w:rsidR="001D6546" w:rsidRPr="00EA0274">
        <w:rPr>
          <w:rFonts w:ascii="Book Antiqua" w:hAnsi="Book Antiqua"/>
        </w:rPr>
        <w:t>. Duke University Press.</w:t>
      </w:r>
    </w:p>
    <w:p w14:paraId="15D88CEC" w14:textId="5BC7AF53" w:rsidR="00392675" w:rsidRPr="00EA0274" w:rsidRDefault="00392675" w:rsidP="006A79F1">
      <w:pPr>
        <w:spacing w:after="0" w:line="360" w:lineRule="auto"/>
        <w:ind w:left="567" w:hanging="567"/>
        <w:jc w:val="both"/>
        <w:rPr>
          <w:rFonts w:ascii="Book Antiqua" w:hAnsi="Book Antiqua"/>
        </w:rPr>
      </w:pPr>
      <w:r w:rsidRPr="00EA0274">
        <w:rPr>
          <w:rFonts w:ascii="Book Antiqua" w:hAnsi="Book Antiqua"/>
        </w:rPr>
        <w:t xml:space="preserve">Halliday, F. </w:t>
      </w:r>
      <w:r w:rsidR="00A91960" w:rsidRPr="00EA0274">
        <w:rPr>
          <w:rFonts w:ascii="Book Antiqua" w:hAnsi="Book Antiqua"/>
        </w:rPr>
        <w:t>(</w:t>
      </w:r>
      <w:r w:rsidRPr="00EA0274">
        <w:rPr>
          <w:rFonts w:ascii="Book Antiqua" w:hAnsi="Book Antiqua"/>
        </w:rPr>
        <w:t>2005</w:t>
      </w:r>
      <w:r w:rsidR="00A91960" w:rsidRPr="00EA0274">
        <w:rPr>
          <w:rFonts w:ascii="Book Antiqua" w:hAnsi="Book Antiqua"/>
        </w:rPr>
        <w:t>)</w:t>
      </w:r>
      <w:r w:rsidR="0040799B" w:rsidRPr="00EA0274">
        <w:rPr>
          <w:rFonts w:ascii="Book Antiqua" w:hAnsi="Book Antiqua"/>
        </w:rPr>
        <w:t>.</w:t>
      </w:r>
      <w:r w:rsidR="00F92D1C" w:rsidRPr="00EA0274">
        <w:rPr>
          <w:rFonts w:ascii="Book Antiqua" w:hAnsi="Book Antiqua"/>
        </w:rPr>
        <w:t xml:space="preserve"> </w:t>
      </w:r>
      <w:r w:rsidR="00F92D1C" w:rsidRPr="00EA0274">
        <w:rPr>
          <w:rFonts w:ascii="Book Antiqua" w:hAnsi="Book Antiqua"/>
          <w:i/>
          <w:iCs/>
        </w:rPr>
        <w:t>The Middle East in International Relations: Power, Politics</w:t>
      </w:r>
      <w:r w:rsidR="00671727" w:rsidRPr="00EA0274">
        <w:rPr>
          <w:rFonts w:ascii="Book Antiqua" w:hAnsi="Book Antiqua"/>
          <w:i/>
          <w:iCs/>
        </w:rPr>
        <w:t xml:space="preserve"> and Ideology</w:t>
      </w:r>
      <w:r w:rsidR="0045725B" w:rsidRPr="00EA0274">
        <w:rPr>
          <w:rFonts w:ascii="Book Antiqua" w:hAnsi="Book Antiqua"/>
          <w:i/>
          <w:iCs/>
        </w:rPr>
        <w:t>.</w:t>
      </w:r>
      <w:r w:rsidR="0045725B" w:rsidRPr="00EA0274">
        <w:rPr>
          <w:rFonts w:ascii="Book Antiqua" w:hAnsi="Book Antiqua"/>
        </w:rPr>
        <w:t xml:space="preserve"> </w:t>
      </w:r>
      <w:r w:rsidR="00671727" w:rsidRPr="00EA0274">
        <w:rPr>
          <w:rFonts w:ascii="Book Antiqua" w:hAnsi="Book Antiqua"/>
        </w:rPr>
        <w:t>Cambridge University Press.</w:t>
      </w:r>
    </w:p>
    <w:p w14:paraId="50255588" w14:textId="5EC85D91" w:rsidR="009E6336" w:rsidRPr="00EA0274" w:rsidRDefault="009E6336" w:rsidP="006A79F1">
      <w:pPr>
        <w:spacing w:after="0" w:line="360" w:lineRule="auto"/>
        <w:ind w:left="567" w:hanging="567"/>
        <w:jc w:val="both"/>
        <w:rPr>
          <w:rFonts w:ascii="Book Antiqua" w:hAnsi="Book Antiqua"/>
        </w:rPr>
      </w:pPr>
      <w:r w:rsidRPr="00EA0274">
        <w:rPr>
          <w:rFonts w:ascii="Book Antiqua" w:hAnsi="Book Antiqua"/>
        </w:rPr>
        <w:t xml:space="preserve">Hanieh, A. </w:t>
      </w:r>
      <w:r w:rsidR="00A91960" w:rsidRPr="00EA0274">
        <w:rPr>
          <w:rFonts w:ascii="Book Antiqua" w:hAnsi="Book Antiqua"/>
        </w:rPr>
        <w:t>(</w:t>
      </w:r>
      <w:r w:rsidRPr="00EA0274">
        <w:rPr>
          <w:rFonts w:ascii="Book Antiqua" w:hAnsi="Book Antiqua"/>
        </w:rPr>
        <w:t>201</w:t>
      </w:r>
      <w:r w:rsidR="004A05C9" w:rsidRPr="00EA0274">
        <w:rPr>
          <w:rFonts w:ascii="Book Antiqua" w:hAnsi="Book Antiqua"/>
        </w:rPr>
        <w:t>1</w:t>
      </w:r>
      <w:r w:rsidR="00A91960" w:rsidRPr="00EA0274">
        <w:rPr>
          <w:rFonts w:ascii="Book Antiqua" w:hAnsi="Book Antiqua"/>
        </w:rPr>
        <w:t>)</w:t>
      </w:r>
      <w:r w:rsidR="004A05C9" w:rsidRPr="00EA0274">
        <w:rPr>
          <w:rFonts w:ascii="Book Antiqua" w:hAnsi="Book Antiqua"/>
        </w:rPr>
        <w:t xml:space="preserve">. </w:t>
      </w:r>
      <w:r w:rsidR="004A05C9" w:rsidRPr="00EA0274">
        <w:rPr>
          <w:rFonts w:ascii="Book Antiqua" w:hAnsi="Book Antiqua"/>
          <w:i/>
          <w:iCs/>
        </w:rPr>
        <w:t>Capitalism and Class in the Gulf Arab States</w:t>
      </w:r>
      <w:r w:rsidR="004A05C9" w:rsidRPr="00EA0274">
        <w:rPr>
          <w:rFonts w:ascii="Book Antiqua" w:hAnsi="Book Antiqua"/>
        </w:rPr>
        <w:t>. Palgrave Macmillan.</w:t>
      </w:r>
    </w:p>
    <w:p w14:paraId="699F44B3" w14:textId="5922318B" w:rsidR="009E6336" w:rsidRPr="00EA0274" w:rsidRDefault="009E6336" w:rsidP="006A79F1">
      <w:pPr>
        <w:spacing w:after="0" w:line="360" w:lineRule="auto"/>
        <w:ind w:left="567" w:hanging="567"/>
        <w:jc w:val="both"/>
        <w:rPr>
          <w:rFonts w:ascii="Book Antiqua" w:hAnsi="Book Antiqua"/>
        </w:rPr>
      </w:pPr>
      <w:r w:rsidRPr="00EA0274">
        <w:rPr>
          <w:rFonts w:ascii="Book Antiqua" w:hAnsi="Book Antiqua"/>
        </w:rPr>
        <w:t xml:space="preserve">Hanieh, A. </w:t>
      </w:r>
      <w:r w:rsidR="00A91960" w:rsidRPr="00EA0274">
        <w:rPr>
          <w:rFonts w:ascii="Book Antiqua" w:hAnsi="Book Antiqua"/>
        </w:rPr>
        <w:t>(</w:t>
      </w:r>
      <w:r w:rsidRPr="00EA0274">
        <w:rPr>
          <w:rFonts w:ascii="Book Antiqua" w:hAnsi="Book Antiqua"/>
        </w:rPr>
        <w:t>2013</w:t>
      </w:r>
      <w:r w:rsidR="00A91960" w:rsidRPr="00EA0274">
        <w:rPr>
          <w:rFonts w:ascii="Book Antiqua" w:hAnsi="Book Antiqua"/>
        </w:rPr>
        <w:t>)</w:t>
      </w:r>
      <w:r w:rsidRPr="00EA0274">
        <w:rPr>
          <w:rFonts w:ascii="Book Antiqua" w:hAnsi="Book Antiqua"/>
        </w:rPr>
        <w:t>.</w:t>
      </w:r>
      <w:r w:rsidR="004A05C9" w:rsidRPr="00EA0274">
        <w:rPr>
          <w:rFonts w:ascii="Book Antiqua" w:hAnsi="Book Antiqua"/>
        </w:rPr>
        <w:t xml:space="preserve"> </w:t>
      </w:r>
      <w:r w:rsidR="004A05C9" w:rsidRPr="00EA0274">
        <w:rPr>
          <w:rFonts w:ascii="Book Antiqua" w:hAnsi="Book Antiqua"/>
          <w:i/>
          <w:iCs/>
        </w:rPr>
        <w:t>Lineages of Revolt</w:t>
      </w:r>
      <w:r w:rsidR="00BD7349" w:rsidRPr="00EA0274">
        <w:rPr>
          <w:rFonts w:ascii="Book Antiqua" w:hAnsi="Book Antiqua"/>
          <w:i/>
          <w:iCs/>
        </w:rPr>
        <w:t>: Issues of Contemporary Capitalism in the Middle East</w:t>
      </w:r>
      <w:r w:rsidR="00BD7349" w:rsidRPr="00EA0274">
        <w:rPr>
          <w:rFonts w:ascii="Book Antiqua" w:hAnsi="Book Antiqua"/>
        </w:rPr>
        <w:t>. Haymarket.</w:t>
      </w:r>
    </w:p>
    <w:p w14:paraId="0A421F03" w14:textId="73A5B838" w:rsidR="009E6336" w:rsidRPr="00EA0274" w:rsidRDefault="009E6336" w:rsidP="006A79F1">
      <w:pPr>
        <w:spacing w:after="0" w:line="360" w:lineRule="auto"/>
        <w:ind w:left="567" w:hanging="567"/>
        <w:jc w:val="both"/>
        <w:rPr>
          <w:rFonts w:ascii="Book Antiqua" w:hAnsi="Book Antiqua"/>
        </w:rPr>
      </w:pPr>
      <w:r w:rsidRPr="00EA0274">
        <w:rPr>
          <w:rFonts w:ascii="Book Antiqua" w:hAnsi="Book Antiqua"/>
        </w:rPr>
        <w:t xml:space="preserve">Hanieh, A. </w:t>
      </w:r>
      <w:r w:rsidR="00A91960" w:rsidRPr="00EA0274">
        <w:rPr>
          <w:rFonts w:ascii="Book Antiqua" w:hAnsi="Book Antiqua"/>
        </w:rPr>
        <w:t>(</w:t>
      </w:r>
      <w:r w:rsidRPr="00EA0274">
        <w:rPr>
          <w:rFonts w:ascii="Book Antiqua" w:hAnsi="Book Antiqua"/>
        </w:rPr>
        <w:t>2018</w:t>
      </w:r>
      <w:r w:rsidR="00A91960" w:rsidRPr="00EA0274">
        <w:rPr>
          <w:rFonts w:ascii="Book Antiqua" w:hAnsi="Book Antiqua"/>
        </w:rPr>
        <w:t>)</w:t>
      </w:r>
      <w:r w:rsidRPr="00EA0274">
        <w:rPr>
          <w:rFonts w:ascii="Book Antiqua" w:hAnsi="Book Antiqua"/>
        </w:rPr>
        <w:t xml:space="preserve">. </w:t>
      </w:r>
      <w:r w:rsidRPr="00EA0274">
        <w:rPr>
          <w:rFonts w:ascii="Book Antiqua" w:hAnsi="Book Antiqua"/>
          <w:i/>
          <w:iCs/>
        </w:rPr>
        <w:t>Money, Markets, and Monarchies: The Gulf Cooperation Council and the Political Economy of the Contemporary Middle East</w:t>
      </w:r>
      <w:r w:rsidRPr="00EA0274">
        <w:rPr>
          <w:rFonts w:ascii="Book Antiqua" w:hAnsi="Book Antiqua"/>
        </w:rPr>
        <w:t>. Cambridge University Press.</w:t>
      </w:r>
    </w:p>
    <w:p w14:paraId="7C9FD780" w14:textId="5E63FE6F" w:rsidR="00D12B71" w:rsidRPr="00EA0274" w:rsidRDefault="00D12B71" w:rsidP="00D12B71">
      <w:pPr>
        <w:spacing w:after="0" w:line="360" w:lineRule="auto"/>
        <w:ind w:left="567" w:hanging="567"/>
        <w:jc w:val="both"/>
        <w:rPr>
          <w:rFonts w:ascii="Book Antiqua" w:hAnsi="Book Antiqua"/>
        </w:rPr>
      </w:pPr>
      <w:proofErr w:type="spellStart"/>
      <w:r w:rsidRPr="00EA0274">
        <w:rPr>
          <w:rFonts w:ascii="Book Antiqua" w:hAnsi="Book Antiqua"/>
        </w:rPr>
        <w:t>Haugbolle</w:t>
      </w:r>
      <w:proofErr w:type="spellEnd"/>
      <w:r w:rsidRPr="00EA0274">
        <w:rPr>
          <w:rFonts w:ascii="Book Antiqua" w:hAnsi="Book Antiqua"/>
        </w:rPr>
        <w:t xml:space="preserve">, S. &amp; </w:t>
      </w:r>
      <w:proofErr w:type="spellStart"/>
      <w:r w:rsidRPr="00EA0274">
        <w:rPr>
          <w:rFonts w:ascii="Book Antiqua" w:hAnsi="Book Antiqua"/>
        </w:rPr>
        <w:t>LeVine</w:t>
      </w:r>
      <w:proofErr w:type="spellEnd"/>
      <w:r w:rsidRPr="00EA0274">
        <w:rPr>
          <w:rFonts w:ascii="Book Antiqua" w:hAnsi="Book Antiqua"/>
        </w:rPr>
        <w:t xml:space="preserve">, M. (eds.) </w:t>
      </w:r>
      <w:r w:rsidR="00A91960" w:rsidRPr="00EA0274">
        <w:rPr>
          <w:rFonts w:ascii="Book Antiqua" w:hAnsi="Book Antiqua"/>
        </w:rPr>
        <w:t xml:space="preserve">(2023). </w:t>
      </w:r>
      <w:r w:rsidRPr="00EA0274">
        <w:rPr>
          <w:rFonts w:ascii="Book Antiqua" w:hAnsi="Book Antiqua"/>
          <w:i/>
        </w:rPr>
        <w:t>Altered States: The Remaking of the Political in the Arab World</w:t>
      </w:r>
      <w:r w:rsidR="00A91960" w:rsidRPr="00EA0274">
        <w:rPr>
          <w:rFonts w:ascii="Book Antiqua" w:hAnsi="Book Antiqua"/>
          <w:iCs/>
        </w:rPr>
        <w:t>. Routledge.</w:t>
      </w:r>
    </w:p>
    <w:p w14:paraId="2D2BC07D" w14:textId="4987EF01" w:rsidR="00A30F36" w:rsidRDefault="00A30F36" w:rsidP="006A79F1">
      <w:pPr>
        <w:spacing w:after="0" w:line="360" w:lineRule="auto"/>
        <w:ind w:left="567" w:hanging="567"/>
        <w:jc w:val="both"/>
        <w:rPr>
          <w:rFonts w:ascii="Book Antiqua" w:hAnsi="Book Antiqua"/>
        </w:rPr>
      </w:pPr>
      <w:proofErr w:type="spellStart"/>
      <w:r w:rsidRPr="00C57A33">
        <w:rPr>
          <w:rFonts w:ascii="Book Antiqua" w:hAnsi="Book Antiqua"/>
        </w:rPr>
        <w:t>Helle</w:t>
      </w:r>
      <w:r w:rsidRPr="000B1BF7">
        <w:rPr>
          <w:rFonts w:ascii="Book Antiqua" w:hAnsi="Book Antiqua"/>
        </w:rPr>
        <w:t>iner</w:t>
      </w:r>
      <w:proofErr w:type="spellEnd"/>
      <w:r w:rsidRPr="000B1BF7">
        <w:rPr>
          <w:rFonts w:ascii="Book Antiqua" w:hAnsi="Book Antiqua"/>
        </w:rPr>
        <w:t xml:space="preserve">, E. (2023). </w:t>
      </w:r>
      <w:r w:rsidR="00C57A33" w:rsidRPr="000B1BF7">
        <w:rPr>
          <w:rFonts w:ascii="Book Antiqua" w:hAnsi="Book Antiqua"/>
          <w:i/>
          <w:iCs/>
        </w:rPr>
        <w:t xml:space="preserve">The Contested World Economy: </w:t>
      </w:r>
      <w:r w:rsidR="00C57A33">
        <w:rPr>
          <w:rFonts w:ascii="Book Antiqua" w:hAnsi="Book Antiqua"/>
          <w:i/>
          <w:iCs/>
        </w:rPr>
        <w:t>The Deep and Global Roots of International Political Economy</w:t>
      </w:r>
      <w:r w:rsidR="00C57A33">
        <w:rPr>
          <w:rFonts w:ascii="Book Antiqua" w:hAnsi="Book Antiqua"/>
        </w:rPr>
        <w:t>. Cambridge University Press.</w:t>
      </w:r>
    </w:p>
    <w:p w14:paraId="0A44D0B3" w14:textId="3B6639A5" w:rsidR="00C57A33" w:rsidRPr="00BC7D47" w:rsidRDefault="00C57A33" w:rsidP="006A79F1">
      <w:pPr>
        <w:spacing w:after="0" w:line="360" w:lineRule="auto"/>
        <w:ind w:left="567" w:hanging="567"/>
        <w:jc w:val="both"/>
        <w:rPr>
          <w:rFonts w:ascii="Book Antiqua" w:hAnsi="Book Antiqua"/>
        </w:rPr>
      </w:pPr>
      <w:r w:rsidRPr="000B1BF7">
        <w:rPr>
          <w:rFonts w:ascii="Book Antiqua" w:hAnsi="Book Antiqua"/>
          <w:lang w:val="de-DE"/>
        </w:rPr>
        <w:t>Helleiner</w:t>
      </w:r>
      <w:r>
        <w:rPr>
          <w:rFonts w:ascii="Book Antiqua" w:hAnsi="Book Antiqua"/>
          <w:lang w:val="de-DE"/>
        </w:rPr>
        <w:t>, E. &amp; Rosales, A. (2017)</w:t>
      </w:r>
      <w:r w:rsidR="00BC7D47">
        <w:rPr>
          <w:rFonts w:ascii="Book Antiqua" w:hAnsi="Book Antiqua"/>
          <w:lang w:val="de-DE"/>
        </w:rPr>
        <w:t xml:space="preserve">. </w:t>
      </w:r>
      <w:r w:rsidR="00BC7D47" w:rsidRPr="000B1BF7">
        <w:rPr>
          <w:rFonts w:ascii="Book Antiqua" w:hAnsi="Book Antiqua"/>
        </w:rPr>
        <w:t xml:space="preserve">Peripheral thoughts for </w:t>
      </w:r>
      <w:r w:rsidR="00BC7D47">
        <w:rPr>
          <w:rFonts w:ascii="Book Antiqua" w:hAnsi="Book Antiqua"/>
        </w:rPr>
        <w:t xml:space="preserve">international political economy: Latin American ideational innovation and the diffusion of the nineteenth century free trade doctrine. </w:t>
      </w:r>
      <w:r w:rsidR="00BC7D47">
        <w:rPr>
          <w:rFonts w:ascii="Book Antiqua" w:hAnsi="Book Antiqua"/>
          <w:i/>
          <w:iCs/>
        </w:rPr>
        <w:t>International Studies Quarterly</w:t>
      </w:r>
      <w:r w:rsidR="00BC7D47">
        <w:rPr>
          <w:rFonts w:ascii="Book Antiqua" w:hAnsi="Book Antiqua"/>
        </w:rPr>
        <w:t xml:space="preserve">. </w:t>
      </w:r>
      <w:r w:rsidR="00BC7D47">
        <w:rPr>
          <w:rFonts w:ascii="Book Antiqua" w:hAnsi="Book Antiqua"/>
          <w:i/>
          <w:iCs/>
        </w:rPr>
        <w:t>61</w:t>
      </w:r>
      <w:r w:rsidR="00BC7D47">
        <w:rPr>
          <w:rFonts w:ascii="Book Antiqua" w:hAnsi="Book Antiqua"/>
        </w:rPr>
        <w:t xml:space="preserve">(4): </w:t>
      </w:r>
      <w:r w:rsidR="001D6D0F">
        <w:rPr>
          <w:rFonts w:ascii="Book Antiqua" w:hAnsi="Book Antiqua"/>
        </w:rPr>
        <w:t>924-934.</w:t>
      </w:r>
    </w:p>
    <w:p w14:paraId="2698D65A" w14:textId="0D526650" w:rsidR="007C1DD8" w:rsidRPr="00EA0274" w:rsidRDefault="007C1DD8" w:rsidP="006A79F1">
      <w:pPr>
        <w:spacing w:after="0" w:line="360" w:lineRule="auto"/>
        <w:ind w:left="567" w:hanging="567"/>
        <w:jc w:val="both"/>
        <w:rPr>
          <w:rFonts w:ascii="Book Antiqua" w:hAnsi="Book Antiqua"/>
        </w:rPr>
      </w:pPr>
      <w:r w:rsidRPr="00BC7D47">
        <w:rPr>
          <w:rFonts w:ascii="Book Antiqua" w:hAnsi="Book Antiqua"/>
        </w:rPr>
        <w:lastRenderedPageBreak/>
        <w:t xml:space="preserve">Henderson, C. &amp; Ziadah, R. </w:t>
      </w:r>
      <w:r w:rsidR="00A91960" w:rsidRPr="00BC7D47">
        <w:rPr>
          <w:rFonts w:ascii="Book Antiqua" w:hAnsi="Book Antiqua"/>
        </w:rPr>
        <w:t>(</w:t>
      </w:r>
      <w:r w:rsidRPr="00BC7D47">
        <w:rPr>
          <w:rFonts w:ascii="Book Antiqua" w:hAnsi="Book Antiqua"/>
        </w:rPr>
        <w:t>2022</w:t>
      </w:r>
      <w:r w:rsidR="00A91960" w:rsidRPr="00BC7D47">
        <w:rPr>
          <w:rFonts w:ascii="Book Antiqua" w:hAnsi="Book Antiqua"/>
        </w:rPr>
        <w:t>)</w:t>
      </w:r>
      <w:r w:rsidRPr="00BC7D47">
        <w:rPr>
          <w:rFonts w:ascii="Book Antiqua" w:hAnsi="Book Antiqua"/>
        </w:rPr>
        <w:t xml:space="preserve">. </w:t>
      </w:r>
      <w:r w:rsidRPr="00EA0274">
        <w:rPr>
          <w:rFonts w:ascii="Book Antiqua" w:hAnsi="Book Antiqua"/>
        </w:rPr>
        <w:t xml:space="preserve">Logistics of the Neoliberal Food Regime: Circulation, Corporate Food Security and </w:t>
      </w:r>
      <w:r w:rsidR="00F2555A" w:rsidRPr="00EA0274">
        <w:rPr>
          <w:rFonts w:ascii="Book Antiqua" w:hAnsi="Book Antiqua"/>
        </w:rPr>
        <w:t xml:space="preserve">the United Arab Emirates. </w:t>
      </w:r>
      <w:r w:rsidR="00F2555A" w:rsidRPr="00EA0274">
        <w:rPr>
          <w:rFonts w:ascii="Book Antiqua" w:hAnsi="Book Antiqua"/>
          <w:i/>
          <w:iCs/>
        </w:rPr>
        <w:t>New Political Economy</w:t>
      </w:r>
      <w:r w:rsidR="00F2555A" w:rsidRPr="00EA0274">
        <w:rPr>
          <w:rFonts w:ascii="Book Antiqua" w:hAnsi="Book Antiqua"/>
        </w:rPr>
        <w:t xml:space="preserve">. DOI: 10.1080/13563467.2022.2149721. </w:t>
      </w:r>
    </w:p>
    <w:p w14:paraId="3EC70436" w14:textId="2C852DD8" w:rsidR="000756D5" w:rsidRPr="00EA0274" w:rsidRDefault="000756D5" w:rsidP="006A79F1">
      <w:pPr>
        <w:spacing w:after="0" w:line="360" w:lineRule="auto"/>
        <w:ind w:left="567" w:hanging="567"/>
        <w:jc w:val="both"/>
        <w:rPr>
          <w:rFonts w:ascii="Book Antiqua" w:hAnsi="Book Antiqua"/>
        </w:rPr>
      </w:pPr>
      <w:r w:rsidRPr="00EA0274">
        <w:rPr>
          <w:rFonts w:ascii="Book Antiqua" w:hAnsi="Book Antiqua"/>
        </w:rPr>
        <w:t xml:space="preserve">Henry, C. &amp; </w:t>
      </w:r>
      <w:proofErr w:type="spellStart"/>
      <w:r w:rsidRPr="00EA0274">
        <w:rPr>
          <w:rFonts w:ascii="Book Antiqua" w:hAnsi="Book Antiqua"/>
        </w:rPr>
        <w:t>Springborg</w:t>
      </w:r>
      <w:proofErr w:type="spellEnd"/>
      <w:r w:rsidRPr="00EA0274">
        <w:rPr>
          <w:rFonts w:ascii="Book Antiqua" w:hAnsi="Book Antiqua"/>
        </w:rPr>
        <w:t xml:space="preserve">, R. </w:t>
      </w:r>
      <w:r w:rsidR="00A91960" w:rsidRPr="00EA0274">
        <w:rPr>
          <w:rFonts w:ascii="Book Antiqua" w:hAnsi="Book Antiqua"/>
        </w:rPr>
        <w:t>(</w:t>
      </w:r>
      <w:r w:rsidRPr="00EA0274">
        <w:rPr>
          <w:rFonts w:ascii="Book Antiqua" w:hAnsi="Book Antiqua"/>
        </w:rPr>
        <w:t>2010</w:t>
      </w:r>
      <w:r w:rsidR="00A91960" w:rsidRPr="00EA0274">
        <w:rPr>
          <w:rFonts w:ascii="Book Antiqua" w:hAnsi="Book Antiqua"/>
        </w:rPr>
        <w:t>)</w:t>
      </w:r>
      <w:r w:rsidRPr="00EA0274">
        <w:rPr>
          <w:rFonts w:ascii="Book Antiqua" w:hAnsi="Book Antiqua"/>
        </w:rPr>
        <w:t xml:space="preserve">. </w:t>
      </w:r>
      <w:r w:rsidRPr="00EA0274">
        <w:rPr>
          <w:rFonts w:ascii="Book Antiqua" w:hAnsi="Book Antiqua"/>
          <w:i/>
          <w:iCs/>
        </w:rPr>
        <w:t>Globalization and the Politics of Development in the Middle East</w:t>
      </w:r>
      <w:r w:rsidRPr="00EA0274">
        <w:rPr>
          <w:rFonts w:ascii="Book Antiqua" w:hAnsi="Book Antiqua"/>
        </w:rPr>
        <w:t>. Cambridge University Press.</w:t>
      </w:r>
    </w:p>
    <w:p w14:paraId="388904BD" w14:textId="04C79913" w:rsidR="003E299C" w:rsidRPr="003E299C" w:rsidRDefault="003E299C" w:rsidP="003E299C">
      <w:pPr>
        <w:spacing w:after="0" w:line="360" w:lineRule="auto"/>
        <w:ind w:left="567" w:hanging="567"/>
        <w:jc w:val="both"/>
        <w:rPr>
          <w:rFonts w:ascii="Book Antiqua" w:hAnsi="Book Antiqua"/>
        </w:rPr>
      </w:pPr>
      <w:r>
        <w:rPr>
          <w:rFonts w:ascii="Book Antiqua" w:hAnsi="Book Antiqua"/>
        </w:rPr>
        <w:t xml:space="preserve">Herb, M. (2018). </w:t>
      </w:r>
      <w:r w:rsidRPr="000B1BF7">
        <w:rPr>
          <w:rFonts w:ascii="Book Antiqua" w:hAnsi="Book Antiqua"/>
          <w:i/>
          <w:iCs/>
        </w:rPr>
        <w:t>The Wages of Oil: Parliaments and Economic Development in Kuwait and the UAE</w:t>
      </w:r>
      <w:r>
        <w:rPr>
          <w:rFonts w:ascii="Book Antiqua" w:hAnsi="Book Antiqua"/>
        </w:rPr>
        <w:t>. Ithaca: Cornell University Press.</w:t>
      </w:r>
      <w:r>
        <w:rPr>
          <w:rFonts w:ascii="Book Antiqua" w:hAnsi="Book Antiqua"/>
          <w:i/>
          <w:iCs/>
        </w:rPr>
        <w:t xml:space="preserve"> </w:t>
      </w:r>
    </w:p>
    <w:p w14:paraId="3DFD1045" w14:textId="005E30F6" w:rsidR="005A05CF" w:rsidRPr="000B1BF7" w:rsidRDefault="005A05CF" w:rsidP="005A05CF">
      <w:pPr>
        <w:spacing w:after="0" w:line="360" w:lineRule="auto"/>
        <w:ind w:left="567" w:hanging="567"/>
        <w:jc w:val="both"/>
        <w:rPr>
          <w:rFonts w:ascii="Book Antiqua" w:hAnsi="Book Antiqua"/>
        </w:rPr>
      </w:pPr>
      <w:proofErr w:type="spellStart"/>
      <w:r w:rsidRPr="000B1BF7">
        <w:rPr>
          <w:rFonts w:ascii="Book Antiqua" w:hAnsi="Book Antiqua"/>
        </w:rPr>
        <w:t>Hertog</w:t>
      </w:r>
      <w:proofErr w:type="spellEnd"/>
      <w:r w:rsidRPr="000B1BF7">
        <w:rPr>
          <w:rFonts w:ascii="Book Antiqua" w:hAnsi="Book Antiqua"/>
        </w:rPr>
        <w:t xml:space="preserve">, S. (2010). The sociology of Gulf rentier systems: Societies of intermediaries. </w:t>
      </w:r>
      <w:r w:rsidRPr="000B1BF7">
        <w:rPr>
          <w:rFonts w:ascii="Book Antiqua" w:hAnsi="Book Antiqua"/>
          <w:i/>
          <w:iCs/>
        </w:rPr>
        <w:t>Comparative Studies in Society and History, 52</w:t>
      </w:r>
      <w:r w:rsidRPr="000B1BF7">
        <w:rPr>
          <w:rFonts w:ascii="Book Antiqua" w:hAnsi="Book Antiqua"/>
        </w:rPr>
        <w:t>(2), 1-37.</w:t>
      </w:r>
    </w:p>
    <w:p w14:paraId="22D3AEF9" w14:textId="2232F552" w:rsidR="005A05CF" w:rsidRPr="000B1BF7" w:rsidRDefault="005A05CF" w:rsidP="005A05CF">
      <w:pPr>
        <w:spacing w:after="0" w:line="360" w:lineRule="auto"/>
        <w:ind w:left="567" w:hanging="567"/>
        <w:jc w:val="both"/>
        <w:rPr>
          <w:rFonts w:ascii="Book Antiqua" w:hAnsi="Book Antiqua"/>
        </w:rPr>
      </w:pPr>
      <w:r w:rsidRPr="000B1BF7">
        <w:rPr>
          <w:rFonts w:ascii="Book Antiqua" w:hAnsi="Book Antiqua"/>
        </w:rPr>
        <w:t xml:space="preserve">Hesketh, C. (2017). Passive revolution: A universal concept with geographical seats. </w:t>
      </w:r>
      <w:r w:rsidRPr="000B1BF7">
        <w:rPr>
          <w:rFonts w:ascii="Book Antiqua" w:hAnsi="Book Antiqua"/>
          <w:i/>
          <w:iCs/>
        </w:rPr>
        <w:t>Review of International Studies, 43</w:t>
      </w:r>
      <w:r w:rsidRPr="000B1BF7">
        <w:rPr>
          <w:rFonts w:ascii="Book Antiqua" w:hAnsi="Book Antiqua"/>
        </w:rPr>
        <w:t>(3), 389-408.</w:t>
      </w:r>
    </w:p>
    <w:p w14:paraId="41F98D79" w14:textId="5F52FE1F" w:rsidR="00C22222" w:rsidRPr="000B1BF7" w:rsidRDefault="00C22222" w:rsidP="006E6C42">
      <w:pPr>
        <w:spacing w:after="0" w:line="360" w:lineRule="auto"/>
        <w:ind w:left="567" w:hanging="567"/>
        <w:jc w:val="both"/>
        <w:rPr>
          <w:rFonts w:ascii="Book Antiqua" w:hAnsi="Book Antiqua"/>
        </w:rPr>
      </w:pPr>
      <w:proofErr w:type="spellStart"/>
      <w:r w:rsidRPr="000B1BF7">
        <w:rPr>
          <w:rFonts w:ascii="Book Antiqua" w:hAnsi="Book Antiqua"/>
        </w:rPr>
        <w:t>Heydemann</w:t>
      </w:r>
      <w:proofErr w:type="spellEnd"/>
      <w:r w:rsidRPr="000B1BF7">
        <w:rPr>
          <w:rFonts w:ascii="Book Antiqua" w:hAnsi="Book Antiqua"/>
        </w:rPr>
        <w:t xml:space="preserve">, S. (ed.) </w:t>
      </w:r>
      <w:r w:rsidR="006D3401" w:rsidRPr="000B1BF7">
        <w:rPr>
          <w:rFonts w:ascii="Book Antiqua" w:hAnsi="Book Antiqua"/>
        </w:rPr>
        <w:t>(</w:t>
      </w:r>
      <w:r w:rsidRPr="000B1BF7">
        <w:rPr>
          <w:rFonts w:ascii="Book Antiqua" w:hAnsi="Book Antiqua"/>
        </w:rPr>
        <w:t>2004</w:t>
      </w:r>
      <w:r w:rsidR="006D3401" w:rsidRPr="000B1BF7">
        <w:rPr>
          <w:rFonts w:ascii="Book Antiqua" w:hAnsi="Book Antiqua"/>
        </w:rPr>
        <w:t>)</w:t>
      </w:r>
      <w:r w:rsidRPr="000B1BF7">
        <w:rPr>
          <w:rFonts w:ascii="Book Antiqua" w:hAnsi="Book Antiqua"/>
        </w:rPr>
        <w:t xml:space="preserve">. </w:t>
      </w:r>
      <w:r w:rsidR="00182E95" w:rsidRPr="000B1BF7">
        <w:rPr>
          <w:rFonts w:ascii="Book Antiqua" w:hAnsi="Book Antiqua"/>
          <w:i/>
          <w:iCs/>
        </w:rPr>
        <w:t>Networks of Privilege</w:t>
      </w:r>
      <w:r w:rsidR="0053312D" w:rsidRPr="000B1BF7">
        <w:rPr>
          <w:rFonts w:ascii="Book Antiqua" w:hAnsi="Book Antiqua"/>
          <w:i/>
          <w:iCs/>
        </w:rPr>
        <w:t xml:space="preserve"> in the Middle East: The Politics of Economic Reform Revisited</w:t>
      </w:r>
      <w:r w:rsidR="0053312D" w:rsidRPr="000B1BF7">
        <w:rPr>
          <w:rFonts w:ascii="Book Antiqua" w:hAnsi="Book Antiqua"/>
        </w:rPr>
        <w:t xml:space="preserve">. </w:t>
      </w:r>
      <w:r w:rsidR="00A91960" w:rsidRPr="000B1BF7">
        <w:rPr>
          <w:rFonts w:ascii="Book Antiqua" w:hAnsi="Book Antiqua"/>
        </w:rPr>
        <w:t>Springer.</w:t>
      </w:r>
    </w:p>
    <w:p w14:paraId="17FA1319" w14:textId="74DC496B" w:rsidR="006E6C42" w:rsidRPr="000B1BF7" w:rsidRDefault="006E6C42" w:rsidP="006E6C42">
      <w:pPr>
        <w:spacing w:after="0" w:line="360" w:lineRule="auto"/>
        <w:ind w:left="567" w:hanging="567"/>
        <w:jc w:val="both"/>
        <w:rPr>
          <w:rFonts w:ascii="Book Antiqua" w:hAnsi="Book Antiqua"/>
        </w:rPr>
      </w:pPr>
      <w:proofErr w:type="spellStart"/>
      <w:r w:rsidRPr="000B1BF7">
        <w:rPr>
          <w:rFonts w:ascii="Book Antiqua" w:hAnsi="Book Antiqua"/>
        </w:rPr>
        <w:t>Heydemann</w:t>
      </w:r>
      <w:proofErr w:type="spellEnd"/>
      <w:r w:rsidRPr="000B1BF7">
        <w:rPr>
          <w:rFonts w:ascii="Book Antiqua" w:hAnsi="Book Antiqua"/>
        </w:rPr>
        <w:t xml:space="preserve">, S. (2007). </w:t>
      </w:r>
      <w:r w:rsidRPr="000B1BF7">
        <w:rPr>
          <w:rFonts w:ascii="Book Antiqua" w:hAnsi="Book Antiqua"/>
          <w:i/>
          <w:iCs/>
        </w:rPr>
        <w:t>Upgrading Authoritarianism in the Arab World.</w:t>
      </w:r>
      <w:r w:rsidRPr="000B1BF7">
        <w:rPr>
          <w:rFonts w:ascii="Book Antiqua" w:hAnsi="Book Antiqua"/>
        </w:rPr>
        <w:t xml:space="preserve"> Washington DC: Brookings Institution.</w:t>
      </w:r>
    </w:p>
    <w:p w14:paraId="202DA493" w14:textId="77777777" w:rsidR="006E6C42" w:rsidRPr="000B1BF7" w:rsidRDefault="006E6C42" w:rsidP="006E6C42">
      <w:pPr>
        <w:spacing w:after="0" w:line="360" w:lineRule="auto"/>
        <w:ind w:left="567" w:hanging="567"/>
        <w:jc w:val="both"/>
        <w:rPr>
          <w:rFonts w:ascii="Book Antiqua" w:hAnsi="Book Antiqua"/>
        </w:rPr>
      </w:pPr>
      <w:r w:rsidRPr="000B1BF7">
        <w:rPr>
          <w:rFonts w:ascii="Book Antiqua" w:hAnsi="Book Antiqua"/>
        </w:rPr>
        <w:t xml:space="preserve">Hobson, J. M. (2013). Part 1 – Revealing the Eurocentric foundations of IPE: A critical historiography of the discipline from the classical to the modern era. </w:t>
      </w:r>
      <w:r w:rsidRPr="000B1BF7">
        <w:rPr>
          <w:rFonts w:ascii="Book Antiqua" w:hAnsi="Book Antiqua"/>
          <w:i/>
          <w:iCs/>
        </w:rPr>
        <w:t>Review of International Political Economy, 20</w:t>
      </w:r>
      <w:r w:rsidRPr="000B1BF7">
        <w:rPr>
          <w:rFonts w:ascii="Book Antiqua" w:hAnsi="Book Antiqua"/>
        </w:rPr>
        <w:t>(5), 1024-1054.</w:t>
      </w:r>
    </w:p>
    <w:p w14:paraId="59017C12" w14:textId="72A7817D" w:rsidR="006A3281" w:rsidRPr="006A3281" w:rsidRDefault="006A3281" w:rsidP="006A79F1">
      <w:pPr>
        <w:spacing w:after="0" w:line="360" w:lineRule="auto"/>
        <w:ind w:left="567" w:hanging="567"/>
        <w:jc w:val="both"/>
        <w:rPr>
          <w:rFonts w:ascii="Book Antiqua" w:hAnsi="Book Antiqua"/>
        </w:rPr>
      </w:pPr>
      <w:r>
        <w:rPr>
          <w:rFonts w:ascii="Book Antiqua" w:hAnsi="Book Antiqua"/>
        </w:rPr>
        <w:t>Hoffmann, C. (2018)</w:t>
      </w:r>
      <w:r w:rsidR="00062BA2">
        <w:rPr>
          <w:rFonts w:ascii="Book Antiqua" w:hAnsi="Book Antiqua"/>
        </w:rPr>
        <w:t>.</w:t>
      </w:r>
      <w:r>
        <w:rPr>
          <w:rFonts w:ascii="Book Antiqua" w:hAnsi="Book Antiqua"/>
        </w:rPr>
        <w:t xml:space="preserve"> </w:t>
      </w:r>
      <w:r w:rsidRPr="006A3281">
        <w:rPr>
          <w:rFonts w:ascii="Book Antiqua" w:hAnsi="Book Antiqua"/>
        </w:rPr>
        <w:t>Environmental determinism as Orientalism: The geo-political ecology of crisis in the Middle East</w:t>
      </w:r>
      <w:r>
        <w:rPr>
          <w:rFonts w:ascii="Book Antiqua" w:hAnsi="Book Antiqua"/>
        </w:rPr>
        <w:t xml:space="preserve">. </w:t>
      </w:r>
      <w:r>
        <w:rPr>
          <w:rFonts w:ascii="Book Antiqua" w:hAnsi="Book Antiqua"/>
          <w:i/>
          <w:iCs/>
        </w:rPr>
        <w:t>Historical Sociology</w:t>
      </w:r>
      <w:r>
        <w:rPr>
          <w:rFonts w:ascii="Book Antiqua" w:hAnsi="Book Antiqua"/>
        </w:rPr>
        <w:t xml:space="preserve">, 31(1): </w:t>
      </w:r>
      <w:r w:rsidRPr="006A3281">
        <w:rPr>
          <w:rFonts w:ascii="Book Antiqua" w:hAnsi="Book Antiqua"/>
        </w:rPr>
        <w:t>94-104</w:t>
      </w:r>
      <w:r>
        <w:rPr>
          <w:rFonts w:ascii="Book Antiqua" w:hAnsi="Book Antiqua"/>
        </w:rPr>
        <w:t>.</w:t>
      </w:r>
    </w:p>
    <w:p w14:paraId="3C7E8369" w14:textId="3CF68963" w:rsidR="001D6546" w:rsidRPr="00EA0274" w:rsidRDefault="001D6546" w:rsidP="006A79F1">
      <w:pPr>
        <w:spacing w:after="0" w:line="360" w:lineRule="auto"/>
        <w:ind w:left="567" w:hanging="567"/>
        <w:jc w:val="both"/>
        <w:rPr>
          <w:rFonts w:ascii="Book Antiqua" w:hAnsi="Book Antiqua"/>
        </w:rPr>
      </w:pPr>
      <w:r w:rsidRPr="00EA0274">
        <w:rPr>
          <w:rFonts w:ascii="Book Antiqua" w:hAnsi="Book Antiqua"/>
        </w:rPr>
        <w:t xml:space="preserve">Jakes, A. </w:t>
      </w:r>
      <w:r w:rsidR="00A91960" w:rsidRPr="00EA0274">
        <w:rPr>
          <w:rFonts w:ascii="Book Antiqua" w:hAnsi="Book Antiqua"/>
        </w:rPr>
        <w:t>(</w:t>
      </w:r>
      <w:r w:rsidRPr="00EA0274">
        <w:rPr>
          <w:rFonts w:ascii="Book Antiqua" w:hAnsi="Book Antiqua"/>
        </w:rPr>
        <w:t>2020</w:t>
      </w:r>
      <w:r w:rsidR="00A91960" w:rsidRPr="00EA0274">
        <w:rPr>
          <w:rFonts w:ascii="Book Antiqua" w:hAnsi="Book Antiqua"/>
        </w:rPr>
        <w:t>)</w:t>
      </w:r>
      <w:r w:rsidR="0082311A" w:rsidRPr="00EA0274">
        <w:rPr>
          <w:rFonts w:ascii="Book Antiqua" w:hAnsi="Book Antiqua"/>
        </w:rPr>
        <w:t xml:space="preserve">. </w:t>
      </w:r>
      <w:r w:rsidR="0082311A" w:rsidRPr="00EA0274">
        <w:rPr>
          <w:rFonts w:ascii="Book Antiqua" w:hAnsi="Book Antiqua"/>
          <w:i/>
          <w:iCs/>
        </w:rPr>
        <w:t>Egypt’s Occupation</w:t>
      </w:r>
      <w:r w:rsidR="001265ED" w:rsidRPr="00EA0274">
        <w:rPr>
          <w:rFonts w:ascii="Book Antiqua" w:hAnsi="Book Antiqua"/>
          <w:i/>
          <w:iCs/>
        </w:rPr>
        <w:t xml:space="preserve">: Colonial </w:t>
      </w:r>
      <w:proofErr w:type="spellStart"/>
      <w:r w:rsidR="001265ED" w:rsidRPr="00EA0274">
        <w:rPr>
          <w:rFonts w:ascii="Book Antiqua" w:hAnsi="Book Antiqua"/>
          <w:i/>
          <w:iCs/>
        </w:rPr>
        <w:t>Economism</w:t>
      </w:r>
      <w:proofErr w:type="spellEnd"/>
      <w:r w:rsidR="001265ED" w:rsidRPr="00EA0274">
        <w:rPr>
          <w:rFonts w:ascii="Book Antiqua" w:hAnsi="Book Antiqua"/>
          <w:i/>
          <w:iCs/>
        </w:rPr>
        <w:t xml:space="preserve"> and the Crises of Capitalism</w:t>
      </w:r>
      <w:r w:rsidR="001265ED" w:rsidRPr="00EA0274">
        <w:rPr>
          <w:rFonts w:ascii="Book Antiqua" w:hAnsi="Book Antiqua"/>
        </w:rPr>
        <w:t>. Stanford University Press.</w:t>
      </w:r>
    </w:p>
    <w:p w14:paraId="1DD91B24" w14:textId="77777777" w:rsidR="006E6C42" w:rsidRPr="000B1BF7" w:rsidRDefault="006E6C42" w:rsidP="006E6C42">
      <w:pPr>
        <w:spacing w:after="0" w:line="360" w:lineRule="auto"/>
        <w:ind w:left="567" w:hanging="567"/>
        <w:jc w:val="both"/>
        <w:rPr>
          <w:rFonts w:ascii="Book Antiqua" w:hAnsi="Book Antiqua"/>
        </w:rPr>
      </w:pPr>
      <w:proofErr w:type="spellStart"/>
      <w:r w:rsidRPr="000B1BF7">
        <w:rPr>
          <w:rFonts w:ascii="Book Antiqua" w:hAnsi="Book Antiqua"/>
        </w:rPr>
        <w:t>Kamrava</w:t>
      </w:r>
      <w:proofErr w:type="spellEnd"/>
      <w:r w:rsidRPr="000B1BF7">
        <w:rPr>
          <w:rFonts w:ascii="Book Antiqua" w:hAnsi="Book Antiqua"/>
        </w:rPr>
        <w:t xml:space="preserve">, M. (2004). Structural impediments to economic globalisation in the Middle East. </w:t>
      </w:r>
      <w:r w:rsidRPr="000B1BF7">
        <w:rPr>
          <w:rFonts w:ascii="Book Antiqua" w:hAnsi="Book Antiqua"/>
          <w:i/>
          <w:iCs/>
        </w:rPr>
        <w:t>Middle East Policy, 11</w:t>
      </w:r>
      <w:r w:rsidRPr="000B1BF7">
        <w:rPr>
          <w:rFonts w:ascii="Book Antiqua" w:hAnsi="Book Antiqua"/>
        </w:rPr>
        <w:t>(4), 96-112.</w:t>
      </w:r>
    </w:p>
    <w:p w14:paraId="0FD6B878" w14:textId="5912858D" w:rsidR="009936FB" w:rsidRPr="00EA0274" w:rsidRDefault="009936FB" w:rsidP="006A79F1">
      <w:pPr>
        <w:spacing w:after="0" w:line="360" w:lineRule="auto"/>
        <w:ind w:left="567" w:hanging="567"/>
        <w:jc w:val="both"/>
        <w:rPr>
          <w:rFonts w:ascii="Book Antiqua" w:hAnsi="Book Antiqua"/>
        </w:rPr>
      </w:pPr>
      <w:r w:rsidRPr="00EA0274">
        <w:rPr>
          <w:rFonts w:ascii="Book Antiqua" w:hAnsi="Book Antiqua"/>
        </w:rPr>
        <w:t xml:space="preserve">Khalili, L. </w:t>
      </w:r>
      <w:r w:rsidR="00A91960" w:rsidRPr="00EA0274">
        <w:rPr>
          <w:rFonts w:ascii="Book Antiqua" w:hAnsi="Book Antiqua"/>
        </w:rPr>
        <w:t>(</w:t>
      </w:r>
      <w:r w:rsidR="009F6485" w:rsidRPr="00EA0274">
        <w:rPr>
          <w:rFonts w:ascii="Book Antiqua" w:hAnsi="Book Antiqua"/>
        </w:rPr>
        <w:t>2018</w:t>
      </w:r>
      <w:r w:rsidR="00A91960" w:rsidRPr="00EA0274">
        <w:rPr>
          <w:rFonts w:ascii="Book Antiqua" w:hAnsi="Book Antiqua"/>
        </w:rPr>
        <w:t>)</w:t>
      </w:r>
      <w:r w:rsidR="009F6485" w:rsidRPr="00EA0274">
        <w:rPr>
          <w:rFonts w:ascii="Book Antiqua" w:hAnsi="Book Antiqua"/>
        </w:rPr>
        <w:t xml:space="preserve">. The infrastructural power of the military: The </w:t>
      </w:r>
      <w:proofErr w:type="spellStart"/>
      <w:r w:rsidR="009F6485" w:rsidRPr="00EA0274">
        <w:rPr>
          <w:rFonts w:ascii="Book Antiqua" w:hAnsi="Book Antiqua"/>
        </w:rPr>
        <w:t>geoeconomic</w:t>
      </w:r>
      <w:proofErr w:type="spellEnd"/>
      <w:r w:rsidR="009F6485" w:rsidRPr="00EA0274">
        <w:rPr>
          <w:rFonts w:ascii="Book Antiqua" w:hAnsi="Book Antiqua"/>
        </w:rPr>
        <w:t xml:space="preserve"> role of the US Army Corps of Engineers in the Arabian Peninsula.</w:t>
      </w:r>
      <w:r w:rsidR="009F6485" w:rsidRPr="00EA0274">
        <w:rPr>
          <w:rFonts w:ascii="Book Antiqua" w:hAnsi="Book Antiqua"/>
          <w:i/>
          <w:iCs/>
        </w:rPr>
        <w:t xml:space="preserve"> European Journal of International Relations</w:t>
      </w:r>
      <w:r w:rsidR="009F6485" w:rsidRPr="00EA0274">
        <w:rPr>
          <w:rFonts w:ascii="Book Antiqua" w:hAnsi="Book Antiqua"/>
        </w:rPr>
        <w:t xml:space="preserve">, </w:t>
      </w:r>
      <w:r w:rsidR="009F6485" w:rsidRPr="00EA0274">
        <w:rPr>
          <w:rFonts w:ascii="Book Antiqua" w:hAnsi="Book Antiqua"/>
          <w:i/>
          <w:iCs/>
        </w:rPr>
        <w:t>24</w:t>
      </w:r>
      <w:r w:rsidR="009F6485" w:rsidRPr="00EA0274">
        <w:rPr>
          <w:rFonts w:ascii="Book Antiqua" w:hAnsi="Book Antiqua"/>
        </w:rPr>
        <w:t>(4): 911-</w:t>
      </w:r>
      <w:r w:rsidR="00EC4469" w:rsidRPr="00EA0274">
        <w:rPr>
          <w:rFonts w:ascii="Book Antiqua" w:hAnsi="Book Antiqua"/>
        </w:rPr>
        <w:t>933.</w:t>
      </w:r>
    </w:p>
    <w:p w14:paraId="178467F0" w14:textId="77777777" w:rsidR="006E6C42" w:rsidRPr="000B1BF7" w:rsidRDefault="006E6C42" w:rsidP="006E6C42">
      <w:pPr>
        <w:spacing w:after="0" w:line="360" w:lineRule="auto"/>
        <w:ind w:left="567" w:hanging="567"/>
        <w:jc w:val="both"/>
        <w:rPr>
          <w:rFonts w:ascii="Book Antiqua" w:hAnsi="Book Antiqua"/>
        </w:rPr>
      </w:pPr>
      <w:proofErr w:type="spellStart"/>
      <w:r w:rsidRPr="000B1BF7">
        <w:rPr>
          <w:rFonts w:ascii="Book Antiqua" w:hAnsi="Book Antiqua"/>
        </w:rPr>
        <w:t>LeBaron</w:t>
      </w:r>
      <w:proofErr w:type="spellEnd"/>
      <w:r w:rsidRPr="000B1BF7">
        <w:rPr>
          <w:rFonts w:ascii="Book Antiqua" w:hAnsi="Book Antiqua"/>
        </w:rPr>
        <w:t xml:space="preserve">, G., </w:t>
      </w:r>
      <w:proofErr w:type="spellStart"/>
      <w:r w:rsidRPr="000B1BF7">
        <w:rPr>
          <w:rFonts w:ascii="Book Antiqua" w:hAnsi="Book Antiqua"/>
        </w:rPr>
        <w:t>Mugge</w:t>
      </w:r>
      <w:proofErr w:type="spellEnd"/>
      <w:r w:rsidRPr="000B1BF7">
        <w:rPr>
          <w:rFonts w:ascii="Book Antiqua" w:hAnsi="Book Antiqua"/>
        </w:rPr>
        <w:t xml:space="preserve">, D., Best, J., &amp; Hay, C. (2021). Blind spots in IPE: Marginalised perspectives and neglected trends in contemporary capitalism. </w:t>
      </w:r>
      <w:r w:rsidRPr="000B1BF7">
        <w:rPr>
          <w:rFonts w:ascii="Book Antiqua" w:hAnsi="Book Antiqua"/>
          <w:i/>
          <w:iCs/>
        </w:rPr>
        <w:t>Review of International Political Economy, 28</w:t>
      </w:r>
      <w:r w:rsidRPr="000B1BF7">
        <w:rPr>
          <w:rFonts w:ascii="Book Antiqua" w:hAnsi="Book Antiqua"/>
        </w:rPr>
        <w:t>(2), 283–294.</w:t>
      </w:r>
    </w:p>
    <w:p w14:paraId="18A524FD" w14:textId="13559E12" w:rsidR="00B356BF" w:rsidRPr="00EA0274" w:rsidRDefault="00B356BF" w:rsidP="006A79F1">
      <w:pPr>
        <w:spacing w:after="0" w:line="360" w:lineRule="auto"/>
        <w:ind w:left="567" w:hanging="567"/>
        <w:jc w:val="both"/>
        <w:rPr>
          <w:rFonts w:ascii="Book Antiqua" w:hAnsi="Book Antiqua"/>
        </w:rPr>
      </w:pPr>
      <w:r w:rsidRPr="00EA0274">
        <w:rPr>
          <w:rFonts w:ascii="Book Antiqua" w:hAnsi="Book Antiqua"/>
        </w:rPr>
        <w:t xml:space="preserve">Lenner, K. &amp; Turner, L. </w:t>
      </w:r>
      <w:r w:rsidR="00A91960" w:rsidRPr="00EA0274">
        <w:rPr>
          <w:rFonts w:ascii="Book Antiqua" w:hAnsi="Book Antiqua"/>
        </w:rPr>
        <w:t>(</w:t>
      </w:r>
      <w:r w:rsidRPr="00EA0274">
        <w:rPr>
          <w:rFonts w:ascii="Book Antiqua" w:hAnsi="Book Antiqua"/>
        </w:rPr>
        <w:t>2019</w:t>
      </w:r>
      <w:r w:rsidR="00A91960" w:rsidRPr="00EA0274">
        <w:rPr>
          <w:rFonts w:ascii="Book Antiqua" w:hAnsi="Book Antiqua"/>
        </w:rPr>
        <w:t>)</w:t>
      </w:r>
      <w:r w:rsidRPr="00EA0274">
        <w:rPr>
          <w:rFonts w:ascii="Book Antiqua" w:hAnsi="Book Antiqua"/>
        </w:rPr>
        <w:t xml:space="preserve">. </w:t>
      </w:r>
      <w:r w:rsidR="007232C1" w:rsidRPr="00EA0274">
        <w:rPr>
          <w:rFonts w:ascii="Book Antiqua" w:hAnsi="Book Antiqua"/>
        </w:rPr>
        <w:t xml:space="preserve">Making Refugees Work? The Politics of Integrating Syrian Refugees into the Labour Market in Jordan. </w:t>
      </w:r>
      <w:r w:rsidR="007232C1" w:rsidRPr="00EA0274">
        <w:rPr>
          <w:rFonts w:ascii="Book Antiqua" w:hAnsi="Book Antiqua"/>
          <w:i/>
          <w:iCs/>
        </w:rPr>
        <w:t>Middle East Critique</w:t>
      </w:r>
      <w:r w:rsidR="007232C1" w:rsidRPr="00EA0274">
        <w:rPr>
          <w:rFonts w:ascii="Book Antiqua" w:hAnsi="Book Antiqua"/>
        </w:rPr>
        <w:t xml:space="preserve">. </w:t>
      </w:r>
      <w:r w:rsidR="007232C1" w:rsidRPr="00EA0274">
        <w:rPr>
          <w:rFonts w:ascii="Book Antiqua" w:hAnsi="Book Antiqua"/>
          <w:i/>
          <w:iCs/>
        </w:rPr>
        <w:t>28</w:t>
      </w:r>
      <w:r w:rsidR="007232C1" w:rsidRPr="00EA0274">
        <w:rPr>
          <w:rFonts w:ascii="Book Antiqua" w:hAnsi="Book Antiqua"/>
        </w:rPr>
        <w:t xml:space="preserve">(1): </w:t>
      </w:r>
      <w:r w:rsidR="00D25FD0" w:rsidRPr="00EA0274">
        <w:rPr>
          <w:rFonts w:ascii="Book Antiqua" w:hAnsi="Book Antiqua"/>
        </w:rPr>
        <w:t>65-95.</w:t>
      </w:r>
    </w:p>
    <w:p w14:paraId="1133697B" w14:textId="77777777" w:rsidR="006E6C42" w:rsidRPr="000B1BF7" w:rsidRDefault="006E6C42" w:rsidP="006E6C42">
      <w:pPr>
        <w:spacing w:after="0" w:line="360" w:lineRule="auto"/>
        <w:ind w:left="567" w:hanging="567"/>
        <w:jc w:val="both"/>
        <w:rPr>
          <w:rFonts w:ascii="Book Antiqua" w:hAnsi="Book Antiqua"/>
        </w:rPr>
      </w:pPr>
      <w:proofErr w:type="spellStart"/>
      <w:r w:rsidRPr="000B1BF7">
        <w:rPr>
          <w:rFonts w:ascii="Book Antiqua" w:hAnsi="Book Antiqua"/>
        </w:rPr>
        <w:t>Luciani</w:t>
      </w:r>
      <w:proofErr w:type="spellEnd"/>
      <w:r w:rsidRPr="000B1BF7">
        <w:rPr>
          <w:rFonts w:ascii="Book Antiqua" w:hAnsi="Book Antiqua"/>
        </w:rPr>
        <w:t xml:space="preserve">, G. (1990). Allocation vs. Production States: A Theoretical Framework. In G. </w:t>
      </w:r>
      <w:proofErr w:type="spellStart"/>
      <w:r w:rsidRPr="000B1BF7">
        <w:rPr>
          <w:rFonts w:ascii="Book Antiqua" w:hAnsi="Book Antiqua"/>
        </w:rPr>
        <w:t>Luciani</w:t>
      </w:r>
      <w:proofErr w:type="spellEnd"/>
      <w:r w:rsidRPr="000B1BF7">
        <w:rPr>
          <w:rFonts w:ascii="Book Antiqua" w:hAnsi="Book Antiqua"/>
        </w:rPr>
        <w:t xml:space="preserve">, </w:t>
      </w:r>
      <w:r w:rsidRPr="000B1BF7">
        <w:rPr>
          <w:rFonts w:ascii="Book Antiqua" w:hAnsi="Book Antiqua"/>
          <w:i/>
          <w:iCs/>
        </w:rPr>
        <w:t>The Arab State</w:t>
      </w:r>
      <w:r w:rsidRPr="000B1BF7">
        <w:rPr>
          <w:rFonts w:ascii="Book Antiqua" w:hAnsi="Book Antiqua"/>
        </w:rPr>
        <w:t xml:space="preserve"> (pp. 65-84). London: Routledge.</w:t>
      </w:r>
    </w:p>
    <w:p w14:paraId="550C86C3" w14:textId="77777777" w:rsidR="006E6C42" w:rsidRPr="000B1BF7" w:rsidRDefault="006E6C42" w:rsidP="006E6C42">
      <w:pPr>
        <w:spacing w:after="0" w:line="360" w:lineRule="auto"/>
        <w:ind w:left="567" w:hanging="567"/>
        <w:jc w:val="both"/>
        <w:rPr>
          <w:rFonts w:ascii="Book Antiqua" w:hAnsi="Book Antiqua"/>
        </w:rPr>
      </w:pPr>
      <w:proofErr w:type="spellStart"/>
      <w:r w:rsidRPr="000B1BF7">
        <w:rPr>
          <w:rFonts w:ascii="Book Antiqua" w:hAnsi="Book Antiqua"/>
        </w:rPr>
        <w:lastRenderedPageBreak/>
        <w:t>Maliniak</w:t>
      </w:r>
      <w:proofErr w:type="spellEnd"/>
      <w:r w:rsidRPr="000B1BF7">
        <w:rPr>
          <w:rFonts w:ascii="Book Antiqua" w:hAnsi="Book Antiqua"/>
        </w:rPr>
        <w:t xml:space="preserve">, D., &amp; Tierney, M. (2009). The American school of IPE”, Review of International Political Economy. </w:t>
      </w:r>
      <w:r w:rsidRPr="000B1BF7">
        <w:rPr>
          <w:rFonts w:ascii="Book Antiqua" w:hAnsi="Book Antiqua"/>
          <w:i/>
          <w:iCs/>
        </w:rPr>
        <w:t>16</w:t>
      </w:r>
      <w:r w:rsidRPr="000B1BF7">
        <w:rPr>
          <w:rFonts w:ascii="Book Antiqua" w:hAnsi="Book Antiqua"/>
        </w:rPr>
        <w:t>(1), 6-33.</w:t>
      </w:r>
    </w:p>
    <w:p w14:paraId="66AEC6AC" w14:textId="19764987" w:rsidR="00DF749F" w:rsidRPr="00EA0274" w:rsidRDefault="00DF749F" w:rsidP="006A79F1">
      <w:pPr>
        <w:spacing w:after="0" w:line="360" w:lineRule="auto"/>
        <w:ind w:left="567" w:hanging="567"/>
        <w:jc w:val="both"/>
        <w:rPr>
          <w:rFonts w:ascii="Book Antiqua" w:hAnsi="Book Antiqua"/>
        </w:rPr>
      </w:pPr>
      <w:r w:rsidRPr="00EA0274">
        <w:rPr>
          <w:rFonts w:ascii="Book Antiqua" w:hAnsi="Book Antiqua"/>
        </w:rPr>
        <w:t xml:space="preserve">Manchanda, N. &amp; Plonski, S. </w:t>
      </w:r>
      <w:r w:rsidR="00A91960" w:rsidRPr="00EA0274">
        <w:rPr>
          <w:rFonts w:ascii="Book Antiqua" w:hAnsi="Book Antiqua"/>
        </w:rPr>
        <w:t>(</w:t>
      </w:r>
      <w:r w:rsidRPr="00EA0274">
        <w:rPr>
          <w:rFonts w:ascii="Book Antiqua" w:hAnsi="Book Antiqua"/>
        </w:rPr>
        <w:t>2022</w:t>
      </w:r>
      <w:r w:rsidR="00A91960" w:rsidRPr="00EA0274">
        <w:rPr>
          <w:rFonts w:ascii="Book Antiqua" w:hAnsi="Book Antiqua"/>
        </w:rPr>
        <w:t>)</w:t>
      </w:r>
      <w:r w:rsidRPr="00EA0274">
        <w:rPr>
          <w:rFonts w:ascii="Book Antiqua" w:hAnsi="Book Antiqua"/>
        </w:rPr>
        <w:t xml:space="preserve">. Between mobile corridors and immobile borders: race, fixity and friction in Palestine/Israel. </w:t>
      </w:r>
      <w:r w:rsidRPr="00EA0274">
        <w:rPr>
          <w:rFonts w:ascii="Book Antiqua" w:hAnsi="Book Antiqua"/>
          <w:i/>
          <w:iCs/>
        </w:rPr>
        <w:t>International Affairs</w:t>
      </w:r>
      <w:r w:rsidRPr="00EA0274">
        <w:rPr>
          <w:rFonts w:ascii="Book Antiqua" w:hAnsi="Book Antiqua"/>
        </w:rPr>
        <w:t xml:space="preserve">, </w:t>
      </w:r>
      <w:r w:rsidRPr="00EA0274">
        <w:rPr>
          <w:rFonts w:ascii="Book Antiqua" w:hAnsi="Book Antiqua"/>
          <w:i/>
          <w:iCs/>
        </w:rPr>
        <w:t>98</w:t>
      </w:r>
      <w:r w:rsidRPr="00EA0274">
        <w:rPr>
          <w:rFonts w:ascii="Book Antiqua" w:hAnsi="Book Antiqua"/>
        </w:rPr>
        <w:t>(1): 183-207.</w:t>
      </w:r>
    </w:p>
    <w:p w14:paraId="242F3534" w14:textId="04503F87" w:rsidR="00A91363" w:rsidRPr="00EA0274" w:rsidRDefault="00A91363" w:rsidP="006A79F1">
      <w:pPr>
        <w:spacing w:after="0" w:line="360" w:lineRule="auto"/>
        <w:ind w:left="567" w:hanging="567"/>
        <w:jc w:val="both"/>
        <w:rPr>
          <w:rFonts w:ascii="Book Antiqua" w:hAnsi="Book Antiqua"/>
        </w:rPr>
      </w:pPr>
      <w:r w:rsidRPr="00EA0274">
        <w:rPr>
          <w:rFonts w:ascii="Book Antiqua" w:hAnsi="Book Antiqua"/>
        </w:rPr>
        <w:t xml:space="preserve">Martínez, J.C. </w:t>
      </w:r>
      <w:r w:rsidR="00A91960" w:rsidRPr="00EA0274">
        <w:rPr>
          <w:rFonts w:ascii="Book Antiqua" w:hAnsi="Book Antiqua"/>
        </w:rPr>
        <w:t>(</w:t>
      </w:r>
      <w:r w:rsidR="00097CE1" w:rsidRPr="00EA0274">
        <w:rPr>
          <w:rFonts w:ascii="Book Antiqua" w:hAnsi="Book Antiqua"/>
        </w:rPr>
        <w:t>2022</w:t>
      </w:r>
      <w:r w:rsidR="00A91960" w:rsidRPr="00EA0274">
        <w:rPr>
          <w:rFonts w:ascii="Book Antiqua" w:hAnsi="Book Antiqua"/>
        </w:rPr>
        <w:t>)</w:t>
      </w:r>
      <w:r w:rsidR="00097CE1" w:rsidRPr="00EA0274">
        <w:rPr>
          <w:rFonts w:ascii="Book Antiqua" w:hAnsi="Book Antiqua"/>
        </w:rPr>
        <w:t xml:space="preserve">. </w:t>
      </w:r>
      <w:r w:rsidR="00097CE1" w:rsidRPr="00EA0274">
        <w:rPr>
          <w:rFonts w:ascii="Book Antiqua" w:hAnsi="Book Antiqua"/>
          <w:i/>
          <w:iCs/>
        </w:rPr>
        <w:t>States of Subsistence: The Politics of Bread in Contemporary Jordan</w:t>
      </w:r>
      <w:r w:rsidR="00097CE1" w:rsidRPr="00EA0274">
        <w:rPr>
          <w:rFonts w:ascii="Book Antiqua" w:hAnsi="Book Antiqua"/>
        </w:rPr>
        <w:t>. Stanford University Press.</w:t>
      </w:r>
    </w:p>
    <w:p w14:paraId="0E617E76" w14:textId="1F1F8881" w:rsidR="00187F1B" w:rsidRDefault="00187F1B" w:rsidP="006E6C42">
      <w:pPr>
        <w:spacing w:after="0" w:line="360" w:lineRule="auto"/>
        <w:ind w:left="567" w:hanging="567"/>
        <w:jc w:val="both"/>
        <w:rPr>
          <w:rFonts w:ascii="Book Antiqua" w:hAnsi="Book Antiqua"/>
        </w:rPr>
      </w:pPr>
      <w:proofErr w:type="spellStart"/>
      <w:r w:rsidRPr="00187F1B">
        <w:rPr>
          <w:rFonts w:ascii="Book Antiqua" w:hAnsi="Book Antiqua"/>
        </w:rPr>
        <w:t>Mignolo</w:t>
      </w:r>
      <w:proofErr w:type="spellEnd"/>
      <w:r w:rsidRPr="00187F1B">
        <w:rPr>
          <w:rFonts w:ascii="Book Antiqua" w:hAnsi="Book Antiqua"/>
        </w:rPr>
        <w:t>, W.D. (2012). </w:t>
      </w:r>
      <w:r w:rsidRPr="00187F1B">
        <w:rPr>
          <w:rFonts w:ascii="Book Antiqua" w:hAnsi="Book Antiqua"/>
          <w:i/>
          <w:iCs/>
        </w:rPr>
        <w:t>The darker side of western modernity: Global futures, decolonial options</w:t>
      </w:r>
      <w:r w:rsidRPr="00187F1B">
        <w:rPr>
          <w:rFonts w:ascii="Book Antiqua" w:hAnsi="Book Antiqua"/>
        </w:rPr>
        <w:t>. Duke University Press</w:t>
      </w:r>
    </w:p>
    <w:p w14:paraId="66BF2958" w14:textId="4C9BC1AA" w:rsidR="006E6C42" w:rsidRPr="000B1BF7" w:rsidRDefault="006E6C42" w:rsidP="006E6C42">
      <w:pPr>
        <w:spacing w:after="0" w:line="360" w:lineRule="auto"/>
        <w:ind w:left="567" w:hanging="567"/>
        <w:jc w:val="both"/>
        <w:rPr>
          <w:rFonts w:ascii="Book Antiqua" w:hAnsi="Book Antiqua"/>
        </w:rPr>
      </w:pPr>
      <w:r w:rsidRPr="000B1BF7">
        <w:rPr>
          <w:rFonts w:ascii="Book Antiqua" w:hAnsi="Book Antiqua"/>
        </w:rPr>
        <w:t xml:space="preserve">Mitchell, T. (1991). The Limits of the State: Beyond Statist Approaches and their Critics. </w:t>
      </w:r>
      <w:r w:rsidRPr="000B1BF7">
        <w:rPr>
          <w:rFonts w:ascii="Book Antiqua" w:hAnsi="Book Antiqua"/>
          <w:i/>
          <w:iCs/>
        </w:rPr>
        <w:t>American Political Science Review, 85</w:t>
      </w:r>
      <w:r w:rsidRPr="000B1BF7">
        <w:rPr>
          <w:rFonts w:ascii="Book Antiqua" w:hAnsi="Book Antiqua"/>
        </w:rPr>
        <w:t>(1), 77-96.</w:t>
      </w:r>
    </w:p>
    <w:p w14:paraId="4EA209DB" w14:textId="77777777" w:rsidR="006E6C42" w:rsidRPr="000B1BF7" w:rsidRDefault="006E6C42" w:rsidP="006E6C42">
      <w:pPr>
        <w:spacing w:after="0" w:line="360" w:lineRule="auto"/>
        <w:ind w:left="567" w:hanging="567"/>
        <w:jc w:val="both"/>
        <w:rPr>
          <w:rFonts w:ascii="Book Antiqua" w:hAnsi="Book Antiqua"/>
        </w:rPr>
      </w:pPr>
      <w:r w:rsidRPr="000B1BF7">
        <w:rPr>
          <w:rFonts w:ascii="Book Antiqua" w:hAnsi="Book Antiqua"/>
        </w:rPr>
        <w:t xml:space="preserve">Mitchell, T. (2002). </w:t>
      </w:r>
      <w:r w:rsidRPr="000B1BF7">
        <w:rPr>
          <w:rFonts w:ascii="Book Antiqua" w:hAnsi="Book Antiqua"/>
          <w:i/>
          <w:iCs/>
        </w:rPr>
        <w:t>Rule of Experts: Egypt, Techno-Politics, Modernity.</w:t>
      </w:r>
      <w:r w:rsidRPr="000B1BF7">
        <w:rPr>
          <w:rFonts w:ascii="Book Antiqua" w:hAnsi="Book Antiqua"/>
        </w:rPr>
        <w:t xml:space="preserve"> Berkley: University of California Press.</w:t>
      </w:r>
    </w:p>
    <w:p w14:paraId="20457523" w14:textId="77777777" w:rsidR="006E6C42" w:rsidRPr="000B1BF7" w:rsidRDefault="006E6C42" w:rsidP="006E6C42">
      <w:pPr>
        <w:spacing w:after="0" w:line="360" w:lineRule="auto"/>
        <w:ind w:left="567" w:hanging="567"/>
        <w:jc w:val="both"/>
        <w:rPr>
          <w:rFonts w:ascii="Book Antiqua" w:hAnsi="Book Antiqua"/>
        </w:rPr>
      </w:pPr>
      <w:r w:rsidRPr="000B1BF7">
        <w:rPr>
          <w:rFonts w:ascii="Book Antiqua" w:hAnsi="Book Antiqua"/>
        </w:rPr>
        <w:t xml:space="preserve">Moore, P. (2002). Rentier fiscal crisis and regime stability: Business-state relations in the Gulf. </w:t>
      </w:r>
      <w:r w:rsidRPr="000B1BF7">
        <w:rPr>
          <w:rFonts w:ascii="Book Antiqua" w:hAnsi="Book Antiqua"/>
          <w:i/>
          <w:iCs/>
        </w:rPr>
        <w:t>Studies in Comparative International Development, 37</w:t>
      </w:r>
      <w:r w:rsidRPr="000B1BF7">
        <w:rPr>
          <w:rFonts w:ascii="Book Antiqua" w:hAnsi="Book Antiqua"/>
        </w:rPr>
        <w:t>(1), 34-56.</w:t>
      </w:r>
    </w:p>
    <w:p w14:paraId="49BAA9FB" w14:textId="607EB41A" w:rsidR="006E6C42" w:rsidRPr="00EA0274" w:rsidRDefault="006E6C42" w:rsidP="00F41145">
      <w:pPr>
        <w:spacing w:after="0" w:line="360" w:lineRule="auto"/>
        <w:ind w:left="567" w:hanging="567"/>
        <w:jc w:val="both"/>
        <w:rPr>
          <w:rFonts w:ascii="Book Antiqua" w:hAnsi="Book Antiqua"/>
        </w:rPr>
      </w:pPr>
      <w:r w:rsidRPr="000B1BF7">
        <w:rPr>
          <w:rFonts w:ascii="Book Antiqua" w:hAnsi="Book Antiqua"/>
        </w:rPr>
        <w:t xml:space="preserve">Morton, A.D. (2007). Waiting for Gramsci: State Formation, Passive Revolution and the International. </w:t>
      </w:r>
      <w:r w:rsidRPr="000B1BF7">
        <w:rPr>
          <w:rFonts w:ascii="Book Antiqua" w:hAnsi="Book Antiqua"/>
          <w:i/>
          <w:iCs/>
        </w:rPr>
        <w:t>Millennium, 35</w:t>
      </w:r>
      <w:r w:rsidRPr="000B1BF7">
        <w:rPr>
          <w:rFonts w:ascii="Book Antiqua" w:hAnsi="Book Antiqua"/>
        </w:rPr>
        <w:t>(3), 597–621</w:t>
      </w:r>
    </w:p>
    <w:p w14:paraId="56BDE6A0" w14:textId="323102CB" w:rsidR="00EE345D" w:rsidRPr="00EA0274" w:rsidRDefault="00EE345D" w:rsidP="00F41145">
      <w:pPr>
        <w:spacing w:after="0" w:line="360" w:lineRule="auto"/>
        <w:ind w:left="567" w:hanging="567"/>
        <w:jc w:val="both"/>
        <w:rPr>
          <w:rFonts w:ascii="Book Antiqua" w:hAnsi="Book Antiqua"/>
        </w:rPr>
      </w:pPr>
      <w:r w:rsidRPr="00EA0274">
        <w:rPr>
          <w:rFonts w:ascii="Book Antiqua" w:hAnsi="Book Antiqua"/>
        </w:rPr>
        <w:t xml:space="preserve">Neep, D. </w:t>
      </w:r>
      <w:r w:rsidR="00A91960" w:rsidRPr="00EA0274">
        <w:rPr>
          <w:rFonts w:ascii="Book Antiqua" w:hAnsi="Book Antiqua"/>
        </w:rPr>
        <w:t>(</w:t>
      </w:r>
      <w:r w:rsidRPr="00EA0274">
        <w:rPr>
          <w:rFonts w:ascii="Book Antiqua" w:hAnsi="Book Antiqua"/>
        </w:rPr>
        <w:t>2018</w:t>
      </w:r>
      <w:r w:rsidR="00A91960" w:rsidRPr="00EA0274">
        <w:rPr>
          <w:rFonts w:ascii="Book Antiqua" w:hAnsi="Book Antiqua"/>
        </w:rPr>
        <w:t>)</w:t>
      </w:r>
      <w:r w:rsidRPr="00EA0274">
        <w:rPr>
          <w:rFonts w:ascii="Book Antiqua" w:hAnsi="Book Antiqua"/>
        </w:rPr>
        <w:t xml:space="preserve">. Narrating Crisis, Constructing Policy: Economic Ideas and Institutional Change in Syria. </w:t>
      </w:r>
      <w:r w:rsidRPr="00EA0274">
        <w:rPr>
          <w:rFonts w:ascii="Book Antiqua" w:hAnsi="Book Antiqua"/>
          <w:i/>
          <w:iCs/>
        </w:rPr>
        <w:t>New Political Economy</w:t>
      </w:r>
      <w:r w:rsidRPr="00EA0274">
        <w:rPr>
          <w:rFonts w:ascii="Book Antiqua" w:hAnsi="Book Antiqua"/>
        </w:rPr>
        <w:t xml:space="preserve">, </w:t>
      </w:r>
      <w:r w:rsidRPr="00EA0274">
        <w:rPr>
          <w:rFonts w:ascii="Book Antiqua" w:hAnsi="Book Antiqua"/>
          <w:i/>
          <w:iCs/>
        </w:rPr>
        <w:t>23</w:t>
      </w:r>
      <w:r w:rsidRPr="00EA0274">
        <w:rPr>
          <w:rFonts w:ascii="Book Antiqua" w:hAnsi="Book Antiqua"/>
        </w:rPr>
        <w:t>(4): 495-511.</w:t>
      </w:r>
    </w:p>
    <w:p w14:paraId="59F1D8B0" w14:textId="69987606" w:rsidR="00F41145" w:rsidRPr="00EA0274" w:rsidRDefault="00F41145" w:rsidP="00F41145">
      <w:pPr>
        <w:spacing w:after="0" w:line="360" w:lineRule="auto"/>
        <w:ind w:left="567" w:hanging="567"/>
        <w:jc w:val="both"/>
        <w:rPr>
          <w:rFonts w:ascii="Book Antiqua" w:hAnsi="Book Antiqua"/>
        </w:rPr>
      </w:pPr>
      <w:proofErr w:type="spellStart"/>
      <w:r w:rsidRPr="00EA0274">
        <w:rPr>
          <w:rFonts w:ascii="Book Antiqua" w:hAnsi="Book Antiqua"/>
        </w:rPr>
        <w:t>Nitzan</w:t>
      </w:r>
      <w:proofErr w:type="spellEnd"/>
      <w:r w:rsidRPr="00EA0274">
        <w:rPr>
          <w:rFonts w:ascii="Book Antiqua" w:hAnsi="Book Antiqua"/>
        </w:rPr>
        <w:t xml:space="preserve">, J. &amp; </w:t>
      </w:r>
      <w:proofErr w:type="spellStart"/>
      <w:r w:rsidRPr="00EA0274">
        <w:rPr>
          <w:rFonts w:ascii="Book Antiqua" w:hAnsi="Book Antiqua"/>
        </w:rPr>
        <w:t>Bichler</w:t>
      </w:r>
      <w:proofErr w:type="spellEnd"/>
      <w:r w:rsidRPr="00EA0274">
        <w:rPr>
          <w:rFonts w:ascii="Book Antiqua" w:hAnsi="Book Antiqua"/>
        </w:rPr>
        <w:t xml:space="preserve">, S. </w:t>
      </w:r>
      <w:r w:rsidR="00A91960" w:rsidRPr="00EA0274">
        <w:rPr>
          <w:rFonts w:ascii="Book Antiqua" w:hAnsi="Book Antiqua"/>
        </w:rPr>
        <w:t>(</w:t>
      </w:r>
      <w:r w:rsidRPr="00EA0274">
        <w:rPr>
          <w:rFonts w:ascii="Book Antiqua" w:hAnsi="Book Antiqua"/>
        </w:rPr>
        <w:t>1995</w:t>
      </w:r>
      <w:r w:rsidR="00A91960" w:rsidRPr="00EA0274">
        <w:rPr>
          <w:rFonts w:ascii="Book Antiqua" w:hAnsi="Book Antiqua"/>
        </w:rPr>
        <w:t>)</w:t>
      </w:r>
      <w:r w:rsidRPr="00EA0274">
        <w:rPr>
          <w:rFonts w:ascii="Book Antiqua" w:hAnsi="Book Antiqua"/>
        </w:rPr>
        <w:t xml:space="preserve">. Bringing Capital Accumulation Back In: The </w:t>
      </w:r>
      <w:proofErr w:type="spellStart"/>
      <w:r w:rsidRPr="00EA0274">
        <w:rPr>
          <w:rFonts w:ascii="Book Antiqua" w:hAnsi="Book Antiqua"/>
        </w:rPr>
        <w:t>Weapondollar</w:t>
      </w:r>
      <w:proofErr w:type="spellEnd"/>
      <w:r w:rsidRPr="00EA0274">
        <w:rPr>
          <w:rFonts w:ascii="Book Antiqua" w:hAnsi="Book Antiqua"/>
        </w:rPr>
        <w:t xml:space="preserve">-Petrodollar Coalition – Military Contractors, Oil Companies and Middle East ‘Energy Conflicts’. </w:t>
      </w:r>
      <w:r w:rsidRPr="00EA0274">
        <w:rPr>
          <w:rFonts w:ascii="Book Antiqua" w:hAnsi="Book Antiqua"/>
          <w:i/>
          <w:iCs/>
        </w:rPr>
        <w:t>Review of International Political Economy</w:t>
      </w:r>
      <w:r w:rsidRPr="00EA0274">
        <w:rPr>
          <w:rFonts w:ascii="Book Antiqua" w:hAnsi="Book Antiqua"/>
        </w:rPr>
        <w:t>. 2(3): 446-515.</w:t>
      </w:r>
    </w:p>
    <w:p w14:paraId="3D1DE072" w14:textId="73BCB016" w:rsidR="00590BD4" w:rsidRPr="00EA0274" w:rsidRDefault="00590BD4" w:rsidP="00F41145">
      <w:pPr>
        <w:spacing w:after="0" w:line="360" w:lineRule="auto"/>
        <w:ind w:left="567" w:hanging="567"/>
        <w:jc w:val="both"/>
        <w:rPr>
          <w:rFonts w:ascii="Book Antiqua" w:hAnsi="Book Antiqua"/>
        </w:rPr>
      </w:pPr>
      <w:r w:rsidRPr="00EA0274">
        <w:rPr>
          <w:rFonts w:ascii="Book Antiqua" w:hAnsi="Book Antiqua"/>
        </w:rPr>
        <w:t xml:space="preserve">Plonski, S. </w:t>
      </w:r>
      <w:r w:rsidR="00A91960" w:rsidRPr="00EA0274">
        <w:rPr>
          <w:rFonts w:ascii="Book Antiqua" w:hAnsi="Book Antiqua"/>
        </w:rPr>
        <w:t>(</w:t>
      </w:r>
      <w:r w:rsidRPr="00EA0274">
        <w:rPr>
          <w:rFonts w:ascii="Book Antiqua" w:hAnsi="Book Antiqua"/>
        </w:rPr>
        <w:t>2022</w:t>
      </w:r>
      <w:r w:rsidR="00A91960" w:rsidRPr="00EA0274">
        <w:rPr>
          <w:rFonts w:ascii="Book Antiqua" w:hAnsi="Book Antiqua"/>
        </w:rPr>
        <w:t>)</w:t>
      </w:r>
      <w:r w:rsidRPr="00EA0274">
        <w:rPr>
          <w:rFonts w:ascii="Book Antiqua" w:hAnsi="Book Antiqua"/>
        </w:rPr>
        <w:t xml:space="preserve">. The mobile and carceral logics of Haifa Port. </w:t>
      </w:r>
      <w:r w:rsidRPr="00EA0274">
        <w:rPr>
          <w:rFonts w:ascii="Book Antiqua" w:hAnsi="Book Antiqua"/>
          <w:i/>
          <w:iCs/>
        </w:rPr>
        <w:t>Politics</w:t>
      </w:r>
      <w:r w:rsidRPr="00EA0274">
        <w:rPr>
          <w:rFonts w:ascii="Book Antiqua" w:hAnsi="Book Antiqua"/>
        </w:rPr>
        <w:t xml:space="preserve">, </w:t>
      </w:r>
      <w:r w:rsidR="009936FB" w:rsidRPr="00EA0274">
        <w:rPr>
          <w:rFonts w:ascii="Book Antiqua" w:hAnsi="Book Antiqua"/>
        </w:rPr>
        <w:t xml:space="preserve">0(0). </w:t>
      </w:r>
      <w:hyperlink r:id="rId8" w:history="1">
        <w:r w:rsidR="004D39A8" w:rsidRPr="00EA0274">
          <w:rPr>
            <w:rStyle w:val="Hyperlink"/>
            <w:rFonts w:ascii="Book Antiqua" w:hAnsi="Book Antiqua"/>
          </w:rPr>
          <w:t>https://doi.org/10.1177/02633957211066278</w:t>
        </w:r>
      </w:hyperlink>
      <w:r w:rsidR="009936FB" w:rsidRPr="00EA0274">
        <w:rPr>
          <w:rFonts w:ascii="Book Antiqua" w:hAnsi="Book Antiqua"/>
        </w:rPr>
        <w:t>.</w:t>
      </w:r>
    </w:p>
    <w:p w14:paraId="5C3BAA1D" w14:textId="77777777" w:rsidR="006E6C42" w:rsidRPr="000B1BF7" w:rsidRDefault="006E6C42" w:rsidP="006E6C42">
      <w:pPr>
        <w:spacing w:after="0" w:line="360" w:lineRule="auto"/>
        <w:ind w:left="567" w:hanging="567"/>
        <w:jc w:val="both"/>
        <w:rPr>
          <w:rFonts w:ascii="Book Antiqua" w:hAnsi="Book Antiqua"/>
        </w:rPr>
      </w:pPr>
      <w:r w:rsidRPr="000B1BF7">
        <w:rPr>
          <w:rFonts w:ascii="Book Antiqua" w:hAnsi="Book Antiqua"/>
        </w:rPr>
        <w:t xml:space="preserve">Roccu, R. (2013). </w:t>
      </w:r>
      <w:r w:rsidRPr="000B1BF7">
        <w:rPr>
          <w:rFonts w:ascii="Book Antiqua" w:hAnsi="Book Antiqua"/>
          <w:i/>
          <w:iCs/>
        </w:rPr>
        <w:t>The political economy of the Egyptian revolution: Mubarak, economic reforms and failed hegemony.</w:t>
      </w:r>
      <w:r w:rsidRPr="000B1BF7">
        <w:rPr>
          <w:rFonts w:ascii="Book Antiqua" w:hAnsi="Book Antiqua"/>
        </w:rPr>
        <w:t xml:space="preserve"> </w:t>
      </w:r>
      <w:proofErr w:type="spellStart"/>
      <w:r w:rsidRPr="000B1BF7">
        <w:rPr>
          <w:rFonts w:ascii="Book Antiqua" w:hAnsi="Book Antiqua"/>
        </w:rPr>
        <w:t>Houndmills</w:t>
      </w:r>
      <w:proofErr w:type="spellEnd"/>
      <w:r w:rsidRPr="000B1BF7">
        <w:rPr>
          <w:rFonts w:ascii="Book Antiqua" w:hAnsi="Book Antiqua"/>
        </w:rPr>
        <w:t>: Palgrave Macmillan.</w:t>
      </w:r>
    </w:p>
    <w:p w14:paraId="2C3004B2" w14:textId="77942683" w:rsidR="004D39A8" w:rsidRPr="00EA0274" w:rsidRDefault="004D39A8" w:rsidP="00F41145">
      <w:pPr>
        <w:spacing w:after="0" w:line="360" w:lineRule="auto"/>
        <w:ind w:left="567" w:hanging="567"/>
        <w:jc w:val="both"/>
        <w:rPr>
          <w:rFonts w:ascii="Book Antiqua" w:hAnsi="Book Antiqua"/>
        </w:rPr>
      </w:pPr>
      <w:proofErr w:type="spellStart"/>
      <w:r w:rsidRPr="00EA0274">
        <w:rPr>
          <w:rFonts w:ascii="Book Antiqua" w:hAnsi="Book Antiqua"/>
        </w:rPr>
        <w:t>Rottl</w:t>
      </w:r>
      <w:r w:rsidR="007C4F42" w:rsidRPr="00EA0274">
        <w:rPr>
          <w:rFonts w:ascii="Book Antiqua" w:hAnsi="Book Antiqua"/>
        </w:rPr>
        <w:t>eb</w:t>
      </w:r>
      <w:proofErr w:type="spellEnd"/>
      <w:r w:rsidR="007C4F42" w:rsidRPr="00EA0274">
        <w:rPr>
          <w:rFonts w:ascii="Book Antiqua" w:hAnsi="Book Antiqua"/>
        </w:rPr>
        <w:t xml:space="preserve">, T. &amp; </w:t>
      </w:r>
      <w:proofErr w:type="spellStart"/>
      <w:r w:rsidR="007C4F42" w:rsidRPr="00EA0274">
        <w:rPr>
          <w:rFonts w:ascii="Book Antiqua" w:hAnsi="Book Antiqua"/>
        </w:rPr>
        <w:t>Kleibert</w:t>
      </w:r>
      <w:proofErr w:type="spellEnd"/>
      <w:r w:rsidR="007C4F42" w:rsidRPr="00EA0274">
        <w:rPr>
          <w:rFonts w:ascii="Book Antiqua" w:hAnsi="Book Antiqua"/>
        </w:rPr>
        <w:t xml:space="preserve">, J. </w:t>
      </w:r>
      <w:r w:rsidR="00A91960" w:rsidRPr="00EA0274">
        <w:rPr>
          <w:rFonts w:ascii="Book Antiqua" w:hAnsi="Book Antiqua"/>
        </w:rPr>
        <w:t>(</w:t>
      </w:r>
      <w:r w:rsidR="007C4F42" w:rsidRPr="00EA0274">
        <w:rPr>
          <w:rFonts w:ascii="Book Antiqua" w:hAnsi="Book Antiqua"/>
        </w:rPr>
        <w:t>2022</w:t>
      </w:r>
      <w:r w:rsidR="00A91960" w:rsidRPr="00EA0274">
        <w:rPr>
          <w:rFonts w:ascii="Book Antiqua" w:hAnsi="Book Antiqua"/>
        </w:rPr>
        <w:t>)</w:t>
      </w:r>
      <w:r w:rsidR="007C4F42" w:rsidRPr="00EA0274">
        <w:rPr>
          <w:rFonts w:ascii="Book Antiqua" w:hAnsi="Book Antiqua"/>
        </w:rPr>
        <w:t xml:space="preserve">. Circulation and containment in the knowledge-based economy: Transnational education zones in Dubai and Qatar. </w:t>
      </w:r>
      <w:r w:rsidR="001F7F20" w:rsidRPr="00EA0274">
        <w:rPr>
          <w:rFonts w:ascii="Book Antiqua" w:hAnsi="Book Antiqua"/>
          <w:i/>
          <w:iCs/>
        </w:rPr>
        <w:t>Environment and Planning A: Economy and Space</w:t>
      </w:r>
      <w:r w:rsidR="001F7F20" w:rsidRPr="00EA0274">
        <w:rPr>
          <w:rFonts w:ascii="Book Antiqua" w:hAnsi="Book Antiqua"/>
        </w:rPr>
        <w:t xml:space="preserve">. </w:t>
      </w:r>
      <w:r w:rsidR="001F7F20" w:rsidRPr="00EA0274">
        <w:rPr>
          <w:rFonts w:ascii="Book Antiqua" w:hAnsi="Book Antiqua"/>
          <w:i/>
          <w:iCs/>
        </w:rPr>
        <w:t>54</w:t>
      </w:r>
      <w:r w:rsidR="001F7F20" w:rsidRPr="00EA0274">
        <w:rPr>
          <w:rFonts w:ascii="Book Antiqua" w:hAnsi="Book Antiqua"/>
        </w:rPr>
        <w:t>(5): 930-948.</w:t>
      </w:r>
    </w:p>
    <w:p w14:paraId="1974D278" w14:textId="7C529113" w:rsidR="00AD3704" w:rsidRPr="00EA0274" w:rsidRDefault="00AD3704" w:rsidP="006A79F1">
      <w:pPr>
        <w:spacing w:after="0" w:line="360" w:lineRule="auto"/>
        <w:ind w:left="567" w:hanging="567"/>
        <w:jc w:val="both"/>
        <w:rPr>
          <w:rFonts w:ascii="Book Antiqua" w:hAnsi="Book Antiqua"/>
        </w:rPr>
      </w:pPr>
      <w:r w:rsidRPr="00EA0274">
        <w:rPr>
          <w:rFonts w:ascii="Book Antiqua" w:hAnsi="Book Antiqua"/>
        </w:rPr>
        <w:t xml:space="preserve">Seikaly, S. </w:t>
      </w:r>
      <w:r w:rsidR="00A91960" w:rsidRPr="00EA0274">
        <w:rPr>
          <w:rFonts w:ascii="Book Antiqua" w:hAnsi="Book Antiqua"/>
        </w:rPr>
        <w:t>(</w:t>
      </w:r>
      <w:r w:rsidRPr="00EA0274">
        <w:rPr>
          <w:rFonts w:ascii="Book Antiqua" w:hAnsi="Book Antiqua"/>
        </w:rPr>
        <w:t>2016</w:t>
      </w:r>
      <w:r w:rsidR="00A91960" w:rsidRPr="00EA0274">
        <w:rPr>
          <w:rFonts w:ascii="Book Antiqua" w:hAnsi="Book Antiqua"/>
        </w:rPr>
        <w:t>)</w:t>
      </w:r>
      <w:r w:rsidRPr="00EA0274">
        <w:rPr>
          <w:rFonts w:ascii="Book Antiqua" w:hAnsi="Book Antiqua"/>
        </w:rPr>
        <w:t xml:space="preserve">. </w:t>
      </w:r>
      <w:r w:rsidRPr="00EA0274">
        <w:rPr>
          <w:rFonts w:ascii="Book Antiqua" w:hAnsi="Book Antiqua"/>
          <w:i/>
          <w:iCs/>
        </w:rPr>
        <w:t>Men of Capital: Scarcity and Economy in Mandate Palestine</w:t>
      </w:r>
      <w:r w:rsidRPr="00EA0274">
        <w:rPr>
          <w:rFonts w:ascii="Book Antiqua" w:hAnsi="Book Antiqua"/>
        </w:rPr>
        <w:t>. Stanford University Press.</w:t>
      </w:r>
    </w:p>
    <w:p w14:paraId="72453A66" w14:textId="15C7FB6E" w:rsidR="00F32F84" w:rsidRPr="00EA0274" w:rsidRDefault="00F32F84" w:rsidP="006A79F1">
      <w:pPr>
        <w:spacing w:after="0" w:line="360" w:lineRule="auto"/>
        <w:ind w:left="567" w:hanging="567"/>
        <w:jc w:val="both"/>
        <w:rPr>
          <w:rFonts w:ascii="Book Antiqua" w:hAnsi="Book Antiqua"/>
        </w:rPr>
      </w:pPr>
      <w:proofErr w:type="spellStart"/>
      <w:r w:rsidRPr="00EA0274">
        <w:rPr>
          <w:rFonts w:ascii="Book Antiqua" w:hAnsi="Book Antiqua"/>
        </w:rPr>
        <w:t>Shilliam</w:t>
      </w:r>
      <w:proofErr w:type="spellEnd"/>
      <w:r w:rsidRPr="00EA0274">
        <w:rPr>
          <w:rFonts w:ascii="Book Antiqua" w:hAnsi="Book Antiqua"/>
        </w:rPr>
        <w:t xml:space="preserve">, R. </w:t>
      </w:r>
      <w:r w:rsidR="00A91960" w:rsidRPr="00EA0274">
        <w:rPr>
          <w:rFonts w:ascii="Book Antiqua" w:hAnsi="Book Antiqua"/>
        </w:rPr>
        <w:t>(</w:t>
      </w:r>
      <w:r w:rsidRPr="00EA0274">
        <w:rPr>
          <w:rFonts w:ascii="Book Antiqua" w:hAnsi="Book Antiqua"/>
        </w:rPr>
        <w:t>2021</w:t>
      </w:r>
      <w:r w:rsidR="00A91960" w:rsidRPr="00EA0274">
        <w:rPr>
          <w:rFonts w:ascii="Book Antiqua" w:hAnsi="Book Antiqua"/>
        </w:rPr>
        <w:t>)</w:t>
      </w:r>
      <w:r w:rsidRPr="00EA0274">
        <w:rPr>
          <w:rFonts w:ascii="Book Antiqua" w:hAnsi="Book Antiqua"/>
        </w:rPr>
        <w:t xml:space="preserve">. </w:t>
      </w:r>
      <w:r w:rsidRPr="00EA0274">
        <w:rPr>
          <w:rFonts w:ascii="Book Antiqua" w:hAnsi="Book Antiqua"/>
          <w:i/>
          <w:iCs/>
        </w:rPr>
        <w:t>Decolonizing Politics</w:t>
      </w:r>
      <w:r w:rsidRPr="00EA0274">
        <w:rPr>
          <w:rFonts w:ascii="Book Antiqua" w:hAnsi="Book Antiqua"/>
        </w:rPr>
        <w:t>. Pluto Press.</w:t>
      </w:r>
    </w:p>
    <w:p w14:paraId="305E49DF" w14:textId="223C8A86" w:rsidR="003E299C" w:rsidRDefault="003E299C" w:rsidP="006A79F1">
      <w:pPr>
        <w:spacing w:after="0" w:line="360" w:lineRule="auto"/>
        <w:ind w:left="567" w:hanging="567"/>
        <w:jc w:val="both"/>
        <w:rPr>
          <w:rFonts w:ascii="Book Antiqua" w:hAnsi="Book Antiqua"/>
        </w:rPr>
      </w:pPr>
      <w:r>
        <w:rPr>
          <w:rFonts w:ascii="Book Antiqua" w:hAnsi="Book Antiqua"/>
        </w:rPr>
        <w:t xml:space="preserve">Smith, B. &amp; Waldner, D. (2021). </w:t>
      </w:r>
      <w:r w:rsidRPr="000B1BF7">
        <w:rPr>
          <w:rFonts w:ascii="Book Antiqua" w:hAnsi="Book Antiqua"/>
          <w:i/>
          <w:iCs/>
        </w:rPr>
        <w:t>Rethinking the Resource Curse</w:t>
      </w:r>
      <w:r>
        <w:rPr>
          <w:rFonts w:ascii="Book Antiqua" w:hAnsi="Book Antiqua"/>
        </w:rPr>
        <w:t>. Cambridge: Cambridge University Press.</w:t>
      </w:r>
    </w:p>
    <w:p w14:paraId="1CF918E9" w14:textId="7C003E2D" w:rsidR="00470BB3" w:rsidRPr="00EA0274" w:rsidRDefault="00470BB3" w:rsidP="006A79F1">
      <w:pPr>
        <w:spacing w:after="0" w:line="360" w:lineRule="auto"/>
        <w:ind w:left="567" w:hanging="567"/>
        <w:jc w:val="both"/>
        <w:rPr>
          <w:rFonts w:ascii="Book Antiqua" w:hAnsi="Book Antiqua"/>
        </w:rPr>
      </w:pPr>
      <w:r w:rsidRPr="00EA0274">
        <w:rPr>
          <w:rFonts w:ascii="Book Antiqua" w:hAnsi="Book Antiqua"/>
        </w:rPr>
        <w:lastRenderedPageBreak/>
        <w:t xml:space="preserve">Snider, E. </w:t>
      </w:r>
      <w:r w:rsidR="00A91960" w:rsidRPr="00EA0274">
        <w:rPr>
          <w:rFonts w:ascii="Book Antiqua" w:hAnsi="Book Antiqua"/>
        </w:rPr>
        <w:t>(</w:t>
      </w:r>
      <w:r w:rsidRPr="00EA0274">
        <w:rPr>
          <w:rFonts w:ascii="Book Antiqua" w:hAnsi="Book Antiqua"/>
        </w:rPr>
        <w:t>2017</w:t>
      </w:r>
      <w:r w:rsidR="00A91960" w:rsidRPr="00EA0274">
        <w:rPr>
          <w:rFonts w:ascii="Book Antiqua" w:hAnsi="Book Antiqua"/>
        </w:rPr>
        <w:t>)</w:t>
      </w:r>
      <w:r w:rsidR="0071297C" w:rsidRPr="00EA0274">
        <w:rPr>
          <w:rFonts w:ascii="Book Antiqua" w:hAnsi="Book Antiqua"/>
        </w:rPr>
        <w:t xml:space="preserve">. </w:t>
      </w:r>
      <w:r w:rsidRPr="00EA0274">
        <w:rPr>
          <w:rFonts w:ascii="Book Antiqua" w:hAnsi="Book Antiqua"/>
        </w:rPr>
        <w:t>International Political Economy and the New Middle East</w:t>
      </w:r>
      <w:r w:rsidR="0071297C" w:rsidRPr="00EA0274">
        <w:rPr>
          <w:rFonts w:ascii="Book Antiqua" w:hAnsi="Book Antiqua"/>
        </w:rPr>
        <w:t>.</w:t>
      </w:r>
      <w:r w:rsidRPr="00EA0274">
        <w:rPr>
          <w:rFonts w:ascii="Book Antiqua" w:hAnsi="Book Antiqua"/>
        </w:rPr>
        <w:t xml:space="preserve"> </w:t>
      </w:r>
      <w:r w:rsidRPr="00EA0274">
        <w:rPr>
          <w:rFonts w:ascii="Book Antiqua" w:hAnsi="Book Antiqua"/>
          <w:i/>
          <w:iCs/>
        </w:rPr>
        <w:t>PS: Political Science &amp; Politics</w:t>
      </w:r>
      <w:r w:rsidRPr="00EA0274">
        <w:rPr>
          <w:rFonts w:ascii="Book Antiqua" w:hAnsi="Book Antiqua"/>
        </w:rPr>
        <w:t xml:space="preserve">, </w:t>
      </w:r>
      <w:r w:rsidRPr="00EA0274">
        <w:rPr>
          <w:rFonts w:ascii="Book Antiqua" w:hAnsi="Book Antiqua"/>
          <w:i/>
          <w:iCs/>
        </w:rPr>
        <w:t>50</w:t>
      </w:r>
      <w:r w:rsidRPr="00EA0274">
        <w:rPr>
          <w:rFonts w:ascii="Book Antiqua" w:hAnsi="Book Antiqua"/>
        </w:rPr>
        <w:t>(3): 664-667.</w:t>
      </w:r>
    </w:p>
    <w:p w14:paraId="27062D17" w14:textId="5795EA37" w:rsidR="00094491" w:rsidRPr="00EA0274" w:rsidRDefault="00094491" w:rsidP="006A79F1">
      <w:pPr>
        <w:spacing w:after="0" w:line="360" w:lineRule="auto"/>
        <w:ind w:left="567" w:hanging="567"/>
        <w:jc w:val="both"/>
        <w:rPr>
          <w:rFonts w:ascii="Book Antiqua" w:hAnsi="Book Antiqua"/>
        </w:rPr>
      </w:pPr>
      <w:r w:rsidRPr="00EA0274">
        <w:rPr>
          <w:rFonts w:ascii="Book Antiqua" w:hAnsi="Book Antiqua"/>
        </w:rPr>
        <w:t xml:space="preserve">Spiro, </w:t>
      </w:r>
      <w:r w:rsidR="00F41145" w:rsidRPr="00EA0274">
        <w:rPr>
          <w:rFonts w:ascii="Book Antiqua" w:hAnsi="Book Antiqua"/>
        </w:rPr>
        <w:t>D.</w:t>
      </w:r>
      <w:r w:rsidR="00BC1A81" w:rsidRPr="00EA0274">
        <w:rPr>
          <w:rFonts w:ascii="Book Antiqua" w:hAnsi="Book Antiqua"/>
        </w:rPr>
        <w:t>E.</w:t>
      </w:r>
      <w:r w:rsidR="00F41145" w:rsidRPr="00EA0274">
        <w:rPr>
          <w:rFonts w:ascii="Book Antiqua" w:hAnsi="Book Antiqua"/>
        </w:rPr>
        <w:t xml:space="preserve"> </w:t>
      </w:r>
      <w:r w:rsidR="00A91960" w:rsidRPr="00EA0274">
        <w:rPr>
          <w:rFonts w:ascii="Book Antiqua" w:hAnsi="Book Antiqua"/>
        </w:rPr>
        <w:t>(</w:t>
      </w:r>
      <w:r w:rsidR="008827B4" w:rsidRPr="00EA0274">
        <w:rPr>
          <w:rFonts w:ascii="Book Antiqua" w:hAnsi="Book Antiqua"/>
        </w:rPr>
        <w:t>1999</w:t>
      </w:r>
      <w:r w:rsidR="00A91960" w:rsidRPr="00EA0274">
        <w:rPr>
          <w:rFonts w:ascii="Book Antiqua" w:hAnsi="Book Antiqua"/>
        </w:rPr>
        <w:t>)</w:t>
      </w:r>
      <w:r w:rsidR="008827B4" w:rsidRPr="00EA0274">
        <w:rPr>
          <w:rFonts w:ascii="Book Antiqua" w:hAnsi="Book Antiqua"/>
        </w:rPr>
        <w:t xml:space="preserve">. </w:t>
      </w:r>
      <w:r w:rsidR="00BC1A81" w:rsidRPr="00EA0274">
        <w:rPr>
          <w:rFonts w:ascii="Book Antiqua" w:hAnsi="Book Antiqua"/>
          <w:i/>
          <w:iCs/>
        </w:rPr>
        <w:t>The Hidden Hand of American Hegemony: Petrodollar Recycling and International Markets</w:t>
      </w:r>
      <w:r w:rsidR="00BC1A81" w:rsidRPr="00EA0274">
        <w:rPr>
          <w:rFonts w:ascii="Book Antiqua" w:hAnsi="Book Antiqua"/>
        </w:rPr>
        <w:t>. Cornell University Press.</w:t>
      </w:r>
    </w:p>
    <w:p w14:paraId="24C178E2" w14:textId="71144FDA" w:rsidR="000B2509" w:rsidRDefault="000B2509" w:rsidP="00E220DC">
      <w:pPr>
        <w:spacing w:after="0" w:line="360" w:lineRule="auto"/>
        <w:ind w:left="567" w:hanging="567"/>
        <w:jc w:val="both"/>
        <w:rPr>
          <w:rFonts w:ascii="Book Antiqua" w:hAnsi="Book Antiqua"/>
        </w:rPr>
      </w:pPr>
      <w:proofErr w:type="spellStart"/>
      <w:r>
        <w:rPr>
          <w:rFonts w:ascii="Book Antiqua" w:hAnsi="Book Antiqua"/>
        </w:rPr>
        <w:t>Strava</w:t>
      </w:r>
      <w:proofErr w:type="spellEnd"/>
      <w:r>
        <w:rPr>
          <w:rFonts w:ascii="Book Antiqua" w:hAnsi="Book Antiqua"/>
        </w:rPr>
        <w:t xml:space="preserve">, C. (2023). </w:t>
      </w:r>
      <w:r w:rsidRPr="000B1BF7">
        <w:rPr>
          <w:rFonts w:ascii="Book Antiqua" w:hAnsi="Book Antiqua"/>
          <w:i/>
          <w:iCs/>
        </w:rPr>
        <w:t xml:space="preserve">Precarious </w:t>
      </w:r>
      <w:proofErr w:type="spellStart"/>
      <w:r w:rsidRPr="000B1BF7">
        <w:rPr>
          <w:rFonts w:ascii="Book Antiqua" w:hAnsi="Book Antiqua"/>
          <w:i/>
          <w:iCs/>
        </w:rPr>
        <w:t>Modernities</w:t>
      </w:r>
      <w:proofErr w:type="spellEnd"/>
      <w:r w:rsidRPr="000B1BF7">
        <w:rPr>
          <w:rFonts w:ascii="Book Antiqua" w:hAnsi="Book Antiqua"/>
          <w:i/>
          <w:iCs/>
        </w:rPr>
        <w:t>: Assembling State, Space and Society on the Urban Margins in Morocco</w:t>
      </w:r>
      <w:r>
        <w:rPr>
          <w:rFonts w:ascii="Book Antiqua" w:hAnsi="Book Antiqua"/>
        </w:rPr>
        <w:t>. London: Bloomsbury.</w:t>
      </w:r>
    </w:p>
    <w:p w14:paraId="1ACF47C7" w14:textId="68266A1B" w:rsidR="000E0578" w:rsidRDefault="000E0578" w:rsidP="00E220DC">
      <w:pPr>
        <w:spacing w:after="0" w:line="360" w:lineRule="auto"/>
        <w:ind w:left="567" w:hanging="567"/>
        <w:jc w:val="both"/>
        <w:rPr>
          <w:rFonts w:ascii="Book Antiqua" w:hAnsi="Book Antiqua"/>
        </w:rPr>
      </w:pPr>
      <w:r w:rsidRPr="000E0578">
        <w:rPr>
          <w:rFonts w:ascii="Book Antiqua" w:hAnsi="Book Antiqua"/>
        </w:rPr>
        <w:t>Tansel C</w:t>
      </w:r>
      <w:r>
        <w:rPr>
          <w:rFonts w:ascii="Book Antiqua" w:hAnsi="Book Antiqua"/>
        </w:rPr>
        <w:t>.</w:t>
      </w:r>
      <w:r w:rsidRPr="000E0578">
        <w:rPr>
          <w:rFonts w:ascii="Book Antiqua" w:hAnsi="Book Antiqua"/>
        </w:rPr>
        <w:t>B</w:t>
      </w:r>
      <w:r>
        <w:rPr>
          <w:rFonts w:ascii="Book Antiqua" w:hAnsi="Book Antiqua"/>
        </w:rPr>
        <w:t>. (2015)</w:t>
      </w:r>
      <w:r w:rsidRPr="000E0578">
        <w:rPr>
          <w:rFonts w:ascii="Book Antiqua" w:hAnsi="Book Antiqua"/>
        </w:rPr>
        <w:t xml:space="preserve">. Deafening Silence? Marxism, International Historical Sociology and the Spectre of Eurocentrism. </w:t>
      </w:r>
      <w:r w:rsidRPr="000B1BF7">
        <w:rPr>
          <w:rFonts w:ascii="Book Antiqua" w:hAnsi="Book Antiqua"/>
          <w:i/>
          <w:iCs/>
        </w:rPr>
        <w:t>European Journal of International Relations</w:t>
      </w:r>
      <w:r w:rsidRPr="000E0578">
        <w:rPr>
          <w:rFonts w:ascii="Book Antiqua" w:hAnsi="Book Antiqua"/>
        </w:rPr>
        <w:t>, 21(1)</w:t>
      </w:r>
      <w:r>
        <w:rPr>
          <w:rFonts w:ascii="Book Antiqua" w:hAnsi="Book Antiqua"/>
        </w:rPr>
        <w:t>:</w:t>
      </w:r>
      <w:r w:rsidRPr="000E0578">
        <w:rPr>
          <w:rFonts w:ascii="Book Antiqua" w:hAnsi="Book Antiqua"/>
        </w:rPr>
        <w:t xml:space="preserve"> 76-100</w:t>
      </w:r>
    </w:p>
    <w:p w14:paraId="182A754A" w14:textId="17C48C84" w:rsidR="00E220DC" w:rsidRDefault="00E220DC" w:rsidP="00E220DC">
      <w:pPr>
        <w:spacing w:after="0" w:line="360" w:lineRule="auto"/>
        <w:ind w:left="567" w:hanging="567"/>
        <w:jc w:val="both"/>
        <w:rPr>
          <w:rFonts w:ascii="Book Antiqua" w:hAnsi="Book Antiqua"/>
        </w:rPr>
      </w:pPr>
      <w:r>
        <w:rPr>
          <w:rFonts w:ascii="Book Antiqua" w:hAnsi="Book Antiqua"/>
        </w:rPr>
        <w:t xml:space="preserve">Tansel, C.B. (2018). </w:t>
      </w:r>
      <w:r w:rsidRPr="00E220DC">
        <w:rPr>
          <w:rFonts w:ascii="Book Antiqua" w:hAnsi="Book Antiqua"/>
        </w:rPr>
        <w:t>Authoritarian Neoliberalism and Democratic Backsliding in Turkey: Beyond the Narratives of Progress</w:t>
      </w:r>
      <w:r>
        <w:rPr>
          <w:rFonts w:ascii="Book Antiqua" w:hAnsi="Book Antiqua"/>
        </w:rPr>
        <w:t xml:space="preserve">. </w:t>
      </w:r>
      <w:r w:rsidRPr="000B1BF7">
        <w:rPr>
          <w:rFonts w:ascii="Book Antiqua" w:hAnsi="Book Antiqua"/>
          <w:i/>
          <w:iCs/>
        </w:rPr>
        <w:t>South European Society and Politics</w:t>
      </w:r>
      <w:r>
        <w:rPr>
          <w:rFonts w:ascii="Book Antiqua" w:hAnsi="Book Antiqua"/>
        </w:rPr>
        <w:t xml:space="preserve">, 23(2): </w:t>
      </w:r>
      <w:r w:rsidRPr="00E220DC">
        <w:rPr>
          <w:rFonts w:ascii="Book Antiqua" w:hAnsi="Book Antiqua"/>
        </w:rPr>
        <w:t>197-217</w:t>
      </w:r>
    </w:p>
    <w:p w14:paraId="2803D22E" w14:textId="0FA3C0DC" w:rsidR="00C72A41" w:rsidRPr="00EA0274" w:rsidRDefault="00C72A41" w:rsidP="00EA3F2F">
      <w:pPr>
        <w:spacing w:after="0" w:line="360" w:lineRule="auto"/>
        <w:ind w:left="567" w:hanging="567"/>
        <w:jc w:val="both"/>
        <w:rPr>
          <w:rFonts w:ascii="Book Antiqua" w:hAnsi="Book Antiqua"/>
        </w:rPr>
      </w:pPr>
      <w:r w:rsidRPr="00EA0274">
        <w:rPr>
          <w:rFonts w:ascii="Book Antiqua" w:hAnsi="Book Antiqua"/>
        </w:rPr>
        <w:t xml:space="preserve">Tansel, C. B. &amp; </w:t>
      </w:r>
      <w:proofErr w:type="spellStart"/>
      <w:r w:rsidRPr="00EA0274">
        <w:rPr>
          <w:rFonts w:ascii="Book Antiqua" w:hAnsi="Book Antiqua"/>
        </w:rPr>
        <w:t>Sancak</w:t>
      </w:r>
      <w:proofErr w:type="spellEnd"/>
      <w:r w:rsidRPr="00EA0274">
        <w:rPr>
          <w:rFonts w:ascii="Book Antiqua" w:hAnsi="Book Antiqua"/>
        </w:rPr>
        <w:t>, M. (2022)</w:t>
      </w:r>
      <w:r w:rsidR="00A91960" w:rsidRPr="00EA0274">
        <w:rPr>
          <w:rFonts w:ascii="Book Antiqua" w:hAnsi="Book Antiqua"/>
        </w:rPr>
        <w:t>.</w:t>
      </w:r>
      <w:r w:rsidRPr="00EA0274">
        <w:rPr>
          <w:rFonts w:ascii="Book Antiqua" w:hAnsi="Book Antiqua"/>
        </w:rPr>
        <w:t xml:space="preserve"> Locating the Middle East in International Political Economy. Paper presented at the British International Studies Association annual conference in Newcastle Upon Tyne</w:t>
      </w:r>
    </w:p>
    <w:p w14:paraId="227E42FD" w14:textId="2C753536" w:rsidR="00EA3F2F" w:rsidRPr="00EA0274" w:rsidRDefault="00EA3F2F" w:rsidP="00EA3F2F">
      <w:pPr>
        <w:spacing w:after="0" w:line="360" w:lineRule="auto"/>
        <w:ind w:left="567" w:hanging="567"/>
        <w:jc w:val="both"/>
        <w:rPr>
          <w:rFonts w:ascii="Book Antiqua" w:hAnsi="Book Antiqua"/>
        </w:rPr>
      </w:pPr>
      <w:r w:rsidRPr="00EA0274">
        <w:rPr>
          <w:rFonts w:ascii="Book Antiqua" w:hAnsi="Book Antiqua"/>
        </w:rPr>
        <w:t xml:space="preserve">Ziadah, R. </w:t>
      </w:r>
      <w:r w:rsidR="006E3E3D" w:rsidRPr="00EA0274">
        <w:rPr>
          <w:rFonts w:ascii="Book Antiqua" w:hAnsi="Book Antiqua"/>
        </w:rPr>
        <w:t>(</w:t>
      </w:r>
      <w:r w:rsidRPr="00EA0274">
        <w:rPr>
          <w:rFonts w:ascii="Book Antiqua" w:hAnsi="Book Antiqua"/>
        </w:rPr>
        <w:t>2018</w:t>
      </w:r>
      <w:r w:rsidR="001377A0" w:rsidRPr="00EA0274">
        <w:rPr>
          <w:rFonts w:ascii="Book Antiqua" w:hAnsi="Book Antiqua"/>
        </w:rPr>
        <w:t>a</w:t>
      </w:r>
      <w:r w:rsidR="006E3E3D" w:rsidRPr="00EA0274">
        <w:rPr>
          <w:rFonts w:ascii="Book Antiqua" w:hAnsi="Book Antiqua"/>
        </w:rPr>
        <w:t>)</w:t>
      </w:r>
      <w:r w:rsidRPr="00EA0274">
        <w:rPr>
          <w:rFonts w:ascii="Book Antiqua" w:hAnsi="Book Antiqua"/>
        </w:rPr>
        <w:t xml:space="preserve">. Constructing a logistics space: Perspectives from the Gulf Cooperation Council. </w:t>
      </w:r>
      <w:r w:rsidRPr="00EA0274">
        <w:rPr>
          <w:rFonts w:ascii="Book Antiqua" w:hAnsi="Book Antiqua"/>
          <w:i/>
          <w:iCs/>
        </w:rPr>
        <w:t>Environment and Planning D: Society and Space</w:t>
      </w:r>
      <w:r w:rsidRPr="00EA0274">
        <w:rPr>
          <w:rFonts w:ascii="Book Antiqua" w:hAnsi="Book Antiqua"/>
        </w:rPr>
        <w:t xml:space="preserve">, </w:t>
      </w:r>
      <w:r w:rsidR="00DF749F" w:rsidRPr="00EA0274">
        <w:rPr>
          <w:rFonts w:ascii="Book Antiqua" w:hAnsi="Book Antiqua"/>
          <w:i/>
          <w:iCs/>
        </w:rPr>
        <w:t>36</w:t>
      </w:r>
      <w:r w:rsidR="00DF749F" w:rsidRPr="00EA0274">
        <w:rPr>
          <w:rFonts w:ascii="Book Antiqua" w:hAnsi="Book Antiqua"/>
        </w:rPr>
        <w:t>(4): 666-682.</w:t>
      </w:r>
    </w:p>
    <w:p w14:paraId="1082FFDE" w14:textId="0E720183" w:rsidR="001377A0" w:rsidRPr="00EA0274" w:rsidRDefault="00C810F7" w:rsidP="00EA3F2F">
      <w:pPr>
        <w:spacing w:after="0" w:line="360" w:lineRule="auto"/>
        <w:ind w:left="567" w:hanging="567"/>
        <w:jc w:val="both"/>
        <w:rPr>
          <w:rFonts w:ascii="Book Antiqua" w:hAnsi="Book Antiqua"/>
        </w:rPr>
      </w:pPr>
      <w:r w:rsidRPr="00EA0274">
        <w:rPr>
          <w:rFonts w:ascii="Book Antiqua" w:hAnsi="Book Antiqua"/>
        </w:rPr>
        <w:t xml:space="preserve">Ziadah, R. </w:t>
      </w:r>
      <w:r w:rsidR="006E3E3D" w:rsidRPr="00EA0274">
        <w:rPr>
          <w:rFonts w:ascii="Book Antiqua" w:hAnsi="Book Antiqua"/>
        </w:rPr>
        <w:t>(</w:t>
      </w:r>
      <w:r w:rsidRPr="00EA0274">
        <w:rPr>
          <w:rFonts w:ascii="Book Antiqua" w:hAnsi="Book Antiqua"/>
        </w:rPr>
        <w:t>2018b</w:t>
      </w:r>
      <w:r w:rsidR="006E3E3D" w:rsidRPr="00EA0274">
        <w:rPr>
          <w:rFonts w:ascii="Book Antiqua" w:hAnsi="Book Antiqua"/>
        </w:rPr>
        <w:t>)</w:t>
      </w:r>
      <w:r w:rsidRPr="00EA0274">
        <w:rPr>
          <w:rFonts w:ascii="Book Antiqua" w:hAnsi="Book Antiqua"/>
        </w:rPr>
        <w:t xml:space="preserve">. </w:t>
      </w:r>
      <w:r w:rsidR="00662A1D" w:rsidRPr="00EA0274">
        <w:rPr>
          <w:rFonts w:ascii="Book Antiqua" w:hAnsi="Book Antiqua"/>
        </w:rPr>
        <w:t xml:space="preserve">Transport Infrastructure and Logistics in the Making of Dubai Inc. </w:t>
      </w:r>
      <w:r w:rsidR="008012C8" w:rsidRPr="00EA0274">
        <w:rPr>
          <w:rFonts w:ascii="Book Antiqua" w:hAnsi="Book Antiqua"/>
          <w:i/>
          <w:iCs/>
        </w:rPr>
        <w:t>International Journal of Urban and Regional Research</w:t>
      </w:r>
      <w:r w:rsidR="008012C8" w:rsidRPr="00EA0274">
        <w:rPr>
          <w:rFonts w:ascii="Book Antiqua" w:hAnsi="Book Antiqua"/>
        </w:rPr>
        <w:t xml:space="preserve">. </w:t>
      </w:r>
      <w:r w:rsidR="008012C8" w:rsidRPr="00EA0274">
        <w:rPr>
          <w:rFonts w:ascii="Book Antiqua" w:hAnsi="Book Antiqua"/>
          <w:i/>
          <w:iCs/>
        </w:rPr>
        <w:t>42</w:t>
      </w:r>
      <w:r w:rsidR="008012C8" w:rsidRPr="00EA0274">
        <w:rPr>
          <w:rFonts w:ascii="Book Antiqua" w:hAnsi="Book Antiqua"/>
        </w:rPr>
        <w:t>(2): 182-197.</w:t>
      </w:r>
    </w:p>
    <w:p w14:paraId="46FB5649" w14:textId="52CDEF02" w:rsidR="008012C8" w:rsidRPr="00EA0274" w:rsidRDefault="008012C8" w:rsidP="00EA3F2F">
      <w:pPr>
        <w:spacing w:after="0" w:line="360" w:lineRule="auto"/>
        <w:ind w:left="567" w:hanging="567"/>
        <w:jc w:val="both"/>
        <w:rPr>
          <w:rFonts w:ascii="Book Antiqua" w:hAnsi="Book Antiqua"/>
        </w:rPr>
      </w:pPr>
      <w:r w:rsidRPr="00EA0274">
        <w:rPr>
          <w:rFonts w:ascii="Book Antiqua" w:hAnsi="Book Antiqua"/>
        </w:rPr>
        <w:t xml:space="preserve">Ziadah, R. </w:t>
      </w:r>
      <w:r w:rsidR="006E3E3D" w:rsidRPr="00EA0274">
        <w:rPr>
          <w:rFonts w:ascii="Book Antiqua" w:hAnsi="Book Antiqua"/>
        </w:rPr>
        <w:t>(</w:t>
      </w:r>
      <w:r w:rsidRPr="00EA0274">
        <w:rPr>
          <w:rFonts w:ascii="Book Antiqua" w:hAnsi="Book Antiqua"/>
        </w:rPr>
        <w:t>2019</w:t>
      </w:r>
      <w:r w:rsidR="006E3E3D" w:rsidRPr="00EA0274">
        <w:rPr>
          <w:rFonts w:ascii="Book Antiqua" w:hAnsi="Book Antiqua"/>
        </w:rPr>
        <w:t>)</w:t>
      </w:r>
      <w:r w:rsidRPr="00EA0274">
        <w:rPr>
          <w:rFonts w:ascii="Book Antiqua" w:hAnsi="Book Antiqua"/>
        </w:rPr>
        <w:t xml:space="preserve">. </w:t>
      </w:r>
      <w:r w:rsidR="001E7171" w:rsidRPr="00EA0274">
        <w:rPr>
          <w:rFonts w:ascii="Book Antiqua" w:hAnsi="Book Antiqua"/>
        </w:rPr>
        <w:t xml:space="preserve">Circulating Power: Humanitarian Logistics, Militarism, and the United Arab Emirates. </w:t>
      </w:r>
      <w:r w:rsidR="001E7171" w:rsidRPr="00EA0274">
        <w:rPr>
          <w:rFonts w:ascii="Book Antiqua" w:hAnsi="Book Antiqua"/>
          <w:i/>
          <w:iCs/>
        </w:rPr>
        <w:t>Antipode</w:t>
      </w:r>
      <w:r w:rsidR="001E7171" w:rsidRPr="00EA0274">
        <w:rPr>
          <w:rFonts w:ascii="Book Antiqua" w:hAnsi="Book Antiqua"/>
        </w:rPr>
        <w:t xml:space="preserve">. </w:t>
      </w:r>
      <w:r w:rsidR="00D92DEE" w:rsidRPr="00EA0274">
        <w:rPr>
          <w:rFonts w:ascii="Book Antiqua" w:hAnsi="Book Antiqua"/>
          <w:i/>
          <w:iCs/>
        </w:rPr>
        <w:t>51</w:t>
      </w:r>
      <w:r w:rsidR="00D92DEE" w:rsidRPr="00EA0274">
        <w:rPr>
          <w:rFonts w:ascii="Book Antiqua" w:hAnsi="Book Antiqua"/>
        </w:rPr>
        <w:t>(5): 1684-1702</w:t>
      </w:r>
      <w:r w:rsidR="00204D8F" w:rsidRPr="00EA0274">
        <w:rPr>
          <w:rFonts w:ascii="Book Antiqua" w:hAnsi="Book Antiqua"/>
        </w:rPr>
        <w:t>.</w:t>
      </w:r>
    </w:p>
    <w:p w14:paraId="2939C990" w14:textId="28F664C4" w:rsidR="000E56C4" w:rsidRPr="00EA0274" w:rsidRDefault="000E56C4"/>
    <w:p w14:paraId="216912BB" w14:textId="77777777" w:rsidR="00E8522F" w:rsidRPr="00EA0274" w:rsidRDefault="00E8522F"/>
    <w:sectPr w:rsidR="00E8522F" w:rsidRPr="00EA0274" w:rsidSect="00D02774">
      <w:footerReference w:type="default" r:id="rId9"/>
      <w:pgSz w:w="11906" w:h="16838"/>
      <w:pgMar w:top="1440" w:right="1440" w:bottom="1440" w:left="1440" w:header="708"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FDD30" w16cex:dateUtc="2023-04-11T11:20:00Z"/>
  <w16cex:commentExtensible w16cex:durableId="27DFEF67" w16cex:dateUtc="2023-04-11T12:38:00Z"/>
  <w16cex:commentExtensible w16cex:durableId="27DFE285" w16cex:dateUtc="2023-04-11T11:43:00Z"/>
  <w16cex:commentExtensible w16cex:durableId="27DFE292" w16cex:dateUtc="2023-04-11T11:43:00Z"/>
  <w16cex:commentExtensible w16cex:durableId="27DFF172" w16cex:dateUtc="2023-04-11T12:47:00Z"/>
  <w16cex:commentExtensible w16cex:durableId="27DFE397" w16cex:dateUtc="2023-04-11T11:48:00Z"/>
  <w16cex:commentExtensible w16cex:durableId="27DFE93F" w16cex:dateUtc="2023-04-11T12:12:00Z"/>
  <w16cex:commentExtensible w16cex:durableId="27DFE9CC" w16cex:dateUtc="2023-04-11T12:14:00Z"/>
  <w16cex:commentExtensible w16cex:durableId="27DFF334" w16cex:dateUtc="2023-04-11T13:54:00Z"/>
  <w16cex:commentExtensible w16cex:durableId="27E3A996" w16cex:dateUtc="2023-04-14T09:29:00Z"/>
  <w16cex:commentExtensible w16cex:durableId="27DFEA74" w16cex:dateUtc="2023-04-11T12:17:00Z"/>
  <w16cex:commentExtensible w16cex:durableId="27DFF35B" w16cex:dateUtc="2023-04-11T13:55:00Z"/>
  <w16cex:commentExtensible w16cex:durableId="27E3AA2E" w16cex:dateUtc="2023-04-14T09:32:00Z"/>
  <w16cex:commentExtensible w16cex:durableId="27E3AE4E" w16cex:dateUtc="2023-04-14T09:49:00Z"/>
  <w16cex:commentExtensible w16cex:durableId="27DFEAF9" w16cex:dateUtc="2023-04-11T12:19:00Z"/>
  <w16cex:commentExtensible w16cex:durableId="27DFEAE9" w16cex:dateUtc="2023-04-11T12:19:00Z"/>
  <w16cex:commentExtensible w16cex:durableId="27DFED2A" w16cex:dateUtc="2023-04-11T12:28:00Z"/>
  <w16cex:commentExtensible w16cex:durableId="27DFEEBA" w16cex:dateUtc="2023-04-11T1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4544" w14:textId="77777777" w:rsidR="00FA4284" w:rsidRDefault="00FA4284" w:rsidP="00837B2B">
      <w:pPr>
        <w:spacing w:after="0" w:line="240" w:lineRule="auto"/>
      </w:pPr>
      <w:r>
        <w:separator/>
      </w:r>
    </w:p>
  </w:endnote>
  <w:endnote w:type="continuationSeparator" w:id="0">
    <w:p w14:paraId="55FD3820" w14:textId="77777777" w:rsidR="00FA4284" w:rsidRDefault="00FA4284" w:rsidP="0083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 Antiqua" w:hAnsi="Book Antiqua"/>
      </w:rPr>
      <w:id w:val="-1606111742"/>
      <w:docPartObj>
        <w:docPartGallery w:val="Page Numbers (Bottom of Page)"/>
        <w:docPartUnique/>
      </w:docPartObj>
    </w:sdtPr>
    <w:sdtEndPr>
      <w:rPr>
        <w:noProof/>
      </w:rPr>
    </w:sdtEndPr>
    <w:sdtContent>
      <w:p w14:paraId="362A6FEF" w14:textId="07415D1B" w:rsidR="00E71977" w:rsidRPr="00D02774" w:rsidRDefault="00E71977">
        <w:pPr>
          <w:pStyle w:val="Footer"/>
          <w:jc w:val="center"/>
          <w:rPr>
            <w:rFonts w:ascii="Book Antiqua" w:hAnsi="Book Antiqua"/>
          </w:rPr>
        </w:pPr>
        <w:r w:rsidRPr="00D02774">
          <w:rPr>
            <w:rFonts w:ascii="Book Antiqua" w:hAnsi="Book Antiqua"/>
          </w:rPr>
          <w:fldChar w:fldCharType="begin"/>
        </w:r>
        <w:r w:rsidRPr="00D02774">
          <w:rPr>
            <w:rFonts w:ascii="Book Antiqua" w:hAnsi="Book Antiqua"/>
          </w:rPr>
          <w:instrText xml:space="preserve"> PAGE   \* MERGEFORMAT </w:instrText>
        </w:r>
        <w:r w:rsidRPr="00D02774">
          <w:rPr>
            <w:rFonts w:ascii="Book Antiqua" w:hAnsi="Book Antiqua"/>
          </w:rPr>
          <w:fldChar w:fldCharType="separate"/>
        </w:r>
        <w:r w:rsidRPr="00D02774">
          <w:rPr>
            <w:rFonts w:ascii="Book Antiqua" w:hAnsi="Book Antiqua"/>
            <w:noProof/>
          </w:rPr>
          <w:t>2</w:t>
        </w:r>
        <w:r w:rsidRPr="00D02774">
          <w:rPr>
            <w:rFonts w:ascii="Book Antiqua" w:hAnsi="Book Antiqua"/>
            <w:noProof/>
          </w:rPr>
          <w:fldChar w:fldCharType="end"/>
        </w:r>
      </w:p>
    </w:sdtContent>
  </w:sdt>
  <w:p w14:paraId="50CB5571" w14:textId="77777777" w:rsidR="00E71977" w:rsidRDefault="00E7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5560A" w14:textId="77777777" w:rsidR="00FA4284" w:rsidRDefault="00FA4284" w:rsidP="00837B2B">
      <w:pPr>
        <w:spacing w:after="0" w:line="240" w:lineRule="auto"/>
      </w:pPr>
      <w:r>
        <w:separator/>
      </w:r>
    </w:p>
  </w:footnote>
  <w:footnote w:type="continuationSeparator" w:id="0">
    <w:p w14:paraId="2A9ECFDA" w14:textId="77777777" w:rsidR="00FA4284" w:rsidRDefault="00FA4284" w:rsidP="00837B2B">
      <w:pPr>
        <w:spacing w:after="0" w:line="240" w:lineRule="auto"/>
      </w:pPr>
      <w:r>
        <w:continuationSeparator/>
      </w:r>
    </w:p>
  </w:footnote>
  <w:footnote w:id="1">
    <w:p w14:paraId="14A0C376" w14:textId="2D04BA12" w:rsidR="00F86DA1" w:rsidRPr="000B1BF7" w:rsidRDefault="00F86DA1">
      <w:pPr>
        <w:pStyle w:val="FootnoteText"/>
        <w:rPr>
          <w:rFonts w:ascii="Book Antiqua" w:hAnsi="Book Antiqua"/>
        </w:rPr>
      </w:pPr>
      <w:r w:rsidRPr="000B1BF7">
        <w:rPr>
          <w:rStyle w:val="FootnoteReference"/>
          <w:rFonts w:ascii="Book Antiqua" w:hAnsi="Book Antiqua"/>
        </w:rPr>
        <w:footnoteRef/>
      </w:r>
      <w:r w:rsidRPr="000B1BF7">
        <w:rPr>
          <w:rFonts w:ascii="Book Antiqua" w:hAnsi="Book Antiqua"/>
        </w:rPr>
        <w:t xml:space="preserve"> The authors would like to thank Crystal Ennis and Burak Tansel for their comments and suggestions on this introduction.</w:t>
      </w:r>
      <w:r w:rsidR="006903FD">
        <w:rPr>
          <w:rFonts w:ascii="Book Antiqua" w:hAnsi="Book Antiqua"/>
        </w:rPr>
        <w:t xml:space="preserve"> The special issue draws on two workshops: At the University of Liverpool in and the </w:t>
      </w:r>
      <w:r w:rsidR="006903FD" w:rsidRPr="006903FD">
        <w:rPr>
          <w:rFonts w:ascii="Book Antiqua" w:hAnsi="Book Antiqua"/>
        </w:rPr>
        <w:t>European Workshops in International Studies</w:t>
      </w:r>
      <w:r w:rsidR="006903FD">
        <w:rPr>
          <w:rFonts w:ascii="Book Antiqua" w:hAnsi="Book Antiqua"/>
        </w:rPr>
        <w:t xml:space="preserve"> (EWIS) of the European International Studies Association in Krakow, both in 2019. The authors would like to acknowledge support from the University of Liverpool Early Career and Returners Fund for the former workshop.</w:t>
      </w:r>
    </w:p>
  </w:footnote>
  <w:footnote w:id="2">
    <w:p w14:paraId="3F278042" w14:textId="6A4F5AA6" w:rsidR="00E71977" w:rsidRPr="00671727" w:rsidRDefault="00E71977" w:rsidP="00527C62">
      <w:pPr>
        <w:pStyle w:val="FootnoteText"/>
        <w:jc w:val="both"/>
        <w:rPr>
          <w:rFonts w:ascii="Book Antiqua" w:hAnsi="Book Antiqua"/>
        </w:rPr>
      </w:pPr>
      <w:r w:rsidRPr="00671727">
        <w:rPr>
          <w:rStyle w:val="FootnoteReference"/>
          <w:rFonts w:ascii="Book Antiqua" w:hAnsi="Book Antiqua"/>
        </w:rPr>
        <w:footnoteRef/>
      </w:r>
      <w:r w:rsidRPr="00671727">
        <w:rPr>
          <w:rFonts w:ascii="Book Antiqua" w:hAnsi="Book Antiqua"/>
        </w:rPr>
        <w:t xml:space="preserve"> </w:t>
      </w:r>
      <w:r>
        <w:rPr>
          <w:rFonts w:ascii="Book Antiqua" w:hAnsi="Book Antiqua"/>
        </w:rPr>
        <w:t>Halliday (2005: 10) defined regional narcissism as ‘the belief that the whole world spends all its time plotting and worrying about the Middle East, and that everything that happens in the region is somehow dissimilar to that which takes place elsewhere’.</w:t>
      </w:r>
    </w:p>
  </w:footnote>
  <w:footnote w:id="3">
    <w:p w14:paraId="557A52DA" w14:textId="6D03A61A" w:rsidR="00E71977" w:rsidRPr="0066761A" w:rsidRDefault="00E71977" w:rsidP="00527C62">
      <w:pPr>
        <w:pStyle w:val="FootnoteText"/>
        <w:jc w:val="both"/>
        <w:rPr>
          <w:rFonts w:ascii="Book Antiqua" w:hAnsi="Book Antiqua"/>
        </w:rPr>
      </w:pPr>
      <w:r w:rsidRPr="0066761A">
        <w:rPr>
          <w:rStyle w:val="FootnoteReference"/>
          <w:rFonts w:ascii="Book Antiqua" w:hAnsi="Book Antiqua"/>
        </w:rPr>
        <w:footnoteRef/>
      </w:r>
      <w:r w:rsidRPr="0066761A">
        <w:rPr>
          <w:rFonts w:ascii="Book Antiqua" w:hAnsi="Book Antiqua"/>
        </w:rPr>
        <w:t xml:space="preserve"> </w:t>
      </w:r>
      <w:proofErr w:type="spellStart"/>
      <w:r>
        <w:rPr>
          <w:rFonts w:ascii="Book Antiqua" w:hAnsi="Book Antiqua"/>
        </w:rPr>
        <w:t>Ayubi’s</w:t>
      </w:r>
      <w:proofErr w:type="spellEnd"/>
      <w:r>
        <w:rPr>
          <w:rFonts w:ascii="Book Antiqua" w:hAnsi="Book Antiqua"/>
        </w:rPr>
        <w:t xml:space="preserve"> original thesis referred to the Arab state, but in the context of this special issue we also seek to contextualise what states do and how in the international political economy with reference to a major non-Arab state in the Middle East, Iran.</w:t>
      </w:r>
      <w:r w:rsidR="00AE7707">
        <w:rPr>
          <w:rFonts w:ascii="Book Antiqua" w:hAnsi="Book Antiqua"/>
        </w:rPr>
        <w:t xml:space="preserve"> For a reassessment of </w:t>
      </w:r>
      <w:proofErr w:type="spellStart"/>
      <w:r w:rsidR="00AE7707">
        <w:rPr>
          <w:rFonts w:ascii="Book Antiqua" w:hAnsi="Book Antiqua"/>
        </w:rPr>
        <w:t>Ayubi’s</w:t>
      </w:r>
      <w:proofErr w:type="spellEnd"/>
      <w:r w:rsidR="00AE7707">
        <w:rPr>
          <w:rFonts w:ascii="Book Antiqua" w:hAnsi="Book Antiqua"/>
        </w:rPr>
        <w:t xml:space="preserve"> thesis one decade after the uprisings, see Achcar </w:t>
      </w:r>
      <w:r w:rsidR="00B34841">
        <w:rPr>
          <w:rFonts w:ascii="Book Antiqua" w:hAnsi="Book Antiqua"/>
        </w:rPr>
        <w:t>202</w:t>
      </w:r>
      <w:r w:rsidR="00E52476">
        <w:rPr>
          <w:rFonts w:ascii="Book Antiqua" w:hAnsi="Book Antiqua"/>
        </w:rPr>
        <w:t>1</w:t>
      </w:r>
      <w:r w:rsidR="00B34841">
        <w:rPr>
          <w:rFonts w:ascii="Book Antiqua" w:hAnsi="Book Antiqua"/>
        </w:rPr>
        <w:t>.</w:t>
      </w:r>
    </w:p>
  </w:footnote>
  <w:footnote w:id="4">
    <w:p w14:paraId="7CB07FF0" w14:textId="46695189" w:rsidR="00E71977" w:rsidRPr="00F92B68" w:rsidRDefault="00E71977" w:rsidP="00527C62">
      <w:pPr>
        <w:pStyle w:val="FootnoteText"/>
        <w:jc w:val="both"/>
        <w:rPr>
          <w:rFonts w:ascii="Book Antiqua" w:hAnsi="Book Antiqua"/>
        </w:rPr>
      </w:pPr>
      <w:r w:rsidRPr="00F92B68">
        <w:rPr>
          <w:rStyle w:val="FootnoteReference"/>
          <w:rFonts w:ascii="Book Antiqua" w:hAnsi="Book Antiqua"/>
        </w:rPr>
        <w:footnoteRef/>
      </w:r>
      <w:r w:rsidRPr="00F92B68">
        <w:rPr>
          <w:rFonts w:ascii="Book Antiqua" w:hAnsi="Book Antiqua"/>
        </w:rPr>
        <w:t xml:space="preserve"> </w:t>
      </w:r>
      <w:r>
        <w:rPr>
          <w:rFonts w:ascii="Book Antiqua" w:hAnsi="Book Antiqua"/>
        </w:rPr>
        <w:t>For a significant exception</w:t>
      </w:r>
      <w:r w:rsidR="00C67C4A">
        <w:rPr>
          <w:rFonts w:ascii="Book Antiqua" w:hAnsi="Book Antiqua"/>
        </w:rPr>
        <w:t xml:space="preserve">, see </w:t>
      </w:r>
      <w:proofErr w:type="spellStart"/>
      <w:r w:rsidR="00C67C4A">
        <w:rPr>
          <w:rFonts w:ascii="Book Antiqua" w:hAnsi="Book Antiqua"/>
        </w:rPr>
        <w:t>Haugbolle</w:t>
      </w:r>
      <w:proofErr w:type="spellEnd"/>
      <w:r w:rsidR="00C67C4A">
        <w:rPr>
          <w:rFonts w:ascii="Book Antiqua" w:hAnsi="Book Antiqua"/>
        </w:rPr>
        <w:t xml:space="preserve"> and </w:t>
      </w:r>
      <w:proofErr w:type="spellStart"/>
      <w:r w:rsidR="00C67C4A">
        <w:rPr>
          <w:rFonts w:ascii="Book Antiqua" w:hAnsi="Book Antiqua"/>
        </w:rPr>
        <w:t>LeVine</w:t>
      </w:r>
      <w:proofErr w:type="spellEnd"/>
      <w:r w:rsidR="00C67C4A">
        <w:rPr>
          <w:rFonts w:ascii="Book Antiqua" w:hAnsi="Book Antiqua"/>
        </w:rPr>
        <w:t xml:space="preserve"> (2023)</w:t>
      </w:r>
      <w:r w:rsidR="00BD1CEB">
        <w:rPr>
          <w:rFonts w:ascii="Book Antiqua" w:hAnsi="Book Antiqua"/>
        </w:rPr>
        <w:t xml:space="preserve"> and Hanieh (2018)</w:t>
      </w:r>
      <w:r>
        <w:rPr>
          <w:rFonts w:ascii="Book Antiqua" w:hAnsi="Book Antiqua"/>
        </w:rPr>
        <w:t>.</w:t>
      </w:r>
    </w:p>
  </w:footnote>
  <w:footnote w:id="5">
    <w:p w14:paraId="13580C86" w14:textId="53BE04FF" w:rsidR="00F81386" w:rsidRPr="005C6962" w:rsidRDefault="00F81386" w:rsidP="005C6962">
      <w:pPr>
        <w:pStyle w:val="FootnoteText"/>
        <w:jc w:val="both"/>
        <w:rPr>
          <w:rFonts w:ascii="Book Antiqua" w:hAnsi="Book Antiqua"/>
        </w:rPr>
      </w:pPr>
      <w:r w:rsidRPr="005C6962">
        <w:rPr>
          <w:rStyle w:val="FootnoteReference"/>
          <w:rFonts w:ascii="Book Antiqua" w:hAnsi="Book Antiqua"/>
        </w:rPr>
        <w:footnoteRef/>
      </w:r>
      <w:r w:rsidRPr="005C6962">
        <w:rPr>
          <w:rFonts w:ascii="Book Antiqua" w:hAnsi="Book Antiqua"/>
        </w:rPr>
        <w:t xml:space="preserve"> </w:t>
      </w:r>
      <w:r>
        <w:rPr>
          <w:rFonts w:ascii="Book Antiqua" w:hAnsi="Book Antiqua"/>
        </w:rPr>
        <w:t xml:space="preserve">For a broader argument on how </w:t>
      </w:r>
      <w:r w:rsidR="001434CF">
        <w:rPr>
          <w:rFonts w:ascii="Book Antiqua" w:hAnsi="Book Antiqua"/>
        </w:rPr>
        <w:t xml:space="preserve">hierarchies are at the very least implicit in how comparative politics works, see </w:t>
      </w:r>
      <w:proofErr w:type="spellStart"/>
      <w:r w:rsidR="001434CF">
        <w:rPr>
          <w:rFonts w:ascii="Book Antiqua" w:hAnsi="Book Antiqua"/>
        </w:rPr>
        <w:t>Shilliam</w:t>
      </w:r>
      <w:proofErr w:type="spellEnd"/>
      <w:r w:rsidR="001434CF">
        <w:rPr>
          <w:rFonts w:ascii="Book Antiqua" w:hAnsi="Book Antiqua"/>
        </w:rPr>
        <w:t xml:space="preserve"> (2021: </w:t>
      </w:r>
      <w:r w:rsidR="00F32F84">
        <w:rPr>
          <w:rFonts w:ascii="Book Antiqua" w:hAnsi="Book Antiqua"/>
        </w:rPr>
        <w:t>85-118).</w:t>
      </w:r>
    </w:p>
  </w:footnote>
  <w:footnote w:id="6">
    <w:p w14:paraId="40B1214D" w14:textId="0FBCD1FB" w:rsidR="00E71977" w:rsidRPr="00FA218D" w:rsidRDefault="00E71977" w:rsidP="00527C62">
      <w:pPr>
        <w:pStyle w:val="FootnoteText"/>
        <w:jc w:val="both"/>
        <w:rPr>
          <w:rFonts w:ascii="Book Antiqua" w:hAnsi="Book Antiqua"/>
        </w:rPr>
      </w:pPr>
      <w:r w:rsidRPr="00FA218D">
        <w:rPr>
          <w:rStyle w:val="FootnoteReference"/>
          <w:rFonts w:ascii="Book Antiqua" w:hAnsi="Book Antiqua"/>
        </w:rPr>
        <w:footnoteRef/>
      </w:r>
      <w:r w:rsidRPr="00FA218D">
        <w:rPr>
          <w:rFonts w:ascii="Book Antiqua" w:hAnsi="Book Antiqua"/>
        </w:rPr>
        <w:t xml:space="preserve"> </w:t>
      </w:r>
      <w:r>
        <w:rPr>
          <w:rFonts w:ascii="Book Antiqua" w:hAnsi="Book Antiqua"/>
        </w:rPr>
        <w:t xml:space="preserve">With different inflections, this dynamic relation between global structures of domination and subordination and local agency </w:t>
      </w:r>
      <w:r w:rsidR="00A77D0F">
        <w:rPr>
          <w:rFonts w:ascii="Book Antiqua" w:hAnsi="Book Antiqua"/>
        </w:rPr>
        <w:t xml:space="preserve">is </w:t>
      </w:r>
      <w:r>
        <w:rPr>
          <w:rFonts w:ascii="Book Antiqua" w:hAnsi="Book Antiqua"/>
        </w:rPr>
        <w:t xml:space="preserve">also visible in some of the best recent work at the intersection of economic history and political economy, such as for instance Jakes (2020) and </w:t>
      </w:r>
      <w:proofErr w:type="spellStart"/>
      <w:r>
        <w:rPr>
          <w:rFonts w:ascii="Book Antiqua" w:hAnsi="Book Antiqua"/>
        </w:rPr>
        <w:t>Haleh</w:t>
      </w:r>
      <w:proofErr w:type="spellEnd"/>
      <w:r>
        <w:rPr>
          <w:rFonts w:ascii="Book Antiqua" w:hAnsi="Book Antiqua"/>
        </w:rPr>
        <w:t xml:space="preserve"> Davis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FD9"/>
    <w:multiLevelType w:val="hybridMultilevel"/>
    <w:tmpl w:val="1DAE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7749B"/>
    <w:multiLevelType w:val="hybridMultilevel"/>
    <w:tmpl w:val="4A56146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911398"/>
    <w:multiLevelType w:val="hybridMultilevel"/>
    <w:tmpl w:val="DD1C12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6334366"/>
    <w:multiLevelType w:val="hybridMultilevel"/>
    <w:tmpl w:val="E6481E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776331C"/>
    <w:multiLevelType w:val="hybridMultilevel"/>
    <w:tmpl w:val="EBBA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2B"/>
    <w:rsid w:val="00004304"/>
    <w:rsid w:val="00005F26"/>
    <w:rsid w:val="00006864"/>
    <w:rsid w:val="0000715E"/>
    <w:rsid w:val="000112D5"/>
    <w:rsid w:val="00017163"/>
    <w:rsid w:val="00023117"/>
    <w:rsid w:val="0002591D"/>
    <w:rsid w:val="00026EBE"/>
    <w:rsid w:val="0003096B"/>
    <w:rsid w:val="00037B22"/>
    <w:rsid w:val="00040096"/>
    <w:rsid w:val="000419F5"/>
    <w:rsid w:val="0004315F"/>
    <w:rsid w:val="00044926"/>
    <w:rsid w:val="00047CE7"/>
    <w:rsid w:val="00050049"/>
    <w:rsid w:val="00051DD1"/>
    <w:rsid w:val="000531CD"/>
    <w:rsid w:val="00057643"/>
    <w:rsid w:val="00057E78"/>
    <w:rsid w:val="000603D6"/>
    <w:rsid w:val="00060980"/>
    <w:rsid w:val="00062BA2"/>
    <w:rsid w:val="00066D64"/>
    <w:rsid w:val="0007255A"/>
    <w:rsid w:val="00073AD3"/>
    <w:rsid w:val="00073F57"/>
    <w:rsid w:val="00074741"/>
    <w:rsid w:val="000756D5"/>
    <w:rsid w:val="000758D3"/>
    <w:rsid w:val="00077E4C"/>
    <w:rsid w:val="0008574E"/>
    <w:rsid w:val="00085A76"/>
    <w:rsid w:val="0008759E"/>
    <w:rsid w:val="00091105"/>
    <w:rsid w:val="00094491"/>
    <w:rsid w:val="00097CE1"/>
    <w:rsid w:val="000A2F8A"/>
    <w:rsid w:val="000A4D81"/>
    <w:rsid w:val="000A5773"/>
    <w:rsid w:val="000B16F6"/>
    <w:rsid w:val="000B1BF7"/>
    <w:rsid w:val="000B2509"/>
    <w:rsid w:val="000B3103"/>
    <w:rsid w:val="000B440A"/>
    <w:rsid w:val="000D0597"/>
    <w:rsid w:val="000D1381"/>
    <w:rsid w:val="000D6CB5"/>
    <w:rsid w:val="000D701D"/>
    <w:rsid w:val="000E0578"/>
    <w:rsid w:val="000E21A8"/>
    <w:rsid w:val="000E5118"/>
    <w:rsid w:val="000E56C4"/>
    <w:rsid w:val="000E5FB6"/>
    <w:rsid w:val="000E6B99"/>
    <w:rsid w:val="000E74C3"/>
    <w:rsid w:val="000E7A63"/>
    <w:rsid w:val="000F3757"/>
    <w:rsid w:val="000F3F61"/>
    <w:rsid w:val="00101CAD"/>
    <w:rsid w:val="0010390D"/>
    <w:rsid w:val="00104493"/>
    <w:rsid w:val="00104654"/>
    <w:rsid w:val="0011008A"/>
    <w:rsid w:val="00110346"/>
    <w:rsid w:val="00112027"/>
    <w:rsid w:val="001143D5"/>
    <w:rsid w:val="00116202"/>
    <w:rsid w:val="001211D8"/>
    <w:rsid w:val="00121D17"/>
    <w:rsid w:val="00121D9B"/>
    <w:rsid w:val="00124A20"/>
    <w:rsid w:val="0012553D"/>
    <w:rsid w:val="001265ED"/>
    <w:rsid w:val="00126BBF"/>
    <w:rsid w:val="0013426D"/>
    <w:rsid w:val="0013439F"/>
    <w:rsid w:val="001377A0"/>
    <w:rsid w:val="00137A22"/>
    <w:rsid w:val="001405DA"/>
    <w:rsid w:val="001427A6"/>
    <w:rsid w:val="001434CF"/>
    <w:rsid w:val="00151B12"/>
    <w:rsid w:val="001535DF"/>
    <w:rsid w:val="00157EE8"/>
    <w:rsid w:val="001620F9"/>
    <w:rsid w:val="00172982"/>
    <w:rsid w:val="0017378A"/>
    <w:rsid w:val="001804EA"/>
    <w:rsid w:val="001823FD"/>
    <w:rsid w:val="00182E95"/>
    <w:rsid w:val="0018399A"/>
    <w:rsid w:val="00183B47"/>
    <w:rsid w:val="001843FB"/>
    <w:rsid w:val="001852DC"/>
    <w:rsid w:val="00186C51"/>
    <w:rsid w:val="00187F1B"/>
    <w:rsid w:val="0019170E"/>
    <w:rsid w:val="00191D91"/>
    <w:rsid w:val="00194C37"/>
    <w:rsid w:val="001969C9"/>
    <w:rsid w:val="001A5B6B"/>
    <w:rsid w:val="001A6D92"/>
    <w:rsid w:val="001B089C"/>
    <w:rsid w:val="001B14EF"/>
    <w:rsid w:val="001C04D7"/>
    <w:rsid w:val="001C2474"/>
    <w:rsid w:val="001C3410"/>
    <w:rsid w:val="001C5E8D"/>
    <w:rsid w:val="001C6783"/>
    <w:rsid w:val="001D0A5D"/>
    <w:rsid w:val="001D0E4A"/>
    <w:rsid w:val="001D3C18"/>
    <w:rsid w:val="001D3C64"/>
    <w:rsid w:val="001D5816"/>
    <w:rsid w:val="001D6546"/>
    <w:rsid w:val="001D6D0F"/>
    <w:rsid w:val="001D7C1F"/>
    <w:rsid w:val="001E14FC"/>
    <w:rsid w:val="001E1FB9"/>
    <w:rsid w:val="001E4FB3"/>
    <w:rsid w:val="001E7171"/>
    <w:rsid w:val="001F1265"/>
    <w:rsid w:val="001F26E7"/>
    <w:rsid w:val="001F7F20"/>
    <w:rsid w:val="00200871"/>
    <w:rsid w:val="002016F0"/>
    <w:rsid w:val="00202D1C"/>
    <w:rsid w:val="00204D8F"/>
    <w:rsid w:val="00207659"/>
    <w:rsid w:val="0021380D"/>
    <w:rsid w:val="002210FB"/>
    <w:rsid w:val="002232D1"/>
    <w:rsid w:val="0022449B"/>
    <w:rsid w:val="00224879"/>
    <w:rsid w:val="00226D3D"/>
    <w:rsid w:val="0023643D"/>
    <w:rsid w:val="002424B4"/>
    <w:rsid w:val="00242B7C"/>
    <w:rsid w:val="002435BF"/>
    <w:rsid w:val="00243DD2"/>
    <w:rsid w:val="0024517F"/>
    <w:rsid w:val="0024585D"/>
    <w:rsid w:val="00247761"/>
    <w:rsid w:val="00251108"/>
    <w:rsid w:val="00251AA1"/>
    <w:rsid w:val="00251C05"/>
    <w:rsid w:val="00251C7A"/>
    <w:rsid w:val="00252CFB"/>
    <w:rsid w:val="00252E80"/>
    <w:rsid w:val="00254048"/>
    <w:rsid w:val="00257AF0"/>
    <w:rsid w:val="002600C8"/>
    <w:rsid w:val="00261165"/>
    <w:rsid w:val="00264BD9"/>
    <w:rsid w:val="00266C9F"/>
    <w:rsid w:val="00267294"/>
    <w:rsid w:val="002717E6"/>
    <w:rsid w:val="00272760"/>
    <w:rsid w:val="002740C9"/>
    <w:rsid w:val="00280B2D"/>
    <w:rsid w:val="00281A80"/>
    <w:rsid w:val="00281E90"/>
    <w:rsid w:val="0028211C"/>
    <w:rsid w:val="0028378A"/>
    <w:rsid w:val="00284F2A"/>
    <w:rsid w:val="00285E0C"/>
    <w:rsid w:val="0028762E"/>
    <w:rsid w:val="002916D9"/>
    <w:rsid w:val="00294DB5"/>
    <w:rsid w:val="002A08D5"/>
    <w:rsid w:val="002A12E2"/>
    <w:rsid w:val="002A3C4D"/>
    <w:rsid w:val="002A5B02"/>
    <w:rsid w:val="002A66D9"/>
    <w:rsid w:val="002A68E8"/>
    <w:rsid w:val="002B1ABC"/>
    <w:rsid w:val="002B4BB5"/>
    <w:rsid w:val="002B50C7"/>
    <w:rsid w:val="002B636D"/>
    <w:rsid w:val="002B6375"/>
    <w:rsid w:val="002C1198"/>
    <w:rsid w:val="002C128D"/>
    <w:rsid w:val="002C22C9"/>
    <w:rsid w:val="002C40B4"/>
    <w:rsid w:val="002D0DBA"/>
    <w:rsid w:val="002D136A"/>
    <w:rsid w:val="002D1497"/>
    <w:rsid w:val="002D16BA"/>
    <w:rsid w:val="002D46A6"/>
    <w:rsid w:val="002D493B"/>
    <w:rsid w:val="002F2E8D"/>
    <w:rsid w:val="002F3184"/>
    <w:rsid w:val="002F456F"/>
    <w:rsid w:val="002F4671"/>
    <w:rsid w:val="003013A1"/>
    <w:rsid w:val="00301793"/>
    <w:rsid w:val="00304821"/>
    <w:rsid w:val="00306910"/>
    <w:rsid w:val="00310194"/>
    <w:rsid w:val="00314E32"/>
    <w:rsid w:val="00317421"/>
    <w:rsid w:val="00321208"/>
    <w:rsid w:val="003233B1"/>
    <w:rsid w:val="003248A3"/>
    <w:rsid w:val="0032774D"/>
    <w:rsid w:val="003307A8"/>
    <w:rsid w:val="0033319A"/>
    <w:rsid w:val="00333B00"/>
    <w:rsid w:val="003340D1"/>
    <w:rsid w:val="00334ADD"/>
    <w:rsid w:val="003455DE"/>
    <w:rsid w:val="003471ED"/>
    <w:rsid w:val="0035258A"/>
    <w:rsid w:val="00353A44"/>
    <w:rsid w:val="00354E12"/>
    <w:rsid w:val="00355094"/>
    <w:rsid w:val="0035537B"/>
    <w:rsid w:val="003623A6"/>
    <w:rsid w:val="00365379"/>
    <w:rsid w:val="003663E5"/>
    <w:rsid w:val="003743A1"/>
    <w:rsid w:val="00375AB2"/>
    <w:rsid w:val="00376805"/>
    <w:rsid w:val="00383B67"/>
    <w:rsid w:val="00384AE8"/>
    <w:rsid w:val="0038616E"/>
    <w:rsid w:val="003868F8"/>
    <w:rsid w:val="00392675"/>
    <w:rsid w:val="00393231"/>
    <w:rsid w:val="00397A25"/>
    <w:rsid w:val="003A169B"/>
    <w:rsid w:val="003A4F5F"/>
    <w:rsid w:val="003A679A"/>
    <w:rsid w:val="003B06C5"/>
    <w:rsid w:val="003B15C8"/>
    <w:rsid w:val="003B7913"/>
    <w:rsid w:val="003B7B5D"/>
    <w:rsid w:val="003B7E88"/>
    <w:rsid w:val="003C268A"/>
    <w:rsid w:val="003C3BA0"/>
    <w:rsid w:val="003C4713"/>
    <w:rsid w:val="003C474B"/>
    <w:rsid w:val="003C62C6"/>
    <w:rsid w:val="003C6804"/>
    <w:rsid w:val="003C782A"/>
    <w:rsid w:val="003D4240"/>
    <w:rsid w:val="003D7894"/>
    <w:rsid w:val="003D7C9B"/>
    <w:rsid w:val="003E299C"/>
    <w:rsid w:val="003E4841"/>
    <w:rsid w:val="003E6349"/>
    <w:rsid w:val="003F03BD"/>
    <w:rsid w:val="003F4F54"/>
    <w:rsid w:val="003F5FE8"/>
    <w:rsid w:val="003F68A6"/>
    <w:rsid w:val="003F6C03"/>
    <w:rsid w:val="00402552"/>
    <w:rsid w:val="00404D30"/>
    <w:rsid w:val="004076AF"/>
    <w:rsid w:val="0040799B"/>
    <w:rsid w:val="00415486"/>
    <w:rsid w:val="00415ED7"/>
    <w:rsid w:val="004209D1"/>
    <w:rsid w:val="00422F87"/>
    <w:rsid w:val="00424BCE"/>
    <w:rsid w:val="00425C64"/>
    <w:rsid w:val="004260A0"/>
    <w:rsid w:val="00427469"/>
    <w:rsid w:val="00431169"/>
    <w:rsid w:val="004312DB"/>
    <w:rsid w:val="00435174"/>
    <w:rsid w:val="004356A3"/>
    <w:rsid w:val="004402B3"/>
    <w:rsid w:val="00440AD0"/>
    <w:rsid w:val="00444B61"/>
    <w:rsid w:val="004451E7"/>
    <w:rsid w:val="00452CA6"/>
    <w:rsid w:val="004532E7"/>
    <w:rsid w:val="0045725B"/>
    <w:rsid w:val="00461256"/>
    <w:rsid w:val="00462E23"/>
    <w:rsid w:val="00465022"/>
    <w:rsid w:val="004679FC"/>
    <w:rsid w:val="00470BB3"/>
    <w:rsid w:val="004754F2"/>
    <w:rsid w:val="00475705"/>
    <w:rsid w:val="00475C98"/>
    <w:rsid w:val="00482C0F"/>
    <w:rsid w:val="00486597"/>
    <w:rsid w:val="00493D8C"/>
    <w:rsid w:val="004957BF"/>
    <w:rsid w:val="004A05C9"/>
    <w:rsid w:val="004B0A36"/>
    <w:rsid w:val="004B216A"/>
    <w:rsid w:val="004B4BA8"/>
    <w:rsid w:val="004C23D6"/>
    <w:rsid w:val="004C4B35"/>
    <w:rsid w:val="004C4C39"/>
    <w:rsid w:val="004C54AF"/>
    <w:rsid w:val="004C79FA"/>
    <w:rsid w:val="004C7C1D"/>
    <w:rsid w:val="004D07DD"/>
    <w:rsid w:val="004D0E63"/>
    <w:rsid w:val="004D39A8"/>
    <w:rsid w:val="004D3A30"/>
    <w:rsid w:val="004D3A4B"/>
    <w:rsid w:val="004E02E7"/>
    <w:rsid w:val="004E1884"/>
    <w:rsid w:val="004E6722"/>
    <w:rsid w:val="004E7C3F"/>
    <w:rsid w:val="004F0B7C"/>
    <w:rsid w:val="004F1CAC"/>
    <w:rsid w:val="004F2D31"/>
    <w:rsid w:val="004F6124"/>
    <w:rsid w:val="00503FE6"/>
    <w:rsid w:val="005056C8"/>
    <w:rsid w:val="0050575A"/>
    <w:rsid w:val="005063C5"/>
    <w:rsid w:val="0051265D"/>
    <w:rsid w:val="0052029C"/>
    <w:rsid w:val="0052141B"/>
    <w:rsid w:val="00524F95"/>
    <w:rsid w:val="0052654E"/>
    <w:rsid w:val="00527C62"/>
    <w:rsid w:val="00532529"/>
    <w:rsid w:val="0053312D"/>
    <w:rsid w:val="005331AD"/>
    <w:rsid w:val="00533AC3"/>
    <w:rsid w:val="00533C8A"/>
    <w:rsid w:val="00534DFB"/>
    <w:rsid w:val="00534E25"/>
    <w:rsid w:val="0053595A"/>
    <w:rsid w:val="005450EE"/>
    <w:rsid w:val="00546E22"/>
    <w:rsid w:val="005505BB"/>
    <w:rsid w:val="00554119"/>
    <w:rsid w:val="00561967"/>
    <w:rsid w:val="00562303"/>
    <w:rsid w:val="00563A0B"/>
    <w:rsid w:val="005645F0"/>
    <w:rsid w:val="00564845"/>
    <w:rsid w:val="0056579D"/>
    <w:rsid w:val="00566A34"/>
    <w:rsid w:val="00566A9C"/>
    <w:rsid w:val="00570753"/>
    <w:rsid w:val="005714BE"/>
    <w:rsid w:val="00572382"/>
    <w:rsid w:val="005767EC"/>
    <w:rsid w:val="00577D37"/>
    <w:rsid w:val="00582BE7"/>
    <w:rsid w:val="00586EBF"/>
    <w:rsid w:val="005872C1"/>
    <w:rsid w:val="00587E89"/>
    <w:rsid w:val="00590BD4"/>
    <w:rsid w:val="00594F1C"/>
    <w:rsid w:val="00596E41"/>
    <w:rsid w:val="005A05CF"/>
    <w:rsid w:val="005A1D03"/>
    <w:rsid w:val="005A2474"/>
    <w:rsid w:val="005A458F"/>
    <w:rsid w:val="005A6B51"/>
    <w:rsid w:val="005A7842"/>
    <w:rsid w:val="005B00F8"/>
    <w:rsid w:val="005B11E6"/>
    <w:rsid w:val="005B69F9"/>
    <w:rsid w:val="005C32E3"/>
    <w:rsid w:val="005C51F2"/>
    <w:rsid w:val="005C56FD"/>
    <w:rsid w:val="005C6962"/>
    <w:rsid w:val="005D002F"/>
    <w:rsid w:val="005D1CA7"/>
    <w:rsid w:val="005D21A5"/>
    <w:rsid w:val="005D407C"/>
    <w:rsid w:val="005D647A"/>
    <w:rsid w:val="005E00BF"/>
    <w:rsid w:val="005F1093"/>
    <w:rsid w:val="005F2FB5"/>
    <w:rsid w:val="005F7C82"/>
    <w:rsid w:val="00602B67"/>
    <w:rsid w:val="006030E6"/>
    <w:rsid w:val="006031ED"/>
    <w:rsid w:val="00607CD8"/>
    <w:rsid w:val="00613284"/>
    <w:rsid w:val="00613D26"/>
    <w:rsid w:val="00615007"/>
    <w:rsid w:val="00621171"/>
    <w:rsid w:val="00621514"/>
    <w:rsid w:val="00621682"/>
    <w:rsid w:val="00621D43"/>
    <w:rsid w:val="00621F64"/>
    <w:rsid w:val="0062525D"/>
    <w:rsid w:val="00627458"/>
    <w:rsid w:val="006341BC"/>
    <w:rsid w:val="00634F12"/>
    <w:rsid w:val="00635FD0"/>
    <w:rsid w:val="00637781"/>
    <w:rsid w:val="006433A9"/>
    <w:rsid w:val="00644A7E"/>
    <w:rsid w:val="006526AC"/>
    <w:rsid w:val="006537E2"/>
    <w:rsid w:val="00655EC4"/>
    <w:rsid w:val="006567A0"/>
    <w:rsid w:val="00657CB3"/>
    <w:rsid w:val="00660E5E"/>
    <w:rsid w:val="00662A1D"/>
    <w:rsid w:val="0066761A"/>
    <w:rsid w:val="006701C5"/>
    <w:rsid w:val="00670342"/>
    <w:rsid w:val="00671727"/>
    <w:rsid w:val="006767C0"/>
    <w:rsid w:val="00677354"/>
    <w:rsid w:val="0068259E"/>
    <w:rsid w:val="006861FF"/>
    <w:rsid w:val="0068645F"/>
    <w:rsid w:val="006903FD"/>
    <w:rsid w:val="00695F39"/>
    <w:rsid w:val="006A3180"/>
    <w:rsid w:val="006A3281"/>
    <w:rsid w:val="006A35A7"/>
    <w:rsid w:val="006A398A"/>
    <w:rsid w:val="006A79F1"/>
    <w:rsid w:val="006A7C22"/>
    <w:rsid w:val="006B0717"/>
    <w:rsid w:val="006B0994"/>
    <w:rsid w:val="006B1E49"/>
    <w:rsid w:val="006B22B8"/>
    <w:rsid w:val="006B50BA"/>
    <w:rsid w:val="006B684F"/>
    <w:rsid w:val="006B7718"/>
    <w:rsid w:val="006B7AFF"/>
    <w:rsid w:val="006C3D68"/>
    <w:rsid w:val="006C7572"/>
    <w:rsid w:val="006D0099"/>
    <w:rsid w:val="006D0B10"/>
    <w:rsid w:val="006D1503"/>
    <w:rsid w:val="006D2CEB"/>
    <w:rsid w:val="006D3401"/>
    <w:rsid w:val="006D78ED"/>
    <w:rsid w:val="006D7957"/>
    <w:rsid w:val="006D7B8E"/>
    <w:rsid w:val="006D7C96"/>
    <w:rsid w:val="006E3DC9"/>
    <w:rsid w:val="006E3E3D"/>
    <w:rsid w:val="006E63CF"/>
    <w:rsid w:val="006E6C42"/>
    <w:rsid w:val="006F101E"/>
    <w:rsid w:val="006F73C4"/>
    <w:rsid w:val="00702088"/>
    <w:rsid w:val="007024AC"/>
    <w:rsid w:val="007067EE"/>
    <w:rsid w:val="007073B3"/>
    <w:rsid w:val="0071297C"/>
    <w:rsid w:val="00715114"/>
    <w:rsid w:val="00722F50"/>
    <w:rsid w:val="007232C1"/>
    <w:rsid w:val="00727A5E"/>
    <w:rsid w:val="00731A98"/>
    <w:rsid w:val="007326CF"/>
    <w:rsid w:val="00744CF4"/>
    <w:rsid w:val="00746B40"/>
    <w:rsid w:val="00747E33"/>
    <w:rsid w:val="007510D2"/>
    <w:rsid w:val="00753FD8"/>
    <w:rsid w:val="007543A3"/>
    <w:rsid w:val="00761351"/>
    <w:rsid w:val="007629DB"/>
    <w:rsid w:val="00771F16"/>
    <w:rsid w:val="00772F7F"/>
    <w:rsid w:val="00774B2D"/>
    <w:rsid w:val="00777C7B"/>
    <w:rsid w:val="007835DA"/>
    <w:rsid w:val="00786AFD"/>
    <w:rsid w:val="00786B24"/>
    <w:rsid w:val="007915D1"/>
    <w:rsid w:val="00794D36"/>
    <w:rsid w:val="0079616C"/>
    <w:rsid w:val="007A051F"/>
    <w:rsid w:val="007A4C1C"/>
    <w:rsid w:val="007A5A37"/>
    <w:rsid w:val="007B2A11"/>
    <w:rsid w:val="007B30F5"/>
    <w:rsid w:val="007B49E2"/>
    <w:rsid w:val="007B6DBC"/>
    <w:rsid w:val="007C1DD8"/>
    <w:rsid w:val="007C4F42"/>
    <w:rsid w:val="007C50EF"/>
    <w:rsid w:val="007D01B3"/>
    <w:rsid w:val="007D3501"/>
    <w:rsid w:val="007D415E"/>
    <w:rsid w:val="007D5F9C"/>
    <w:rsid w:val="007D6B92"/>
    <w:rsid w:val="007E43BE"/>
    <w:rsid w:val="007E771A"/>
    <w:rsid w:val="007F63E3"/>
    <w:rsid w:val="007F6912"/>
    <w:rsid w:val="007F6B6D"/>
    <w:rsid w:val="007F77C8"/>
    <w:rsid w:val="008012C8"/>
    <w:rsid w:val="0080705D"/>
    <w:rsid w:val="00816B5A"/>
    <w:rsid w:val="0082311A"/>
    <w:rsid w:val="00827C62"/>
    <w:rsid w:val="00831B44"/>
    <w:rsid w:val="0083669D"/>
    <w:rsid w:val="008366CE"/>
    <w:rsid w:val="00837B2B"/>
    <w:rsid w:val="00845B43"/>
    <w:rsid w:val="008474EE"/>
    <w:rsid w:val="008502C1"/>
    <w:rsid w:val="00854ED6"/>
    <w:rsid w:val="00862975"/>
    <w:rsid w:val="00866543"/>
    <w:rsid w:val="008666FA"/>
    <w:rsid w:val="00870A29"/>
    <w:rsid w:val="00870C24"/>
    <w:rsid w:val="00871ECA"/>
    <w:rsid w:val="00872C0B"/>
    <w:rsid w:val="00876A5F"/>
    <w:rsid w:val="00876CFD"/>
    <w:rsid w:val="0088006C"/>
    <w:rsid w:val="008827B4"/>
    <w:rsid w:val="008868AC"/>
    <w:rsid w:val="008872A0"/>
    <w:rsid w:val="00887FC2"/>
    <w:rsid w:val="008907FF"/>
    <w:rsid w:val="00890F0D"/>
    <w:rsid w:val="0089203C"/>
    <w:rsid w:val="00893DC9"/>
    <w:rsid w:val="00895701"/>
    <w:rsid w:val="008A088A"/>
    <w:rsid w:val="008A15CF"/>
    <w:rsid w:val="008A1EC2"/>
    <w:rsid w:val="008A379E"/>
    <w:rsid w:val="008A4F10"/>
    <w:rsid w:val="008B3D0F"/>
    <w:rsid w:val="008B4B94"/>
    <w:rsid w:val="008B7349"/>
    <w:rsid w:val="008B78F8"/>
    <w:rsid w:val="008C0423"/>
    <w:rsid w:val="008C0F60"/>
    <w:rsid w:val="008C10D0"/>
    <w:rsid w:val="008C47B5"/>
    <w:rsid w:val="008C7144"/>
    <w:rsid w:val="008D3797"/>
    <w:rsid w:val="008D4DC7"/>
    <w:rsid w:val="008D541E"/>
    <w:rsid w:val="008D5F67"/>
    <w:rsid w:val="008D65CE"/>
    <w:rsid w:val="008D7938"/>
    <w:rsid w:val="008E14E8"/>
    <w:rsid w:val="008E60C6"/>
    <w:rsid w:val="008F616C"/>
    <w:rsid w:val="008F6918"/>
    <w:rsid w:val="0090297F"/>
    <w:rsid w:val="00904703"/>
    <w:rsid w:val="009063A4"/>
    <w:rsid w:val="00910D50"/>
    <w:rsid w:val="00912812"/>
    <w:rsid w:val="009143B2"/>
    <w:rsid w:val="00914DC2"/>
    <w:rsid w:val="00916AB6"/>
    <w:rsid w:val="0092082F"/>
    <w:rsid w:val="00920905"/>
    <w:rsid w:val="00921BEC"/>
    <w:rsid w:val="009245F5"/>
    <w:rsid w:val="009268BB"/>
    <w:rsid w:val="009300F7"/>
    <w:rsid w:val="009349C1"/>
    <w:rsid w:val="00935D46"/>
    <w:rsid w:val="00941DE1"/>
    <w:rsid w:val="00943D65"/>
    <w:rsid w:val="009461A0"/>
    <w:rsid w:val="00946838"/>
    <w:rsid w:val="009534C2"/>
    <w:rsid w:val="009557F7"/>
    <w:rsid w:val="00957260"/>
    <w:rsid w:val="00960699"/>
    <w:rsid w:val="0096235D"/>
    <w:rsid w:val="009654E0"/>
    <w:rsid w:val="0096660F"/>
    <w:rsid w:val="00967A96"/>
    <w:rsid w:val="00967B0C"/>
    <w:rsid w:val="009733CE"/>
    <w:rsid w:val="00975840"/>
    <w:rsid w:val="0097611E"/>
    <w:rsid w:val="00982060"/>
    <w:rsid w:val="00985156"/>
    <w:rsid w:val="00985FFE"/>
    <w:rsid w:val="00990906"/>
    <w:rsid w:val="00990CE4"/>
    <w:rsid w:val="00991F2A"/>
    <w:rsid w:val="0099252E"/>
    <w:rsid w:val="009936FB"/>
    <w:rsid w:val="00997BCF"/>
    <w:rsid w:val="009A113E"/>
    <w:rsid w:val="009A4C44"/>
    <w:rsid w:val="009A58FD"/>
    <w:rsid w:val="009A6203"/>
    <w:rsid w:val="009A7F17"/>
    <w:rsid w:val="009B055F"/>
    <w:rsid w:val="009B1D6E"/>
    <w:rsid w:val="009B2CF3"/>
    <w:rsid w:val="009B56B3"/>
    <w:rsid w:val="009C101F"/>
    <w:rsid w:val="009C6F90"/>
    <w:rsid w:val="009D270A"/>
    <w:rsid w:val="009E245D"/>
    <w:rsid w:val="009E60C9"/>
    <w:rsid w:val="009E6336"/>
    <w:rsid w:val="009F2831"/>
    <w:rsid w:val="009F41C5"/>
    <w:rsid w:val="009F4A69"/>
    <w:rsid w:val="009F4AF8"/>
    <w:rsid w:val="009F6485"/>
    <w:rsid w:val="009F6798"/>
    <w:rsid w:val="00A012BB"/>
    <w:rsid w:val="00A02B6C"/>
    <w:rsid w:val="00A0520B"/>
    <w:rsid w:val="00A07647"/>
    <w:rsid w:val="00A076AC"/>
    <w:rsid w:val="00A101FB"/>
    <w:rsid w:val="00A1429F"/>
    <w:rsid w:val="00A2014A"/>
    <w:rsid w:val="00A20B7D"/>
    <w:rsid w:val="00A22A0C"/>
    <w:rsid w:val="00A22BE7"/>
    <w:rsid w:val="00A23A35"/>
    <w:rsid w:val="00A2524F"/>
    <w:rsid w:val="00A25901"/>
    <w:rsid w:val="00A30F36"/>
    <w:rsid w:val="00A346E2"/>
    <w:rsid w:val="00A357D5"/>
    <w:rsid w:val="00A36DBD"/>
    <w:rsid w:val="00A4098C"/>
    <w:rsid w:val="00A43296"/>
    <w:rsid w:val="00A434D7"/>
    <w:rsid w:val="00A43F81"/>
    <w:rsid w:val="00A44040"/>
    <w:rsid w:val="00A468F9"/>
    <w:rsid w:val="00A61B32"/>
    <w:rsid w:val="00A61B64"/>
    <w:rsid w:val="00A61D89"/>
    <w:rsid w:val="00A63057"/>
    <w:rsid w:val="00A6348C"/>
    <w:rsid w:val="00A63E2F"/>
    <w:rsid w:val="00A676CD"/>
    <w:rsid w:val="00A70B9D"/>
    <w:rsid w:val="00A725A4"/>
    <w:rsid w:val="00A72AAD"/>
    <w:rsid w:val="00A732EA"/>
    <w:rsid w:val="00A73EE9"/>
    <w:rsid w:val="00A74485"/>
    <w:rsid w:val="00A753B3"/>
    <w:rsid w:val="00A77D0F"/>
    <w:rsid w:val="00A833F2"/>
    <w:rsid w:val="00A837DD"/>
    <w:rsid w:val="00A858FE"/>
    <w:rsid w:val="00A91363"/>
    <w:rsid w:val="00A91960"/>
    <w:rsid w:val="00A91DC1"/>
    <w:rsid w:val="00A9287E"/>
    <w:rsid w:val="00A97049"/>
    <w:rsid w:val="00AA014E"/>
    <w:rsid w:val="00AA0383"/>
    <w:rsid w:val="00AA1478"/>
    <w:rsid w:val="00AA1BEC"/>
    <w:rsid w:val="00AA3438"/>
    <w:rsid w:val="00AA6121"/>
    <w:rsid w:val="00AA7E7E"/>
    <w:rsid w:val="00AB4FEE"/>
    <w:rsid w:val="00AC1B65"/>
    <w:rsid w:val="00AC27C4"/>
    <w:rsid w:val="00AC4430"/>
    <w:rsid w:val="00AD19EF"/>
    <w:rsid w:val="00AD2D1F"/>
    <w:rsid w:val="00AD3704"/>
    <w:rsid w:val="00AD3BD7"/>
    <w:rsid w:val="00AD704B"/>
    <w:rsid w:val="00AD7E6A"/>
    <w:rsid w:val="00AE56A6"/>
    <w:rsid w:val="00AE745D"/>
    <w:rsid w:val="00AE7707"/>
    <w:rsid w:val="00AF2948"/>
    <w:rsid w:val="00AF7D39"/>
    <w:rsid w:val="00B01385"/>
    <w:rsid w:val="00B02AE7"/>
    <w:rsid w:val="00B069AA"/>
    <w:rsid w:val="00B06B8E"/>
    <w:rsid w:val="00B10540"/>
    <w:rsid w:val="00B1358B"/>
    <w:rsid w:val="00B14AA4"/>
    <w:rsid w:val="00B15285"/>
    <w:rsid w:val="00B207CA"/>
    <w:rsid w:val="00B251B8"/>
    <w:rsid w:val="00B267C7"/>
    <w:rsid w:val="00B27731"/>
    <w:rsid w:val="00B34841"/>
    <w:rsid w:val="00B354AF"/>
    <w:rsid w:val="00B356BF"/>
    <w:rsid w:val="00B35932"/>
    <w:rsid w:val="00B35E1B"/>
    <w:rsid w:val="00B36D95"/>
    <w:rsid w:val="00B3721D"/>
    <w:rsid w:val="00B41622"/>
    <w:rsid w:val="00B41D1A"/>
    <w:rsid w:val="00B44FB3"/>
    <w:rsid w:val="00B518A8"/>
    <w:rsid w:val="00B53426"/>
    <w:rsid w:val="00B53FBF"/>
    <w:rsid w:val="00B60970"/>
    <w:rsid w:val="00B6169A"/>
    <w:rsid w:val="00B64AE3"/>
    <w:rsid w:val="00B64B47"/>
    <w:rsid w:val="00B64D01"/>
    <w:rsid w:val="00B64D5B"/>
    <w:rsid w:val="00B64E71"/>
    <w:rsid w:val="00B65ECC"/>
    <w:rsid w:val="00B7262B"/>
    <w:rsid w:val="00B776B9"/>
    <w:rsid w:val="00B84362"/>
    <w:rsid w:val="00B854DE"/>
    <w:rsid w:val="00B91494"/>
    <w:rsid w:val="00B92799"/>
    <w:rsid w:val="00BA25F8"/>
    <w:rsid w:val="00BA320B"/>
    <w:rsid w:val="00BA756C"/>
    <w:rsid w:val="00BB010D"/>
    <w:rsid w:val="00BB2601"/>
    <w:rsid w:val="00BB4D6F"/>
    <w:rsid w:val="00BB6F17"/>
    <w:rsid w:val="00BC1A81"/>
    <w:rsid w:val="00BC7D47"/>
    <w:rsid w:val="00BD1CEB"/>
    <w:rsid w:val="00BD1EF1"/>
    <w:rsid w:val="00BD2540"/>
    <w:rsid w:val="00BD43A3"/>
    <w:rsid w:val="00BD53EE"/>
    <w:rsid w:val="00BD7349"/>
    <w:rsid w:val="00BD779E"/>
    <w:rsid w:val="00BE0F2F"/>
    <w:rsid w:val="00BE1B9F"/>
    <w:rsid w:val="00BE32CA"/>
    <w:rsid w:val="00BF0CC0"/>
    <w:rsid w:val="00BF1E97"/>
    <w:rsid w:val="00BF5E54"/>
    <w:rsid w:val="00BF66CA"/>
    <w:rsid w:val="00BF7F28"/>
    <w:rsid w:val="00C0577B"/>
    <w:rsid w:val="00C16955"/>
    <w:rsid w:val="00C175D9"/>
    <w:rsid w:val="00C17B81"/>
    <w:rsid w:val="00C20C62"/>
    <w:rsid w:val="00C22222"/>
    <w:rsid w:val="00C27464"/>
    <w:rsid w:val="00C30B02"/>
    <w:rsid w:val="00C31082"/>
    <w:rsid w:val="00C35CD5"/>
    <w:rsid w:val="00C404D6"/>
    <w:rsid w:val="00C45E60"/>
    <w:rsid w:val="00C4738B"/>
    <w:rsid w:val="00C473B5"/>
    <w:rsid w:val="00C505A3"/>
    <w:rsid w:val="00C527C2"/>
    <w:rsid w:val="00C55B12"/>
    <w:rsid w:val="00C55C93"/>
    <w:rsid w:val="00C57A33"/>
    <w:rsid w:val="00C60184"/>
    <w:rsid w:val="00C61587"/>
    <w:rsid w:val="00C62492"/>
    <w:rsid w:val="00C67C4A"/>
    <w:rsid w:val="00C719E1"/>
    <w:rsid w:val="00C72A41"/>
    <w:rsid w:val="00C72D7E"/>
    <w:rsid w:val="00C76F22"/>
    <w:rsid w:val="00C77012"/>
    <w:rsid w:val="00C77FE0"/>
    <w:rsid w:val="00C810F7"/>
    <w:rsid w:val="00C85E62"/>
    <w:rsid w:val="00C860CE"/>
    <w:rsid w:val="00C86DE0"/>
    <w:rsid w:val="00C86F0D"/>
    <w:rsid w:val="00C870B1"/>
    <w:rsid w:val="00C96098"/>
    <w:rsid w:val="00CA064B"/>
    <w:rsid w:val="00CA2132"/>
    <w:rsid w:val="00CA5F5B"/>
    <w:rsid w:val="00CA7592"/>
    <w:rsid w:val="00CA76E8"/>
    <w:rsid w:val="00CA779E"/>
    <w:rsid w:val="00CB2CC4"/>
    <w:rsid w:val="00CC3E85"/>
    <w:rsid w:val="00CC47F9"/>
    <w:rsid w:val="00CD5D9E"/>
    <w:rsid w:val="00CE26AA"/>
    <w:rsid w:val="00CE66EB"/>
    <w:rsid w:val="00CE695A"/>
    <w:rsid w:val="00CF1EEB"/>
    <w:rsid w:val="00CF1FC3"/>
    <w:rsid w:val="00CF24B7"/>
    <w:rsid w:val="00CF4678"/>
    <w:rsid w:val="00CF4D7C"/>
    <w:rsid w:val="00CF5224"/>
    <w:rsid w:val="00CF5B7D"/>
    <w:rsid w:val="00CF7620"/>
    <w:rsid w:val="00D02774"/>
    <w:rsid w:val="00D060AD"/>
    <w:rsid w:val="00D06C93"/>
    <w:rsid w:val="00D07A62"/>
    <w:rsid w:val="00D07A78"/>
    <w:rsid w:val="00D12194"/>
    <w:rsid w:val="00D12B71"/>
    <w:rsid w:val="00D12D36"/>
    <w:rsid w:val="00D131F1"/>
    <w:rsid w:val="00D16804"/>
    <w:rsid w:val="00D20294"/>
    <w:rsid w:val="00D21454"/>
    <w:rsid w:val="00D214C5"/>
    <w:rsid w:val="00D224F7"/>
    <w:rsid w:val="00D2427E"/>
    <w:rsid w:val="00D25FD0"/>
    <w:rsid w:val="00D26917"/>
    <w:rsid w:val="00D26C5A"/>
    <w:rsid w:val="00D27D5B"/>
    <w:rsid w:val="00D27DFE"/>
    <w:rsid w:val="00D36362"/>
    <w:rsid w:val="00D4021A"/>
    <w:rsid w:val="00D438B3"/>
    <w:rsid w:val="00D533A7"/>
    <w:rsid w:val="00D54137"/>
    <w:rsid w:val="00D5443D"/>
    <w:rsid w:val="00D5656F"/>
    <w:rsid w:val="00D65476"/>
    <w:rsid w:val="00D7045A"/>
    <w:rsid w:val="00D72D7E"/>
    <w:rsid w:val="00D74116"/>
    <w:rsid w:val="00D74413"/>
    <w:rsid w:val="00D757E0"/>
    <w:rsid w:val="00D80291"/>
    <w:rsid w:val="00D81637"/>
    <w:rsid w:val="00D8316E"/>
    <w:rsid w:val="00D8465B"/>
    <w:rsid w:val="00D85B5E"/>
    <w:rsid w:val="00D90A71"/>
    <w:rsid w:val="00D92A7A"/>
    <w:rsid w:val="00D92DEE"/>
    <w:rsid w:val="00D94378"/>
    <w:rsid w:val="00D947D1"/>
    <w:rsid w:val="00D96FFD"/>
    <w:rsid w:val="00DA05F0"/>
    <w:rsid w:val="00DA5A84"/>
    <w:rsid w:val="00DA67B1"/>
    <w:rsid w:val="00DA6EF0"/>
    <w:rsid w:val="00DB68BA"/>
    <w:rsid w:val="00DB6AF8"/>
    <w:rsid w:val="00DB701C"/>
    <w:rsid w:val="00DC53C4"/>
    <w:rsid w:val="00DD0B80"/>
    <w:rsid w:val="00DD29D5"/>
    <w:rsid w:val="00DD42D9"/>
    <w:rsid w:val="00DD663E"/>
    <w:rsid w:val="00DD7192"/>
    <w:rsid w:val="00DD7201"/>
    <w:rsid w:val="00DE05B7"/>
    <w:rsid w:val="00DE177A"/>
    <w:rsid w:val="00DE2B04"/>
    <w:rsid w:val="00DE6D94"/>
    <w:rsid w:val="00DF436B"/>
    <w:rsid w:val="00DF749F"/>
    <w:rsid w:val="00DF7C35"/>
    <w:rsid w:val="00E014F2"/>
    <w:rsid w:val="00E049C5"/>
    <w:rsid w:val="00E0636C"/>
    <w:rsid w:val="00E06FB1"/>
    <w:rsid w:val="00E114DE"/>
    <w:rsid w:val="00E130F0"/>
    <w:rsid w:val="00E13D0C"/>
    <w:rsid w:val="00E1544D"/>
    <w:rsid w:val="00E166E0"/>
    <w:rsid w:val="00E212F5"/>
    <w:rsid w:val="00E220DC"/>
    <w:rsid w:val="00E22C83"/>
    <w:rsid w:val="00E22FD4"/>
    <w:rsid w:val="00E2477B"/>
    <w:rsid w:val="00E25985"/>
    <w:rsid w:val="00E26CCB"/>
    <w:rsid w:val="00E3101D"/>
    <w:rsid w:val="00E326B8"/>
    <w:rsid w:val="00E33FCA"/>
    <w:rsid w:val="00E349A6"/>
    <w:rsid w:val="00E362B4"/>
    <w:rsid w:val="00E379C8"/>
    <w:rsid w:val="00E42040"/>
    <w:rsid w:val="00E42096"/>
    <w:rsid w:val="00E422BA"/>
    <w:rsid w:val="00E44C88"/>
    <w:rsid w:val="00E4648F"/>
    <w:rsid w:val="00E519AB"/>
    <w:rsid w:val="00E52244"/>
    <w:rsid w:val="00E52476"/>
    <w:rsid w:val="00E56010"/>
    <w:rsid w:val="00E566ED"/>
    <w:rsid w:val="00E60645"/>
    <w:rsid w:val="00E6212D"/>
    <w:rsid w:val="00E63F8F"/>
    <w:rsid w:val="00E6478B"/>
    <w:rsid w:val="00E707E1"/>
    <w:rsid w:val="00E715D5"/>
    <w:rsid w:val="00E71977"/>
    <w:rsid w:val="00E733BE"/>
    <w:rsid w:val="00E73649"/>
    <w:rsid w:val="00E73889"/>
    <w:rsid w:val="00E73F36"/>
    <w:rsid w:val="00E75DC9"/>
    <w:rsid w:val="00E80161"/>
    <w:rsid w:val="00E819FC"/>
    <w:rsid w:val="00E82FE3"/>
    <w:rsid w:val="00E8522F"/>
    <w:rsid w:val="00E85555"/>
    <w:rsid w:val="00E90071"/>
    <w:rsid w:val="00E952E6"/>
    <w:rsid w:val="00E96AFD"/>
    <w:rsid w:val="00EA0274"/>
    <w:rsid w:val="00EA3C28"/>
    <w:rsid w:val="00EA3F2F"/>
    <w:rsid w:val="00EA4555"/>
    <w:rsid w:val="00EA4F13"/>
    <w:rsid w:val="00EA5083"/>
    <w:rsid w:val="00EA62B5"/>
    <w:rsid w:val="00EA650B"/>
    <w:rsid w:val="00EB4708"/>
    <w:rsid w:val="00EB5ECE"/>
    <w:rsid w:val="00EB6CFA"/>
    <w:rsid w:val="00EC2F47"/>
    <w:rsid w:val="00EC4469"/>
    <w:rsid w:val="00ED4E22"/>
    <w:rsid w:val="00ED767A"/>
    <w:rsid w:val="00ED7ED2"/>
    <w:rsid w:val="00EE249B"/>
    <w:rsid w:val="00EE345D"/>
    <w:rsid w:val="00EE3BFE"/>
    <w:rsid w:val="00EE536A"/>
    <w:rsid w:val="00EF4FDF"/>
    <w:rsid w:val="00F043A5"/>
    <w:rsid w:val="00F04BE5"/>
    <w:rsid w:val="00F10A82"/>
    <w:rsid w:val="00F112C9"/>
    <w:rsid w:val="00F11735"/>
    <w:rsid w:val="00F12D50"/>
    <w:rsid w:val="00F14353"/>
    <w:rsid w:val="00F176EC"/>
    <w:rsid w:val="00F23ADC"/>
    <w:rsid w:val="00F2555A"/>
    <w:rsid w:val="00F25E2C"/>
    <w:rsid w:val="00F26B87"/>
    <w:rsid w:val="00F32717"/>
    <w:rsid w:val="00F32F84"/>
    <w:rsid w:val="00F37493"/>
    <w:rsid w:val="00F4010F"/>
    <w:rsid w:val="00F41145"/>
    <w:rsid w:val="00F41D49"/>
    <w:rsid w:val="00F422D2"/>
    <w:rsid w:val="00F445AE"/>
    <w:rsid w:val="00F54C83"/>
    <w:rsid w:val="00F57AC6"/>
    <w:rsid w:val="00F6021E"/>
    <w:rsid w:val="00F60DED"/>
    <w:rsid w:val="00F64055"/>
    <w:rsid w:val="00F64C55"/>
    <w:rsid w:val="00F64FCB"/>
    <w:rsid w:val="00F670B2"/>
    <w:rsid w:val="00F75B80"/>
    <w:rsid w:val="00F809B7"/>
    <w:rsid w:val="00F81386"/>
    <w:rsid w:val="00F8233F"/>
    <w:rsid w:val="00F851DD"/>
    <w:rsid w:val="00F86DA1"/>
    <w:rsid w:val="00F87211"/>
    <w:rsid w:val="00F90680"/>
    <w:rsid w:val="00F92833"/>
    <w:rsid w:val="00F92D1C"/>
    <w:rsid w:val="00F97EF9"/>
    <w:rsid w:val="00FA218D"/>
    <w:rsid w:val="00FA4284"/>
    <w:rsid w:val="00FA7557"/>
    <w:rsid w:val="00FB0636"/>
    <w:rsid w:val="00FB0B84"/>
    <w:rsid w:val="00FB2087"/>
    <w:rsid w:val="00FB3333"/>
    <w:rsid w:val="00FC165F"/>
    <w:rsid w:val="00FC3A6E"/>
    <w:rsid w:val="00FD0A6C"/>
    <w:rsid w:val="00FD0DFD"/>
    <w:rsid w:val="00FD6A37"/>
    <w:rsid w:val="00FE32C2"/>
    <w:rsid w:val="00FE3473"/>
    <w:rsid w:val="00FF2A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2210"/>
  <w15:chartTrackingRefBased/>
  <w15:docId w15:val="{2CA46D89-5450-4FC0-96FA-A8DE550E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9FA"/>
  </w:style>
  <w:style w:type="paragraph" w:styleId="Heading1">
    <w:name w:val="heading 1"/>
    <w:basedOn w:val="Normal"/>
    <w:next w:val="Normal"/>
    <w:link w:val="Heading1Char"/>
    <w:uiPriority w:val="9"/>
    <w:qFormat/>
    <w:rsid w:val="00D438B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00B25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7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B2B"/>
    <w:rPr>
      <w:sz w:val="20"/>
      <w:szCs w:val="20"/>
    </w:rPr>
  </w:style>
  <w:style w:type="character" w:styleId="FootnoteReference">
    <w:name w:val="footnote reference"/>
    <w:basedOn w:val="DefaultParagraphFont"/>
    <w:uiPriority w:val="99"/>
    <w:semiHidden/>
    <w:unhideWhenUsed/>
    <w:rsid w:val="00837B2B"/>
    <w:rPr>
      <w:vertAlign w:val="superscript"/>
    </w:rPr>
  </w:style>
  <w:style w:type="character" w:styleId="CommentReference">
    <w:name w:val="annotation reference"/>
    <w:basedOn w:val="DefaultParagraphFont"/>
    <w:uiPriority w:val="99"/>
    <w:semiHidden/>
    <w:unhideWhenUsed/>
    <w:rsid w:val="00837B2B"/>
    <w:rPr>
      <w:sz w:val="16"/>
      <w:szCs w:val="16"/>
    </w:rPr>
  </w:style>
  <w:style w:type="paragraph" w:styleId="CommentText">
    <w:name w:val="annotation text"/>
    <w:basedOn w:val="Normal"/>
    <w:link w:val="CommentTextChar"/>
    <w:uiPriority w:val="99"/>
    <w:unhideWhenUsed/>
    <w:rsid w:val="00837B2B"/>
    <w:pPr>
      <w:spacing w:line="240" w:lineRule="auto"/>
    </w:pPr>
    <w:rPr>
      <w:sz w:val="20"/>
      <w:szCs w:val="20"/>
    </w:rPr>
  </w:style>
  <w:style w:type="character" w:customStyle="1" w:styleId="CommentTextChar">
    <w:name w:val="Comment Text Char"/>
    <w:basedOn w:val="DefaultParagraphFont"/>
    <w:link w:val="CommentText"/>
    <w:uiPriority w:val="99"/>
    <w:rsid w:val="00837B2B"/>
    <w:rPr>
      <w:sz w:val="20"/>
      <w:szCs w:val="20"/>
    </w:rPr>
  </w:style>
  <w:style w:type="paragraph" w:styleId="ListParagraph">
    <w:name w:val="List Paragraph"/>
    <w:basedOn w:val="Normal"/>
    <w:uiPriority w:val="34"/>
    <w:qFormat/>
    <w:rsid w:val="00C175D9"/>
    <w:pPr>
      <w:ind w:left="720"/>
      <w:contextualSpacing/>
    </w:pPr>
  </w:style>
  <w:style w:type="paragraph" w:styleId="Header">
    <w:name w:val="header"/>
    <w:basedOn w:val="Normal"/>
    <w:link w:val="HeaderChar"/>
    <w:uiPriority w:val="99"/>
    <w:unhideWhenUsed/>
    <w:rsid w:val="00D02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774"/>
  </w:style>
  <w:style w:type="paragraph" w:styleId="Footer">
    <w:name w:val="footer"/>
    <w:basedOn w:val="Normal"/>
    <w:link w:val="FooterChar"/>
    <w:uiPriority w:val="99"/>
    <w:unhideWhenUsed/>
    <w:rsid w:val="00D02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774"/>
  </w:style>
  <w:style w:type="character" w:styleId="Hyperlink">
    <w:name w:val="Hyperlink"/>
    <w:basedOn w:val="DefaultParagraphFont"/>
    <w:uiPriority w:val="99"/>
    <w:unhideWhenUsed/>
    <w:rsid w:val="00462E23"/>
    <w:rPr>
      <w:color w:val="0563C1" w:themeColor="hyperlink"/>
      <w:u w:val="single"/>
    </w:rPr>
  </w:style>
  <w:style w:type="character" w:styleId="UnresolvedMention">
    <w:name w:val="Unresolved Mention"/>
    <w:basedOn w:val="DefaultParagraphFont"/>
    <w:uiPriority w:val="99"/>
    <w:semiHidden/>
    <w:unhideWhenUsed/>
    <w:rsid w:val="00462E2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166E0"/>
    <w:rPr>
      <w:b/>
      <w:bCs/>
    </w:rPr>
  </w:style>
  <w:style w:type="character" w:customStyle="1" w:styleId="CommentSubjectChar">
    <w:name w:val="Comment Subject Char"/>
    <w:basedOn w:val="CommentTextChar"/>
    <w:link w:val="CommentSubject"/>
    <w:uiPriority w:val="99"/>
    <w:semiHidden/>
    <w:rsid w:val="00E166E0"/>
    <w:rPr>
      <w:b/>
      <w:bCs/>
      <w:sz w:val="20"/>
      <w:szCs w:val="20"/>
    </w:rPr>
  </w:style>
  <w:style w:type="paragraph" w:styleId="BalloonText">
    <w:name w:val="Balloon Text"/>
    <w:basedOn w:val="Normal"/>
    <w:link w:val="BalloonTextChar"/>
    <w:uiPriority w:val="99"/>
    <w:semiHidden/>
    <w:unhideWhenUsed/>
    <w:rsid w:val="001B0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89C"/>
    <w:rPr>
      <w:rFonts w:ascii="Segoe UI" w:hAnsi="Segoe UI" w:cs="Segoe UI"/>
      <w:sz w:val="18"/>
      <w:szCs w:val="18"/>
    </w:rPr>
  </w:style>
  <w:style w:type="character" w:customStyle="1" w:styleId="Heading1Char">
    <w:name w:val="Heading 1 Char"/>
    <w:basedOn w:val="DefaultParagraphFont"/>
    <w:link w:val="Heading1"/>
    <w:uiPriority w:val="9"/>
    <w:rsid w:val="00D438B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D438B3"/>
  </w:style>
  <w:style w:type="paragraph" w:styleId="Revision">
    <w:name w:val="Revision"/>
    <w:hidden/>
    <w:uiPriority w:val="99"/>
    <w:semiHidden/>
    <w:rsid w:val="006767C0"/>
    <w:pPr>
      <w:spacing w:after="0" w:line="240" w:lineRule="auto"/>
    </w:pPr>
  </w:style>
  <w:style w:type="character" w:customStyle="1" w:styleId="Heading3Char">
    <w:name w:val="Heading 3 Char"/>
    <w:basedOn w:val="DefaultParagraphFont"/>
    <w:link w:val="Heading3"/>
    <w:uiPriority w:val="9"/>
    <w:semiHidden/>
    <w:rsid w:val="000B250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302">
      <w:bodyDiv w:val="1"/>
      <w:marLeft w:val="0"/>
      <w:marRight w:val="0"/>
      <w:marTop w:val="0"/>
      <w:marBottom w:val="0"/>
      <w:divBdr>
        <w:top w:val="none" w:sz="0" w:space="0" w:color="auto"/>
        <w:left w:val="none" w:sz="0" w:space="0" w:color="auto"/>
        <w:bottom w:val="none" w:sz="0" w:space="0" w:color="auto"/>
        <w:right w:val="none" w:sz="0" w:space="0" w:color="auto"/>
      </w:divBdr>
    </w:div>
    <w:div w:id="51928901">
      <w:bodyDiv w:val="1"/>
      <w:marLeft w:val="0"/>
      <w:marRight w:val="0"/>
      <w:marTop w:val="0"/>
      <w:marBottom w:val="0"/>
      <w:divBdr>
        <w:top w:val="none" w:sz="0" w:space="0" w:color="auto"/>
        <w:left w:val="none" w:sz="0" w:space="0" w:color="auto"/>
        <w:bottom w:val="none" w:sz="0" w:space="0" w:color="auto"/>
        <w:right w:val="none" w:sz="0" w:space="0" w:color="auto"/>
      </w:divBdr>
    </w:div>
    <w:div w:id="79789347">
      <w:bodyDiv w:val="1"/>
      <w:marLeft w:val="0"/>
      <w:marRight w:val="0"/>
      <w:marTop w:val="0"/>
      <w:marBottom w:val="0"/>
      <w:divBdr>
        <w:top w:val="none" w:sz="0" w:space="0" w:color="auto"/>
        <w:left w:val="none" w:sz="0" w:space="0" w:color="auto"/>
        <w:bottom w:val="none" w:sz="0" w:space="0" w:color="auto"/>
        <w:right w:val="none" w:sz="0" w:space="0" w:color="auto"/>
      </w:divBdr>
    </w:div>
    <w:div w:id="98257975">
      <w:bodyDiv w:val="1"/>
      <w:marLeft w:val="0"/>
      <w:marRight w:val="0"/>
      <w:marTop w:val="0"/>
      <w:marBottom w:val="0"/>
      <w:divBdr>
        <w:top w:val="none" w:sz="0" w:space="0" w:color="auto"/>
        <w:left w:val="none" w:sz="0" w:space="0" w:color="auto"/>
        <w:bottom w:val="none" w:sz="0" w:space="0" w:color="auto"/>
        <w:right w:val="none" w:sz="0" w:space="0" w:color="auto"/>
      </w:divBdr>
    </w:div>
    <w:div w:id="102238640">
      <w:bodyDiv w:val="1"/>
      <w:marLeft w:val="0"/>
      <w:marRight w:val="0"/>
      <w:marTop w:val="0"/>
      <w:marBottom w:val="0"/>
      <w:divBdr>
        <w:top w:val="none" w:sz="0" w:space="0" w:color="auto"/>
        <w:left w:val="none" w:sz="0" w:space="0" w:color="auto"/>
        <w:bottom w:val="none" w:sz="0" w:space="0" w:color="auto"/>
        <w:right w:val="none" w:sz="0" w:space="0" w:color="auto"/>
      </w:divBdr>
    </w:div>
    <w:div w:id="116029049">
      <w:bodyDiv w:val="1"/>
      <w:marLeft w:val="0"/>
      <w:marRight w:val="0"/>
      <w:marTop w:val="0"/>
      <w:marBottom w:val="0"/>
      <w:divBdr>
        <w:top w:val="none" w:sz="0" w:space="0" w:color="auto"/>
        <w:left w:val="none" w:sz="0" w:space="0" w:color="auto"/>
        <w:bottom w:val="none" w:sz="0" w:space="0" w:color="auto"/>
        <w:right w:val="none" w:sz="0" w:space="0" w:color="auto"/>
      </w:divBdr>
    </w:div>
    <w:div w:id="149520342">
      <w:bodyDiv w:val="1"/>
      <w:marLeft w:val="0"/>
      <w:marRight w:val="0"/>
      <w:marTop w:val="0"/>
      <w:marBottom w:val="0"/>
      <w:divBdr>
        <w:top w:val="none" w:sz="0" w:space="0" w:color="auto"/>
        <w:left w:val="none" w:sz="0" w:space="0" w:color="auto"/>
        <w:bottom w:val="none" w:sz="0" w:space="0" w:color="auto"/>
        <w:right w:val="none" w:sz="0" w:space="0" w:color="auto"/>
      </w:divBdr>
    </w:div>
    <w:div w:id="170992647">
      <w:bodyDiv w:val="1"/>
      <w:marLeft w:val="0"/>
      <w:marRight w:val="0"/>
      <w:marTop w:val="0"/>
      <w:marBottom w:val="0"/>
      <w:divBdr>
        <w:top w:val="none" w:sz="0" w:space="0" w:color="auto"/>
        <w:left w:val="none" w:sz="0" w:space="0" w:color="auto"/>
        <w:bottom w:val="none" w:sz="0" w:space="0" w:color="auto"/>
        <w:right w:val="none" w:sz="0" w:space="0" w:color="auto"/>
      </w:divBdr>
    </w:div>
    <w:div w:id="172690569">
      <w:bodyDiv w:val="1"/>
      <w:marLeft w:val="0"/>
      <w:marRight w:val="0"/>
      <w:marTop w:val="0"/>
      <w:marBottom w:val="0"/>
      <w:divBdr>
        <w:top w:val="none" w:sz="0" w:space="0" w:color="auto"/>
        <w:left w:val="none" w:sz="0" w:space="0" w:color="auto"/>
        <w:bottom w:val="none" w:sz="0" w:space="0" w:color="auto"/>
        <w:right w:val="none" w:sz="0" w:space="0" w:color="auto"/>
      </w:divBdr>
    </w:div>
    <w:div w:id="181866893">
      <w:bodyDiv w:val="1"/>
      <w:marLeft w:val="0"/>
      <w:marRight w:val="0"/>
      <w:marTop w:val="0"/>
      <w:marBottom w:val="0"/>
      <w:divBdr>
        <w:top w:val="none" w:sz="0" w:space="0" w:color="auto"/>
        <w:left w:val="none" w:sz="0" w:space="0" w:color="auto"/>
        <w:bottom w:val="none" w:sz="0" w:space="0" w:color="auto"/>
        <w:right w:val="none" w:sz="0" w:space="0" w:color="auto"/>
      </w:divBdr>
    </w:div>
    <w:div w:id="184828617">
      <w:bodyDiv w:val="1"/>
      <w:marLeft w:val="0"/>
      <w:marRight w:val="0"/>
      <w:marTop w:val="0"/>
      <w:marBottom w:val="0"/>
      <w:divBdr>
        <w:top w:val="none" w:sz="0" w:space="0" w:color="auto"/>
        <w:left w:val="none" w:sz="0" w:space="0" w:color="auto"/>
        <w:bottom w:val="none" w:sz="0" w:space="0" w:color="auto"/>
        <w:right w:val="none" w:sz="0" w:space="0" w:color="auto"/>
      </w:divBdr>
    </w:div>
    <w:div w:id="230119245">
      <w:bodyDiv w:val="1"/>
      <w:marLeft w:val="0"/>
      <w:marRight w:val="0"/>
      <w:marTop w:val="0"/>
      <w:marBottom w:val="0"/>
      <w:divBdr>
        <w:top w:val="none" w:sz="0" w:space="0" w:color="auto"/>
        <w:left w:val="none" w:sz="0" w:space="0" w:color="auto"/>
        <w:bottom w:val="none" w:sz="0" w:space="0" w:color="auto"/>
        <w:right w:val="none" w:sz="0" w:space="0" w:color="auto"/>
      </w:divBdr>
    </w:div>
    <w:div w:id="285815291">
      <w:bodyDiv w:val="1"/>
      <w:marLeft w:val="0"/>
      <w:marRight w:val="0"/>
      <w:marTop w:val="0"/>
      <w:marBottom w:val="0"/>
      <w:divBdr>
        <w:top w:val="none" w:sz="0" w:space="0" w:color="auto"/>
        <w:left w:val="none" w:sz="0" w:space="0" w:color="auto"/>
        <w:bottom w:val="none" w:sz="0" w:space="0" w:color="auto"/>
        <w:right w:val="none" w:sz="0" w:space="0" w:color="auto"/>
      </w:divBdr>
    </w:div>
    <w:div w:id="291984429">
      <w:bodyDiv w:val="1"/>
      <w:marLeft w:val="0"/>
      <w:marRight w:val="0"/>
      <w:marTop w:val="0"/>
      <w:marBottom w:val="0"/>
      <w:divBdr>
        <w:top w:val="none" w:sz="0" w:space="0" w:color="auto"/>
        <w:left w:val="none" w:sz="0" w:space="0" w:color="auto"/>
        <w:bottom w:val="none" w:sz="0" w:space="0" w:color="auto"/>
        <w:right w:val="none" w:sz="0" w:space="0" w:color="auto"/>
      </w:divBdr>
    </w:div>
    <w:div w:id="292905060">
      <w:bodyDiv w:val="1"/>
      <w:marLeft w:val="0"/>
      <w:marRight w:val="0"/>
      <w:marTop w:val="0"/>
      <w:marBottom w:val="0"/>
      <w:divBdr>
        <w:top w:val="none" w:sz="0" w:space="0" w:color="auto"/>
        <w:left w:val="none" w:sz="0" w:space="0" w:color="auto"/>
        <w:bottom w:val="none" w:sz="0" w:space="0" w:color="auto"/>
        <w:right w:val="none" w:sz="0" w:space="0" w:color="auto"/>
      </w:divBdr>
    </w:div>
    <w:div w:id="326711430">
      <w:bodyDiv w:val="1"/>
      <w:marLeft w:val="0"/>
      <w:marRight w:val="0"/>
      <w:marTop w:val="0"/>
      <w:marBottom w:val="0"/>
      <w:divBdr>
        <w:top w:val="none" w:sz="0" w:space="0" w:color="auto"/>
        <w:left w:val="none" w:sz="0" w:space="0" w:color="auto"/>
        <w:bottom w:val="none" w:sz="0" w:space="0" w:color="auto"/>
        <w:right w:val="none" w:sz="0" w:space="0" w:color="auto"/>
      </w:divBdr>
    </w:div>
    <w:div w:id="344527283">
      <w:bodyDiv w:val="1"/>
      <w:marLeft w:val="0"/>
      <w:marRight w:val="0"/>
      <w:marTop w:val="0"/>
      <w:marBottom w:val="0"/>
      <w:divBdr>
        <w:top w:val="none" w:sz="0" w:space="0" w:color="auto"/>
        <w:left w:val="none" w:sz="0" w:space="0" w:color="auto"/>
        <w:bottom w:val="none" w:sz="0" w:space="0" w:color="auto"/>
        <w:right w:val="none" w:sz="0" w:space="0" w:color="auto"/>
      </w:divBdr>
    </w:div>
    <w:div w:id="366297043">
      <w:bodyDiv w:val="1"/>
      <w:marLeft w:val="0"/>
      <w:marRight w:val="0"/>
      <w:marTop w:val="0"/>
      <w:marBottom w:val="0"/>
      <w:divBdr>
        <w:top w:val="none" w:sz="0" w:space="0" w:color="auto"/>
        <w:left w:val="none" w:sz="0" w:space="0" w:color="auto"/>
        <w:bottom w:val="none" w:sz="0" w:space="0" w:color="auto"/>
        <w:right w:val="none" w:sz="0" w:space="0" w:color="auto"/>
      </w:divBdr>
    </w:div>
    <w:div w:id="369186974">
      <w:bodyDiv w:val="1"/>
      <w:marLeft w:val="0"/>
      <w:marRight w:val="0"/>
      <w:marTop w:val="0"/>
      <w:marBottom w:val="0"/>
      <w:divBdr>
        <w:top w:val="none" w:sz="0" w:space="0" w:color="auto"/>
        <w:left w:val="none" w:sz="0" w:space="0" w:color="auto"/>
        <w:bottom w:val="none" w:sz="0" w:space="0" w:color="auto"/>
        <w:right w:val="none" w:sz="0" w:space="0" w:color="auto"/>
      </w:divBdr>
    </w:div>
    <w:div w:id="381909082">
      <w:bodyDiv w:val="1"/>
      <w:marLeft w:val="0"/>
      <w:marRight w:val="0"/>
      <w:marTop w:val="0"/>
      <w:marBottom w:val="0"/>
      <w:divBdr>
        <w:top w:val="none" w:sz="0" w:space="0" w:color="auto"/>
        <w:left w:val="none" w:sz="0" w:space="0" w:color="auto"/>
        <w:bottom w:val="none" w:sz="0" w:space="0" w:color="auto"/>
        <w:right w:val="none" w:sz="0" w:space="0" w:color="auto"/>
      </w:divBdr>
    </w:div>
    <w:div w:id="385030003">
      <w:bodyDiv w:val="1"/>
      <w:marLeft w:val="0"/>
      <w:marRight w:val="0"/>
      <w:marTop w:val="0"/>
      <w:marBottom w:val="0"/>
      <w:divBdr>
        <w:top w:val="none" w:sz="0" w:space="0" w:color="auto"/>
        <w:left w:val="none" w:sz="0" w:space="0" w:color="auto"/>
        <w:bottom w:val="none" w:sz="0" w:space="0" w:color="auto"/>
        <w:right w:val="none" w:sz="0" w:space="0" w:color="auto"/>
      </w:divBdr>
    </w:div>
    <w:div w:id="402412519">
      <w:bodyDiv w:val="1"/>
      <w:marLeft w:val="0"/>
      <w:marRight w:val="0"/>
      <w:marTop w:val="0"/>
      <w:marBottom w:val="0"/>
      <w:divBdr>
        <w:top w:val="none" w:sz="0" w:space="0" w:color="auto"/>
        <w:left w:val="none" w:sz="0" w:space="0" w:color="auto"/>
        <w:bottom w:val="none" w:sz="0" w:space="0" w:color="auto"/>
        <w:right w:val="none" w:sz="0" w:space="0" w:color="auto"/>
      </w:divBdr>
    </w:div>
    <w:div w:id="407654388">
      <w:bodyDiv w:val="1"/>
      <w:marLeft w:val="0"/>
      <w:marRight w:val="0"/>
      <w:marTop w:val="0"/>
      <w:marBottom w:val="0"/>
      <w:divBdr>
        <w:top w:val="none" w:sz="0" w:space="0" w:color="auto"/>
        <w:left w:val="none" w:sz="0" w:space="0" w:color="auto"/>
        <w:bottom w:val="none" w:sz="0" w:space="0" w:color="auto"/>
        <w:right w:val="none" w:sz="0" w:space="0" w:color="auto"/>
      </w:divBdr>
    </w:div>
    <w:div w:id="426076069">
      <w:bodyDiv w:val="1"/>
      <w:marLeft w:val="0"/>
      <w:marRight w:val="0"/>
      <w:marTop w:val="0"/>
      <w:marBottom w:val="0"/>
      <w:divBdr>
        <w:top w:val="none" w:sz="0" w:space="0" w:color="auto"/>
        <w:left w:val="none" w:sz="0" w:space="0" w:color="auto"/>
        <w:bottom w:val="none" w:sz="0" w:space="0" w:color="auto"/>
        <w:right w:val="none" w:sz="0" w:space="0" w:color="auto"/>
      </w:divBdr>
    </w:div>
    <w:div w:id="434207902">
      <w:bodyDiv w:val="1"/>
      <w:marLeft w:val="0"/>
      <w:marRight w:val="0"/>
      <w:marTop w:val="0"/>
      <w:marBottom w:val="0"/>
      <w:divBdr>
        <w:top w:val="none" w:sz="0" w:space="0" w:color="auto"/>
        <w:left w:val="none" w:sz="0" w:space="0" w:color="auto"/>
        <w:bottom w:val="none" w:sz="0" w:space="0" w:color="auto"/>
        <w:right w:val="none" w:sz="0" w:space="0" w:color="auto"/>
      </w:divBdr>
    </w:div>
    <w:div w:id="466970502">
      <w:bodyDiv w:val="1"/>
      <w:marLeft w:val="0"/>
      <w:marRight w:val="0"/>
      <w:marTop w:val="0"/>
      <w:marBottom w:val="0"/>
      <w:divBdr>
        <w:top w:val="none" w:sz="0" w:space="0" w:color="auto"/>
        <w:left w:val="none" w:sz="0" w:space="0" w:color="auto"/>
        <w:bottom w:val="none" w:sz="0" w:space="0" w:color="auto"/>
        <w:right w:val="none" w:sz="0" w:space="0" w:color="auto"/>
      </w:divBdr>
    </w:div>
    <w:div w:id="515458084">
      <w:bodyDiv w:val="1"/>
      <w:marLeft w:val="0"/>
      <w:marRight w:val="0"/>
      <w:marTop w:val="0"/>
      <w:marBottom w:val="0"/>
      <w:divBdr>
        <w:top w:val="none" w:sz="0" w:space="0" w:color="auto"/>
        <w:left w:val="none" w:sz="0" w:space="0" w:color="auto"/>
        <w:bottom w:val="none" w:sz="0" w:space="0" w:color="auto"/>
        <w:right w:val="none" w:sz="0" w:space="0" w:color="auto"/>
      </w:divBdr>
    </w:div>
    <w:div w:id="521017709">
      <w:bodyDiv w:val="1"/>
      <w:marLeft w:val="0"/>
      <w:marRight w:val="0"/>
      <w:marTop w:val="0"/>
      <w:marBottom w:val="0"/>
      <w:divBdr>
        <w:top w:val="none" w:sz="0" w:space="0" w:color="auto"/>
        <w:left w:val="none" w:sz="0" w:space="0" w:color="auto"/>
        <w:bottom w:val="none" w:sz="0" w:space="0" w:color="auto"/>
        <w:right w:val="none" w:sz="0" w:space="0" w:color="auto"/>
      </w:divBdr>
    </w:div>
    <w:div w:id="545333547">
      <w:bodyDiv w:val="1"/>
      <w:marLeft w:val="0"/>
      <w:marRight w:val="0"/>
      <w:marTop w:val="0"/>
      <w:marBottom w:val="0"/>
      <w:divBdr>
        <w:top w:val="none" w:sz="0" w:space="0" w:color="auto"/>
        <w:left w:val="none" w:sz="0" w:space="0" w:color="auto"/>
        <w:bottom w:val="none" w:sz="0" w:space="0" w:color="auto"/>
        <w:right w:val="none" w:sz="0" w:space="0" w:color="auto"/>
      </w:divBdr>
    </w:div>
    <w:div w:id="570386083">
      <w:bodyDiv w:val="1"/>
      <w:marLeft w:val="0"/>
      <w:marRight w:val="0"/>
      <w:marTop w:val="0"/>
      <w:marBottom w:val="0"/>
      <w:divBdr>
        <w:top w:val="none" w:sz="0" w:space="0" w:color="auto"/>
        <w:left w:val="none" w:sz="0" w:space="0" w:color="auto"/>
        <w:bottom w:val="none" w:sz="0" w:space="0" w:color="auto"/>
        <w:right w:val="none" w:sz="0" w:space="0" w:color="auto"/>
      </w:divBdr>
    </w:div>
    <w:div w:id="588851277">
      <w:bodyDiv w:val="1"/>
      <w:marLeft w:val="0"/>
      <w:marRight w:val="0"/>
      <w:marTop w:val="0"/>
      <w:marBottom w:val="0"/>
      <w:divBdr>
        <w:top w:val="none" w:sz="0" w:space="0" w:color="auto"/>
        <w:left w:val="none" w:sz="0" w:space="0" w:color="auto"/>
        <w:bottom w:val="none" w:sz="0" w:space="0" w:color="auto"/>
        <w:right w:val="none" w:sz="0" w:space="0" w:color="auto"/>
      </w:divBdr>
    </w:div>
    <w:div w:id="601496215">
      <w:bodyDiv w:val="1"/>
      <w:marLeft w:val="0"/>
      <w:marRight w:val="0"/>
      <w:marTop w:val="0"/>
      <w:marBottom w:val="0"/>
      <w:divBdr>
        <w:top w:val="none" w:sz="0" w:space="0" w:color="auto"/>
        <w:left w:val="none" w:sz="0" w:space="0" w:color="auto"/>
        <w:bottom w:val="none" w:sz="0" w:space="0" w:color="auto"/>
        <w:right w:val="none" w:sz="0" w:space="0" w:color="auto"/>
      </w:divBdr>
    </w:div>
    <w:div w:id="604506609">
      <w:bodyDiv w:val="1"/>
      <w:marLeft w:val="0"/>
      <w:marRight w:val="0"/>
      <w:marTop w:val="0"/>
      <w:marBottom w:val="0"/>
      <w:divBdr>
        <w:top w:val="none" w:sz="0" w:space="0" w:color="auto"/>
        <w:left w:val="none" w:sz="0" w:space="0" w:color="auto"/>
        <w:bottom w:val="none" w:sz="0" w:space="0" w:color="auto"/>
        <w:right w:val="none" w:sz="0" w:space="0" w:color="auto"/>
      </w:divBdr>
    </w:div>
    <w:div w:id="758789558">
      <w:bodyDiv w:val="1"/>
      <w:marLeft w:val="0"/>
      <w:marRight w:val="0"/>
      <w:marTop w:val="0"/>
      <w:marBottom w:val="0"/>
      <w:divBdr>
        <w:top w:val="none" w:sz="0" w:space="0" w:color="auto"/>
        <w:left w:val="none" w:sz="0" w:space="0" w:color="auto"/>
        <w:bottom w:val="none" w:sz="0" w:space="0" w:color="auto"/>
        <w:right w:val="none" w:sz="0" w:space="0" w:color="auto"/>
      </w:divBdr>
    </w:div>
    <w:div w:id="775322165">
      <w:bodyDiv w:val="1"/>
      <w:marLeft w:val="0"/>
      <w:marRight w:val="0"/>
      <w:marTop w:val="0"/>
      <w:marBottom w:val="0"/>
      <w:divBdr>
        <w:top w:val="none" w:sz="0" w:space="0" w:color="auto"/>
        <w:left w:val="none" w:sz="0" w:space="0" w:color="auto"/>
        <w:bottom w:val="none" w:sz="0" w:space="0" w:color="auto"/>
        <w:right w:val="none" w:sz="0" w:space="0" w:color="auto"/>
      </w:divBdr>
    </w:div>
    <w:div w:id="780303637">
      <w:bodyDiv w:val="1"/>
      <w:marLeft w:val="0"/>
      <w:marRight w:val="0"/>
      <w:marTop w:val="0"/>
      <w:marBottom w:val="0"/>
      <w:divBdr>
        <w:top w:val="none" w:sz="0" w:space="0" w:color="auto"/>
        <w:left w:val="none" w:sz="0" w:space="0" w:color="auto"/>
        <w:bottom w:val="none" w:sz="0" w:space="0" w:color="auto"/>
        <w:right w:val="none" w:sz="0" w:space="0" w:color="auto"/>
      </w:divBdr>
    </w:div>
    <w:div w:id="785924574">
      <w:bodyDiv w:val="1"/>
      <w:marLeft w:val="0"/>
      <w:marRight w:val="0"/>
      <w:marTop w:val="0"/>
      <w:marBottom w:val="0"/>
      <w:divBdr>
        <w:top w:val="none" w:sz="0" w:space="0" w:color="auto"/>
        <w:left w:val="none" w:sz="0" w:space="0" w:color="auto"/>
        <w:bottom w:val="none" w:sz="0" w:space="0" w:color="auto"/>
        <w:right w:val="none" w:sz="0" w:space="0" w:color="auto"/>
      </w:divBdr>
    </w:div>
    <w:div w:id="788275982">
      <w:bodyDiv w:val="1"/>
      <w:marLeft w:val="0"/>
      <w:marRight w:val="0"/>
      <w:marTop w:val="0"/>
      <w:marBottom w:val="0"/>
      <w:divBdr>
        <w:top w:val="none" w:sz="0" w:space="0" w:color="auto"/>
        <w:left w:val="none" w:sz="0" w:space="0" w:color="auto"/>
        <w:bottom w:val="none" w:sz="0" w:space="0" w:color="auto"/>
        <w:right w:val="none" w:sz="0" w:space="0" w:color="auto"/>
      </w:divBdr>
    </w:div>
    <w:div w:id="806320856">
      <w:bodyDiv w:val="1"/>
      <w:marLeft w:val="0"/>
      <w:marRight w:val="0"/>
      <w:marTop w:val="0"/>
      <w:marBottom w:val="0"/>
      <w:divBdr>
        <w:top w:val="none" w:sz="0" w:space="0" w:color="auto"/>
        <w:left w:val="none" w:sz="0" w:space="0" w:color="auto"/>
        <w:bottom w:val="none" w:sz="0" w:space="0" w:color="auto"/>
        <w:right w:val="none" w:sz="0" w:space="0" w:color="auto"/>
      </w:divBdr>
    </w:div>
    <w:div w:id="819420945">
      <w:bodyDiv w:val="1"/>
      <w:marLeft w:val="0"/>
      <w:marRight w:val="0"/>
      <w:marTop w:val="0"/>
      <w:marBottom w:val="0"/>
      <w:divBdr>
        <w:top w:val="none" w:sz="0" w:space="0" w:color="auto"/>
        <w:left w:val="none" w:sz="0" w:space="0" w:color="auto"/>
        <w:bottom w:val="none" w:sz="0" w:space="0" w:color="auto"/>
        <w:right w:val="none" w:sz="0" w:space="0" w:color="auto"/>
      </w:divBdr>
    </w:div>
    <w:div w:id="828443708">
      <w:bodyDiv w:val="1"/>
      <w:marLeft w:val="0"/>
      <w:marRight w:val="0"/>
      <w:marTop w:val="0"/>
      <w:marBottom w:val="0"/>
      <w:divBdr>
        <w:top w:val="none" w:sz="0" w:space="0" w:color="auto"/>
        <w:left w:val="none" w:sz="0" w:space="0" w:color="auto"/>
        <w:bottom w:val="none" w:sz="0" w:space="0" w:color="auto"/>
        <w:right w:val="none" w:sz="0" w:space="0" w:color="auto"/>
      </w:divBdr>
    </w:div>
    <w:div w:id="835804603">
      <w:bodyDiv w:val="1"/>
      <w:marLeft w:val="0"/>
      <w:marRight w:val="0"/>
      <w:marTop w:val="0"/>
      <w:marBottom w:val="0"/>
      <w:divBdr>
        <w:top w:val="none" w:sz="0" w:space="0" w:color="auto"/>
        <w:left w:val="none" w:sz="0" w:space="0" w:color="auto"/>
        <w:bottom w:val="none" w:sz="0" w:space="0" w:color="auto"/>
        <w:right w:val="none" w:sz="0" w:space="0" w:color="auto"/>
      </w:divBdr>
    </w:div>
    <w:div w:id="896628997">
      <w:bodyDiv w:val="1"/>
      <w:marLeft w:val="0"/>
      <w:marRight w:val="0"/>
      <w:marTop w:val="0"/>
      <w:marBottom w:val="0"/>
      <w:divBdr>
        <w:top w:val="none" w:sz="0" w:space="0" w:color="auto"/>
        <w:left w:val="none" w:sz="0" w:space="0" w:color="auto"/>
        <w:bottom w:val="none" w:sz="0" w:space="0" w:color="auto"/>
        <w:right w:val="none" w:sz="0" w:space="0" w:color="auto"/>
      </w:divBdr>
    </w:div>
    <w:div w:id="903756286">
      <w:bodyDiv w:val="1"/>
      <w:marLeft w:val="0"/>
      <w:marRight w:val="0"/>
      <w:marTop w:val="0"/>
      <w:marBottom w:val="0"/>
      <w:divBdr>
        <w:top w:val="none" w:sz="0" w:space="0" w:color="auto"/>
        <w:left w:val="none" w:sz="0" w:space="0" w:color="auto"/>
        <w:bottom w:val="none" w:sz="0" w:space="0" w:color="auto"/>
        <w:right w:val="none" w:sz="0" w:space="0" w:color="auto"/>
      </w:divBdr>
    </w:div>
    <w:div w:id="949430300">
      <w:bodyDiv w:val="1"/>
      <w:marLeft w:val="0"/>
      <w:marRight w:val="0"/>
      <w:marTop w:val="0"/>
      <w:marBottom w:val="0"/>
      <w:divBdr>
        <w:top w:val="none" w:sz="0" w:space="0" w:color="auto"/>
        <w:left w:val="none" w:sz="0" w:space="0" w:color="auto"/>
        <w:bottom w:val="none" w:sz="0" w:space="0" w:color="auto"/>
        <w:right w:val="none" w:sz="0" w:space="0" w:color="auto"/>
      </w:divBdr>
    </w:div>
    <w:div w:id="969475048">
      <w:bodyDiv w:val="1"/>
      <w:marLeft w:val="0"/>
      <w:marRight w:val="0"/>
      <w:marTop w:val="0"/>
      <w:marBottom w:val="0"/>
      <w:divBdr>
        <w:top w:val="none" w:sz="0" w:space="0" w:color="auto"/>
        <w:left w:val="none" w:sz="0" w:space="0" w:color="auto"/>
        <w:bottom w:val="none" w:sz="0" w:space="0" w:color="auto"/>
        <w:right w:val="none" w:sz="0" w:space="0" w:color="auto"/>
      </w:divBdr>
    </w:div>
    <w:div w:id="995230509">
      <w:bodyDiv w:val="1"/>
      <w:marLeft w:val="0"/>
      <w:marRight w:val="0"/>
      <w:marTop w:val="0"/>
      <w:marBottom w:val="0"/>
      <w:divBdr>
        <w:top w:val="none" w:sz="0" w:space="0" w:color="auto"/>
        <w:left w:val="none" w:sz="0" w:space="0" w:color="auto"/>
        <w:bottom w:val="none" w:sz="0" w:space="0" w:color="auto"/>
        <w:right w:val="none" w:sz="0" w:space="0" w:color="auto"/>
      </w:divBdr>
    </w:div>
    <w:div w:id="1064061898">
      <w:bodyDiv w:val="1"/>
      <w:marLeft w:val="0"/>
      <w:marRight w:val="0"/>
      <w:marTop w:val="0"/>
      <w:marBottom w:val="0"/>
      <w:divBdr>
        <w:top w:val="none" w:sz="0" w:space="0" w:color="auto"/>
        <w:left w:val="none" w:sz="0" w:space="0" w:color="auto"/>
        <w:bottom w:val="none" w:sz="0" w:space="0" w:color="auto"/>
        <w:right w:val="none" w:sz="0" w:space="0" w:color="auto"/>
      </w:divBdr>
    </w:div>
    <w:div w:id="1068580182">
      <w:bodyDiv w:val="1"/>
      <w:marLeft w:val="0"/>
      <w:marRight w:val="0"/>
      <w:marTop w:val="0"/>
      <w:marBottom w:val="0"/>
      <w:divBdr>
        <w:top w:val="none" w:sz="0" w:space="0" w:color="auto"/>
        <w:left w:val="none" w:sz="0" w:space="0" w:color="auto"/>
        <w:bottom w:val="none" w:sz="0" w:space="0" w:color="auto"/>
        <w:right w:val="none" w:sz="0" w:space="0" w:color="auto"/>
      </w:divBdr>
    </w:div>
    <w:div w:id="1087656891">
      <w:bodyDiv w:val="1"/>
      <w:marLeft w:val="0"/>
      <w:marRight w:val="0"/>
      <w:marTop w:val="0"/>
      <w:marBottom w:val="0"/>
      <w:divBdr>
        <w:top w:val="none" w:sz="0" w:space="0" w:color="auto"/>
        <w:left w:val="none" w:sz="0" w:space="0" w:color="auto"/>
        <w:bottom w:val="none" w:sz="0" w:space="0" w:color="auto"/>
        <w:right w:val="none" w:sz="0" w:space="0" w:color="auto"/>
      </w:divBdr>
    </w:div>
    <w:div w:id="1091048626">
      <w:bodyDiv w:val="1"/>
      <w:marLeft w:val="0"/>
      <w:marRight w:val="0"/>
      <w:marTop w:val="0"/>
      <w:marBottom w:val="0"/>
      <w:divBdr>
        <w:top w:val="none" w:sz="0" w:space="0" w:color="auto"/>
        <w:left w:val="none" w:sz="0" w:space="0" w:color="auto"/>
        <w:bottom w:val="none" w:sz="0" w:space="0" w:color="auto"/>
        <w:right w:val="none" w:sz="0" w:space="0" w:color="auto"/>
      </w:divBdr>
    </w:div>
    <w:div w:id="1116365826">
      <w:bodyDiv w:val="1"/>
      <w:marLeft w:val="0"/>
      <w:marRight w:val="0"/>
      <w:marTop w:val="0"/>
      <w:marBottom w:val="0"/>
      <w:divBdr>
        <w:top w:val="none" w:sz="0" w:space="0" w:color="auto"/>
        <w:left w:val="none" w:sz="0" w:space="0" w:color="auto"/>
        <w:bottom w:val="none" w:sz="0" w:space="0" w:color="auto"/>
        <w:right w:val="none" w:sz="0" w:space="0" w:color="auto"/>
      </w:divBdr>
    </w:div>
    <w:div w:id="1116484311">
      <w:bodyDiv w:val="1"/>
      <w:marLeft w:val="0"/>
      <w:marRight w:val="0"/>
      <w:marTop w:val="0"/>
      <w:marBottom w:val="0"/>
      <w:divBdr>
        <w:top w:val="none" w:sz="0" w:space="0" w:color="auto"/>
        <w:left w:val="none" w:sz="0" w:space="0" w:color="auto"/>
        <w:bottom w:val="none" w:sz="0" w:space="0" w:color="auto"/>
        <w:right w:val="none" w:sz="0" w:space="0" w:color="auto"/>
      </w:divBdr>
    </w:div>
    <w:div w:id="1162503450">
      <w:bodyDiv w:val="1"/>
      <w:marLeft w:val="0"/>
      <w:marRight w:val="0"/>
      <w:marTop w:val="0"/>
      <w:marBottom w:val="0"/>
      <w:divBdr>
        <w:top w:val="none" w:sz="0" w:space="0" w:color="auto"/>
        <w:left w:val="none" w:sz="0" w:space="0" w:color="auto"/>
        <w:bottom w:val="none" w:sz="0" w:space="0" w:color="auto"/>
        <w:right w:val="none" w:sz="0" w:space="0" w:color="auto"/>
      </w:divBdr>
    </w:div>
    <w:div w:id="1198085796">
      <w:bodyDiv w:val="1"/>
      <w:marLeft w:val="0"/>
      <w:marRight w:val="0"/>
      <w:marTop w:val="0"/>
      <w:marBottom w:val="0"/>
      <w:divBdr>
        <w:top w:val="none" w:sz="0" w:space="0" w:color="auto"/>
        <w:left w:val="none" w:sz="0" w:space="0" w:color="auto"/>
        <w:bottom w:val="none" w:sz="0" w:space="0" w:color="auto"/>
        <w:right w:val="none" w:sz="0" w:space="0" w:color="auto"/>
      </w:divBdr>
    </w:div>
    <w:div w:id="1268391307">
      <w:bodyDiv w:val="1"/>
      <w:marLeft w:val="0"/>
      <w:marRight w:val="0"/>
      <w:marTop w:val="0"/>
      <w:marBottom w:val="0"/>
      <w:divBdr>
        <w:top w:val="none" w:sz="0" w:space="0" w:color="auto"/>
        <w:left w:val="none" w:sz="0" w:space="0" w:color="auto"/>
        <w:bottom w:val="none" w:sz="0" w:space="0" w:color="auto"/>
        <w:right w:val="none" w:sz="0" w:space="0" w:color="auto"/>
      </w:divBdr>
    </w:div>
    <w:div w:id="1324896633">
      <w:bodyDiv w:val="1"/>
      <w:marLeft w:val="0"/>
      <w:marRight w:val="0"/>
      <w:marTop w:val="0"/>
      <w:marBottom w:val="0"/>
      <w:divBdr>
        <w:top w:val="none" w:sz="0" w:space="0" w:color="auto"/>
        <w:left w:val="none" w:sz="0" w:space="0" w:color="auto"/>
        <w:bottom w:val="none" w:sz="0" w:space="0" w:color="auto"/>
        <w:right w:val="none" w:sz="0" w:space="0" w:color="auto"/>
      </w:divBdr>
    </w:div>
    <w:div w:id="1336222566">
      <w:bodyDiv w:val="1"/>
      <w:marLeft w:val="0"/>
      <w:marRight w:val="0"/>
      <w:marTop w:val="0"/>
      <w:marBottom w:val="0"/>
      <w:divBdr>
        <w:top w:val="none" w:sz="0" w:space="0" w:color="auto"/>
        <w:left w:val="none" w:sz="0" w:space="0" w:color="auto"/>
        <w:bottom w:val="none" w:sz="0" w:space="0" w:color="auto"/>
        <w:right w:val="none" w:sz="0" w:space="0" w:color="auto"/>
      </w:divBdr>
    </w:div>
    <w:div w:id="1396471798">
      <w:bodyDiv w:val="1"/>
      <w:marLeft w:val="0"/>
      <w:marRight w:val="0"/>
      <w:marTop w:val="0"/>
      <w:marBottom w:val="0"/>
      <w:divBdr>
        <w:top w:val="none" w:sz="0" w:space="0" w:color="auto"/>
        <w:left w:val="none" w:sz="0" w:space="0" w:color="auto"/>
        <w:bottom w:val="none" w:sz="0" w:space="0" w:color="auto"/>
        <w:right w:val="none" w:sz="0" w:space="0" w:color="auto"/>
      </w:divBdr>
    </w:div>
    <w:div w:id="1437676156">
      <w:bodyDiv w:val="1"/>
      <w:marLeft w:val="0"/>
      <w:marRight w:val="0"/>
      <w:marTop w:val="0"/>
      <w:marBottom w:val="0"/>
      <w:divBdr>
        <w:top w:val="none" w:sz="0" w:space="0" w:color="auto"/>
        <w:left w:val="none" w:sz="0" w:space="0" w:color="auto"/>
        <w:bottom w:val="none" w:sz="0" w:space="0" w:color="auto"/>
        <w:right w:val="none" w:sz="0" w:space="0" w:color="auto"/>
      </w:divBdr>
    </w:div>
    <w:div w:id="1442065130">
      <w:bodyDiv w:val="1"/>
      <w:marLeft w:val="0"/>
      <w:marRight w:val="0"/>
      <w:marTop w:val="0"/>
      <w:marBottom w:val="0"/>
      <w:divBdr>
        <w:top w:val="none" w:sz="0" w:space="0" w:color="auto"/>
        <w:left w:val="none" w:sz="0" w:space="0" w:color="auto"/>
        <w:bottom w:val="none" w:sz="0" w:space="0" w:color="auto"/>
        <w:right w:val="none" w:sz="0" w:space="0" w:color="auto"/>
      </w:divBdr>
    </w:div>
    <w:div w:id="1466585633">
      <w:bodyDiv w:val="1"/>
      <w:marLeft w:val="0"/>
      <w:marRight w:val="0"/>
      <w:marTop w:val="0"/>
      <w:marBottom w:val="0"/>
      <w:divBdr>
        <w:top w:val="none" w:sz="0" w:space="0" w:color="auto"/>
        <w:left w:val="none" w:sz="0" w:space="0" w:color="auto"/>
        <w:bottom w:val="none" w:sz="0" w:space="0" w:color="auto"/>
        <w:right w:val="none" w:sz="0" w:space="0" w:color="auto"/>
      </w:divBdr>
    </w:div>
    <w:div w:id="1471284437">
      <w:bodyDiv w:val="1"/>
      <w:marLeft w:val="0"/>
      <w:marRight w:val="0"/>
      <w:marTop w:val="0"/>
      <w:marBottom w:val="0"/>
      <w:divBdr>
        <w:top w:val="none" w:sz="0" w:space="0" w:color="auto"/>
        <w:left w:val="none" w:sz="0" w:space="0" w:color="auto"/>
        <w:bottom w:val="none" w:sz="0" w:space="0" w:color="auto"/>
        <w:right w:val="none" w:sz="0" w:space="0" w:color="auto"/>
      </w:divBdr>
    </w:div>
    <w:div w:id="1482889526">
      <w:bodyDiv w:val="1"/>
      <w:marLeft w:val="0"/>
      <w:marRight w:val="0"/>
      <w:marTop w:val="0"/>
      <w:marBottom w:val="0"/>
      <w:divBdr>
        <w:top w:val="none" w:sz="0" w:space="0" w:color="auto"/>
        <w:left w:val="none" w:sz="0" w:space="0" w:color="auto"/>
        <w:bottom w:val="none" w:sz="0" w:space="0" w:color="auto"/>
        <w:right w:val="none" w:sz="0" w:space="0" w:color="auto"/>
      </w:divBdr>
    </w:div>
    <w:div w:id="1526551400">
      <w:bodyDiv w:val="1"/>
      <w:marLeft w:val="0"/>
      <w:marRight w:val="0"/>
      <w:marTop w:val="0"/>
      <w:marBottom w:val="0"/>
      <w:divBdr>
        <w:top w:val="none" w:sz="0" w:space="0" w:color="auto"/>
        <w:left w:val="none" w:sz="0" w:space="0" w:color="auto"/>
        <w:bottom w:val="none" w:sz="0" w:space="0" w:color="auto"/>
        <w:right w:val="none" w:sz="0" w:space="0" w:color="auto"/>
      </w:divBdr>
    </w:div>
    <w:div w:id="1563054209">
      <w:bodyDiv w:val="1"/>
      <w:marLeft w:val="0"/>
      <w:marRight w:val="0"/>
      <w:marTop w:val="0"/>
      <w:marBottom w:val="0"/>
      <w:divBdr>
        <w:top w:val="none" w:sz="0" w:space="0" w:color="auto"/>
        <w:left w:val="none" w:sz="0" w:space="0" w:color="auto"/>
        <w:bottom w:val="none" w:sz="0" w:space="0" w:color="auto"/>
        <w:right w:val="none" w:sz="0" w:space="0" w:color="auto"/>
      </w:divBdr>
    </w:div>
    <w:div w:id="1583222557">
      <w:bodyDiv w:val="1"/>
      <w:marLeft w:val="0"/>
      <w:marRight w:val="0"/>
      <w:marTop w:val="0"/>
      <w:marBottom w:val="0"/>
      <w:divBdr>
        <w:top w:val="none" w:sz="0" w:space="0" w:color="auto"/>
        <w:left w:val="none" w:sz="0" w:space="0" w:color="auto"/>
        <w:bottom w:val="none" w:sz="0" w:space="0" w:color="auto"/>
        <w:right w:val="none" w:sz="0" w:space="0" w:color="auto"/>
      </w:divBdr>
    </w:div>
    <w:div w:id="1602912224">
      <w:bodyDiv w:val="1"/>
      <w:marLeft w:val="0"/>
      <w:marRight w:val="0"/>
      <w:marTop w:val="0"/>
      <w:marBottom w:val="0"/>
      <w:divBdr>
        <w:top w:val="none" w:sz="0" w:space="0" w:color="auto"/>
        <w:left w:val="none" w:sz="0" w:space="0" w:color="auto"/>
        <w:bottom w:val="none" w:sz="0" w:space="0" w:color="auto"/>
        <w:right w:val="none" w:sz="0" w:space="0" w:color="auto"/>
      </w:divBdr>
    </w:div>
    <w:div w:id="1610549546">
      <w:bodyDiv w:val="1"/>
      <w:marLeft w:val="0"/>
      <w:marRight w:val="0"/>
      <w:marTop w:val="0"/>
      <w:marBottom w:val="0"/>
      <w:divBdr>
        <w:top w:val="none" w:sz="0" w:space="0" w:color="auto"/>
        <w:left w:val="none" w:sz="0" w:space="0" w:color="auto"/>
        <w:bottom w:val="none" w:sz="0" w:space="0" w:color="auto"/>
        <w:right w:val="none" w:sz="0" w:space="0" w:color="auto"/>
      </w:divBdr>
    </w:div>
    <w:div w:id="1611202613">
      <w:bodyDiv w:val="1"/>
      <w:marLeft w:val="0"/>
      <w:marRight w:val="0"/>
      <w:marTop w:val="0"/>
      <w:marBottom w:val="0"/>
      <w:divBdr>
        <w:top w:val="none" w:sz="0" w:space="0" w:color="auto"/>
        <w:left w:val="none" w:sz="0" w:space="0" w:color="auto"/>
        <w:bottom w:val="none" w:sz="0" w:space="0" w:color="auto"/>
        <w:right w:val="none" w:sz="0" w:space="0" w:color="auto"/>
      </w:divBdr>
    </w:div>
    <w:div w:id="1633485521">
      <w:bodyDiv w:val="1"/>
      <w:marLeft w:val="0"/>
      <w:marRight w:val="0"/>
      <w:marTop w:val="0"/>
      <w:marBottom w:val="0"/>
      <w:divBdr>
        <w:top w:val="none" w:sz="0" w:space="0" w:color="auto"/>
        <w:left w:val="none" w:sz="0" w:space="0" w:color="auto"/>
        <w:bottom w:val="none" w:sz="0" w:space="0" w:color="auto"/>
        <w:right w:val="none" w:sz="0" w:space="0" w:color="auto"/>
      </w:divBdr>
    </w:div>
    <w:div w:id="1667518827">
      <w:bodyDiv w:val="1"/>
      <w:marLeft w:val="0"/>
      <w:marRight w:val="0"/>
      <w:marTop w:val="0"/>
      <w:marBottom w:val="0"/>
      <w:divBdr>
        <w:top w:val="none" w:sz="0" w:space="0" w:color="auto"/>
        <w:left w:val="none" w:sz="0" w:space="0" w:color="auto"/>
        <w:bottom w:val="none" w:sz="0" w:space="0" w:color="auto"/>
        <w:right w:val="none" w:sz="0" w:space="0" w:color="auto"/>
      </w:divBdr>
    </w:div>
    <w:div w:id="1750691358">
      <w:bodyDiv w:val="1"/>
      <w:marLeft w:val="0"/>
      <w:marRight w:val="0"/>
      <w:marTop w:val="0"/>
      <w:marBottom w:val="0"/>
      <w:divBdr>
        <w:top w:val="none" w:sz="0" w:space="0" w:color="auto"/>
        <w:left w:val="none" w:sz="0" w:space="0" w:color="auto"/>
        <w:bottom w:val="none" w:sz="0" w:space="0" w:color="auto"/>
        <w:right w:val="none" w:sz="0" w:space="0" w:color="auto"/>
      </w:divBdr>
    </w:div>
    <w:div w:id="1776249092">
      <w:bodyDiv w:val="1"/>
      <w:marLeft w:val="0"/>
      <w:marRight w:val="0"/>
      <w:marTop w:val="0"/>
      <w:marBottom w:val="0"/>
      <w:divBdr>
        <w:top w:val="none" w:sz="0" w:space="0" w:color="auto"/>
        <w:left w:val="none" w:sz="0" w:space="0" w:color="auto"/>
        <w:bottom w:val="none" w:sz="0" w:space="0" w:color="auto"/>
        <w:right w:val="none" w:sz="0" w:space="0" w:color="auto"/>
      </w:divBdr>
    </w:div>
    <w:div w:id="1776561958">
      <w:bodyDiv w:val="1"/>
      <w:marLeft w:val="0"/>
      <w:marRight w:val="0"/>
      <w:marTop w:val="0"/>
      <w:marBottom w:val="0"/>
      <w:divBdr>
        <w:top w:val="none" w:sz="0" w:space="0" w:color="auto"/>
        <w:left w:val="none" w:sz="0" w:space="0" w:color="auto"/>
        <w:bottom w:val="none" w:sz="0" w:space="0" w:color="auto"/>
        <w:right w:val="none" w:sz="0" w:space="0" w:color="auto"/>
      </w:divBdr>
    </w:div>
    <w:div w:id="1832675831">
      <w:bodyDiv w:val="1"/>
      <w:marLeft w:val="0"/>
      <w:marRight w:val="0"/>
      <w:marTop w:val="0"/>
      <w:marBottom w:val="0"/>
      <w:divBdr>
        <w:top w:val="none" w:sz="0" w:space="0" w:color="auto"/>
        <w:left w:val="none" w:sz="0" w:space="0" w:color="auto"/>
        <w:bottom w:val="none" w:sz="0" w:space="0" w:color="auto"/>
        <w:right w:val="none" w:sz="0" w:space="0" w:color="auto"/>
      </w:divBdr>
    </w:div>
    <w:div w:id="1849901070">
      <w:bodyDiv w:val="1"/>
      <w:marLeft w:val="0"/>
      <w:marRight w:val="0"/>
      <w:marTop w:val="0"/>
      <w:marBottom w:val="0"/>
      <w:divBdr>
        <w:top w:val="none" w:sz="0" w:space="0" w:color="auto"/>
        <w:left w:val="none" w:sz="0" w:space="0" w:color="auto"/>
        <w:bottom w:val="none" w:sz="0" w:space="0" w:color="auto"/>
        <w:right w:val="none" w:sz="0" w:space="0" w:color="auto"/>
      </w:divBdr>
    </w:div>
    <w:div w:id="1870336718">
      <w:bodyDiv w:val="1"/>
      <w:marLeft w:val="0"/>
      <w:marRight w:val="0"/>
      <w:marTop w:val="0"/>
      <w:marBottom w:val="0"/>
      <w:divBdr>
        <w:top w:val="none" w:sz="0" w:space="0" w:color="auto"/>
        <w:left w:val="none" w:sz="0" w:space="0" w:color="auto"/>
        <w:bottom w:val="none" w:sz="0" w:space="0" w:color="auto"/>
        <w:right w:val="none" w:sz="0" w:space="0" w:color="auto"/>
      </w:divBdr>
    </w:div>
    <w:div w:id="1881353406">
      <w:bodyDiv w:val="1"/>
      <w:marLeft w:val="0"/>
      <w:marRight w:val="0"/>
      <w:marTop w:val="0"/>
      <w:marBottom w:val="0"/>
      <w:divBdr>
        <w:top w:val="none" w:sz="0" w:space="0" w:color="auto"/>
        <w:left w:val="none" w:sz="0" w:space="0" w:color="auto"/>
        <w:bottom w:val="none" w:sz="0" w:space="0" w:color="auto"/>
        <w:right w:val="none" w:sz="0" w:space="0" w:color="auto"/>
      </w:divBdr>
      <w:divsChild>
        <w:div w:id="1330063139">
          <w:marLeft w:val="105"/>
          <w:marRight w:val="0"/>
          <w:marTop w:val="0"/>
          <w:marBottom w:val="0"/>
          <w:divBdr>
            <w:top w:val="none" w:sz="0" w:space="0" w:color="auto"/>
            <w:left w:val="none" w:sz="0" w:space="0" w:color="auto"/>
            <w:bottom w:val="none" w:sz="0" w:space="0" w:color="auto"/>
            <w:right w:val="none" w:sz="0" w:space="0" w:color="auto"/>
          </w:divBdr>
          <w:divsChild>
            <w:div w:id="19873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906">
      <w:bodyDiv w:val="1"/>
      <w:marLeft w:val="0"/>
      <w:marRight w:val="0"/>
      <w:marTop w:val="0"/>
      <w:marBottom w:val="0"/>
      <w:divBdr>
        <w:top w:val="none" w:sz="0" w:space="0" w:color="auto"/>
        <w:left w:val="none" w:sz="0" w:space="0" w:color="auto"/>
        <w:bottom w:val="none" w:sz="0" w:space="0" w:color="auto"/>
        <w:right w:val="none" w:sz="0" w:space="0" w:color="auto"/>
      </w:divBdr>
    </w:div>
    <w:div w:id="1936740093">
      <w:bodyDiv w:val="1"/>
      <w:marLeft w:val="0"/>
      <w:marRight w:val="0"/>
      <w:marTop w:val="0"/>
      <w:marBottom w:val="0"/>
      <w:divBdr>
        <w:top w:val="none" w:sz="0" w:space="0" w:color="auto"/>
        <w:left w:val="none" w:sz="0" w:space="0" w:color="auto"/>
        <w:bottom w:val="none" w:sz="0" w:space="0" w:color="auto"/>
        <w:right w:val="none" w:sz="0" w:space="0" w:color="auto"/>
      </w:divBdr>
    </w:div>
    <w:div w:id="1940017470">
      <w:bodyDiv w:val="1"/>
      <w:marLeft w:val="0"/>
      <w:marRight w:val="0"/>
      <w:marTop w:val="0"/>
      <w:marBottom w:val="0"/>
      <w:divBdr>
        <w:top w:val="none" w:sz="0" w:space="0" w:color="auto"/>
        <w:left w:val="none" w:sz="0" w:space="0" w:color="auto"/>
        <w:bottom w:val="none" w:sz="0" w:space="0" w:color="auto"/>
        <w:right w:val="none" w:sz="0" w:space="0" w:color="auto"/>
      </w:divBdr>
    </w:div>
    <w:div w:id="2027519772">
      <w:bodyDiv w:val="1"/>
      <w:marLeft w:val="0"/>
      <w:marRight w:val="0"/>
      <w:marTop w:val="0"/>
      <w:marBottom w:val="0"/>
      <w:divBdr>
        <w:top w:val="none" w:sz="0" w:space="0" w:color="auto"/>
        <w:left w:val="none" w:sz="0" w:space="0" w:color="auto"/>
        <w:bottom w:val="none" w:sz="0" w:space="0" w:color="auto"/>
        <w:right w:val="none" w:sz="0" w:space="0" w:color="auto"/>
      </w:divBdr>
    </w:div>
    <w:div w:id="2033335498">
      <w:bodyDiv w:val="1"/>
      <w:marLeft w:val="0"/>
      <w:marRight w:val="0"/>
      <w:marTop w:val="0"/>
      <w:marBottom w:val="0"/>
      <w:divBdr>
        <w:top w:val="none" w:sz="0" w:space="0" w:color="auto"/>
        <w:left w:val="none" w:sz="0" w:space="0" w:color="auto"/>
        <w:bottom w:val="none" w:sz="0" w:space="0" w:color="auto"/>
        <w:right w:val="none" w:sz="0" w:space="0" w:color="auto"/>
      </w:divBdr>
    </w:div>
    <w:div w:id="2048483232">
      <w:bodyDiv w:val="1"/>
      <w:marLeft w:val="0"/>
      <w:marRight w:val="0"/>
      <w:marTop w:val="0"/>
      <w:marBottom w:val="0"/>
      <w:divBdr>
        <w:top w:val="none" w:sz="0" w:space="0" w:color="auto"/>
        <w:left w:val="none" w:sz="0" w:space="0" w:color="auto"/>
        <w:bottom w:val="none" w:sz="0" w:space="0" w:color="auto"/>
        <w:right w:val="none" w:sz="0" w:space="0" w:color="auto"/>
      </w:divBdr>
    </w:div>
    <w:div w:id="2096707511">
      <w:bodyDiv w:val="1"/>
      <w:marLeft w:val="0"/>
      <w:marRight w:val="0"/>
      <w:marTop w:val="0"/>
      <w:marBottom w:val="0"/>
      <w:divBdr>
        <w:top w:val="none" w:sz="0" w:space="0" w:color="auto"/>
        <w:left w:val="none" w:sz="0" w:space="0" w:color="auto"/>
        <w:bottom w:val="none" w:sz="0" w:space="0" w:color="auto"/>
        <w:right w:val="none" w:sz="0" w:space="0" w:color="auto"/>
      </w:divBdr>
    </w:div>
    <w:div w:id="2125155695">
      <w:bodyDiv w:val="1"/>
      <w:marLeft w:val="0"/>
      <w:marRight w:val="0"/>
      <w:marTop w:val="0"/>
      <w:marBottom w:val="0"/>
      <w:divBdr>
        <w:top w:val="none" w:sz="0" w:space="0" w:color="auto"/>
        <w:left w:val="none" w:sz="0" w:space="0" w:color="auto"/>
        <w:bottom w:val="none" w:sz="0" w:space="0" w:color="auto"/>
        <w:right w:val="none" w:sz="0" w:space="0" w:color="auto"/>
      </w:divBdr>
    </w:div>
    <w:div w:id="2125925552">
      <w:bodyDiv w:val="1"/>
      <w:marLeft w:val="0"/>
      <w:marRight w:val="0"/>
      <w:marTop w:val="0"/>
      <w:marBottom w:val="0"/>
      <w:divBdr>
        <w:top w:val="none" w:sz="0" w:space="0" w:color="auto"/>
        <w:left w:val="none" w:sz="0" w:space="0" w:color="auto"/>
        <w:bottom w:val="none" w:sz="0" w:space="0" w:color="auto"/>
        <w:right w:val="none" w:sz="0" w:space="0" w:color="auto"/>
      </w:divBdr>
    </w:div>
    <w:div w:id="21468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26339572110662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Mal09</b:Tag>
    <b:SourceType>JournalArticle</b:SourceType>
    <b:Guid>{66B54323-5974-4CE3-940B-D15A6EF1E96A}</b:Guid>
    <b:Title>The American school of IPE”, Review of International Political Economy</b:Title>
    <b:Year>2009</b:Year>
    <b:Author>
      <b:Author>
        <b:NameList>
          <b:Person>
            <b:Last>Maliniak</b:Last>
            <b:First>Daniel</b:First>
          </b:Person>
          <b:Person>
            <b:Last>Tierney</b:Last>
            <b:First>Michael J.</b:First>
          </b:Person>
        </b:NameList>
      </b:Author>
    </b:Author>
    <b:Pages>6-33</b:Pages>
    <b:Volume>16</b:Volume>
    <b:Issue>1</b:Issue>
    <b:RefOrder>1</b:RefOrder>
  </b:Source>
  <b:Source>
    <b:Tag>Han22</b:Tag>
    <b:SourceType>JournalArticle</b:SourceType>
    <b:Guid>{121745E9-DAE5-49C8-80D6-1D2A6D83E550}</b:Guid>
    <b:Author>
      <b:Author>
        <b:NameList>
          <b:Person>
            <b:Last>Baumann</b:Last>
            <b:First>Hannes</b:First>
          </b:Person>
        </b:NameList>
      </b:Author>
    </b:Author>
    <b:Title>Avatars of Eurocentrism in international political economy textbooks: The case of the Middle East and North Africa</b:Title>
    <b:JournalName>Politics</b:JournalName>
    <b:Year>2022</b:Year>
    <b:Pages>online first</b:Pages>
    <b:RefOrder>2</b:RefOrder>
  </b:Source>
  <b:Source>
    <b:Tag>Meh04</b:Tag>
    <b:SourceType>JournalArticle</b:SourceType>
    <b:Guid>{5E1FD9BD-178D-4CED-953E-EF26B5C361C5}</b:Guid>
    <b:Title>Structural impediments to economic globalisation in the Middle East</b:Title>
    <b:Year>2004</b:Year>
    <b:Author>
      <b:Author>
        <b:NameList>
          <b:Person>
            <b:Last>Kamrava</b:Last>
            <b:First>Mehran</b:First>
          </b:Person>
        </b:NameList>
      </b:Author>
    </b:Author>
    <b:JournalName>Middle East Policy</b:JournalName>
    <b:Pages>96-112</b:Pages>
    <b:Volume>11</b:Volume>
    <b:Issue>4</b:Issue>
    <b:RefOrder>10</b:RefOrder>
  </b:Source>
  <b:Source>
    <b:Tag>Moo10</b:Tag>
    <b:SourceType>Book</b:SourceType>
    <b:Guid>{8C5015F2-5486-4EE1-A114-7DEC36FEFA0F}</b:Guid>
    <b:Title>Globalization and the Politics of Development in the Middle East</b:Title>
    <b:Year>2010</b:Year>
    <b:City>Cambridge</b:City>
    <b:Publisher>Cambridge University Press</b:Publisher>
    <b:Author>
      <b:Author>
        <b:NameList>
          <b:Person>
            <b:Last>Moore Henry</b:Last>
            <b:First>Clement</b:First>
          </b:Person>
          <b:Person>
            <b:Last>Springborg</b:Last>
            <b:First>Robert</b:First>
          </b:Person>
        </b:NameList>
      </b:Author>
    </b:Author>
    <b:RefOrder>11</b:RefOrder>
  </b:Source>
  <b:Source>
    <b:Tag>Ste04</b:Tag>
    <b:SourceType>BookSection</b:SourceType>
    <b:Guid>{1E175AFC-D81A-4A19-BE5E-880A549CD17B}</b:Guid>
    <b:Author>
      <b:Author>
        <b:NameList>
          <b:Person>
            <b:Last>Heydemann</b:Last>
            <b:First>Steven</b:First>
          </b:Person>
        </b:NameList>
      </b:Author>
      <b:BookAuthor>
        <b:NameList>
          <b:Person>
            <b:Last>Heydemann</b:Last>
            <b:First>Steven</b:First>
          </b:Person>
        </b:NameList>
      </b:BookAuthor>
    </b:Author>
    <b:Title>Networks of Privilege in the Middle East: The Politics of Economic Reform Revisited</b:Title>
    <b:BookTitle>Networks of Privilege: Rethinking the Politics of Economic Reform in the Middle East</b:BookTitle>
    <b:Year>2004</b:Year>
    <b:Pages>1-34</b:Pages>
    <b:City>London</b:City>
    <b:Publisher>Palgrave Macmillan</b:Publisher>
    <b:RefOrder>12</b:RefOrder>
  </b:Source>
  <b:Source>
    <b:Tag>Diw19</b:Tag>
    <b:SourceType>Book</b:SourceType>
    <b:Guid>{14C313F8-B0A3-424D-B681-C98CC6CAD33D}</b:Guid>
    <b:Title>Crony Capitalism in the Middle East: Business and Politics from Liberalization to the Arab Spring</b:Title>
    <b:Year>2019</b:Year>
    <b:Author>
      <b:Author>
        <b:NameList>
          <b:Person>
            <b:Last>Diwan</b:Last>
            <b:First>Ishac</b:First>
          </b:Person>
          <b:Person>
            <b:Last>Malik</b:Last>
            <b:First>Adeel</b:First>
          </b:Person>
          <b:Person>
            <b:Last>Atiyas</b:Last>
            <b:First>Izak</b:First>
          </b:Person>
        </b:NameList>
      </b:Author>
    </b:Author>
    <b:City>Oxford</b:City>
    <b:Publisher>Oxford University Press</b:Publisher>
    <b:RefOrder>13</b:RefOrder>
  </b:Source>
  <b:Source>
    <b:Tag>Ste07</b:Tag>
    <b:SourceType>Report</b:SourceType>
    <b:Guid>{1C5B7D3E-0D5E-41FD-9C5F-88EBA6A50DA4}</b:Guid>
    <b:Author>
      <b:Author>
        <b:NameList>
          <b:Person>
            <b:Last>Heydemann</b:Last>
            <b:First>Stephen</b:First>
          </b:Person>
        </b:NameList>
      </b:Author>
    </b:Author>
    <b:Title>Upgrading Authoritarianism in the Arab World</b:Title>
    <b:Year>2007</b:Year>
    <b:City>Washington DC</b:City>
    <b:Publisher>Brookings Institution</b:Publisher>
    <b:ThesisType>Saban Center Analysis Paper Series</b:ThesisType>
    <b:RefOrder>14</b:RefOrder>
  </b:Source>
  <b:Source>
    <b:Tag>LeB21</b:Tag>
    <b:SourceType>JournalArticle</b:SourceType>
    <b:Guid>{D7FC88D1-5C87-4B46-94FE-451B30AF9D49}</b:Guid>
    <b:Title>Blind spots in IPE: Marginalised perspectives and neglected trends in contemporary capitalism</b:Title>
    <b:Year>2021</b:Year>
    <b:Pages>283–294</b:Pages>
    <b:JournalName>Review of International Political Economy</b:JournalName>
    <b:Author>
      <b:Author>
        <b:NameList>
          <b:Person>
            <b:Last>LeBaron</b:Last>
            <b:First>Genevieve</b:First>
          </b:Person>
          <b:Person>
            <b:Last>Mugge</b:Last>
            <b:First>Daniel</b:First>
          </b:Person>
          <b:Person>
            <b:Last>Best</b:Last>
            <b:First>Jacqueline</b:First>
          </b:Person>
          <b:Person>
            <b:Last>Hay</b:Last>
            <b:First>Colin</b:First>
          </b:Person>
        </b:NameList>
      </b:Author>
    </b:Author>
    <b:Volume>28</b:Volume>
    <b:Issue>2</b:Issue>
    <b:RefOrder>15</b:RefOrder>
  </b:Source>
  <b:Source>
    <b:Tag>Ala20</b:Tag>
    <b:SourceType>JournalArticle</b:SourceType>
    <b:Guid>{5F276F7F-473B-4B77-8BA8-52D94C80222E}</b:Guid>
    <b:Title>State capitalism(s) redux? Theories, tensions, controversies</b:Title>
    <b:JournalName>Competition and Change</b:JournalName>
    <b:Year>2020</b:Year>
    <b:Pages>70-94</b:Pages>
    <b:Author>
      <b:Author>
        <b:NameList>
          <b:Person>
            <b:Last>Alami</b:Last>
            <b:First>Ilias</b:First>
          </b:Person>
          <b:Person>
            <b:Last>Dixon</b:Last>
            <b:First>Adam</b:First>
          </b:Person>
        </b:NameList>
      </b:Author>
    </b:Author>
    <b:Volume>24</b:Volume>
    <b:Issue>1</b:Issue>
    <b:RefOrder>16</b:RefOrder>
  </b:Source>
  <b:Source>
    <b:Tag>Mit91</b:Tag>
    <b:SourceType>JournalArticle</b:SourceType>
    <b:Guid>{749894C2-9BED-45F2-A336-7DDDD33D3981}</b:Guid>
    <b:Author>
      <b:Author>
        <b:NameList>
          <b:Person>
            <b:Last>Mitchell</b:Last>
            <b:First>Timothy</b:First>
          </b:Person>
        </b:NameList>
      </b:Author>
    </b:Author>
    <b:Title>The Limits of the State: Beyond Statist Approaches and their Critics</b:Title>
    <b:JournalName>American Political Science Review</b:JournalName>
    <b:Year>1991</b:Year>
    <b:Pages>77-96</b:Pages>
    <b:Volume>85</b:Volume>
    <b:Issue>1</b:Issue>
    <b:RefOrder>21</b:RefOrder>
  </b:Source>
  <b:Source>
    <b:Tag>Tim022</b:Tag>
    <b:SourceType>Book</b:SourceType>
    <b:Guid>{A9E53729-460B-4952-855B-0E1A3C5912DA}</b:Guid>
    <b:Title>Rule of Experts: Egypt, Techno-Politics, Modernity</b:Title>
    <b:Year>2002</b:Year>
    <b:Author>
      <b:Author>
        <b:NameList>
          <b:Person>
            <b:Last>Mitchell</b:Last>
            <b:First>Timothy</b:First>
          </b:Person>
        </b:NameList>
      </b:Author>
    </b:Author>
    <b:City>Berkley</b:City>
    <b:Publisher>University of California Press</b:Publisher>
    <b:RefOrder>22</b:RefOrder>
  </b:Source>
  <b:Source>
    <b:Tag>Hob13</b:Tag>
    <b:SourceType>JournalArticle</b:SourceType>
    <b:Guid>{BCCC4681-CA86-45D9-9AFD-56D9FD6BE51D}</b:Guid>
    <b:Title>Part 1 – Revealing the Eurocentric foundations of IPE: A critical historiography of the discipline from the classical to the modern era</b:Title>
    <b:Year>2013</b:Year>
    <b:Author>
      <b:Author>
        <b:NameList>
          <b:Person>
            <b:Last>Hobson</b:Last>
            <b:First>John</b:First>
            <b:Middle>M.</b:Middle>
          </b:Person>
        </b:NameList>
      </b:Author>
    </b:Author>
    <b:JournalName>Review of International Political Economy</b:JournalName>
    <b:Pages>1024-1054</b:Pages>
    <b:Volume>20</b:Volume>
    <b:Issue>5</b:Issue>
    <b:RefOrder>23</b:RefOrder>
  </b:Source>
  <b:Source>
    <b:Tag>All09</b:Tag>
    <b:SourceType>JournalArticle</b:SourceType>
    <b:Guid>{411BF70A-568C-4665-8903-E7C45AF60FA0}</b:Guid>
    <b:Author>
      <b:Author>
        <b:NameList>
          <b:Person>
            <b:Last>Allinson</b:Last>
            <b:First>Jamie</b:First>
          </b:Person>
          <b:Person>
            <b:Last>Anievas</b:Last>
            <b:First>Alexander</b:First>
          </b:Person>
        </b:NameList>
      </b:Author>
    </b:Author>
    <b:Title>The uses and misuses of uneven and combined development: an anatomy of a concept</b:Title>
    <b:JournalName>Cambridge Review of International Affairs</b:JournalName>
    <b:Year>2009</b:Year>
    <b:Pages>47-67</b:Pages>
    <b:Volume>22</b:Volume>
    <b:Issue>1</b:Issue>
    <b:RefOrder>17</b:RefOrder>
  </b:Source>
  <b:Source>
    <b:Tag>Mor07</b:Tag>
    <b:SourceType>JournalArticle</b:SourceType>
    <b:Guid>{44B1214E-3467-4B4C-9E60-3B345F565C61}</b:Guid>
    <b:Author>
      <b:Author>
        <b:NameList>
          <b:Person>
            <b:Last>Morton</b:Last>
            <b:First>Adam</b:First>
            <b:Middle>David</b:Middle>
          </b:Person>
        </b:NameList>
      </b:Author>
    </b:Author>
    <b:Title>Waiting for Gramsci: State Formation, Passive Revolution and the International</b:Title>
    <b:JournalName>Millennium</b:JournalName>
    <b:Year>2007</b:Year>
    <b:Pages>597–621</b:Pages>
    <b:Volume>35</b:Volume>
    <b:Issue>3</b:Issue>
    <b:RefOrder>18</b:RefOrder>
  </b:Source>
  <b:Source>
    <b:Tag>Hes17</b:Tag>
    <b:SourceType>JournalArticle</b:SourceType>
    <b:Guid>{9AF0BF0A-9360-4EAF-AF0F-386FE6AD5FEC}</b:Guid>
    <b:Author>
      <b:Author>
        <b:NameList>
          <b:Person>
            <b:Last>Hesketh</b:Last>
            <b:First>Chris</b:First>
          </b:Person>
        </b:NameList>
      </b:Author>
    </b:Author>
    <b:Title>Passive revolution: A universal concept with geographical seats</b:Title>
    <b:JournalName>Review of International Studies</b:JournalName>
    <b:Year>2017</b:Year>
    <b:Pages>389-408</b:Pages>
    <b:Volume>43</b:Volume>
    <b:Issue>3</b:Issue>
    <b:RefOrder>19</b:RefOrder>
  </b:Source>
  <b:Source>
    <b:Tag>Rob13</b:Tag>
    <b:SourceType>Book</b:SourceType>
    <b:Guid>{D8E5AA45-DDFB-4B02-B0C4-FD1534DE9320}</b:Guid>
    <b:Title>The political economy of the Egyptian revolution: Mubarak, economic reforms and failed hegemony</b:Title>
    <b:Year>2013</b:Year>
    <b:Author>
      <b:Author>
        <b:NameList>
          <b:Person>
            <b:Last>Roccu</b:Last>
            <b:First>Roberto</b:First>
          </b:Person>
        </b:NameList>
      </b:Author>
    </b:Author>
    <b:City>Houndmills</b:City>
    <b:Publisher>Palgrave Macmillan</b:Publisher>
    <b:RefOrder>20</b:RefOrder>
  </b:Source>
  <b:Source>
    <b:Tag>Amr20</b:Tag>
    <b:SourceType>Book</b:SourceType>
    <b:Guid>{40163DA4-28F7-46F2-8C53-D15ABD814319}</b:Guid>
    <b:Author>
      <b:Author>
        <b:NameList>
          <b:Person>
            <b:Last>Adly</b:Last>
            <b:First>Amr</b:First>
          </b:Person>
        </b:NameList>
      </b:Author>
    </b:Author>
    <b:Title>Cleft capitalism: The social origins of failed market making in Egypt</b:Title>
    <b:Year>2020</b:Year>
    <b:City>Stanford</b:City>
    <b:Publisher>Stanford University Press</b:Publisher>
    <b:RefOrder>24</b:RefOrder>
  </b:Source>
  <b:Source>
    <b:Tag>Beb87</b:Tag>
    <b:SourceType>JournalArticle</b:SourceType>
    <b:Guid>{0DD99AF6-C07C-4A80-91BB-578A8F21BF2F}</b:Guid>
    <b:Title>The Rentier State in the Arab World</b:Title>
    <b:Year>1987</b:Year>
    <b:City>London</b:City>
    <b:Publisher>Routledge</b:Publisher>
    <b:Author>
      <b:Author>
        <b:NameList>
          <b:Person>
            <b:Last>Beblawi</b:Last>
            <b:First>Hazem</b:First>
          </b:Person>
        </b:NameList>
      </b:Author>
      <b:BookAuthor>
        <b:NameList>
          <b:Person>
            <b:Last>Luciani</b:Last>
            <b:First>Giacomo</b:First>
          </b:Person>
        </b:NameList>
      </b:BookAuthor>
    </b:Author>
    <b:BookTitle>The Arab State</b:BookTitle>
    <b:Pages>383-398</b:Pages>
    <b:JournalName>Arab Studies Quarterly</b:JournalName>
    <b:Volume>9</b:Volume>
    <b:Issue>4</b:Issue>
    <b:RefOrder>3</b:RefOrder>
  </b:Source>
  <b:Source>
    <b:Tag>Luc90</b:Tag>
    <b:SourceType>BookSection</b:SourceType>
    <b:Guid>{B7CAF0BB-BEEC-4D38-8134-F1DD2C02BAC4}</b:Guid>
    <b:Author>
      <b:Author>
        <b:NameList>
          <b:Person>
            <b:Last>Luciani</b:Last>
            <b:First>Giacomo</b:First>
          </b:Person>
        </b:NameList>
      </b:Author>
      <b:BookAuthor>
        <b:NameList>
          <b:Person>
            <b:Last>Luciani</b:Last>
            <b:First>Giacomo</b:First>
          </b:Person>
        </b:NameList>
      </b:BookAuthor>
    </b:Author>
    <b:Title>Allocation vs. Production States: A Theoretical Framework</b:Title>
    <b:Year>1990</b:Year>
    <b:Pages>65-84</b:Pages>
    <b:BookTitle>The Arab State</b:BookTitle>
    <b:City>London</b:City>
    <b:Publisher>Routledge</b:Publisher>
    <b:RefOrder>4</b:RefOrder>
  </b:Source>
  <b:Source>
    <b:Tag>Cha97</b:Tag>
    <b:SourceType>Book</b:SourceType>
    <b:Guid>{CBEAF86D-E260-4B8C-8645-5C6E1CF273D5}</b:Guid>
    <b:Title>The Price of Wealth: Economics and Institutions in the Middle East</b:Title>
    <b:Year>1997</b:Year>
    <b:City>Ithaca, NY</b:City>
    <b:Publisher>Cornell University Press</b:Publisher>
    <b:Author>
      <b:Author>
        <b:NameList>
          <b:Person>
            <b:Last>Chaudhry</b:Last>
            <b:First>K.</b:First>
            <b:Middle>A.</b:Middle>
          </b:Person>
        </b:NameList>
      </b:Author>
    </b:Author>
    <b:RefOrder>5</b:RefOrder>
  </b:Source>
  <b:Source>
    <b:Tag>Cry90</b:Tag>
    <b:SourceType>Book</b:SourceType>
    <b:Guid>{39D8CA67-3B3E-41A3-8275-DAF28ED8AA25}</b:Guid>
    <b:Author>
      <b:Author>
        <b:NameList>
          <b:Person>
            <b:Last>Crystal</b:Last>
            <b:First>J.</b:First>
          </b:Person>
        </b:NameList>
      </b:Author>
    </b:Author>
    <b:Title>Oil and Politics in the Gulf: Rulers and Merchants in Kuwait and Qatar</b:Title>
    <b:Year>1990</b:Year>
    <b:City>Cambridge</b:City>
    <b:Publisher>Cambridge University Press.</b:Publisher>
    <b:RefOrder>6</b:RefOrder>
  </b:Source>
  <b:Source>
    <b:Tag>Her10</b:Tag>
    <b:SourceType>JournalArticle</b:SourceType>
    <b:Guid>{E4FA462B-7D03-46F6-A0C3-4A801D4D6BDA}</b:Guid>
    <b:Title>The sociology of Gulf rentier systems: Societies of intermediaries</b:Title>
    <b:Year>2010</b:Year>
    <b:Author>
      <b:Author>
        <b:NameList>
          <b:Person>
            <b:Last>Hertog</b:Last>
            <b:First>S.</b:First>
          </b:Person>
        </b:NameList>
      </b:Author>
    </b:Author>
    <b:JournalName>Comparative Studies in Society and History</b:JournalName>
    <b:Pages>1-37</b:Pages>
    <b:Volume>52</b:Volume>
    <b:Issue>2</b:Issue>
    <b:RefOrder>7</b:RefOrder>
  </b:Source>
  <b:Source>
    <b:Tag>Moo02</b:Tag>
    <b:SourceType>JournalArticle</b:SourceType>
    <b:Guid>{2F71CF06-89A4-4354-B752-17AEC51EBD87}</b:Guid>
    <b:Author>
      <b:Author>
        <b:NameList>
          <b:Person>
            <b:Last>Moore</b:Last>
            <b:First>P.</b:First>
          </b:Person>
        </b:NameList>
      </b:Author>
    </b:Author>
    <b:Title>Rentier fiscal crisis and regime stability: Business-state relations in the Gulf</b:Title>
    <b:JournalName>Studies in Comparative International Development</b:JournalName>
    <b:Year>2002</b:Year>
    <b:Pages>34-56</b:Pages>
    <b:Volume>37</b:Volume>
    <b:Issue>1</b:Issue>
    <b:RefOrder>8</b:RefOrder>
  </b:Source>
  <b:Source>
    <b:Tag>Bau192</b:Tag>
    <b:SourceType>JournalArticle</b:SourceType>
    <b:Guid>{3AFE8EA3-B64D-4CA2-985C-21955C0749A5}</b:Guid>
    <b:Author>
      <b:Author>
        <b:NameList>
          <b:Person>
            <b:Last>Baumann</b:Last>
            <b:First>Hannes</b:First>
          </b:Person>
        </b:NameList>
      </b:Author>
    </b:Author>
    <b:Title>The transformation of Saudi Arabia’s rentier state and ‘the international'</b:Title>
    <b:JournalName>Globalizations</b:JournalName>
    <b:Year>2019</b:Year>
    <b:Pages>1165-1183</b:Pages>
    <b:Volume>16</b:Volume>
    <b:Issue>7</b:Issue>
    <b:RefOrder>9</b:RefOrder>
  </b:Source>
</b:Sources>
</file>

<file path=customXml/itemProps1.xml><?xml version="1.0" encoding="utf-8"?>
<ds:datastoreItem xmlns:ds="http://schemas.openxmlformats.org/officeDocument/2006/customXml" ds:itemID="{9FBDBDAF-CE87-426D-AA39-D0DCFB4C3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7320</Words>
  <Characters>41726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Baumann, Hannes</dc:creator>
  <cp:keywords/>
  <dc:description/>
  <cp:lastModifiedBy>Baumann, Hannes</cp:lastModifiedBy>
  <cp:revision>7</cp:revision>
  <cp:lastPrinted>2023-02-23T11:02:00Z</cp:lastPrinted>
  <dcterms:created xsi:type="dcterms:W3CDTF">2023-04-17T11:48:00Z</dcterms:created>
  <dcterms:modified xsi:type="dcterms:W3CDTF">2023-06-09T21:04:00Z</dcterms:modified>
</cp:coreProperties>
</file>