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EB44" w14:textId="1AE271F3" w:rsidR="002C0FCF" w:rsidRDefault="00B26BCE" w:rsidP="00E5550D">
      <w:pPr>
        <w:spacing w:line="276" w:lineRule="auto"/>
        <w:jc w:val="both"/>
        <w:rPr>
          <w:b/>
          <w:bCs/>
          <w:sz w:val="28"/>
          <w:szCs w:val="28"/>
        </w:rPr>
      </w:pPr>
      <w:r>
        <w:rPr>
          <w:b/>
          <w:bCs/>
          <w:sz w:val="28"/>
          <w:szCs w:val="28"/>
        </w:rPr>
        <w:t>Sporadic Multipl</w:t>
      </w:r>
      <w:r w:rsidR="00387E06">
        <w:rPr>
          <w:b/>
          <w:bCs/>
          <w:sz w:val="28"/>
          <w:szCs w:val="28"/>
        </w:rPr>
        <w:t xml:space="preserve">e </w:t>
      </w:r>
      <w:r w:rsidR="00650D61">
        <w:rPr>
          <w:b/>
          <w:bCs/>
          <w:sz w:val="28"/>
          <w:szCs w:val="28"/>
        </w:rPr>
        <w:t xml:space="preserve">Intracranial </w:t>
      </w:r>
      <w:r>
        <w:rPr>
          <w:b/>
          <w:bCs/>
          <w:sz w:val="28"/>
          <w:szCs w:val="28"/>
        </w:rPr>
        <w:t>Meningioma Does Not Infer Worse Patient Outcomes – Results from</w:t>
      </w:r>
      <w:r w:rsidRPr="00632945">
        <w:rPr>
          <w:b/>
          <w:bCs/>
          <w:sz w:val="28"/>
          <w:szCs w:val="28"/>
        </w:rPr>
        <w:t xml:space="preserve"> A Case Control Study</w:t>
      </w:r>
    </w:p>
    <w:p w14:paraId="2E0D665D" w14:textId="246D2E95" w:rsidR="00632945" w:rsidRDefault="00632945" w:rsidP="00E5550D">
      <w:pPr>
        <w:spacing w:line="276" w:lineRule="auto"/>
        <w:jc w:val="both"/>
        <w:rPr>
          <w:b/>
          <w:bCs/>
          <w:sz w:val="28"/>
          <w:szCs w:val="28"/>
        </w:rPr>
      </w:pPr>
    </w:p>
    <w:p w14:paraId="7A73BEA4" w14:textId="05381CD4" w:rsidR="00D77398" w:rsidRDefault="00632945" w:rsidP="00E5550D">
      <w:pPr>
        <w:spacing w:line="276" w:lineRule="auto"/>
        <w:jc w:val="both"/>
      </w:pPr>
      <w:r w:rsidRPr="00D77398">
        <w:rPr>
          <w:b/>
          <w:bCs/>
        </w:rPr>
        <w:t>Authors</w:t>
      </w:r>
      <w:r w:rsidR="00B26BCE">
        <w:rPr>
          <w:b/>
          <w:bCs/>
        </w:rPr>
        <w:t xml:space="preserve">: </w:t>
      </w:r>
    </w:p>
    <w:p w14:paraId="0BA0C254" w14:textId="5AD2A48C" w:rsidR="00632945" w:rsidRDefault="00632945" w:rsidP="00E5550D">
      <w:pPr>
        <w:spacing w:line="276" w:lineRule="auto"/>
        <w:jc w:val="both"/>
      </w:pPr>
      <w:r>
        <w:t>Abdurrahman I. Islim</w:t>
      </w:r>
      <w:r w:rsidRPr="00632945">
        <w:rPr>
          <w:vertAlign w:val="superscript"/>
        </w:rPr>
        <w:t>1,2</w:t>
      </w:r>
      <w:r>
        <w:t>, Jing X. Lee</w:t>
      </w:r>
      <w:r w:rsidRPr="00632945">
        <w:rPr>
          <w:vertAlign w:val="superscript"/>
        </w:rPr>
        <w:t>3</w:t>
      </w:r>
      <w:r>
        <w:t xml:space="preserve">, </w:t>
      </w:r>
      <w:r w:rsidRPr="00632945">
        <w:t>Mohammad A</w:t>
      </w:r>
      <w:r w:rsidR="00D255B0">
        <w:t>.</w:t>
      </w:r>
      <w:r w:rsidRPr="00632945">
        <w:t xml:space="preserve"> Mustafa</w:t>
      </w:r>
      <w:r w:rsidRPr="00632945">
        <w:rPr>
          <w:vertAlign w:val="superscript"/>
        </w:rPr>
        <w:t>1,2</w:t>
      </w:r>
      <w:r>
        <w:t>,</w:t>
      </w:r>
      <w:r w:rsidRPr="00632945">
        <w:t xml:space="preserve"> </w:t>
      </w:r>
      <w:r w:rsidR="00E5550D">
        <w:t>Christopher P. Millward</w:t>
      </w:r>
      <w:r w:rsidR="00E5550D" w:rsidRPr="00632945">
        <w:rPr>
          <w:vertAlign w:val="superscript"/>
        </w:rPr>
        <w:t>1,2</w:t>
      </w:r>
      <w:r w:rsidR="00E5550D">
        <w:t xml:space="preserve">, </w:t>
      </w:r>
      <w:r w:rsidRPr="00632945">
        <w:t>Conor S</w:t>
      </w:r>
      <w:r w:rsidR="00D255B0">
        <w:t>.</w:t>
      </w:r>
      <w:r w:rsidRPr="00632945">
        <w:t xml:space="preserve"> Gillespie</w:t>
      </w:r>
      <w:r w:rsidRPr="00632945">
        <w:rPr>
          <w:vertAlign w:val="superscript"/>
        </w:rPr>
        <w:t>1,2</w:t>
      </w:r>
      <w:r w:rsidRPr="00632945">
        <w:t>, George E</w:t>
      </w:r>
      <w:r w:rsidR="00D255B0">
        <w:t>.</w:t>
      </w:r>
      <w:r w:rsidRPr="00632945">
        <w:t xml:space="preserve"> Richardson</w:t>
      </w:r>
      <w:r w:rsidRPr="00632945">
        <w:rPr>
          <w:vertAlign w:val="superscript"/>
        </w:rPr>
        <w:t>1,2</w:t>
      </w:r>
      <w:r w:rsidRPr="00632945">
        <w:t xml:space="preserve">, </w:t>
      </w:r>
      <w:r w:rsidR="00A953D1">
        <w:t>Basel A. Taweel</w:t>
      </w:r>
      <w:r w:rsidR="00A953D1" w:rsidRPr="00A953D1">
        <w:rPr>
          <w:vertAlign w:val="superscript"/>
        </w:rPr>
        <w:t>1,2</w:t>
      </w:r>
      <w:r w:rsidR="00A953D1">
        <w:t xml:space="preserve">, </w:t>
      </w:r>
      <w:r w:rsidRPr="00632945">
        <w:t>Emmanuel Chavredakis</w:t>
      </w:r>
      <w:r w:rsidRPr="00632945">
        <w:rPr>
          <w:vertAlign w:val="superscript"/>
        </w:rPr>
        <w:t>1,2</w:t>
      </w:r>
      <w:r w:rsidRPr="00632945">
        <w:t>, Samantha J. Mills</w:t>
      </w:r>
      <w:r w:rsidRPr="00632945">
        <w:rPr>
          <w:vertAlign w:val="superscript"/>
        </w:rPr>
        <w:t>4</w:t>
      </w:r>
      <w:r w:rsidR="00E5550D">
        <w:t xml:space="preserve">, </w:t>
      </w:r>
      <w:r w:rsidRPr="00632945">
        <w:t>Andrew R. Brodbelt</w:t>
      </w:r>
      <w:r w:rsidRPr="00632945">
        <w:rPr>
          <w:vertAlign w:val="superscript"/>
        </w:rPr>
        <w:t xml:space="preserve">1,2 </w:t>
      </w:r>
      <w:r w:rsidRPr="00632945">
        <w:t>&amp; Michael D. Jenkinson</w:t>
      </w:r>
      <w:r w:rsidRPr="00632945">
        <w:rPr>
          <w:vertAlign w:val="superscript"/>
        </w:rPr>
        <w:t>1,2</w:t>
      </w:r>
      <w:r>
        <w:t xml:space="preserve">. </w:t>
      </w:r>
    </w:p>
    <w:p w14:paraId="5D117345" w14:textId="77777777" w:rsidR="001E714A" w:rsidRDefault="001E714A" w:rsidP="00E5550D">
      <w:pPr>
        <w:spacing w:line="276" w:lineRule="auto"/>
        <w:jc w:val="both"/>
      </w:pPr>
    </w:p>
    <w:p w14:paraId="46F8BC58" w14:textId="356F8753" w:rsidR="00632945" w:rsidRPr="00D77398" w:rsidRDefault="00632945" w:rsidP="00E5550D">
      <w:pPr>
        <w:spacing w:line="276" w:lineRule="auto"/>
        <w:jc w:val="both"/>
        <w:rPr>
          <w:b/>
          <w:bCs/>
        </w:rPr>
      </w:pPr>
      <w:r w:rsidRPr="00D77398">
        <w:rPr>
          <w:b/>
          <w:bCs/>
        </w:rPr>
        <w:t>Affiliations</w:t>
      </w:r>
    </w:p>
    <w:p w14:paraId="181F99A4" w14:textId="0607E72E" w:rsidR="00632945" w:rsidRDefault="00D77398" w:rsidP="00E5550D">
      <w:pPr>
        <w:pStyle w:val="ListParagraph"/>
        <w:numPr>
          <w:ilvl w:val="0"/>
          <w:numId w:val="8"/>
        </w:numPr>
        <w:spacing w:line="276" w:lineRule="auto"/>
        <w:jc w:val="both"/>
      </w:pPr>
      <w:r w:rsidRPr="00D77398">
        <w:t>Institute of Systems, Molecular and Integrative Biology</w:t>
      </w:r>
      <w:r w:rsidR="00632945">
        <w:t>, University of Liverpool, Liverpool, UK</w:t>
      </w:r>
    </w:p>
    <w:p w14:paraId="0BE37B49" w14:textId="68EEC31A" w:rsidR="00632945" w:rsidRDefault="00632945" w:rsidP="00E5550D">
      <w:pPr>
        <w:pStyle w:val="ListParagraph"/>
        <w:numPr>
          <w:ilvl w:val="0"/>
          <w:numId w:val="8"/>
        </w:numPr>
        <w:spacing w:line="276" w:lineRule="auto"/>
        <w:jc w:val="both"/>
      </w:pPr>
      <w:r>
        <w:t>Department of Neurosurgery, The Walton Centre</w:t>
      </w:r>
      <w:r w:rsidR="00D77398">
        <w:t xml:space="preserve"> NHS Foundation Trust</w:t>
      </w:r>
      <w:r>
        <w:t>, Liverpool, UK</w:t>
      </w:r>
    </w:p>
    <w:p w14:paraId="0AB97B96" w14:textId="25E836F8" w:rsidR="00632945" w:rsidRDefault="00632945" w:rsidP="00E5550D">
      <w:pPr>
        <w:pStyle w:val="ListParagraph"/>
        <w:numPr>
          <w:ilvl w:val="0"/>
          <w:numId w:val="8"/>
        </w:numPr>
        <w:spacing w:line="276" w:lineRule="auto"/>
        <w:jc w:val="both"/>
      </w:pPr>
      <w:r>
        <w:t>Department of Clinical Neurosciences, Salford Royal Hospital</w:t>
      </w:r>
      <w:r w:rsidR="00D77398">
        <w:t xml:space="preserve"> NHS Foundation Trust</w:t>
      </w:r>
      <w:r>
        <w:t xml:space="preserve">, Manchester, UK </w:t>
      </w:r>
    </w:p>
    <w:p w14:paraId="39A0CCCC" w14:textId="4CC17FE2" w:rsidR="00CF4635" w:rsidRDefault="00632945" w:rsidP="00E5550D">
      <w:pPr>
        <w:pStyle w:val="ListParagraph"/>
        <w:numPr>
          <w:ilvl w:val="0"/>
          <w:numId w:val="8"/>
        </w:numPr>
        <w:spacing w:line="276" w:lineRule="auto"/>
        <w:jc w:val="both"/>
      </w:pPr>
      <w:r>
        <w:t>Department of Neuroradiology, The Walton Centre</w:t>
      </w:r>
      <w:r w:rsidR="00D77398">
        <w:t xml:space="preserve"> NHS Foundation Trust</w:t>
      </w:r>
      <w:r>
        <w:t>, Liverpool, UK</w:t>
      </w:r>
    </w:p>
    <w:p w14:paraId="04F3A03D" w14:textId="1156F877" w:rsidR="00CF4635" w:rsidRDefault="00CF4635" w:rsidP="00E5550D">
      <w:pPr>
        <w:spacing w:line="276" w:lineRule="auto"/>
        <w:jc w:val="both"/>
      </w:pPr>
    </w:p>
    <w:p w14:paraId="02A6A10C" w14:textId="6768AADB" w:rsidR="00D77398" w:rsidRPr="00D77398" w:rsidRDefault="00D77398" w:rsidP="00E5550D">
      <w:pPr>
        <w:spacing w:line="276" w:lineRule="auto"/>
        <w:jc w:val="both"/>
        <w:rPr>
          <w:b/>
          <w:bCs/>
        </w:rPr>
      </w:pPr>
      <w:r w:rsidRPr="00D77398">
        <w:rPr>
          <w:b/>
          <w:bCs/>
        </w:rPr>
        <w:t>Corresponding author</w:t>
      </w:r>
    </w:p>
    <w:p w14:paraId="4D7CFC29" w14:textId="77777777" w:rsidR="00D77398" w:rsidRDefault="00D77398" w:rsidP="00E5550D">
      <w:pPr>
        <w:spacing w:line="276" w:lineRule="auto"/>
        <w:jc w:val="both"/>
      </w:pPr>
      <w:r>
        <w:t>Dr Abdurrahman I Islim</w:t>
      </w:r>
    </w:p>
    <w:p w14:paraId="4EE29094" w14:textId="77777777" w:rsidR="00D77398" w:rsidRDefault="00D77398" w:rsidP="00E5550D">
      <w:pPr>
        <w:spacing w:line="276" w:lineRule="auto"/>
        <w:jc w:val="both"/>
      </w:pPr>
      <w:r>
        <w:t>Institute of Systems, Molecular and Integrative Biology, University of Liverpool</w:t>
      </w:r>
    </w:p>
    <w:p w14:paraId="64D16CE2" w14:textId="77777777" w:rsidR="00D77398" w:rsidRDefault="00D77398" w:rsidP="00E5550D">
      <w:pPr>
        <w:spacing w:line="276" w:lineRule="auto"/>
        <w:jc w:val="both"/>
      </w:pPr>
      <w:r>
        <w:t>Crown street, Liverpool, UK, L69 7BE</w:t>
      </w:r>
    </w:p>
    <w:p w14:paraId="514B0240" w14:textId="77777777" w:rsidR="00D77398" w:rsidRDefault="00D77398" w:rsidP="00E5550D">
      <w:pPr>
        <w:spacing w:line="276" w:lineRule="auto"/>
        <w:jc w:val="both"/>
      </w:pPr>
      <w:r>
        <w:t>Email: a.islim@doctors.org.uk</w:t>
      </w:r>
    </w:p>
    <w:p w14:paraId="50869877" w14:textId="45A23D85" w:rsidR="00CF4635" w:rsidRDefault="00D77398" w:rsidP="00E5550D">
      <w:pPr>
        <w:spacing w:line="276" w:lineRule="auto"/>
        <w:jc w:val="both"/>
      </w:pPr>
      <w:r>
        <w:t>Telephone: +44 (0)151 795 4400</w:t>
      </w:r>
    </w:p>
    <w:p w14:paraId="01F7DC05" w14:textId="1CC050D5" w:rsidR="00CF4635" w:rsidRDefault="00CF4635" w:rsidP="00E5550D">
      <w:pPr>
        <w:spacing w:line="276" w:lineRule="auto"/>
        <w:jc w:val="both"/>
      </w:pPr>
    </w:p>
    <w:p w14:paraId="098CFEC0" w14:textId="77777777" w:rsidR="00D77398" w:rsidRPr="00D77398" w:rsidRDefault="00D77398" w:rsidP="00E5550D">
      <w:pPr>
        <w:spacing w:line="276" w:lineRule="auto"/>
        <w:jc w:val="both"/>
        <w:rPr>
          <w:b/>
          <w:bCs/>
        </w:rPr>
      </w:pPr>
      <w:r w:rsidRPr="00D77398">
        <w:rPr>
          <w:b/>
          <w:bCs/>
        </w:rPr>
        <w:t>Conflicts of interest</w:t>
      </w:r>
    </w:p>
    <w:p w14:paraId="0115BC9B" w14:textId="3DF76807" w:rsidR="00D77398" w:rsidRDefault="00D77398" w:rsidP="00E5550D">
      <w:pPr>
        <w:spacing w:line="276" w:lineRule="auto"/>
        <w:jc w:val="both"/>
      </w:pPr>
      <w:r>
        <w:t>The authors report no conflicts of interest in relationship to this work.</w:t>
      </w:r>
    </w:p>
    <w:p w14:paraId="575EB593" w14:textId="77777777" w:rsidR="00D77398" w:rsidRDefault="00D77398" w:rsidP="00E5550D">
      <w:pPr>
        <w:spacing w:line="276" w:lineRule="auto"/>
        <w:jc w:val="both"/>
      </w:pPr>
    </w:p>
    <w:p w14:paraId="39F14A45" w14:textId="77777777" w:rsidR="00D77398" w:rsidRPr="00D77398" w:rsidRDefault="00D77398" w:rsidP="00E5550D">
      <w:pPr>
        <w:spacing w:line="276" w:lineRule="auto"/>
        <w:jc w:val="both"/>
        <w:rPr>
          <w:b/>
          <w:bCs/>
        </w:rPr>
      </w:pPr>
      <w:r w:rsidRPr="00D77398">
        <w:rPr>
          <w:b/>
          <w:bCs/>
        </w:rPr>
        <w:t>Funding</w:t>
      </w:r>
    </w:p>
    <w:p w14:paraId="18E9CAE2" w14:textId="18538028" w:rsidR="00CF4635" w:rsidRDefault="00D77398" w:rsidP="00E5550D">
      <w:pPr>
        <w:spacing w:line="276" w:lineRule="auto"/>
        <w:jc w:val="both"/>
      </w:pPr>
      <w:r>
        <w:t xml:space="preserve">The authors have not received any funding to complete this </w:t>
      </w:r>
      <w:r w:rsidR="00630F57">
        <w:t xml:space="preserve">study. </w:t>
      </w:r>
    </w:p>
    <w:p w14:paraId="64A14CA6" w14:textId="1B06582B" w:rsidR="00D77398" w:rsidRDefault="00D77398" w:rsidP="00E5550D">
      <w:pPr>
        <w:spacing w:line="276" w:lineRule="auto"/>
        <w:jc w:val="both"/>
      </w:pPr>
    </w:p>
    <w:p w14:paraId="2AA3CBA2" w14:textId="77777777" w:rsidR="006F5D00" w:rsidRDefault="00D77398" w:rsidP="00E5550D">
      <w:pPr>
        <w:spacing w:line="276" w:lineRule="auto"/>
        <w:jc w:val="both"/>
        <w:rPr>
          <w:b/>
          <w:bCs/>
        </w:rPr>
      </w:pPr>
      <w:r w:rsidRPr="00D77398">
        <w:rPr>
          <w:b/>
          <w:bCs/>
        </w:rPr>
        <w:t>Word count</w:t>
      </w:r>
    </w:p>
    <w:p w14:paraId="544558D9" w14:textId="7D4719B4" w:rsidR="006F5D00" w:rsidRPr="00630F57" w:rsidRDefault="00630F57" w:rsidP="006F5D00">
      <w:pPr>
        <w:spacing w:line="276" w:lineRule="auto"/>
        <w:jc w:val="both"/>
      </w:pPr>
      <w:r w:rsidRPr="00630F57">
        <w:t xml:space="preserve">2586 </w:t>
      </w:r>
      <w:r>
        <w:t>words</w:t>
      </w:r>
    </w:p>
    <w:p w14:paraId="39DD8338" w14:textId="77777777" w:rsidR="006F5D00" w:rsidRDefault="006F5D00" w:rsidP="006F5D00">
      <w:pPr>
        <w:spacing w:line="276" w:lineRule="auto"/>
        <w:jc w:val="both"/>
        <w:rPr>
          <w:b/>
          <w:bCs/>
        </w:rPr>
      </w:pPr>
    </w:p>
    <w:p w14:paraId="4B41E96D" w14:textId="5E5717CE" w:rsidR="006F5D00" w:rsidRDefault="006F5D00" w:rsidP="006F5D00">
      <w:pPr>
        <w:spacing w:line="276" w:lineRule="auto"/>
        <w:jc w:val="both"/>
        <w:rPr>
          <w:b/>
          <w:bCs/>
        </w:rPr>
      </w:pPr>
    </w:p>
    <w:p w14:paraId="6350BD82" w14:textId="77777777" w:rsidR="006F5D00" w:rsidRDefault="006F5D00" w:rsidP="006F5D00">
      <w:pPr>
        <w:spacing w:line="276" w:lineRule="auto"/>
        <w:jc w:val="both"/>
        <w:rPr>
          <w:b/>
          <w:bCs/>
        </w:rPr>
      </w:pPr>
    </w:p>
    <w:p w14:paraId="5F64754A" w14:textId="77777777" w:rsidR="006F5D00" w:rsidRDefault="006F5D00" w:rsidP="006F5D00">
      <w:pPr>
        <w:spacing w:line="276" w:lineRule="auto"/>
        <w:jc w:val="both"/>
        <w:rPr>
          <w:b/>
          <w:bCs/>
        </w:rPr>
      </w:pPr>
    </w:p>
    <w:p w14:paraId="5D8D42ED" w14:textId="77777777" w:rsidR="006F5D00" w:rsidRDefault="006F5D00" w:rsidP="006F5D00">
      <w:pPr>
        <w:spacing w:line="276" w:lineRule="auto"/>
        <w:jc w:val="both"/>
        <w:rPr>
          <w:b/>
          <w:bCs/>
        </w:rPr>
      </w:pPr>
    </w:p>
    <w:p w14:paraId="2681362C" w14:textId="4E39226F" w:rsidR="00CF4635" w:rsidRPr="006F5D00" w:rsidRDefault="006F5D00" w:rsidP="0007491E">
      <w:pPr>
        <w:pStyle w:val="Heading1"/>
        <w:spacing w:line="360" w:lineRule="auto"/>
        <w:rPr>
          <w:rFonts w:asciiTheme="minorHAnsi" w:hAnsiTheme="minorHAnsi" w:cstheme="minorHAnsi"/>
          <w:b/>
          <w:bCs/>
          <w:color w:val="auto"/>
          <w:sz w:val="28"/>
          <w:szCs w:val="28"/>
        </w:rPr>
      </w:pPr>
      <w:r w:rsidRPr="006F5D00">
        <w:rPr>
          <w:rFonts w:asciiTheme="minorHAnsi" w:hAnsiTheme="minorHAnsi" w:cstheme="minorHAnsi"/>
          <w:b/>
          <w:bCs/>
          <w:color w:val="auto"/>
          <w:sz w:val="28"/>
          <w:szCs w:val="28"/>
        </w:rPr>
        <w:lastRenderedPageBreak/>
        <w:t>ABSTRACT</w:t>
      </w:r>
    </w:p>
    <w:p w14:paraId="1741DFBA" w14:textId="77777777" w:rsidR="00632945" w:rsidRPr="006F5D00" w:rsidRDefault="00632945" w:rsidP="0007491E">
      <w:pPr>
        <w:pStyle w:val="Heading2"/>
        <w:spacing w:line="360" w:lineRule="auto"/>
        <w:rPr>
          <w:rFonts w:asciiTheme="minorHAnsi" w:hAnsiTheme="minorHAnsi" w:cstheme="minorHAnsi"/>
          <w:color w:val="000000" w:themeColor="text1"/>
          <w:sz w:val="24"/>
          <w:szCs w:val="24"/>
          <w:u w:val="single"/>
        </w:rPr>
      </w:pPr>
      <w:r w:rsidRPr="006F5D00">
        <w:rPr>
          <w:rFonts w:asciiTheme="minorHAnsi" w:hAnsiTheme="minorHAnsi" w:cstheme="minorHAnsi"/>
          <w:color w:val="000000" w:themeColor="text1"/>
          <w:sz w:val="24"/>
          <w:szCs w:val="24"/>
          <w:u w:val="single"/>
        </w:rPr>
        <w:t>Background</w:t>
      </w:r>
    </w:p>
    <w:p w14:paraId="4C9863F6" w14:textId="2663B6D7" w:rsidR="00632945" w:rsidRPr="006F5D00" w:rsidRDefault="00632945" w:rsidP="0007491E">
      <w:pPr>
        <w:spacing w:line="360" w:lineRule="auto"/>
        <w:jc w:val="both"/>
        <w:rPr>
          <w:sz w:val="22"/>
          <w:szCs w:val="22"/>
        </w:rPr>
      </w:pPr>
      <w:r w:rsidRPr="006F5D00">
        <w:rPr>
          <w:sz w:val="22"/>
          <w:szCs w:val="22"/>
        </w:rPr>
        <w:t xml:space="preserve">Sporadic multiple meningioma are uncommon. </w:t>
      </w:r>
      <w:r w:rsidR="00387E06">
        <w:rPr>
          <w:sz w:val="22"/>
          <w:szCs w:val="22"/>
        </w:rPr>
        <w:t>P</w:t>
      </w:r>
      <w:r w:rsidRPr="006F5D00">
        <w:rPr>
          <w:sz w:val="22"/>
          <w:szCs w:val="22"/>
        </w:rPr>
        <w:t>opulation</w:t>
      </w:r>
      <w:r w:rsidR="00387E06">
        <w:rPr>
          <w:sz w:val="22"/>
          <w:szCs w:val="22"/>
        </w:rPr>
        <w:t>-based</w:t>
      </w:r>
      <w:r w:rsidRPr="006F5D00">
        <w:rPr>
          <w:sz w:val="22"/>
          <w:szCs w:val="22"/>
        </w:rPr>
        <w:t xml:space="preserve"> data </w:t>
      </w:r>
      <w:r w:rsidR="00387E06">
        <w:rPr>
          <w:sz w:val="22"/>
          <w:szCs w:val="22"/>
        </w:rPr>
        <w:t xml:space="preserve">suggests that </w:t>
      </w:r>
      <w:r w:rsidRPr="006F5D00">
        <w:rPr>
          <w:sz w:val="22"/>
          <w:szCs w:val="22"/>
        </w:rPr>
        <w:t xml:space="preserve">these patients have a reduced overall survival when compared to patients with solitary meningioma. </w:t>
      </w:r>
      <w:r w:rsidR="00387E06">
        <w:rPr>
          <w:sz w:val="22"/>
          <w:szCs w:val="22"/>
        </w:rPr>
        <w:t xml:space="preserve">The </w:t>
      </w:r>
      <w:r w:rsidRPr="006F5D00">
        <w:rPr>
          <w:sz w:val="22"/>
          <w:szCs w:val="22"/>
        </w:rPr>
        <w:t>aim</w:t>
      </w:r>
      <w:r w:rsidR="00387E06">
        <w:rPr>
          <w:sz w:val="22"/>
          <w:szCs w:val="22"/>
        </w:rPr>
        <w:t xml:space="preserve"> of this study was to </w:t>
      </w:r>
      <w:r w:rsidR="003635FE">
        <w:rPr>
          <w:sz w:val="22"/>
          <w:szCs w:val="22"/>
        </w:rPr>
        <w:t>investigate</w:t>
      </w:r>
      <w:r w:rsidR="00387E06">
        <w:rPr>
          <w:sz w:val="22"/>
          <w:szCs w:val="22"/>
        </w:rPr>
        <w:t xml:space="preserve"> </w:t>
      </w:r>
      <w:r w:rsidR="003635FE">
        <w:rPr>
          <w:sz w:val="22"/>
          <w:szCs w:val="22"/>
        </w:rPr>
        <w:t>the clinical outcomes in multiple and solitary meningioma.</w:t>
      </w:r>
    </w:p>
    <w:p w14:paraId="33B440AD" w14:textId="77777777" w:rsidR="00CF4635" w:rsidRPr="006F5D00" w:rsidRDefault="00632945" w:rsidP="0007491E">
      <w:pPr>
        <w:pStyle w:val="Heading2"/>
        <w:spacing w:line="360" w:lineRule="auto"/>
        <w:rPr>
          <w:rFonts w:asciiTheme="minorHAnsi" w:hAnsiTheme="minorHAnsi" w:cstheme="minorHAnsi"/>
          <w:color w:val="000000" w:themeColor="text1"/>
          <w:sz w:val="24"/>
          <w:szCs w:val="24"/>
          <w:u w:val="single"/>
        </w:rPr>
      </w:pPr>
      <w:r w:rsidRPr="006F5D00">
        <w:rPr>
          <w:rFonts w:asciiTheme="minorHAnsi" w:hAnsiTheme="minorHAnsi" w:cstheme="minorHAnsi"/>
          <w:color w:val="000000" w:themeColor="text1"/>
          <w:sz w:val="24"/>
          <w:szCs w:val="24"/>
          <w:u w:val="single"/>
        </w:rPr>
        <w:t>Methods</w:t>
      </w:r>
    </w:p>
    <w:p w14:paraId="434D72E8" w14:textId="03A4F16E" w:rsidR="00CF4635" w:rsidRPr="006F5D00" w:rsidRDefault="00CF4635" w:rsidP="0007491E">
      <w:pPr>
        <w:spacing w:line="360" w:lineRule="auto"/>
        <w:jc w:val="both"/>
        <w:rPr>
          <w:sz w:val="22"/>
          <w:szCs w:val="22"/>
        </w:rPr>
      </w:pPr>
      <w:r w:rsidRPr="006F5D00">
        <w:rPr>
          <w:sz w:val="22"/>
          <w:szCs w:val="22"/>
        </w:rPr>
        <w:t>A single-centre matched cohort study (2008-2018)</w:t>
      </w:r>
      <w:r w:rsidR="00D51267">
        <w:rPr>
          <w:sz w:val="22"/>
          <w:szCs w:val="22"/>
        </w:rPr>
        <w:t xml:space="preserve"> was performed</w:t>
      </w:r>
      <w:r w:rsidRPr="006F5D00">
        <w:rPr>
          <w:sz w:val="22"/>
          <w:szCs w:val="22"/>
        </w:rPr>
        <w:t xml:space="preserve">. Patients with synchronous multiple meningioma at presentation, with no history of prior intracranial radiation, concurrent hormone replacement therapy or features of </w:t>
      </w:r>
      <w:r w:rsidR="006C5F77">
        <w:rPr>
          <w:sz w:val="22"/>
          <w:szCs w:val="22"/>
        </w:rPr>
        <w:t>NF</w:t>
      </w:r>
      <w:r w:rsidRPr="006F5D00">
        <w:rPr>
          <w:sz w:val="22"/>
          <w:szCs w:val="22"/>
        </w:rPr>
        <w:t>2</w:t>
      </w:r>
      <w:r w:rsidR="006C5F77">
        <w:rPr>
          <w:sz w:val="22"/>
          <w:szCs w:val="22"/>
        </w:rPr>
        <w:t>-schwannomatosis</w:t>
      </w:r>
      <w:r w:rsidRPr="006F5D00">
        <w:rPr>
          <w:sz w:val="22"/>
          <w:szCs w:val="22"/>
        </w:rPr>
        <w:t xml:space="preserve"> were included. </w:t>
      </w:r>
      <w:r w:rsidR="00632945" w:rsidRPr="006F5D00">
        <w:rPr>
          <w:sz w:val="22"/>
          <w:szCs w:val="22"/>
        </w:rPr>
        <w:t xml:space="preserve">Eligible patients were matched 1:1 to patients with solitary meningioma. Outcomes </w:t>
      </w:r>
      <w:r w:rsidR="006C5F77">
        <w:rPr>
          <w:sz w:val="22"/>
          <w:szCs w:val="22"/>
        </w:rPr>
        <w:t xml:space="preserve">of interest </w:t>
      </w:r>
      <w:r w:rsidR="00632945" w:rsidRPr="006F5D00">
        <w:rPr>
          <w:sz w:val="22"/>
          <w:szCs w:val="22"/>
        </w:rPr>
        <w:t xml:space="preserve">were occurrence of an intervention, recurrence, new meningioma development and mortality. </w:t>
      </w:r>
    </w:p>
    <w:p w14:paraId="337A3076" w14:textId="77777777" w:rsidR="00632945" w:rsidRPr="006F5D00" w:rsidRDefault="00632945" w:rsidP="0007491E">
      <w:pPr>
        <w:pStyle w:val="Heading2"/>
        <w:spacing w:line="360" w:lineRule="auto"/>
        <w:rPr>
          <w:rFonts w:asciiTheme="minorHAnsi" w:hAnsiTheme="minorHAnsi" w:cstheme="minorHAnsi"/>
          <w:color w:val="000000" w:themeColor="text1"/>
          <w:sz w:val="24"/>
          <w:szCs w:val="24"/>
          <w:u w:val="single"/>
        </w:rPr>
      </w:pPr>
      <w:r w:rsidRPr="006F5D00">
        <w:rPr>
          <w:rFonts w:asciiTheme="minorHAnsi" w:hAnsiTheme="minorHAnsi" w:cstheme="minorHAnsi"/>
          <w:color w:val="000000" w:themeColor="text1"/>
          <w:sz w:val="24"/>
          <w:szCs w:val="24"/>
          <w:u w:val="single"/>
        </w:rPr>
        <w:t>Results</w:t>
      </w:r>
    </w:p>
    <w:p w14:paraId="1EEFE8C4" w14:textId="1E544695" w:rsidR="00CF4635" w:rsidRPr="006F5D00" w:rsidRDefault="00632945" w:rsidP="0007491E">
      <w:pPr>
        <w:spacing w:line="360" w:lineRule="auto"/>
        <w:jc w:val="both"/>
        <w:rPr>
          <w:sz w:val="22"/>
          <w:szCs w:val="22"/>
        </w:rPr>
      </w:pPr>
      <w:r w:rsidRPr="006F5D00">
        <w:rPr>
          <w:sz w:val="22"/>
          <w:szCs w:val="22"/>
        </w:rPr>
        <w:t>Th</w:t>
      </w:r>
      <w:r w:rsidR="00D51267">
        <w:rPr>
          <w:sz w:val="22"/>
          <w:szCs w:val="22"/>
        </w:rPr>
        <w:t>irty-four patients harboring 76</w:t>
      </w:r>
      <w:r w:rsidRPr="006F5D00">
        <w:rPr>
          <w:sz w:val="22"/>
          <w:szCs w:val="22"/>
        </w:rPr>
        <w:t xml:space="preserve"> meningioma at presentation were included. Mean age was 59.3 years (SD=13.5). Thirty-one (91.2%) were female. The median number of meningio</w:t>
      </w:r>
      <w:r w:rsidR="00D51267">
        <w:rPr>
          <w:sz w:val="22"/>
          <w:szCs w:val="22"/>
        </w:rPr>
        <w:t>ma per patient was 2 (range 2-6</w:t>
      </w:r>
      <w:r w:rsidRPr="006F5D00">
        <w:rPr>
          <w:sz w:val="22"/>
          <w:szCs w:val="22"/>
        </w:rPr>
        <w:t>). Eighteen patients (52.9%) w</w:t>
      </w:r>
      <w:r w:rsidR="00D51267">
        <w:rPr>
          <w:sz w:val="22"/>
          <w:szCs w:val="22"/>
        </w:rPr>
        <w:t xml:space="preserve">ere symptomatic at presentation. </w:t>
      </w:r>
      <w:r w:rsidR="003635FE">
        <w:rPr>
          <w:sz w:val="22"/>
          <w:szCs w:val="22"/>
        </w:rPr>
        <w:t>M</w:t>
      </w:r>
      <w:r w:rsidR="003635FE" w:rsidRPr="006F5D00">
        <w:rPr>
          <w:sz w:val="22"/>
          <w:szCs w:val="22"/>
        </w:rPr>
        <w:t xml:space="preserve">edian </w:t>
      </w:r>
      <w:r w:rsidR="003635FE">
        <w:rPr>
          <w:sz w:val="22"/>
          <w:szCs w:val="22"/>
        </w:rPr>
        <w:t>o</w:t>
      </w:r>
      <w:r w:rsidRPr="006F5D00">
        <w:rPr>
          <w:sz w:val="22"/>
          <w:szCs w:val="22"/>
        </w:rPr>
        <w:t xml:space="preserve">verall follow-up was 80.6 months (IQR 44.1-99.6). Compared to patients with a sporadic meningioma, there was no difference in intervention rates (67.6% vs 70.6%, P=0.792). Eight patients (34.8%) with a multiple meningioma </w:t>
      </w:r>
      <w:r w:rsidR="003635FE">
        <w:rPr>
          <w:sz w:val="22"/>
          <w:szCs w:val="22"/>
        </w:rPr>
        <w:t>had</w:t>
      </w:r>
      <w:r w:rsidR="003635FE" w:rsidRPr="006F5D00">
        <w:rPr>
          <w:sz w:val="22"/>
          <w:szCs w:val="22"/>
        </w:rPr>
        <w:t xml:space="preserve"> </w:t>
      </w:r>
      <w:r w:rsidRPr="006F5D00">
        <w:rPr>
          <w:sz w:val="22"/>
          <w:szCs w:val="22"/>
        </w:rPr>
        <w:t>a WHO grade 2 meningioma compared to 7 (29.2%) with a solitary meningioma (P=0.679). Median recurrence</w:t>
      </w:r>
      <w:r w:rsidR="00DE1BBD">
        <w:rPr>
          <w:sz w:val="22"/>
          <w:szCs w:val="22"/>
        </w:rPr>
        <w:t>-</w:t>
      </w:r>
      <w:r w:rsidRPr="006F5D00">
        <w:rPr>
          <w:sz w:val="22"/>
          <w:szCs w:val="22"/>
        </w:rPr>
        <w:t xml:space="preserve">free survival was 89 months (95% CI 76-104) with no difference </w:t>
      </w:r>
      <w:r w:rsidR="003635FE">
        <w:rPr>
          <w:sz w:val="22"/>
          <w:szCs w:val="22"/>
        </w:rPr>
        <w:t>between</w:t>
      </w:r>
      <w:r w:rsidR="003635FE" w:rsidRPr="006F5D00">
        <w:rPr>
          <w:sz w:val="22"/>
          <w:szCs w:val="22"/>
        </w:rPr>
        <w:t xml:space="preserve"> </w:t>
      </w:r>
      <w:r w:rsidRPr="006F5D00">
        <w:rPr>
          <w:sz w:val="22"/>
          <w:szCs w:val="22"/>
        </w:rPr>
        <w:t>the two groups (P=0.</w:t>
      </w:r>
      <w:r w:rsidR="00BF33D6">
        <w:rPr>
          <w:sz w:val="22"/>
          <w:szCs w:val="22"/>
        </w:rPr>
        <w:t>209</w:t>
      </w:r>
      <w:r w:rsidRPr="006F5D00">
        <w:rPr>
          <w:sz w:val="22"/>
          <w:szCs w:val="22"/>
        </w:rPr>
        <w:t xml:space="preserve">). Mean overall survival was 132 months (95% CI 127-138) with no difference </w:t>
      </w:r>
      <w:r w:rsidR="003635FE">
        <w:rPr>
          <w:sz w:val="22"/>
          <w:szCs w:val="22"/>
        </w:rPr>
        <w:t>between</w:t>
      </w:r>
      <w:r w:rsidR="003635FE" w:rsidRPr="006F5D00">
        <w:rPr>
          <w:sz w:val="22"/>
          <w:szCs w:val="22"/>
        </w:rPr>
        <w:t xml:space="preserve"> </w:t>
      </w:r>
      <w:r w:rsidRPr="006F5D00">
        <w:rPr>
          <w:sz w:val="22"/>
          <w:szCs w:val="22"/>
        </w:rPr>
        <w:t>the two groups (P=0.</w:t>
      </w:r>
      <w:r w:rsidR="00372A77">
        <w:rPr>
          <w:sz w:val="22"/>
          <w:szCs w:val="22"/>
        </w:rPr>
        <w:t>860</w:t>
      </w:r>
      <w:r w:rsidRPr="006F5D00">
        <w:rPr>
          <w:sz w:val="22"/>
          <w:szCs w:val="22"/>
        </w:rPr>
        <w:t xml:space="preserve">). One patient with multiple meningioma developed two further new meningioma 36 months following diagnosis. </w:t>
      </w:r>
    </w:p>
    <w:p w14:paraId="6810A681" w14:textId="77777777" w:rsidR="00632945" w:rsidRPr="006F5D00" w:rsidRDefault="00632945" w:rsidP="0007491E">
      <w:pPr>
        <w:pStyle w:val="Heading2"/>
        <w:spacing w:line="360" w:lineRule="auto"/>
        <w:rPr>
          <w:rFonts w:asciiTheme="minorHAnsi" w:hAnsiTheme="minorHAnsi" w:cstheme="minorHAnsi"/>
          <w:color w:val="000000" w:themeColor="text1"/>
          <w:sz w:val="24"/>
          <w:szCs w:val="24"/>
          <w:u w:val="single"/>
        </w:rPr>
      </w:pPr>
      <w:r w:rsidRPr="006F5D00">
        <w:rPr>
          <w:rFonts w:asciiTheme="minorHAnsi" w:hAnsiTheme="minorHAnsi" w:cstheme="minorHAnsi"/>
          <w:color w:val="000000" w:themeColor="text1"/>
          <w:sz w:val="24"/>
          <w:szCs w:val="24"/>
          <w:u w:val="single"/>
        </w:rPr>
        <w:t>Conclusion</w:t>
      </w:r>
    </w:p>
    <w:p w14:paraId="507E50ED" w14:textId="22248E68" w:rsidR="00632945" w:rsidRDefault="00632945" w:rsidP="0007491E">
      <w:pPr>
        <w:spacing w:line="360" w:lineRule="auto"/>
        <w:jc w:val="both"/>
        <w:rPr>
          <w:sz w:val="22"/>
          <w:szCs w:val="22"/>
        </w:rPr>
      </w:pPr>
      <w:r w:rsidRPr="006F5D00">
        <w:rPr>
          <w:sz w:val="22"/>
          <w:szCs w:val="22"/>
        </w:rPr>
        <w:t>Sporadic multipl</w:t>
      </w:r>
      <w:r w:rsidR="003635FE">
        <w:rPr>
          <w:sz w:val="22"/>
          <w:szCs w:val="22"/>
        </w:rPr>
        <w:t xml:space="preserve">e </w:t>
      </w:r>
      <w:r w:rsidRPr="006F5D00">
        <w:rPr>
          <w:sz w:val="22"/>
          <w:szCs w:val="22"/>
        </w:rPr>
        <w:t xml:space="preserve">meningioma </w:t>
      </w:r>
      <w:r w:rsidR="00B11313">
        <w:rPr>
          <w:sz w:val="22"/>
          <w:szCs w:val="22"/>
        </w:rPr>
        <w:t>may</w:t>
      </w:r>
      <w:r w:rsidR="00B11313" w:rsidRPr="006F5D00">
        <w:rPr>
          <w:sz w:val="22"/>
          <w:szCs w:val="22"/>
        </w:rPr>
        <w:t xml:space="preserve"> </w:t>
      </w:r>
      <w:r w:rsidRPr="006F5D00">
        <w:rPr>
          <w:sz w:val="22"/>
          <w:szCs w:val="22"/>
        </w:rPr>
        <w:t xml:space="preserve">not </w:t>
      </w:r>
      <w:r w:rsidR="003635FE">
        <w:rPr>
          <w:sz w:val="22"/>
          <w:szCs w:val="22"/>
        </w:rPr>
        <w:t xml:space="preserve">have </w:t>
      </w:r>
      <w:r w:rsidRPr="006F5D00">
        <w:rPr>
          <w:sz w:val="22"/>
          <w:szCs w:val="22"/>
        </w:rPr>
        <w:t xml:space="preserve">worse </w:t>
      </w:r>
      <w:r w:rsidR="003635FE">
        <w:rPr>
          <w:sz w:val="22"/>
          <w:szCs w:val="22"/>
        </w:rPr>
        <w:t xml:space="preserve">clinical </w:t>
      </w:r>
      <w:r w:rsidRPr="006F5D00">
        <w:rPr>
          <w:sz w:val="22"/>
          <w:szCs w:val="22"/>
        </w:rPr>
        <w:t xml:space="preserve">outcomes. Management of patients with sporadic multiple meningioma </w:t>
      </w:r>
      <w:r w:rsidR="003635FE">
        <w:rPr>
          <w:sz w:val="22"/>
          <w:szCs w:val="22"/>
        </w:rPr>
        <w:t xml:space="preserve">should </w:t>
      </w:r>
      <w:r w:rsidRPr="006F5D00">
        <w:rPr>
          <w:sz w:val="22"/>
          <w:szCs w:val="22"/>
        </w:rPr>
        <w:t>be tailored towards the symptomatic meningioma or high-risk asymptomatic meningioma.</w:t>
      </w:r>
    </w:p>
    <w:p w14:paraId="1AD44658" w14:textId="5C9B6FB7" w:rsidR="00744388" w:rsidRDefault="00744388" w:rsidP="0007491E">
      <w:pPr>
        <w:spacing w:line="360" w:lineRule="auto"/>
        <w:jc w:val="both"/>
        <w:rPr>
          <w:sz w:val="22"/>
          <w:szCs w:val="22"/>
        </w:rPr>
      </w:pPr>
    </w:p>
    <w:p w14:paraId="52199FD6" w14:textId="3C15C536" w:rsidR="00744388" w:rsidRDefault="00744388" w:rsidP="0007491E">
      <w:pPr>
        <w:spacing w:line="360" w:lineRule="auto"/>
        <w:jc w:val="both"/>
        <w:rPr>
          <w:sz w:val="22"/>
          <w:szCs w:val="22"/>
        </w:rPr>
      </w:pPr>
    </w:p>
    <w:p w14:paraId="2A3B74BF" w14:textId="45FA8BD8" w:rsidR="00744388" w:rsidRDefault="00744388" w:rsidP="0007491E">
      <w:pPr>
        <w:spacing w:line="360" w:lineRule="auto"/>
        <w:jc w:val="both"/>
        <w:rPr>
          <w:sz w:val="22"/>
          <w:szCs w:val="22"/>
        </w:rPr>
      </w:pPr>
    </w:p>
    <w:p w14:paraId="37D3A9BF" w14:textId="4E23DAC7" w:rsidR="00744388" w:rsidRDefault="00744388" w:rsidP="0007491E">
      <w:pPr>
        <w:spacing w:line="360" w:lineRule="auto"/>
        <w:jc w:val="both"/>
        <w:rPr>
          <w:sz w:val="22"/>
          <w:szCs w:val="22"/>
        </w:rPr>
      </w:pPr>
    </w:p>
    <w:p w14:paraId="1C67E7E8" w14:textId="59386BD2" w:rsidR="00CF4635" w:rsidRDefault="00CF4635" w:rsidP="0007491E">
      <w:pPr>
        <w:spacing w:line="360" w:lineRule="auto"/>
        <w:jc w:val="both"/>
      </w:pPr>
    </w:p>
    <w:p w14:paraId="57DFA71C" w14:textId="4FDBD0D5" w:rsidR="007E657F" w:rsidRPr="0036157F" w:rsidRDefault="002754F9" w:rsidP="0007491E">
      <w:pPr>
        <w:pStyle w:val="Heading1"/>
        <w:spacing w:line="360" w:lineRule="auto"/>
        <w:jc w:val="both"/>
        <w:rPr>
          <w:rFonts w:asciiTheme="minorHAnsi" w:hAnsiTheme="minorHAnsi" w:cstheme="minorHAnsi"/>
          <w:b/>
          <w:bCs/>
          <w:color w:val="000000" w:themeColor="text1"/>
          <w:sz w:val="28"/>
          <w:szCs w:val="28"/>
        </w:rPr>
      </w:pPr>
      <w:r w:rsidRPr="0036157F">
        <w:rPr>
          <w:rFonts w:asciiTheme="minorHAnsi" w:hAnsiTheme="minorHAnsi" w:cstheme="minorHAnsi"/>
          <w:b/>
          <w:bCs/>
          <w:color w:val="000000" w:themeColor="text1"/>
          <w:sz w:val="28"/>
          <w:szCs w:val="28"/>
        </w:rPr>
        <w:lastRenderedPageBreak/>
        <w:t>INTRODUCTION</w:t>
      </w:r>
    </w:p>
    <w:p w14:paraId="04CB1654" w14:textId="34A1938D" w:rsidR="00366AA4" w:rsidRDefault="00C858C9" w:rsidP="0007491E">
      <w:pPr>
        <w:spacing w:line="360" w:lineRule="auto"/>
        <w:jc w:val="both"/>
        <w:rPr>
          <w:rFonts w:cstheme="minorHAnsi"/>
          <w:sz w:val="22"/>
          <w:szCs w:val="22"/>
        </w:rPr>
      </w:pPr>
      <w:r w:rsidRPr="005A343F">
        <w:rPr>
          <w:rFonts w:cstheme="minorHAnsi"/>
          <w:sz w:val="22"/>
          <w:szCs w:val="22"/>
        </w:rPr>
        <w:t xml:space="preserve">Meningioma are the most common primary non-malignant brain tumors, with incidence rates of </w:t>
      </w:r>
      <w:r w:rsidR="00FE02A2" w:rsidRPr="005A343F">
        <w:rPr>
          <w:rFonts w:cstheme="minorHAnsi"/>
          <w:sz w:val="22"/>
          <w:szCs w:val="22"/>
        </w:rPr>
        <w:t>5-6 cases per 100 000 males and 11-12 cases per 100 000 females per year.</w:t>
      </w:r>
      <w:r w:rsidR="002618EE" w:rsidRPr="005A343F">
        <w:rPr>
          <w:rFonts w:cstheme="minorHAnsi"/>
          <w:sz w:val="22"/>
          <w:szCs w:val="22"/>
          <w:vertAlign w:val="superscript"/>
        </w:rPr>
        <w:t>1</w:t>
      </w:r>
      <w:r w:rsidR="00FE02A2" w:rsidRPr="005A343F">
        <w:rPr>
          <w:rFonts w:cstheme="minorHAnsi"/>
          <w:sz w:val="22"/>
          <w:szCs w:val="22"/>
        </w:rPr>
        <w:t xml:space="preserve"> </w:t>
      </w:r>
      <w:r w:rsidR="002618EE" w:rsidRPr="005A343F">
        <w:rPr>
          <w:rFonts w:cstheme="minorHAnsi"/>
          <w:sz w:val="22"/>
          <w:szCs w:val="22"/>
        </w:rPr>
        <w:t>The mainstay of treatment is surgical resection</w:t>
      </w:r>
      <w:r w:rsidR="007E5C7B">
        <w:rPr>
          <w:rFonts w:cstheme="minorHAnsi"/>
          <w:sz w:val="22"/>
          <w:szCs w:val="22"/>
        </w:rPr>
        <w:t>. R</w:t>
      </w:r>
      <w:r w:rsidR="00185F49" w:rsidRPr="005A343F">
        <w:rPr>
          <w:rFonts w:cstheme="minorHAnsi"/>
          <w:sz w:val="22"/>
          <w:szCs w:val="22"/>
        </w:rPr>
        <w:t>adiation</w:t>
      </w:r>
      <w:r w:rsidR="002618EE" w:rsidRPr="005A343F">
        <w:rPr>
          <w:rFonts w:cstheme="minorHAnsi"/>
          <w:sz w:val="22"/>
          <w:szCs w:val="22"/>
        </w:rPr>
        <w:t xml:space="preserve"> therapy</w:t>
      </w:r>
      <w:r w:rsidR="007E5C7B">
        <w:rPr>
          <w:rFonts w:cstheme="minorHAnsi"/>
          <w:sz w:val="22"/>
          <w:szCs w:val="22"/>
        </w:rPr>
        <w:t xml:space="preserve"> may be used in the adjuvant setting or at recurrence</w:t>
      </w:r>
      <w:r w:rsidR="00485844">
        <w:rPr>
          <w:rFonts w:cstheme="minorHAnsi"/>
          <w:sz w:val="22"/>
          <w:szCs w:val="22"/>
        </w:rPr>
        <w:t xml:space="preserve"> </w:t>
      </w:r>
      <w:r w:rsidR="00485844">
        <w:rPr>
          <w:rFonts w:cstheme="minorHAnsi"/>
          <w:sz w:val="22"/>
          <w:szCs w:val="22"/>
        </w:rPr>
        <w:fldChar w:fldCharType="begin"/>
      </w:r>
      <w:r w:rsidR="00201509">
        <w:rPr>
          <w:rFonts w:cstheme="minorHAnsi"/>
          <w:sz w:val="22"/>
          <w:szCs w:val="22"/>
        </w:rPr>
        <w:instrText xml:space="preserve"> ADDIN ZOTERO_ITEM CSL_CITATION {"citationID":"4jAViO1C","properties":{"formattedCitation":"(1)","plainCitation":"(1)","noteIndex":0},"citationItems":[{"id":18,"uris":["http://zotero.org/users/local/siebo2NQ/items/AT8SE4LD"],"itemData":{"id":18,"type":"article-journal","abstract":"Meningiomas are the most common intracranial tumors. Yet, only few controlled clinical trials have been conducted to guide clinical decision making, resulting in variations of management approaches across countries and centers. However, recent advances in molecular genetics and clinical trial results help to refine the diagnostic and therapeutic approach to meningioma. Accordingly, the European Association of Neuro-Oncology (EANO) updated its recommendations for the diagnosis and treatment of meningiomas. A provisional diagnosis of meningioma is typically made by neuroimaging, mostly magnetic resonance imaging. Such provisional diagnoses may be made incidentally. Accordingly, a significant proportion of meningiomas, notably in patients that are asymptomatic or elderly or both, may be managed by a watch-and-scan strategy. A surgical intervention with tissue, commonly with the goal of gross total resection, is required for the definitive diagnosis according to the WHO classification. A role for molecular profiling including gene panel sequencing and genomic methylation profiling is emerging. A gross total surgical resection including the involved dura is often curative. Inoperable or recurrent tumors requiring treatment can be treated with radiosurgery, if the size or the vicinity of critical structures allows that, or with fractionated radiotherapy (RT). Treatment concepts combining surgery and radiosurgery or fractionated RT are increasingly used, although there remain controversies regard timing, type, and dosing of the various RT approaches. Radionuclide therapy targeting somatostatin receptors is an experimental approach, as are all approaches of systemic pharmacotherapy. The best albeit modest results with pharmacotherapy have been obtained with bevacizumab or multikinase inhibitors targeting vascular endothelial growth factor receptor, but no standard of care systemic treatment has been yet defined.","container-title":"Neuro-Oncology","DOI":"10.1093/neuonc/noab150","ISSN":"1522-8517","issue":"11","journalAbbreviation":"Neuro-Oncology","page":"1821-1834","source":"Silverchair","title":"EANO guideline on the diagnosis and management of meningiomas","volume":"23","author":[{"family":"Goldbrunner","given":"Roland"},{"family":"Stavrinou","given":"Pantelis"},{"family":"Jenkinson","given":"Michael D"},{"family":"Sahm","given":"Felix"},{"family":"Mawrin","given":"Christian"},{"family":"Weber","given":"Damien C"},{"family":"Preusser","given":"Matthias"},{"family":"Minniti","given":"Giuseppe"},{"family":"Lund-Johansen","given":"Morten"},{"family":"Lefranc","given":"Florence"},{"family":"Houdart","given":"Emanuel"},{"family":"Sallabanda","given":"Kita"},{"family":"Le Rhun","given":"Emilie"},{"family":"Nieuwenhuizen","given":"David"},{"family":"Tabatabai","given":"Ghazaleh"},{"family":"Soffietti","given":"Riccardo"},{"family":"Weller","given":"Michael"}],"issued":{"date-parts":[["2021",11,1]]}}}],"schema":"https://github.com/citation-style-language/schema/raw/master/csl-citation.json"} </w:instrText>
      </w:r>
      <w:r w:rsidR="00485844">
        <w:rPr>
          <w:rFonts w:cstheme="minorHAnsi"/>
          <w:sz w:val="22"/>
          <w:szCs w:val="22"/>
        </w:rPr>
        <w:fldChar w:fldCharType="separate"/>
      </w:r>
      <w:r w:rsidR="00485844" w:rsidRPr="00485844">
        <w:rPr>
          <w:rFonts w:ascii="Calibri" w:hAnsi="Calibri" w:cs="Calibri"/>
          <w:sz w:val="22"/>
        </w:rPr>
        <w:t>(1)</w:t>
      </w:r>
      <w:r w:rsidR="00485844">
        <w:rPr>
          <w:rFonts w:cstheme="minorHAnsi"/>
          <w:sz w:val="22"/>
          <w:szCs w:val="22"/>
        </w:rPr>
        <w:fldChar w:fldCharType="end"/>
      </w:r>
      <w:r w:rsidR="002618EE" w:rsidRPr="005A343F">
        <w:rPr>
          <w:rFonts w:cstheme="minorHAnsi"/>
          <w:sz w:val="22"/>
          <w:szCs w:val="22"/>
        </w:rPr>
        <w:t xml:space="preserve">. </w:t>
      </w:r>
      <w:r w:rsidR="00A01AFD" w:rsidRPr="005A343F">
        <w:rPr>
          <w:rFonts w:cstheme="minorHAnsi"/>
          <w:sz w:val="22"/>
          <w:szCs w:val="22"/>
        </w:rPr>
        <w:t xml:space="preserve">The World Health Organisation (WHO) classifies meningioma into grade </w:t>
      </w:r>
      <w:r w:rsidR="00366AA4" w:rsidRPr="005A343F">
        <w:rPr>
          <w:rFonts w:cstheme="minorHAnsi"/>
          <w:sz w:val="22"/>
          <w:szCs w:val="22"/>
        </w:rPr>
        <w:t>1</w:t>
      </w:r>
      <w:r w:rsidR="00A01AFD" w:rsidRPr="005A343F">
        <w:rPr>
          <w:rFonts w:cstheme="minorHAnsi"/>
          <w:sz w:val="22"/>
          <w:szCs w:val="22"/>
        </w:rPr>
        <w:t xml:space="preserve"> (</w:t>
      </w:r>
      <w:r w:rsidR="00366AA4" w:rsidRPr="005A343F">
        <w:rPr>
          <w:rFonts w:cstheme="minorHAnsi"/>
          <w:sz w:val="22"/>
          <w:szCs w:val="22"/>
        </w:rPr>
        <w:t>non-malignant</w:t>
      </w:r>
      <w:r w:rsidR="00A01AFD" w:rsidRPr="005A343F">
        <w:rPr>
          <w:rFonts w:cstheme="minorHAnsi"/>
          <w:sz w:val="22"/>
          <w:szCs w:val="22"/>
        </w:rPr>
        <w:t xml:space="preserve">) and grades </w:t>
      </w:r>
      <w:r w:rsidR="00366AA4" w:rsidRPr="005A343F">
        <w:rPr>
          <w:rFonts w:cstheme="minorHAnsi"/>
          <w:sz w:val="22"/>
          <w:szCs w:val="22"/>
        </w:rPr>
        <w:t>2</w:t>
      </w:r>
      <w:r w:rsidR="00A01AFD" w:rsidRPr="005A343F">
        <w:rPr>
          <w:rFonts w:cstheme="minorHAnsi"/>
          <w:sz w:val="22"/>
          <w:szCs w:val="22"/>
        </w:rPr>
        <w:t xml:space="preserve"> and </w:t>
      </w:r>
      <w:r w:rsidR="00366AA4" w:rsidRPr="005A343F">
        <w:rPr>
          <w:rFonts w:cstheme="minorHAnsi"/>
          <w:sz w:val="22"/>
          <w:szCs w:val="22"/>
        </w:rPr>
        <w:t>3</w:t>
      </w:r>
      <w:r w:rsidR="00A01AFD" w:rsidRPr="005A343F">
        <w:rPr>
          <w:rFonts w:cstheme="minorHAnsi"/>
          <w:sz w:val="22"/>
          <w:szCs w:val="22"/>
        </w:rPr>
        <w:t xml:space="preserve"> which </w:t>
      </w:r>
      <w:r w:rsidR="003174DF" w:rsidRPr="005A343F">
        <w:rPr>
          <w:rFonts w:cstheme="minorHAnsi"/>
          <w:sz w:val="22"/>
          <w:szCs w:val="22"/>
        </w:rPr>
        <w:t>are more</w:t>
      </w:r>
      <w:r w:rsidR="00A01AFD" w:rsidRPr="005A343F">
        <w:rPr>
          <w:rFonts w:cstheme="minorHAnsi"/>
          <w:sz w:val="22"/>
          <w:szCs w:val="22"/>
        </w:rPr>
        <w:t xml:space="preserve"> aggressive. </w:t>
      </w:r>
      <w:r w:rsidR="003174DF" w:rsidRPr="005A343F">
        <w:rPr>
          <w:rFonts w:cstheme="minorHAnsi"/>
          <w:sz w:val="22"/>
          <w:szCs w:val="22"/>
        </w:rPr>
        <w:t>The t</w:t>
      </w:r>
      <w:r w:rsidR="002618EE" w:rsidRPr="005A343F">
        <w:rPr>
          <w:rFonts w:cstheme="minorHAnsi"/>
          <w:sz w:val="22"/>
          <w:szCs w:val="22"/>
        </w:rPr>
        <w:t xml:space="preserve">en-year relative survival </w:t>
      </w:r>
      <w:r w:rsidR="003174DF" w:rsidRPr="005A343F">
        <w:rPr>
          <w:rFonts w:cstheme="minorHAnsi"/>
          <w:sz w:val="22"/>
          <w:szCs w:val="22"/>
        </w:rPr>
        <w:t xml:space="preserve">rates </w:t>
      </w:r>
      <w:r w:rsidR="002618EE" w:rsidRPr="005A343F">
        <w:rPr>
          <w:rFonts w:cstheme="minorHAnsi"/>
          <w:sz w:val="22"/>
          <w:szCs w:val="22"/>
        </w:rPr>
        <w:t>for</w:t>
      </w:r>
      <w:r w:rsidR="007E5C7B">
        <w:rPr>
          <w:rFonts w:cstheme="minorHAnsi"/>
          <w:sz w:val="22"/>
          <w:szCs w:val="22"/>
        </w:rPr>
        <w:t xml:space="preserve"> </w:t>
      </w:r>
      <w:r w:rsidR="002618EE" w:rsidRPr="005A343F">
        <w:rPr>
          <w:rFonts w:cstheme="minorHAnsi"/>
          <w:sz w:val="22"/>
          <w:szCs w:val="22"/>
        </w:rPr>
        <w:t>non-malignant</w:t>
      </w:r>
      <w:r w:rsidR="007E5C7B">
        <w:rPr>
          <w:rFonts w:cstheme="minorHAnsi"/>
          <w:sz w:val="22"/>
          <w:szCs w:val="22"/>
        </w:rPr>
        <w:t xml:space="preserve"> </w:t>
      </w:r>
      <w:r w:rsidR="002618EE" w:rsidRPr="005A343F">
        <w:rPr>
          <w:rFonts w:cstheme="minorHAnsi"/>
          <w:sz w:val="22"/>
          <w:szCs w:val="22"/>
        </w:rPr>
        <w:t xml:space="preserve">meningioma </w:t>
      </w:r>
      <w:r w:rsidR="003174DF" w:rsidRPr="005A343F">
        <w:rPr>
          <w:rFonts w:cstheme="minorHAnsi"/>
          <w:sz w:val="22"/>
          <w:szCs w:val="22"/>
        </w:rPr>
        <w:t>are</w:t>
      </w:r>
      <w:r w:rsidR="00945D81" w:rsidRPr="005A343F">
        <w:rPr>
          <w:rFonts w:cstheme="minorHAnsi"/>
          <w:sz w:val="22"/>
          <w:szCs w:val="22"/>
        </w:rPr>
        <w:t xml:space="preserve"> around</w:t>
      </w:r>
      <w:r w:rsidR="002618EE" w:rsidRPr="005A343F">
        <w:rPr>
          <w:rFonts w:cstheme="minorHAnsi"/>
          <w:sz w:val="22"/>
          <w:szCs w:val="22"/>
        </w:rPr>
        <w:t xml:space="preserve"> </w:t>
      </w:r>
      <w:r w:rsidR="003F0A3F">
        <w:rPr>
          <w:rFonts w:cstheme="minorHAnsi"/>
          <w:sz w:val="22"/>
          <w:szCs w:val="22"/>
        </w:rPr>
        <w:t>81-</w:t>
      </w:r>
      <w:r w:rsidR="002618EE" w:rsidRPr="005A343F">
        <w:rPr>
          <w:rFonts w:cstheme="minorHAnsi"/>
          <w:sz w:val="22"/>
          <w:szCs w:val="22"/>
        </w:rPr>
        <w:t>87%</w:t>
      </w:r>
      <w:r w:rsidR="00945D81" w:rsidRPr="005A343F">
        <w:rPr>
          <w:rFonts w:cstheme="minorHAnsi"/>
          <w:sz w:val="22"/>
          <w:szCs w:val="22"/>
        </w:rPr>
        <w:t xml:space="preserve"> and 60</w:t>
      </w:r>
      <w:r w:rsidR="003F0A3F">
        <w:rPr>
          <w:rFonts w:cstheme="minorHAnsi"/>
          <w:sz w:val="22"/>
          <w:szCs w:val="22"/>
        </w:rPr>
        <w:t>-70</w:t>
      </w:r>
      <w:r w:rsidR="00945D81" w:rsidRPr="005A343F">
        <w:rPr>
          <w:rFonts w:cstheme="minorHAnsi"/>
          <w:sz w:val="22"/>
          <w:szCs w:val="22"/>
        </w:rPr>
        <w:t xml:space="preserve">% for </w:t>
      </w:r>
      <w:r w:rsidR="003174DF" w:rsidRPr="005A343F">
        <w:rPr>
          <w:rFonts w:cstheme="minorHAnsi"/>
          <w:sz w:val="22"/>
          <w:szCs w:val="22"/>
        </w:rPr>
        <w:t xml:space="preserve">higher grade </w:t>
      </w:r>
      <w:r w:rsidR="00945D81" w:rsidRPr="005A343F">
        <w:rPr>
          <w:rFonts w:cstheme="minorHAnsi"/>
          <w:sz w:val="22"/>
          <w:szCs w:val="22"/>
        </w:rPr>
        <w:t>meningioma</w:t>
      </w:r>
      <w:r w:rsidR="00F778EC" w:rsidRPr="005A343F">
        <w:rPr>
          <w:rFonts w:cstheme="minorHAnsi"/>
          <w:sz w:val="22"/>
          <w:szCs w:val="22"/>
        </w:rPr>
        <w:t xml:space="preserve"> </w:t>
      </w:r>
      <w:r w:rsidR="00F778EC" w:rsidRPr="005A343F">
        <w:rPr>
          <w:rFonts w:cstheme="minorHAnsi"/>
          <w:sz w:val="22"/>
          <w:szCs w:val="22"/>
        </w:rPr>
        <w:fldChar w:fldCharType="begin"/>
      </w:r>
      <w:r w:rsidR="00201509">
        <w:rPr>
          <w:rFonts w:cstheme="minorHAnsi"/>
          <w:sz w:val="22"/>
          <w:szCs w:val="22"/>
        </w:rPr>
        <w:instrText xml:space="preserve"> ADDIN ZOTERO_ITEM CSL_CITATION {"citationID":"Pq2KL5Cp","properties":{"formattedCitation":"(2,3)","plainCitation":"(2,3)","noteIndex":0},"citationItems":[{"id":"svD7oopY/occKEKIu","uris":["http://zotero.org/users/local/cjg5MD5O/items/RR8GWDNM"],"itemData":{"id":2,"type":"article-journal","abstract":"Abstract\n            The Central Brain Tumor Registry of the United States (CBTRUS), in collaboration with the Centers for Disease Control (CDC) and National Cancer Institute (NCI), is the largest population-based registry focused exclusively on primary brain and other central nervous system (CNS) tumors in the United States (US) and represents the entire US population. This report contains the most up-to-date population-based data on primary brain tumors (malignant and non-malignant) and supersedes all previous CBTRUS reports in terms of completeness and accuracy. All rates (incidence and mortality) are age-adjusted using the 2000 US standard population and presented per 100,000 population. The average annual age-adjusted incidence rate (AAAIR) of all malignant and non-malignant brain and other CNS tumors was 23.79 (Malignant AAAIR=7.08, non-Malignant AAAIR=16.71). This rate was higher in females compared to males (26.31 versus 21.09), Blacks compared to Whites (23.88 versus 23.83), and non-Hispanics compared to Hispanics (24.23 versus 21.48). The most commonly occurring malignant brain and other CNS tumor was glioblastoma (14.5% of all tumors), and the most common non-malignant tumor was meningioma (38.3% of all tumors). Glioblastoma was more common in males, and meningioma was more common in females. In children and adolescents (age 0-19 years), the incidence rate of all primary brain and other CNS tumors was 6.14. An estimated 83,830 new cases of malignant and non-malignant brain and other CNS tumors are expected to be diagnosed in the US in 2020 (24,970 malignant and 58,860 non-malignant). There were 81,246 deaths attributed to malignant brain and other CNS tumors between 2013 and 2017. This represents an average annual mortality rate of 4.42. The 5-year relative survival rate following diagnosis of a malignant brain and other CNS tumor was 23.5% and for a non-malignant brain and other CNS tumor was 82.4%.","container-title":"Neuro-Oncology","DOI":"10.1093/neuonc/noaa200","ISSN":"1522-8517, 1523-5866","issue":"Supplement_1","language":"en","page":"iv1-iv96","source":"DOI.org (Crossref)","title":"CBTRUS Statistical Report: Primary Brain and Other Central Nervous System Tumors Diagnosed in the United States in 2013–2017","title-short":"CBTRUS Statistical Report","volume":"22","author":[{"family":"Ostrom","given":"Quinn T"},{"family":"Patil","given":"Nirav"},{"family":"Cioffi","given":"Gino"},{"family":"Waite","given":"Kristin"},{"family":"Kruchko","given":"Carol"},{"family":"Barnholtz-Sloan","given":"Jill S"}],"issued":{"date-parts":[["2020",10,30]]}}},{"id":"svD7oopY/xtJEw0iM","uris":["http://zotero.org/users/local/8PYTtyEE/items/4RXL5BKR"],"itemData":{"id":281,"type":"article-journal","abstract":"Purpose: Meningiomas are the commonest predominantly non-malignant brain tumour in adults. The use of surgery appears to be increasing, and outcomes are thought to be good, but whole nation data for England is scarce. The aim of this report is to examine the epidemiology of patients operated for cranial and spinal meningioma in England, and to assess associations between outcomes and gender, age, meningioma site (cranial or spinal), and grade.Material and methods: A search strategy encompassing all patients coded with cranial and spinal meningioma treated between January 1999 and December 2013 was obtained from data linkage between the National Cancer Registration and Analysis Service and Hospital Episode Statistics for England.Results: 25,694 patients were diagnosed with meningioma in England between 1999 and 2013, in whom 24,302 were cranial and 1392 spinal. Of these patients, 14,229 (60%) cranial and 1188 (85%) spinal meningioma received surgery. Of those operated on 70.1% were women, and, where the tumour grade was recorded, 79.5% were WHO grade I, 18.4% grade II, and 2.1% grade III. Five and ten year net survival rates for surgically treated cranial meningiomas were respectively 90% and 81% for those with WHO grade I, 80% and 63% for grade II, and 30% and 15% for WHO grade III tumours. Overall survival after surgery is better in women, younger adults, and people with spinal or lower grade meningiomas. Outcomes have improved over the time period examined.Conclusion: The outcome for patients with meningioma is good and is improving. However, there remains a significant mortality related to the disease process.","container-title":"British Journal of Neurosurgery","DOI":"10.1080/02688697.2019.1661965","ISSN":"0268-8697","issue":"6","note":"publisher: Taylor &amp; Francis\n_eprint: https://doi.org/10.1080/02688697.2019.1661965\nPMID: 31526136","page":"641-647","source":"Taylor and Francis+NEJM","title":"The outcome of patients with surgically treated meningioma in England: 1999–2013. A cancer registry data analysis","title-short":"The outcome of patients with surgically treated meningioma in England","volume":"33","author":[{"family":"Brodbelt","given":"Andrew R."},{"family":"Barclay","given":"Matthew E."},{"family":"Greenberg","given":"David"},{"family":"Williams","given":"Matthew"},{"family":"Jenkinson","given":"Michael D."},{"family":"Karabatsou","given":"Konstantina"}],"issued":{"date-parts":[["2019",11,2]]}}}],"schema":"https://github.com/citation-style-language/schema/raw/master/csl-citation.json"} </w:instrText>
      </w:r>
      <w:r w:rsidR="00F778EC" w:rsidRPr="005A343F">
        <w:rPr>
          <w:rFonts w:cstheme="minorHAnsi"/>
          <w:sz w:val="22"/>
          <w:szCs w:val="22"/>
        </w:rPr>
        <w:fldChar w:fldCharType="separate"/>
      </w:r>
      <w:r w:rsidR="003F0A3F">
        <w:rPr>
          <w:rFonts w:ascii="Calibri" w:hAnsi="Calibri" w:cs="Calibri"/>
          <w:sz w:val="22"/>
        </w:rPr>
        <w:t>(2,3)</w:t>
      </w:r>
      <w:r w:rsidR="00F778EC" w:rsidRPr="005A343F">
        <w:rPr>
          <w:rFonts w:cstheme="minorHAnsi"/>
          <w:sz w:val="22"/>
          <w:szCs w:val="22"/>
        </w:rPr>
        <w:fldChar w:fldCharType="end"/>
      </w:r>
      <w:r w:rsidR="00F778EC" w:rsidRPr="005A343F">
        <w:rPr>
          <w:rFonts w:cstheme="minorHAnsi"/>
          <w:sz w:val="22"/>
          <w:szCs w:val="22"/>
        </w:rPr>
        <w:t>.</w:t>
      </w:r>
      <w:r w:rsidR="003174DF" w:rsidRPr="005A343F">
        <w:rPr>
          <w:rFonts w:cstheme="minorHAnsi"/>
          <w:sz w:val="22"/>
          <w:szCs w:val="22"/>
        </w:rPr>
        <w:t xml:space="preserve"> Approximately</w:t>
      </w:r>
      <w:r w:rsidR="00366AA4" w:rsidRPr="005A343F">
        <w:rPr>
          <w:rFonts w:cstheme="minorHAnsi"/>
          <w:b/>
          <w:bCs/>
          <w:sz w:val="22"/>
          <w:szCs w:val="22"/>
          <w:vertAlign w:val="superscript"/>
        </w:rPr>
        <w:t xml:space="preserve"> </w:t>
      </w:r>
      <w:r w:rsidR="00DB7B9A" w:rsidRPr="005A343F">
        <w:rPr>
          <w:rFonts w:cstheme="minorHAnsi"/>
          <w:sz w:val="22"/>
          <w:szCs w:val="22"/>
        </w:rPr>
        <w:t xml:space="preserve">1-9% of meningioma patients present with multiple </w:t>
      </w:r>
      <w:r w:rsidR="0017072F">
        <w:rPr>
          <w:rFonts w:cstheme="minorHAnsi"/>
          <w:sz w:val="22"/>
          <w:szCs w:val="22"/>
        </w:rPr>
        <w:t>tumors</w:t>
      </w:r>
      <w:r w:rsidR="00927F21" w:rsidRPr="005A343F">
        <w:rPr>
          <w:rFonts w:cstheme="minorHAnsi"/>
          <w:sz w:val="22"/>
          <w:szCs w:val="22"/>
        </w:rPr>
        <w:t xml:space="preserve"> which are de</w:t>
      </w:r>
      <w:r w:rsidR="00F778EC" w:rsidRPr="005A343F">
        <w:rPr>
          <w:rFonts w:cstheme="minorHAnsi"/>
          <w:sz w:val="22"/>
          <w:szCs w:val="22"/>
        </w:rPr>
        <w:t>f</w:t>
      </w:r>
      <w:r w:rsidR="00927F21" w:rsidRPr="005A343F">
        <w:rPr>
          <w:rFonts w:cstheme="minorHAnsi"/>
          <w:sz w:val="22"/>
          <w:szCs w:val="22"/>
        </w:rPr>
        <w:t>i</w:t>
      </w:r>
      <w:r w:rsidR="00F778EC" w:rsidRPr="005A343F">
        <w:rPr>
          <w:rFonts w:cstheme="minorHAnsi"/>
          <w:sz w:val="22"/>
          <w:szCs w:val="22"/>
        </w:rPr>
        <w:t>n</w:t>
      </w:r>
      <w:r w:rsidR="00927F21" w:rsidRPr="005A343F">
        <w:rPr>
          <w:rFonts w:cstheme="minorHAnsi"/>
          <w:sz w:val="22"/>
          <w:szCs w:val="22"/>
        </w:rPr>
        <w:t>ed as the presence of ≥2 spatially separated synchronous lesions</w:t>
      </w:r>
      <w:r w:rsidR="00F778EC" w:rsidRPr="005A343F">
        <w:rPr>
          <w:rFonts w:cstheme="minorHAnsi"/>
          <w:sz w:val="22"/>
          <w:szCs w:val="22"/>
        </w:rPr>
        <w:t xml:space="preserve"> </w:t>
      </w:r>
      <w:r w:rsidR="00F778EC" w:rsidRPr="005A343F">
        <w:rPr>
          <w:rFonts w:cstheme="minorHAnsi"/>
          <w:sz w:val="22"/>
          <w:szCs w:val="22"/>
        </w:rPr>
        <w:fldChar w:fldCharType="begin"/>
      </w:r>
      <w:r w:rsidR="00201509">
        <w:rPr>
          <w:rFonts w:cstheme="minorHAnsi"/>
          <w:sz w:val="22"/>
          <w:szCs w:val="22"/>
        </w:rPr>
        <w:instrText xml:space="preserve"> ADDIN ZOTERO_ITEM CSL_CITATION {"citationID":"eCe0awff","properties":{"formattedCitation":"(4)","plainCitation":"(4)","noteIndex":0},"citationItems":[{"id":"svD7oopY/ec0C2XL5","uris":["http://zotero.org/users/local/cjg5MD5O/items/ZP8HQPHP"],"itemData":{"id":4,"type":"article-journal","abstract":"Abstract\n            There were 15 cases of multiple meningiomas in a consecutive series of 168 cases of meningioma studied by computed tomography during the last 5 years. This incidence of 8.9% is significantly higher than the 1 to 3% incidence reported previously. A brief clinical survey of the 15 cases and a description of the location of the meningiomas as demonstrated by computed tomography are presented. The possible cause of the higher incidence and various theories of the etiology of multiple meningiomas are explored.","container-title":"Neurosurgery","DOI":"10.1227/00006123-198108000-00004","ISSN":"0148-396X, 1524-4040","issue":"2","language":"en","page":"137-141","source":"DOI.org (Crossref)","title":"Multiple Meningiomas Evaluated by Computed Tomography","volume":"9","author":[{"family":"Lusins","given":"John O."},{"family":"Nakagawa","given":"Hiroshi"}],"issued":{"date-parts":[["1981",8,1]]}}}],"schema":"https://github.com/citation-style-language/schema/raw/master/csl-citation.json"} </w:instrText>
      </w:r>
      <w:r w:rsidR="00F778EC" w:rsidRPr="005A343F">
        <w:rPr>
          <w:rFonts w:cstheme="minorHAnsi"/>
          <w:sz w:val="22"/>
          <w:szCs w:val="22"/>
        </w:rPr>
        <w:fldChar w:fldCharType="separate"/>
      </w:r>
      <w:r w:rsidR="003F0A3F">
        <w:rPr>
          <w:rFonts w:ascii="Calibri" w:hAnsi="Calibri" w:cs="Calibri"/>
          <w:sz w:val="22"/>
        </w:rPr>
        <w:t>(4)</w:t>
      </w:r>
      <w:r w:rsidR="00F778EC" w:rsidRPr="005A343F">
        <w:rPr>
          <w:rFonts w:cstheme="minorHAnsi"/>
          <w:sz w:val="22"/>
          <w:szCs w:val="22"/>
        </w:rPr>
        <w:fldChar w:fldCharType="end"/>
      </w:r>
      <w:r w:rsidR="00F778EC" w:rsidRPr="005A343F">
        <w:rPr>
          <w:rFonts w:cstheme="minorHAnsi"/>
          <w:sz w:val="22"/>
          <w:szCs w:val="22"/>
        </w:rPr>
        <w:t>.</w:t>
      </w:r>
      <w:r w:rsidR="00945D81" w:rsidRPr="005A343F">
        <w:rPr>
          <w:rFonts w:cstheme="minorHAnsi"/>
          <w:sz w:val="22"/>
          <w:szCs w:val="22"/>
        </w:rPr>
        <w:t xml:space="preserve"> </w:t>
      </w:r>
      <w:r w:rsidR="00927F21" w:rsidRPr="005A343F">
        <w:rPr>
          <w:rFonts w:cstheme="minorHAnsi"/>
          <w:sz w:val="22"/>
          <w:szCs w:val="22"/>
        </w:rPr>
        <w:t>R</w:t>
      </w:r>
      <w:r w:rsidR="00945D81" w:rsidRPr="005A343F">
        <w:rPr>
          <w:rFonts w:cstheme="minorHAnsi"/>
          <w:sz w:val="22"/>
          <w:szCs w:val="22"/>
        </w:rPr>
        <w:t>isk factors for this include previous intracranial radiation</w:t>
      </w:r>
      <w:r w:rsidR="00927F21" w:rsidRPr="005A343F">
        <w:rPr>
          <w:rFonts w:cstheme="minorHAnsi"/>
          <w:sz w:val="22"/>
          <w:szCs w:val="22"/>
        </w:rPr>
        <w:t xml:space="preserve">, </w:t>
      </w:r>
      <w:r w:rsidR="00CA3122" w:rsidRPr="005A343F">
        <w:rPr>
          <w:rFonts w:cstheme="minorHAnsi"/>
          <w:sz w:val="22"/>
          <w:szCs w:val="22"/>
        </w:rPr>
        <w:t xml:space="preserve">NF2-schwannomatosis </w:t>
      </w:r>
      <w:r w:rsidR="00927F21" w:rsidRPr="005A343F">
        <w:rPr>
          <w:rFonts w:cstheme="minorHAnsi"/>
          <w:sz w:val="22"/>
          <w:szCs w:val="22"/>
        </w:rPr>
        <w:t xml:space="preserve">(NF2) and </w:t>
      </w:r>
      <w:r w:rsidR="00CA3122" w:rsidRPr="005A343F">
        <w:rPr>
          <w:rFonts w:cstheme="minorHAnsi"/>
          <w:sz w:val="22"/>
          <w:szCs w:val="22"/>
        </w:rPr>
        <w:t>exposure to high doses of exogenous hormones such as cyproterone acetate</w:t>
      </w:r>
      <w:r w:rsidR="007775BB" w:rsidRPr="005A343F">
        <w:rPr>
          <w:rFonts w:cstheme="minorHAnsi"/>
          <w:sz w:val="22"/>
          <w:szCs w:val="22"/>
        </w:rPr>
        <w:t xml:space="preserve"> </w:t>
      </w:r>
      <w:r w:rsidR="007775BB" w:rsidRPr="005A343F">
        <w:rPr>
          <w:rFonts w:cstheme="minorHAnsi"/>
          <w:sz w:val="22"/>
          <w:szCs w:val="22"/>
        </w:rPr>
        <w:fldChar w:fldCharType="begin"/>
      </w:r>
      <w:r w:rsidR="00201509">
        <w:rPr>
          <w:rFonts w:cstheme="minorHAnsi"/>
          <w:sz w:val="22"/>
          <w:szCs w:val="22"/>
        </w:rPr>
        <w:instrText xml:space="preserve"> ADDIN ZOTERO_ITEM CSL_CITATION {"citationID":"QY1vQvUL","properties":{"formattedCitation":"(5\\uc0\\u8211{}7)","plainCitation":"(5–7)","noteIndex":0},"citationItems":[{"id":5,"uris":["http://zotero.org/users/local/siebo2NQ/items/ZQN47N3H"],"itemData":{"id":5,"type":"article-journal","abstract":"Objective To assess the risk of meningioma associated with use of high dose cyproterone acetate, a progestogen indicated for clinical hyperandrogenism.\nDesign Observational cohort study.\nSetting Data from SNDS, the French administrative healthcare database, between 2007 and 2015.\nParticipants 253 777 girls and women aged 7-70 years living in France who started cyproterone acetate between 2007 and 2014. Participants had at least one reimbursement for high dose cyproterone acetate and no history of meningioma or benign brain tumour, or long term disease status. Participants were considered to be exposed when they had received a cumulative dose of at least 3 g during the first six months (139 222 participants) and very slightly exposed (control group) when they had received a cumulative dose of less than 3 g (114 555 participants). 10 876 transgender participants (male to female) were included in an additional analysis.\nMain outcome measure Surgery (resection or decompression) or radiotherapy for one or more intracranial meningiomas.\nResults Overall, 69 meningiomas in the exposed group (during 289 544 person years of follow-up) and 20 meningiomas in the control group (during 439 949 person years of follow-up) were treated by surgery or radiotherapy. The incidence of meningioma in the two groups was 23.8 and 4.5 per 100 000 person years, respectively (crude relative risk 5.2, 95% confidence interval 3.2 to 8.6; adjusted hazard ratio 6.6, 95% confidence interval 4.0 to 11.1). The adjusted hazard ratio for a cumulative dose of cyproterone acetate of more than 60 g was 21.7 (10.8 to 43.5). After discontinuation of cyproterone acetate for one year, the risk of meningioma in the exposed group was 1.8-fold higher (1.0 to 3.2) than in the control group. In a complementary analysis, 463 women with meningioma were observed among 123 997 already using cyproterone acetate in 2006 (risk of 383 per 100 000 person years in the group with the highest exposure in terms of cumulative dose). Meningiomas located in the anterior skull base and middle skull base, particularly the medial third of the middle skull base, involving the spheno-orbital region, appeared to be specific to cyproterone acetate. An additional analysis of transgender participants showed a high risk of meningioma (three per 14 460 person years; 20.7 per 100 000 person years).\nConclusions A strong dose-effect relation was observed between use of cyproterone acetate and risk of intracranial meningiomas. A noticeable reduction in risk was observed after discontinuation of treatment.","container-title":"BMJ","DOI":"10.1136/bmj.n37","ISSN":"1756-1833","journalAbbreviation":"BMJ","language":"en","license":"© Author(s) (or their employer(s)) 2019. Re-use permitted under CC                 BY. No commercial re-use. See rights and permissions. Published by                 BMJ.. http://creativecommons.org/licenses/by/4.0/This is an Open Access article distributed in accordance with the terms of the Creative Commons Attribution (CC BY 4.0) license, which permits others to distribute, remix, adapt and build upon this work, for commercial use, provided the original work is properly cited. See: http://creativecommons.org/licenses/by/4.0/.","note":"publisher: British Medical Journal Publishing Group\nsection: Research\nPMID: 33536184","page":"n37","source":"www.bmj.com","title":"Use of high dose cyproterone acetate and risk of intracranial meningioma in women: cohort study","title-short":"Use of high dose cyproterone acetate and risk of intracranial meningioma in women","volume":"372","author":[{"family":"Weill","given":"Alain"},{"family":"Nguyen","given":"Pierre"},{"family":"Labidi","given":"Moujahed"},{"family":"Cadier","given":"Benjamin"},{"family":"Passeri","given":"Thibault"},{"family":"Duranteau","given":"Lise"},{"family":"Bernat","given":"Anne-Laure"},{"family":"Yoldjian","given":"Isabelle"},{"family":"Fontanel","given":"Sylvie"},{"family":"Froelich","given":"Sébastien"},{"family":"Coste","given":"Joël"}],"issued":{"date-parts":[["2021",2,3]]}}},{"id":12,"uris":["http://zotero.org/users/local/siebo2NQ/items/TXKUMMYF"],"itemData":{"id":12,"type":"article-journal","abstract":"Introduction\n\nRadiation induced meningioma (RIM) incidence is increasing in line with improved childhood cancer survival. No optimal management strategy consensus exists. This study aimed to delineate meningioma growth rates from tumor discovery and correlate with clinical outcomes.\n\nMethods\nRetrospective study of patients with a RIM, managed at a specialist tertiary neuroscience center (2007–2019). Tumor volume was measured from diagnosis and at subsequent interval scans. Meningioma growth rate was determined using a linear mixed-effects model. Clinical outcomes were correlated with growth rates accounting for imaging and clinical prognostic factors.\n\nResults\nFifty-four patients (110 meningiomas) were included. Median duration of follow-up was 74 months (interquartile range [IQR], 41–102 months). Mean radiation dose was 41 Gy (standard deviation [SD] = 14.9) with a latency period of 34.4 years (SD = 13.7). Median absolute growth rate was 0.62 cm3/year and the median relative growth rate was 72%/year. Forty meningiomas (between 27 patients) underwent surgical intervention after a median follow-up duration of 4 months (IQR 2–35). Operated RIMs were clinically aggressive, likely to be WHO grade 2 at first resection (43.6%) and to progress after surgery (41%). Median time to progression was 28 months (IQR 13–60.5). A larger meningioma at discovery was associated with growth (HR 1.2 [95% CI 1.0–1.5], P = 0.039) but not progression after surgery (HR 2.2 [95% CI 0.7–6.6], P = 0.181). Twenty-seven (50%) patients had multiple meningiomas by the end of the study.\n\nConclusion\nRIMs exhibit high absolute and relative growth rates after discovery. Surgery is recommended for symptomatic or rapidly growing meningiomas only. Recurrence risk after surgery is high.\n\nSupplementary Information\nThe online version contains supplementary material available at 10.1007/s11060-021-03761-3.","container-title":"Journal of Neuro-Oncology","DOI":"10.1007/s11060-021-03761-3","ISSN":"0167-594X","issue":"2","journalAbbreviation":"J Neurooncol","note":"PMID: 33886110\nPMCID: PMC8211577","page":"239-249","source":"PubMed Central","title":"The growth rate and clinical outcomes of radiation induced meningioma undergoing treatment or active monitoring","volume":"153","author":[{"family":"Gillespie","given":"Conor S."},{"family":"Islim","given":"Abdurrahman I."},{"family":"Taweel","given":"Basel A."},{"family":"Millward","given":"Christopher P."},{"family":"Kumar","given":"Siddhant"},{"family":"Rathi","given":"Nitika"},{"family":"Mehta","given":"Shaveta"},{"family":"Haylock","given":"Brian J."},{"family":"Thorp","given":"Nicola"},{"family":"Gilkes","given":"Catherine E."},{"family":"Lawson","given":"David D. A."},{"family":"Mills","given":"Samantha J."},{"family":"Chavredakis","given":"Emmanuel"},{"family":"Farah","given":"Jibril Osman"},{"family":"Brodbelt","given":"Andrew R."},{"family":"Jenkinson","given":"Michael D."}],"issued":{"date-parts":[["2021"]]}}},{"id":15,"uris":["http://zotero.org/users/local/siebo2NQ/items/IS6WM7LS"],"itemData":{"id":15,"type":"article-journal","container-title":"Genetics in Medicine","DOI":"10.1016/j.gim.2022.05.007","ISSN":"1098-3600, 1530-0366","issue":"0","journalAbbreviation":"Genetics in Medicine","language":"English","note":"publisher: Elsevier","source":"www.gimjournal.org","title":"Updated diagnostic criteria and nomenclature for neurofibromatosis type 2 and schwannomatosis: An international consensus recommendation","title-short":"Updated diagnostic criteria and nomenclature for neurofibromatosis type 2 and schwannomatosis","URL":"https://www.gimjournal.org/article/S1098-3600(22)00773-0/fulltext","volume":"0","author":[{"family":"Plotkin","given":"Scott R."},{"family":"Messiaen","given":"Ludwine"},{"family":"Legius","given":"Eric"},{"family":"Pancza","given":"Patrice"},{"family":"Avery","given":"Robert A."},{"family":"Blakeley","given":"Jaishri O."},{"family":"Babovic-Vuksanovic","given":"Dusica"},{"family":"Ferner","given":"Rosalie"},{"family":"Fisher","given":"Michael J."},{"family":"Friedman","given":"Jan M."},{"family":"Giovannini","given":"Marco"},{"family":"Gutmann","given":"David H."},{"family":"Hanemann","given":"Clemens Oliver"},{"family":"Kalamarides","given":"Michel"},{"family":"Kehrer-Sawatzki","given":"Hildegard"},{"family":"Korf","given":"Bruce R."},{"family":"Mautner","given":"Victor-Felix"},{"family":"MacCollin","given":"Mia"},{"family":"Papi","given":"Laura"},{"family":"Rauen","given":"Katherine A."},{"family":"Riccardi","given":"Vincent"},{"family":"Schorry","given":"Elizabeth"},{"family":"Smith","given":"Miriam J."},{"family":"Stemmer-Rachamimov","given":"Anat"},{"family":"Stevenson","given":"David A."},{"family":"Ullrich","given":"Nicole J."},{"family":"Viskochil","given":"David"},{"family":"Wimmer","given":"Katharina"},{"family":"Yohay","given":"Kaleb"},{"family":"Anten","given":"Monique"},{"family":"Aylsworth","given":"Arthur"},{"family":"Baralle","given":"Diana"},{"family":"Barbarot","given":"Sebastien"},{"family":"Barker","given":"Fred"},{"family":"Ben-Shachar","given":"Shay"},{"family":"Bergner","given":"Amanda"},{"family":"Bessis","given":"Didier"},{"family":"Blanco","given":"Ignacio"},{"family":"Cassiman","given":"Catherine"},{"family":"Ciavarelli","given":"Patricia"},{"family":"Clementi","given":"Maurizio"},{"family":"Frébourg","given":"Thierry"},{"family":"Gomes","given":"Alicia"},{"family":"Halliday","given":"Dorothy"},{"family":"Heiberg","given":"Chris Hammond Helen Hanson Arvid"},{"family":"Joly","given":"Pascal"},{"family":"Jordan","given":"Justin T."},{"family":"Karajannis","given":"Matthias"},{"family":"Kroshinsky","given":"Daniela"},{"family":"Larralde","given":"Margarita"},{"family":"Lázaro","given":"Conxi"},{"family":"Le","given":"Lu"},{"family":"Link","given":"Michael"},{"family":"Listernick","given":"Robert"},{"family":"Mallucci","given":"Conor"},{"family":"Merker","given":"Vanessa L."},{"family":"Moertel","given":"Christopher"},{"family":"Mueller","given":"Amy"},{"family":"Ngeow","given":"Joanne"},{"family":"Oostenbrink","given":"Rianne"},{"family":"Packer","given":"Roger"},{"family":"Parry","given":"Allyson"},{"family":"Peltonen","given":"Juha"},{"family":"Pichard","given":"Dominique"},{"family":"Poppe","given":"Bruce"},{"family":"Rezende","given":"Nilton"},{"family":"Rodrigues","given":"Luiz Oswaldo"},{"family":"Rosser","given":"Tena"},{"family":"Ruggieri","given":"Martino"},{"family":"Serra","given":"Eduard"},{"family":"Steinke-Lange","given":"Verena"},{"family":"Stivaros","given":"Stavros Michael"},{"family":"Taylor","given":"Amy"},{"family":"Toelen","given":"Jaan"},{"family":"Tonsgard","given":"James"},{"family":"Trevisson","given":"Eva"},{"family":"Upadhyaya","given":"Meena"},{"family":"Varan","given":"Ali"},{"family":"Wilson","given":"Meredith"},{"family":"Wu","given":"Hao"},{"family":"Zadeh","given":"Gelareh"},{"family":"Huson","given":"Susan M."},{"family":"Wolkenstein","given":"Pierre"},{"family":"Evans","given":"Dafydd Gareth"}],"accessed":{"date-parts":[["2022",8,26]]},"issued":{"date-parts":[["2022",6,8]]}}}],"schema":"https://github.com/citation-style-language/schema/raw/master/csl-citation.json"} </w:instrText>
      </w:r>
      <w:r w:rsidR="007775BB" w:rsidRPr="005A343F">
        <w:rPr>
          <w:rFonts w:cstheme="minorHAnsi"/>
          <w:sz w:val="22"/>
          <w:szCs w:val="22"/>
        </w:rPr>
        <w:fldChar w:fldCharType="separate"/>
      </w:r>
      <w:r w:rsidR="003F0A3F" w:rsidRPr="003F0A3F">
        <w:rPr>
          <w:rFonts w:ascii="Calibri" w:hAnsi="Calibri" w:cs="Calibri"/>
          <w:sz w:val="22"/>
        </w:rPr>
        <w:t>(5–7)</w:t>
      </w:r>
      <w:r w:rsidR="007775BB" w:rsidRPr="005A343F">
        <w:rPr>
          <w:rFonts w:cstheme="minorHAnsi"/>
          <w:sz w:val="22"/>
          <w:szCs w:val="22"/>
        </w:rPr>
        <w:fldChar w:fldCharType="end"/>
      </w:r>
      <w:r w:rsidR="00165097" w:rsidRPr="005A343F">
        <w:rPr>
          <w:rFonts w:cstheme="minorHAnsi"/>
          <w:sz w:val="22"/>
          <w:szCs w:val="22"/>
        </w:rPr>
        <w:t xml:space="preserve">. </w:t>
      </w:r>
      <w:r w:rsidR="009B6930" w:rsidRPr="005A343F">
        <w:rPr>
          <w:rFonts w:cstheme="minorHAnsi"/>
          <w:sz w:val="22"/>
          <w:szCs w:val="22"/>
        </w:rPr>
        <w:t>A</w:t>
      </w:r>
      <w:r w:rsidR="000728A6" w:rsidRPr="005A343F">
        <w:rPr>
          <w:rFonts w:cstheme="minorHAnsi"/>
          <w:sz w:val="22"/>
          <w:szCs w:val="22"/>
        </w:rPr>
        <w:t xml:space="preserve"> recent </w:t>
      </w:r>
      <w:r w:rsidR="00927F21" w:rsidRPr="005A343F">
        <w:rPr>
          <w:rFonts w:cstheme="minorHAnsi"/>
          <w:sz w:val="22"/>
          <w:szCs w:val="22"/>
        </w:rPr>
        <w:t xml:space="preserve">large </w:t>
      </w:r>
      <w:r w:rsidR="000728A6" w:rsidRPr="005A343F">
        <w:rPr>
          <w:rFonts w:cstheme="minorHAnsi"/>
          <w:sz w:val="22"/>
          <w:szCs w:val="22"/>
        </w:rPr>
        <w:t>population-based study</w:t>
      </w:r>
      <w:r w:rsidR="00927F21" w:rsidRPr="005A343F">
        <w:rPr>
          <w:rFonts w:cstheme="minorHAnsi"/>
          <w:sz w:val="22"/>
          <w:szCs w:val="22"/>
        </w:rPr>
        <w:t xml:space="preserve"> </w:t>
      </w:r>
      <w:r w:rsidR="009B6930" w:rsidRPr="005A343F">
        <w:rPr>
          <w:rFonts w:cstheme="minorHAnsi"/>
          <w:sz w:val="22"/>
          <w:szCs w:val="22"/>
        </w:rPr>
        <w:t xml:space="preserve">found that </w:t>
      </w:r>
      <w:r w:rsidR="00103BF7" w:rsidRPr="005A343F">
        <w:rPr>
          <w:rFonts w:cstheme="minorHAnsi"/>
          <w:sz w:val="22"/>
          <w:szCs w:val="22"/>
        </w:rPr>
        <w:t>in general,</w:t>
      </w:r>
      <w:r w:rsidR="009B6930" w:rsidRPr="005A343F">
        <w:rPr>
          <w:rFonts w:cstheme="minorHAnsi"/>
          <w:sz w:val="22"/>
          <w:szCs w:val="22"/>
        </w:rPr>
        <w:t xml:space="preserve"> patients </w:t>
      </w:r>
      <w:r w:rsidR="00103BF7" w:rsidRPr="005A343F">
        <w:rPr>
          <w:rFonts w:cstheme="minorHAnsi"/>
          <w:sz w:val="22"/>
          <w:szCs w:val="22"/>
        </w:rPr>
        <w:t xml:space="preserve">with multiple meningioma </w:t>
      </w:r>
      <w:r w:rsidR="009B6930" w:rsidRPr="005A343F">
        <w:rPr>
          <w:rFonts w:cstheme="minorHAnsi"/>
          <w:sz w:val="22"/>
          <w:szCs w:val="22"/>
        </w:rPr>
        <w:t xml:space="preserve">have </w:t>
      </w:r>
      <w:r w:rsidR="00485844">
        <w:rPr>
          <w:rFonts w:cstheme="minorHAnsi"/>
          <w:sz w:val="22"/>
          <w:szCs w:val="22"/>
        </w:rPr>
        <w:t xml:space="preserve">a </w:t>
      </w:r>
      <w:r w:rsidR="009B6930" w:rsidRPr="005A343F">
        <w:rPr>
          <w:rFonts w:cstheme="minorHAnsi"/>
          <w:sz w:val="22"/>
          <w:szCs w:val="22"/>
        </w:rPr>
        <w:t xml:space="preserve">worse </w:t>
      </w:r>
      <w:r w:rsidR="00485844">
        <w:rPr>
          <w:rFonts w:cstheme="minorHAnsi"/>
          <w:sz w:val="22"/>
          <w:szCs w:val="22"/>
        </w:rPr>
        <w:t xml:space="preserve">overall </w:t>
      </w:r>
      <w:r w:rsidR="009B6930" w:rsidRPr="005A343F">
        <w:rPr>
          <w:rFonts w:cstheme="minorHAnsi"/>
          <w:sz w:val="22"/>
          <w:szCs w:val="22"/>
        </w:rPr>
        <w:t>survival</w:t>
      </w:r>
      <w:r w:rsidR="00485844">
        <w:rPr>
          <w:rFonts w:cstheme="minorHAnsi"/>
          <w:sz w:val="22"/>
          <w:szCs w:val="22"/>
        </w:rPr>
        <w:t>, in comparison to patients with a solitary meningioma</w:t>
      </w:r>
      <w:r w:rsidR="00DA6116" w:rsidRPr="005A343F">
        <w:rPr>
          <w:rFonts w:cstheme="minorHAnsi"/>
          <w:sz w:val="22"/>
          <w:szCs w:val="22"/>
        </w:rPr>
        <w:t xml:space="preserve"> </w:t>
      </w:r>
      <w:r w:rsidR="00DA6116" w:rsidRPr="005A343F">
        <w:rPr>
          <w:rFonts w:cstheme="minorHAnsi"/>
          <w:sz w:val="22"/>
          <w:szCs w:val="22"/>
        </w:rPr>
        <w:fldChar w:fldCharType="begin"/>
      </w:r>
      <w:r w:rsidR="00201509">
        <w:rPr>
          <w:rFonts w:cstheme="minorHAnsi"/>
          <w:sz w:val="22"/>
          <w:szCs w:val="22"/>
        </w:rPr>
        <w:instrText xml:space="preserve"> ADDIN ZOTERO_ITEM CSL_CITATION {"citationID":"lrm17d15","properties":{"formattedCitation":"(8)","plainCitation":"(8)","noteIndex":0},"citationItems":[{"id":"svD7oopY/4w5Iun7V","uris":["http://zotero.org/users/local/cjg5MD5O/items/7RJCZNIY"],"itemData":{"id":5,"type":"article-journal","container-title":"Journal of Neuro-Oncology","DOI":"10.1007/s11060-020-03620-7","ISSN":"0167-594X, 1573-7373","issue":"3","journalAbbreviation":"J Neurooncol","language":"en","page":"413-420","source":"DOI.org (Crossref)","title":"Multiple meningiomas: does quantity matter? a population-based survival analysis with underlined age and sex differences","title-short":"Multiple meningiomas","volume":"149","author":[{"family":"Ramos-Fresnedo","given":"Andres"},{"family":"Domingo","given":"Ricardo A."},{"family":"Vivas-Buitrago","given":"Tito"},{"family":"Lundy","given":"Larry"},{"family":"Trifiletti","given":"Daniel M."},{"family":"Jentoft","given":"Mark E."},{"family":"Desai","given":"Amit B."},{"family":"Quiñones-Hinojosa","given":"Alfredo"}],"issued":{"date-parts":[["2020",9]]}}}],"schema":"https://github.com/citation-style-language/schema/raw/master/csl-citation.json"} </w:instrText>
      </w:r>
      <w:r w:rsidR="00DA6116" w:rsidRPr="005A343F">
        <w:rPr>
          <w:rFonts w:cstheme="minorHAnsi"/>
          <w:sz w:val="22"/>
          <w:szCs w:val="22"/>
        </w:rPr>
        <w:fldChar w:fldCharType="separate"/>
      </w:r>
      <w:r w:rsidR="003F0A3F">
        <w:rPr>
          <w:rFonts w:ascii="Calibri" w:hAnsi="Calibri" w:cs="Calibri"/>
          <w:sz w:val="22"/>
        </w:rPr>
        <w:t>(8)</w:t>
      </w:r>
      <w:r w:rsidR="00DA6116" w:rsidRPr="005A343F">
        <w:rPr>
          <w:rFonts w:cstheme="minorHAnsi"/>
          <w:sz w:val="22"/>
          <w:szCs w:val="22"/>
        </w:rPr>
        <w:fldChar w:fldCharType="end"/>
      </w:r>
      <w:r w:rsidR="00DA6116" w:rsidRPr="005A343F">
        <w:rPr>
          <w:rFonts w:cstheme="minorHAnsi"/>
          <w:sz w:val="22"/>
          <w:szCs w:val="22"/>
        </w:rPr>
        <w:t>.</w:t>
      </w:r>
      <w:r w:rsidR="00945D81" w:rsidRPr="005A343F">
        <w:rPr>
          <w:rFonts w:cstheme="minorHAnsi"/>
          <w:sz w:val="22"/>
          <w:szCs w:val="22"/>
        </w:rPr>
        <w:t xml:space="preserve"> </w:t>
      </w:r>
      <w:r w:rsidR="007E657F" w:rsidRPr="005A343F">
        <w:rPr>
          <w:rFonts w:cstheme="minorHAnsi"/>
          <w:sz w:val="22"/>
          <w:szCs w:val="22"/>
        </w:rPr>
        <w:t xml:space="preserve">However, it is uncertain if </w:t>
      </w:r>
      <w:r w:rsidR="00DB7B9A" w:rsidRPr="005A343F">
        <w:rPr>
          <w:rFonts w:cstheme="minorHAnsi"/>
          <w:sz w:val="22"/>
          <w:szCs w:val="22"/>
        </w:rPr>
        <w:t>patients with sporadic</w:t>
      </w:r>
      <w:r w:rsidR="00124568" w:rsidRPr="005A343F">
        <w:rPr>
          <w:rFonts w:cstheme="minorHAnsi"/>
          <w:sz w:val="22"/>
          <w:szCs w:val="22"/>
        </w:rPr>
        <w:t xml:space="preserve"> synchronous</w:t>
      </w:r>
      <w:r w:rsidR="00DB7B9A" w:rsidRPr="005A343F">
        <w:rPr>
          <w:rFonts w:cstheme="minorHAnsi"/>
          <w:sz w:val="22"/>
          <w:szCs w:val="22"/>
        </w:rPr>
        <w:t xml:space="preserve"> multiple meningioma</w:t>
      </w:r>
      <w:r w:rsidR="007E657F" w:rsidRPr="005A343F">
        <w:rPr>
          <w:rFonts w:cstheme="minorHAnsi"/>
          <w:sz w:val="22"/>
          <w:szCs w:val="22"/>
        </w:rPr>
        <w:t xml:space="preserve"> also share the same outcome.  </w:t>
      </w:r>
    </w:p>
    <w:p w14:paraId="3FA710EF" w14:textId="77777777" w:rsidR="0007491E" w:rsidRPr="005A343F" w:rsidRDefault="0007491E" w:rsidP="0007491E">
      <w:pPr>
        <w:spacing w:line="360" w:lineRule="auto"/>
        <w:jc w:val="both"/>
        <w:rPr>
          <w:rFonts w:cstheme="minorHAnsi"/>
          <w:b/>
          <w:bCs/>
          <w:sz w:val="22"/>
          <w:szCs w:val="22"/>
          <w:vertAlign w:val="superscript"/>
        </w:rPr>
      </w:pPr>
    </w:p>
    <w:p w14:paraId="41ABACBB" w14:textId="4F212FF5" w:rsidR="00D77398" w:rsidRPr="0036157F" w:rsidRDefault="002754F9" w:rsidP="0007491E">
      <w:pPr>
        <w:pStyle w:val="Heading1"/>
        <w:spacing w:line="360" w:lineRule="auto"/>
        <w:jc w:val="both"/>
        <w:rPr>
          <w:rFonts w:asciiTheme="minorHAnsi" w:hAnsiTheme="minorHAnsi" w:cstheme="minorHAnsi"/>
          <w:b/>
          <w:bCs/>
          <w:color w:val="000000" w:themeColor="text1"/>
          <w:sz w:val="28"/>
          <w:szCs w:val="28"/>
        </w:rPr>
      </w:pPr>
      <w:r w:rsidRPr="0036157F">
        <w:rPr>
          <w:rFonts w:asciiTheme="minorHAnsi" w:hAnsiTheme="minorHAnsi" w:cstheme="minorHAnsi"/>
          <w:b/>
          <w:bCs/>
          <w:color w:val="000000" w:themeColor="text1"/>
          <w:sz w:val="28"/>
          <w:szCs w:val="28"/>
        </w:rPr>
        <w:t>OBJECTIVE</w:t>
      </w:r>
    </w:p>
    <w:p w14:paraId="1EE6DDAF" w14:textId="66C8DD91" w:rsidR="00446367" w:rsidRDefault="00366AA4" w:rsidP="0007491E">
      <w:pPr>
        <w:spacing w:line="360" w:lineRule="auto"/>
        <w:jc w:val="both"/>
        <w:rPr>
          <w:rFonts w:cstheme="minorHAnsi"/>
          <w:sz w:val="22"/>
          <w:szCs w:val="22"/>
        </w:rPr>
      </w:pPr>
      <w:r w:rsidRPr="005A343F">
        <w:rPr>
          <w:rFonts w:cstheme="minorHAnsi"/>
          <w:sz w:val="22"/>
          <w:szCs w:val="22"/>
        </w:rPr>
        <w:t>The aim of the study was to assess the clinical outcomes of patients with sporadic synchronous multiple meningioma compared to a matched cohort of patients with solitary meningioma</w:t>
      </w:r>
      <w:r w:rsidR="003635FE">
        <w:rPr>
          <w:rFonts w:cstheme="minorHAnsi"/>
          <w:sz w:val="22"/>
          <w:szCs w:val="22"/>
        </w:rPr>
        <w:t>.</w:t>
      </w:r>
    </w:p>
    <w:p w14:paraId="745990F4" w14:textId="77777777" w:rsidR="0007491E" w:rsidRPr="005A343F" w:rsidRDefault="0007491E" w:rsidP="0007491E">
      <w:pPr>
        <w:spacing w:line="360" w:lineRule="auto"/>
        <w:jc w:val="both"/>
        <w:rPr>
          <w:rFonts w:cstheme="minorHAnsi"/>
          <w:sz w:val="22"/>
          <w:szCs w:val="22"/>
        </w:rPr>
      </w:pPr>
    </w:p>
    <w:p w14:paraId="1C347FBD" w14:textId="0C7442EF" w:rsidR="00D63C12" w:rsidRPr="0036157F" w:rsidRDefault="002754F9" w:rsidP="0007491E">
      <w:pPr>
        <w:pStyle w:val="Heading1"/>
        <w:spacing w:line="360" w:lineRule="auto"/>
        <w:jc w:val="both"/>
        <w:rPr>
          <w:rFonts w:asciiTheme="minorHAnsi" w:hAnsiTheme="minorHAnsi" w:cstheme="minorHAnsi"/>
          <w:b/>
          <w:bCs/>
          <w:color w:val="000000" w:themeColor="text1"/>
          <w:sz w:val="28"/>
          <w:szCs w:val="28"/>
        </w:rPr>
      </w:pPr>
      <w:r w:rsidRPr="0036157F">
        <w:rPr>
          <w:rFonts w:asciiTheme="minorHAnsi" w:hAnsiTheme="minorHAnsi" w:cstheme="minorHAnsi"/>
          <w:b/>
          <w:bCs/>
          <w:color w:val="000000" w:themeColor="text1"/>
          <w:sz w:val="28"/>
          <w:szCs w:val="28"/>
        </w:rPr>
        <w:t>METHODS</w:t>
      </w:r>
    </w:p>
    <w:p w14:paraId="3C5E1B9A" w14:textId="1A6F6878" w:rsidR="00366AA4" w:rsidRPr="005A343F" w:rsidRDefault="00366AA4" w:rsidP="0007491E">
      <w:pPr>
        <w:pStyle w:val="Heading2"/>
        <w:spacing w:line="360" w:lineRule="auto"/>
        <w:jc w:val="both"/>
        <w:rPr>
          <w:rFonts w:asciiTheme="minorHAnsi" w:hAnsiTheme="minorHAnsi" w:cstheme="minorHAnsi"/>
          <w:color w:val="000000" w:themeColor="text1"/>
          <w:sz w:val="24"/>
          <w:szCs w:val="24"/>
          <w:u w:val="single"/>
        </w:rPr>
      </w:pPr>
      <w:r w:rsidRPr="005A343F">
        <w:rPr>
          <w:rFonts w:asciiTheme="minorHAnsi" w:hAnsiTheme="minorHAnsi" w:cstheme="minorHAnsi"/>
          <w:color w:val="000000" w:themeColor="text1"/>
          <w:sz w:val="24"/>
          <w:szCs w:val="24"/>
          <w:u w:val="single"/>
        </w:rPr>
        <w:t>Study design</w:t>
      </w:r>
      <w:r w:rsidR="00CA3122" w:rsidRPr="005A343F">
        <w:rPr>
          <w:rFonts w:asciiTheme="minorHAnsi" w:hAnsiTheme="minorHAnsi" w:cstheme="minorHAnsi"/>
          <w:color w:val="000000" w:themeColor="text1"/>
          <w:sz w:val="24"/>
          <w:szCs w:val="24"/>
          <w:u w:val="single"/>
        </w:rPr>
        <w:t xml:space="preserve"> and patient selection</w:t>
      </w:r>
    </w:p>
    <w:p w14:paraId="749352CD" w14:textId="39A32279" w:rsidR="00E62607" w:rsidRPr="005A343F" w:rsidRDefault="000C6077" w:rsidP="0007491E">
      <w:pPr>
        <w:spacing w:line="360" w:lineRule="auto"/>
        <w:jc w:val="both"/>
        <w:rPr>
          <w:rFonts w:cstheme="minorHAnsi"/>
          <w:sz w:val="22"/>
          <w:szCs w:val="22"/>
        </w:rPr>
      </w:pPr>
      <w:r w:rsidRPr="005A343F">
        <w:rPr>
          <w:rFonts w:cstheme="minorHAnsi"/>
          <w:sz w:val="22"/>
          <w:szCs w:val="22"/>
        </w:rPr>
        <w:t xml:space="preserve">This is a retrospective case control study of a cohort of </w:t>
      </w:r>
      <w:r w:rsidR="00CD5F16" w:rsidRPr="005A343F">
        <w:rPr>
          <w:rFonts w:cstheme="minorHAnsi"/>
          <w:sz w:val="22"/>
          <w:szCs w:val="22"/>
        </w:rPr>
        <w:t xml:space="preserve">patients </w:t>
      </w:r>
      <w:r w:rsidRPr="005A343F">
        <w:rPr>
          <w:rFonts w:cstheme="minorHAnsi"/>
          <w:sz w:val="22"/>
          <w:szCs w:val="22"/>
        </w:rPr>
        <w:t xml:space="preserve">diagnosed </w:t>
      </w:r>
      <w:r w:rsidR="00CD5F16" w:rsidRPr="005A343F">
        <w:rPr>
          <w:rFonts w:cstheme="minorHAnsi"/>
          <w:sz w:val="22"/>
          <w:szCs w:val="22"/>
        </w:rPr>
        <w:t xml:space="preserve">with sporadic </w:t>
      </w:r>
      <w:r w:rsidR="003621A4" w:rsidRPr="005A343F">
        <w:rPr>
          <w:rFonts w:cstheme="minorHAnsi"/>
          <w:sz w:val="22"/>
          <w:szCs w:val="22"/>
        </w:rPr>
        <w:t xml:space="preserve">synchronous </w:t>
      </w:r>
      <w:r w:rsidR="00CD5F16" w:rsidRPr="005A343F">
        <w:rPr>
          <w:rFonts w:cstheme="minorHAnsi"/>
          <w:sz w:val="22"/>
          <w:szCs w:val="22"/>
        </w:rPr>
        <w:t>multiple meningioma</w:t>
      </w:r>
      <w:r w:rsidR="00161ECC">
        <w:rPr>
          <w:rFonts w:cstheme="minorHAnsi"/>
          <w:sz w:val="22"/>
          <w:szCs w:val="22"/>
        </w:rPr>
        <w:t xml:space="preserve"> </w:t>
      </w:r>
      <w:r w:rsidR="00CD5F16" w:rsidRPr="005A343F">
        <w:rPr>
          <w:rFonts w:cstheme="minorHAnsi"/>
          <w:sz w:val="22"/>
          <w:szCs w:val="22"/>
        </w:rPr>
        <w:t>at presentation</w:t>
      </w:r>
      <w:r w:rsidR="00E0301B">
        <w:rPr>
          <w:rFonts w:cstheme="minorHAnsi"/>
          <w:sz w:val="22"/>
          <w:szCs w:val="22"/>
        </w:rPr>
        <w:t>,</w:t>
      </w:r>
      <w:r w:rsidR="00CD5F16" w:rsidRPr="005A343F">
        <w:rPr>
          <w:rFonts w:cstheme="minorHAnsi"/>
          <w:sz w:val="22"/>
          <w:szCs w:val="22"/>
        </w:rPr>
        <w:t xml:space="preserve"> </w:t>
      </w:r>
      <w:r w:rsidR="00C12AEC" w:rsidRPr="005A343F">
        <w:rPr>
          <w:rFonts w:cstheme="minorHAnsi"/>
          <w:sz w:val="22"/>
          <w:szCs w:val="22"/>
        </w:rPr>
        <w:t>matched with a cohort of patients diagnosed with solitary meningioma</w:t>
      </w:r>
      <w:r w:rsidR="00C12AEC">
        <w:rPr>
          <w:rFonts w:cstheme="minorHAnsi"/>
          <w:sz w:val="22"/>
          <w:szCs w:val="22"/>
        </w:rPr>
        <w:t>. Patients were diagnosed</w:t>
      </w:r>
      <w:r w:rsidR="00C12AEC" w:rsidRPr="005A343F">
        <w:rPr>
          <w:rFonts w:cstheme="minorHAnsi"/>
          <w:sz w:val="22"/>
          <w:szCs w:val="22"/>
        </w:rPr>
        <w:t xml:space="preserve"> </w:t>
      </w:r>
      <w:r w:rsidRPr="005A343F">
        <w:rPr>
          <w:rFonts w:cstheme="minorHAnsi"/>
          <w:sz w:val="22"/>
          <w:szCs w:val="22"/>
        </w:rPr>
        <w:t>at The Walton Centre</w:t>
      </w:r>
      <w:r w:rsidR="00CB3D5B">
        <w:rPr>
          <w:rFonts w:cstheme="minorHAnsi"/>
          <w:sz w:val="22"/>
          <w:szCs w:val="22"/>
        </w:rPr>
        <w:t xml:space="preserve"> NHS Foundation Trust</w:t>
      </w:r>
      <w:r w:rsidR="006E1AEE" w:rsidRPr="005A343F">
        <w:rPr>
          <w:rFonts w:cstheme="minorHAnsi"/>
          <w:sz w:val="22"/>
          <w:szCs w:val="22"/>
        </w:rPr>
        <w:t xml:space="preserve">, </w:t>
      </w:r>
      <w:r w:rsidR="00CA3122" w:rsidRPr="005A343F">
        <w:rPr>
          <w:rFonts w:cstheme="minorHAnsi"/>
          <w:sz w:val="22"/>
          <w:szCs w:val="22"/>
        </w:rPr>
        <w:t xml:space="preserve">Liverpool, </w:t>
      </w:r>
      <w:r w:rsidR="006E1AEE" w:rsidRPr="005A343F">
        <w:rPr>
          <w:rFonts w:cstheme="minorHAnsi"/>
          <w:sz w:val="22"/>
          <w:szCs w:val="22"/>
        </w:rPr>
        <w:t>UK,</w:t>
      </w:r>
      <w:r w:rsidRPr="005A343F">
        <w:rPr>
          <w:rFonts w:cstheme="minorHAnsi"/>
          <w:sz w:val="22"/>
          <w:szCs w:val="22"/>
        </w:rPr>
        <w:t xml:space="preserve"> between </w:t>
      </w:r>
      <w:r w:rsidR="00CA3122" w:rsidRPr="005A343F">
        <w:rPr>
          <w:rFonts w:cstheme="minorHAnsi"/>
          <w:sz w:val="22"/>
          <w:szCs w:val="22"/>
        </w:rPr>
        <w:t xml:space="preserve">January </w:t>
      </w:r>
      <w:r w:rsidRPr="005A343F">
        <w:rPr>
          <w:rFonts w:cstheme="minorHAnsi"/>
          <w:sz w:val="22"/>
          <w:szCs w:val="22"/>
        </w:rPr>
        <w:t xml:space="preserve">2008 and </w:t>
      </w:r>
      <w:r w:rsidR="00CA3122" w:rsidRPr="005A343F">
        <w:rPr>
          <w:rFonts w:cstheme="minorHAnsi"/>
          <w:sz w:val="22"/>
          <w:szCs w:val="22"/>
        </w:rPr>
        <w:t xml:space="preserve">December </w:t>
      </w:r>
      <w:r w:rsidRPr="005A343F">
        <w:rPr>
          <w:rFonts w:cstheme="minorHAnsi"/>
          <w:sz w:val="22"/>
          <w:szCs w:val="22"/>
        </w:rPr>
        <w:t>2018</w:t>
      </w:r>
      <w:r w:rsidR="00CA3122" w:rsidRPr="005A343F">
        <w:rPr>
          <w:rFonts w:cstheme="minorHAnsi"/>
          <w:sz w:val="22"/>
          <w:szCs w:val="22"/>
        </w:rPr>
        <w:t xml:space="preserve">.  </w:t>
      </w:r>
      <w:r w:rsidR="000E2515" w:rsidRPr="005A343F">
        <w:rPr>
          <w:rFonts w:cstheme="minorHAnsi"/>
          <w:sz w:val="22"/>
          <w:szCs w:val="22"/>
        </w:rPr>
        <w:t xml:space="preserve">Follow-up was through to </w:t>
      </w:r>
      <w:r w:rsidR="00E62607" w:rsidRPr="005A343F">
        <w:rPr>
          <w:rFonts w:cstheme="minorHAnsi"/>
          <w:sz w:val="22"/>
          <w:szCs w:val="22"/>
        </w:rPr>
        <w:t xml:space="preserve">July 2021. </w:t>
      </w:r>
      <w:r w:rsidRPr="005A343F">
        <w:rPr>
          <w:rFonts w:cstheme="minorHAnsi"/>
          <w:sz w:val="22"/>
          <w:szCs w:val="22"/>
        </w:rPr>
        <w:t>Inclusion criteria were adult patients (</w:t>
      </w:r>
      <w:r w:rsidR="00DB7B9A" w:rsidRPr="005A343F">
        <w:rPr>
          <w:rFonts w:cstheme="minorHAnsi"/>
          <w:sz w:val="22"/>
          <w:szCs w:val="22"/>
        </w:rPr>
        <w:t>≥ 18 years</w:t>
      </w:r>
      <w:r w:rsidRPr="005A343F">
        <w:rPr>
          <w:rFonts w:cstheme="minorHAnsi"/>
          <w:sz w:val="22"/>
          <w:szCs w:val="22"/>
        </w:rPr>
        <w:t xml:space="preserve">) with ≥2 meningioma at presentation. </w:t>
      </w:r>
      <w:r w:rsidR="00822EAD" w:rsidRPr="005A343F">
        <w:rPr>
          <w:rFonts w:cstheme="minorHAnsi"/>
          <w:sz w:val="22"/>
          <w:szCs w:val="22"/>
        </w:rPr>
        <w:t xml:space="preserve">Exclusion criteria were patients who had previous intracranial radiation </w:t>
      </w:r>
      <w:r w:rsidR="00CA3122" w:rsidRPr="005A343F">
        <w:rPr>
          <w:rFonts w:cstheme="minorHAnsi"/>
          <w:sz w:val="22"/>
          <w:szCs w:val="22"/>
        </w:rPr>
        <w:t>therapy</w:t>
      </w:r>
      <w:r w:rsidR="00A358BC" w:rsidRPr="005A343F">
        <w:rPr>
          <w:rFonts w:cstheme="minorHAnsi"/>
          <w:sz w:val="22"/>
          <w:szCs w:val="22"/>
        </w:rPr>
        <w:t xml:space="preserve"> (radiation induced meningioma)</w:t>
      </w:r>
      <w:r w:rsidR="00CA3122" w:rsidRPr="005A343F">
        <w:rPr>
          <w:rFonts w:cstheme="minorHAnsi"/>
          <w:sz w:val="22"/>
          <w:szCs w:val="22"/>
        </w:rPr>
        <w:t>, had</w:t>
      </w:r>
      <w:r w:rsidR="00822EAD" w:rsidRPr="005A343F">
        <w:rPr>
          <w:rFonts w:cstheme="minorHAnsi"/>
          <w:sz w:val="22"/>
          <w:szCs w:val="22"/>
        </w:rPr>
        <w:t xml:space="preserve"> a diagnosis of NF2</w:t>
      </w:r>
      <w:r w:rsidR="00CA3122" w:rsidRPr="005A343F">
        <w:rPr>
          <w:rFonts w:cstheme="minorHAnsi"/>
          <w:sz w:val="22"/>
          <w:szCs w:val="22"/>
        </w:rPr>
        <w:t xml:space="preserve"> or had/were at </w:t>
      </w:r>
      <w:r w:rsidR="000E2515" w:rsidRPr="005A343F">
        <w:rPr>
          <w:rFonts w:cstheme="minorHAnsi"/>
          <w:sz w:val="22"/>
          <w:szCs w:val="22"/>
        </w:rPr>
        <w:t xml:space="preserve">the </w:t>
      </w:r>
      <w:r w:rsidR="00CA3122" w:rsidRPr="005A343F">
        <w:rPr>
          <w:rFonts w:cstheme="minorHAnsi"/>
          <w:sz w:val="22"/>
          <w:szCs w:val="22"/>
        </w:rPr>
        <w:t>time</w:t>
      </w:r>
      <w:r w:rsidR="00A358BC" w:rsidRPr="005A343F">
        <w:rPr>
          <w:rFonts w:cstheme="minorHAnsi"/>
          <w:sz w:val="22"/>
          <w:szCs w:val="22"/>
        </w:rPr>
        <w:t xml:space="preserve"> of diagnosis </w:t>
      </w:r>
      <w:r w:rsidR="00CA3122" w:rsidRPr="005A343F">
        <w:rPr>
          <w:rFonts w:cstheme="minorHAnsi"/>
          <w:sz w:val="22"/>
          <w:szCs w:val="22"/>
        </w:rPr>
        <w:t xml:space="preserve">on hormonal therapy. </w:t>
      </w:r>
      <w:r w:rsidR="00F61BA9" w:rsidRPr="005A343F">
        <w:rPr>
          <w:rFonts w:cstheme="minorHAnsi"/>
          <w:sz w:val="22"/>
          <w:szCs w:val="22"/>
        </w:rPr>
        <w:t xml:space="preserve">Data were collected </w:t>
      </w:r>
      <w:r w:rsidR="00822EAD" w:rsidRPr="005A343F">
        <w:rPr>
          <w:rFonts w:cstheme="minorHAnsi"/>
          <w:sz w:val="22"/>
          <w:szCs w:val="22"/>
        </w:rPr>
        <w:t xml:space="preserve">on </w:t>
      </w:r>
      <w:r w:rsidR="00F61BA9" w:rsidRPr="005A343F">
        <w:rPr>
          <w:rFonts w:cstheme="minorHAnsi"/>
          <w:sz w:val="22"/>
          <w:szCs w:val="22"/>
        </w:rPr>
        <w:t>demographics, symptom</w:t>
      </w:r>
      <w:r w:rsidR="00C12AEC">
        <w:rPr>
          <w:rFonts w:cstheme="minorHAnsi"/>
          <w:sz w:val="22"/>
          <w:szCs w:val="22"/>
        </w:rPr>
        <w:t>s</w:t>
      </w:r>
      <w:r w:rsidR="00F61BA9" w:rsidRPr="005A343F">
        <w:rPr>
          <w:rFonts w:cstheme="minorHAnsi"/>
          <w:sz w:val="22"/>
          <w:szCs w:val="22"/>
        </w:rPr>
        <w:t xml:space="preserve">, </w:t>
      </w:r>
      <w:r w:rsidR="00C12AEC">
        <w:rPr>
          <w:rFonts w:cstheme="minorHAnsi"/>
          <w:sz w:val="22"/>
          <w:szCs w:val="22"/>
        </w:rPr>
        <w:t>neuro</w:t>
      </w:r>
      <w:r w:rsidR="003C32BF" w:rsidRPr="005A343F">
        <w:rPr>
          <w:rFonts w:cstheme="minorHAnsi"/>
          <w:sz w:val="22"/>
          <w:szCs w:val="22"/>
        </w:rPr>
        <w:t>imaging</w:t>
      </w:r>
      <w:r w:rsidR="00F61BA9" w:rsidRPr="005A343F">
        <w:rPr>
          <w:rFonts w:cstheme="minorHAnsi"/>
          <w:sz w:val="22"/>
          <w:szCs w:val="22"/>
        </w:rPr>
        <w:t xml:space="preserve"> f</w:t>
      </w:r>
      <w:r w:rsidR="00C12AEC">
        <w:rPr>
          <w:rFonts w:cstheme="minorHAnsi"/>
          <w:sz w:val="22"/>
          <w:szCs w:val="22"/>
        </w:rPr>
        <w:t>eatures</w:t>
      </w:r>
      <w:r w:rsidR="00F61BA9" w:rsidRPr="005A343F">
        <w:rPr>
          <w:rFonts w:cstheme="minorHAnsi"/>
          <w:sz w:val="22"/>
          <w:szCs w:val="22"/>
        </w:rPr>
        <w:t xml:space="preserve">, </w:t>
      </w:r>
      <w:r w:rsidR="00941444" w:rsidRPr="005A343F">
        <w:rPr>
          <w:rFonts w:cstheme="minorHAnsi"/>
          <w:sz w:val="22"/>
          <w:szCs w:val="22"/>
        </w:rPr>
        <w:t>treatment</w:t>
      </w:r>
      <w:r w:rsidR="00C12AEC">
        <w:rPr>
          <w:rFonts w:cstheme="minorHAnsi"/>
          <w:sz w:val="22"/>
          <w:szCs w:val="22"/>
        </w:rPr>
        <w:t xml:space="preserve">, </w:t>
      </w:r>
      <w:r w:rsidR="00941444" w:rsidRPr="005A343F">
        <w:rPr>
          <w:rFonts w:cstheme="minorHAnsi"/>
          <w:sz w:val="22"/>
          <w:szCs w:val="22"/>
        </w:rPr>
        <w:t>outcomes</w:t>
      </w:r>
      <w:r w:rsidR="00793348" w:rsidRPr="005A343F">
        <w:rPr>
          <w:rFonts w:cstheme="minorHAnsi"/>
          <w:sz w:val="22"/>
          <w:szCs w:val="22"/>
        </w:rPr>
        <w:t xml:space="preserve"> </w:t>
      </w:r>
      <w:r w:rsidR="002F5642" w:rsidRPr="005A343F">
        <w:rPr>
          <w:rFonts w:cstheme="minorHAnsi"/>
          <w:sz w:val="22"/>
          <w:szCs w:val="22"/>
        </w:rPr>
        <w:t>and histopathological features</w:t>
      </w:r>
      <w:r w:rsidR="00C12AEC">
        <w:rPr>
          <w:rFonts w:cstheme="minorHAnsi"/>
          <w:sz w:val="22"/>
          <w:szCs w:val="22"/>
        </w:rPr>
        <w:t xml:space="preserve">. Data </w:t>
      </w:r>
      <w:r w:rsidR="002F5642" w:rsidRPr="005A343F">
        <w:rPr>
          <w:rFonts w:cstheme="minorHAnsi"/>
          <w:sz w:val="22"/>
          <w:szCs w:val="22"/>
        </w:rPr>
        <w:t xml:space="preserve">were </w:t>
      </w:r>
      <w:r w:rsidR="00793348" w:rsidRPr="005A343F">
        <w:rPr>
          <w:rFonts w:cstheme="minorHAnsi"/>
          <w:sz w:val="22"/>
          <w:szCs w:val="22"/>
        </w:rPr>
        <w:t>anonymised and recorded into an encrypted Excel® database (Microsoft, Redmond, WA, USA).</w:t>
      </w:r>
      <w:r w:rsidR="00612B77" w:rsidRPr="005A343F">
        <w:rPr>
          <w:rFonts w:cstheme="minorHAnsi"/>
          <w:sz w:val="22"/>
          <w:szCs w:val="22"/>
        </w:rPr>
        <w:t xml:space="preserve"> Local intuitional approval was obtained</w:t>
      </w:r>
      <w:r w:rsidR="006D70AA" w:rsidRPr="005A343F">
        <w:rPr>
          <w:rFonts w:cstheme="minorHAnsi"/>
          <w:sz w:val="22"/>
          <w:szCs w:val="22"/>
        </w:rPr>
        <w:t xml:space="preserve">. </w:t>
      </w:r>
      <w:r w:rsidR="00612B77" w:rsidRPr="005A343F">
        <w:rPr>
          <w:rFonts w:cstheme="minorHAnsi"/>
          <w:sz w:val="22"/>
          <w:szCs w:val="22"/>
        </w:rPr>
        <w:t xml:space="preserve"> </w:t>
      </w:r>
      <w:r w:rsidR="00490997" w:rsidRPr="005A343F">
        <w:rPr>
          <w:rFonts w:cstheme="minorHAnsi"/>
          <w:sz w:val="22"/>
          <w:szCs w:val="22"/>
        </w:rPr>
        <w:t xml:space="preserve"> </w:t>
      </w:r>
    </w:p>
    <w:p w14:paraId="71974ACC" w14:textId="03DA8529" w:rsidR="00E62607" w:rsidRPr="005A343F" w:rsidRDefault="00E62607" w:rsidP="0007491E">
      <w:pPr>
        <w:pStyle w:val="Heading2"/>
        <w:spacing w:line="360" w:lineRule="auto"/>
        <w:jc w:val="both"/>
        <w:rPr>
          <w:rFonts w:asciiTheme="minorHAnsi" w:hAnsiTheme="minorHAnsi" w:cstheme="minorHAnsi"/>
          <w:color w:val="000000" w:themeColor="text1"/>
          <w:sz w:val="24"/>
          <w:szCs w:val="24"/>
          <w:u w:val="single"/>
        </w:rPr>
      </w:pPr>
      <w:r w:rsidRPr="005A343F">
        <w:rPr>
          <w:rFonts w:asciiTheme="minorHAnsi" w:hAnsiTheme="minorHAnsi" w:cstheme="minorHAnsi"/>
          <w:color w:val="000000" w:themeColor="text1"/>
          <w:sz w:val="24"/>
          <w:szCs w:val="24"/>
          <w:u w:val="single"/>
        </w:rPr>
        <w:lastRenderedPageBreak/>
        <w:t>Study outcomes</w:t>
      </w:r>
    </w:p>
    <w:p w14:paraId="59D56ADA" w14:textId="28BD510B" w:rsidR="00E62607" w:rsidRPr="005A343F" w:rsidRDefault="00E62607" w:rsidP="0007491E">
      <w:pPr>
        <w:spacing w:line="360" w:lineRule="auto"/>
        <w:jc w:val="both"/>
        <w:rPr>
          <w:rFonts w:cstheme="minorHAnsi"/>
          <w:sz w:val="22"/>
          <w:szCs w:val="22"/>
        </w:rPr>
      </w:pPr>
      <w:r w:rsidRPr="005A343F">
        <w:rPr>
          <w:rFonts w:cstheme="minorHAnsi"/>
          <w:sz w:val="22"/>
          <w:szCs w:val="22"/>
        </w:rPr>
        <w:t>The</w:t>
      </w:r>
      <w:r w:rsidR="00161ECC">
        <w:rPr>
          <w:rFonts w:cstheme="minorHAnsi"/>
          <w:sz w:val="22"/>
          <w:szCs w:val="22"/>
        </w:rPr>
        <w:t xml:space="preserve"> o</w:t>
      </w:r>
      <w:r w:rsidRPr="005A343F">
        <w:rPr>
          <w:rFonts w:cstheme="minorHAnsi"/>
          <w:sz w:val="22"/>
          <w:szCs w:val="22"/>
        </w:rPr>
        <w:t>utcome</w:t>
      </w:r>
      <w:r w:rsidR="00161ECC">
        <w:rPr>
          <w:rFonts w:cstheme="minorHAnsi"/>
          <w:sz w:val="22"/>
          <w:szCs w:val="22"/>
        </w:rPr>
        <w:t>s</w:t>
      </w:r>
      <w:r w:rsidRPr="005A343F">
        <w:rPr>
          <w:rFonts w:cstheme="minorHAnsi"/>
          <w:sz w:val="22"/>
          <w:szCs w:val="22"/>
        </w:rPr>
        <w:t xml:space="preserve"> of interest w</w:t>
      </w:r>
      <w:r w:rsidR="00161ECC">
        <w:rPr>
          <w:rFonts w:cstheme="minorHAnsi"/>
          <w:sz w:val="22"/>
          <w:szCs w:val="22"/>
        </w:rPr>
        <w:t xml:space="preserve">ere intervention-free </w:t>
      </w:r>
      <w:r w:rsidRPr="005A343F">
        <w:rPr>
          <w:rFonts w:cstheme="minorHAnsi"/>
          <w:sz w:val="22"/>
          <w:szCs w:val="22"/>
        </w:rPr>
        <w:t>survival,</w:t>
      </w:r>
      <w:r w:rsidR="0079710E">
        <w:rPr>
          <w:rFonts w:cstheme="minorHAnsi"/>
          <w:sz w:val="22"/>
          <w:szCs w:val="22"/>
        </w:rPr>
        <w:t xml:space="preserve"> </w:t>
      </w:r>
      <w:r w:rsidRPr="005A343F">
        <w:rPr>
          <w:rFonts w:cstheme="minorHAnsi"/>
          <w:sz w:val="22"/>
          <w:szCs w:val="22"/>
        </w:rPr>
        <w:t>recurrence-free survival</w:t>
      </w:r>
      <w:r w:rsidR="0079710E">
        <w:rPr>
          <w:rFonts w:cstheme="minorHAnsi"/>
          <w:sz w:val="22"/>
          <w:szCs w:val="22"/>
        </w:rPr>
        <w:t xml:space="preserve"> </w:t>
      </w:r>
      <w:r w:rsidRPr="005A343F">
        <w:rPr>
          <w:rFonts w:cstheme="minorHAnsi"/>
          <w:sz w:val="22"/>
          <w:szCs w:val="22"/>
        </w:rPr>
        <w:t>following</w:t>
      </w:r>
      <w:r w:rsidR="0079710E">
        <w:rPr>
          <w:rFonts w:cstheme="minorHAnsi"/>
          <w:sz w:val="22"/>
          <w:szCs w:val="22"/>
        </w:rPr>
        <w:t xml:space="preserve"> </w:t>
      </w:r>
      <w:r w:rsidRPr="005A343F">
        <w:rPr>
          <w:rFonts w:cstheme="minorHAnsi"/>
          <w:sz w:val="22"/>
          <w:szCs w:val="22"/>
        </w:rPr>
        <w:t>an intervention,</w:t>
      </w:r>
      <w:r w:rsidR="00E0301B">
        <w:rPr>
          <w:rFonts w:cstheme="minorHAnsi"/>
          <w:sz w:val="22"/>
          <w:szCs w:val="22"/>
        </w:rPr>
        <w:t xml:space="preserve"> </w:t>
      </w:r>
      <w:r w:rsidRPr="005A343F">
        <w:rPr>
          <w:rFonts w:cstheme="minorHAnsi"/>
          <w:sz w:val="22"/>
          <w:szCs w:val="22"/>
        </w:rPr>
        <w:t>new meningioma development</w:t>
      </w:r>
      <w:r w:rsidR="0079710E">
        <w:rPr>
          <w:rFonts w:cstheme="minorHAnsi"/>
          <w:sz w:val="22"/>
          <w:szCs w:val="22"/>
        </w:rPr>
        <w:t xml:space="preserve"> and overall survival. </w:t>
      </w:r>
    </w:p>
    <w:p w14:paraId="32F80B04" w14:textId="77777777" w:rsidR="0053287B" w:rsidRPr="005A343F" w:rsidRDefault="00E62607" w:rsidP="0007491E">
      <w:pPr>
        <w:pStyle w:val="Heading2"/>
        <w:spacing w:line="360" w:lineRule="auto"/>
        <w:jc w:val="both"/>
        <w:rPr>
          <w:rFonts w:asciiTheme="minorHAnsi" w:hAnsiTheme="minorHAnsi" w:cstheme="minorHAnsi"/>
          <w:color w:val="000000" w:themeColor="text1"/>
          <w:sz w:val="24"/>
          <w:szCs w:val="24"/>
          <w:u w:val="single"/>
        </w:rPr>
      </w:pPr>
      <w:r w:rsidRPr="005A343F">
        <w:rPr>
          <w:rFonts w:asciiTheme="minorHAnsi" w:hAnsiTheme="minorHAnsi" w:cstheme="minorHAnsi"/>
          <w:color w:val="000000" w:themeColor="text1"/>
          <w:sz w:val="24"/>
          <w:szCs w:val="24"/>
          <w:u w:val="single"/>
        </w:rPr>
        <w:t>Study variables and definitions</w:t>
      </w:r>
    </w:p>
    <w:p w14:paraId="3A4138C9" w14:textId="6F78022C" w:rsidR="00E62607" w:rsidRPr="005A343F" w:rsidRDefault="001E714A" w:rsidP="0007491E">
      <w:pPr>
        <w:spacing w:line="360" w:lineRule="auto"/>
        <w:jc w:val="both"/>
        <w:rPr>
          <w:rFonts w:cstheme="minorHAnsi"/>
          <w:sz w:val="22"/>
          <w:szCs w:val="22"/>
        </w:rPr>
      </w:pPr>
      <w:r w:rsidRPr="005A343F">
        <w:rPr>
          <w:rFonts w:cstheme="minorHAnsi"/>
          <w:sz w:val="22"/>
          <w:szCs w:val="22"/>
        </w:rPr>
        <w:t>Clinical characteristics were collected and recorded at the time of diagnosis. Patient sex, age, presenting clinical features (</w:t>
      </w:r>
      <w:r w:rsidR="00A04EC7" w:rsidRPr="005A343F">
        <w:rPr>
          <w:rFonts w:cstheme="minorHAnsi"/>
          <w:sz w:val="22"/>
          <w:szCs w:val="22"/>
        </w:rPr>
        <w:t xml:space="preserve">asymptomatic </w:t>
      </w:r>
      <w:r w:rsidRPr="005A343F">
        <w:rPr>
          <w:rFonts w:cstheme="minorHAnsi"/>
          <w:sz w:val="22"/>
          <w:szCs w:val="22"/>
        </w:rPr>
        <w:t xml:space="preserve">vs symptomatic), WHO performance status, and </w:t>
      </w:r>
      <w:r w:rsidR="00A04EC7" w:rsidRPr="005A343F">
        <w:rPr>
          <w:rFonts w:cstheme="minorHAnsi"/>
          <w:sz w:val="22"/>
          <w:szCs w:val="22"/>
        </w:rPr>
        <w:t>a</w:t>
      </w:r>
      <w:r w:rsidRPr="005A343F">
        <w:rPr>
          <w:rFonts w:cstheme="minorHAnsi"/>
          <w:sz w:val="22"/>
          <w:szCs w:val="22"/>
        </w:rPr>
        <w:t xml:space="preserve">ge-Adjusted Charlson </w:t>
      </w:r>
      <w:r w:rsidR="00A04EC7" w:rsidRPr="005A343F">
        <w:rPr>
          <w:rFonts w:cstheme="minorHAnsi"/>
          <w:sz w:val="22"/>
          <w:szCs w:val="22"/>
        </w:rPr>
        <w:t>c</w:t>
      </w:r>
      <w:r w:rsidRPr="005A343F">
        <w:rPr>
          <w:rFonts w:cstheme="minorHAnsi"/>
          <w:sz w:val="22"/>
          <w:szCs w:val="22"/>
        </w:rPr>
        <w:t xml:space="preserve">omorbidity </w:t>
      </w:r>
      <w:r w:rsidR="00A04EC7" w:rsidRPr="005A343F">
        <w:rPr>
          <w:rFonts w:cstheme="minorHAnsi"/>
          <w:sz w:val="22"/>
          <w:szCs w:val="22"/>
        </w:rPr>
        <w:t>i</w:t>
      </w:r>
      <w:r w:rsidRPr="005A343F">
        <w:rPr>
          <w:rFonts w:cstheme="minorHAnsi"/>
          <w:sz w:val="22"/>
          <w:szCs w:val="22"/>
        </w:rPr>
        <w:t>ndex (ACCI) were included. The radiological features of the meningioma were recorded. The tumor location was defined according to the International Consortium on Meningioma (ICOM) classification</w:t>
      </w:r>
      <w:r w:rsidR="00E83299" w:rsidRPr="005A343F">
        <w:rPr>
          <w:rFonts w:cstheme="minorHAnsi"/>
          <w:sz w:val="22"/>
          <w:szCs w:val="22"/>
        </w:rPr>
        <w:t xml:space="preserve"> system</w:t>
      </w:r>
      <w:r w:rsidR="005534FB" w:rsidRPr="005A343F">
        <w:rPr>
          <w:rFonts w:cstheme="minorHAnsi"/>
          <w:sz w:val="22"/>
          <w:szCs w:val="22"/>
        </w:rPr>
        <w:t xml:space="preserve"> </w:t>
      </w:r>
      <w:r w:rsidR="005534FB" w:rsidRPr="005A343F">
        <w:rPr>
          <w:rFonts w:cstheme="minorHAnsi"/>
          <w:sz w:val="22"/>
          <w:szCs w:val="22"/>
        </w:rPr>
        <w:fldChar w:fldCharType="begin"/>
      </w:r>
      <w:r w:rsidR="00201509">
        <w:rPr>
          <w:rFonts w:cstheme="minorHAnsi"/>
          <w:sz w:val="22"/>
          <w:szCs w:val="22"/>
        </w:rPr>
        <w:instrText xml:space="preserve"> ADDIN ZOTERO_ITEM CSL_CITATION {"citationID":"oTO7Q3xy","properties":{"formattedCitation":"(9)","plainCitation":"(9)","noteIndex":0},"citationItems":[{"id":9,"uris":["http://zotero.org/users/local/siebo2NQ/items/S3SI4M9R"],"itemData":{"id":9,"type":"article-journal","abstract":"With increasing molecular analyses of meningiomas, there is a need to harmonize language used to capture clinical data across centers to ensure that molecular alterations are appropriately linked to clinical variables of interest. Here the International Consortium on Meningiomas presents a set of core and supplemental meningioma-specific common data elements (CDEs) to facilitate comparative and pooled analyses.The generation of CDEs followed the 4-phase process similar to other National Institute of Neurological Disorders and Stroke (NINDS) CDE projects: discovery, internal validation, external validation, and distribution.The CDEs were organized into patient- and tumor-level modules. In total, 17 core CDEs (10 patient level and 7 tumor level) as well as 14 supplemental CDEs (7 patient level and 7 tumor level) were defined and described. These CDEs are now made publicly available for dissemination and adoption.CDEs provide a framework for discussion in the neuro-oncology community that will facilitate data-sharing for collaborative research projects and aid in developing a common language for comparative and pooled analyses. The meningioma-specific CDEs presented here are intended to be dynamic parameters that evolve with time and The Consortium welcomes international feedback for further refinement and implementation of these CDEs.","container-title":"Neuro-Oncology","DOI":"10.1093/neuonc/noab259","ISSN":"1522-8517","issue":"5","journalAbbreviation":"Neuro-Oncology","page":"683-693","source":"Silverchair","title":"Consensus core clinical data elements for meningiomas (v2021.1)","volume":"24","author":[{"family":"Nassiri","given":"Farshad"},{"family":"Wang","given":"Justin Z"},{"family":"Au","given":"Karolyn"},{"family":"Barnholtz-Sloan","given":"Jill"},{"family":"Jenkinson","given":"Michael D"},{"family":"Drummond","given":"Kate"},{"family":"Zhou","given":"Yueren"},{"family":"Snyder","given":"James M"},{"family":"Brastianos","given":"Priscilla"},{"family":"Santarius","given":"Thomas"},{"family":"Suppiah","given":"Suganth"},{"family":"Poisson","given":"Laila"},{"family":"Gaillard","given":"Francesco"},{"family":"Rosenthal","given":"Mark"},{"family":"Kaufmann","given":"Timothy"},{"family":"Tsang","given":"Derek S"},{"family":"Aldape","given":"Kenneth"},{"family":"Zadeh","given":"Gelareh"}],"issued":{"date-parts":[["2022",5,1]]}}}],"schema":"https://github.com/citation-style-language/schema/raw/master/csl-citation.json"} </w:instrText>
      </w:r>
      <w:r w:rsidR="005534FB" w:rsidRPr="005A343F">
        <w:rPr>
          <w:rFonts w:cstheme="minorHAnsi"/>
          <w:sz w:val="22"/>
          <w:szCs w:val="22"/>
        </w:rPr>
        <w:fldChar w:fldCharType="separate"/>
      </w:r>
      <w:r w:rsidR="003F0A3F">
        <w:rPr>
          <w:rFonts w:ascii="Calibri" w:hAnsi="Calibri" w:cs="Calibri"/>
          <w:sz w:val="22"/>
        </w:rPr>
        <w:t>(9)</w:t>
      </w:r>
      <w:r w:rsidR="005534FB" w:rsidRPr="005A343F">
        <w:rPr>
          <w:rFonts w:cstheme="minorHAnsi"/>
          <w:sz w:val="22"/>
          <w:szCs w:val="22"/>
        </w:rPr>
        <w:fldChar w:fldCharType="end"/>
      </w:r>
      <w:r w:rsidR="005534FB" w:rsidRPr="005A343F">
        <w:rPr>
          <w:rFonts w:cstheme="minorHAnsi"/>
          <w:sz w:val="22"/>
          <w:szCs w:val="22"/>
        </w:rPr>
        <w:t>.</w:t>
      </w:r>
      <w:r w:rsidRPr="005A343F">
        <w:rPr>
          <w:rFonts w:cstheme="minorHAnsi"/>
          <w:sz w:val="22"/>
          <w:szCs w:val="22"/>
        </w:rPr>
        <w:t xml:space="preserve"> The meningioma volume was calculated using the simplified ellipsoid formula (ABC/2) and reported in </w:t>
      </w:r>
      <w:r w:rsidR="006479F2" w:rsidRPr="005A343F">
        <w:rPr>
          <w:rFonts w:cstheme="minorHAnsi"/>
          <w:sz w:val="22"/>
          <w:szCs w:val="22"/>
        </w:rPr>
        <w:t>centimeters</w:t>
      </w:r>
      <w:r w:rsidRPr="005A343F">
        <w:rPr>
          <w:rFonts w:cstheme="minorHAnsi"/>
          <w:sz w:val="22"/>
          <w:szCs w:val="22"/>
        </w:rPr>
        <w:t xml:space="preserve"> cubed (cm</w:t>
      </w:r>
      <w:r w:rsidRPr="008A3953">
        <w:rPr>
          <w:rFonts w:cstheme="minorHAnsi"/>
          <w:sz w:val="22"/>
          <w:szCs w:val="22"/>
          <w:vertAlign w:val="superscript"/>
        </w:rPr>
        <w:t>3</w:t>
      </w:r>
      <w:r w:rsidRPr="005A343F">
        <w:rPr>
          <w:rFonts w:cstheme="minorHAnsi"/>
          <w:sz w:val="22"/>
          <w:szCs w:val="22"/>
        </w:rPr>
        <w:t>).</w:t>
      </w:r>
      <w:r w:rsidR="00500B2D" w:rsidRPr="005A343F">
        <w:rPr>
          <w:rFonts w:cstheme="minorHAnsi"/>
          <w:sz w:val="22"/>
          <w:szCs w:val="22"/>
        </w:rPr>
        <w:t xml:space="preserve"> </w:t>
      </w:r>
      <w:r w:rsidR="007C511B">
        <w:rPr>
          <w:rFonts w:cstheme="minorHAnsi"/>
          <w:sz w:val="22"/>
          <w:szCs w:val="22"/>
        </w:rPr>
        <w:t>M</w:t>
      </w:r>
      <w:r w:rsidRPr="005A343F">
        <w:rPr>
          <w:rFonts w:cstheme="minorHAnsi"/>
          <w:sz w:val="22"/>
          <w:szCs w:val="22"/>
        </w:rPr>
        <w:t>eningioma signal intensity was categorized into hyperintense and iso/hypointense</w:t>
      </w:r>
      <w:r w:rsidR="00A04EC7" w:rsidRPr="005A343F">
        <w:rPr>
          <w:rFonts w:cstheme="minorHAnsi"/>
          <w:sz w:val="22"/>
          <w:szCs w:val="22"/>
        </w:rPr>
        <w:t>, in relation to</w:t>
      </w:r>
      <w:r w:rsidRPr="005A343F">
        <w:rPr>
          <w:rFonts w:cstheme="minorHAnsi"/>
          <w:sz w:val="22"/>
          <w:szCs w:val="22"/>
        </w:rPr>
        <w:t xml:space="preserve"> the contralateral gray matter, on T2 weighted or fluid-attenuated inversion recovery (FLAIR) magnetic resonance imaging (MRI). The presence of peri-tumoral signal change was </w:t>
      </w:r>
      <w:r w:rsidR="007C511B">
        <w:rPr>
          <w:rFonts w:cstheme="minorHAnsi"/>
          <w:sz w:val="22"/>
          <w:szCs w:val="22"/>
        </w:rPr>
        <w:t>determined from</w:t>
      </w:r>
      <w:r w:rsidRPr="005A343F">
        <w:rPr>
          <w:rFonts w:cstheme="minorHAnsi"/>
          <w:sz w:val="22"/>
          <w:szCs w:val="22"/>
        </w:rPr>
        <w:t xml:space="preserve"> T2 weighted or FLAIR MRI. </w:t>
      </w:r>
      <w:r w:rsidR="004C6912">
        <w:rPr>
          <w:rFonts w:cstheme="minorHAnsi"/>
          <w:sz w:val="22"/>
          <w:szCs w:val="22"/>
        </w:rPr>
        <w:t>P</w:t>
      </w:r>
      <w:r w:rsidR="00A17527" w:rsidRPr="005A343F">
        <w:rPr>
          <w:rFonts w:cstheme="minorHAnsi"/>
          <w:sz w:val="22"/>
          <w:szCs w:val="22"/>
        </w:rPr>
        <w:t xml:space="preserve">roximity to major dural venous sinuses </w:t>
      </w:r>
      <w:r w:rsidR="00890BF4">
        <w:rPr>
          <w:rFonts w:cstheme="minorHAnsi"/>
          <w:sz w:val="22"/>
          <w:szCs w:val="22"/>
        </w:rPr>
        <w:t xml:space="preserve">or </w:t>
      </w:r>
      <w:r w:rsidR="00A17527" w:rsidRPr="005A343F">
        <w:rPr>
          <w:rFonts w:cstheme="minorHAnsi"/>
          <w:sz w:val="22"/>
          <w:szCs w:val="22"/>
        </w:rPr>
        <w:t>critical neurovascular structures (</w:t>
      </w:r>
      <w:r w:rsidR="00C126DA" w:rsidRPr="005A343F">
        <w:rPr>
          <w:rFonts w:cstheme="minorHAnsi"/>
          <w:sz w:val="22"/>
          <w:szCs w:val="22"/>
        </w:rPr>
        <w:t>e.g</w:t>
      </w:r>
      <w:r w:rsidR="00A17527" w:rsidRPr="005A343F">
        <w:rPr>
          <w:rFonts w:cstheme="minorHAnsi"/>
          <w:sz w:val="22"/>
          <w:szCs w:val="22"/>
        </w:rPr>
        <w:t xml:space="preserve">, optic apparatus) was noted. </w:t>
      </w:r>
      <w:r w:rsidR="00544C69" w:rsidRPr="005A343F">
        <w:rPr>
          <w:rFonts w:cstheme="minorHAnsi"/>
          <w:sz w:val="22"/>
          <w:szCs w:val="22"/>
        </w:rPr>
        <w:t xml:space="preserve">The </w:t>
      </w:r>
      <w:r w:rsidR="00C33587">
        <w:rPr>
          <w:rFonts w:cstheme="minorHAnsi"/>
          <w:sz w:val="22"/>
          <w:szCs w:val="22"/>
        </w:rPr>
        <w:t xml:space="preserve">primary </w:t>
      </w:r>
      <w:r w:rsidR="00544C69" w:rsidRPr="005A343F">
        <w:rPr>
          <w:rFonts w:cstheme="minorHAnsi"/>
          <w:sz w:val="22"/>
          <w:szCs w:val="22"/>
        </w:rPr>
        <w:t xml:space="preserve">intervention </w:t>
      </w:r>
      <w:r w:rsidR="007C511B">
        <w:rPr>
          <w:rFonts w:cstheme="minorHAnsi"/>
          <w:sz w:val="22"/>
          <w:szCs w:val="22"/>
        </w:rPr>
        <w:t xml:space="preserve">was categorised as </w:t>
      </w:r>
      <w:r w:rsidR="00C33587">
        <w:rPr>
          <w:rFonts w:cstheme="minorHAnsi"/>
          <w:sz w:val="22"/>
          <w:szCs w:val="22"/>
        </w:rPr>
        <w:t xml:space="preserve">surgery, stereotactic radiosurgery (SRS) </w:t>
      </w:r>
      <w:r w:rsidR="007C511B">
        <w:rPr>
          <w:rFonts w:cstheme="minorHAnsi"/>
          <w:sz w:val="22"/>
          <w:szCs w:val="22"/>
        </w:rPr>
        <w:t xml:space="preserve">or </w:t>
      </w:r>
      <w:r w:rsidR="00C33587">
        <w:rPr>
          <w:rFonts w:cstheme="minorHAnsi"/>
          <w:sz w:val="22"/>
          <w:szCs w:val="22"/>
        </w:rPr>
        <w:t>fractionated radiotherapy (</w:t>
      </w:r>
      <w:r w:rsidR="00C33587" w:rsidRPr="00C33587">
        <w:rPr>
          <w:rFonts w:cstheme="minorHAnsi"/>
          <w:i/>
          <w:sz w:val="22"/>
          <w:szCs w:val="22"/>
        </w:rPr>
        <w:t>f</w:t>
      </w:r>
      <w:r w:rsidR="00C33587">
        <w:rPr>
          <w:rFonts w:cstheme="minorHAnsi"/>
          <w:sz w:val="22"/>
          <w:szCs w:val="22"/>
        </w:rPr>
        <w:t>RT).</w:t>
      </w:r>
      <w:r w:rsidRPr="005A343F">
        <w:rPr>
          <w:rFonts w:cstheme="minorHAnsi"/>
          <w:sz w:val="22"/>
          <w:szCs w:val="22"/>
        </w:rPr>
        <w:t xml:space="preserve"> </w:t>
      </w:r>
      <w:r w:rsidR="007C511B">
        <w:rPr>
          <w:rFonts w:cstheme="minorHAnsi"/>
          <w:sz w:val="22"/>
          <w:szCs w:val="22"/>
        </w:rPr>
        <w:t>Surgical</w:t>
      </w:r>
      <w:r w:rsidRPr="005A343F">
        <w:rPr>
          <w:rFonts w:cstheme="minorHAnsi"/>
          <w:sz w:val="22"/>
          <w:szCs w:val="22"/>
        </w:rPr>
        <w:t xml:space="preserve"> extent of resection </w:t>
      </w:r>
      <w:r w:rsidR="007C511B">
        <w:rPr>
          <w:rFonts w:cstheme="minorHAnsi"/>
          <w:sz w:val="22"/>
          <w:szCs w:val="22"/>
        </w:rPr>
        <w:t xml:space="preserve">was defined using </w:t>
      </w:r>
      <w:r w:rsidRPr="005A343F">
        <w:rPr>
          <w:rFonts w:cstheme="minorHAnsi"/>
          <w:sz w:val="22"/>
          <w:szCs w:val="22"/>
        </w:rPr>
        <w:t xml:space="preserve">the Simpson </w:t>
      </w:r>
      <w:r w:rsidR="00544C69" w:rsidRPr="005A343F">
        <w:rPr>
          <w:rFonts w:cstheme="minorHAnsi"/>
          <w:sz w:val="22"/>
          <w:szCs w:val="22"/>
        </w:rPr>
        <w:t>g</w:t>
      </w:r>
      <w:r w:rsidRPr="005A343F">
        <w:rPr>
          <w:rFonts w:cstheme="minorHAnsi"/>
          <w:sz w:val="22"/>
          <w:szCs w:val="22"/>
        </w:rPr>
        <w:t>rading Scale</w:t>
      </w:r>
      <w:r w:rsidR="00C33587">
        <w:rPr>
          <w:rFonts w:cstheme="minorHAnsi"/>
          <w:sz w:val="22"/>
          <w:szCs w:val="22"/>
        </w:rPr>
        <w:t xml:space="preserve"> (gross total resection [Simpson 1-3] and subtotal resection [Simpson 4-5])</w:t>
      </w:r>
      <w:r w:rsidR="00780CD2">
        <w:rPr>
          <w:rFonts w:cstheme="minorHAnsi"/>
          <w:sz w:val="22"/>
          <w:szCs w:val="22"/>
        </w:rPr>
        <w:t xml:space="preserve">. Radiotherapy dose and fractionation were recorded. </w:t>
      </w:r>
      <w:r w:rsidRPr="005A343F">
        <w:rPr>
          <w:rFonts w:cstheme="minorHAnsi"/>
          <w:sz w:val="22"/>
          <w:szCs w:val="22"/>
        </w:rPr>
        <w:t xml:space="preserve">Adjuvant treatment was defined as additional </w:t>
      </w:r>
      <w:r w:rsidR="00780CD2">
        <w:rPr>
          <w:rFonts w:cstheme="minorHAnsi"/>
          <w:sz w:val="22"/>
          <w:szCs w:val="22"/>
        </w:rPr>
        <w:t>radio</w:t>
      </w:r>
      <w:r w:rsidRPr="005A343F">
        <w:rPr>
          <w:rFonts w:cstheme="minorHAnsi"/>
          <w:sz w:val="22"/>
          <w:szCs w:val="22"/>
        </w:rPr>
        <w:t>therapy given within six months of an operation</w:t>
      </w:r>
      <w:r w:rsidR="00E20372">
        <w:rPr>
          <w:rFonts w:cstheme="minorHAnsi"/>
          <w:sz w:val="22"/>
          <w:szCs w:val="22"/>
        </w:rPr>
        <w:t xml:space="preserve">. Salvage treatment was defined as treatment delivered due to </w:t>
      </w:r>
      <w:r w:rsidR="00780CD2">
        <w:rPr>
          <w:rFonts w:cstheme="minorHAnsi"/>
          <w:sz w:val="22"/>
          <w:szCs w:val="22"/>
        </w:rPr>
        <w:t xml:space="preserve">meningioma </w:t>
      </w:r>
      <w:r w:rsidR="00E20372">
        <w:rPr>
          <w:rFonts w:cstheme="minorHAnsi"/>
          <w:sz w:val="22"/>
          <w:szCs w:val="22"/>
        </w:rPr>
        <w:t>recurrence</w:t>
      </w:r>
      <w:r w:rsidR="00780CD2">
        <w:rPr>
          <w:rFonts w:cstheme="minorHAnsi"/>
          <w:sz w:val="22"/>
          <w:szCs w:val="22"/>
        </w:rPr>
        <w:t>/growth</w:t>
      </w:r>
      <w:r w:rsidR="00E20372">
        <w:rPr>
          <w:rFonts w:cstheme="minorHAnsi"/>
          <w:sz w:val="22"/>
          <w:szCs w:val="22"/>
        </w:rPr>
        <w:t xml:space="preserve">. </w:t>
      </w:r>
    </w:p>
    <w:p w14:paraId="26CF7049" w14:textId="45124067" w:rsidR="0053287B" w:rsidRPr="005A343F" w:rsidRDefault="0053287B" w:rsidP="0007491E">
      <w:pPr>
        <w:pStyle w:val="Heading2"/>
        <w:spacing w:line="360" w:lineRule="auto"/>
        <w:jc w:val="both"/>
        <w:rPr>
          <w:rFonts w:asciiTheme="minorHAnsi" w:hAnsiTheme="minorHAnsi" w:cstheme="minorHAnsi"/>
          <w:color w:val="000000" w:themeColor="text1"/>
          <w:sz w:val="24"/>
          <w:szCs w:val="24"/>
          <w:u w:val="single"/>
        </w:rPr>
      </w:pPr>
      <w:r w:rsidRPr="005A343F">
        <w:rPr>
          <w:rFonts w:asciiTheme="minorHAnsi" w:hAnsiTheme="minorHAnsi" w:cstheme="minorHAnsi"/>
          <w:color w:val="000000" w:themeColor="text1"/>
          <w:sz w:val="24"/>
          <w:szCs w:val="24"/>
          <w:u w:val="single"/>
        </w:rPr>
        <w:t>Statistical analysis</w:t>
      </w:r>
      <w:r w:rsidR="00BC1CEE" w:rsidRPr="005A343F">
        <w:rPr>
          <w:rFonts w:asciiTheme="minorHAnsi" w:hAnsiTheme="minorHAnsi" w:cstheme="minorHAnsi"/>
          <w:color w:val="000000" w:themeColor="text1"/>
          <w:sz w:val="24"/>
          <w:szCs w:val="24"/>
          <w:u w:val="single"/>
        </w:rPr>
        <w:t xml:space="preserve"> and matching process</w:t>
      </w:r>
    </w:p>
    <w:p w14:paraId="1232EB8C" w14:textId="260D2BAF" w:rsidR="002F5642" w:rsidRDefault="00230E0E" w:rsidP="0007491E">
      <w:pPr>
        <w:spacing w:line="360" w:lineRule="auto"/>
        <w:jc w:val="both"/>
        <w:rPr>
          <w:rFonts w:cstheme="minorHAnsi"/>
          <w:sz w:val="22"/>
          <w:szCs w:val="22"/>
        </w:rPr>
      </w:pPr>
      <w:r>
        <w:rPr>
          <w:rFonts w:cstheme="minorHAnsi"/>
          <w:sz w:val="22"/>
          <w:szCs w:val="22"/>
        </w:rPr>
        <w:t xml:space="preserve">Data are presented as count (%), mean (standard deviation [SD]), or median (interquartile range [IQR]), as appropriate. </w:t>
      </w:r>
      <w:r w:rsidR="003906B4" w:rsidRPr="005A343F">
        <w:rPr>
          <w:rFonts w:cstheme="minorHAnsi"/>
          <w:sz w:val="22"/>
          <w:szCs w:val="22"/>
        </w:rPr>
        <w:t xml:space="preserve">For </w:t>
      </w:r>
      <w:r w:rsidR="00DC1ADD" w:rsidRPr="005A343F">
        <w:rPr>
          <w:rFonts w:cstheme="minorHAnsi"/>
          <w:sz w:val="22"/>
          <w:szCs w:val="22"/>
        </w:rPr>
        <w:t xml:space="preserve">all </w:t>
      </w:r>
      <w:r w:rsidR="003906B4" w:rsidRPr="005A343F">
        <w:rPr>
          <w:rFonts w:cstheme="minorHAnsi"/>
          <w:sz w:val="22"/>
          <w:szCs w:val="22"/>
        </w:rPr>
        <w:t>patients</w:t>
      </w:r>
      <w:r w:rsidR="00DC1ADD" w:rsidRPr="005A343F">
        <w:rPr>
          <w:rFonts w:cstheme="minorHAnsi"/>
          <w:sz w:val="22"/>
          <w:szCs w:val="22"/>
        </w:rPr>
        <w:t>, matching was performed for ACCI (≥6 [older patients with comorbidities] vs remainder</w:t>
      </w:r>
      <w:r w:rsidR="00CD37AE" w:rsidRPr="005A343F">
        <w:rPr>
          <w:rFonts w:cstheme="minorHAnsi"/>
          <w:sz w:val="22"/>
          <w:szCs w:val="22"/>
        </w:rPr>
        <w:t>), performance</w:t>
      </w:r>
      <w:r w:rsidR="00DC1ADD" w:rsidRPr="005A343F">
        <w:rPr>
          <w:rFonts w:cstheme="minorHAnsi"/>
          <w:sz w:val="22"/>
          <w:szCs w:val="22"/>
        </w:rPr>
        <w:t xml:space="preserve"> status (0-2 vs 3-4)</w:t>
      </w:r>
      <w:r w:rsidR="00CD37AE" w:rsidRPr="005A343F">
        <w:rPr>
          <w:rFonts w:cstheme="minorHAnsi"/>
          <w:sz w:val="22"/>
          <w:szCs w:val="22"/>
        </w:rPr>
        <w:t xml:space="preserve"> and duration of follow-up</w:t>
      </w:r>
      <w:r w:rsidR="00DC1ADD" w:rsidRPr="005A343F">
        <w:rPr>
          <w:rFonts w:cstheme="minorHAnsi"/>
          <w:sz w:val="22"/>
          <w:szCs w:val="22"/>
        </w:rPr>
        <w:t xml:space="preserve">. For patients </w:t>
      </w:r>
      <w:r w:rsidR="003906B4" w:rsidRPr="005A343F">
        <w:rPr>
          <w:rFonts w:cstheme="minorHAnsi"/>
          <w:sz w:val="22"/>
          <w:szCs w:val="22"/>
        </w:rPr>
        <w:t>who were asymptomatic, matching was</w:t>
      </w:r>
      <w:r w:rsidR="00DC1ADD" w:rsidRPr="005A343F">
        <w:rPr>
          <w:rFonts w:cstheme="minorHAnsi"/>
          <w:sz w:val="22"/>
          <w:szCs w:val="22"/>
        </w:rPr>
        <w:t xml:space="preserve"> also</w:t>
      </w:r>
      <w:r w:rsidR="003906B4" w:rsidRPr="005A343F">
        <w:rPr>
          <w:rFonts w:cstheme="minorHAnsi"/>
          <w:sz w:val="22"/>
          <w:szCs w:val="22"/>
        </w:rPr>
        <w:t xml:space="preserve"> based on the meningioma with higher risk features, determined using the IMPACT score</w:t>
      </w:r>
      <w:r w:rsidR="00780CD2">
        <w:rPr>
          <w:rFonts w:cstheme="minorHAnsi"/>
          <w:sz w:val="22"/>
          <w:szCs w:val="22"/>
        </w:rPr>
        <w:t xml:space="preserve">, which </w:t>
      </w:r>
      <w:r>
        <w:rPr>
          <w:rFonts w:cstheme="minorHAnsi"/>
          <w:sz w:val="22"/>
          <w:szCs w:val="22"/>
        </w:rPr>
        <w:t>is</w:t>
      </w:r>
      <w:r w:rsidR="00975599" w:rsidRPr="005A343F">
        <w:rPr>
          <w:rFonts w:cstheme="minorHAnsi"/>
          <w:sz w:val="22"/>
          <w:szCs w:val="22"/>
        </w:rPr>
        <w:t xml:space="preserve"> a prognostic tool </w:t>
      </w:r>
      <w:r w:rsidR="00A923CA" w:rsidRPr="005A343F">
        <w:rPr>
          <w:rFonts w:cstheme="minorHAnsi"/>
          <w:sz w:val="22"/>
          <w:szCs w:val="22"/>
        </w:rPr>
        <w:t xml:space="preserve">used </w:t>
      </w:r>
      <w:r w:rsidR="00975599" w:rsidRPr="005A343F">
        <w:rPr>
          <w:rFonts w:cstheme="minorHAnsi"/>
          <w:sz w:val="22"/>
          <w:szCs w:val="22"/>
        </w:rPr>
        <w:t>to evaluate the risk of incidental meningioma progression</w:t>
      </w:r>
      <w:r w:rsidR="003906B4" w:rsidRPr="005A343F">
        <w:rPr>
          <w:rFonts w:cstheme="minorHAnsi"/>
          <w:sz w:val="22"/>
          <w:szCs w:val="22"/>
        </w:rPr>
        <w:t xml:space="preserve"> </w:t>
      </w:r>
      <w:r w:rsidR="003906B4" w:rsidRPr="005A343F">
        <w:rPr>
          <w:rFonts w:cstheme="minorHAnsi"/>
          <w:sz w:val="22"/>
          <w:szCs w:val="22"/>
        </w:rPr>
        <w:fldChar w:fldCharType="begin"/>
      </w:r>
      <w:r w:rsidR="00201509">
        <w:rPr>
          <w:rFonts w:cstheme="minorHAnsi"/>
          <w:sz w:val="22"/>
          <w:szCs w:val="22"/>
        </w:rPr>
        <w:instrText xml:space="preserve"> ADDIN ZOTERO_ITEM CSL_CITATION {"citationID":"rRvLjXJ1","properties":{"formattedCitation":"(10)","plainCitation":"(10)","noteIndex":0},"citationItems":[{"id":"svD7oopY/sDUh4RF8","uris":["http://zotero.org/users/local/cjg5MD5O/items/8WE5ZIUQ"],"itemData":{"id":"9uO9YuTw/e9v9Z17T","type":"article-journal","abstract":"Abstract\n            \n              Background\n              Asymptomatic meningioma is a common incidental finding with no consensus on the optimal management strategy. We aimed to develop a prognostic model to guide personalized monitoring of incidental meningioma patients.\n            \n            \n              Methods\n              A prognostic model of disease progression was developed in a retrospective cohort (2007–2015), defined as: symptom development, meningioma-specific mortality, meningioma growth or loss of window of curability. Secondary endpoints included non-meningioma-specific mortality and intervention.\n            \n            \n              Results\n              Included were 441 patients (459 meningiomas). Over a median of 55 months (interquartile range, 37–80), 44 patients had meningioma progression and 57 died (non-meningioma-specific). Forty-four had intervention (at presentation, n = 6; progression, n = 20; nonprogression, n = 18). Model parameters were based on statistical and clinical considerations and included: increasing meningioma volume (hazard ratio [HR] 2.17; 95% CI: 1.53–3.09), meningioma hyperintensity (HR 10.6; 95% CI: 5.39–21.0), peritumoral signal change (HR 1.58; 95% CI: 0.65–3.85), and proximity to critical neurovascular structures (HR 1.38; 95% CI: 0.74–2.56). Patients were stratified based on these imaging parameters into low-, medium- and high-risk groups and 5-year disease progression ra</w:instrText>
      </w:r>
      <w:r w:rsidR="00201509">
        <w:rPr>
          <w:rFonts w:cstheme="minorHAnsi" w:hint="eastAsia"/>
          <w:sz w:val="22"/>
          <w:szCs w:val="22"/>
        </w:rPr>
        <w:instrText xml:space="preserve">tes were 3%, 28%, and 75%, respectively. After 5 years of follow-up, the risk of disease progression plateaued in all groups. Patients with an age-adjusted Charlson comorbidity index </w:instrText>
      </w:r>
      <w:r w:rsidR="00201509">
        <w:rPr>
          <w:rFonts w:cstheme="minorHAnsi" w:hint="eastAsia"/>
          <w:sz w:val="22"/>
          <w:szCs w:val="22"/>
        </w:rPr>
        <w:instrText>≥</w:instrText>
      </w:r>
      <w:r w:rsidR="00201509">
        <w:rPr>
          <w:rFonts w:cstheme="minorHAnsi" w:hint="eastAsia"/>
          <w:sz w:val="22"/>
          <w:szCs w:val="22"/>
        </w:rPr>
        <w:instrText>6 (eg, an 80-year-old with chronic kidney disease) were 15 times more l</w:instrText>
      </w:r>
      <w:r w:rsidR="00201509">
        <w:rPr>
          <w:rFonts w:cstheme="minorHAnsi"/>
          <w:sz w:val="22"/>
          <w:szCs w:val="22"/>
        </w:rPr>
        <w:instrText xml:space="preserve">ikely to die of other causes than to receive intervention at 5 years following diagnosis, regardless of risk group.\n            \n            \n              Conclusions\n              The model shows that there is little benefit to rigorous monitoring in low-risk and older patients with comorbidities. Risk-stratified follow-up has the potential to reduce patient anxiety and associated health care costs.","container-title":"Neuro-Oncology","DOI":"10.1093/neuonc/noz160","ISSN":"1522-8517, 1523-5866","issue":"2","language":"en","page":"278-289","source":"DOI.org (Crossref)","title":"A prognostic model to personalize monitoring regimes for patients with incidental asymptomatic meningiomas","volume":"22","author":[{"family":"Islim","given":"Abdurrahman I"},{"family":"Kolamunnage-Dona","given":"Ruwanthi"},{"family":"Mohan","given":"Midhun"},{"family":"Moon","given":"Richard D C"},{"family":"Crofton","given":"Anna"},{"family":"Haylock","given":"Brian J"},{"family":"Rathi","given":"Nitika"},{"family":"Brodbelt","given":"Andrew R"},{"family":"Mills","given":"Samantha J"},{"family":"Jenkinson","given":"Michael D"}],"issued":{"date-parts":[["2020",2,20]]}}}],"schema":"https://github.com/citation-style-language/schema/raw/master/csl-citation.json"} </w:instrText>
      </w:r>
      <w:r w:rsidR="003906B4" w:rsidRPr="005A343F">
        <w:rPr>
          <w:rFonts w:cstheme="minorHAnsi"/>
          <w:sz w:val="22"/>
          <w:szCs w:val="22"/>
        </w:rPr>
        <w:fldChar w:fldCharType="separate"/>
      </w:r>
      <w:r w:rsidR="003F0A3F">
        <w:rPr>
          <w:rFonts w:ascii="Calibri" w:hAnsi="Calibri" w:cs="Calibri"/>
          <w:sz w:val="22"/>
        </w:rPr>
        <w:t>(10)</w:t>
      </w:r>
      <w:r w:rsidR="003906B4" w:rsidRPr="005A343F">
        <w:rPr>
          <w:rFonts w:cstheme="minorHAnsi"/>
          <w:sz w:val="22"/>
          <w:szCs w:val="22"/>
        </w:rPr>
        <w:fldChar w:fldCharType="end"/>
      </w:r>
      <w:r w:rsidR="003906B4" w:rsidRPr="005A343F">
        <w:rPr>
          <w:rFonts w:cstheme="minorHAnsi"/>
          <w:sz w:val="22"/>
          <w:szCs w:val="22"/>
        </w:rPr>
        <w:t>.</w:t>
      </w:r>
      <w:r w:rsidR="00975599" w:rsidRPr="005A343F">
        <w:rPr>
          <w:rFonts w:cstheme="minorHAnsi"/>
          <w:sz w:val="22"/>
          <w:szCs w:val="22"/>
        </w:rPr>
        <w:t xml:space="preserve"> </w:t>
      </w:r>
      <w:r w:rsidR="00A923CA" w:rsidRPr="005A343F">
        <w:rPr>
          <w:rFonts w:cstheme="minorHAnsi"/>
          <w:sz w:val="22"/>
          <w:szCs w:val="22"/>
        </w:rPr>
        <w:t>I</w:t>
      </w:r>
      <w:r w:rsidR="00780CD2">
        <w:rPr>
          <w:rFonts w:cstheme="minorHAnsi"/>
          <w:sz w:val="22"/>
          <w:szCs w:val="22"/>
        </w:rPr>
        <w:t xml:space="preserve">MPACT </w:t>
      </w:r>
      <w:r w:rsidR="00B24783" w:rsidRPr="005A343F">
        <w:rPr>
          <w:rFonts w:cstheme="minorHAnsi"/>
          <w:sz w:val="22"/>
          <w:szCs w:val="22"/>
        </w:rPr>
        <w:t xml:space="preserve">classifies a meningioma based on four </w:t>
      </w:r>
      <w:r w:rsidR="00780CD2">
        <w:rPr>
          <w:rFonts w:cstheme="minorHAnsi"/>
          <w:sz w:val="22"/>
          <w:szCs w:val="22"/>
        </w:rPr>
        <w:t>MRI</w:t>
      </w:r>
      <w:r w:rsidR="00780CD2" w:rsidRPr="005A343F">
        <w:rPr>
          <w:rFonts w:cstheme="minorHAnsi"/>
          <w:sz w:val="22"/>
          <w:szCs w:val="22"/>
        </w:rPr>
        <w:t xml:space="preserve"> </w:t>
      </w:r>
      <w:r w:rsidR="00B24783" w:rsidRPr="005A343F">
        <w:rPr>
          <w:rFonts w:cstheme="minorHAnsi"/>
          <w:sz w:val="22"/>
          <w:szCs w:val="22"/>
        </w:rPr>
        <w:t>parameters</w:t>
      </w:r>
      <w:r w:rsidR="00A923CA" w:rsidRPr="005A343F">
        <w:rPr>
          <w:rFonts w:cstheme="minorHAnsi"/>
          <w:sz w:val="22"/>
          <w:szCs w:val="22"/>
        </w:rPr>
        <w:t xml:space="preserve"> -</w:t>
      </w:r>
      <w:r w:rsidR="00B24783" w:rsidRPr="005A343F">
        <w:rPr>
          <w:rFonts w:cstheme="minorHAnsi"/>
          <w:sz w:val="22"/>
          <w:szCs w:val="22"/>
        </w:rPr>
        <w:t xml:space="preserve"> volume, tumor signal intensity, peri-tumoral signal intensity and proximity to critical </w:t>
      </w:r>
      <w:r w:rsidR="003064E8" w:rsidRPr="005A343F">
        <w:rPr>
          <w:rFonts w:cstheme="minorHAnsi"/>
          <w:sz w:val="22"/>
          <w:szCs w:val="22"/>
        </w:rPr>
        <w:t>neurovascular structures</w:t>
      </w:r>
      <w:r w:rsidR="00A923CA" w:rsidRPr="005A343F">
        <w:rPr>
          <w:rFonts w:cstheme="minorHAnsi"/>
          <w:sz w:val="22"/>
          <w:szCs w:val="22"/>
        </w:rPr>
        <w:t xml:space="preserve"> -</w:t>
      </w:r>
      <w:r w:rsidR="003064E8" w:rsidRPr="005A343F">
        <w:rPr>
          <w:rFonts w:cstheme="minorHAnsi"/>
          <w:sz w:val="22"/>
          <w:szCs w:val="22"/>
        </w:rPr>
        <w:t xml:space="preserve"> into low-</w:t>
      </w:r>
      <w:r w:rsidR="00DC1ADD" w:rsidRPr="005A343F">
        <w:rPr>
          <w:rFonts w:cstheme="minorHAnsi"/>
          <w:sz w:val="22"/>
          <w:szCs w:val="22"/>
        </w:rPr>
        <w:t xml:space="preserve"> (&lt;1)</w:t>
      </w:r>
      <w:r w:rsidR="003064E8" w:rsidRPr="005A343F">
        <w:rPr>
          <w:rFonts w:cstheme="minorHAnsi"/>
          <w:sz w:val="22"/>
          <w:szCs w:val="22"/>
        </w:rPr>
        <w:t xml:space="preserve">, medium- </w:t>
      </w:r>
      <w:r w:rsidR="00DC1ADD" w:rsidRPr="005A343F">
        <w:rPr>
          <w:rFonts w:cstheme="minorHAnsi"/>
          <w:sz w:val="22"/>
          <w:szCs w:val="22"/>
        </w:rPr>
        <w:t xml:space="preserve">(1-3) </w:t>
      </w:r>
      <w:r w:rsidR="003064E8" w:rsidRPr="005A343F">
        <w:rPr>
          <w:rFonts w:cstheme="minorHAnsi"/>
          <w:sz w:val="22"/>
          <w:szCs w:val="22"/>
        </w:rPr>
        <w:t>and high-risk</w:t>
      </w:r>
      <w:r w:rsidR="00DC1ADD" w:rsidRPr="005A343F">
        <w:rPr>
          <w:rFonts w:cstheme="minorHAnsi"/>
          <w:sz w:val="22"/>
          <w:szCs w:val="22"/>
        </w:rPr>
        <w:t xml:space="preserve"> (≥3). </w:t>
      </w:r>
      <w:r w:rsidR="00A923CA" w:rsidRPr="005A343F">
        <w:rPr>
          <w:rFonts w:cstheme="minorHAnsi"/>
          <w:sz w:val="22"/>
          <w:szCs w:val="22"/>
        </w:rPr>
        <w:t xml:space="preserve">For each patient, the meningioma with a higher score was designated as the index </w:t>
      </w:r>
      <w:r w:rsidR="00A320E8">
        <w:rPr>
          <w:rFonts w:cstheme="minorHAnsi"/>
          <w:sz w:val="22"/>
          <w:szCs w:val="22"/>
        </w:rPr>
        <w:t>meningioma</w:t>
      </w:r>
      <w:r w:rsidR="00A923CA" w:rsidRPr="005A343F">
        <w:rPr>
          <w:rFonts w:cstheme="minorHAnsi"/>
          <w:sz w:val="22"/>
          <w:szCs w:val="22"/>
        </w:rPr>
        <w:t xml:space="preserve"> and used for the purpose of matching </w:t>
      </w:r>
      <w:r w:rsidR="00780CD2">
        <w:rPr>
          <w:rFonts w:cstheme="minorHAnsi"/>
          <w:sz w:val="22"/>
          <w:szCs w:val="22"/>
        </w:rPr>
        <w:t>to</w:t>
      </w:r>
      <w:r w:rsidR="00780CD2" w:rsidRPr="005A343F">
        <w:rPr>
          <w:rFonts w:cstheme="minorHAnsi"/>
          <w:sz w:val="22"/>
          <w:szCs w:val="22"/>
        </w:rPr>
        <w:t xml:space="preserve"> </w:t>
      </w:r>
      <w:r w:rsidR="00A923CA" w:rsidRPr="005A343F">
        <w:rPr>
          <w:rFonts w:cstheme="minorHAnsi"/>
          <w:sz w:val="22"/>
          <w:szCs w:val="22"/>
        </w:rPr>
        <w:t>a patient with a solitary meningioma.</w:t>
      </w:r>
      <w:r w:rsidR="00835C5C" w:rsidRPr="005A343F">
        <w:rPr>
          <w:rFonts w:cstheme="minorHAnsi"/>
          <w:sz w:val="22"/>
          <w:szCs w:val="22"/>
        </w:rPr>
        <w:t xml:space="preserve"> </w:t>
      </w:r>
      <w:r w:rsidR="00DC1ADD" w:rsidRPr="005A343F">
        <w:rPr>
          <w:rFonts w:cstheme="minorHAnsi"/>
          <w:sz w:val="22"/>
          <w:szCs w:val="22"/>
        </w:rPr>
        <w:t xml:space="preserve">For patients who were symptomatic, matching was based </w:t>
      </w:r>
      <w:r w:rsidR="004D5FF0">
        <w:rPr>
          <w:rFonts w:cstheme="minorHAnsi"/>
          <w:sz w:val="22"/>
          <w:szCs w:val="22"/>
        </w:rPr>
        <w:t xml:space="preserve">on the </w:t>
      </w:r>
      <w:r w:rsidR="00DC1ADD" w:rsidRPr="005A343F">
        <w:rPr>
          <w:rFonts w:cstheme="minorHAnsi"/>
          <w:sz w:val="22"/>
          <w:szCs w:val="22"/>
        </w:rPr>
        <w:t xml:space="preserve">meningioma causing symptoms. The </w:t>
      </w:r>
      <w:r w:rsidR="00A923CA" w:rsidRPr="005A343F">
        <w:rPr>
          <w:rFonts w:cstheme="minorHAnsi"/>
          <w:sz w:val="22"/>
          <w:szCs w:val="22"/>
        </w:rPr>
        <w:t>characteristics that were matched for</w:t>
      </w:r>
      <w:r w:rsidR="00DC1ADD" w:rsidRPr="005A343F">
        <w:rPr>
          <w:rFonts w:cstheme="minorHAnsi"/>
          <w:sz w:val="22"/>
          <w:szCs w:val="22"/>
        </w:rPr>
        <w:t xml:space="preserve"> included</w:t>
      </w:r>
      <w:r w:rsidR="00FA6BC5" w:rsidRPr="005A343F">
        <w:rPr>
          <w:rFonts w:cstheme="minorHAnsi"/>
          <w:sz w:val="22"/>
          <w:szCs w:val="22"/>
        </w:rPr>
        <w:t xml:space="preserve"> </w:t>
      </w:r>
      <w:r w:rsidR="00217E4E" w:rsidRPr="005A343F">
        <w:rPr>
          <w:rFonts w:cstheme="minorHAnsi"/>
          <w:sz w:val="22"/>
          <w:szCs w:val="22"/>
        </w:rPr>
        <w:t>meningioma</w:t>
      </w:r>
      <w:r w:rsidR="00C13EED" w:rsidRPr="005A343F">
        <w:rPr>
          <w:rFonts w:cstheme="minorHAnsi"/>
          <w:sz w:val="22"/>
          <w:szCs w:val="22"/>
        </w:rPr>
        <w:t xml:space="preserve"> location (skull base vs non skull base)</w:t>
      </w:r>
      <w:r w:rsidR="00FA6BC5" w:rsidRPr="005A343F">
        <w:rPr>
          <w:rFonts w:cstheme="minorHAnsi"/>
          <w:sz w:val="22"/>
          <w:szCs w:val="22"/>
        </w:rPr>
        <w:t xml:space="preserve"> and </w:t>
      </w:r>
      <w:r w:rsidR="00217E4E" w:rsidRPr="005A343F">
        <w:rPr>
          <w:rFonts w:cstheme="minorHAnsi"/>
          <w:sz w:val="22"/>
          <w:szCs w:val="22"/>
        </w:rPr>
        <w:t>volume</w:t>
      </w:r>
      <w:r w:rsidR="00CD37AE" w:rsidRPr="005A343F">
        <w:rPr>
          <w:rFonts w:cstheme="minorHAnsi"/>
          <w:sz w:val="22"/>
          <w:szCs w:val="22"/>
        </w:rPr>
        <w:t xml:space="preserve">. Cohorts were matched without replacement in a 1:1 ratio using a tolerance level of 10 units for tumor volume, and duration of follow-up. Exact </w:t>
      </w:r>
      <w:r w:rsidR="00CD37AE" w:rsidRPr="005A343F">
        <w:rPr>
          <w:rFonts w:cstheme="minorHAnsi"/>
          <w:sz w:val="22"/>
          <w:szCs w:val="22"/>
        </w:rPr>
        <w:lastRenderedPageBreak/>
        <w:t>matching was performed for categorical variables.</w:t>
      </w:r>
      <w:r w:rsidR="00741D18">
        <w:rPr>
          <w:rFonts w:cstheme="minorHAnsi"/>
          <w:sz w:val="22"/>
          <w:szCs w:val="22"/>
        </w:rPr>
        <w:t xml:space="preserve"> </w:t>
      </w:r>
      <w:r w:rsidR="00BC7CC1">
        <w:rPr>
          <w:rFonts w:cstheme="minorHAnsi"/>
          <w:sz w:val="22"/>
          <w:szCs w:val="22"/>
        </w:rPr>
        <w:t>Across outcome groups, c</w:t>
      </w:r>
      <w:r w:rsidR="00512737" w:rsidRPr="005A343F">
        <w:rPr>
          <w:rFonts w:cstheme="minorHAnsi"/>
          <w:sz w:val="22"/>
          <w:szCs w:val="22"/>
        </w:rPr>
        <w:t>ategorical v</w:t>
      </w:r>
      <w:r w:rsidR="00512737">
        <w:rPr>
          <w:rFonts w:cstheme="minorHAnsi"/>
          <w:sz w:val="22"/>
          <w:szCs w:val="22"/>
        </w:rPr>
        <w:t xml:space="preserve">ariables were analysed using χ2 </w:t>
      </w:r>
      <w:r w:rsidR="00512737" w:rsidRPr="00230E0E">
        <w:rPr>
          <w:rFonts w:cstheme="minorHAnsi"/>
          <w:sz w:val="22"/>
          <w:szCs w:val="22"/>
        </w:rPr>
        <w:t>test</w:t>
      </w:r>
      <w:r w:rsidR="00512737" w:rsidRPr="005A343F">
        <w:rPr>
          <w:rFonts w:cstheme="minorHAnsi"/>
          <w:sz w:val="22"/>
          <w:szCs w:val="22"/>
        </w:rPr>
        <w:t xml:space="preserve">. Continuous variables were analysed using either the unpaired t- test or Mann-Whitney U test. A p value &lt;0.05 was considered significant. </w:t>
      </w:r>
      <w:r w:rsidR="00741D18">
        <w:rPr>
          <w:rFonts w:cstheme="minorHAnsi"/>
          <w:sz w:val="22"/>
          <w:szCs w:val="22"/>
        </w:rPr>
        <w:t>Life table statistics and Kaplan Meier analyses were used to assess intervention-survival, recurrenc</w:t>
      </w:r>
      <w:r w:rsidR="000F13DA">
        <w:rPr>
          <w:rFonts w:cstheme="minorHAnsi"/>
          <w:sz w:val="22"/>
          <w:szCs w:val="22"/>
        </w:rPr>
        <w:t>e-</w:t>
      </w:r>
      <w:r w:rsidR="00741D18">
        <w:rPr>
          <w:rFonts w:cstheme="minorHAnsi"/>
          <w:sz w:val="22"/>
          <w:szCs w:val="22"/>
        </w:rPr>
        <w:t xml:space="preserve">free and overall survival. </w:t>
      </w:r>
      <w:r w:rsidR="00225A6A">
        <w:rPr>
          <w:rFonts w:cstheme="minorHAnsi"/>
          <w:sz w:val="22"/>
          <w:szCs w:val="22"/>
        </w:rPr>
        <w:t xml:space="preserve">Multivariable analyses, using </w:t>
      </w:r>
      <w:r w:rsidR="003F0A3F">
        <w:rPr>
          <w:rFonts w:cstheme="minorHAnsi"/>
          <w:sz w:val="22"/>
          <w:szCs w:val="22"/>
        </w:rPr>
        <w:t xml:space="preserve">backward stepwise </w:t>
      </w:r>
      <w:r w:rsidR="00225A6A">
        <w:rPr>
          <w:rFonts w:cstheme="minorHAnsi"/>
          <w:sz w:val="22"/>
          <w:szCs w:val="22"/>
        </w:rPr>
        <w:t xml:space="preserve">Cox regression analysis, were constructed to assess factors associated </w:t>
      </w:r>
      <w:r w:rsidR="0094555B">
        <w:rPr>
          <w:rFonts w:cstheme="minorHAnsi"/>
          <w:sz w:val="22"/>
          <w:szCs w:val="22"/>
        </w:rPr>
        <w:t xml:space="preserve">with </w:t>
      </w:r>
      <w:r w:rsidR="00225A6A">
        <w:rPr>
          <w:rFonts w:cstheme="minorHAnsi"/>
          <w:sz w:val="22"/>
          <w:szCs w:val="22"/>
        </w:rPr>
        <w:t>each outcome</w:t>
      </w:r>
      <w:r w:rsidR="00DE1BBD">
        <w:rPr>
          <w:rFonts w:cstheme="minorHAnsi"/>
          <w:sz w:val="22"/>
          <w:szCs w:val="22"/>
        </w:rPr>
        <w:t xml:space="preserve"> in the joint cohort</w:t>
      </w:r>
      <w:r w:rsidR="00225A6A">
        <w:rPr>
          <w:rFonts w:cstheme="minorHAnsi"/>
          <w:sz w:val="22"/>
          <w:szCs w:val="22"/>
        </w:rPr>
        <w:t xml:space="preserve">. </w:t>
      </w:r>
      <w:r w:rsidR="00741D18" w:rsidRPr="005A343F">
        <w:rPr>
          <w:rFonts w:cstheme="minorHAnsi"/>
          <w:sz w:val="22"/>
          <w:szCs w:val="22"/>
        </w:rPr>
        <w:t>All statistical tests</w:t>
      </w:r>
      <w:r w:rsidR="00741D18">
        <w:rPr>
          <w:rFonts w:cstheme="minorHAnsi"/>
          <w:sz w:val="22"/>
          <w:szCs w:val="22"/>
        </w:rPr>
        <w:t xml:space="preserve"> and matching</w:t>
      </w:r>
      <w:r w:rsidR="00741D18" w:rsidRPr="005A343F">
        <w:rPr>
          <w:rFonts w:cstheme="minorHAnsi"/>
          <w:sz w:val="22"/>
          <w:szCs w:val="22"/>
        </w:rPr>
        <w:t xml:space="preserve"> were performed using SPSS® Statistics 25 (IBM Corp., Armonk, NY, USA). </w:t>
      </w:r>
      <w:r w:rsidR="00CD37AE" w:rsidRPr="005A343F">
        <w:rPr>
          <w:rFonts w:cstheme="minorHAnsi"/>
          <w:sz w:val="22"/>
          <w:szCs w:val="22"/>
        </w:rPr>
        <w:t xml:space="preserve"> </w:t>
      </w:r>
    </w:p>
    <w:p w14:paraId="0A5274F1" w14:textId="77777777" w:rsidR="0007491E" w:rsidRPr="005A343F" w:rsidRDefault="0007491E" w:rsidP="0007491E">
      <w:pPr>
        <w:spacing w:line="360" w:lineRule="auto"/>
        <w:jc w:val="both"/>
        <w:rPr>
          <w:rFonts w:cstheme="minorHAnsi"/>
          <w:sz w:val="22"/>
          <w:szCs w:val="22"/>
        </w:rPr>
      </w:pPr>
    </w:p>
    <w:p w14:paraId="0CDD45A4" w14:textId="32BA0EC0" w:rsidR="00D63C12" w:rsidRDefault="004C7882" w:rsidP="0007491E">
      <w:pPr>
        <w:pStyle w:val="Heading1"/>
        <w:spacing w:line="360" w:lineRule="auto"/>
        <w:rPr>
          <w:rFonts w:asciiTheme="minorHAnsi" w:hAnsiTheme="minorHAnsi" w:cstheme="minorHAnsi"/>
          <w:b/>
          <w:bCs/>
          <w:color w:val="auto"/>
          <w:sz w:val="28"/>
          <w:szCs w:val="28"/>
        </w:rPr>
      </w:pPr>
      <w:r w:rsidRPr="004C7882">
        <w:rPr>
          <w:rFonts w:asciiTheme="minorHAnsi" w:hAnsiTheme="minorHAnsi" w:cstheme="minorHAnsi"/>
          <w:b/>
          <w:bCs/>
          <w:color w:val="auto"/>
          <w:sz w:val="28"/>
          <w:szCs w:val="28"/>
        </w:rPr>
        <w:t>RESULTS</w:t>
      </w:r>
    </w:p>
    <w:p w14:paraId="26D4B1C5" w14:textId="22C2847D" w:rsidR="00494409" w:rsidRDefault="00494409" w:rsidP="0007491E">
      <w:pPr>
        <w:pStyle w:val="Heading2"/>
        <w:spacing w:line="360" w:lineRule="auto"/>
        <w:jc w:val="both"/>
        <w:rPr>
          <w:rFonts w:asciiTheme="minorHAnsi" w:hAnsiTheme="minorHAnsi" w:cstheme="minorHAnsi"/>
          <w:color w:val="auto"/>
          <w:sz w:val="24"/>
          <w:szCs w:val="24"/>
          <w:u w:val="single"/>
        </w:rPr>
      </w:pPr>
      <w:r w:rsidRPr="00494409">
        <w:rPr>
          <w:rFonts w:asciiTheme="minorHAnsi" w:hAnsiTheme="minorHAnsi" w:cstheme="minorHAnsi"/>
          <w:color w:val="auto"/>
          <w:sz w:val="24"/>
          <w:szCs w:val="24"/>
          <w:u w:val="single"/>
        </w:rPr>
        <w:t>Study population and baseline demographics</w:t>
      </w:r>
    </w:p>
    <w:p w14:paraId="6B36CE94" w14:textId="31946408" w:rsidR="00140393" w:rsidRPr="00FA0A37" w:rsidRDefault="0087798D" w:rsidP="0007491E">
      <w:pPr>
        <w:spacing w:line="360" w:lineRule="auto"/>
        <w:jc w:val="both"/>
      </w:pPr>
      <w:r>
        <w:rPr>
          <w:sz w:val="22"/>
          <w:szCs w:val="22"/>
        </w:rPr>
        <w:t>There</w:t>
      </w:r>
      <w:r w:rsidRPr="005A343F">
        <w:rPr>
          <w:sz w:val="22"/>
          <w:szCs w:val="22"/>
        </w:rPr>
        <w:t xml:space="preserve"> </w:t>
      </w:r>
      <w:r w:rsidR="005A343F" w:rsidRPr="005A343F">
        <w:rPr>
          <w:sz w:val="22"/>
          <w:szCs w:val="22"/>
        </w:rPr>
        <w:t>were 34 patients with multiple meningioma</w:t>
      </w:r>
      <w:r w:rsidR="006F119C">
        <w:rPr>
          <w:sz w:val="22"/>
          <w:szCs w:val="22"/>
        </w:rPr>
        <w:t xml:space="preserve">, who were matched to 34 patients with solitary meningioma. </w:t>
      </w:r>
      <w:r w:rsidR="0072601D">
        <w:rPr>
          <w:sz w:val="22"/>
          <w:szCs w:val="22"/>
        </w:rPr>
        <w:t>Th</w:t>
      </w:r>
      <w:r w:rsidR="006F119C">
        <w:rPr>
          <w:sz w:val="22"/>
          <w:szCs w:val="22"/>
        </w:rPr>
        <w:t>e</w:t>
      </w:r>
      <w:r w:rsidR="0072601D">
        <w:rPr>
          <w:sz w:val="22"/>
          <w:szCs w:val="22"/>
        </w:rPr>
        <w:t xml:space="preserve"> m</w:t>
      </w:r>
      <w:r w:rsidR="0072601D" w:rsidRPr="0072601D">
        <w:rPr>
          <w:sz w:val="22"/>
          <w:szCs w:val="22"/>
        </w:rPr>
        <w:t xml:space="preserve">ean age </w:t>
      </w:r>
      <w:r w:rsidR="007C05CB">
        <w:rPr>
          <w:sz w:val="22"/>
          <w:szCs w:val="22"/>
        </w:rPr>
        <w:t xml:space="preserve">of the whole study cohort </w:t>
      </w:r>
      <w:r w:rsidR="004D5FF0">
        <w:rPr>
          <w:sz w:val="22"/>
          <w:szCs w:val="22"/>
        </w:rPr>
        <w:t xml:space="preserve">was </w:t>
      </w:r>
      <w:r w:rsidR="007C05CB">
        <w:rPr>
          <w:sz w:val="22"/>
          <w:szCs w:val="22"/>
        </w:rPr>
        <w:t xml:space="preserve">58.3 years (SD=13.7). </w:t>
      </w:r>
      <w:r w:rsidR="00F24204">
        <w:rPr>
          <w:sz w:val="22"/>
          <w:szCs w:val="22"/>
        </w:rPr>
        <w:t>Fifty-four (79.4%)</w:t>
      </w:r>
      <w:r w:rsidR="004D5FF0">
        <w:rPr>
          <w:sz w:val="22"/>
          <w:szCs w:val="22"/>
        </w:rPr>
        <w:t xml:space="preserve"> were female</w:t>
      </w:r>
      <w:r w:rsidR="002127C5">
        <w:rPr>
          <w:sz w:val="22"/>
          <w:szCs w:val="22"/>
        </w:rPr>
        <w:t>. More females were</w:t>
      </w:r>
      <w:r w:rsidR="00A96019">
        <w:rPr>
          <w:sz w:val="22"/>
          <w:szCs w:val="22"/>
        </w:rPr>
        <w:t xml:space="preserve"> present</w:t>
      </w:r>
      <w:r w:rsidR="002127C5">
        <w:rPr>
          <w:sz w:val="22"/>
          <w:szCs w:val="22"/>
        </w:rPr>
        <w:t xml:space="preserve"> in the multiple meningioma group (91.2 vs 67.6%, P=0.36). </w:t>
      </w:r>
      <w:r w:rsidR="00F24204">
        <w:rPr>
          <w:sz w:val="22"/>
          <w:szCs w:val="22"/>
        </w:rPr>
        <w:t>Thirty-six</w:t>
      </w:r>
      <w:r w:rsidR="00F24204" w:rsidRPr="00F24204">
        <w:rPr>
          <w:sz w:val="22"/>
          <w:szCs w:val="22"/>
        </w:rPr>
        <w:t xml:space="preserve"> </w:t>
      </w:r>
      <w:r w:rsidR="00F24204">
        <w:rPr>
          <w:sz w:val="22"/>
          <w:szCs w:val="22"/>
        </w:rPr>
        <w:t xml:space="preserve">patients </w:t>
      </w:r>
      <w:r w:rsidR="00F24204" w:rsidRPr="00F24204">
        <w:rPr>
          <w:sz w:val="22"/>
          <w:szCs w:val="22"/>
        </w:rPr>
        <w:t>(52.9%) were symptomatic at presentation</w:t>
      </w:r>
      <w:r w:rsidR="002127C5">
        <w:rPr>
          <w:sz w:val="22"/>
          <w:szCs w:val="22"/>
        </w:rPr>
        <w:t xml:space="preserve">. Baseline clinical characteristics </w:t>
      </w:r>
      <w:r w:rsidR="00C706DA">
        <w:rPr>
          <w:sz w:val="22"/>
          <w:szCs w:val="22"/>
        </w:rPr>
        <w:t xml:space="preserve">are detailed in Table 1. </w:t>
      </w:r>
      <w:r w:rsidR="00F24204">
        <w:rPr>
          <w:sz w:val="22"/>
          <w:szCs w:val="22"/>
        </w:rPr>
        <w:t>In patients with multiple meningioma, t</w:t>
      </w:r>
      <w:r w:rsidR="0072601D" w:rsidRPr="0072601D">
        <w:rPr>
          <w:sz w:val="22"/>
          <w:szCs w:val="22"/>
        </w:rPr>
        <w:t xml:space="preserve">he median number of meningioma per </w:t>
      </w:r>
      <w:r w:rsidR="00F24204" w:rsidRPr="0072601D">
        <w:rPr>
          <w:sz w:val="22"/>
          <w:szCs w:val="22"/>
        </w:rPr>
        <w:t>patient</w:t>
      </w:r>
      <w:r w:rsidR="00F24204">
        <w:rPr>
          <w:sz w:val="22"/>
          <w:szCs w:val="22"/>
        </w:rPr>
        <w:t xml:space="preserve"> </w:t>
      </w:r>
      <w:r w:rsidR="00F24204" w:rsidRPr="0072601D">
        <w:rPr>
          <w:sz w:val="22"/>
          <w:szCs w:val="22"/>
        </w:rPr>
        <w:t>was</w:t>
      </w:r>
      <w:r w:rsidR="0072601D" w:rsidRPr="0072601D">
        <w:rPr>
          <w:sz w:val="22"/>
          <w:szCs w:val="22"/>
        </w:rPr>
        <w:t xml:space="preserve"> 2 (range 2-</w:t>
      </w:r>
      <w:r w:rsidR="004D5FF0">
        <w:rPr>
          <w:sz w:val="22"/>
          <w:szCs w:val="22"/>
        </w:rPr>
        <w:t>6</w:t>
      </w:r>
      <w:r w:rsidR="00C706DA">
        <w:rPr>
          <w:sz w:val="22"/>
          <w:szCs w:val="22"/>
        </w:rPr>
        <w:t>).</w:t>
      </w:r>
      <w:r w:rsidR="00C5103A">
        <w:rPr>
          <w:sz w:val="22"/>
          <w:szCs w:val="22"/>
        </w:rPr>
        <w:t xml:space="preserve"> Twenty-nine (85.3%) patients had 2 meningioma, 4 (11.8%) had 3 and 1 (2.9%) had 6. </w:t>
      </w:r>
      <w:r w:rsidR="00C706DA">
        <w:rPr>
          <w:sz w:val="22"/>
          <w:szCs w:val="22"/>
        </w:rPr>
        <w:t xml:space="preserve">Sixteen patients (47.1%) had their multiple meningioma in non-skull base locations, 5 (14.7%) in skull base locations and 13 (38.2%) had a mix of both. </w:t>
      </w:r>
      <w:r w:rsidR="002341FB">
        <w:rPr>
          <w:sz w:val="22"/>
          <w:szCs w:val="22"/>
        </w:rPr>
        <w:t>Baseline imaging</w:t>
      </w:r>
      <w:r w:rsidR="00383DD8">
        <w:rPr>
          <w:sz w:val="22"/>
          <w:szCs w:val="22"/>
        </w:rPr>
        <w:t xml:space="preserve"> characteristics, per patient and meningioma,</w:t>
      </w:r>
      <w:r w:rsidR="009C17A5">
        <w:rPr>
          <w:sz w:val="22"/>
          <w:szCs w:val="22"/>
        </w:rPr>
        <w:t xml:space="preserve"> </w:t>
      </w:r>
      <w:r w:rsidR="002341FB">
        <w:rPr>
          <w:sz w:val="22"/>
          <w:szCs w:val="22"/>
        </w:rPr>
        <w:t xml:space="preserve">are detailed in Table </w:t>
      </w:r>
      <w:r w:rsidR="00FB7C66">
        <w:rPr>
          <w:sz w:val="22"/>
          <w:szCs w:val="22"/>
        </w:rPr>
        <w:t>1</w:t>
      </w:r>
      <w:r w:rsidR="002341FB">
        <w:rPr>
          <w:sz w:val="22"/>
          <w:szCs w:val="22"/>
        </w:rPr>
        <w:t xml:space="preserve">. </w:t>
      </w:r>
      <w:r w:rsidR="00360AFF" w:rsidRPr="001B360F">
        <w:rPr>
          <w:sz w:val="22"/>
          <w:szCs w:val="22"/>
        </w:rPr>
        <w:t>Overall median follow-up w</w:t>
      </w:r>
      <w:r w:rsidR="00360AFF">
        <w:rPr>
          <w:sz w:val="22"/>
          <w:szCs w:val="22"/>
        </w:rPr>
        <w:t>as 85.9 months (IQR 47.6-105.8), with no difference between the two cohorts (P=0.454).</w:t>
      </w:r>
    </w:p>
    <w:p w14:paraId="00E86AEB" w14:textId="2ACF58D8" w:rsidR="00140393" w:rsidRPr="009C17A5" w:rsidRDefault="006C5F77" w:rsidP="0007491E">
      <w:pPr>
        <w:pStyle w:val="Heading2"/>
        <w:spacing w:line="360" w:lineRule="auto"/>
        <w:jc w:val="both"/>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 xml:space="preserve">Requirement for </w:t>
      </w:r>
      <w:r w:rsidR="00E77260">
        <w:rPr>
          <w:rFonts w:asciiTheme="minorHAnsi" w:hAnsiTheme="minorHAnsi" w:cstheme="minorHAnsi"/>
          <w:color w:val="auto"/>
          <w:sz w:val="24"/>
          <w:szCs w:val="24"/>
          <w:u w:val="single"/>
        </w:rPr>
        <w:t xml:space="preserve">primary </w:t>
      </w:r>
      <w:r>
        <w:rPr>
          <w:rFonts w:asciiTheme="minorHAnsi" w:hAnsiTheme="minorHAnsi" w:cstheme="minorHAnsi"/>
          <w:color w:val="auto"/>
          <w:sz w:val="24"/>
          <w:szCs w:val="24"/>
          <w:u w:val="single"/>
        </w:rPr>
        <w:t>intervention</w:t>
      </w:r>
    </w:p>
    <w:p w14:paraId="74AA66EC" w14:textId="58CC4264" w:rsidR="00683A86" w:rsidRDefault="00A31364" w:rsidP="0007491E">
      <w:pPr>
        <w:spacing w:line="360" w:lineRule="auto"/>
        <w:jc w:val="both"/>
        <w:rPr>
          <w:sz w:val="22"/>
          <w:szCs w:val="22"/>
        </w:rPr>
      </w:pPr>
      <w:r>
        <w:rPr>
          <w:sz w:val="22"/>
          <w:szCs w:val="22"/>
        </w:rPr>
        <w:t xml:space="preserve">Treatment details are presented in </w:t>
      </w:r>
      <w:r w:rsidR="00E3127B">
        <w:rPr>
          <w:sz w:val="22"/>
          <w:szCs w:val="22"/>
        </w:rPr>
        <w:t>Table 2</w:t>
      </w:r>
      <w:r>
        <w:rPr>
          <w:sz w:val="22"/>
          <w:szCs w:val="22"/>
        </w:rPr>
        <w:t>.</w:t>
      </w:r>
      <w:r w:rsidR="0069164E">
        <w:rPr>
          <w:sz w:val="22"/>
          <w:szCs w:val="22"/>
        </w:rPr>
        <w:t xml:space="preserve"> In total, 26 </w:t>
      </w:r>
      <w:r w:rsidR="00A11389">
        <w:rPr>
          <w:sz w:val="22"/>
          <w:szCs w:val="22"/>
        </w:rPr>
        <w:t>primary intervention</w:t>
      </w:r>
      <w:r w:rsidR="00FE1F48">
        <w:rPr>
          <w:sz w:val="22"/>
          <w:szCs w:val="22"/>
        </w:rPr>
        <w:t>s</w:t>
      </w:r>
      <w:r w:rsidR="00A11389">
        <w:rPr>
          <w:sz w:val="22"/>
          <w:szCs w:val="22"/>
        </w:rPr>
        <w:t xml:space="preserve"> </w:t>
      </w:r>
      <w:r w:rsidR="00FE1F48">
        <w:rPr>
          <w:sz w:val="22"/>
          <w:szCs w:val="22"/>
        </w:rPr>
        <w:t xml:space="preserve">(26/76, 24.2%) </w:t>
      </w:r>
      <w:r w:rsidR="00A11389">
        <w:rPr>
          <w:sz w:val="22"/>
          <w:szCs w:val="22"/>
        </w:rPr>
        <w:t xml:space="preserve">were performed in </w:t>
      </w:r>
      <w:r w:rsidR="00FE1F48">
        <w:rPr>
          <w:sz w:val="22"/>
          <w:szCs w:val="22"/>
        </w:rPr>
        <w:t>23 (67.6%) patients with multiple meningioma</w:t>
      </w:r>
      <w:r w:rsidR="00692F56">
        <w:rPr>
          <w:sz w:val="22"/>
          <w:szCs w:val="22"/>
        </w:rPr>
        <w:t xml:space="preserve"> (Figure 1)</w:t>
      </w:r>
      <w:r w:rsidR="00FE1F48">
        <w:rPr>
          <w:sz w:val="22"/>
          <w:szCs w:val="22"/>
        </w:rPr>
        <w:t xml:space="preserve">.  These were </w:t>
      </w:r>
      <w:r w:rsidR="0069164E">
        <w:rPr>
          <w:sz w:val="22"/>
          <w:szCs w:val="22"/>
        </w:rPr>
        <w:t xml:space="preserve">predominately for the index </w:t>
      </w:r>
      <w:r w:rsidR="00A320E8">
        <w:rPr>
          <w:sz w:val="22"/>
          <w:szCs w:val="22"/>
        </w:rPr>
        <w:t>meningioma</w:t>
      </w:r>
      <w:r w:rsidR="0069164E">
        <w:rPr>
          <w:sz w:val="22"/>
          <w:szCs w:val="22"/>
        </w:rPr>
        <w:t xml:space="preserve"> (n=22, 84.6%)</w:t>
      </w:r>
      <w:r w:rsidR="0053132F">
        <w:rPr>
          <w:sz w:val="22"/>
          <w:szCs w:val="22"/>
        </w:rPr>
        <w:t xml:space="preserve"> and were surgery (n=21) and </w:t>
      </w:r>
      <w:r w:rsidR="0053132F" w:rsidRPr="0053132F">
        <w:rPr>
          <w:i/>
          <w:sz w:val="22"/>
          <w:szCs w:val="22"/>
        </w:rPr>
        <w:t>f</w:t>
      </w:r>
      <w:r w:rsidR="0053132F">
        <w:rPr>
          <w:sz w:val="22"/>
          <w:szCs w:val="22"/>
        </w:rPr>
        <w:t>RT (n=1)</w:t>
      </w:r>
      <w:r w:rsidR="0069164E">
        <w:rPr>
          <w:sz w:val="22"/>
          <w:szCs w:val="22"/>
        </w:rPr>
        <w:t xml:space="preserve">. Four patients underwent </w:t>
      </w:r>
      <w:r w:rsidR="00A11389">
        <w:rPr>
          <w:sz w:val="22"/>
          <w:szCs w:val="22"/>
        </w:rPr>
        <w:t>treatment for</w:t>
      </w:r>
      <w:r w:rsidR="0069164E">
        <w:rPr>
          <w:sz w:val="22"/>
          <w:szCs w:val="22"/>
        </w:rPr>
        <w:t xml:space="preserve"> </w:t>
      </w:r>
      <w:r w:rsidR="00A11389">
        <w:rPr>
          <w:sz w:val="22"/>
          <w:szCs w:val="22"/>
        </w:rPr>
        <w:t xml:space="preserve">a </w:t>
      </w:r>
      <w:r w:rsidR="0069164E">
        <w:rPr>
          <w:sz w:val="22"/>
          <w:szCs w:val="22"/>
        </w:rPr>
        <w:t xml:space="preserve">meningioma </w:t>
      </w:r>
      <w:r w:rsidR="00930395">
        <w:rPr>
          <w:sz w:val="22"/>
          <w:szCs w:val="22"/>
        </w:rPr>
        <w:t>other than the index tumor</w:t>
      </w:r>
      <w:r w:rsidR="00A11389">
        <w:rPr>
          <w:sz w:val="22"/>
          <w:szCs w:val="22"/>
        </w:rPr>
        <w:t xml:space="preserve">; </w:t>
      </w:r>
      <w:r w:rsidR="00001A06">
        <w:rPr>
          <w:sz w:val="22"/>
          <w:szCs w:val="22"/>
        </w:rPr>
        <w:t xml:space="preserve">3 after surgery for their index tumors (surgery, n=1; SRS, n=1; </w:t>
      </w:r>
      <w:r w:rsidR="00001A06" w:rsidRPr="00001A06">
        <w:rPr>
          <w:i/>
          <w:sz w:val="22"/>
          <w:szCs w:val="22"/>
        </w:rPr>
        <w:t>f</w:t>
      </w:r>
      <w:r w:rsidR="00001A06">
        <w:rPr>
          <w:sz w:val="22"/>
          <w:szCs w:val="22"/>
        </w:rPr>
        <w:t xml:space="preserve">RT, n=1) and 1 </w:t>
      </w:r>
      <w:r w:rsidR="00A11389">
        <w:rPr>
          <w:sz w:val="22"/>
          <w:szCs w:val="22"/>
        </w:rPr>
        <w:t>patient underwent SRS with no previous interventions</w:t>
      </w:r>
      <w:r w:rsidR="00001A06">
        <w:rPr>
          <w:sz w:val="22"/>
          <w:szCs w:val="22"/>
        </w:rPr>
        <w:t xml:space="preserve">. </w:t>
      </w:r>
      <w:r w:rsidR="00E821AD">
        <w:rPr>
          <w:sz w:val="22"/>
          <w:szCs w:val="22"/>
        </w:rPr>
        <w:t>The rates of undergoing a primary intervention per patient did not differ between patients with multiple and solitary meningioma (67.6 vs 70.6%, P=0.792). Meningioma growth was the indication for treatment in 19.2% (5/26) of patients with multiple meningioma, c</w:t>
      </w:r>
      <w:r w:rsidR="00FE1F48">
        <w:rPr>
          <w:sz w:val="22"/>
          <w:szCs w:val="22"/>
        </w:rPr>
        <w:t xml:space="preserve">ompared to </w:t>
      </w:r>
      <w:r w:rsidR="00E821AD">
        <w:rPr>
          <w:sz w:val="22"/>
          <w:szCs w:val="22"/>
        </w:rPr>
        <w:t xml:space="preserve">16.7% (4/24) of </w:t>
      </w:r>
      <w:r w:rsidR="00FE1F48">
        <w:rPr>
          <w:sz w:val="22"/>
          <w:szCs w:val="22"/>
        </w:rPr>
        <w:t>patients with a solitary menin</w:t>
      </w:r>
      <w:r w:rsidR="00E821AD">
        <w:rPr>
          <w:sz w:val="22"/>
          <w:szCs w:val="22"/>
        </w:rPr>
        <w:t>gioma</w:t>
      </w:r>
      <w:r w:rsidR="006F5B52">
        <w:rPr>
          <w:sz w:val="22"/>
          <w:szCs w:val="22"/>
        </w:rPr>
        <w:t xml:space="preserve"> (P=0.816)</w:t>
      </w:r>
      <w:r w:rsidR="00E821AD">
        <w:rPr>
          <w:sz w:val="22"/>
          <w:szCs w:val="22"/>
        </w:rPr>
        <w:t xml:space="preserve">. The remainder underwent an intervention for a symptomatic </w:t>
      </w:r>
      <w:r w:rsidR="00A320E8">
        <w:rPr>
          <w:sz w:val="22"/>
          <w:szCs w:val="22"/>
        </w:rPr>
        <w:t>meningioma</w:t>
      </w:r>
      <w:r w:rsidR="00E821AD">
        <w:rPr>
          <w:sz w:val="22"/>
          <w:szCs w:val="22"/>
        </w:rPr>
        <w:t xml:space="preserve">. </w:t>
      </w:r>
      <w:r w:rsidR="00DE6E2B">
        <w:rPr>
          <w:sz w:val="22"/>
          <w:szCs w:val="22"/>
        </w:rPr>
        <w:t>The median intervention</w:t>
      </w:r>
      <w:r w:rsidR="000F13DA">
        <w:rPr>
          <w:sz w:val="22"/>
          <w:szCs w:val="22"/>
        </w:rPr>
        <w:t>-</w:t>
      </w:r>
      <w:r w:rsidR="00DE6E2B">
        <w:rPr>
          <w:sz w:val="22"/>
          <w:szCs w:val="22"/>
        </w:rPr>
        <w:t xml:space="preserve">free survival </w:t>
      </w:r>
      <w:r w:rsidR="00001A06">
        <w:rPr>
          <w:sz w:val="22"/>
          <w:szCs w:val="22"/>
        </w:rPr>
        <w:t xml:space="preserve">was 3.4 months (95% CI 0-18.0) in patients with multiple meningioma compared </w:t>
      </w:r>
      <w:r w:rsidR="00505DA2">
        <w:rPr>
          <w:sz w:val="22"/>
          <w:szCs w:val="22"/>
        </w:rPr>
        <w:t xml:space="preserve">to 8.3 (95% CI 0-87.1) in patients with solitary meningioma (P=0.918). The 5-year intervention free survival was 42% (95% CI 24.4-59.6) </w:t>
      </w:r>
      <w:r w:rsidR="00505DA2">
        <w:rPr>
          <w:sz w:val="22"/>
          <w:szCs w:val="22"/>
        </w:rPr>
        <w:lastRenderedPageBreak/>
        <w:t>in patients with multiple meningioma compared to 34% (95% CI 18.3-49.7)</w:t>
      </w:r>
      <w:r w:rsidR="00E821AD">
        <w:rPr>
          <w:sz w:val="22"/>
          <w:szCs w:val="22"/>
        </w:rPr>
        <w:t xml:space="preserve"> in patients with solitary meningioma. </w:t>
      </w:r>
      <w:r w:rsidR="00095504">
        <w:rPr>
          <w:sz w:val="22"/>
          <w:szCs w:val="22"/>
        </w:rPr>
        <w:t>In multivariable analysis, f</w:t>
      </w:r>
      <w:r w:rsidR="0086615E">
        <w:rPr>
          <w:sz w:val="22"/>
          <w:szCs w:val="22"/>
        </w:rPr>
        <w:t xml:space="preserve">actors associated with an intervention were </w:t>
      </w:r>
      <w:r w:rsidR="00095504">
        <w:rPr>
          <w:sz w:val="22"/>
          <w:szCs w:val="22"/>
        </w:rPr>
        <w:t>a symptomatic presentati</w:t>
      </w:r>
      <w:r w:rsidR="00FB4867">
        <w:rPr>
          <w:sz w:val="22"/>
          <w:szCs w:val="22"/>
        </w:rPr>
        <w:t>on (HR 14.7 [95% CI 6.1-35.7],</w:t>
      </w:r>
      <w:r w:rsidR="00095504">
        <w:rPr>
          <w:sz w:val="22"/>
          <w:szCs w:val="22"/>
        </w:rPr>
        <w:t xml:space="preserve"> P&lt;0.001) and volume of index meningioma (HR 1.02</w:t>
      </w:r>
      <w:r w:rsidR="00FB4867">
        <w:rPr>
          <w:sz w:val="22"/>
          <w:szCs w:val="22"/>
        </w:rPr>
        <w:t xml:space="preserve"> [</w:t>
      </w:r>
      <w:r w:rsidR="00095504">
        <w:rPr>
          <w:sz w:val="22"/>
          <w:szCs w:val="22"/>
        </w:rPr>
        <w:t>95% CI 1.01-1.03</w:t>
      </w:r>
      <w:r w:rsidR="00FB4867">
        <w:rPr>
          <w:sz w:val="22"/>
          <w:szCs w:val="22"/>
        </w:rPr>
        <w:t>]</w:t>
      </w:r>
      <w:r w:rsidR="00095504">
        <w:rPr>
          <w:sz w:val="22"/>
          <w:szCs w:val="22"/>
        </w:rPr>
        <w:t xml:space="preserve">, P&lt;0.001) (Supplementary Table 1). </w:t>
      </w:r>
    </w:p>
    <w:p w14:paraId="2797EB51" w14:textId="6AB173BB" w:rsidR="00683A86" w:rsidRPr="00683A86" w:rsidRDefault="00BC364C" w:rsidP="0007491E">
      <w:pPr>
        <w:pStyle w:val="Heading2"/>
        <w:spacing w:line="360" w:lineRule="auto"/>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Intervention outcome - s</w:t>
      </w:r>
      <w:r w:rsidR="00683A86" w:rsidRPr="00683A86">
        <w:rPr>
          <w:rFonts w:asciiTheme="minorHAnsi" w:hAnsiTheme="minorHAnsi" w:cstheme="minorHAnsi"/>
          <w:color w:val="auto"/>
          <w:sz w:val="24"/>
          <w:szCs w:val="24"/>
          <w:u w:val="single"/>
        </w:rPr>
        <w:t>urgery</w:t>
      </w:r>
      <w:r w:rsidR="00683A86">
        <w:rPr>
          <w:rFonts w:asciiTheme="minorHAnsi" w:hAnsiTheme="minorHAnsi" w:cstheme="minorHAnsi"/>
          <w:color w:val="auto"/>
          <w:sz w:val="24"/>
          <w:szCs w:val="24"/>
          <w:u w:val="single"/>
        </w:rPr>
        <w:t xml:space="preserve"> and </w:t>
      </w:r>
      <w:r w:rsidR="005B5FA2">
        <w:rPr>
          <w:rFonts w:asciiTheme="minorHAnsi" w:hAnsiTheme="minorHAnsi" w:cstheme="minorHAnsi"/>
          <w:color w:val="auto"/>
          <w:sz w:val="24"/>
          <w:szCs w:val="24"/>
          <w:u w:val="single"/>
        </w:rPr>
        <w:t>adjuvant radiation</w:t>
      </w:r>
    </w:p>
    <w:p w14:paraId="5FC223EB" w14:textId="1F92E090" w:rsidR="00430775" w:rsidRDefault="002B365F" w:rsidP="003F0A3F">
      <w:pPr>
        <w:spacing w:line="360" w:lineRule="auto"/>
        <w:jc w:val="both"/>
        <w:rPr>
          <w:sz w:val="22"/>
          <w:szCs w:val="22"/>
        </w:rPr>
      </w:pPr>
      <w:r>
        <w:rPr>
          <w:sz w:val="22"/>
          <w:szCs w:val="22"/>
        </w:rPr>
        <w:t>Treatment details for the cohort are presented in Table 2</w:t>
      </w:r>
      <w:r w:rsidR="00E3127B">
        <w:rPr>
          <w:sz w:val="22"/>
          <w:szCs w:val="22"/>
        </w:rPr>
        <w:t xml:space="preserve">. </w:t>
      </w:r>
      <w:r w:rsidR="00683A86">
        <w:rPr>
          <w:sz w:val="22"/>
          <w:szCs w:val="22"/>
        </w:rPr>
        <w:t>Twenty-one patients (61.8%) with multiple meningioma underwent 22 primary surgical interventions, compared to 24 patients with a solitary meningioma (70.6%).</w:t>
      </w:r>
      <w:r w:rsidR="00907140">
        <w:rPr>
          <w:sz w:val="22"/>
          <w:szCs w:val="22"/>
        </w:rPr>
        <w:t xml:space="preserve"> Gross total resection (GTR) was achieved for 18 multiple meningioma (81.8%). Sixteen patients </w:t>
      </w:r>
      <w:r w:rsidR="006F5B52">
        <w:rPr>
          <w:sz w:val="22"/>
          <w:szCs w:val="22"/>
        </w:rPr>
        <w:t>(66.7%</w:t>
      </w:r>
      <w:r w:rsidR="00907140">
        <w:rPr>
          <w:sz w:val="22"/>
          <w:szCs w:val="22"/>
        </w:rPr>
        <w:t xml:space="preserve">) with a solitary meningioma had GTR. Histology revealed </w:t>
      </w:r>
      <w:r w:rsidR="006F5B52">
        <w:rPr>
          <w:sz w:val="22"/>
          <w:szCs w:val="22"/>
        </w:rPr>
        <w:t xml:space="preserve">a WHO grade 2 tumor in 7 </w:t>
      </w:r>
      <w:r w:rsidR="00907140">
        <w:rPr>
          <w:sz w:val="22"/>
          <w:szCs w:val="22"/>
        </w:rPr>
        <w:t xml:space="preserve">patients </w:t>
      </w:r>
      <w:r w:rsidR="006F5B52">
        <w:rPr>
          <w:sz w:val="22"/>
          <w:szCs w:val="22"/>
        </w:rPr>
        <w:t xml:space="preserve">(31.8%) </w:t>
      </w:r>
      <w:r w:rsidR="00907140">
        <w:rPr>
          <w:sz w:val="22"/>
          <w:szCs w:val="22"/>
        </w:rPr>
        <w:t>with multiple meningioma</w:t>
      </w:r>
      <w:r w:rsidR="006F5B52">
        <w:rPr>
          <w:sz w:val="22"/>
          <w:szCs w:val="22"/>
        </w:rPr>
        <w:t>, and 7 (29.2%) with solitary meningioma (</w:t>
      </w:r>
      <w:r w:rsidR="006F5B52" w:rsidRPr="006F5D00">
        <w:rPr>
          <w:sz w:val="22"/>
          <w:szCs w:val="22"/>
        </w:rPr>
        <w:t>P=0.679</w:t>
      </w:r>
      <w:r w:rsidR="006F5B52">
        <w:rPr>
          <w:sz w:val="22"/>
          <w:szCs w:val="22"/>
        </w:rPr>
        <w:t xml:space="preserve">). There were no cases of </w:t>
      </w:r>
      <w:r w:rsidR="006F5B52" w:rsidRPr="00DE1BBD">
        <w:rPr>
          <w:i/>
          <w:sz w:val="22"/>
          <w:szCs w:val="22"/>
        </w:rPr>
        <w:t>de novo</w:t>
      </w:r>
      <w:r w:rsidR="006F5B52">
        <w:rPr>
          <w:sz w:val="22"/>
          <w:szCs w:val="22"/>
        </w:rPr>
        <w:t xml:space="preserve"> WHO grade 3 tumors. After surgery,</w:t>
      </w:r>
      <w:r w:rsidR="005B5FA2">
        <w:rPr>
          <w:sz w:val="22"/>
          <w:szCs w:val="22"/>
        </w:rPr>
        <w:t xml:space="preserve"> adjuvant </w:t>
      </w:r>
      <w:r w:rsidR="00A320E8" w:rsidRPr="00A320E8">
        <w:rPr>
          <w:iCs/>
          <w:sz w:val="22"/>
          <w:szCs w:val="22"/>
        </w:rPr>
        <w:t>radiation</w:t>
      </w:r>
      <w:r w:rsidR="005B5FA2" w:rsidRPr="00A320E8">
        <w:rPr>
          <w:iCs/>
          <w:sz w:val="22"/>
          <w:szCs w:val="22"/>
        </w:rPr>
        <w:t xml:space="preserve"> </w:t>
      </w:r>
      <w:r w:rsidR="005B5FA2">
        <w:rPr>
          <w:sz w:val="22"/>
          <w:szCs w:val="22"/>
        </w:rPr>
        <w:t>was administered to 1 patient with multiple meningioma (STR + WHO grade 1) and 8 patients with a solitary meningioma (</w:t>
      </w:r>
      <w:r w:rsidR="00C02827">
        <w:rPr>
          <w:sz w:val="22"/>
          <w:szCs w:val="22"/>
        </w:rPr>
        <w:t>P=0.013</w:t>
      </w:r>
      <w:r w:rsidR="005B5FA2">
        <w:rPr>
          <w:sz w:val="22"/>
          <w:szCs w:val="22"/>
        </w:rPr>
        <w:t xml:space="preserve">) (Figure </w:t>
      </w:r>
      <w:r w:rsidR="00692F56">
        <w:rPr>
          <w:sz w:val="22"/>
          <w:szCs w:val="22"/>
        </w:rPr>
        <w:t>2</w:t>
      </w:r>
      <w:r w:rsidR="005B5FA2">
        <w:rPr>
          <w:sz w:val="22"/>
          <w:szCs w:val="22"/>
        </w:rPr>
        <w:t>).</w:t>
      </w:r>
      <w:r w:rsidR="00512737">
        <w:rPr>
          <w:sz w:val="22"/>
          <w:szCs w:val="22"/>
        </w:rPr>
        <w:t xml:space="preserve"> There were 8 recurrences in patients with multiple meningioma (36.4%) and 6 in patients with solitary meningioma (25.0%) (P=0.402). </w:t>
      </w:r>
      <w:r w:rsidR="008A1D5C">
        <w:rPr>
          <w:sz w:val="22"/>
          <w:szCs w:val="22"/>
        </w:rPr>
        <w:t>The overall m</w:t>
      </w:r>
      <w:r w:rsidR="008A1D5C" w:rsidRPr="008A1D5C">
        <w:rPr>
          <w:sz w:val="22"/>
          <w:szCs w:val="22"/>
        </w:rPr>
        <w:t>edian recurrence</w:t>
      </w:r>
      <w:r w:rsidR="000F13DA">
        <w:rPr>
          <w:sz w:val="22"/>
          <w:szCs w:val="22"/>
        </w:rPr>
        <w:t>-</w:t>
      </w:r>
      <w:r w:rsidR="008A1D5C" w:rsidRPr="008A1D5C">
        <w:rPr>
          <w:sz w:val="22"/>
          <w:szCs w:val="22"/>
        </w:rPr>
        <w:t>free survival was 89 months (95% CI 76-104)</w:t>
      </w:r>
      <w:r w:rsidR="008A1D5C">
        <w:rPr>
          <w:sz w:val="22"/>
          <w:szCs w:val="22"/>
        </w:rPr>
        <w:t>. The median r</w:t>
      </w:r>
      <w:r w:rsidR="0086615E">
        <w:rPr>
          <w:sz w:val="22"/>
          <w:szCs w:val="22"/>
        </w:rPr>
        <w:t>ecurrence</w:t>
      </w:r>
      <w:r w:rsidR="000F13DA">
        <w:rPr>
          <w:sz w:val="22"/>
          <w:szCs w:val="22"/>
        </w:rPr>
        <w:t>-</w:t>
      </w:r>
      <w:r w:rsidR="0086615E">
        <w:rPr>
          <w:sz w:val="22"/>
          <w:szCs w:val="22"/>
        </w:rPr>
        <w:t xml:space="preserve">free survival was </w:t>
      </w:r>
      <w:r w:rsidR="00BC364C" w:rsidRPr="00BC364C">
        <w:rPr>
          <w:sz w:val="22"/>
          <w:szCs w:val="22"/>
        </w:rPr>
        <w:t xml:space="preserve">73.5 months (95% CI 44.3-102.7) in the </w:t>
      </w:r>
      <w:r w:rsidR="00BC364C">
        <w:rPr>
          <w:sz w:val="22"/>
          <w:szCs w:val="22"/>
        </w:rPr>
        <w:t>multiple meningioma</w:t>
      </w:r>
      <w:r w:rsidR="00BC364C" w:rsidRPr="00BC364C">
        <w:rPr>
          <w:sz w:val="22"/>
          <w:szCs w:val="22"/>
        </w:rPr>
        <w:t xml:space="preserve"> group compared to 123.9 months (95% CI NA) in the </w:t>
      </w:r>
      <w:r w:rsidR="00BC364C">
        <w:rPr>
          <w:sz w:val="22"/>
          <w:szCs w:val="22"/>
        </w:rPr>
        <w:t xml:space="preserve">solitary meningioma </w:t>
      </w:r>
      <w:r w:rsidR="00BC364C" w:rsidRPr="00BC364C">
        <w:rPr>
          <w:sz w:val="22"/>
          <w:szCs w:val="22"/>
        </w:rPr>
        <w:t>group</w:t>
      </w:r>
      <w:r w:rsidR="00BC364C">
        <w:rPr>
          <w:sz w:val="22"/>
          <w:szCs w:val="22"/>
        </w:rPr>
        <w:t xml:space="preserve">, however this did not reach statistical significance </w:t>
      </w:r>
      <w:r w:rsidR="00BC364C" w:rsidRPr="00BC364C">
        <w:rPr>
          <w:sz w:val="22"/>
          <w:szCs w:val="22"/>
        </w:rPr>
        <w:t>(</w:t>
      </w:r>
      <w:r w:rsidR="00BC364C">
        <w:rPr>
          <w:sz w:val="22"/>
          <w:szCs w:val="22"/>
        </w:rPr>
        <w:t>P</w:t>
      </w:r>
      <w:r w:rsidR="00BC364C" w:rsidRPr="00BC364C">
        <w:rPr>
          <w:sz w:val="22"/>
          <w:szCs w:val="22"/>
        </w:rPr>
        <w:t>=0.</w:t>
      </w:r>
      <w:r w:rsidR="007C53DD">
        <w:rPr>
          <w:sz w:val="22"/>
          <w:szCs w:val="22"/>
        </w:rPr>
        <w:t>209</w:t>
      </w:r>
      <w:r w:rsidR="00BC364C" w:rsidRPr="00BC364C">
        <w:rPr>
          <w:sz w:val="22"/>
          <w:szCs w:val="22"/>
        </w:rPr>
        <w:t>)</w:t>
      </w:r>
      <w:r w:rsidR="00067280">
        <w:rPr>
          <w:sz w:val="22"/>
          <w:szCs w:val="22"/>
        </w:rPr>
        <w:t xml:space="preserve"> (Figure </w:t>
      </w:r>
      <w:r w:rsidR="006479F2">
        <w:rPr>
          <w:sz w:val="22"/>
          <w:szCs w:val="22"/>
        </w:rPr>
        <w:t>3</w:t>
      </w:r>
      <w:r w:rsidR="00067280">
        <w:rPr>
          <w:sz w:val="22"/>
          <w:szCs w:val="22"/>
        </w:rPr>
        <w:t>)</w:t>
      </w:r>
      <w:r w:rsidR="00BC364C" w:rsidRPr="00BC364C">
        <w:rPr>
          <w:sz w:val="22"/>
          <w:szCs w:val="22"/>
        </w:rPr>
        <w:t>.</w:t>
      </w:r>
      <w:r w:rsidR="00BC364C">
        <w:rPr>
          <w:sz w:val="22"/>
          <w:szCs w:val="22"/>
        </w:rPr>
        <w:t xml:space="preserve">  </w:t>
      </w:r>
      <w:r w:rsidR="00EC1655">
        <w:rPr>
          <w:sz w:val="22"/>
          <w:szCs w:val="22"/>
        </w:rPr>
        <w:t>In multivariable analysis, factor</w:t>
      </w:r>
      <w:r w:rsidR="003F0A3F">
        <w:rPr>
          <w:sz w:val="22"/>
          <w:szCs w:val="22"/>
        </w:rPr>
        <w:t>s</w:t>
      </w:r>
      <w:r w:rsidR="00EC1655">
        <w:rPr>
          <w:sz w:val="22"/>
          <w:szCs w:val="22"/>
        </w:rPr>
        <w:t xml:space="preserve"> which w</w:t>
      </w:r>
      <w:r w:rsidR="003F0A3F">
        <w:rPr>
          <w:sz w:val="22"/>
          <w:szCs w:val="22"/>
        </w:rPr>
        <w:t>ere</w:t>
      </w:r>
      <w:r w:rsidR="00EC1655">
        <w:rPr>
          <w:sz w:val="22"/>
          <w:szCs w:val="22"/>
        </w:rPr>
        <w:t xml:space="preserve"> associated with recurrence w</w:t>
      </w:r>
      <w:r w:rsidR="003F0A3F">
        <w:rPr>
          <w:sz w:val="22"/>
          <w:szCs w:val="22"/>
        </w:rPr>
        <w:t xml:space="preserve">ere a higher WHO grade (HR 6.26 [95% CI 1.66-23.57], P=0.007) and adjuvant radiotherapy (HR 0.08 [95% CI 0.01-0.78], P=0.029) </w:t>
      </w:r>
      <w:r w:rsidR="007325DE">
        <w:rPr>
          <w:sz w:val="22"/>
          <w:szCs w:val="22"/>
        </w:rPr>
        <w:t>(Supplementary Table 2). Three</w:t>
      </w:r>
      <w:r w:rsidR="00C67FBA">
        <w:rPr>
          <w:sz w:val="22"/>
          <w:szCs w:val="22"/>
        </w:rPr>
        <w:t xml:space="preserve"> </w:t>
      </w:r>
      <w:r w:rsidR="007325DE">
        <w:rPr>
          <w:sz w:val="22"/>
          <w:szCs w:val="22"/>
        </w:rPr>
        <w:t>recurrences in each group</w:t>
      </w:r>
      <w:r w:rsidR="00FA0A37">
        <w:rPr>
          <w:sz w:val="22"/>
          <w:szCs w:val="22"/>
        </w:rPr>
        <w:t xml:space="preserve"> (multiple meningioma, 37.5%; solitary meningioma, 50%)</w:t>
      </w:r>
      <w:r w:rsidR="00C67FBA">
        <w:rPr>
          <w:sz w:val="22"/>
          <w:szCs w:val="22"/>
        </w:rPr>
        <w:t xml:space="preserve"> were </w:t>
      </w:r>
      <w:r w:rsidR="007325DE">
        <w:rPr>
          <w:sz w:val="22"/>
          <w:szCs w:val="22"/>
        </w:rPr>
        <w:t xml:space="preserve">managed with salvage </w:t>
      </w:r>
      <w:r w:rsidR="007325DE" w:rsidRPr="007325DE">
        <w:rPr>
          <w:i/>
          <w:sz w:val="22"/>
          <w:szCs w:val="22"/>
        </w:rPr>
        <w:t>f</w:t>
      </w:r>
      <w:r w:rsidR="007325DE">
        <w:rPr>
          <w:sz w:val="22"/>
          <w:szCs w:val="22"/>
        </w:rPr>
        <w:t>RT/SRS</w:t>
      </w:r>
      <w:r w:rsidR="00FA0A37">
        <w:rPr>
          <w:sz w:val="22"/>
          <w:szCs w:val="22"/>
        </w:rPr>
        <w:t xml:space="preserve"> with no further regrowth afterwards whilst the remainder continued to be actively monitored (P=0.639). </w:t>
      </w:r>
    </w:p>
    <w:p w14:paraId="409FF6E8" w14:textId="3EF5BB29" w:rsidR="00430775" w:rsidRPr="00430775" w:rsidRDefault="00430775" w:rsidP="0007491E">
      <w:pPr>
        <w:pStyle w:val="Heading2"/>
        <w:spacing w:line="360" w:lineRule="auto"/>
        <w:jc w:val="both"/>
        <w:rPr>
          <w:rFonts w:asciiTheme="minorHAnsi" w:hAnsiTheme="minorHAnsi" w:cstheme="minorHAnsi"/>
          <w:color w:val="auto"/>
          <w:sz w:val="24"/>
          <w:u w:val="single"/>
        </w:rPr>
      </w:pPr>
      <w:r w:rsidRPr="00430775">
        <w:rPr>
          <w:rFonts w:asciiTheme="minorHAnsi" w:hAnsiTheme="minorHAnsi" w:cstheme="minorHAnsi"/>
          <w:color w:val="auto"/>
          <w:sz w:val="24"/>
          <w:u w:val="single"/>
        </w:rPr>
        <w:t xml:space="preserve">Intervention outcome – primary SRS and </w:t>
      </w:r>
      <w:r w:rsidRPr="00430775">
        <w:rPr>
          <w:rFonts w:asciiTheme="minorHAnsi" w:hAnsiTheme="minorHAnsi" w:cstheme="minorHAnsi"/>
          <w:i/>
          <w:color w:val="auto"/>
          <w:sz w:val="24"/>
          <w:u w:val="single"/>
        </w:rPr>
        <w:t>f</w:t>
      </w:r>
      <w:r w:rsidRPr="00430775">
        <w:rPr>
          <w:rFonts w:asciiTheme="minorHAnsi" w:hAnsiTheme="minorHAnsi" w:cstheme="minorHAnsi"/>
          <w:color w:val="auto"/>
          <w:sz w:val="24"/>
          <w:u w:val="single"/>
        </w:rPr>
        <w:t>RT</w:t>
      </w:r>
    </w:p>
    <w:p w14:paraId="3749DCDE" w14:textId="7F41AA93" w:rsidR="00FA0A37" w:rsidRPr="00FA0A37" w:rsidRDefault="0093510C" w:rsidP="0007491E">
      <w:pPr>
        <w:spacing w:line="360" w:lineRule="auto"/>
        <w:jc w:val="both"/>
        <w:rPr>
          <w:sz w:val="22"/>
          <w:szCs w:val="22"/>
        </w:rPr>
      </w:pPr>
      <w:r>
        <w:rPr>
          <w:sz w:val="22"/>
          <w:szCs w:val="22"/>
        </w:rPr>
        <w:t>Two meningioma received SRS (12.5</w:t>
      </w:r>
      <w:r w:rsidR="00DD42B8">
        <w:rPr>
          <w:sz w:val="22"/>
          <w:szCs w:val="22"/>
        </w:rPr>
        <w:t>Gy</w:t>
      </w:r>
      <w:r>
        <w:rPr>
          <w:sz w:val="22"/>
          <w:szCs w:val="22"/>
        </w:rPr>
        <w:t xml:space="preserve">) and two had </w:t>
      </w:r>
      <w:r w:rsidRPr="0093510C">
        <w:rPr>
          <w:i/>
          <w:sz w:val="22"/>
          <w:szCs w:val="22"/>
        </w:rPr>
        <w:t>f</w:t>
      </w:r>
      <w:r>
        <w:rPr>
          <w:sz w:val="22"/>
          <w:szCs w:val="22"/>
        </w:rPr>
        <w:t>RT (54</w:t>
      </w:r>
      <w:r w:rsidR="00DD42B8">
        <w:rPr>
          <w:sz w:val="22"/>
          <w:szCs w:val="22"/>
        </w:rPr>
        <w:t>Gy</w:t>
      </w:r>
      <w:r>
        <w:rPr>
          <w:sz w:val="22"/>
          <w:szCs w:val="22"/>
        </w:rPr>
        <w:t>, 30 fractions). Indication for treatment w</w:t>
      </w:r>
      <w:r w:rsidR="0074098B">
        <w:rPr>
          <w:sz w:val="22"/>
          <w:szCs w:val="22"/>
        </w:rPr>
        <w:t>as</w:t>
      </w:r>
      <w:r>
        <w:rPr>
          <w:sz w:val="22"/>
          <w:szCs w:val="22"/>
        </w:rPr>
        <w:t xml:space="preserve"> growth. Median follow-up duration after treatment was 42.9 months (IQR 15.6-83.4). </w:t>
      </w:r>
      <w:r w:rsidR="0074098B">
        <w:rPr>
          <w:sz w:val="22"/>
          <w:szCs w:val="22"/>
        </w:rPr>
        <w:t xml:space="preserve">Thirty-three months following surgery for </w:t>
      </w:r>
      <w:r w:rsidR="00DD42B8">
        <w:rPr>
          <w:sz w:val="22"/>
          <w:szCs w:val="22"/>
        </w:rPr>
        <w:t xml:space="preserve">an </w:t>
      </w:r>
      <w:r w:rsidR="0074098B">
        <w:rPr>
          <w:sz w:val="22"/>
          <w:szCs w:val="22"/>
        </w:rPr>
        <w:t xml:space="preserve">index convexity meningioma (WHO grade 1), one patient received SRS for a growing </w:t>
      </w:r>
      <w:r w:rsidR="00C22F01">
        <w:rPr>
          <w:sz w:val="22"/>
          <w:szCs w:val="22"/>
        </w:rPr>
        <w:t>parafalcine meningioma</w:t>
      </w:r>
      <w:r w:rsidR="0074098B">
        <w:rPr>
          <w:sz w:val="22"/>
          <w:szCs w:val="22"/>
        </w:rPr>
        <w:t xml:space="preserve">. Twenty-six months later the patient developed leg weakness with further </w:t>
      </w:r>
      <w:r w:rsidR="00DD42B8">
        <w:rPr>
          <w:sz w:val="22"/>
          <w:szCs w:val="22"/>
        </w:rPr>
        <w:t xml:space="preserve">growth of the parafalcine </w:t>
      </w:r>
      <w:r w:rsidR="0074098B">
        <w:rPr>
          <w:sz w:val="22"/>
          <w:szCs w:val="22"/>
        </w:rPr>
        <w:t>meningioma</w:t>
      </w:r>
      <w:r w:rsidR="00DD42B8">
        <w:rPr>
          <w:sz w:val="22"/>
          <w:szCs w:val="22"/>
        </w:rPr>
        <w:t xml:space="preserve"> and underwent </w:t>
      </w:r>
      <w:r w:rsidR="0074098B">
        <w:rPr>
          <w:sz w:val="22"/>
          <w:szCs w:val="22"/>
        </w:rPr>
        <w:t>surgery (GTR)</w:t>
      </w:r>
      <w:r w:rsidR="00DD42B8">
        <w:rPr>
          <w:sz w:val="22"/>
          <w:szCs w:val="22"/>
        </w:rPr>
        <w:t>,</w:t>
      </w:r>
      <w:r w:rsidR="0074098B">
        <w:rPr>
          <w:sz w:val="22"/>
          <w:szCs w:val="22"/>
        </w:rPr>
        <w:t xml:space="preserve"> which revealed a WHO grade 2 </w:t>
      </w:r>
      <w:r w:rsidR="00DD42B8">
        <w:rPr>
          <w:sz w:val="22"/>
          <w:szCs w:val="22"/>
        </w:rPr>
        <w:t>tumor</w:t>
      </w:r>
      <w:r w:rsidR="0074098B">
        <w:rPr>
          <w:sz w:val="22"/>
          <w:szCs w:val="22"/>
        </w:rPr>
        <w:t xml:space="preserve">. </w:t>
      </w:r>
      <w:r w:rsidR="00350EB2">
        <w:rPr>
          <w:sz w:val="22"/>
          <w:szCs w:val="22"/>
        </w:rPr>
        <w:t>Thirty-seven</w:t>
      </w:r>
      <w:r w:rsidR="0074098B">
        <w:rPr>
          <w:sz w:val="22"/>
          <w:szCs w:val="22"/>
        </w:rPr>
        <w:t xml:space="preserve"> months later, they underwent a reoperation for a recurrence with worsening leg weakness</w:t>
      </w:r>
      <w:r w:rsidR="00DD42B8">
        <w:rPr>
          <w:sz w:val="22"/>
          <w:szCs w:val="22"/>
        </w:rPr>
        <w:t xml:space="preserve"> and the meningioma had undergone </w:t>
      </w:r>
      <w:r w:rsidR="0074098B">
        <w:rPr>
          <w:sz w:val="22"/>
          <w:szCs w:val="22"/>
        </w:rPr>
        <w:t>malignant transformation to</w:t>
      </w:r>
      <w:r w:rsidR="00103F46">
        <w:rPr>
          <w:sz w:val="22"/>
          <w:szCs w:val="22"/>
        </w:rPr>
        <w:t xml:space="preserve"> </w:t>
      </w:r>
      <w:r w:rsidR="0074098B">
        <w:rPr>
          <w:sz w:val="22"/>
          <w:szCs w:val="22"/>
        </w:rPr>
        <w:t xml:space="preserve">grade 3. </w:t>
      </w:r>
      <w:r w:rsidR="00DD42B8">
        <w:rPr>
          <w:sz w:val="22"/>
          <w:szCs w:val="22"/>
        </w:rPr>
        <w:t>The p</w:t>
      </w:r>
      <w:r w:rsidR="00B403CF">
        <w:rPr>
          <w:sz w:val="22"/>
          <w:szCs w:val="22"/>
        </w:rPr>
        <w:t xml:space="preserve">atient remains alive 89 months following diagnosis with no further recurrences. </w:t>
      </w:r>
      <w:r w:rsidR="007E2E99">
        <w:rPr>
          <w:sz w:val="22"/>
          <w:szCs w:val="22"/>
        </w:rPr>
        <w:t xml:space="preserve">There were no other incidences of regrowth. </w:t>
      </w:r>
    </w:p>
    <w:p w14:paraId="574D28A6" w14:textId="33C9D8E4" w:rsidR="007D1900" w:rsidRPr="007D1900" w:rsidRDefault="007D1900" w:rsidP="0007491E">
      <w:pPr>
        <w:pStyle w:val="Heading2"/>
        <w:spacing w:line="360" w:lineRule="auto"/>
        <w:jc w:val="both"/>
        <w:rPr>
          <w:rFonts w:asciiTheme="minorHAnsi" w:hAnsiTheme="minorHAnsi" w:cstheme="minorHAnsi"/>
          <w:color w:val="auto"/>
          <w:sz w:val="24"/>
          <w:u w:val="single"/>
        </w:rPr>
      </w:pPr>
      <w:r w:rsidRPr="007D1900">
        <w:rPr>
          <w:rFonts w:asciiTheme="minorHAnsi" w:hAnsiTheme="minorHAnsi" w:cstheme="minorHAnsi"/>
          <w:color w:val="auto"/>
          <w:sz w:val="24"/>
          <w:u w:val="single"/>
        </w:rPr>
        <w:lastRenderedPageBreak/>
        <w:t>Overall survival</w:t>
      </w:r>
      <w:r w:rsidR="00B83159">
        <w:rPr>
          <w:rFonts w:asciiTheme="minorHAnsi" w:hAnsiTheme="minorHAnsi" w:cstheme="minorHAnsi"/>
          <w:color w:val="auto"/>
          <w:sz w:val="24"/>
          <w:u w:val="single"/>
        </w:rPr>
        <w:t xml:space="preserve"> and development of new meningioma </w:t>
      </w:r>
    </w:p>
    <w:p w14:paraId="0D318D99" w14:textId="60BDA936" w:rsidR="00A01A51" w:rsidRDefault="0087405F" w:rsidP="0007491E">
      <w:pPr>
        <w:spacing w:line="360" w:lineRule="auto"/>
        <w:jc w:val="both"/>
        <w:rPr>
          <w:bCs/>
          <w:sz w:val="22"/>
        </w:rPr>
      </w:pPr>
      <w:r w:rsidRPr="0087405F">
        <w:rPr>
          <w:bCs/>
          <w:sz w:val="22"/>
        </w:rPr>
        <w:t xml:space="preserve">There was </w:t>
      </w:r>
      <w:r w:rsidR="003D6092">
        <w:rPr>
          <w:bCs/>
          <w:sz w:val="22"/>
        </w:rPr>
        <w:t>one</w:t>
      </w:r>
      <w:r w:rsidR="003D6092" w:rsidRPr="0087405F">
        <w:rPr>
          <w:bCs/>
          <w:sz w:val="22"/>
        </w:rPr>
        <w:t xml:space="preserve"> </w:t>
      </w:r>
      <w:r>
        <w:rPr>
          <w:bCs/>
          <w:sz w:val="22"/>
        </w:rPr>
        <w:t xml:space="preserve">meningioma-related death </w:t>
      </w:r>
      <w:r w:rsidR="003D6092">
        <w:rPr>
          <w:bCs/>
          <w:sz w:val="22"/>
        </w:rPr>
        <w:t xml:space="preserve">(2.9%) due to a hospital acquired pneumonia 28 days after surgery for a parafalcine meningioma. </w:t>
      </w:r>
      <w:r>
        <w:rPr>
          <w:bCs/>
          <w:sz w:val="22"/>
        </w:rPr>
        <w:t xml:space="preserve">There were 5 other </w:t>
      </w:r>
      <w:r w:rsidR="003D6092">
        <w:rPr>
          <w:bCs/>
          <w:sz w:val="22"/>
        </w:rPr>
        <w:t xml:space="preserve">unrelated </w:t>
      </w:r>
      <w:r>
        <w:rPr>
          <w:bCs/>
          <w:sz w:val="22"/>
        </w:rPr>
        <w:t>deaths (</w:t>
      </w:r>
      <w:r w:rsidR="00B83159">
        <w:rPr>
          <w:bCs/>
          <w:sz w:val="22"/>
        </w:rPr>
        <w:t xml:space="preserve">multiple meningioma, n=3, 8.8%; solitary meningioma, n=2, 5.9%).  </w:t>
      </w:r>
      <w:r w:rsidR="00B83159" w:rsidRPr="00B83159">
        <w:rPr>
          <w:bCs/>
          <w:sz w:val="22"/>
        </w:rPr>
        <w:t xml:space="preserve">Mean overall survival was 132 months (95% CI 127-138) with no difference </w:t>
      </w:r>
      <w:r w:rsidR="00B83159">
        <w:rPr>
          <w:bCs/>
          <w:sz w:val="22"/>
        </w:rPr>
        <w:t>between multiple and solitary meningioma</w:t>
      </w:r>
      <w:r w:rsidR="00B83159" w:rsidRPr="00B83159">
        <w:rPr>
          <w:bCs/>
          <w:sz w:val="22"/>
        </w:rPr>
        <w:t xml:space="preserve"> (P=0.</w:t>
      </w:r>
      <w:r w:rsidR="00372A77">
        <w:rPr>
          <w:bCs/>
          <w:sz w:val="22"/>
        </w:rPr>
        <w:t>860</w:t>
      </w:r>
      <w:r w:rsidR="00B83159" w:rsidRPr="00B83159">
        <w:rPr>
          <w:bCs/>
          <w:sz w:val="22"/>
        </w:rPr>
        <w:t>)</w:t>
      </w:r>
      <w:r w:rsidR="00067280">
        <w:rPr>
          <w:bCs/>
          <w:sz w:val="22"/>
        </w:rPr>
        <w:t xml:space="preserve"> (Figure </w:t>
      </w:r>
      <w:r w:rsidR="006479F2">
        <w:rPr>
          <w:bCs/>
          <w:sz w:val="22"/>
        </w:rPr>
        <w:t>3</w:t>
      </w:r>
      <w:r w:rsidR="00067280">
        <w:rPr>
          <w:bCs/>
          <w:sz w:val="22"/>
        </w:rPr>
        <w:t>)</w:t>
      </w:r>
      <w:r w:rsidR="00B83159" w:rsidRPr="00B83159">
        <w:rPr>
          <w:bCs/>
          <w:sz w:val="22"/>
        </w:rPr>
        <w:t>. O</w:t>
      </w:r>
      <w:r w:rsidR="00067280">
        <w:rPr>
          <w:bCs/>
          <w:sz w:val="22"/>
        </w:rPr>
        <w:t xml:space="preserve">ne patient with </w:t>
      </w:r>
      <w:r w:rsidR="00B83159" w:rsidRPr="00B83159">
        <w:rPr>
          <w:bCs/>
          <w:sz w:val="22"/>
        </w:rPr>
        <w:t>multiple meningioma developed two further new meningioma</w:t>
      </w:r>
      <w:r w:rsidR="00F85FE6">
        <w:rPr>
          <w:bCs/>
          <w:sz w:val="22"/>
        </w:rPr>
        <w:t xml:space="preserve"> </w:t>
      </w:r>
      <w:r w:rsidR="00B83159" w:rsidRPr="00B83159">
        <w:rPr>
          <w:bCs/>
          <w:sz w:val="22"/>
        </w:rPr>
        <w:t xml:space="preserve">36 months following diagnosis. </w:t>
      </w:r>
    </w:p>
    <w:p w14:paraId="76E770F0" w14:textId="77777777" w:rsidR="0007491E" w:rsidRPr="0087405F" w:rsidRDefault="0007491E" w:rsidP="0007491E">
      <w:pPr>
        <w:spacing w:line="360" w:lineRule="auto"/>
        <w:jc w:val="both"/>
        <w:rPr>
          <w:bCs/>
          <w:sz w:val="22"/>
        </w:rPr>
      </w:pPr>
    </w:p>
    <w:p w14:paraId="64A56EAB" w14:textId="1FF3C28F" w:rsidR="00D63C12" w:rsidRPr="002F7006" w:rsidRDefault="002F7006" w:rsidP="0007491E">
      <w:pPr>
        <w:pStyle w:val="Heading1"/>
        <w:spacing w:line="360" w:lineRule="auto"/>
        <w:jc w:val="both"/>
        <w:rPr>
          <w:rFonts w:asciiTheme="minorHAnsi" w:hAnsiTheme="minorHAnsi" w:cstheme="minorHAnsi"/>
          <w:b/>
          <w:color w:val="auto"/>
          <w:sz w:val="28"/>
        </w:rPr>
      </w:pPr>
      <w:r w:rsidRPr="002F7006">
        <w:rPr>
          <w:rFonts w:asciiTheme="minorHAnsi" w:hAnsiTheme="minorHAnsi" w:cstheme="minorHAnsi"/>
          <w:b/>
          <w:color w:val="auto"/>
          <w:sz w:val="28"/>
        </w:rPr>
        <w:t>DISCUSSION</w:t>
      </w:r>
    </w:p>
    <w:p w14:paraId="189AA319" w14:textId="671F4665" w:rsidR="00F2153D" w:rsidRDefault="00067280" w:rsidP="0007491E">
      <w:pPr>
        <w:spacing w:line="360" w:lineRule="auto"/>
        <w:jc w:val="both"/>
        <w:rPr>
          <w:sz w:val="22"/>
        </w:rPr>
      </w:pPr>
      <w:r>
        <w:rPr>
          <w:sz w:val="22"/>
        </w:rPr>
        <w:t xml:space="preserve">In this single centre, </w:t>
      </w:r>
      <w:r w:rsidR="003D6092">
        <w:rPr>
          <w:sz w:val="22"/>
        </w:rPr>
        <w:t xml:space="preserve">retrospective </w:t>
      </w:r>
      <w:r>
        <w:rPr>
          <w:sz w:val="22"/>
        </w:rPr>
        <w:t>matched cohort study,</w:t>
      </w:r>
      <w:r w:rsidR="0020317D">
        <w:rPr>
          <w:sz w:val="22"/>
        </w:rPr>
        <w:t xml:space="preserve"> the outcomes of patients with </w:t>
      </w:r>
      <w:r w:rsidR="003D6092">
        <w:rPr>
          <w:sz w:val="22"/>
        </w:rPr>
        <w:t xml:space="preserve">sporadic </w:t>
      </w:r>
      <w:r w:rsidR="0020317D">
        <w:rPr>
          <w:sz w:val="22"/>
        </w:rPr>
        <w:t xml:space="preserve">multiple </w:t>
      </w:r>
      <w:r w:rsidR="003D6092">
        <w:rPr>
          <w:sz w:val="22"/>
        </w:rPr>
        <w:t xml:space="preserve">and solitary </w:t>
      </w:r>
      <w:r w:rsidR="0020317D">
        <w:rPr>
          <w:sz w:val="22"/>
        </w:rPr>
        <w:t xml:space="preserve">meningioma were investigated. </w:t>
      </w:r>
      <w:r w:rsidR="00D51267">
        <w:rPr>
          <w:sz w:val="22"/>
        </w:rPr>
        <w:t xml:space="preserve">Matching was based on the clinical characteristics of patients and the radiological features of the symptomatic </w:t>
      </w:r>
      <w:r w:rsidR="0001774E">
        <w:rPr>
          <w:sz w:val="22"/>
        </w:rPr>
        <w:t>meningioma</w:t>
      </w:r>
      <w:r w:rsidR="00D51267">
        <w:rPr>
          <w:sz w:val="22"/>
        </w:rPr>
        <w:t xml:space="preserve"> or asymptomatic</w:t>
      </w:r>
      <w:r w:rsidR="0001774E">
        <w:rPr>
          <w:sz w:val="22"/>
        </w:rPr>
        <w:t xml:space="preserve"> meningioma</w:t>
      </w:r>
      <w:r w:rsidR="00D51267">
        <w:rPr>
          <w:sz w:val="22"/>
        </w:rPr>
        <w:t xml:space="preserve"> at higher risk of progression. </w:t>
      </w:r>
      <w:r w:rsidR="0020317D">
        <w:rPr>
          <w:sz w:val="22"/>
        </w:rPr>
        <w:t>Intervention</w:t>
      </w:r>
      <w:r w:rsidR="000F13DA">
        <w:rPr>
          <w:sz w:val="22"/>
        </w:rPr>
        <w:t>-</w:t>
      </w:r>
      <w:r>
        <w:rPr>
          <w:sz w:val="22"/>
        </w:rPr>
        <w:t>free survival, recurrence</w:t>
      </w:r>
      <w:r w:rsidR="000F13DA">
        <w:rPr>
          <w:sz w:val="22"/>
        </w:rPr>
        <w:t>-</w:t>
      </w:r>
      <w:r>
        <w:rPr>
          <w:sz w:val="22"/>
        </w:rPr>
        <w:t xml:space="preserve">free survival and overall survival did not differ between patients with sporadic multiple and solitary meningioma. These </w:t>
      </w:r>
      <w:r w:rsidR="0020317D">
        <w:rPr>
          <w:sz w:val="22"/>
        </w:rPr>
        <w:t>results suggest that sporadic multipl</w:t>
      </w:r>
      <w:r w:rsidR="003D6092">
        <w:rPr>
          <w:sz w:val="22"/>
        </w:rPr>
        <w:t xml:space="preserve">e </w:t>
      </w:r>
      <w:r w:rsidR="0020317D">
        <w:rPr>
          <w:sz w:val="22"/>
        </w:rPr>
        <w:t xml:space="preserve">meningioma </w:t>
      </w:r>
      <w:r w:rsidR="003D6092">
        <w:rPr>
          <w:sz w:val="22"/>
        </w:rPr>
        <w:t xml:space="preserve">do </w:t>
      </w:r>
      <w:r w:rsidR="0020317D">
        <w:rPr>
          <w:sz w:val="22"/>
        </w:rPr>
        <w:t>not incur an increased risk of recurrence and worse overall survival</w:t>
      </w:r>
      <w:r w:rsidR="00172009">
        <w:rPr>
          <w:sz w:val="22"/>
        </w:rPr>
        <w:t xml:space="preserve">, and that clinical </w:t>
      </w:r>
      <w:r w:rsidR="0020317D">
        <w:rPr>
          <w:sz w:val="22"/>
        </w:rPr>
        <w:t xml:space="preserve">management </w:t>
      </w:r>
      <w:r w:rsidR="00172009">
        <w:rPr>
          <w:sz w:val="22"/>
        </w:rPr>
        <w:t>should be determined by</w:t>
      </w:r>
      <w:r w:rsidR="0020317D">
        <w:rPr>
          <w:sz w:val="22"/>
        </w:rPr>
        <w:t xml:space="preserve"> the clinical</w:t>
      </w:r>
      <w:r w:rsidR="00107FDE">
        <w:rPr>
          <w:sz w:val="22"/>
        </w:rPr>
        <w:t xml:space="preserve"> characteristics </w:t>
      </w:r>
      <w:r w:rsidR="0020317D">
        <w:rPr>
          <w:sz w:val="22"/>
        </w:rPr>
        <w:t>and imaging features of the index tumor.</w:t>
      </w:r>
    </w:p>
    <w:p w14:paraId="33A0C8C6" w14:textId="2C9FDE50" w:rsidR="002B760D" w:rsidRPr="002B760D" w:rsidRDefault="002B760D" w:rsidP="0007491E">
      <w:pPr>
        <w:pStyle w:val="Heading2"/>
        <w:spacing w:line="360" w:lineRule="auto"/>
        <w:jc w:val="both"/>
        <w:rPr>
          <w:rFonts w:asciiTheme="minorHAnsi" w:hAnsiTheme="minorHAnsi" w:cstheme="minorHAnsi"/>
          <w:color w:val="auto"/>
          <w:sz w:val="24"/>
          <w:szCs w:val="24"/>
          <w:u w:val="single"/>
        </w:rPr>
      </w:pPr>
      <w:r w:rsidRPr="002B760D">
        <w:rPr>
          <w:rFonts w:asciiTheme="minorHAnsi" w:hAnsiTheme="minorHAnsi" w:cstheme="minorHAnsi"/>
          <w:color w:val="auto"/>
          <w:sz w:val="24"/>
          <w:szCs w:val="24"/>
          <w:u w:val="single"/>
        </w:rPr>
        <w:t>Rate of intervention</w:t>
      </w:r>
      <w:r w:rsidR="00A86923">
        <w:rPr>
          <w:rFonts w:asciiTheme="minorHAnsi" w:hAnsiTheme="minorHAnsi" w:cstheme="minorHAnsi"/>
          <w:color w:val="auto"/>
          <w:sz w:val="24"/>
          <w:szCs w:val="24"/>
          <w:u w:val="single"/>
        </w:rPr>
        <w:t xml:space="preserve"> and outcomes following surgery and radiotherapy</w:t>
      </w:r>
    </w:p>
    <w:p w14:paraId="2938CF7C" w14:textId="21701C84" w:rsidR="00675DC9" w:rsidRDefault="00F2153D" w:rsidP="0007491E">
      <w:pPr>
        <w:spacing w:line="360" w:lineRule="auto"/>
        <w:jc w:val="both"/>
        <w:rPr>
          <w:sz w:val="22"/>
        </w:rPr>
      </w:pPr>
      <w:r>
        <w:rPr>
          <w:sz w:val="22"/>
        </w:rPr>
        <w:t xml:space="preserve">The rate of intervention in this study was </w:t>
      </w:r>
      <w:r w:rsidR="00DE1BBD">
        <w:rPr>
          <w:sz w:val="22"/>
        </w:rPr>
        <w:t>like</w:t>
      </w:r>
      <w:r w:rsidR="00A354B0">
        <w:rPr>
          <w:sz w:val="22"/>
        </w:rPr>
        <w:t xml:space="preserve"> other recent single-centre </w:t>
      </w:r>
      <w:r w:rsidR="00A86923">
        <w:rPr>
          <w:sz w:val="22"/>
        </w:rPr>
        <w:t>studies</w:t>
      </w:r>
      <w:r>
        <w:rPr>
          <w:sz w:val="22"/>
        </w:rPr>
        <w:t xml:space="preserve"> of patients with multiple </w:t>
      </w:r>
      <w:r w:rsidR="00DE1BBD">
        <w:rPr>
          <w:sz w:val="22"/>
        </w:rPr>
        <w:t>meningioma.</w:t>
      </w:r>
      <w:r>
        <w:rPr>
          <w:sz w:val="22"/>
        </w:rPr>
        <w:t xml:space="preserve"> </w:t>
      </w:r>
      <w:r w:rsidR="00D07E0C">
        <w:rPr>
          <w:sz w:val="22"/>
        </w:rPr>
        <w:t xml:space="preserve">In a </w:t>
      </w:r>
      <w:r w:rsidR="008B20ED">
        <w:rPr>
          <w:sz w:val="22"/>
        </w:rPr>
        <w:t>study</w:t>
      </w:r>
      <w:r w:rsidR="00D07E0C">
        <w:rPr>
          <w:sz w:val="22"/>
        </w:rPr>
        <w:t xml:space="preserve"> of 133 patients, of whom half were asymptomatic at presentation, 64% </w:t>
      </w:r>
      <w:r w:rsidR="00107FDE">
        <w:rPr>
          <w:sz w:val="22"/>
        </w:rPr>
        <w:t xml:space="preserve">of </w:t>
      </w:r>
      <w:r w:rsidR="00D07E0C">
        <w:rPr>
          <w:sz w:val="22"/>
        </w:rPr>
        <w:t>patient</w:t>
      </w:r>
      <w:r w:rsidR="00F85FE6">
        <w:rPr>
          <w:sz w:val="22"/>
        </w:rPr>
        <w:t>s</w:t>
      </w:r>
      <w:r w:rsidR="00D07E0C">
        <w:rPr>
          <w:sz w:val="22"/>
        </w:rPr>
        <w:t xml:space="preserve"> had received a primary treatment for 33% of </w:t>
      </w:r>
      <w:r w:rsidR="00A354B0">
        <w:rPr>
          <w:sz w:val="22"/>
        </w:rPr>
        <w:t xml:space="preserve">meningioma </w:t>
      </w:r>
      <w:r w:rsidR="00D07E0C">
        <w:rPr>
          <w:sz w:val="22"/>
        </w:rPr>
        <w:t>by the end of the study period. Indication</w:t>
      </w:r>
      <w:r w:rsidR="003F0496">
        <w:rPr>
          <w:sz w:val="22"/>
        </w:rPr>
        <w:t xml:space="preserve">s for treatment were </w:t>
      </w:r>
      <w:r w:rsidR="00D07E0C">
        <w:rPr>
          <w:sz w:val="22"/>
        </w:rPr>
        <w:t xml:space="preserve">similar to our practice </w:t>
      </w:r>
      <w:r w:rsidR="003F0496">
        <w:rPr>
          <w:sz w:val="22"/>
        </w:rPr>
        <w:t>including</w:t>
      </w:r>
      <w:r w:rsidR="00D07E0C">
        <w:rPr>
          <w:sz w:val="22"/>
        </w:rPr>
        <w:t xml:space="preserve"> </w:t>
      </w:r>
      <w:r w:rsidR="003F0496">
        <w:rPr>
          <w:sz w:val="22"/>
        </w:rPr>
        <w:t xml:space="preserve">a </w:t>
      </w:r>
      <w:r w:rsidR="00D07E0C">
        <w:rPr>
          <w:sz w:val="22"/>
        </w:rPr>
        <w:t>symptomatic or growing asymptomatic meningioma</w:t>
      </w:r>
      <w:r w:rsidR="003F0496">
        <w:rPr>
          <w:sz w:val="22"/>
        </w:rPr>
        <w:t xml:space="preserve"> </w:t>
      </w:r>
      <w:r w:rsidR="003F0496">
        <w:rPr>
          <w:sz w:val="22"/>
        </w:rPr>
        <w:fldChar w:fldCharType="begin"/>
      </w:r>
      <w:r w:rsidR="00201509">
        <w:rPr>
          <w:sz w:val="22"/>
        </w:rPr>
        <w:instrText xml:space="preserve"> ADDIN ZOTERO_ITEM CSL_CITATION {"citationID":"jalo4uYu","properties":{"formattedCitation":"(11)","plainCitation":"(11)","noteIndex":0},"citationItems":[{"id":"svD7oopY/1VMyFkJS","uris":["http://zotero.org/users/local/QyjW9PVm/items/6R8GANNV"],"itemData":{"id":194,"type":"article-journal","abstract":"OBJECTIVE Multiple meningiomas account for 1%–10% of meningiomas. This study describes epidemiological aspects of the disease and its management, which is more challenging than for single tumors. METHODS A co</w:instrText>
      </w:r>
      <w:r w:rsidR="00201509">
        <w:rPr>
          <w:rFonts w:hint="eastAsia"/>
          <w:sz w:val="22"/>
        </w:rPr>
        <w:instrText xml:space="preserve">nsecutive series of adult patients with </w:instrText>
      </w:r>
      <w:r w:rsidR="00201509">
        <w:rPr>
          <w:rFonts w:hint="eastAsia"/>
          <w:sz w:val="22"/>
        </w:rPr>
        <w:instrText>≥</w:instrText>
      </w:r>
      <w:r w:rsidR="00201509">
        <w:rPr>
          <w:rFonts w:hint="eastAsia"/>
          <w:sz w:val="22"/>
        </w:rPr>
        <w:instrText xml:space="preserve"> 2 spatially separated meningiomas was reviewed. Patients with neurofibromatosis Type 2 were excluded. The authors collected clinical, imaging, histological, and treatment data to obtain information on epidemiology</w:instrText>
      </w:r>
      <w:r w:rsidR="00201509">
        <w:rPr>
          <w:sz w:val="22"/>
        </w:rPr>
        <w:instrText>, management options, and outcomes of active treatment and surveillance. RESULTS A total of 133 consecutive patients were included over 25 years, with a total of 395 synchronous and 53 metachronous meningiomas, and a median of 2 tumors per patient. One hu</w:instrText>
      </w:r>
      <w:r w:rsidR="00201509">
        <w:rPr>
          <w:rFonts w:hint="eastAsia"/>
          <w:sz w:val="22"/>
        </w:rPr>
        <w:instrText>ndred six patients had sporadic disease, 26 had radiation-induced disease, and 1 had familial meningiomatosis. At presentation, half of the patients were asymptomatic. In terms of their maximum cross-sectional diameter, the tumors were small (</w:instrText>
      </w:r>
      <w:r w:rsidR="00201509">
        <w:rPr>
          <w:rFonts w:hint="eastAsia"/>
          <w:sz w:val="22"/>
        </w:rPr>
        <w:instrText>≤</w:instrText>
      </w:r>
      <w:r w:rsidR="00201509">
        <w:rPr>
          <w:rFonts w:hint="eastAsia"/>
          <w:sz w:val="22"/>
        </w:rPr>
        <w:instrText xml:space="preserve"> 2 cm) in 67% and large (&gt; 4 cm) in 11% of the meningiomas. Fifty-four patients had upfront treatment, and 31 had delayed treatment after an observation period (mean 4 years). One in 4 patients had </w:instrText>
      </w:r>
      <w:r w:rsidR="00201509">
        <w:rPr>
          <w:rFonts w:hint="eastAsia"/>
          <w:sz w:val="22"/>
        </w:rPr>
        <w:instrText>≥</w:instrText>
      </w:r>
      <w:r w:rsidR="00201509">
        <w:rPr>
          <w:rFonts w:hint="eastAsia"/>
          <w:sz w:val="22"/>
        </w:rPr>
        <w:instrText xml:space="preserve"> 2 meningiomas treated. Overall, 64% of patients had treatment for 142 tumors</w:instrText>
      </w:r>
      <w:r w:rsidR="00201509">
        <w:rPr>
          <w:rFonts w:hint="eastAsia"/>
          <w:sz w:val="22"/>
        </w:rPr>
        <w:instrText>—</w:instrText>
      </w:r>
      <w:r w:rsidR="00201509">
        <w:rPr>
          <w:rFonts w:hint="eastAsia"/>
          <w:sz w:val="22"/>
        </w:rPr>
        <w:instrText xml:space="preserve">67 with surgery and 18 with radiotherapy alone. The mean follow-up was 7 years, with 13% of treated patients receiving salvage therapy. Approximately 1 in 4 patients who underwent surgery had </w:instrText>
      </w:r>
      <w:r w:rsidR="00201509">
        <w:rPr>
          <w:rFonts w:hint="eastAsia"/>
          <w:sz w:val="22"/>
        </w:rPr>
        <w:instrText>≥</w:instrText>
      </w:r>
      <w:r w:rsidR="00201509">
        <w:rPr>
          <w:rFonts w:hint="eastAsia"/>
          <w:sz w:val="22"/>
        </w:rPr>
        <w:instrText xml:space="preserve"> 1 WHO Grade II or III meningioma. Meningiomas of d</w:instrText>
      </w:r>
      <w:r w:rsidR="00201509">
        <w:rPr>
          <w:sz w:val="22"/>
        </w:rPr>
        <w:instrText xml:space="preserve">ifferent histological subtypes and grades in the same patient were not uncommon. CONCLUSIONS Multiple meningiomas are often asymptomatic, probably because the majority are small and a significant proportion are induced by radiation. Approximately two-thirds of patients with multiple meningiomas require therapy, but only one-third of all meningiomas need active treatment. The authors recommend surveillance for stable and asymptomatic meningiomas and therapy for those that are symptomatic or growing.","container-title":"Journal of Neurosurgery","DOI":"10.3171/2017.2.JNS162608","ISSN":"1933-0693, 0022-3085","issue":"5","language":"en_US","note":"publisher: American Association of Neurological Surgeons\nsection: Journal of Neurosurgery","page":"1403-1409","source":"thejns.org","title":"Management of multiple meningiomas","volume":"128","author":[{"family":"Tsermoulas","given":"Georgios"},{"family":"Turel","given":"Mazda K."},{"family":"Wilcox","given":"Jared T."},{"family":"Shultz","given":"David"},{"family":"Farb","given":"Richard"},{"family":"Zadeh","given":"Gelareh"},{"family":"Bernstein","given":"Mark"}],"issued":{"date-parts":[["2017",7,21]]}}}],"schema":"https://github.com/citation-style-language/schema/raw/master/csl-citation.json"} </w:instrText>
      </w:r>
      <w:r w:rsidR="003F0496">
        <w:rPr>
          <w:sz w:val="22"/>
        </w:rPr>
        <w:fldChar w:fldCharType="separate"/>
      </w:r>
      <w:r w:rsidR="003F0A3F">
        <w:rPr>
          <w:rFonts w:ascii="Calibri" w:hAnsi="Calibri" w:cs="Calibri"/>
          <w:sz w:val="22"/>
        </w:rPr>
        <w:t>(11)</w:t>
      </w:r>
      <w:r w:rsidR="003F0496">
        <w:rPr>
          <w:sz w:val="22"/>
        </w:rPr>
        <w:fldChar w:fldCharType="end"/>
      </w:r>
      <w:r w:rsidR="00D07E0C">
        <w:rPr>
          <w:sz w:val="22"/>
        </w:rPr>
        <w:t>.</w:t>
      </w:r>
      <w:r w:rsidR="003F0496">
        <w:rPr>
          <w:sz w:val="22"/>
        </w:rPr>
        <w:t xml:space="preserve"> </w:t>
      </w:r>
      <w:r w:rsidR="00A354B0">
        <w:rPr>
          <w:sz w:val="22"/>
        </w:rPr>
        <w:t>However, in a meta-analysis of studies of multiple meningioma, t</w:t>
      </w:r>
      <w:r w:rsidR="003F0496">
        <w:rPr>
          <w:sz w:val="22"/>
        </w:rPr>
        <w:t>he rate of intervention was higher</w:t>
      </w:r>
      <w:r w:rsidR="002B760D">
        <w:rPr>
          <w:sz w:val="22"/>
        </w:rPr>
        <w:t xml:space="preserve">, </w:t>
      </w:r>
      <w:r w:rsidR="00107FDE">
        <w:rPr>
          <w:sz w:val="22"/>
        </w:rPr>
        <w:t xml:space="preserve">with </w:t>
      </w:r>
      <w:r w:rsidR="003F0496">
        <w:rPr>
          <w:sz w:val="22"/>
        </w:rPr>
        <w:t xml:space="preserve">44% </w:t>
      </w:r>
      <w:r w:rsidR="002B760D">
        <w:rPr>
          <w:sz w:val="22"/>
        </w:rPr>
        <w:t xml:space="preserve">of tumors </w:t>
      </w:r>
      <w:r w:rsidR="00107FDE">
        <w:rPr>
          <w:sz w:val="22"/>
        </w:rPr>
        <w:t xml:space="preserve">having </w:t>
      </w:r>
      <w:r w:rsidR="002B760D">
        <w:rPr>
          <w:sz w:val="22"/>
        </w:rPr>
        <w:t>receiv</w:t>
      </w:r>
      <w:r w:rsidR="00107FDE">
        <w:rPr>
          <w:sz w:val="22"/>
        </w:rPr>
        <w:t>ed</w:t>
      </w:r>
      <w:r w:rsidR="002B760D">
        <w:rPr>
          <w:sz w:val="22"/>
        </w:rPr>
        <w:t xml:space="preserve"> an intervention</w:t>
      </w:r>
      <w:r w:rsidR="00107FDE">
        <w:rPr>
          <w:sz w:val="22"/>
        </w:rPr>
        <w:t xml:space="preserve"> by the </w:t>
      </w:r>
      <w:r w:rsidR="00A354B0">
        <w:rPr>
          <w:sz w:val="22"/>
        </w:rPr>
        <w:t xml:space="preserve">end </w:t>
      </w:r>
      <w:r w:rsidR="00107FDE">
        <w:rPr>
          <w:sz w:val="22"/>
        </w:rPr>
        <w:t xml:space="preserve">of follow-up. </w:t>
      </w:r>
      <w:r w:rsidR="00A354B0">
        <w:rPr>
          <w:sz w:val="22"/>
        </w:rPr>
        <w:t>T</w:t>
      </w:r>
      <w:r w:rsidR="003F0496">
        <w:rPr>
          <w:sz w:val="22"/>
        </w:rPr>
        <w:t xml:space="preserve">his was skewed by inclusion of studies which </w:t>
      </w:r>
      <w:r w:rsidR="00A354B0">
        <w:rPr>
          <w:sz w:val="22"/>
        </w:rPr>
        <w:t xml:space="preserve">focused </w:t>
      </w:r>
      <w:r w:rsidR="002B760D">
        <w:rPr>
          <w:sz w:val="22"/>
        </w:rPr>
        <w:t xml:space="preserve">solely </w:t>
      </w:r>
      <w:r w:rsidR="00A354B0">
        <w:rPr>
          <w:sz w:val="22"/>
        </w:rPr>
        <w:t xml:space="preserve">on </w:t>
      </w:r>
      <w:r w:rsidR="003F0496">
        <w:rPr>
          <w:sz w:val="22"/>
        </w:rPr>
        <w:t xml:space="preserve">treated multiple meningioma </w:t>
      </w:r>
      <w:r w:rsidR="003F0496">
        <w:rPr>
          <w:sz w:val="22"/>
        </w:rPr>
        <w:fldChar w:fldCharType="begin"/>
      </w:r>
      <w:r w:rsidR="00201509">
        <w:rPr>
          <w:sz w:val="22"/>
        </w:rPr>
        <w:instrText xml:space="preserve"> ADDIN ZOTERO_ITEM CSL_CITATION {"citationID":"bx37iegn","properties":{"formattedCitation":"(12)","plainCitation":"(12)","noteIndex":0},"citationItems":[{"id":"svD7oopY/cclZmBq5","uris":["http://zotero.org/users/local/QyjW9PVm/items/CFXUWLUF"],"itemData":{"id":192,"type":"article-journal","abstract":"Objective\nTo review the published data to create a more comprehensive natural history of multiple meningiomas (MM).\nMethods\nA review of MM published until now was carried out through a Medline search up to August 2018. The use of the “multiple meningiomas” keyword returned 278 articles, and the characteristics analyzed in our present cohort were searched on those publications. Articles without detailed description of clinical findings, neuroimaging confirmation of tumor multiplicity, follow-up at least of 5 years, and clear description of clinical findings were excluded. We added series to this review.\nResults\n293 patients with MM were analyzed: 220 women and 73 men, with a total of 932 tumors (3.1 tumors per patient). The majority of tumors were located in the convexity (653% to 74.5%). The total number of tumors treated was 429 (43.9%): 338 (78.8%) by surgical resection and 91 (21.2%) by radiotherapy. Histopathologic description was available in 303 of 429 cases, being grade I in 272 (90.3%) cases, with a predominance of the meningothelial subtype (30.7%). Tumor recurrence was described in 32 (8.07%) among 397 and only 10 deaths (3.4%) of 281 reported cases, where this characteristic was evaluated.\nConclusions\nWorld Health Organization grade I predominance was observed among multiple meningiomas in similarity to single meningiomas. Only a fraction of MM patients (43.89%) needed treatment. A benign tumor behavior was corroborated by the observed low frequency of recurrence and mortality.","container-title":"World Neurosurgery","DOI":"10.1016/j.wneu.2018.11.097","ISSN":"1878-8750","journalAbbreviation":"World Neurosurgery","language":"en","page":"e1536-e1541","source":"ScienceDirect","title":"Multiple Intracranial Meningiomas: A Case Series and Review of the Literature","title-short":"Multiple Intracranial Meningiomas","volume":"122","author":[{"family":"Araújo Pereira","given":"Benedito Jamilson"},{"family":"Nogueira de Almeida","given":"Antônio"},{"family":"Pires de Aguiar","given":"Paulo Henrique"},{"family":"Paiva","given":"Wellingson Silva"},{"family":"Teixeira","given":"Manoel Jacobsen"},{"family":"Nagahashi Marie","given":"Suely Kazue"}],"issued":{"date-parts":[["2019",2,1]]}}}],"schema":"https://github.com/citation-style-language/schema/raw/master/csl-citation.json"} </w:instrText>
      </w:r>
      <w:r w:rsidR="003F0496">
        <w:rPr>
          <w:sz w:val="22"/>
        </w:rPr>
        <w:fldChar w:fldCharType="separate"/>
      </w:r>
      <w:r w:rsidR="003F0A3F">
        <w:rPr>
          <w:rFonts w:ascii="Calibri" w:hAnsi="Calibri" w:cs="Calibri"/>
          <w:sz w:val="22"/>
        </w:rPr>
        <w:t>(12)</w:t>
      </w:r>
      <w:r w:rsidR="003F0496">
        <w:rPr>
          <w:sz w:val="22"/>
        </w:rPr>
        <w:fldChar w:fldCharType="end"/>
      </w:r>
      <w:r w:rsidR="003F0496">
        <w:rPr>
          <w:sz w:val="22"/>
        </w:rPr>
        <w:t>.</w:t>
      </w:r>
      <w:r w:rsidR="00107FDE">
        <w:rPr>
          <w:sz w:val="22"/>
        </w:rPr>
        <w:t xml:space="preserve"> </w:t>
      </w:r>
      <w:r w:rsidR="00675DC9">
        <w:rPr>
          <w:sz w:val="22"/>
        </w:rPr>
        <w:t xml:space="preserve">Studies of </w:t>
      </w:r>
      <w:r w:rsidR="00B93CE0">
        <w:rPr>
          <w:sz w:val="22"/>
        </w:rPr>
        <w:t xml:space="preserve">intracranial meningioma on the whole demonstrated no association between meningioma multiplicity and patient outcomes. In a study </w:t>
      </w:r>
      <w:r w:rsidR="005F4843">
        <w:rPr>
          <w:sz w:val="22"/>
        </w:rPr>
        <w:t>assessing the prognostic relevance of multiple imaging and clinical features in 303 patients</w:t>
      </w:r>
      <w:r w:rsidR="00B30791">
        <w:rPr>
          <w:sz w:val="22"/>
        </w:rPr>
        <w:t xml:space="preserve"> who underwent surgery</w:t>
      </w:r>
      <w:r w:rsidR="005F4843">
        <w:rPr>
          <w:sz w:val="22"/>
        </w:rPr>
        <w:t xml:space="preserve">, </w:t>
      </w:r>
      <w:r w:rsidR="00171D06">
        <w:rPr>
          <w:sz w:val="22"/>
        </w:rPr>
        <w:t xml:space="preserve">multiple </w:t>
      </w:r>
      <w:r w:rsidR="005F4843">
        <w:rPr>
          <w:sz w:val="22"/>
        </w:rPr>
        <w:t xml:space="preserve">meningioma </w:t>
      </w:r>
      <w:r w:rsidR="00171D06">
        <w:rPr>
          <w:sz w:val="22"/>
        </w:rPr>
        <w:t>were</w:t>
      </w:r>
      <w:r w:rsidR="005F4843">
        <w:rPr>
          <w:sz w:val="22"/>
        </w:rPr>
        <w:t xml:space="preserve"> not associated with recurrence or</w:t>
      </w:r>
      <w:r w:rsidR="00A868B8">
        <w:rPr>
          <w:sz w:val="22"/>
        </w:rPr>
        <w:t xml:space="preserve"> </w:t>
      </w:r>
      <w:r w:rsidR="005F4843">
        <w:rPr>
          <w:sz w:val="22"/>
        </w:rPr>
        <w:t xml:space="preserve">overall survival </w:t>
      </w:r>
      <w:r w:rsidR="005F4843">
        <w:rPr>
          <w:sz w:val="22"/>
        </w:rPr>
        <w:fldChar w:fldCharType="begin"/>
      </w:r>
      <w:r w:rsidR="00201509">
        <w:rPr>
          <w:sz w:val="22"/>
        </w:rPr>
        <w:instrText xml:space="preserve"> ADDIN ZOTERO_ITEM CSL_CITATION {"citationID":"zn9nixGC","properties":{"formattedCitation":"(13)","plainCitation":"(13)","noteIndex":0},"citationItems":[{"id":"svD7oopY/OM0DifSc","uris":["http://zotero.org/users/local/QyjW9PVm/items/3PK2VDCK"],"itemData":{"id":90,"type":"article-journal","abstract":"Background: We investigated prognostic models based on clinical, radiologic, and radiomic feature to preoperatively identify meningiomas at risk for poor outcomes.\nMethods: Retrospective review was performed for 303 patients who underwent resection of 314 meningiomas (57% World Health Organization grade I, 35% grade II, and 8% grade III) at two independent institutions, which comprised primary and external datasets. For each patient in the primary dataset, 16 radiologic and 172 radiomic features were extracted from preoperative magnetic resonance images, and prognostic features for grade, local failure (LF) or overall survival (OS) were identified using the Kaplan-Meier method, log-rank tests and recursive partitioning analysis. Regressions and random forests were used to generate and test prognostic models, which were validated using the external dataset.\nResults: Multivariate analysis revealed that apparent diffusion coefficient hypointensity (HR 5.56, 95% CI 2.01-16.7, P = .002) was associated with high grade meningioma, and low sphericity was associated both with increased LF (HR 2.0, 95% CI 1.1-3.5, P = .02) and worse OS (HR 2.94, 95% CI 1.47-5.56, P = .002). Both radiologic and radiomic predictors of adverse meningioma outcomes were significantly associated with molecular markers of aggressive meningioma biology, such as somatic mutation burden, DNA methylation status, and FOXM1 expression. Integrated prognostic models combining clinical, radiologic, and radiomic features demonstrated improved accuracy for meningioma grade, LF, and OS (area under the curve 0.78, 0.75, and 0.78, respectively) compared to models based on clinical features alone.\nConclusions: Preoperative radiologic and radiomic features such as apparent diffusion coefficient and sphericity can predict tumor grade, LF, and OS in patients with meningioma.","container-title":"Neuro-Oncology Advances","DOI":"10.1093/noajnl/vdz011","ISSN":"2632-2498","issue":"1","journalAbbreviation":"Neurooncol Adv","language":"eng","note":"PMID: 31608329\nPMCID: PMC6777505","page":"vdz011","source":"PubMed","title":"Integrated models incorporating radiologic and radiomic features predict meningioma grade, local failure, and overall survival","volume":"1","author":[{"family":"Morin","given":"Olivier"},{"family":"Chen","given":"William C."},{"family":"Nassiri","given":"Farshad"},{"family":"Susko","given":"Matthew"},{"family":"Magill","given":"Stephen T."},{"family":"Vasudevan","given":"Harish N."},{"family":"Wu","given":"Ashley"},{"family":"Vallières","given":"Martin"},{"family":"Gennatas","given":"Efstathios D."},{"family":"Valdes","given":"Gilmer"},{"family":"Pekmezci","given":"Melike"},{"family":"Alcaide-Leon","given":"Paula"},{"family":"Choudhury","given":"Abrar"},{"family":"Interian","given":"Yannet"},{"family":"Mortezavi","given":"Siavash"},{"family":"Turgutlu","given":"Kerem"},{"family":"Bush","given":"Nancy Ann Oberheim"},{"family":"Solberg","given":"Timothy D."},{"family":"Braunstein","given":"Steve E."},{"family":"Sneed","given":"Penny K."},{"family":"Perry","given":"Arie"},{"family":"Zadeh","given":"Gelareh"},{"family":"McDermott","given":"Michael W."},{"family":"Villanueva-Meyer","given":"Javier E."},{"family":"Raleigh","given":"David R."}],"issued":{"date-parts":[["2019",12]]}}}],"schema":"https://github.com/citation-style-language/schema/raw/master/csl-citation.json"} </w:instrText>
      </w:r>
      <w:r w:rsidR="005F4843">
        <w:rPr>
          <w:sz w:val="22"/>
        </w:rPr>
        <w:fldChar w:fldCharType="separate"/>
      </w:r>
      <w:r w:rsidR="003F0A3F">
        <w:rPr>
          <w:rFonts w:ascii="Calibri" w:hAnsi="Calibri" w:cs="Calibri"/>
          <w:sz w:val="22"/>
        </w:rPr>
        <w:t>(13)</w:t>
      </w:r>
      <w:r w:rsidR="005F4843">
        <w:rPr>
          <w:sz w:val="22"/>
        </w:rPr>
        <w:fldChar w:fldCharType="end"/>
      </w:r>
      <w:r w:rsidR="005F4843">
        <w:rPr>
          <w:sz w:val="22"/>
        </w:rPr>
        <w:t>. Likewise, in a study of 128 patients who underwent surgical resection of a meningioma, assessment of radiomic features demonstrated no relationship betwe</w:t>
      </w:r>
      <w:r w:rsidR="00A868B8">
        <w:rPr>
          <w:sz w:val="22"/>
        </w:rPr>
        <w:t>en</w:t>
      </w:r>
      <w:r w:rsidR="005F4843">
        <w:rPr>
          <w:sz w:val="22"/>
        </w:rPr>
        <w:t xml:space="preserve"> recurrence</w:t>
      </w:r>
      <w:r w:rsidR="00A868B8">
        <w:rPr>
          <w:sz w:val="22"/>
        </w:rPr>
        <w:t xml:space="preserve"> and number of meningioma per patient</w:t>
      </w:r>
      <w:r w:rsidR="005F4843">
        <w:rPr>
          <w:sz w:val="22"/>
        </w:rPr>
        <w:t xml:space="preserve"> </w:t>
      </w:r>
      <w:r w:rsidR="005F4843">
        <w:rPr>
          <w:sz w:val="22"/>
        </w:rPr>
        <w:fldChar w:fldCharType="begin"/>
      </w:r>
      <w:r w:rsidR="00201509">
        <w:rPr>
          <w:sz w:val="22"/>
        </w:rPr>
        <w:instrText xml:space="preserve"> ADDIN ZOTERO_ITEM CSL_CITATION {"citationID":"clJhWTck","properties":{"formattedCitation":"(14)","plainCitation":"(14)","noteIndex":0},"citationItems":[{"id":"svD7oopY/iU0vmHpr","uris":["http://zotero.org/users/local/QyjW9PVm/items/4Q3J4BJC"],"itemData":{"id":176,"type":"article-journal","abstract":"Objectives: A subset of meningiomas may show progression/recurrence (P/R) after surgical resection. This study applied pre-operative MR radiomics based on support vector machine (SVM) to predict P/R in meningiomas., Methods: From January 2007 to January 2018, 128 patients with pathologically confirmed WHO grade I meningiomas were included. Only patients who had undergone pre-operative MRIs and post-operative follow-up MRIs for more than 1 year were studied. Pre-operative T2WI and contrast-enhanced T1WI were analyzed. On each set of images, 32 first-order features and 75 textural features were extracted. The SVM classifier was utilized to evaluate the significance of extracted features, and the most significant four features were selected to calculate SVM score for each patient., Results: Gross total resection (Simpson grades I–III) was performed in 93 (93/128, 72.7%) patients, and 19 (19/128, 14.8%) patients had P/R after surgery. Subtotal tumor resection, bone invasion, low apparent diffusion coefficient (ADC) value, and high SVM score were more frequently encountered in the P/R group (p &lt; 0.05). In multivariate Cox hazards analysis, bone invasion, ADC value, and SVM score were high-risk factors for P/R (p &lt; 0.05) with hazard ratios of 7.31, 4.67, and 8.13, respectively. Using the SVM score, an AUC of 0.80 with optimal cutoff value of 0.224 was obtained for predicting P/R. Patients with higher SVM scores were associated with shorter progression-free survival (p = 0.003)., Conclusions: Our preliminary results showed that pre-operative MR radiomic features may have the potential to offer valuable information in treatment planning for meningiomas.","container-title":"Frontiers in Neurology","DOI":"10.3389/fneur.2021.636235","ISSN":"1664-2295","journalAbbreviation":"Front Neurol","note":"PMID: 34054688\nPMCID: PMC8160291","page":"636235","source":"PubMed Central","title":"Pre-operative MRI Radiomics for the Prediction of Progression and Recurrence in Meningiomas","volume":"12","author":[{"family":"Ko","given":"Ching-Chung"},{"family":"Zhang","given":"Yang"},{"family":"Chen","given":"Jeon-Hor"},{"family":"Chang","given":"Kai-Ting"},{"family":"Chen","given":"Tai-Yuan"},{"family":"Lim","given":"Sher-Wei"},{"family":"Wu","given":"Te-Chang"},{"family":"Su","given":"Min-Ying"}],"issued":{"date-parts":[["2021",5,14]]}}}],"schema":"https://github.com/citation-style-language/schema/raw/master/csl-citation.json"} </w:instrText>
      </w:r>
      <w:r w:rsidR="005F4843">
        <w:rPr>
          <w:sz w:val="22"/>
        </w:rPr>
        <w:fldChar w:fldCharType="separate"/>
      </w:r>
      <w:r w:rsidR="003F0A3F">
        <w:rPr>
          <w:rFonts w:ascii="Calibri" w:hAnsi="Calibri" w:cs="Calibri"/>
          <w:sz w:val="22"/>
        </w:rPr>
        <w:t>(14)</w:t>
      </w:r>
      <w:r w:rsidR="005F4843">
        <w:rPr>
          <w:sz w:val="22"/>
        </w:rPr>
        <w:fldChar w:fldCharType="end"/>
      </w:r>
      <w:r w:rsidR="005F4843">
        <w:rPr>
          <w:sz w:val="22"/>
        </w:rPr>
        <w:t>.</w:t>
      </w:r>
      <w:r w:rsidR="00B30791">
        <w:rPr>
          <w:sz w:val="22"/>
        </w:rPr>
        <w:t xml:space="preserve"> With regards to meningioma</w:t>
      </w:r>
      <w:r w:rsidR="00A86923">
        <w:rPr>
          <w:sz w:val="22"/>
        </w:rPr>
        <w:t xml:space="preserve"> subject to conservative management</w:t>
      </w:r>
      <w:r w:rsidR="00B30791">
        <w:rPr>
          <w:sz w:val="22"/>
        </w:rPr>
        <w:t xml:space="preserve">, </w:t>
      </w:r>
      <w:r w:rsidR="00121BA7">
        <w:rPr>
          <w:sz w:val="22"/>
        </w:rPr>
        <w:t xml:space="preserve">a study of 441 patients demonstrated no relationship between </w:t>
      </w:r>
      <w:r w:rsidR="00B30791">
        <w:rPr>
          <w:sz w:val="22"/>
        </w:rPr>
        <w:t>growth of tumor necess</w:t>
      </w:r>
      <w:r w:rsidR="00171D06">
        <w:rPr>
          <w:sz w:val="22"/>
        </w:rPr>
        <w:t>it</w:t>
      </w:r>
      <w:r w:rsidR="00B30791">
        <w:rPr>
          <w:sz w:val="22"/>
        </w:rPr>
        <w:t xml:space="preserve">ating intervention </w:t>
      </w:r>
      <w:r w:rsidR="00121BA7">
        <w:rPr>
          <w:sz w:val="22"/>
        </w:rPr>
        <w:t xml:space="preserve">and </w:t>
      </w:r>
      <w:r w:rsidR="00171D06">
        <w:rPr>
          <w:sz w:val="22"/>
        </w:rPr>
        <w:t xml:space="preserve">having </w:t>
      </w:r>
      <w:r w:rsidR="00121BA7">
        <w:rPr>
          <w:sz w:val="22"/>
        </w:rPr>
        <w:lastRenderedPageBreak/>
        <w:t>multipl</w:t>
      </w:r>
      <w:r w:rsidR="00171D06">
        <w:rPr>
          <w:sz w:val="22"/>
        </w:rPr>
        <w:t xml:space="preserve">e meningioma </w:t>
      </w:r>
      <w:r w:rsidR="00121BA7">
        <w:rPr>
          <w:sz w:val="22"/>
        </w:rPr>
        <w:fldChar w:fldCharType="begin"/>
      </w:r>
      <w:r w:rsidR="00201509">
        <w:rPr>
          <w:sz w:val="22"/>
        </w:rPr>
        <w:instrText xml:space="preserve"> ADDIN ZOTERO_ITEM CSL_CITATION {"citationID":"WqHNBSas","properties":{"formattedCitation":"(10)","plainCitation":"(10)","noteIndex":0},"citationItems":[{"id":"svD7oopY/sDUh4RF8","uris":["http://zotero.org/users/local/cjg5MD5O/items/8WE5ZIUQ"],"itemData":{"id":"2UsFhGKz/IUI5TcYu","type":"article-journal","abstract":"Abstract\n            \n              Background\n              Asymptomatic meningioma is a common incidental finding with no consensus on the optimal management strategy. We aimed to develop a prognostic model to guide personalized monitoring of incidental meningioma patients.\n            \n            \n              Methods\n              A prognostic model of disease progression was developed in a retrospective cohort (2007–2015), defined as: symptom development, meningioma-specific mortality, meningioma growth or loss of window of curability. Secondary endpoints included non-meningioma-specific mortality and intervention.\n            \n            \n              Results\n              Included were 441 patients (459 meningiomas). Over a median of 55 months (interquartile range, 37–80), 44 patients had meningioma progression and 57 died (non-meningioma-specific). Forty-four had intervention (at presentation, n = 6; progression, n = 20; nonprogression, n = 18). Model parameters were based on statistical and clinical considerations and included: increasing meningioma volume (hazard ratio [HR] 2.17; 95% CI: 1.53–3.09), meningioma hyperintensity (HR 10.6; 95% CI: 5.39–21.0), peritumoral signal change (HR 1.58; 95% CI: 0.65–3.85), and proximity to critical neurovascular structures (HR 1.38; 95% CI: 0.74–2.56). Patients were stratified based on these imaging parameters into low-, medium- and high-risk groups and 5-year disease progression ra</w:instrText>
      </w:r>
      <w:r w:rsidR="00201509">
        <w:rPr>
          <w:rFonts w:hint="eastAsia"/>
          <w:sz w:val="22"/>
        </w:rPr>
        <w:instrText xml:space="preserve">tes were 3%, 28%, and 75%, respectively. After 5 years of follow-up, the risk of disease progression plateaued in all groups. Patients with an age-adjusted Charlson comorbidity index </w:instrText>
      </w:r>
      <w:r w:rsidR="00201509">
        <w:rPr>
          <w:rFonts w:hint="eastAsia"/>
          <w:sz w:val="22"/>
        </w:rPr>
        <w:instrText>≥</w:instrText>
      </w:r>
      <w:r w:rsidR="00201509">
        <w:rPr>
          <w:rFonts w:hint="eastAsia"/>
          <w:sz w:val="22"/>
        </w:rPr>
        <w:instrText>6 (eg, an 80-year-old with chronic kidney disease) were 15 times more l</w:instrText>
      </w:r>
      <w:r w:rsidR="00201509">
        <w:rPr>
          <w:sz w:val="22"/>
        </w:rPr>
        <w:instrText xml:space="preserve">ikely to die of other causes than to receive intervention at 5 years following diagnosis, regardless of risk group.\n            \n            \n              Conclusions\n              The model shows that there is little benefit to rigorous monitoring in low-risk and older patients with comorbidities. Risk-stratified follow-up has the potential to reduce patient anxiety and associated health care costs.","container-title":"Neuro-Oncology","DOI":"10.1093/neuonc/noz160","ISSN":"1522-8517, 1523-5866","issue":"2","language":"en","page":"278-289","source":"DOI.org (Crossref)","title":"A prognostic model to personalize monitoring regimes for patients with incidental asymptomatic meningiomas","volume":"22","author":[{"family":"Islim","given":"Abdurrahman I"},{"family":"Kolamunnage-Dona","given":"Ruwanthi"},{"family":"Mohan","given":"Midhun"},{"family":"Moon","given":"Richard D C"},{"family":"Crofton","given":"Anna"},{"family":"Haylock","given":"Brian J"},{"family":"Rathi","given":"Nitika"},{"family":"Brodbelt","given":"Andrew R"},{"family":"Mills","given":"Samantha J"},{"family":"Jenkinson","given":"Michael D"}],"issued":{"date-parts":[["2020",2,20]]}}}],"schema":"https://github.com/citation-style-language/schema/raw/master/csl-citation.json"} </w:instrText>
      </w:r>
      <w:r w:rsidR="00121BA7">
        <w:rPr>
          <w:sz w:val="22"/>
        </w:rPr>
        <w:fldChar w:fldCharType="separate"/>
      </w:r>
      <w:r w:rsidR="003F0A3F">
        <w:rPr>
          <w:rFonts w:ascii="Calibri" w:hAnsi="Calibri" w:cs="Calibri"/>
          <w:sz w:val="22"/>
        </w:rPr>
        <w:t>(10)</w:t>
      </w:r>
      <w:r w:rsidR="00121BA7">
        <w:rPr>
          <w:sz w:val="22"/>
        </w:rPr>
        <w:fldChar w:fldCharType="end"/>
      </w:r>
      <w:r w:rsidR="00121BA7">
        <w:rPr>
          <w:sz w:val="22"/>
        </w:rPr>
        <w:t xml:space="preserve">. </w:t>
      </w:r>
      <w:r w:rsidR="006F3EA5">
        <w:rPr>
          <w:sz w:val="22"/>
        </w:rPr>
        <w:t>I</w:t>
      </w:r>
      <w:r w:rsidR="00107420">
        <w:rPr>
          <w:sz w:val="22"/>
        </w:rPr>
        <w:t xml:space="preserve">maging features such as meningioma volume, peri-tumoral oedema and </w:t>
      </w:r>
      <w:r w:rsidR="00692F2E">
        <w:rPr>
          <w:sz w:val="22"/>
        </w:rPr>
        <w:t>a</w:t>
      </w:r>
      <w:r w:rsidR="00692F2E" w:rsidRPr="00692F2E">
        <w:rPr>
          <w:sz w:val="22"/>
        </w:rPr>
        <w:t>pparent diffusion coefficient</w:t>
      </w:r>
      <w:r w:rsidR="00107420">
        <w:rPr>
          <w:sz w:val="22"/>
        </w:rPr>
        <w:t xml:space="preserve"> values have been consistently shown to be associated with patient outcomes and </w:t>
      </w:r>
      <w:r w:rsidR="006F3EA5">
        <w:rPr>
          <w:sz w:val="22"/>
        </w:rPr>
        <w:t xml:space="preserve">we therefore </w:t>
      </w:r>
      <w:r w:rsidR="00107420">
        <w:rPr>
          <w:sz w:val="22"/>
        </w:rPr>
        <w:t xml:space="preserve">matched for </w:t>
      </w:r>
      <w:r w:rsidR="006F3EA5">
        <w:rPr>
          <w:sz w:val="22"/>
        </w:rPr>
        <w:t xml:space="preserve">these </w:t>
      </w:r>
      <w:r w:rsidR="00107420">
        <w:rPr>
          <w:sz w:val="22"/>
        </w:rPr>
        <w:t xml:space="preserve">in </w:t>
      </w:r>
      <w:r w:rsidR="006F3EA5">
        <w:rPr>
          <w:sz w:val="22"/>
        </w:rPr>
        <w:t>our</w:t>
      </w:r>
      <w:r w:rsidR="00107420">
        <w:rPr>
          <w:sz w:val="22"/>
        </w:rPr>
        <w:t xml:space="preserve"> study </w:t>
      </w:r>
      <w:r w:rsidR="00107420">
        <w:rPr>
          <w:sz w:val="22"/>
        </w:rPr>
        <w:fldChar w:fldCharType="begin"/>
      </w:r>
      <w:r w:rsidR="00201509">
        <w:rPr>
          <w:sz w:val="22"/>
        </w:rPr>
        <w:instrText xml:space="preserve"> ADDIN ZOTERO_ITEM CSL_CITATION {"citationID":"IOTViqbx","properties":{"formattedCitation":"(10,13\\uc0\\u8211{}15)","plainCitation":"(10,13–15)","noteIndex":0},"citationItems":[{"id":"svD7oopY/sDUh4RF8","uris":["http://zotero.org/users/local/cjg5MD5O/items/8WE5ZIUQ"],"itemData":{"id":"2UsFhGKz/IUI5TcYu","type":"article-journal","abstract":"Abstract\n            \n              Background\n              Asymptomatic meningioma is a common incidental finding with no consensus on the optimal management strategy. We aimed to develop a prognostic model to guide personalized monitoring of incidental meningioma patients.\n            \n            \n              Methods\n              A prognostic model of disease progression was developed in a retrospective cohort (2007–2015), defined as: symptom development, meningioma-specific mortality, meningioma growth or loss of window of curability. Secondary endpoints included non-meningioma-specific mortality and intervention.\n            \n            \n              Results\n              Included were 441 patients (459 meningiomas). Over a median of 55 months (interquartile range, 37–80), 44 patients had meningioma progression and 57 died (non-meningioma-specific). Forty-four had intervention (at presentation, n = 6; progression, n = 20; nonprogression, n = 18). Model parameters were based on statistical and clinical considerations and included: increasing meningioma volume (hazard ratio [HR] 2.17; 95% CI: 1.53–3.09), meningioma hyperintensity (HR 10.6; 95% CI: 5.39–21.0), peritumoral signal change (HR 1.58; 95% CI: 0.65–3.85), and proximity to critical neurovascular structures (HR 1.38; 95% CI: 0.74–2.56). Patients were stratified based on these imaging parameters into low-, medium- and high-risk groups and 5-ye</w:instrText>
      </w:r>
      <w:r w:rsidR="00201509">
        <w:rPr>
          <w:rFonts w:hint="eastAsia"/>
          <w:sz w:val="22"/>
        </w:rPr>
        <w:instrText xml:space="preserve">ar disease progression rates were 3%, 28%, and 75%, respectively. After 5 years of follow-up, the risk of disease progression plateaued in all groups. Patients with an age-adjusted Charlson comorbidity index </w:instrText>
      </w:r>
      <w:r w:rsidR="00201509">
        <w:rPr>
          <w:rFonts w:hint="eastAsia"/>
          <w:sz w:val="22"/>
        </w:rPr>
        <w:instrText>≥</w:instrText>
      </w:r>
      <w:r w:rsidR="00201509">
        <w:rPr>
          <w:rFonts w:hint="eastAsia"/>
          <w:sz w:val="22"/>
        </w:rPr>
        <w:instrText>6 (eg, an 80-year-old with chronic kidney dise</w:instrText>
      </w:r>
      <w:r w:rsidR="00201509">
        <w:rPr>
          <w:sz w:val="22"/>
        </w:rPr>
        <w:instrText xml:space="preserve">ase) were 15 times more likely to die of other causes than to receive intervention at 5 years following diagnosis, regardless of risk group.\n            \n            \n              Conclusions\n              The model shows that there is little benefit to rigorous monitoring in low-risk and older patients with comorbidities. Risk-stratified follow-up has the potential to reduce patient anxiety and associated health care costs.","container-title":"Neuro-Oncology","DOI":"10.1093/neuonc/noz160","ISSN":"1522-8517, 1523-5866","issue":"2","language":"en","page":"278-289","source":"DOI.org (Crossref)","title":"A prognostic model to personalize monitoring regimes for patients with incidental asymptomatic meningiomas","volume":"22","author":[{"family":"Islim","given":"Abdurrahman I"},{"family":"Kolamunnage-Dona","given":"Ruwanthi"},{"family":"Mohan","given":"Midhun"},{"family":"Moon","given":"Richard D C"},{"family":"Crofton","given":"Anna"},{"family":"Haylock","given":"Brian J"},{"family":"Rathi","given":"Nitika"},{"family":"Brodbelt","given":"Andrew R"},{"family":"Mills","given":"Samantha J"},{"family":"Jenkinson","given":"Michael D"}],"issued":{"date-parts":[["2020",2,20]]}}},{"id":"svD7oopY/OM0DifSc","uris":["http://zotero.org/users/local/QyjW9PVm/items/3PK2VDCK"],"itemData":{"id":90,"type":"article-journal","abstract":"Background: We investigated prognostic models based on clinical, radiologic, and radiomic feature to preoperatively identify meningiomas at risk for poor outcomes.\nMethods: Retrospective review was performed for 303 patients who underwent resection of 314 meningiomas (57% World Health Organization grade I, 35% grade II, and 8% grade III) at two independent institutions, which comprised primary and external datasets. For each patient in the primary dataset, 16 radiologic and 172 radiomic features were extracted from preoperative magnetic resonance images, and prognostic features for grade, local failure (LF) or overall survival (OS) were identified using the Kaplan-Meier method, log-rank tests and recursive partitioning analysis. Regressions and random forests were used to generate and test prognostic models, which were validated using the external dataset.\nResults: Multivariate analysis revealed that apparent diffusion coefficient hypointensity (HR 5.56, 95% CI 2.01-16.7, P = .002) was associated with high grade meningioma, and low sphericity was associated both with increased LF (HR 2.0, 95% CI 1.1-3.5, P = .02) and worse OS (HR 2.94, 95% CI 1.47-5.56, P = .002). Both radiologic and radiomic predictors of adverse meningioma outcomes were significantly associated with molecular markers of aggressive meningioma biology, such as somatic mutation burden, DNA methylation status, and FOXM1 expression. Integrated prognostic models combining clinical, radiologic, and radiomic features demonstrated improved accuracy for meningioma grade, LF, and OS (area under the curve 0.78, 0.75, and 0.78, respectively) compared to models based on clinical features alone.\nConclusions: Preoperative radiologic and radiomic features such as apparent diffusion coefficient and sphericity can predict tumor grade, LF, and OS in patients with meningioma.","container-title":"Neuro-Oncology Advances","DOI":"10.1093/noajnl/vdz011","ISSN":"2632-2498","issue":"1","journalAbbreviation":"Neurooncol Adv","language":"eng","note":"PMID: 31608329\nPMCID: PMC6777505","page":"vdz011","source":"PubMed","title":"Integrated models incorporating radiologic and radiomic features predict meningioma grade, local failure, and overall survival","volume":"1","author":[{"family":"Morin","given":"Olivier"},{"family":"Chen","given":"William C."},{"family":"Nassiri","given":"Farshad"},{"family":"Susko","given":"Matthew"},{"family":"Magill","given":"Stephen T."},{"family":"Vasudevan","given":"Harish N."},{"family":"Wu","given":"Ashley"},{"family":"Vallières","given":"Martin"},{"family":"Gennatas","given":"Efstathios D."},{"family":"Valdes","given":"Gilmer"},{"family":"Pekmezci","given":"Melike"},{"family":"Alcaide-Leon","given":"Paula"},{"family":"Choudhury","given":"Abrar"},{"family":"Interian","given":"Yannet"},{"family":"Mortezavi","given":"Siavash"},{"family":"Turgutlu","given":"Kerem"},{"family":"Bush","given":"Nancy Ann Oberheim"},{"family":"Solberg","given":"Timothy D."},{"family":"Braunstein","given":"Steve E."},{"family":"Sneed","given":"Penny K."},{"family":"Perry","given":"Arie"},{"family":"Zadeh","given":"Gelareh"},{"family":"McDermott","given":"Michael W."},{"family":"Villanueva-Meyer","given":"Javier E."},{"family":"Raleigh","given":"David R."}],"issued":{"date-parts":[["2019",12]]}}},{"id":"svD7oopY/iU0vmHpr","uris":["http://zotero.org/users/local/QyjW9PVm/items/4Q3J4BJC"],"itemData":{"id":176,"type":"article-journal","abstract":"Objectives: A subset of meningiomas may show progression/recurrence (P/R) after surgical resection. This study applied pre-operative MR radiomics based on support vector machine (SVM) to predict P/R in meningiomas., Methods: From January 2007 to January 2018, 128 patients with pathologically confirmed WHO grade I meningiomas were included. Only patients who had undergone pre-operative MRIs and post-operative follow-up MRIs for more than 1 year were studied. Pre-operative T2WI and contrast-enhanced T1WI were analyzed. On each set of images, 32 first-order features and 75 textural features were extracted. The SVM classifier was utilized to evaluate the significance of extracted features, and the most significant four features were selected to calculate SVM score for each patient., Results: Gross total resection (Simpson grades I–III) was performed in 93 (93/128, 72.7%) patients, and 19 (19/128, 14.8%) patients had P/R after surgery. Subtotal tumor resection, bone invasion, low apparent diffusion coefficient (ADC) value, and high SVM score were more frequently encountered in the P/R group (p &lt; 0.05). In multivariate Cox hazards analysis, bone invasion, ADC value, and SVM score were high-risk factors for P/R (p &lt; 0.05) with hazard ratios of 7.31, 4.67, and 8.13, respectively. Using the SVM score, an AUC of 0.80 with optimal cutoff value of 0.224 was obtained for predicting P/R. Patients with higher SVM scores were associated with shorter progression-free survival (p = 0.003)., Conclusions: Our preliminary results showed that pre-operative MR radiomic features may have the potential to offer valuable information in treatment planning for meningiomas.","container-title":"Frontiers in Neurology","DOI":"10.3389/fneur.2021.636235","ISSN":"1664-2295","journalAbbreviation":"Front Neurol","note":"PMID: 34054688\nPMCID: PMC8160291","page":"636235","source":"PubMed Central","title":"Pre-operative MRI Radiomics for the Prediction of Progression and Recurrence in Meningiomas","volume":"12","author":[{"family":"Ko","given":"Ching-Chung"},{"family":"Zhang","given":"Yang"},{"family":"Chen","given":"Jeon-Hor"},{"family":"Chang","given":"Kai-Ting"},{"family":"Chen","given":"Tai-Yuan"},{"family":"Lim","given":"Sher-Wei"},{"family":"Wu","given":"Te-Chang"},{"family":"Su","given":"Min-Ying"}],"issued":{"date-parts":[["2021",5,14]]}}},{"id":"svD7oopY/iF4hxrZu","uris":["http://zotero.org/users/local/QyjW9PVm/items/8C745QS3"],"itemData":{"id":181,"type":"article-journal","abstract":"Risk stratification of meningiomas by histopathological grade alone does not reliably predict which patients will progress/recur after treatment. We sought to determine whether preoperative imaging and clinical characteristics could predict histopathological grade and/or improve prognostication of progression/recurrence (P/R).We retrospectively reviewed preoperative MR and CT imaging features of 144 patients divided into low-grade (2007 WHO grade I; n = 118) and high-grade (2007 WHO grades II/III; n = 26) groups that underwent surgery between 2002 and 2013 (median follow-up of 49 months).Multivariate analysis demonstrated that the risk factors most strongly associated with high-grade histopathology were male sex, low apparent diffusion coefficient (ADC), absent calcification, and high peritumoral edema. Remarkably, multivariate Cox proportional hazards analysis demonstrated that, in combination with extent of resection, ADC outperformed WHO histopathological grade for predicting which patients will suffer P/R after initial treatment. Stratification of patients into 3 risk groups based on non-Simpson grade I resection and low ADC as risk factors correlated with the likelihood of P/R (P &amp;lt; .001). The high-risk group (2 risk factors; n = 39) had a 45% cumulative incidence of P/R, whereas the low-risk group (0 risk factors; n = 31) had no P/R events at 5 years after treatment. Independent of histopathological grade, high-risk patients who received adjuvant radiotherapy had a lower 5-year crude rate of P/R than those without (17% vs 59%; P = .04).Patients with non-Simpson grade I resection and low ADC meningiomas are at significantly increased risk of P/R and may benefit from adjuvant radiotherapy and/or additional surgery.","container-title":"Neuro-Oncology","DOI":"10.1093/neuonc/nov285","ISSN":"1522-8517","issue":"6","journalAbbreviation":"Neuro-Oncology","page":"863-872","source":"Silverchair","title":"Imaging and extent of surgical resection predict risk of meningioma recurrence better than WHO histopathological grade","volume":"18","author":[{"family":"Hwang","given":"William L."},{"family":"Marciscano","given":"Ariel E."},{"family":"Niemierko","given":"Andrzej"},{"family":"Kim","given":"Daniel W."},{"family":"Stemmer-Rachamimov","given":"Anat O."},{"family":"Curry","given":"William T."},{"family":"Barker","given":"Fred G.","suffix":"II"},{"family":"Martuza","given":"Robert L."},{"family":"Loeffler","given":"Jay S."},{"family":"Oh","given":"Kevin S."},{"family":"Shih","given":"Helen A."},{"family":"Larvie","given":"Mykol"}],"issued":{"date-parts":[["2016",6,1]]}}}],"schema":"https://github.com/citation-style-language/schema/raw/master/csl-citation.json"} </w:instrText>
      </w:r>
      <w:r w:rsidR="00107420">
        <w:rPr>
          <w:sz w:val="22"/>
        </w:rPr>
        <w:fldChar w:fldCharType="separate"/>
      </w:r>
      <w:r w:rsidR="003F0A3F" w:rsidRPr="003F0A3F">
        <w:rPr>
          <w:rFonts w:ascii="Calibri" w:hAnsi="Calibri" w:cs="Calibri"/>
          <w:sz w:val="22"/>
        </w:rPr>
        <w:t>(10,13–15)</w:t>
      </w:r>
      <w:r w:rsidR="00107420">
        <w:rPr>
          <w:sz w:val="22"/>
        </w:rPr>
        <w:fldChar w:fldCharType="end"/>
      </w:r>
      <w:r w:rsidR="00107420">
        <w:rPr>
          <w:sz w:val="22"/>
        </w:rPr>
        <w:t>.</w:t>
      </w:r>
      <w:r w:rsidR="00FE4473">
        <w:rPr>
          <w:sz w:val="22"/>
        </w:rPr>
        <w:t xml:space="preserve"> </w:t>
      </w:r>
      <w:r w:rsidR="00107FDE">
        <w:rPr>
          <w:sz w:val="22"/>
        </w:rPr>
        <w:t>R</w:t>
      </w:r>
      <w:r w:rsidR="00FE4473">
        <w:rPr>
          <w:sz w:val="22"/>
        </w:rPr>
        <w:t>ecent stud</w:t>
      </w:r>
      <w:r w:rsidR="0001774E">
        <w:rPr>
          <w:sz w:val="22"/>
        </w:rPr>
        <w:t>ies</w:t>
      </w:r>
      <w:r w:rsidR="00FE4473">
        <w:rPr>
          <w:sz w:val="22"/>
        </w:rPr>
        <w:t xml:space="preserve"> which did not match </w:t>
      </w:r>
      <w:r w:rsidR="00107FDE">
        <w:rPr>
          <w:sz w:val="22"/>
        </w:rPr>
        <w:t xml:space="preserve">or adjust </w:t>
      </w:r>
      <w:r w:rsidR="00FE4473">
        <w:rPr>
          <w:sz w:val="22"/>
        </w:rPr>
        <w:t>for these characteristics</w:t>
      </w:r>
      <w:r w:rsidR="0001774E">
        <w:rPr>
          <w:sz w:val="22"/>
        </w:rPr>
        <w:t xml:space="preserve"> demonstrated that </w:t>
      </w:r>
      <w:r w:rsidR="006F3EA5">
        <w:rPr>
          <w:sz w:val="22"/>
        </w:rPr>
        <w:t xml:space="preserve">multiple meningioma were associated with </w:t>
      </w:r>
      <w:r w:rsidR="0001774E">
        <w:rPr>
          <w:sz w:val="22"/>
        </w:rPr>
        <w:t>worse recurrence</w:t>
      </w:r>
      <w:r w:rsidR="000F13DA">
        <w:rPr>
          <w:sz w:val="22"/>
        </w:rPr>
        <w:t>-</w:t>
      </w:r>
      <w:r w:rsidR="0001774E">
        <w:rPr>
          <w:sz w:val="22"/>
        </w:rPr>
        <w:t xml:space="preserve">free and overall survival </w:t>
      </w:r>
      <w:r w:rsidR="0001774E">
        <w:rPr>
          <w:sz w:val="22"/>
        </w:rPr>
        <w:fldChar w:fldCharType="begin"/>
      </w:r>
      <w:r w:rsidR="00201509">
        <w:rPr>
          <w:sz w:val="22"/>
        </w:rPr>
        <w:instrText xml:space="preserve"> ADDIN ZOTERO_ITEM CSL_CITATION {"citationID":"ajGExFHD","properties":{"formattedCitation":"(8,16)","plainCitation":"(8,16)","noteIndex":0},"citationItems":[{"id":"svD7oopY/4w5Iun7V","uris":["http://zotero.org/users/local/cjg5MD5O/items/7RJCZNIY"],"itemData":{"id":"2UsFhGKz/4V6MS4Tx","type":"article-journal","container-title":"Journal of Neuro-Oncology","DOI":"10.1007/s11060-020-03620-7","ISSN":"0167-594X, 1573-7373","issue":"3","journalAbbreviation":"J Neurooncol","language":"en","page":"413-420","source":"DOI.org (Crossref)","title":"Multiple meningiomas: does quantity matter? a population-based survival analysis with underlined age and sex differences","title-short":"Multiple meningiomas","volume":"149","author":[{"family":"Ramos-Fresnedo","given":"Andres"},{"family":"Domingo","given":"Ricardo A."},{"family":"Vivas-Buitrago","given":"Tito"},{"family":"Lundy","given":"Larry"},{"family":"Trifiletti","given":"Daniel M."},{"family":"Jentoft","given":"Mark E."},{"family":"Desai","given":"Amit B."},{"family":"Quiñones-Hinojosa","given":"Alfredo"}],"issued":{"date-parts":[["2020",9]]}}},{"id":"svD7oopY/GtJeLNke","uris":["http://zotero.org/users/local/QyjW9PVm/items/D3KQBG58"],"itemData":{"id":187,"type":"article-journal","abstract":"OBJECTIVE Multiple meningiomas (MMs) occur in as many as 18% of patients with meningioma, and data on progression-free survival (PFS) are scarce. The objective of this study was to explore the influence of the number of lesions and clinical characteristics on PFS in patients with WHO grade I meningiomas. METHODS The authors retrospectively reviewed the records of all adults diagnosed with a meningioma at their three main sites from January 2009 to May 2020. Progression was considered the time from diagnosis until radiographic growth of the originally resected meningioma. A secondary analysis was performed to evaluate the time of diagnosis until the time to second intervention (TTSI). Univariable and multivariable analyses were conducted to assess whether the number of lesions or any associated variables (age, sex, race, radiation treatment, tumor location, and extent of resection) had a significant impact on PFS and TTSI. RESULTS Eight hundred thirty-eight patients were included. Use of a log-rank test to evaluate PFS and TTSI between a single and multiple lesions showed a significantly shorter progression for MM (p &lt; 0.001 and p &lt; 0.001, respectively). Multivariable Cox regression analysis showed significantly inferior PFS on MM compared to a single lesion (hazard ratio [HR] 2.262, 95% confidence interval [CI] 1.392–3.677, p = 0.001) and a significantly inferior TTSI for patients with MM when compared to patients with a single meningioma (HR 2.377, 95% CI 1.617–3.494, p = 0.001). By testing the number of meningiomas as a continuous variable, PFS was significantly inferior for each additional meningioma (HR 1.350, 95% CI 1.074–1.698, p = 0.010) and TTSI was significantly inferior as well (HR 1.428, 95% CI 1.189–1.716, p &lt; 0.001). African American patients had an inferior PFS when compared to non-Hispanic White patients (HR 3.472, 95% CI 1.083–11.129, p = 0.036). CONCLUSIONS The PFS of meningiomas appears to be influenced by the number of lesions present. Patients with MM also appear to be more prone to undergoing a second intervention for progressive disease. Hence, a closer follow-up may be warranted in patients who present with multiple lesions. These results show a decreased PFS for each additional lesion present, as well as a shorter PFS for MM compared to a single lesion. When assessing associated risk factors, African American patients showed an inferior PFS, whereas older age and adjuvant therapy with radiation showed an improved PFS.","container-title":"Journal of Neurosurgery","DOI":"10.3171/2021.8.JNS211252","ISSN":"1933-0693, 0022-3085","issue":"1","language":"EN","note":"publisher: American Association of Neurological Surgeons\nsection: Journal of Neurosurgery","page":"9-17","source":"thejns.org","title":"The impact of multiple lesions on progression-free survival of meningiomas: a 10-year multicenter experience","title-short":"The impact of multiple lesions on progression-free survival of meningiomas","volume":"137","author":[{"family":"Ramos-Fresnedo","given":"Andres"},{"family":"Domingo","given":"Ricardo A."},{"family":"Sanchez-Garavito","given":"Jesus E."},{"family":"Perez-Vega","given":"Carlos"},{"family":"Akinduro","given":"Oluwaseun O."},{"family":"Jentoft","given":"Mark E."},{"family":"Vora","given":"Sujay A."},{"family":"Brown","given":"Paul D."},{"family":"Porter","given":"Alyx B."},{"family":"Bendok","given":"Bernard R."},{"family":"Link","given":"Michael J."},{"family":"Middlebrooks","given":"Erik H."},{"family":"Trifiletti","given":"Daniel M."},{"family":"Chaichana","given":"Kaisorn L."},{"family":"Quiñones-Hinojosa","given":"Alfredo"},{"family":"Sherman","given":"Wendy J."}],"issued":{"date-parts":[["2021",11,19]]}}}],"schema":"https://github.com/citation-style-language/schema/raw/master/csl-citation.json"} </w:instrText>
      </w:r>
      <w:r w:rsidR="0001774E">
        <w:rPr>
          <w:sz w:val="22"/>
        </w:rPr>
        <w:fldChar w:fldCharType="separate"/>
      </w:r>
      <w:r w:rsidR="003F0A3F">
        <w:rPr>
          <w:rFonts w:ascii="Calibri" w:hAnsi="Calibri" w:cs="Calibri"/>
          <w:sz w:val="22"/>
        </w:rPr>
        <w:t>(8,16)</w:t>
      </w:r>
      <w:r w:rsidR="0001774E">
        <w:rPr>
          <w:sz w:val="22"/>
        </w:rPr>
        <w:fldChar w:fldCharType="end"/>
      </w:r>
      <w:r w:rsidR="0001774E">
        <w:rPr>
          <w:sz w:val="22"/>
        </w:rPr>
        <w:t xml:space="preserve">, which </w:t>
      </w:r>
      <w:r w:rsidR="006F3EA5">
        <w:rPr>
          <w:sz w:val="22"/>
        </w:rPr>
        <w:t xml:space="preserve">contrasts with our study and others </w:t>
      </w:r>
      <w:r w:rsidR="0068664A">
        <w:rPr>
          <w:sz w:val="22"/>
        </w:rPr>
        <w:fldChar w:fldCharType="begin"/>
      </w:r>
      <w:r w:rsidR="00201509">
        <w:rPr>
          <w:sz w:val="22"/>
        </w:rPr>
        <w:instrText xml:space="preserve"> ADDIN ZOTERO_ITEM CSL_CITATION {"citationID":"etDTX9pd","properties":{"formattedCitation":"(10,13\\uc0\\u8211{}15)","plainCitation":"(10,13–15)","noteIndex":0},"citationItems":[{"id":"svD7oopY/sDUh4RF8","uris":["http://zotero.org/users/local/cjg5MD5O/items/8WE5ZIUQ"],"itemData":{"id":"n4yV8hi8/4akPSbgz","type":"article-journal","abstract":"Abstract\n            \n              Background\n              Asymptomatic meningioma is a common incidental finding with no consensus on the optimal management strategy. We aimed to develop a prognostic model to guide personalized monitoring of incidental meningioma patients.\n            \n            \n              Methods\n              A prognostic model of disease progression was developed in a retrospective cohort (2007–2015), defined as: symptom development, meningioma-specific mortality, meningioma growth or loss of window of curability. Secondary endpoints included non-meningioma-specific mortality and intervention.\n            \n            \n              Results\n              Included were 441 patients (459 meningiomas). Over a median of 55 months (interquartile range, 37–80), 44 patients had meningioma progression and 57 died (non-meningioma-specific). Forty-four had intervention (at presentation, n = 6; progression, n = 20; nonprogression, n = 18). Model parameters were based on statistical and clinical considerations and included: increasing meningioma volume (hazard ratio [HR] 2.17; 95% CI: 1.53–3.09), meningioma hyperintensity (HR 10.6; 95% CI: 5.39–21.0), peritumoral signal change (HR 1.58; 95% CI: 0.65–3.85), and proximity to critical neurovascular structures (HR 1.38; 95% CI: 0.74–2.56). Patients were stratified based on these imaging parameters into low-, medium- and high-risk groups and 5-ye</w:instrText>
      </w:r>
      <w:r w:rsidR="00201509">
        <w:rPr>
          <w:rFonts w:hint="eastAsia"/>
          <w:sz w:val="22"/>
        </w:rPr>
        <w:instrText xml:space="preserve">ar disease progression rates were 3%, 28%, and 75%, respectively. After 5 years of follow-up, the risk of disease progression plateaued in all groups. Patients with an age-adjusted Charlson comorbidity index </w:instrText>
      </w:r>
      <w:r w:rsidR="00201509">
        <w:rPr>
          <w:rFonts w:hint="eastAsia"/>
          <w:sz w:val="22"/>
        </w:rPr>
        <w:instrText>≥</w:instrText>
      </w:r>
      <w:r w:rsidR="00201509">
        <w:rPr>
          <w:rFonts w:hint="eastAsia"/>
          <w:sz w:val="22"/>
        </w:rPr>
        <w:instrText>6 (eg, an 80-year-old with chronic kidney dise</w:instrText>
      </w:r>
      <w:r w:rsidR="00201509">
        <w:rPr>
          <w:sz w:val="22"/>
        </w:rPr>
        <w:instrText xml:space="preserve">ase) were 15 times more likely to die of other causes than to receive intervention at 5 years following diagnosis, regardless of risk group.\n            \n            \n              Conclusions\n              The model shows that there is little benefit to rigorous monitoring in low-risk and older patients with comorbidities. Risk-stratified follow-up has the potential to reduce patient anxiety and associated health care costs.","container-title":"Neuro-Oncology","DOI":"10.1093/neuonc/noz160","ISSN":"1522-8517, 1523-5866","issue":"2","language":"en","page":"278-289","source":"DOI.org (Crossref)","title":"A prognostic model to personalize monitoring regimes for patients with incidental asymptomatic meningiomas","volume":"22","author":[{"family":"Islim","given":"Abdurrahman I"},{"family":"Kolamunnage-Dona","given":"Ruwanthi"},{"family":"Mohan","given":"Midhun"},{"family":"Moon","given":"Richard D C"},{"family":"Crofton","given":"Anna"},{"family":"Haylock","given":"Brian J"},{"family":"Rathi","given":"Nitika"},{"family":"Brodbelt","given":"Andrew R"},{"family":"Mills","given":"Samantha J"},{"family":"Jenkinson","given":"Michael D"}],"issued":{"date-parts":[["2020",2,20]]}}},{"id":"svD7oopY/OM0DifSc","uris":["http://zotero.org/users/local/QyjW9PVm/items/3PK2VDCK"],"itemData":{"id":"n4yV8hi8/3OrIdVj5","type":"article-journal","abstract":"Background: We investigated prognostic models based on clinical, radiologic, and radiomic feature to preoperatively identify meningiomas at risk for poor outcomes.\nMethods: Retrospective review was performed for 303 patients who underwent resection of 314 meningiomas (57% World Health Organization grade I, 35% grade II, and 8% grade III) at two independent institutions, which comprised primary and external datasets. For each patient in the primary dataset, 16 radiologic and 172 radiomic features were extracted from preoperative magnetic resonance images, and prognostic features for grade, local failure (LF) or overall survival (OS) were identified using the Kaplan-Meier method, log-rank tests and recursive partitioning analysis. Regressions and random forests were used to generate and test prognostic models, which were validated using the external dataset.\nResults: Multivariate analysis revealed that apparent diffusion coefficient hypointensity (HR 5.56, 95% CI 2.01-16.7, P = .002) was associated with high grade meningioma, and low sphericity was associated both with increased LF (HR 2.0, 95% CI 1.1-3.5, P = .02) and worse OS (HR 2.94, 95% CI 1.47-5.56, P = .002). Both radiologic and radiomic predictors of adverse meningioma outcomes were significantly associated with molecular markers of aggressive meningioma biology, such as somatic mutation burden, DNA methylation status, and FOXM1 expression. Integrated prognostic models combining clinical, radiologic, and radiomic features demonstrated improved accuracy for meningioma grade, LF, and OS (area under the curve 0.78, 0.75, and 0.78, respectively) compared to models based on clinical features alone.\nConclusions: Preoperative radiologic and radiomic features such as apparent diffusion coefficient and sphericity can predict tumor grade, LF, and OS in patients with meningioma.","container-title":"Neuro-Oncology Advances","DOI":"10.1093/noajnl/vdz011","ISSN":"2632-2498","issue":"1","journalAbbreviation":"Neurooncol Adv","language":"eng","note":"PMID: 31608329\nPMCID: PMC6777505","page":"vdz011","source":"PubMed","title":"Integrated models incorporating radiologic and radiomic features predict meningioma grade, local failure, and overall survival","volume":"1","author":[{"family":"Morin","given":"Olivier"},{"family":"Chen","given":"William C."},{"family":"Nassiri","given":"Farshad"},{"family":"Susko","given":"Matthew"},{"family":"Magill","given":"Stephen T."},{"family":"Vasudevan","given":"Harish N."},{"family":"Wu","given":"Ashley"},{"family":"Vallières","given":"Martin"},{"family":"Gennatas","given":"Efstathios D."},{"family":"Valdes","given":"Gilmer"},{"family":"Pekmezci","given":"Melike"},{"family":"Alcaide-Leon","given":"Paula"},{"family":"Choudhury","given":"Abrar"},{"family":"Interian","given":"Yannet"},{"family":"Mortezavi","given":"Siavash"},{"family":"Turgutlu","given":"Kerem"},{"family":"Bush","given":"Nancy Ann Oberheim"},{"family":"Solberg","given":"Timothy D."},{"family":"Braunstein","given":"Steve E."},{"family":"Sneed","given":"Penny K."},{"family":"Perry","given":"Arie"},{"family":"Zadeh","given":"Gelareh"},{"family":"McDermott","given":"Michael W."},{"family":"Villanueva-Meyer","given":"Javier E."},{"family":"Raleigh","given":"David R."}],"issued":{"date-parts":[["2019",12]]}}},{"id":"svD7oopY/iU0vmHpr","uris":["http://zotero.org/users/local/QyjW9PVm/items/4Q3J4BJC"],"itemData":{"id":"n4yV8hi8/CW6ae4bS","type":"article-journal","abstract":"Objectives: A subset of meningiomas may show progression/recurrence (P/R) after surgical resection. This study applied pre-operative MR radiomics based on support vector machine (SVM) to predict P/R in meningiomas., Methods: From January 2007 to January 2018, 128 patients with pathologically confirmed WHO grade I meningiomas were included. Only patients who had undergone pre-operative MRIs and post-operative follow-up MRIs for more than 1 year were studied. Pre-operative T2WI and contrast-enhanced T1WI were analyzed. On each set of images, 32 first-order features and 75 textural features were extracted. The SVM classifier was utilized to evaluate the significance of extracted features, and the most significant four features were selected to calculate SVM score for each patient., Results: Gross total resection (Simpson grades I–III) was performed in 93 (93/128, 72.7%) patients, and 19 (19/128, 14.8%) patients had P/R after surgery. Subtotal tumor resection, bone invasion, low apparent diffusion coefficient (ADC) value, and high SVM score were more frequently encountered in the P/R group (p &lt; 0.05). In multivariate Cox hazards analysis, bone invasion, ADC value, and SVM score were high-risk factors for P/R (p &lt; 0.05) with hazard ratios of 7.31, 4.67, and 8.13, respectively. Using the SVM score, an AUC of 0.80 with optimal cutoff value of 0.224 was obtained for predicting P/R. Patients with higher SVM scores were associated with shorter progression-free survival (p = 0.003)., Conclusions: Our preliminary results showed that pre-operative MR radiomic features may have the potential to offer valuable information in treatment planning for meningiomas.","container-title":"Frontiers in Neurology","DOI":"10.3389/fneur.2021.636235","ISSN":"1664-2295","journalAbbreviation":"Front Neurol","note":"PMID: 34054688\nPMCID: PMC8160291","page":"636235","source":"PubMed Central","title":"Pre-operative MRI Radiomics for the Prediction of Progression and Recurrence in Meningiomas","volume":"12","author":[{"family":"Ko","given":"Ching-Chung"},{"family":"Zhang","given":"Yang"},{"family":"Chen","given":"Jeon-Hor"},{"family":"Chang","given":"Kai-Ting"},{"family":"Chen","given":"Tai-Yuan"},{"family":"Lim","given":"Sher-Wei"},{"family":"Wu","given":"Te-Chang"},{"family":"Su","given":"Min-Ying"}],"issued":{"date-parts":[["2021",5,14]]}}},{"id":"svD7oopY/iF4hxrZu","uris":["http://zotero.org/users/local/QyjW9PVm/items/8C745QS3"],"itemData":{"id":"n4yV8hi8/WQAsmeMa","type":"article-journal","abstract":"Risk stratification of meningiomas by histopathological grade alone does not reliably predict which patients will progress/recur after treatment. We sought to determine whether preoperative imaging and clinical characteristics could predict histopathological grade and/or improve prognostication of progression/recurrence (P/R).We retrospectively reviewed preoperative MR and CT imaging features of 144 patients divided into low-grade (2007 WHO grade I; n = 118) and high-grade (2007 WHO grades II/III; n = 26) groups that underwent surgery between 2002 and 2013 (median follow-up of 49 months).Multivariate analysis demonstrated that the risk factors most strongly associated with high-grade histopathology were male sex, low apparent diffusion coefficient (ADC), absent calcification, and high peritumoral edema. Remarkably, multivariate Cox proportional hazards analysis demonstrated that, in combination with extent of resection, ADC outperformed WHO histopathological grade for predicting which patients will suffer P/R after initial treatment. Stratification of patients into 3 risk groups based on non-Simpson grade I resection and low ADC as risk factors correlated with the likelihood of P/R (P &amp;lt; .001). The high-risk group (2 risk factors; n = 39) had a 45% cumulative incidence of P/R, whereas the low-risk group (0 risk factors; n = 31) had no P/R events at 5 years after treatment. Independent of histopathological grade, high-risk patients who received adjuvant radiotherapy had a lower 5-year crude rate of P/R than those without (17% vs 59%; P = .04).Patients with non-Simpson grade I resection and low ADC meningiomas are at significantly increased risk of P/R and may benefit from adjuvant radiotherapy and/or additional surgery.","container-title":"Neuro-Oncology","DOI":"10.1093/neuonc/nov285","ISSN":"1522-8517","issue":"6","journalAbbreviation":"Neuro-Oncology","page":"863-872","source":"Silverchair","title":"Imaging and extent of surgical resection predict risk of meningioma recurrence better than WHO histopathological grade","volume":"18","author":[{"family":"Hwang","given":"William L."},{"family":"Marciscano","given":"Ariel E."},{"family":"Niemierko","given":"Andrzej"},{"family":"Kim","given":"Daniel W."},{"family":"Stemmer-Rachamimov","given":"Anat O."},{"family":"Curry","given":"William T."},{"family":"Barker","given":"Fred G.","suffix":"II"},{"family":"Martuza","given":"Robert L."},{"family":"Loeffler","given":"Jay S."},{"family":"Oh","given":"Kevin S."},{"family":"Shih","given":"Helen A."},{"family":"Larvie","given":"Mykol"}],"issued":{"date-parts":[["2016",6,1]]}}}],"schema":"https://github.com/citation-style-language/schema/raw/master/csl-citation.json"} </w:instrText>
      </w:r>
      <w:r w:rsidR="0068664A">
        <w:rPr>
          <w:sz w:val="22"/>
        </w:rPr>
        <w:fldChar w:fldCharType="separate"/>
      </w:r>
      <w:r w:rsidR="003F0A3F" w:rsidRPr="003F0A3F">
        <w:rPr>
          <w:rFonts w:ascii="Calibri" w:hAnsi="Calibri" w:cs="Calibri"/>
          <w:sz w:val="22"/>
        </w:rPr>
        <w:t>(10,13–15)</w:t>
      </w:r>
      <w:r w:rsidR="0068664A">
        <w:rPr>
          <w:sz w:val="22"/>
        </w:rPr>
        <w:fldChar w:fldCharType="end"/>
      </w:r>
      <w:r w:rsidR="006F3EA5">
        <w:rPr>
          <w:sz w:val="22"/>
        </w:rPr>
        <w:t>.</w:t>
      </w:r>
      <w:r w:rsidR="00C126DA">
        <w:rPr>
          <w:sz w:val="22"/>
        </w:rPr>
        <w:t xml:space="preserve"> </w:t>
      </w:r>
      <w:r w:rsidR="00517300">
        <w:rPr>
          <w:sz w:val="22"/>
        </w:rPr>
        <w:t xml:space="preserve">In our study, of the four patients who received </w:t>
      </w:r>
      <w:r w:rsidR="00C126DA">
        <w:rPr>
          <w:sz w:val="22"/>
        </w:rPr>
        <w:t>radiation treatment, one continued to have meningioma growth requiring salvage surgery and eventually transforming into a WHO grade 3</w:t>
      </w:r>
      <w:r w:rsidR="00517300">
        <w:rPr>
          <w:sz w:val="22"/>
        </w:rPr>
        <w:t xml:space="preserve"> meningioma</w:t>
      </w:r>
      <w:r w:rsidR="00C126DA">
        <w:rPr>
          <w:sz w:val="22"/>
        </w:rPr>
        <w:t xml:space="preserve">. </w:t>
      </w:r>
      <w:r w:rsidR="002B760D">
        <w:rPr>
          <w:sz w:val="22"/>
        </w:rPr>
        <w:t xml:space="preserve"> </w:t>
      </w:r>
      <w:r w:rsidR="00517300">
        <w:rPr>
          <w:sz w:val="22"/>
        </w:rPr>
        <w:t xml:space="preserve">The patient also had another meningioma resected which was grade 1. This highlights that some sporadic multiple meningioma can have a more aggressive clinical course, and be of different grades and with different genomic changes </w:t>
      </w:r>
      <w:r w:rsidR="00517300">
        <w:rPr>
          <w:sz w:val="22"/>
        </w:rPr>
        <w:fldChar w:fldCharType="begin"/>
      </w:r>
      <w:r w:rsidR="00201509">
        <w:rPr>
          <w:sz w:val="22"/>
        </w:rPr>
        <w:instrText xml:space="preserve"> ADDIN ZOTERO_ITEM CSL_CITATION {"citationID":"O1ZlRyay","properties":{"formattedCitation":"(17)","plainCitation":"(17)","noteIndex":0},"citationItems":[{"id":"svD7oopY/6zOVvyjG","uris":["http://zotero.org/users/local/QyjW9PVm/items/BUK9RD5X"],"itemData":{"id":202,"type":"article-journal","container-title":"Acta Neuropathologica Communications","DOI":"10.1186/s40478-020-01113-2","ISSN":"2051-5960","issue":"1","journalAbbreviation":"acta neuropathol commun","language":"en","page":"8","source":"Springer Link","title":"Sporadic multiple meningiomas harbor distinct driver mutations","volume":"9","author":[{"family":"Juratli","given":"Tareq A."},{"family":"Prilop","given":"Insa"},{"family":"Saalfeld","given":"Felix C."},{"family":"Herold","given":"Sylvia"},{"family":"Meinhardt","given":"Matthias"},{"family":"Wenzel","given":"Carina"},{"family":"Zeugner","given":"Silke"},{"family":"Aust","given":"Daniela E."},{"family":"Barker","given":"Fred G."},{"family":"Cahill","given":"Daniel P."},{"family":"Brastianos","given":"Priscilla K."},{"family":"Santagata","given":"Sandro"},{"family":"Schackert","given":"Gabriele"},{"family":"Pinzer","given":"Thomas"}],"issued":{"date-parts":[["2021",1,6]]}}}],"schema":"https://github.com/citation-style-language/schema/raw/master/csl-citation.json"} </w:instrText>
      </w:r>
      <w:r w:rsidR="00517300">
        <w:rPr>
          <w:sz w:val="22"/>
        </w:rPr>
        <w:fldChar w:fldCharType="separate"/>
      </w:r>
      <w:r w:rsidR="003F0A3F">
        <w:rPr>
          <w:rFonts w:ascii="Calibri" w:hAnsi="Calibri" w:cs="Calibri"/>
          <w:sz w:val="22"/>
        </w:rPr>
        <w:t>(17)</w:t>
      </w:r>
      <w:r w:rsidR="00517300">
        <w:rPr>
          <w:sz w:val="22"/>
        </w:rPr>
        <w:fldChar w:fldCharType="end"/>
      </w:r>
      <w:r w:rsidR="00517300">
        <w:rPr>
          <w:sz w:val="22"/>
        </w:rPr>
        <w:t xml:space="preserve">. </w:t>
      </w:r>
    </w:p>
    <w:p w14:paraId="016B14EE" w14:textId="1FB5F269" w:rsidR="009D6FB9" w:rsidRPr="009D6FB9" w:rsidRDefault="009D6FB9" w:rsidP="0007491E">
      <w:pPr>
        <w:pStyle w:val="Heading2"/>
        <w:spacing w:line="360" w:lineRule="auto"/>
        <w:jc w:val="both"/>
        <w:rPr>
          <w:rFonts w:asciiTheme="minorHAnsi" w:hAnsiTheme="minorHAnsi" w:cstheme="minorHAnsi"/>
          <w:color w:val="auto"/>
          <w:sz w:val="24"/>
          <w:szCs w:val="24"/>
          <w:u w:val="single"/>
        </w:rPr>
      </w:pPr>
      <w:r w:rsidRPr="009D6FB9">
        <w:rPr>
          <w:rFonts w:asciiTheme="minorHAnsi" w:hAnsiTheme="minorHAnsi" w:cstheme="minorHAnsi"/>
          <w:color w:val="auto"/>
          <w:sz w:val="24"/>
          <w:szCs w:val="24"/>
          <w:u w:val="single"/>
        </w:rPr>
        <w:t>Role of genetic testing in patients with multiple meningioma</w:t>
      </w:r>
    </w:p>
    <w:p w14:paraId="6153936E" w14:textId="420D8AC7" w:rsidR="001B541D" w:rsidRDefault="00517300" w:rsidP="0007491E">
      <w:pPr>
        <w:spacing w:line="360" w:lineRule="auto"/>
        <w:jc w:val="both"/>
        <w:rPr>
          <w:sz w:val="22"/>
        </w:rPr>
      </w:pPr>
      <w:r>
        <w:rPr>
          <w:sz w:val="22"/>
        </w:rPr>
        <w:t xml:space="preserve">The patients with </w:t>
      </w:r>
      <w:r w:rsidR="00447CAE">
        <w:rPr>
          <w:sz w:val="22"/>
        </w:rPr>
        <w:t xml:space="preserve">multiple meningioma </w:t>
      </w:r>
      <w:r>
        <w:rPr>
          <w:sz w:val="22"/>
        </w:rPr>
        <w:t xml:space="preserve">in our study did not have other </w:t>
      </w:r>
      <w:r w:rsidR="00447CAE">
        <w:rPr>
          <w:sz w:val="22"/>
        </w:rPr>
        <w:t>syndrom</w:t>
      </w:r>
      <w:r w:rsidR="00A12EFD">
        <w:rPr>
          <w:sz w:val="22"/>
        </w:rPr>
        <w:t xml:space="preserve">ic features (e.g., </w:t>
      </w:r>
      <w:r w:rsidR="00447CAE">
        <w:rPr>
          <w:sz w:val="22"/>
        </w:rPr>
        <w:t>NF2-schwannomatosis</w:t>
      </w:r>
      <w:r w:rsidR="00A12EFD">
        <w:rPr>
          <w:sz w:val="22"/>
        </w:rPr>
        <w:t xml:space="preserve">) and therefore </w:t>
      </w:r>
      <w:r w:rsidR="00447CAE">
        <w:rPr>
          <w:sz w:val="22"/>
        </w:rPr>
        <w:t xml:space="preserve">genetic testing was not performed. </w:t>
      </w:r>
      <w:r w:rsidR="00A12EFD">
        <w:rPr>
          <w:sz w:val="22"/>
        </w:rPr>
        <w:t>A</w:t>
      </w:r>
      <w:r w:rsidR="00447CAE">
        <w:rPr>
          <w:sz w:val="22"/>
        </w:rPr>
        <w:t xml:space="preserve"> recent study of 152 patients with multiple meningioma</w:t>
      </w:r>
      <w:r w:rsidR="00307DDD">
        <w:rPr>
          <w:sz w:val="22"/>
        </w:rPr>
        <w:t xml:space="preserve"> alone</w:t>
      </w:r>
      <w:r w:rsidR="00447CAE">
        <w:rPr>
          <w:sz w:val="22"/>
        </w:rPr>
        <w:t xml:space="preserve">, </w:t>
      </w:r>
      <w:r w:rsidR="00BC5A7B">
        <w:rPr>
          <w:sz w:val="22"/>
        </w:rPr>
        <w:t xml:space="preserve">reported that </w:t>
      </w:r>
      <w:r w:rsidR="00447CAE">
        <w:rPr>
          <w:sz w:val="22"/>
        </w:rPr>
        <w:t xml:space="preserve">7% </w:t>
      </w:r>
      <w:r w:rsidR="00307DDD">
        <w:rPr>
          <w:sz w:val="22"/>
        </w:rPr>
        <w:t xml:space="preserve">and 5% </w:t>
      </w:r>
      <w:r w:rsidR="00447CAE">
        <w:rPr>
          <w:sz w:val="22"/>
        </w:rPr>
        <w:t xml:space="preserve">had </w:t>
      </w:r>
      <w:r w:rsidR="0068664A">
        <w:rPr>
          <w:sz w:val="22"/>
        </w:rPr>
        <w:t>pathogenic variants</w:t>
      </w:r>
      <w:r w:rsidR="00447CAE">
        <w:rPr>
          <w:sz w:val="22"/>
        </w:rPr>
        <w:t xml:space="preserve"> in </w:t>
      </w:r>
      <w:r w:rsidR="00307DDD">
        <w:rPr>
          <w:sz w:val="22"/>
        </w:rPr>
        <w:t xml:space="preserve">the </w:t>
      </w:r>
      <w:r w:rsidR="00447CAE" w:rsidRPr="00447CAE">
        <w:rPr>
          <w:i/>
          <w:iCs/>
          <w:sz w:val="22"/>
        </w:rPr>
        <w:t>NF2</w:t>
      </w:r>
      <w:r w:rsidR="00447CAE">
        <w:rPr>
          <w:i/>
          <w:iCs/>
          <w:sz w:val="22"/>
        </w:rPr>
        <w:t xml:space="preserve"> </w:t>
      </w:r>
      <w:r w:rsidR="00307DDD">
        <w:rPr>
          <w:sz w:val="22"/>
        </w:rPr>
        <w:t xml:space="preserve">and </w:t>
      </w:r>
      <w:r w:rsidR="00447CAE" w:rsidRPr="00447CAE">
        <w:rPr>
          <w:i/>
          <w:iCs/>
          <w:sz w:val="22"/>
        </w:rPr>
        <w:t>SMARCB1</w:t>
      </w:r>
      <w:r w:rsidR="00307DDD">
        <w:rPr>
          <w:i/>
          <w:iCs/>
          <w:sz w:val="22"/>
        </w:rPr>
        <w:t xml:space="preserve"> </w:t>
      </w:r>
      <w:r w:rsidR="00307DDD">
        <w:rPr>
          <w:sz w:val="22"/>
        </w:rPr>
        <w:t>genes, respectively</w:t>
      </w:r>
      <w:r w:rsidR="00A86923">
        <w:rPr>
          <w:sz w:val="22"/>
        </w:rPr>
        <w:t xml:space="preserve"> </w:t>
      </w:r>
      <w:r w:rsidR="00A86923">
        <w:rPr>
          <w:sz w:val="22"/>
        </w:rPr>
        <w:fldChar w:fldCharType="begin"/>
      </w:r>
      <w:r w:rsidR="00201509">
        <w:rPr>
          <w:sz w:val="22"/>
        </w:rPr>
        <w:instrText xml:space="preserve"> ADDIN ZOTERO_ITEM CSL_CITATION {"citationID":"qts6nBmi","properties":{"formattedCitation":"(18)","plainCitation":"(18)","noteIndex":0},"citationItems":[{"id":"svD7oopY/ALlglOmI","uris":["http://zotero.org/users/local/QyjW9PVm/items/QKV8MQAN"],"itemData":{"id":131,"type":"article-journal","abstract":"Export\n          \n        BACKGROUND: \n        Bilateral vestibular schwannomas (VS) are pathognomonic of neurofibromatosis type 2 (NF2), but the diagnostic criteria also include unilateral VS (UVS) in combination with multiple meningiomas (MM) and other schwannomas, as well as MM without VS.\n        OBJECTIVE: \n        To investigate the diagnostic value of these criteria and establish the presence of other genetic conditions in patients presenting in t</w:instrText>
      </w:r>
      <w:r w:rsidR="00201509">
        <w:rPr>
          <w:rFonts w:hint="eastAsia"/>
          <w:sz w:val="22"/>
        </w:rPr>
        <w:instrText xml:space="preserve">his manner.\n        METHODS: \n        The Manchester International NF2 database was accessed to obtain information on patients presenting with a UVS and MM or </w:instrText>
      </w:r>
      <w:r w:rsidR="00201509">
        <w:rPr>
          <w:rFonts w:hint="eastAsia"/>
          <w:sz w:val="22"/>
        </w:rPr>
        <w:instrText>≥</w:instrText>
      </w:r>
      <w:r w:rsidR="00201509">
        <w:rPr>
          <w:rFonts w:hint="eastAsia"/>
          <w:sz w:val="22"/>
        </w:rPr>
        <w:instrText>2 nonintradermal schwannomas (NIDS). We gathered data on patients diagnosed with NF2 due to M</w:instrText>
      </w:r>
      <w:r w:rsidR="00201509">
        <w:rPr>
          <w:sz w:val="22"/>
        </w:rPr>
        <w:instrText xml:space="preserve">M without VS and on patients presenting with MM without meeting NF2 criteria. Analysis was performed for pathogenic variants (PVs) in NF2, SMARCE1, SMARCB1, and LZTR1.\n        RESULTS: \n        A total of 31 of 131 patients presenting with a UVS and MM </w:instrText>
      </w:r>
      <w:r w:rsidR="00201509">
        <w:rPr>
          <w:rFonts w:hint="eastAsia"/>
          <w:sz w:val="22"/>
        </w:rPr>
        <w:instrText xml:space="preserve">had a nonrefuted diagnosis of NF2 after molecular studies, in comparison with 85 of 96 patients presenting with UVS and </w:instrText>
      </w:r>
      <w:r w:rsidR="00201509">
        <w:rPr>
          <w:rFonts w:hint="eastAsia"/>
          <w:sz w:val="22"/>
        </w:rPr>
        <w:instrText>≥</w:instrText>
      </w:r>
      <w:r w:rsidR="00201509">
        <w:rPr>
          <w:rFonts w:hint="eastAsia"/>
          <w:sz w:val="22"/>
        </w:rPr>
        <w:instrText xml:space="preserve">2 NIDS (P </w:instrText>
      </w:r>
      <w:r w:rsidR="00201509">
        <w:rPr>
          <w:rFonts w:hint="eastAsia"/>
          <w:sz w:val="22"/>
        </w:rPr>
        <w:instrText>≤</w:instrText>
      </w:r>
      <w:r w:rsidR="00201509">
        <w:rPr>
          <w:rFonts w:hint="eastAsia"/>
          <w:sz w:val="22"/>
        </w:rPr>
        <w:instrText xml:space="preserve"> .00001). Fifty percent of patients presenting with a UVS and </w:instrText>
      </w:r>
      <w:r w:rsidR="00201509">
        <w:rPr>
          <w:rFonts w:hint="eastAsia"/>
          <w:sz w:val="22"/>
        </w:rPr>
        <w:instrText>≥</w:instrText>
      </w:r>
      <w:r w:rsidR="00201509">
        <w:rPr>
          <w:rFonts w:hint="eastAsia"/>
          <w:sz w:val="22"/>
        </w:rPr>
        <w:instrText>2 NIDS with NF2 developed bilateral VS, compared with only 2</w:instrText>
      </w:r>
      <w:r w:rsidR="00201509">
        <w:rPr>
          <w:sz w:val="22"/>
        </w:rPr>
        <w:instrText>6% of those who presented with a UVS and MM (P = .0046). In total, 11 of 152 patients presenting with MM without fulfilling NF2 criteria were found to have a PV in SMARCE1, and 7 of 152 were confirmed to have mosaic NF2.\n        CONCLUSION: \n        Pat</w:instrText>
      </w:r>
      <w:r w:rsidR="00201509">
        <w:rPr>
          <w:rFonts w:hint="eastAsia"/>
          <w:sz w:val="22"/>
        </w:rPr>
        <w:instrText xml:space="preserve">ients presenting with UVS and MM are significantly more likely to have a nonrefuted diagnosis of NF2 than patients presenting with UVS and </w:instrText>
      </w:r>
      <w:r w:rsidR="00201509">
        <w:rPr>
          <w:rFonts w:hint="eastAsia"/>
          <w:sz w:val="22"/>
        </w:rPr>
        <w:instrText>≥</w:instrText>
      </w:r>
      <w:r w:rsidR="00201509">
        <w:rPr>
          <w:rFonts w:hint="eastAsia"/>
          <w:sz w:val="22"/>
        </w:rPr>
        <w:instrText>2 NIDS, but significantly less likely to develop bilateral VS. Seven percent of those presenting with MM without me</w:instrText>
      </w:r>
      <w:r w:rsidR="00201509">
        <w:rPr>
          <w:sz w:val="22"/>
        </w:rPr>
        <w:instrText xml:space="preserve">eting NF2 criteria had PV in SMARCE1, and 5% had mosaic NF2.","container-title":"Neurosurgery","DOI":"10.1227/neu.0000000000001926","ISSN":"0148-396X","issue":"6","language":"en-US","page":"793–799","source":"journals.lww.com","title":"Multiple Meningiomas as a Criterion for the Diagnosis of Neurofibromatosis Type 2 and Other Tumor Predisposition Syndromes","volume":"90","author":[{"family":"Hannan","given":"Cathal John"},{"family":"Hammerbeck-Ward","given":"Charlotte"},{"family":"Pathmanaban","given":"Omar Nathan"},{"family":"Smith","given":"Miriam J."},{"family":"Rutherford","given":"Scott A."},{"family":"Lloyd","given":"Simon K."},{"family":"Mackenzie Freeman","given":"Simon Richard"},{"family":"Wallace","given":"Andrew J."},{"family":"King","given":"Andrew Thomas"},{"family":"Richard Evans","given":"Dafydd Gareth"}],"issued":{"date-parts":[["2022",6]]}}}],"schema":"https://github.com/citation-style-language/schema/raw/master/csl-citation.json"} </w:instrText>
      </w:r>
      <w:r w:rsidR="00A86923">
        <w:rPr>
          <w:sz w:val="22"/>
        </w:rPr>
        <w:fldChar w:fldCharType="separate"/>
      </w:r>
      <w:r w:rsidR="003F0A3F">
        <w:rPr>
          <w:rFonts w:ascii="Calibri" w:hAnsi="Calibri" w:cs="Calibri"/>
          <w:sz w:val="22"/>
        </w:rPr>
        <w:t>(18)</w:t>
      </w:r>
      <w:r w:rsidR="00A86923">
        <w:rPr>
          <w:sz w:val="22"/>
        </w:rPr>
        <w:fldChar w:fldCharType="end"/>
      </w:r>
      <w:r w:rsidR="00447CAE">
        <w:rPr>
          <w:i/>
          <w:iCs/>
          <w:sz w:val="22"/>
        </w:rPr>
        <w:t xml:space="preserve">. </w:t>
      </w:r>
      <w:r w:rsidR="00447CAE">
        <w:rPr>
          <w:sz w:val="22"/>
        </w:rPr>
        <w:t xml:space="preserve">These finding are of importance as they would </w:t>
      </w:r>
      <w:r w:rsidR="00307DDD">
        <w:rPr>
          <w:sz w:val="22"/>
        </w:rPr>
        <w:t xml:space="preserve">implicate family members and likely influence the development of further meningioma and intracranial tumors such as vestibular schwannoma. </w:t>
      </w:r>
      <w:r w:rsidR="00805399">
        <w:rPr>
          <w:sz w:val="22"/>
        </w:rPr>
        <w:t xml:space="preserve">In the </w:t>
      </w:r>
      <w:r w:rsidR="00BC5A7B">
        <w:rPr>
          <w:sz w:val="22"/>
        </w:rPr>
        <w:t xml:space="preserve">aforementioned </w:t>
      </w:r>
      <w:r w:rsidR="00805399">
        <w:rPr>
          <w:sz w:val="22"/>
        </w:rPr>
        <w:t xml:space="preserve">study, </w:t>
      </w:r>
      <w:r w:rsidR="00805399" w:rsidRPr="00805399">
        <w:rPr>
          <w:i/>
          <w:iCs/>
          <w:sz w:val="22"/>
        </w:rPr>
        <w:t>SMARCB1</w:t>
      </w:r>
      <w:r w:rsidR="00805399">
        <w:rPr>
          <w:sz w:val="22"/>
        </w:rPr>
        <w:t xml:space="preserve"> was found mostly in patients with </w:t>
      </w:r>
      <w:r w:rsidR="00BC5A7B">
        <w:rPr>
          <w:sz w:val="22"/>
        </w:rPr>
        <w:t>both</w:t>
      </w:r>
      <w:r w:rsidR="00805399">
        <w:rPr>
          <w:sz w:val="22"/>
        </w:rPr>
        <w:t xml:space="preserve"> cranial and spinal meningioma</w:t>
      </w:r>
      <w:r w:rsidR="00BC5A7B">
        <w:rPr>
          <w:sz w:val="22"/>
        </w:rPr>
        <w:t xml:space="preserve"> </w:t>
      </w:r>
      <w:r w:rsidR="00BC5A7B">
        <w:rPr>
          <w:sz w:val="22"/>
        </w:rPr>
        <w:fldChar w:fldCharType="begin"/>
      </w:r>
      <w:r w:rsidR="00201509">
        <w:rPr>
          <w:sz w:val="22"/>
        </w:rPr>
        <w:instrText xml:space="preserve"> ADDIN ZOTERO_ITEM CSL_CITATION {"citationID":"7hxW9N7Z","properties":{"formattedCitation":"(18)","plainCitation":"(18)","noteIndex":0},"citationItems":[{"id":"svD7oopY/ALlglOmI","uris":["http://zotero.org/users/local/QyjW9PVm/items/QKV8MQAN"],"itemData":{"id":131,"type":"article-journal","abstract":"Export\n          \n        BACKGROUND: \n        Bilateral vestibular schwannomas (VS) are pathognomonic of neurofibromatosis type 2 (NF2), but the diagnostic criteria also include unilateral VS (UVS) in combination with multiple meningiomas (MM) and other schwannomas, as well as MM without VS.\n        OBJECTIVE: \n        To investigate the diagnostic value of these criteria and establish the presence of other genetic conditions in patients presenting in t</w:instrText>
      </w:r>
      <w:r w:rsidR="00201509">
        <w:rPr>
          <w:rFonts w:hint="eastAsia"/>
          <w:sz w:val="22"/>
        </w:rPr>
        <w:instrText xml:space="preserve">his manner.\n        METHODS: \n        The Manchester International NF2 database was accessed to obtain information on patients presenting with a UVS and MM or </w:instrText>
      </w:r>
      <w:r w:rsidR="00201509">
        <w:rPr>
          <w:rFonts w:hint="eastAsia"/>
          <w:sz w:val="22"/>
        </w:rPr>
        <w:instrText>≥</w:instrText>
      </w:r>
      <w:r w:rsidR="00201509">
        <w:rPr>
          <w:rFonts w:hint="eastAsia"/>
          <w:sz w:val="22"/>
        </w:rPr>
        <w:instrText>2 nonintradermal schwannomas (NIDS). We gathered data on patients diagnosed with NF2 due to M</w:instrText>
      </w:r>
      <w:r w:rsidR="00201509">
        <w:rPr>
          <w:sz w:val="22"/>
        </w:rPr>
        <w:instrText xml:space="preserve">M without VS and on patients presenting with MM without meeting NF2 criteria. Analysis was performed for pathogenic variants (PVs) in NF2, SMARCE1, SMARCB1, and LZTR1.\n        RESULTS: \n        A total of 31 of 131 patients presenting with a UVS and MM </w:instrText>
      </w:r>
      <w:r w:rsidR="00201509">
        <w:rPr>
          <w:rFonts w:hint="eastAsia"/>
          <w:sz w:val="22"/>
        </w:rPr>
        <w:instrText xml:space="preserve">had a nonrefuted diagnosis of NF2 after molecular studies, in comparison with 85 of 96 patients presenting with UVS and </w:instrText>
      </w:r>
      <w:r w:rsidR="00201509">
        <w:rPr>
          <w:rFonts w:hint="eastAsia"/>
          <w:sz w:val="22"/>
        </w:rPr>
        <w:instrText>≥</w:instrText>
      </w:r>
      <w:r w:rsidR="00201509">
        <w:rPr>
          <w:rFonts w:hint="eastAsia"/>
          <w:sz w:val="22"/>
        </w:rPr>
        <w:instrText xml:space="preserve">2 NIDS (P </w:instrText>
      </w:r>
      <w:r w:rsidR="00201509">
        <w:rPr>
          <w:rFonts w:hint="eastAsia"/>
          <w:sz w:val="22"/>
        </w:rPr>
        <w:instrText>≤</w:instrText>
      </w:r>
      <w:r w:rsidR="00201509">
        <w:rPr>
          <w:rFonts w:hint="eastAsia"/>
          <w:sz w:val="22"/>
        </w:rPr>
        <w:instrText xml:space="preserve"> .00001). Fifty percent of patients presenting with a UVS and </w:instrText>
      </w:r>
      <w:r w:rsidR="00201509">
        <w:rPr>
          <w:rFonts w:hint="eastAsia"/>
          <w:sz w:val="22"/>
        </w:rPr>
        <w:instrText>≥</w:instrText>
      </w:r>
      <w:r w:rsidR="00201509">
        <w:rPr>
          <w:rFonts w:hint="eastAsia"/>
          <w:sz w:val="22"/>
        </w:rPr>
        <w:instrText>2 NIDS with NF2 developed bilateral VS, compared with only 2</w:instrText>
      </w:r>
      <w:r w:rsidR="00201509">
        <w:rPr>
          <w:sz w:val="22"/>
        </w:rPr>
        <w:instrText>6% of those who presented with a UVS and MM (P = .0046). In total, 11 of 152 patients presenting with MM without fulfilling NF2 criteria were found to have a PV in SMARCE1, and 7 of 152 were confirmed to have mosaic NF2.\n        CONCLUSION: \n        Pat</w:instrText>
      </w:r>
      <w:r w:rsidR="00201509">
        <w:rPr>
          <w:rFonts w:hint="eastAsia"/>
          <w:sz w:val="22"/>
        </w:rPr>
        <w:instrText xml:space="preserve">ients presenting with UVS and MM are significantly more likely to have a nonrefuted diagnosis of NF2 than patients presenting with UVS and </w:instrText>
      </w:r>
      <w:r w:rsidR="00201509">
        <w:rPr>
          <w:rFonts w:hint="eastAsia"/>
          <w:sz w:val="22"/>
        </w:rPr>
        <w:instrText>≥</w:instrText>
      </w:r>
      <w:r w:rsidR="00201509">
        <w:rPr>
          <w:rFonts w:hint="eastAsia"/>
          <w:sz w:val="22"/>
        </w:rPr>
        <w:instrText>2 NIDS, but significantly less likely to develop bilateral VS. Seven percent of those presenting with MM without me</w:instrText>
      </w:r>
      <w:r w:rsidR="00201509">
        <w:rPr>
          <w:sz w:val="22"/>
        </w:rPr>
        <w:instrText xml:space="preserve">eting NF2 criteria had PV in SMARCE1, and 5% had mosaic NF2.","container-title":"Neurosurgery","DOI":"10.1227/neu.0000000000001926","ISSN":"0148-396X","issue":"6","language":"en-US","page":"793–799","source":"journals.lww.com","title":"Multiple Meningiomas as a Criterion for the Diagnosis of Neurofibromatosis Type 2 and Other Tumor Predisposition Syndromes","volume":"90","author":[{"family":"Hannan","given":"Cathal John"},{"family":"Hammerbeck-Ward","given":"Charlotte"},{"family":"Pathmanaban","given":"Omar Nathan"},{"family":"Smith","given":"Miriam J."},{"family":"Rutherford","given":"Scott A."},{"family":"Lloyd","given":"Simon K."},{"family":"Mackenzie Freeman","given":"Simon Richard"},{"family":"Wallace","given":"Andrew J."},{"family":"King","given":"Andrew Thomas"},{"family":"Richard Evans","given":"Dafydd Gareth"}],"issued":{"date-parts":[["2022",6]]}}}],"schema":"https://github.com/citation-style-language/schema/raw/master/csl-citation.json"} </w:instrText>
      </w:r>
      <w:r w:rsidR="00BC5A7B">
        <w:rPr>
          <w:sz w:val="22"/>
        </w:rPr>
        <w:fldChar w:fldCharType="separate"/>
      </w:r>
      <w:r w:rsidR="003F0A3F">
        <w:rPr>
          <w:rFonts w:ascii="Calibri" w:hAnsi="Calibri" w:cs="Calibri"/>
          <w:sz w:val="22"/>
        </w:rPr>
        <w:t>(18)</w:t>
      </w:r>
      <w:r w:rsidR="00BC5A7B">
        <w:rPr>
          <w:sz w:val="22"/>
        </w:rPr>
        <w:fldChar w:fldCharType="end"/>
      </w:r>
      <w:r w:rsidR="00805399">
        <w:rPr>
          <w:sz w:val="22"/>
        </w:rPr>
        <w:t xml:space="preserve">. Moreover, their population was younger (median age 46 vs </w:t>
      </w:r>
      <w:r w:rsidR="000B4060">
        <w:rPr>
          <w:sz w:val="22"/>
        </w:rPr>
        <w:t>58 years) and therefore more likely to hav</w:t>
      </w:r>
      <w:r w:rsidR="00A86923">
        <w:rPr>
          <w:sz w:val="22"/>
        </w:rPr>
        <w:t>e</w:t>
      </w:r>
      <w:r w:rsidR="000B4060">
        <w:rPr>
          <w:sz w:val="22"/>
        </w:rPr>
        <w:t xml:space="preserve"> a tumor predisposition syndrome </w:t>
      </w:r>
      <w:r w:rsidR="00650D61">
        <w:rPr>
          <w:sz w:val="22"/>
        </w:rPr>
        <w:fldChar w:fldCharType="begin"/>
      </w:r>
      <w:r w:rsidR="00201509">
        <w:rPr>
          <w:sz w:val="22"/>
        </w:rPr>
        <w:instrText xml:space="preserve"> ADDIN ZOTERO_ITEM CSL_CITATION {"citationID":"mA4KgqpA","properties":{"formattedCitation":"(18,19)","plainCitation":"(18,19)","noteIndex":0},"citationItems":[{"id":"svD7oopY/ALlglOmI","uris":["http://zotero.org/users/local/QyjW9PVm/items/QKV8MQAN"],"itemData":{"id":"n4yV8hi8/mAmtgC8f","type":"article-journal","abstract":"Export\n          \n        BACKGROUND: \n        Bilateral vestibular schwannomas (VS) are pathognomonic of neurofibromatosis type 2 (NF2), but the diagnostic criteria also include unilateral VS (UVS) in combination with multiple meningiomas (MM) and other schwannomas, as well as MM without VS.\n        OBJECTIVE: \n        To investigate the diagnostic value of these criteria and establish the presence of other genetic conditions in pa</w:instrText>
      </w:r>
      <w:r w:rsidR="00201509">
        <w:rPr>
          <w:rFonts w:hint="eastAsia"/>
          <w:sz w:val="22"/>
        </w:rPr>
        <w:instrText xml:space="preserve">tients presenting in this manner.\n        METHODS: \n        The Manchester International NF2 database was accessed to obtain information on patients presenting with a UVS and MM or </w:instrText>
      </w:r>
      <w:r w:rsidR="00201509">
        <w:rPr>
          <w:rFonts w:hint="eastAsia"/>
          <w:sz w:val="22"/>
        </w:rPr>
        <w:instrText>≥</w:instrText>
      </w:r>
      <w:r w:rsidR="00201509">
        <w:rPr>
          <w:rFonts w:hint="eastAsia"/>
          <w:sz w:val="22"/>
        </w:rPr>
        <w:instrText>2 nonintradermal schwannomas (NIDS). We gathered data on patients diagn</w:instrText>
      </w:r>
      <w:r w:rsidR="00201509">
        <w:rPr>
          <w:sz w:val="22"/>
        </w:rPr>
        <w:instrText>osed with NF2 due to MM without VS and on patients presenting with MM without meeting NF2 criteria. Analysis was performed for pathogenic variants (PVs) in NF2, SMARCE1, SMARCB1, and LZTR1.\n        RESULTS: \n        A total of 31 of 131 patients present</w:instrText>
      </w:r>
      <w:r w:rsidR="00201509">
        <w:rPr>
          <w:rFonts w:hint="eastAsia"/>
          <w:sz w:val="22"/>
        </w:rPr>
        <w:instrText xml:space="preserve">ing with a UVS and MM had a nonrefuted diagnosis of NF2 after molecular studies, in comparison with 85 of 96 patients presenting with UVS and </w:instrText>
      </w:r>
      <w:r w:rsidR="00201509">
        <w:rPr>
          <w:rFonts w:hint="eastAsia"/>
          <w:sz w:val="22"/>
        </w:rPr>
        <w:instrText>≥</w:instrText>
      </w:r>
      <w:r w:rsidR="00201509">
        <w:rPr>
          <w:rFonts w:hint="eastAsia"/>
          <w:sz w:val="22"/>
        </w:rPr>
        <w:instrText xml:space="preserve">2 NIDS (P </w:instrText>
      </w:r>
      <w:r w:rsidR="00201509">
        <w:rPr>
          <w:rFonts w:hint="eastAsia"/>
          <w:sz w:val="22"/>
        </w:rPr>
        <w:instrText>≤</w:instrText>
      </w:r>
      <w:r w:rsidR="00201509">
        <w:rPr>
          <w:rFonts w:hint="eastAsia"/>
          <w:sz w:val="22"/>
        </w:rPr>
        <w:instrText xml:space="preserve"> .00001). Fifty percent of patients presenting with a UVS and </w:instrText>
      </w:r>
      <w:r w:rsidR="00201509">
        <w:rPr>
          <w:rFonts w:hint="eastAsia"/>
          <w:sz w:val="22"/>
        </w:rPr>
        <w:instrText>≥</w:instrText>
      </w:r>
      <w:r w:rsidR="00201509">
        <w:rPr>
          <w:rFonts w:hint="eastAsia"/>
          <w:sz w:val="22"/>
        </w:rPr>
        <w:instrText>2 NIDS with NF2 developed bilateral VS</w:instrText>
      </w:r>
      <w:r w:rsidR="00201509">
        <w:rPr>
          <w:sz w:val="22"/>
        </w:rPr>
        <w:instrText>, compared with only 26% of those who presented with a UVS and MM (P = .0046). In total, 11 of 152 patients presenting with MM without fulfilling NF2 criteria were found to have a PV in SMARCE1, and 7 of 152 were confirmed to have mosaic NF2.\n        CON</w:instrText>
      </w:r>
      <w:r w:rsidR="00201509">
        <w:rPr>
          <w:rFonts w:hint="eastAsia"/>
          <w:sz w:val="22"/>
        </w:rPr>
        <w:instrText xml:space="preserve">CLUSION: \n        Patients presenting with UVS and MM are significantly more likely to have a nonrefuted diagnosis of NF2 than patients presenting with UVS and </w:instrText>
      </w:r>
      <w:r w:rsidR="00201509">
        <w:rPr>
          <w:rFonts w:hint="eastAsia"/>
          <w:sz w:val="22"/>
        </w:rPr>
        <w:instrText>≥</w:instrText>
      </w:r>
      <w:r w:rsidR="00201509">
        <w:rPr>
          <w:rFonts w:hint="eastAsia"/>
          <w:sz w:val="22"/>
        </w:rPr>
        <w:instrText>2 NIDS, but significantly less likely to develop bilateral VS. Seven percent of those present</w:instrText>
      </w:r>
      <w:r w:rsidR="00201509">
        <w:rPr>
          <w:sz w:val="22"/>
        </w:rPr>
        <w:instrText xml:space="preserve">ing with MM without meeting NF2 criteria had PV in SMARCE1, and 5% had mosaic NF2.","container-title":"Neurosurgery","DOI":"10.1227/neu.0000000000001926","ISSN":"0148-396X","issue":"6","language":"en-US","page":"793–799","source":"journals.lww.com","title":"Multiple Meningiomas as a Criterion for the Diagnosis of Neurofibromatosis Type 2 and Other Tumor Predisposition Syndromes","volume":"90","author":[{"family":"Hannan","given":"Cathal John"},{"family":"Hammerbeck-Ward","given":"Charlotte"},{"family":"Pathmanaban","given":"Omar Nathan"},{"family":"Smith","given":"Miriam J."},{"family":"Rutherford","given":"Scott A."},{"family":"Lloyd","given":"Simon K."},{"family":"Mackenzie Freeman","given":"Simon Richard"},{"family":"Wallace","given":"Andrew J."},{"family":"King","given":"Andrew Thomas"},{"family":"Richard Evans","given":"Dafydd Gareth"}],"issued":{"date-parts":[["2022",6]]}}},{"id":"svD7oopY/8E6smXie","uris":["http://zotero.org/users/local/QyjW9PVm/items/27BH3PIL"],"itemData":{"id":204,"type":"article-journal","abstract":"Importance: Meningiomas and schwannomas are usually sporadic, isolated tumors occurring in adults older than 60 years and are rare in children and young adults. Multiple schwannomas and/or meningiomas are more frequently associated with a tumor suppressor syndrome and, accordingly, trigger genetic testing, whereas solitary tumors do not. Nevertheless, apparently sporadic tumors in young patients may herald a genetic syndrome.\nObjective: To determine the frequency of the known heritable meningioma- or schwannoma-predisposing mutations in children and young adults presenting with a solitary meningioma or schwannoma.\nDesign, Setting, and Participants: Using the database of the Manchester Centre for Genomic Medicine, this cohort study analyzed lymphocyte DNA from young individuals prospectively referred to the clinic for genetic testing between January 1, 1990, and December 31, 2016, on presentation with a single meningioma (n = 42) or schwannoma (n = 135) before age 25 years. Sequencing data were also examined from an additional 39 patients with neurofibromatosis type 2 who were retrospectively identified as having a solitary tumor before age 25 years. Patients with schwannoma were screened for NF2, SMARCB1, and LZTR1 gene mutations, while patients with meningioma were screened for NF2, SMARCB1, SMARCE1, and SUFU.\nMain Outcomes and Measures: The type of underlying genetic mutation, or lack of a predisposing mutation, was associated with the presenting tumor type and subsequent development of additional tumors or other features of known schwannoma- and meningioma-predisposing syndromes.\nResults: In 2 cohorts of patients who presented with an isolated meningioma (n = 42; median [range] age, 11 [1-24] years; 22 female) or schwannoma (n = 135; median [range] age, 18 [0.2-24] years; 60 female) before age 25 years, 16 of 42 patients (38%) had a predisposing mutation to meningioma and 27 of 135 patients (20%) to schwannoma, respectively. In the solitary meningioma cohort, 34 of 63 patients (54%) had a constitutional mutation in a known meningioma predisposition gene. Twenty-five of 63 patients (40%) had a constitutional NF2 mutation, and 9 (14%) had a constitutional SMARCE1 mutation. In the cohort of those who developed a solitary schwannoma before age 25 years, 44 of 153 patients (29%) had an identifiable genetic predisposition. Twenty-four patients (55%) with a spinal schwannoma had a constitutional mutation, while only 20 (18%) with a cranial schwannoma had a constitutional predisposition (P &lt; .001). Of 109 cranial schwannomas, 106 (97.2%) were vestibular. Four of 106 people (3.8%) with a cranial schwannoma had an LZTR1 mutation (3 were vestibular schwannomas and 1 was a nonvestibular schwannoma), and 9 (8.5%) had an NF2 mutation.\nConclusions and Relevance: A significant proportion of young people with an apparently sporadic solitary meningioma or schwannoma had a causative predisposition mutation. This finding has important clinical implications because of the risk of additional tumors and the possibility of familial disease. Young patients presenting with a solitary meningioma or schwannoma should be referred for genetic testing.","container-title":"JAMA neurology","DOI":"10.1001/jamaneurol.2017.1406","ISSN":"2168-6157","issue":"9","journalAbbreviation":"JAMA Neurol","language":"eng","note":"PMID: 28759666\nPMCID: PMC5710179","page":"1123-1129","source":"PubMed","title":"Association of Genetic Predisposition With Solitary Schwannoma or Meningioma in Children and Young Adults","volume":"74","author":[{"family":"Pathmanaban","given":"Omar N."},{"family":"Sadler","given":"Katherine V."},{"family":"Kamaly-Asl","given":"Ian D."},{"family":"King","given":"Andrew T."},{"family":"Rutherford","given":"Scott A."},{"family":"Hammerbeck-Ward","given":"Charlotte"},{"family":"McCabe","given":"Martin G."},{"family":"Kilday","given":"John-Paul"},{"family":"Beetz","given":"Christian"},{"family":"Poplawski","given":"Nicola K."},{"family":"Evans","given":"D. Gareth"},{"family":"Smith","given":"Miriam J."}],"issued":{"date-parts":[["2017",9,1]]}}}],"schema":"https://github.com/citation-style-language/schema/raw/master/csl-citation.json"} </w:instrText>
      </w:r>
      <w:r w:rsidR="00650D61">
        <w:rPr>
          <w:sz w:val="22"/>
        </w:rPr>
        <w:fldChar w:fldCharType="separate"/>
      </w:r>
      <w:r w:rsidR="003F0A3F">
        <w:rPr>
          <w:rFonts w:ascii="Calibri" w:hAnsi="Calibri" w:cs="Calibri"/>
          <w:sz w:val="22"/>
        </w:rPr>
        <w:t>(18,19)</w:t>
      </w:r>
      <w:r w:rsidR="00650D61">
        <w:rPr>
          <w:sz w:val="22"/>
        </w:rPr>
        <w:fldChar w:fldCharType="end"/>
      </w:r>
      <w:r w:rsidR="000B4060">
        <w:rPr>
          <w:sz w:val="22"/>
        </w:rPr>
        <w:t>.</w:t>
      </w:r>
      <w:r w:rsidR="00B27659">
        <w:rPr>
          <w:sz w:val="22"/>
        </w:rPr>
        <w:t xml:space="preserve"> Finally, </w:t>
      </w:r>
      <w:r w:rsidR="00541D70">
        <w:rPr>
          <w:sz w:val="22"/>
        </w:rPr>
        <w:t xml:space="preserve">approximately 40% of </w:t>
      </w:r>
      <w:r w:rsidR="00B27659">
        <w:rPr>
          <w:sz w:val="22"/>
        </w:rPr>
        <w:t xml:space="preserve">patients with NF2-schwannoamtosis </w:t>
      </w:r>
      <w:r w:rsidR="00541D70">
        <w:rPr>
          <w:sz w:val="22"/>
        </w:rPr>
        <w:t xml:space="preserve">develop </w:t>
      </w:r>
      <w:r w:rsidR="00541D70" w:rsidRPr="00DE1BBD">
        <w:rPr>
          <w:i/>
          <w:iCs/>
          <w:sz w:val="22"/>
        </w:rPr>
        <w:t>de novo</w:t>
      </w:r>
      <w:r w:rsidR="00541D70">
        <w:rPr>
          <w:sz w:val="22"/>
        </w:rPr>
        <w:t xml:space="preserve"> meningioma during follow-up </w:t>
      </w:r>
      <w:r w:rsidR="00541D70">
        <w:rPr>
          <w:sz w:val="22"/>
        </w:rPr>
        <w:fldChar w:fldCharType="begin"/>
      </w:r>
      <w:r w:rsidR="00201509">
        <w:rPr>
          <w:sz w:val="22"/>
        </w:rPr>
        <w:instrText xml:space="preserve"> ADDIN ZOTERO_ITEM CSL_CITATION {"citationID":"GRFqpv46","properties":{"formattedCitation":"(20)","plainCitation":"(20)","noteIndex":0},"citationItems":[{"id":"svD7oopY/3Obsi3lE","uris":["http://zotero.org/users/local/QyjW9PVm/items/X67WEIZI"],"itemData":{"id":206,"type":"article-journal","abstract":"OBJECTIVE Intracranial meningiomas occur in about half of neurofibromatosis type 2 (NF2) patients and are very frequently multiple. Thus, estimating individual meningiomas’ growth rates is of great interest to tailor therapeutic interventions. The Asan Intracranial Meningioma Scoring System (AIMSS) has recently been published to estimate the risk of tumor growth in sporadic meningiomas. The current study aimed to determine predictors of rapid meningioma growth in NF2 patients and to evaluate the AIMSS score in a specific NF2 cohort. METHODS The authors performed a retrospective analysis of 92 NF2 patients with 358 measured intracranial meningiomas that had been observed prospectively between 2012 and 2018. Tu</w:instrText>
      </w:r>
      <w:r w:rsidR="00201509">
        <w:rPr>
          <w:rFonts w:hint="eastAsia"/>
          <w:sz w:val="22"/>
        </w:rPr>
        <w:instrText xml:space="preserve">mor volumes were measured at diagnosis and at each follow-up visit. The growth rates were determined and evaluated with respect to the clinicoradiological parameters. Predictors of rapid tumor growth (defined as growth </w:instrText>
      </w:r>
      <w:r w:rsidR="00201509">
        <w:rPr>
          <w:rFonts w:hint="eastAsia"/>
          <w:sz w:val="22"/>
        </w:rPr>
        <w:instrText>≥</w:instrText>
      </w:r>
      <w:r w:rsidR="00201509">
        <w:rPr>
          <w:rFonts w:hint="eastAsia"/>
          <w:sz w:val="22"/>
        </w:rPr>
        <w:instrText xml:space="preserve"> 2 cm3/yr) were analyzed using univ</w:instrText>
      </w:r>
      <w:r w:rsidR="00201509">
        <w:rPr>
          <w:sz w:val="22"/>
        </w:rPr>
        <w:instrText xml:space="preserve">ariate followed by multivariate logistic regression to build a dedicated predicting model. Receiver operating characteristic (ROC) curves to predict the risk of rapid tumor growth with the AIMSS versus the authors’ multivariate model were compared. RESULTS Sixty tumors (16.76%) showed rapid growth. After multivariate analysis, a larger tumor volume at diagnosis (p &lt; 0.0001), presence of peritumoral edema (p = 0.022), absence of calcifications (p &lt; 0.0001), and hyperintense or isointense signal on T2-weighted MRI (p &lt; 0.005) were statistically significantly associated with rapid tumor growth. It is particularly notable that the genetic severity score did not seem to influence the growth rate of NF2 meningiomas. In comparison with the AIMSS, the authors’ multivariate model’s prediction did not show a statistically significant difference (area under the curve [AUC] 0.82 [95% CI 0.76–0.88] for the AIMSS vs AUC 0.86 [95% CI 0.81–0.91] for the authors’ model, p = 0.1). CONCLUSIONS The AIMSS score is valid in the authors’ cohort of NF2-related meningiomas. It adequately predicted risk of rapid meningioma growth and could aid in decision-making in NF2 patients.","container-title":"Journal of Neurosurgery","DOI":"10.3171/2020.3.JNS192382","ISSN":"1933-0693, 0022-3085","issue":"5","language":"en_US","note":"publisher: American Association of Neurological Surgeons\nsection: Journal of Neurosurgery","page":"1377-1385","source":"thejns.org","title":"Validation of a scoring system to evaluate the risk of rapid growth of intracranial meningiomas in neurofibromatosis type 2 patients","volume":"134","author":[{"family":"Jaoude","given":"Samiya Abi"},{"family":"Peyre","given":"Matthieu"},{"family":"Degos","given":"Vincent"},{"family":"Goutagny","given":"Stéphane"},{"family":"Parfait","given":"Béatrice"},{"family":"Kalamarides","given":"Michel"}],"issued":{"date-parts":[["2020",5,22]]}}}],"schema":"https://github.com/citation-style-language/schema/raw/master/csl-citation.json"} </w:instrText>
      </w:r>
      <w:r w:rsidR="00541D70">
        <w:rPr>
          <w:sz w:val="22"/>
        </w:rPr>
        <w:fldChar w:fldCharType="separate"/>
      </w:r>
      <w:r w:rsidR="003F0A3F">
        <w:rPr>
          <w:rFonts w:ascii="Calibri" w:hAnsi="Calibri" w:cs="Calibri"/>
          <w:sz w:val="22"/>
        </w:rPr>
        <w:t>(20)</w:t>
      </w:r>
      <w:r w:rsidR="00541D70">
        <w:rPr>
          <w:sz w:val="22"/>
        </w:rPr>
        <w:fldChar w:fldCharType="end"/>
      </w:r>
      <w:r w:rsidR="00541D70">
        <w:rPr>
          <w:sz w:val="22"/>
        </w:rPr>
        <w:t xml:space="preserve">. In our study, </w:t>
      </w:r>
      <w:r w:rsidR="00073F3B">
        <w:rPr>
          <w:sz w:val="22"/>
        </w:rPr>
        <w:t xml:space="preserve">the rate of this was substantially lower - </w:t>
      </w:r>
      <w:r w:rsidR="00541D70">
        <w:rPr>
          <w:sz w:val="22"/>
        </w:rPr>
        <w:t>only 1 (2.9%) patient with multiple meningioma developed further tumor</w:t>
      </w:r>
      <w:r w:rsidR="00073F3B">
        <w:rPr>
          <w:sz w:val="22"/>
        </w:rPr>
        <w:t>s</w:t>
      </w:r>
      <w:r w:rsidR="00660221">
        <w:rPr>
          <w:sz w:val="22"/>
        </w:rPr>
        <w:t xml:space="preserve"> within the follow-up period</w:t>
      </w:r>
      <w:r w:rsidR="00073F3B">
        <w:rPr>
          <w:sz w:val="22"/>
        </w:rPr>
        <w:t xml:space="preserve">. </w:t>
      </w:r>
      <w:r w:rsidR="001B541D">
        <w:rPr>
          <w:sz w:val="22"/>
        </w:rPr>
        <w:t xml:space="preserve">The current diagnostic criteria for NF2-schwannomatosis </w:t>
      </w:r>
      <w:r w:rsidR="00CB1884">
        <w:rPr>
          <w:sz w:val="22"/>
        </w:rPr>
        <w:t xml:space="preserve">does not recognise the presence of multiple meningioma alone as a diagnostic feature </w:t>
      </w:r>
      <w:r w:rsidR="00CB1884">
        <w:rPr>
          <w:sz w:val="22"/>
        </w:rPr>
        <w:fldChar w:fldCharType="begin"/>
      </w:r>
      <w:r w:rsidR="00201509">
        <w:rPr>
          <w:sz w:val="22"/>
        </w:rPr>
        <w:instrText xml:space="preserve"> ADDIN ZOTERO_ITEM CSL_CITATION {"citationID":"VKqml7Gd","properties":{"formattedCitation":"(7)","plainCitation":"(7)","noteIndex":0},"citationItems":[{"id":15,"uris":["http://zotero.org/users/local/siebo2NQ/items/IS6WM7LS"],"itemData":{"id":15,"type":"article-journal","container-title":"Genetics in Medicine","DOI":"10.1016/j.gim.2022.05.007","ISSN":"1098-3600, 1530-0366","issue":"0","journalAbbreviation":"Genetics in Medicine","language":"English","note":"publisher: Elsevier","source":"www.gimjournal.org","title":"Updated diagnostic criteria and nomenclature for neurofibromatosis type 2 and schwannomatosis: An international consensus recommendation","title-short":"Updated diagnostic criteria and nomenclature for neurofibromatosis type 2 and schwannomatosis","URL":"https://www.gimjournal.org/article/S1098-3600(22)00773-0/fulltext","volume":"0","author":[{"family":"Plotkin","given":"Scott R."},{"family":"Messiaen","given":"Ludwine"},{"family":"Legius","given":"Eric"},{"family":"Pancza","given":"Patrice"},{"family":"Avery","given":"Robert A."},{"family":"Blakeley","given":"Jaishri O."},{"family":"Babovic-Vuksanovic","given":"Dusica"},{"family":"Ferner","given":"Rosalie"},{"family":"Fisher","given":"Michael J."},{"family":"Friedman","given":"Jan M."},{"family":"Giovannini","given":"Marco"},{"family":"Gutmann","given":"David H."},{"family":"Hanemann","given":"Clemens Oliver"},{"family":"Kalamarides","given":"Michel"},{"family":"Kehrer-Sawatzki","given":"Hildegard"},{"family":"Korf","given":"Bruce R."},{"family":"Mautner","given":"Victor-Felix"},{"family":"MacCollin","given":"Mia"},{"family":"Papi","given":"Laura"},{"family":"Rauen","given":"Katherine A."},{"family":"Riccardi","given":"Vincent"},{"family":"Schorry","given":"Elizabeth"},{"family":"Smith","given":"Miriam J."},{"family":"Stemmer-Rachamimov","given":"Anat"},{"family":"Stevenson","given":"David A."},{"family":"Ullrich","given":"Nicole J."},{"family":"Viskochil","given":"David"},{"family":"Wimmer","given":"Katharina"},{"family":"Yohay","given":"Kaleb"},{"family":"Anten","given":"Monique"},{"family":"Aylsworth","given":"Arthur"},{"family":"Baralle","given":"Diana"},{"family":"Barbarot","given":"Sebastien"},{"family":"Barker","given":"Fred"},{"family":"Ben-Shachar","given":"Shay"},{"family":"Bergner","given":"Amanda"},{"family":"Bessis","given":"Didier"},{"family":"Blanco","given":"Ignacio"},{"family":"Cassiman","given":"Catherine"},{"family":"Ciavarelli","given":"Patricia"},{"family":"Clementi","given":"Maurizio"},{"family":"Frébourg","given":"Thierry"},{"family":"Gomes","given":"Alicia"},{"family":"Halliday","given":"Dorothy"},{"family":"Heiberg","given":"Chris Hammond Helen Hanson Arvid"},{"family":"Joly","given":"Pascal"},{"family":"Jordan","given":"Justin T."},{"family":"Karajannis","given":"Matthias"},{"family":"Kroshinsky","given":"Daniela"},{"family":"Larralde","given":"Margarita"},{"family":"Lázaro","given":"Conxi"},{"family":"Le","given":"Lu"},{"family":"Link","given":"Michael"},{"family":"Listernick","given":"Robert"},{"family":"Mallucci","given":"Conor"},{"family":"Merker","given":"Vanessa L."},{"family":"Moertel","given":"Christopher"},{"family":"Mueller","given":"Amy"},{"family":"Ngeow","given":"Joanne"},{"family":"Oostenbrink","given":"Rianne"},{"family":"Packer","given":"Roger"},{"family":"Parry","given":"Allyson"},{"family":"Peltonen","given":"Juha"},{"family":"Pichard","given":"Dominique"},{"family":"Poppe","given":"Bruce"},{"family":"Rezende","given":"Nilton"},{"family":"Rodrigues","given":"Luiz Oswaldo"},{"family":"Rosser","given":"Tena"},{"family":"Ruggieri","given":"Martino"},{"family":"Serra","given":"Eduard"},{"family":"Steinke-Lange","given":"Verena"},{"family":"Stivaros","given":"Stavros Michael"},{"family":"Taylor","given":"Amy"},{"family":"Toelen","given":"Jaan"},{"family":"Tonsgard","given":"James"},{"family":"Trevisson","given":"Eva"},{"family":"Upadhyaya","given":"Meena"},{"family":"Varan","given":"Ali"},{"family":"Wilson","given":"Meredith"},{"family":"Wu","given":"Hao"},{"family":"Zadeh","given":"Gelareh"},{"family":"Huson","given":"Susan M."},{"family":"Wolkenstein","given":"Pierre"},{"family":"Evans","given":"Dafydd Gareth"}],"accessed":{"date-parts":[["2022",8,26]]},"issued":{"date-parts":[["2022",6,8]]}}}],"schema":"https://github.com/citation-style-language/schema/raw/master/csl-citation.json"} </w:instrText>
      </w:r>
      <w:r w:rsidR="00CB1884">
        <w:rPr>
          <w:sz w:val="22"/>
        </w:rPr>
        <w:fldChar w:fldCharType="separate"/>
      </w:r>
      <w:r w:rsidR="003F0A3F">
        <w:rPr>
          <w:rFonts w:ascii="Calibri" w:hAnsi="Calibri" w:cs="Calibri"/>
          <w:sz w:val="22"/>
        </w:rPr>
        <w:t>(7)</w:t>
      </w:r>
      <w:r w:rsidR="00CB1884">
        <w:rPr>
          <w:sz w:val="22"/>
        </w:rPr>
        <w:fldChar w:fldCharType="end"/>
      </w:r>
      <w:r w:rsidR="001C6612">
        <w:rPr>
          <w:sz w:val="22"/>
        </w:rPr>
        <w:t>. Further</w:t>
      </w:r>
      <w:r w:rsidR="001B541D">
        <w:rPr>
          <w:sz w:val="22"/>
        </w:rPr>
        <w:t xml:space="preserve"> work is required to define the clinical features of patients with multiple meningioma </w:t>
      </w:r>
      <w:r w:rsidR="001C6612">
        <w:rPr>
          <w:sz w:val="22"/>
        </w:rPr>
        <w:t xml:space="preserve">and no other </w:t>
      </w:r>
      <w:r w:rsidR="00660221">
        <w:rPr>
          <w:sz w:val="22"/>
        </w:rPr>
        <w:t xml:space="preserve">syndromic </w:t>
      </w:r>
      <w:r w:rsidR="001C6612">
        <w:rPr>
          <w:sz w:val="22"/>
        </w:rPr>
        <w:t>manifestations</w:t>
      </w:r>
      <w:r w:rsidR="00660221">
        <w:rPr>
          <w:sz w:val="22"/>
        </w:rPr>
        <w:t>, but who may nevertheless</w:t>
      </w:r>
      <w:r w:rsidR="001B541D">
        <w:rPr>
          <w:sz w:val="22"/>
        </w:rPr>
        <w:t xml:space="preserve"> harbor these genetic changes. </w:t>
      </w:r>
    </w:p>
    <w:p w14:paraId="31930D37" w14:textId="7B053AE6" w:rsidR="00650D61" w:rsidRPr="00650D61" w:rsidRDefault="00650D61" w:rsidP="0007491E">
      <w:pPr>
        <w:pStyle w:val="Heading2"/>
        <w:spacing w:line="360" w:lineRule="auto"/>
        <w:jc w:val="both"/>
        <w:rPr>
          <w:rFonts w:asciiTheme="minorHAnsi" w:hAnsiTheme="minorHAnsi" w:cstheme="minorHAnsi"/>
          <w:color w:val="auto"/>
          <w:sz w:val="24"/>
          <w:szCs w:val="24"/>
          <w:u w:val="single"/>
        </w:rPr>
      </w:pPr>
      <w:r w:rsidRPr="00650D61">
        <w:rPr>
          <w:rFonts w:asciiTheme="minorHAnsi" w:hAnsiTheme="minorHAnsi" w:cstheme="minorHAnsi"/>
          <w:color w:val="auto"/>
          <w:sz w:val="24"/>
          <w:szCs w:val="24"/>
          <w:u w:val="single"/>
        </w:rPr>
        <w:t xml:space="preserve">Suggested management strategies </w:t>
      </w:r>
    </w:p>
    <w:p w14:paraId="32CCC6CB" w14:textId="1FE5C84D" w:rsidR="00650D61" w:rsidRDefault="007E19D5" w:rsidP="003F0A3F">
      <w:pPr>
        <w:spacing w:line="360" w:lineRule="auto"/>
        <w:jc w:val="both"/>
        <w:rPr>
          <w:sz w:val="22"/>
        </w:rPr>
      </w:pPr>
      <w:r>
        <w:rPr>
          <w:sz w:val="22"/>
        </w:rPr>
        <w:t xml:space="preserve">Our suggested management strategy </w:t>
      </w:r>
      <w:r w:rsidR="00930715">
        <w:rPr>
          <w:sz w:val="22"/>
        </w:rPr>
        <w:t xml:space="preserve">for patients with multiple meningioma </w:t>
      </w:r>
      <w:r>
        <w:rPr>
          <w:sz w:val="22"/>
        </w:rPr>
        <w:t xml:space="preserve">is presented in Figure </w:t>
      </w:r>
      <w:r w:rsidR="006479F2">
        <w:rPr>
          <w:sz w:val="22"/>
        </w:rPr>
        <w:t>4</w:t>
      </w:r>
      <w:r>
        <w:rPr>
          <w:sz w:val="22"/>
        </w:rPr>
        <w:t xml:space="preserve">. </w:t>
      </w:r>
      <w:r w:rsidR="00B27659">
        <w:rPr>
          <w:sz w:val="22"/>
        </w:rPr>
        <w:t>For patients w</w:t>
      </w:r>
      <w:r w:rsidR="001C6612">
        <w:rPr>
          <w:sz w:val="22"/>
        </w:rPr>
        <w:t>h</w:t>
      </w:r>
      <w:r w:rsidR="00B27659">
        <w:rPr>
          <w:sz w:val="22"/>
        </w:rPr>
        <w:t xml:space="preserve">o present with a symptomatic meningioma, this </w:t>
      </w:r>
      <w:r w:rsidR="00660221">
        <w:rPr>
          <w:sz w:val="22"/>
        </w:rPr>
        <w:t xml:space="preserve">is defined </w:t>
      </w:r>
      <w:r w:rsidR="00B27659">
        <w:rPr>
          <w:sz w:val="22"/>
        </w:rPr>
        <w:t xml:space="preserve">as the </w:t>
      </w:r>
      <w:r w:rsidR="005F2390">
        <w:rPr>
          <w:sz w:val="22"/>
        </w:rPr>
        <w:t>‘</w:t>
      </w:r>
      <w:r w:rsidR="00B27659">
        <w:rPr>
          <w:sz w:val="22"/>
        </w:rPr>
        <w:t xml:space="preserve">index </w:t>
      </w:r>
      <w:r w:rsidR="005F2390">
        <w:rPr>
          <w:sz w:val="22"/>
        </w:rPr>
        <w:t xml:space="preserve">meningioma’ </w:t>
      </w:r>
      <w:r w:rsidR="00B27659">
        <w:rPr>
          <w:sz w:val="22"/>
        </w:rPr>
        <w:t>and management</w:t>
      </w:r>
      <w:r w:rsidR="00A86FE6">
        <w:rPr>
          <w:sz w:val="22"/>
        </w:rPr>
        <w:t xml:space="preserve"> may</w:t>
      </w:r>
      <w:r w:rsidR="00B27659">
        <w:rPr>
          <w:sz w:val="22"/>
        </w:rPr>
        <w:t xml:space="preserve"> be tailored based on this. </w:t>
      </w:r>
      <w:r w:rsidR="00930715">
        <w:rPr>
          <w:sz w:val="22"/>
        </w:rPr>
        <w:t>Upfront t</w:t>
      </w:r>
      <w:r w:rsidR="00B27659">
        <w:rPr>
          <w:sz w:val="22"/>
        </w:rPr>
        <w:t xml:space="preserve">reatment </w:t>
      </w:r>
      <w:r w:rsidR="001C6612">
        <w:rPr>
          <w:sz w:val="22"/>
        </w:rPr>
        <w:t>for</w:t>
      </w:r>
      <w:r w:rsidR="00B27659">
        <w:rPr>
          <w:sz w:val="22"/>
        </w:rPr>
        <w:t xml:space="preserve"> other meningioma is not recommended</w:t>
      </w:r>
      <w:r w:rsidR="00660221">
        <w:rPr>
          <w:sz w:val="22"/>
        </w:rPr>
        <w:t xml:space="preserve"> and these should be monitored with interval MRI, </w:t>
      </w:r>
      <w:r w:rsidR="00B27659">
        <w:rPr>
          <w:sz w:val="22"/>
        </w:rPr>
        <w:t xml:space="preserve">alongside </w:t>
      </w:r>
      <w:r w:rsidR="00930715">
        <w:rPr>
          <w:sz w:val="22"/>
        </w:rPr>
        <w:t>monitoring</w:t>
      </w:r>
      <w:r w:rsidR="00E13676">
        <w:rPr>
          <w:sz w:val="22"/>
        </w:rPr>
        <w:t xml:space="preserve"> for recurrence or regrowth </w:t>
      </w:r>
      <w:r w:rsidR="00930715">
        <w:rPr>
          <w:sz w:val="22"/>
        </w:rPr>
        <w:t>of the treated meningioma.</w:t>
      </w:r>
      <w:r w:rsidR="003F0A3F">
        <w:rPr>
          <w:sz w:val="22"/>
        </w:rPr>
        <w:t xml:space="preserve"> </w:t>
      </w:r>
      <w:r w:rsidR="00E13676">
        <w:rPr>
          <w:sz w:val="22"/>
        </w:rPr>
        <w:t xml:space="preserve">In patients with asymptomatic meningioma, the risk of each meningioma growth </w:t>
      </w:r>
      <w:r w:rsidR="00660221">
        <w:rPr>
          <w:sz w:val="22"/>
        </w:rPr>
        <w:t xml:space="preserve">can </w:t>
      </w:r>
      <w:r w:rsidR="00E13676">
        <w:rPr>
          <w:sz w:val="22"/>
        </w:rPr>
        <w:t xml:space="preserve">be estimated using </w:t>
      </w:r>
      <w:r w:rsidR="00660221">
        <w:rPr>
          <w:sz w:val="22"/>
        </w:rPr>
        <w:t xml:space="preserve">a </w:t>
      </w:r>
      <w:r w:rsidR="00E13676">
        <w:rPr>
          <w:sz w:val="22"/>
        </w:rPr>
        <w:t xml:space="preserve">prognostic tool such as IMPACT </w:t>
      </w:r>
      <w:r w:rsidR="00E13676">
        <w:rPr>
          <w:sz w:val="22"/>
        </w:rPr>
        <w:fldChar w:fldCharType="begin"/>
      </w:r>
      <w:r w:rsidR="00201509">
        <w:rPr>
          <w:sz w:val="22"/>
        </w:rPr>
        <w:instrText xml:space="preserve"> ADDIN ZOTERO_ITEM CSL_CITATION {"citationID":"gH9Kk7pi","properties":{"formattedCitation":"(10)","plainCitation":"(10)","noteIndex":0},"citationItems":[{"id":"svD7oopY/sDUh4RF8","uris":["http://zotero.org/users/local/cjg5MD5O/items/8WE5ZIUQ"],"itemData":{"id":"e5IrKB6B/h7GVEfgx","type":"article-journal","abstract":"Abstract\n            \n              Background\n              Asymptomatic meningioma is a common incidental finding with no consensus on the optimal management strategy. We aimed to develop a prognostic model to guide personalized monitoring of incidental meningioma patients.\n            \n            \n              Methods\n              A prognostic model of disease progression was developed in a retrospective cohort (2007–2015), defined as: symptom development, meningioma-specific mortality, meningioma growth or loss of window of curability. Secondary endpoints included non-meningioma-specific mortality and intervention.\n            \n            \n              Results\n              Included were 441 patients (459 meningiomas). Over a median of 55 months (interquartile range, 37–80), 44 patients had meningioma progression and 57 died (non-meningioma-specific). Forty-four had intervention (at presentation, n = 6; progression, n = 20; nonprogression, n = 18). Model parameters were based on statistical and clinical considerations and included: increasing meningioma volume (hazard ratio [HR] 2.17; 95% CI: 1.53–3.09), meningioma hyperintensity (HR 10.6; 95% CI: 5.39–21.0), peritumoral signal change (HR 1.58; 95% CI: 0.65–3.85), and proximity to critical neurovascular structures (HR 1.38; 95% CI: 0.74–2.56). Patients were stratified based on these imaging parameters into low-, medium- and high-risk groups and 5-year disease progression ra</w:instrText>
      </w:r>
      <w:r w:rsidR="00201509">
        <w:rPr>
          <w:rFonts w:hint="eastAsia"/>
          <w:sz w:val="22"/>
        </w:rPr>
        <w:instrText xml:space="preserve">tes were 3%, 28%, and 75%, respectively. After 5 years of follow-up, the risk of disease progression plateaued in all groups. Patients with an age-adjusted Charlson comorbidity index </w:instrText>
      </w:r>
      <w:r w:rsidR="00201509">
        <w:rPr>
          <w:rFonts w:hint="eastAsia"/>
          <w:sz w:val="22"/>
        </w:rPr>
        <w:instrText>≥</w:instrText>
      </w:r>
      <w:r w:rsidR="00201509">
        <w:rPr>
          <w:rFonts w:hint="eastAsia"/>
          <w:sz w:val="22"/>
        </w:rPr>
        <w:instrText>6 (eg, an 80-year-old with chronic kidney disease) were 15 times more l</w:instrText>
      </w:r>
      <w:r w:rsidR="00201509">
        <w:rPr>
          <w:sz w:val="22"/>
        </w:rPr>
        <w:instrText xml:space="preserve">ikely to die of other causes than to receive intervention at 5 years following diagnosis, regardless of risk group.\n            \n            \n              Conclusions\n              The model shows that there is little benefit to rigorous monitoring in low-risk and older patients with comorbidities. Risk-stratified follow-up has the potential to reduce patient anxiety and associated health care costs.","container-title":"Neuro-Oncology","DOI":"10.1093/neuonc/noz160","ISSN":"1522-8517, 1523-5866","issue":"2","language":"en","page":"278-289","source":"DOI.org (Crossref)","title":"A prognostic model to personalize monitoring regimes for patients with incidental asymptomatic meningiomas","volume":"22","author":[{"family":"Islim","given":"Abdurrahman I"},{"family":"Kolamunnage-Dona","given":"Ruwanthi"},{"family":"Mohan","given":"Midhun"},{"family":"Moon","given":"Richard D C"},{"family":"Crofton","given":"Anna"},{"family":"Haylock","given":"Brian J"},{"family":"Rathi","given":"Nitika"},{"family":"Brodbelt","given":"Andrew R"},{"family":"Mills","given":"Samantha J"},{"family":"Jenkinson","given":"Michael D"}],"issued":{"date-parts":[["2020",2,20]]}}}],"schema":"https://github.com/citation-style-language/schema/raw/master/csl-citation.json"} </w:instrText>
      </w:r>
      <w:r w:rsidR="00E13676">
        <w:rPr>
          <w:sz w:val="22"/>
        </w:rPr>
        <w:fldChar w:fldCharType="separate"/>
      </w:r>
      <w:r w:rsidR="003F0A3F">
        <w:rPr>
          <w:rFonts w:ascii="Calibri" w:hAnsi="Calibri" w:cs="Calibri"/>
          <w:sz w:val="22"/>
        </w:rPr>
        <w:t>(10)</w:t>
      </w:r>
      <w:r w:rsidR="00E13676">
        <w:rPr>
          <w:sz w:val="22"/>
        </w:rPr>
        <w:fldChar w:fldCharType="end"/>
      </w:r>
      <w:r w:rsidR="00E13676">
        <w:rPr>
          <w:sz w:val="22"/>
        </w:rPr>
        <w:t xml:space="preserve">, and </w:t>
      </w:r>
      <w:r w:rsidR="005F2390">
        <w:rPr>
          <w:sz w:val="22"/>
        </w:rPr>
        <w:lastRenderedPageBreak/>
        <w:t xml:space="preserve">the highest-risk tumor should be defined as the ‘index meningioma’ and MRI </w:t>
      </w:r>
      <w:r w:rsidR="00E13676">
        <w:rPr>
          <w:sz w:val="22"/>
        </w:rPr>
        <w:t xml:space="preserve">follow-up </w:t>
      </w:r>
      <w:r w:rsidR="00660221">
        <w:rPr>
          <w:sz w:val="22"/>
        </w:rPr>
        <w:t xml:space="preserve">should </w:t>
      </w:r>
      <w:r w:rsidR="00A86FE6">
        <w:rPr>
          <w:sz w:val="22"/>
        </w:rPr>
        <w:t xml:space="preserve">be tailored to this. </w:t>
      </w:r>
    </w:p>
    <w:p w14:paraId="4D9CC172" w14:textId="353217D4" w:rsidR="00A86FE6" w:rsidRPr="00A86FE6" w:rsidRDefault="00A86FE6" w:rsidP="00AC2A3A">
      <w:pPr>
        <w:pStyle w:val="Heading2"/>
        <w:spacing w:line="360" w:lineRule="auto"/>
        <w:jc w:val="both"/>
        <w:rPr>
          <w:rFonts w:asciiTheme="minorHAnsi" w:hAnsiTheme="minorHAnsi" w:cstheme="minorHAnsi"/>
          <w:color w:val="auto"/>
          <w:sz w:val="24"/>
          <w:szCs w:val="24"/>
          <w:u w:val="single"/>
        </w:rPr>
      </w:pPr>
      <w:r w:rsidRPr="00A86FE6">
        <w:rPr>
          <w:rFonts w:asciiTheme="minorHAnsi" w:hAnsiTheme="minorHAnsi" w:cstheme="minorHAnsi"/>
          <w:color w:val="auto"/>
          <w:sz w:val="24"/>
          <w:szCs w:val="24"/>
          <w:u w:val="single"/>
        </w:rPr>
        <w:t>Study limitations</w:t>
      </w:r>
    </w:p>
    <w:p w14:paraId="73E11720" w14:textId="6FE4E45C" w:rsidR="00134993" w:rsidRDefault="00A86FE6" w:rsidP="00AC2A3A">
      <w:pPr>
        <w:spacing w:line="360" w:lineRule="auto"/>
        <w:jc w:val="both"/>
        <w:rPr>
          <w:sz w:val="22"/>
        </w:rPr>
      </w:pPr>
      <w:r w:rsidRPr="00A86FE6">
        <w:rPr>
          <w:sz w:val="22"/>
        </w:rPr>
        <w:t xml:space="preserve">Some limitations of the study should be noted. </w:t>
      </w:r>
      <w:r w:rsidR="006661B9">
        <w:rPr>
          <w:sz w:val="22"/>
        </w:rPr>
        <w:t>First, t</w:t>
      </w:r>
      <w:r w:rsidRPr="00A86FE6">
        <w:rPr>
          <w:sz w:val="22"/>
        </w:rPr>
        <w:t xml:space="preserve">his was a </w:t>
      </w:r>
      <w:r w:rsidR="006661B9">
        <w:rPr>
          <w:sz w:val="22"/>
        </w:rPr>
        <w:t xml:space="preserve">single centre </w:t>
      </w:r>
      <w:r w:rsidRPr="00A86FE6">
        <w:rPr>
          <w:sz w:val="22"/>
        </w:rPr>
        <w:t>retrospective study</w:t>
      </w:r>
      <w:r w:rsidR="00DB462F">
        <w:rPr>
          <w:sz w:val="22"/>
        </w:rPr>
        <w:t xml:space="preserve">, with a small sample size </w:t>
      </w:r>
      <w:r w:rsidRPr="00A86FE6">
        <w:rPr>
          <w:sz w:val="22"/>
        </w:rPr>
        <w:t>limited by treatment</w:t>
      </w:r>
      <w:r>
        <w:rPr>
          <w:sz w:val="22"/>
        </w:rPr>
        <w:t xml:space="preserve"> </w:t>
      </w:r>
      <w:r w:rsidRPr="00A86FE6">
        <w:rPr>
          <w:sz w:val="22"/>
        </w:rPr>
        <w:t xml:space="preserve">selection bias. However, all patients with </w:t>
      </w:r>
      <w:r>
        <w:rPr>
          <w:sz w:val="22"/>
        </w:rPr>
        <w:t xml:space="preserve">multiple meningioma at presentation were analysed with no restriction based on initial treatment decision. </w:t>
      </w:r>
      <w:r w:rsidR="006661B9">
        <w:rPr>
          <w:sz w:val="22"/>
        </w:rPr>
        <w:t>Second, a</w:t>
      </w:r>
      <w:r w:rsidRPr="00A86FE6">
        <w:rPr>
          <w:sz w:val="22"/>
        </w:rPr>
        <w:t xml:space="preserve">ssessment of </w:t>
      </w:r>
      <w:r w:rsidR="006661B9">
        <w:rPr>
          <w:sz w:val="22"/>
        </w:rPr>
        <w:t xml:space="preserve">study </w:t>
      </w:r>
      <w:r w:rsidRPr="00A86FE6">
        <w:rPr>
          <w:sz w:val="22"/>
        </w:rPr>
        <w:t>outcomes was based</w:t>
      </w:r>
      <w:r>
        <w:rPr>
          <w:sz w:val="22"/>
        </w:rPr>
        <w:t xml:space="preserve"> </w:t>
      </w:r>
      <w:r w:rsidRPr="00A86FE6">
        <w:rPr>
          <w:sz w:val="22"/>
        </w:rPr>
        <w:t>on</w:t>
      </w:r>
      <w:r>
        <w:rPr>
          <w:sz w:val="22"/>
        </w:rPr>
        <w:t xml:space="preserve"> </w:t>
      </w:r>
      <w:r w:rsidRPr="00A86FE6">
        <w:rPr>
          <w:sz w:val="22"/>
        </w:rPr>
        <w:t>clinical notes and images with possible recall bias</w:t>
      </w:r>
      <w:r w:rsidR="006661B9">
        <w:rPr>
          <w:sz w:val="22"/>
        </w:rPr>
        <w:t>, and the</w:t>
      </w:r>
      <w:r w:rsidR="006661B9" w:rsidRPr="006661B9">
        <w:rPr>
          <w:sz w:val="22"/>
        </w:rPr>
        <w:t xml:space="preserve"> use of intervention as an </w:t>
      </w:r>
      <w:r w:rsidR="006661B9">
        <w:rPr>
          <w:sz w:val="22"/>
        </w:rPr>
        <w:t>outcome</w:t>
      </w:r>
      <w:r w:rsidR="006661B9" w:rsidRPr="006661B9">
        <w:rPr>
          <w:sz w:val="22"/>
        </w:rPr>
        <w:t xml:space="preserve"> was limited by patient and clinician biases</w:t>
      </w:r>
      <w:r w:rsidR="006661B9">
        <w:rPr>
          <w:sz w:val="22"/>
        </w:rPr>
        <w:t xml:space="preserve">. </w:t>
      </w:r>
      <w:r w:rsidR="003F0A3F">
        <w:rPr>
          <w:sz w:val="22"/>
        </w:rPr>
        <w:t>Third, the cohorts weren’t balanced for characteristics such as sex</w:t>
      </w:r>
      <w:r w:rsidR="00406B73">
        <w:rPr>
          <w:sz w:val="22"/>
        </w:rPr>
        <w:t xml:space="preserve">, meningioma location subclass, </w:t>
      </w:r>
      <w:r w:rsidR="00406B73" w:rsidRPr="005A343F">
        <w:rPr>
          <w:rFonts w:cstheme="minorHAnsi"/>
          <w:sz w:val="22"/>
          <w:szCs w:val="22"/>
        </w:rPr>
        <w:t xml:space="preserve">peri-tumoral </w:t>
      </w:r>
      <w:r w:rsidR="00406B73">
        <w:rPr>
          <w:rFonts w:cstheme="minorHAnsi"/>
          <w:sz w:val="22"/>
          <w:szCs w:val="22"/>
        </w:rPr>
        <w:t xml:space="preserve">signal intensity, </w:t>
      </w:r>
      <w:r w:rsidR="00406B73">
        <w:rPr>
          <w:sz w:val="22"/>
        </w:rPr>
        <w:t>extent of surgical resection and</w:t>
      </w:r>
      <w:r w:rsidR="003F0A3F">
        <w:rPr>
          <w:sz w:val="22"/>
        </w:rPr>
        <w:t xml:space="preserve"> utility of adjuvant </w:t>
      </w:r>
      <w:r w:rsidR="003F0A3F" w:rsidRPr="003F0A3F">
        <w:rPr>
          <w:i/>
          <w:iCs/>
          <w:sz w:val="22"/>
        </w:rPr>
        <w:t>f</w:t>
      </w:r>
      <w:r w:rsidR="003F0A3F">
        <w:rPr>
          <w:sz w:val="22"/>
        </w:rPr>
        <w:t>RT</w:t>
      </w:r>
      <w:r w:rsidR="000F13DA">
        <w:rPr>
          <w:sz w:val="22"/>
        </w:rPr>
        <w:t>/SRS</w:t>
      </w:r>
      <w:r w:rsidR="003F0A3F">
        <w:rPr>
          <w:sz w:val="22"/>
        </w:rPr>
        <w:t xml:space="preserve">. </w:t>
      </w:r>
      <w:r w:rsidR="00406B73">
        <w:rPr>
          <w:sz w:val="22"/>
        </w:rPr>
        <w:t>T</w:t>
      </w:r>
      <w:r w:rsidR="003F0A3F">
        <w:rPr>
          <w:sz w:val="22"/>
        </w:rPr>
        <w:t xml:space="preserve">hese </w:t>
      </w:r>
      <w:r w:rsidR="00406B73">
        <w:rPr>
          <w:sz w:val="22"/>
        </w:rPr>
        <w:t>variables</w:t>
      </w:r>
      <w:r w:rsidR="000F13DA">
        <w:rPr>
          <w:sz w:val="22"/>
        </w:rPr>
        <w:t xml:space="preserve"> however, apart from adjuvant </w:t>
      </w:r>
      <w:r w:rsidR="000F13DA" w:rsidRPr="00801683">
        <w:rPr>
          <w:i/>
          <w:iCs/>
          <w:sz w:val="22"/>
        </w:rPr>
        <w:t>f</w:t>
      </w:r>
      <w:r w:rsidR="000F13DA">
        <w:rPr>
          <w:sz w:val="22"/>
        </w:rPr>
        <w:t xml:space="preserve">RT, </w:t>
      </w:r>
      <w:r w:rsidR="003F0A3F">
        <w:rPr>
          <w:sz w:val="22"/>
        </w:rPr>
        <w:t>were not associated with outcomes in multivariable analyses</w:t>
      </w:r>
      <w:r w:rsidR="000F13DA">
        <w:rPr>
          <w:sz w:val="22"/>
        </w:rPr>
        <w:t xml:space="preserve">. Conversely, recurrence-free survival in patients with multiple meningioma was non statistically shorter than in patients with solitary meningioma and this may be attributed to the lower use rate of adjuvant </w:t>
      </w:r>
      <w:r w:rsidR="000F13DA" w:rsidRPr="00801683">
        <w:rPr>
          <w:i/>
          <w:iCs/>
          <w:sz w:val="22"/>
        </w:rPr>
        <w:t>f</w:t>
      </w:r>
      <w:r w:rsidR="000F13DA">
        <w:rPr>
          <w:sz w:val="22"/>
        </w:rPr>
        <w:t xml:space="preserve">RT/SRS. </w:t>
      </w:r>
      <w:r w:rsidR="003F0A3F">
        <w:rPr>
          <w:sz w:val="22"/>
        </w:rPr>
        <w:t>Fourth</w:t>
      </w:r>
      <w:r w:rsidR="006661B9">
        <w:rPr>
          <w:sz w:val="22"/>
        </w:rPr>
        <w:t xml:space="preserve">, </w:t>
      </w:r>
      <w:r w:rsidR="008B49B3">
        <w:rPr>
          <w:sz w:val="22"/>
        </w:rPr>
        <w:t xml:space="preserve">most patients had 2 meningioma: a </w:t>
      </w:r>
      <w:r w:rsidR="008B49B3" w:rsidRPr="008B49B3">
        <w:rPr>
          <w:sz w:val="22"/>
        </w:rPr>
        <w:t>large index lesion with 1 other much smaller meningioma</w:t>
      </w:r>
      <w:r w:rsidR="008B49B3">
        <w:rPr>
          <w:sz w:val="22"/>
        </w:rPr>
        <w:t xml:space="preserve">. </w:t>
      </w:r>
      <w:r w:rsidR="00E52FCB">
        <w:rPr>
          <w:sz w:val="22"/>
        </w:rPr>
        <w:t>T</w:t>
      </w:r>
      <w:r w:rsidR="008B49B3">
        <w:rPr>
          <w:sz w:val="22"/>
        </w:rPr>
        <w:t xml:space="preserve">his mode of presentation for </w:t>
      </w:r>
      <w:r w:rsidR="00201509">
        <w:rPr>
          <w:sz w:val="22"/>
        </w:rPr>
        <w:t xml:space="preserve">sporadic </w:t>
      </w:r>
      <w:r w:rsidR="008B49B3">
        <w:rPr>
          <w:sz w:val="22"/>
        </w:rPr>
        <w:t xml:space="preserve">multiple meningioma is the most common, previously described as the </w:t>
      </w:r>
      <w:r w:rsidR="008B49B3" w:rsidRPr="008B49B3">
        <w:rPr>
          <w:sz w:val="22"/>
        </w:rPr>
        <w:t>“mother-son tumor”</w:t>
      </w:r>
      <w:r w:rsidR="00201509">
        <w:rPr>
          <w:sz w:val="22"/>
        </w:rPr>
        <w:t xml:space="preserve"> phenomenon </w:t>
      </w:r>
      <w:r w:rsidR="00201509">
        <w:rPr>
          <w:sz w:val="22"/>
        </w:rPr>
        <w:fldChar w:fldCharType="begin"/>
      </w:r>
      <w:r w:rsidR="00201509">
        <w:rPr>
          <w:sz w:val="22"/>
        </w:rPr>
        <w:instrText xml:space="preserve"> ADDIN ZOTERO_ITEM CSL_CITATION {"citationID":"zveCGrfk","properties":{"formattedCitation":"(21)","plainCitation":"(21)","noteIndex":0},"citationItems":[{"id":112,"uris":["http://zotero.org/users/local/siebo2NQ/items/WC3U2JFN"],"itemData":{"id":112,"type":"article-journal","abstract":"\"Letter to the Editor. Multiple meningiomas\" published on May 2018 by American Association of Neurological Surgeons.","container-title":"Journal of Neurosurgery","DOI":"10.3171/2017.8.JNS172004","ISSN":"1933-0693, 0022-3085","issue":"5","language":"en_US","note":"publisher: American Association of Neurological Surgeons\nsection: Journal of Neurosurgery","page":"1593-1594","source":"thejns.org","title":"Letter to the Editor. Multiple meningiomas","volume":"128","author":[{"family":"Wang","given":"Li"},{"family":"Chen","given":"Wei"},{"family":"Liu","given":"Fujun"},{"family":"Zhang","given":"Li F."},{"family":"Chen","given":"Jing"}],"issued":{"date-parts":[["2018",5,1]]}}}],"schema":"https://github.com/citation-style-language/schema/raw/master/csl-citation.json"} </w:instrText>
      </w:r>
      <w:r w:rsidR="00201509">
        <w:rPr>
          <w:sz w:val="22"/>
        </w:rPr>
        <w:fldChar w:fldCharType="separate"/>
      </w:r>
      <w:r w:rsidR="00201509" w:rsidRPr="00201509">
        <w:rPr>
          <w:rFonts w:ascii="Calibri" w:hAnsi="Calibri" w:cs="Calibri"/>
          <w:sz w:val="22"/>
        </w:rPr>
        <w:t>(21)</w:t>
      </w:r>
      <w:r w:rsidR="00201509">
        <w:rPr>
          <w:sz w:val="22"/>
        </w:rPr>
        <w:fldChar w:fldCharType="end"/>
      </w:r>
      <w:r w:rsidR="00E52FCB">
        <w:rPr>
          <w:sz w:val="22"/>
        </w:rPr>
        <w:t xml:space="preserve">. The study findings therefore may not be applicable to the rarer scenario of </w:t>
      </w:r>
      <w:r w:rsidR="00201509">
        <w:rPr>
          <w:sz w:val="22"/>
        </w:rPr>
        <w:t xml:space="preserve">patients with </w:t>
      </w:r>
      <w:r w:rsidR="00E52FCB">
        <w:rPr>
          <w:rFonts w:cstheme="minorHAnsi"/>
          <w:sz w:val="22"/>
        </w:rPr>
        <w:t>≥</w:t>
      </w:r>
      <w:r w:rsidR="00201509">
        <w:rPr>
          <w:sz w:val="22"/>
        </w:rPr>
        <w:t xml:space="preserve">2 </w:t>
      </w:r>
      <w:r w:rsidR="00E52FCB">
        <w:rPr>
          <w:sz w:val="22"/>
        </w:rPr>
        <w:t xml:space="preserve">large </w:t>
      </w:r>
      <w:r w:rsidR="00201509">
        <w:rPr>
          <w:sz w:val="22"/>
        </w:rPr>
        <w:t>meningioma</w:t>
      </w:r>
      <w:r w:rsidR="00E52FCB">
        <w:rPr>
          <w:sz w:val="22"/>
        </w:rPr>
        <w:t>.</w:t>
      </w:r>
      <w:r w:rsidR="00201509">
        <w:rPr>
          <w:sz w:val="22"/>
        </w:rPr>
        <w:t xml:space="preserve"> </w:t>
      </w:r>
      <w:r w:rsidR="00E52FCB">
        <w:rPr>
          <w:sz w:val="22"/>
        </w:rPr>
        <w:t>Fifth,</w:t>
      </w:r>
      <w:r w:rsidR="008B49B3">
        <w:rPr>
          <w:sz w:val="22"/>
        </w:rPr>
        <w:t xml:space="preserve"> </w:t>
      </w:r>
      <w:r w:rsidR="006661B9">
        <w:rPr>
          <w:sz w:val="22"/>
        </w:rPr>
        <w:t>a</w:t>
      </w:r>
      <w:r w:rsidRPr="00A86FE6">
        <w:rPr>
          <w:sz w:val="22"/>
        </w:rPr>
        <w:t>ssessment of quality of</w:t>
      </w:r>
      <w:r>
        <w:rPr>
          <w:sz w:val="22"/>
        </w:rPr>
        <w:t xml:space="preserve"> </w:t>
      </w:r>
      <w:r w:rsidRPr="00A86FE6">
        <w:rPr>
          <w:sz w:val="22"/>
        </w:rPr>
        <w:t xml:space="preserve">life was not possible with the data available. </w:t>
      </w:r>
    </w:p>
    <w:p w14:paraId="686CD9E6" w14:textId="77777777" w:rsidR="00134993" w:rsidRDefault="00134993" w:rsidP="0007491E">
      <w:pPr>
        <w:spacing w:line="360" w:lineRule="auto"/>
        <w:jc w:val="both"/>
        <w:rPr>
          <w:sz w:val="22"/>
        </w:rPr>
      </w:pPr>
    </w:p>
    <w:p w14:paraId="1B5DCA12" w14:textId="1D412D20" w:rsidR="00C5700B" w:rsidRPr="00134993" w:rsidRDefault="00ED797F" w:rsidP="0007491E">
      <w:pPr>
        <w:spacing w:line="360" w:lineRule="auto"/>
        <w:jc w:val="both"/>
        <w:rPr>
          <w:sz w:val="22"/>
        </w:rPr>
      </w:pPr>
      <w:r w:rsidRPr="00ED797F">
        <w:rPr>
          <w:rFonts w:cstheme="minorHAnsi"/>
          <w:b/>
          <w:sz w:val="28"/>
          <w:szCs w:val="28"/>
        </w:rPr>
        <w:t>CONCLUSIONS</w:t>
      </w:r>
    </w:p>
    <w:p w14:paraId="1EED090A" w14:textId="61844C13" w:rsidR="00C80ADB" w:rsidRDefault="002E400E" w:rsidP="0007491E">
      <w:pPr>
        <w:spacing w:line="360" w:lineRule="auto"/>
        <w:jc w:val="both"/>
        <w:rPr>
          <w:sz w:val="22"/>
          <w:szCs w:val="22"/>
        </w:rPr>
      </w:pPr>
      <w:r>
        <w:rPr>
          <w:sz w:val="22"/>
          <w:szCs w:val="22"/>
        </w:rPr>
        <w:t>Sporadic multipl</w:t>
      </w:r>
      <w:r w:rsidR="00660221">
        <w:rPr>
          <w:sz w:val="22"/>
          <w:szCs w:val="22"/>
        </w:rPr>
        <w:t>e</w:t>
      </w:r>
      <w:r>
        <w:rPr>
          <w:sz w:val="22"/>
          <w:szCs w:val="22"/>
        </w:rPr>
        <w:t xml:space="preserve"> meningioma </w:t>
      </w:r>
      <w:r w:rsidR="00B11313">
        <w:rPr>
          <w:sz w:val="22"/>
          <w:szCs w:val="22"/>
        </w:rPr>
        <w:t xml:space="preserve">may </w:t>
      </w:r>
      <w:r>
        <w:rPr>
          <w:sz w:val="22"/>
          <w:szCs w:val="22"/>
        </w:rPr>
        <w:t xml:space="preserve">not </w:t>
      </w:r>
      <w:r w:rsidR="00660221">
        <w:rPr>
          <w:sz w:val="22"/>
          <w:szCs w:val="22"/>
        </w:rPr>
        <w:t xml:space="preserve">have </w:t>
      </w:r>
      <w:r>
        <w:rPr>
          <w:sz w:val="22"/>
          <w:szCs w:val="22"/>
        </w:rPr>
        <w:t>worse recurrence</w:t>
      </w:r>
      <w:r w:rsidR="000F13DA">
        <w:rPr>
          <w:sz w:val="22"/>
          <w:szCs w:val="22"/>
        </w:rPr>
        <w:t>-</w:t>
      </w:r>
      <w:r>
        <w:rPr>
          <w:sz w:val="22"/>
          <w:szCs w:val="22"/>
        </w:rPr>
        <w:t>free and overall survival</w:t>
      </w:r>
      <w:r w:rsidR="00660221">
        <w:rPr>
          <w:sz w:val="22"/>
          <w:szCs w:val="22"/>
        </w:rPr>
        <w:t xml:space="preserve"> compared to solitary meningioma</w:t>
      </w:r>
      <w:r>
        <w:rPr>
          <w:sz w:val="22"/>
          <w:szCs w:val="22"/>
        </w:rPr>
        <w:t xml:space="preserve">. Management of patients </w:t>
      </w:r>
      <w:r w:rsidR="005F2390">
        <w:rPr>
          <w:sz w:val="22"/>
          <w:szCs w:val="22"/>
        </w:rPr>
        <w:t>should</w:t>
      </w:r>
      <w:r w:rsidR="00A22D29">
        <w:rPr>
          <w:sz w:val="22"/>
          <w:szCs w:val="22"/>
        </w:rPr>
        <w:t xml:space="preserve"> be tailored to the symptomatic meningioma or higher risk asymptomatic meningioma</w:t>
      </w:r>
      <w:r w:rsidR="005F2390">
        <w:rPr>
          <w:sz w:val="22"/>
          <w:szCs w:val="22"/>
        </w:rPr>
        <w:t xml:space="preserve"> – the so-called ‘index meningioma’</w:t>
      </w:r>
      <w:r w:rsidR="00A22D29">
        <w:rPr>
          <w:sz w:val="22"/>
          <w:szCs w:val="22"/>
        </w:rPr>
        <w:t xml:space="preserve">. </w:t>
      </w:r>
    </w:p>
    <w:p w14:paraId="275629D7" w14:textId="2F8FDE12" w:rsidR="008A1593" w:rsidRDefault="008A1593" w:rsidP="0007491E">
      <w:pPr>
        <w:spacing w:line="360" w:lineRule="auto"/>
        <w:jc w:val="both"/>
        <w:rPr>
          <w:sz w:val="22"/>
          <w:szCs w:val="22"/>
        </w:rPr>
      </w:pPr>
    </w:p>
    <w:p w14:paraId="126B2199" w14:textId="77777777" w:rsidR="00771AB6" w:rsidRDefault="00771AB6" w:rsidP="0007491E">
      <w:pPr>
        <w:spacing w:line="360" w:lineRule="auto"/>
        <w:jc w:val="both"/>
        <w:rPr>
          <w:sz w:val="22"/>
          <w:szCs w:val="22"/>
        </w:rPr>
      </w:pPr>
    </w:p>
    <w:p w14:paraId="32F4A9D3" w14:textId="77777777" w:rsidR="00771AB6" w:rsidRDefault="00771AB6" w:rsidP="0007491E">
      <w:pPr>
        <w:spacing w:line="360" w:lineRule="auto"/>
        <w:jc w:val="both"/>
        <w:rPr>
          <w:sz w:val="22"/>
          <w:szCs w:val="22"/>
        </w:rPr>
      </w:pPr>
    </w:p>
    <w:p w14:paraId="6F23C2D0" w14:textId="77777777" w:rsidR="00771AB6" w:rsidRDefault="00771AB6" w:rsidP="0007491E">
      <w:pPr>
        <w:spacing w:line="360" w:lineRule="auto"/>
        <w:jc w:val="both"/>
        <w:rPr>
          <w:sz w:val="22"/>
          <w:szCs w:val="22"/>
        </w:rPr>
      </w:pPr>
    </w:p>
    <w:p w14:paraId="49F5AA7C" w14:textId="77777777" w:rsidR="00771AB6" w:rsidRDefault="00771AB6" w:rsidP="0007491E">
      <w:pPr>
        <w:spacing w:line="360" w:lineRule="auto"/>
        <w:jc w:val="both"/>
        <w:rPr>
          <w:sz w:val="22"/>
          <w:szCs w:val="22"/>
        </w:rPr>
      </w:pPr>
    </w:p>
    <w:p w14:paraId="709A39BA" w14:textId="77777777" w:rsidR="00771AB6" w:rsidRDefault="00771AB6" w:rsidP="0007491E">
      <w:pPr>
        <w:spacing w:line="360" w:lineRule="auto"/>
        <w:jc w:val="both"/>
        <w:rPr>
          <w:sz w:val="22"/>
          <w:szCs w:val="22"/>
        </w:rPr>
      </w:pPr>
    </w:p>
    <w:p w14:paraId="0092B16D" w14:textId="77777777" w:rsidR="00771AB6" w:rsidRDefault="00771AB6" w:rsidP="0007491E">
      <w:pPr>
        <w:spacing w:line="360" w:lineRule="auto"/>
        <w:jc w:val="both"/>
        <w:rPr>
          <w:sz w:val="22"/>
          <w:szCs w:val="22"/>
        </w:rPr>
      </w:pPr>
    </w:p>
    <w:p w14:paraId="67A576E0" w14:textId="77777777" w:rsidR="00771AB6" w:rsidRDefault="00771AB6" w:rsidP="0007491E">
      <w:pPr>
        <w:spacing w:line="360" w:lineRule="auto"/>
        <w:jc w:val="both"/>
        <w:rPr>
          <w:sz w:val="22"/>
          <w:szCs w:val="22"/>
        </w:rPr>
      </w:pPr>
    </w:p>
    <w:p w14:paraId="51CE5534" w14:textId="77777777" w:rsidR="00771AB6" w:rsidRDefault="00771AB6" w:rsidP="0007491E">
      <w:pPr>
        <w:spacing w:line="360" w:lineRule="auto"/>
        <w:jc w:val="both"/>
        <w:rPr>
          <w:sz w:val="22"/>
          <w:szCs w:val="22"/>
        </w:rPr>
      </w:pPr>
    </w:p>
    <w:p w14:paraId="3D471E86" w14:textId="3AFC1B3B" w:rsidR="008A1593" w:rsidRDefault="008A1593" w:rsidP="0007491E">
      <w:pPr>
        <w:pStyle w:val="Heading1"/>
        <w:spacing w:line="360" w:lineRule="auto"/>
        <w:rPr>
          <w:rFonts w:asciiTheme="minorHAnsi" w:hAnsiTheme="minorHAnsi" w:cstheme="minorHAnsi"/>
          <w:b/>
          <w:bCs/>
          <w:color w:val="auto"/>
          <w:sz w:val="28"/>
          <w:szCs w:val="28"/>
        </w:rPr>
      </w:pPr>
      <w:r w:rsidRPr="008A1593">
        <w:rPr>
          <w:rFonts w:asciiTheme="minorHAnsi" w:hAnsiTheme="minorHAnsi" w:cstheme="minorHAnsi"/>
          <w:b/>
          <w:bCs/>
          <w:color w:val="auto"/>
          <w:sz w:val="28"/>
          <w:szCs w:val="28"/>
        </w:rPr>
        <w:lastRenderedPageBreak/>
        <w:t>FIGURE</w:t>
      </w:r>
      <w:r w:rsidR="00771AB6">
        <w:rPr>
          <w:rFonts w:asciiTheme="minorHAnsi" w:hAnsiTheme="minorHAnsi" w:cstheme="minorHAnsi"/>
          <w:b/>
          <w:bCs/>
          <w:color w:val="auto"/>
          <w:sz w:val="28"/>
          <w:szCs w:val="28"/>
        </w:rPr>
        <w:t>S</w:t>
      </w:r>
    </w:p>
    <w:p w14:paraId="7FAF3BB6" w14:textId="74AD6718" w:rsidR="00771AB6" w:rsidRDefault="00771AB6" w:rsidP="00771AB6">
      <w:r>
        <w:rPr>
          <w:noProof/>
          <w:lang w:val="en-GB" w:eastAsia="en-GB"/>
        </w:rPr>
        <w:drawing>
          <wp:anchor distT="0" distB="0" distL="114300" distR="114300" simplePos="0" relativeHeight="251658240" behindDoc="0" locked="0" layoutInCell="1" allowOverlap="1" wp14:anchorId="702B4078" wp14:editId="204ECA7E">
            <wp:simplePos x="0" y="0"/>
            <wp:positionH relativeFrom="column">
              <wp:posOffset>-19050</wp:posOffset>
            </wp:positionH>
            <wp:positionV relativeFrom="paragraph">
              <wp:posOffset>36195</wp:posOffset>
            </wp:positionV>
            <wp:extent cx="4076700" cy="3308816"/>
            <wp:effectExtent l="0" t="0" r="0" b="6350"/>
            <wp:wrapNone/>
            <wp:docPr id="1" name="Picture 1" descr="C:\Users\ward3\Download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3\Downloads\Figure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33088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7D32E" w14:textId="77777777" w:rsidR="00771AB6" w:rsidRDefault="00771AB6" w:rsidP="00771AB6"/>
    <w:p w14:paraId="251D6327" w14:textId="77777777" w:rsidR="00771AB6" w:rsidRDefault="00771AB6" w:rsidP="00771AB6"/>
    <w:p w14:paraId="7371A808" w14:textId="77777777" w:rsidR="00771AB6" w:rsidRDefault="00771AB6" w:rsidP="00771AB6"/>
    <w:p w14:paraId="6A482514" w14:textId="77777777" w:rsidR="00771AB6" w:rsidRDefault="00771AB6" w:rsidP="00771AB6"/>
    <w:p w14:paraId="6CC358F0" w14:textId="77777777" w:rsidR="00771AB6" w:rsidRDefault="00771AB6" w:rsidP="00771AB6"/>
    <w:p w14:paraId="1D37E5E0" w14:textId="77777777" w:rsidR="00771AB6" w:rsidRDefault="00771AB6" w:rsidP="00771AB6"/>
    <w:p w14:paraId="047A916E" w14:textId="77777777" w:rsidR="00771AB6" w:rsidRDefault="00771AB6" w:rsidP="00771AB6"/>
    <w:p w14:paraId="6D29CE46" w14:textId="77777777" w:rsidR="00771AB6" w:rsidRDefault="00771AB6" w:rsidP="00771AB6"/>
    <w:p w14:paraId="77DB3ECD" w14:textId="77777777" w:rsidR="00771AB6" w:rsidRDefault="00771AB6" w:rsidP="00771AB6"/>
    <w:p w14:paraId="3105238D" w14:textId="77777777" w:rsidR="00771AB6" w:rsidRDefault="00771AB6" w:rsidP="00771AB6"/>
    <w:p w14:paraId="2D31B369" w14:textId="77777777" w:rsidR="00771AB6" w:rsidRDefault="00771AB6" w:rsidP="00771AB6"/>
    <w:p w14:paraId="66BC9F28" w14:textId="77777777" w:rsidR="00771AB6" w:rsidRDefault="00771AB6" w:rsidP="00771AB6"/>
    <w:p w14:paraId="6D329D77" w14:textId="77777777" w:rsidR="00771AB6" w:rsidRDefault="00771AB6" w:rsidP="00771AB6"/>
    <w:p w14:paraId="49CFD990" w14:textId="77777777" w:rsidR="00771AB6" w:rsidRDefault="00771AB6" w:rsidP="00771AB6"/>
    <w:p w14:paraId="45DA4267" w14:textId="77777777" w:rsidR="00771AB6" w:rsidRDefault="00771AB6" w:rsidP="00771AB6"/>
    <w:p w14:paraId="61324222" w14:textId="77777777" w:rsidR="00771AB6" w:rsidRDefault="00771AB6" w:rsidP="00771AB6"/>
    <w:p w14:paraId="601FEE96" w14:textId="77777777" w:rsidR="00771AB6" w:rsidRDefault="00771AB6" w:rsidP="00771AB6"/>
    <w:p w14:paraId="73165509" w14:textId="77777777" w:rsidR="00771AB6" w:rsidRPr="00771AB6" w:rsidRDefault="00771AB6" w:rsidP="00771AB6"/>
    <w:p w14:paraId="43474409" w14:textId="502E259A" w:rsidR="00692F56" w:rsidRDefault="00692F56" w:rsidP="0007491E">
      <w:pPr>
        <w:spacing w:line="360" w:lineRule="auto"/>
        <w:jc w:val="both"/>
        <w:rPr>
          <w:sz w:val="22"/>
          <w:szCs w:val="22"/>
        </w:rPr>
      </w:pPr>
      <w:proofErr w:type="gramStart"/>
      <w:r>
        <w:rPr>
          <w:sz w:val="22"/>
          <w:szCs w:val="22"/>
        </w:rPr>
        <w:t>Figure 1.</w:t>
      </w:r>
      <w:proofErr w:type="gramEnd"/>
      <w:r>
        <w:rPr>
          <w:sz w:val="22"/>
          <w:szCs w:val="22"/>
        </w:rPr>
        <w:t xml:space="preserve"> A bar plot presenting the number of interventions in patients with sol</w:t>
      </w:r>
      <w:r w:rsidR="00771AB6">
        <w:rPr>
          <w:sz w:val="22"/>
          <w:szCs w:val="22"/>
        </w:rPr>
        <w:t>itary and multiple meningioma</w:t>
      </w:r>
    </w:p>
    <w:p w14:paraId="278E60CC" w14:textId="7F5706EE" w:rsidR="00771AB6" w:rsidRDefault="00771AB6" w:rsidP="0007491E">
      <w:pPr>
        <w:spacing w:line="360" w:lineRule="auto"/>
        <w:jc w:val="both"/>
        <w:rPr>
          <w:sz w:val="22"/>
          <w:szCs w:val="22"/>
        </w:rPr>
      </w:pPr>
      <w:r>
        <w:rPr>
          <w:noProof/>
          <w:sz w:val="22"/>
          <w:szCs w:val="22"/>
          <w:lang w:val="en-GB" w:eastAsia="en-GB"/>
        </w:rPr>
        <w:drawing>
          <wp:anchor distT="0" distB="0" distL="114300" distR="114300" simplePos="0" relativeHeight="251659264" behindDoc="0" locked="0" layoutInCell="1" allowOverlap="1" wp14:anchorId="3635C860" wp14:editId="294D11CA">
            <wp:simplePos x="0" y="0"/>
            <wp:positionH relativeFrom="column">
              <wp:posOffset>-19050</wp:posOffset>
            </wp:positionH>
            <wp:positionV relativeFrom="paragraph">
              <wp:posOffset>95250</wp:posOffset>
            </wp:positionV>
            <wp:extent cx="4746259" cy="3505200"/>
            <wp:effectExtent l="0" t="0" r="0" b="0"/>
            <wp:wrapNone/>
            <wp:docPr id="2" name="Picture 2" descr="C:\Users\ward3\Downloads\Figure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d3\Downloads\Figure 2.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6259"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4474E" w14:textId="54E20E9A" w:rsidR="00771AB6" w:rsidRDefault="00771AB6" w:rsidP="0007491E">
      <w:pPr>
        <w:spacing w:line="360" w:lineRule="auto"/>
        <w:jc w:val="both"/>
        <w:rPr>
          <w:sz w:val="22"/>
          <w:szCs w:val="22"/>
        </w:rPr>
      </w:pPr>
    </w:p>
    <w:p w14:paraId="36D042F8" w14:textId="4A5C5BC5" w:rsidR="00771AB6" w:rsidRDefault="00771AB6" w:rsidP="0007491E">
      <w:pPr>
        <w:spacing w:line="360" w:lineRule="auto"/>
        <w:jc w:val="both"/>
        <w:rPr>
          <w:sz w:val="22"/>
          <w:szCs w:val="22"/>
        </w:rPr>
      </w:pPr>
    </w:p>
    <w:p w14:paraId="6EA5F071" w14:textId="77777777" w:rsidR="00771AB6" w:rsidRDefault="00771AB6" w:rsidP="0007491E">
      <w:pPr>
        <w:spacing w:line="360" w:lineRule="auto"/>
        <w:jc w:val="both"/>
        <w:rPr>
          <w:sz w:val="22"/>
          <w:szCs w:val="22"/>
        </w:rPr>
      </w:pPr>
    </w:p>
    <w:p w14:paraId="6F0622C6" w14:textId="77777777" w:rsidR="00771AB6" w:rsidRDefault="00771AB6" w:rsidP="0007491E">
      <w:pPr>
        <w:spacing w:line="360" w:lineRule="auto"/>
        <w:jc w:val="both"/>
        <w:rPr>
          <w:sz w:val="22"/>
          <w:szCs w:val="22"/>
        </w:rPr>
      </w:pPr>
    </w:p>
    <w:p w14:paraId="5970EC35" w14:textId="77777777" w:rsidR="00771AB6" w:rsidRDefault="00771AB6" w:rsidP="0007491E">
      <w:pPr>
        <w:spacing w:line="360" w:lineRule="auto"/>
        <w:jc w:val="both"/>
        <w:rPr>
          <w:sz w:val="22"/>
          <w:szCs w:val="22"/>
        </w:rPr>
      </w:pPr>
    </w:p>
    <w:p w14:paraId="5C2284D8" w14:textId="23BA9A98" w:rsidR="00771AB6" w:rsidRDefault="00771AB6" w:rsidP="0007491E">
      <w:pPr>
        <w:spacing w:line="360" w:lineRule="auto"/>
        <w:jc w:val="both"/>
        <w:rPr>
          <w:sz w:val="22"/>
          <w:szCs w:val="22"/>
        </w:rPr>
      </w:pPr>
    </w:p>
    <w:p w14:paraId="334F3945" w14:textId="77777777" w:rsidR="00771AB6" w:rsidRDefault="00771AB6" w:rsidP="0007491E">
      <w:pPr>
        <w:spacing w:line="360" w:lineRule="auto"/>
        <w:jc w:val="both"/>
        <w:rPr>
          <w:sz w:val="22"/>
          <w:szCs w:val="22"/>
        </w:rPr>
      </w:pPr>
    </w:p>
    <w:p w14:paraId="0154EE00" w14:textId="77777777" w:rsidR="00771AB6" w:rsidRDefault="00771AB6" w:rsidP="0007491E">
      <w:pPr>
        <w:spacing w:line="360" w:lineRule="auto"/>
        <w:jc w:val="both"/>
        <w:rPr>
          <w:sz w:val="22"/>
          <w:szCs w:val="22"/>
        </w:rPr>
      </w:pPr>
    </w:p>
    <w:p w14:paraId="323B38FD" w14:textId="77777777" w:rsidR="00771AB6" w:rsidRDefault="00771AB6" w:rsidP="0007491E">
      <w:pPr>
        <w:spacing w:line="360" w:lineRule="auto"/>
        <w:jc w:val="both"/>
        <w:rPr>
          <w:sz w:val="22"/>
          <w:szCs w:val="22"/>
        </w:rPr>
      </w:pPr>
    </w:p>
    <w:p w14:paraId="2506043A" w14:textId="77777777" w:rsidR="00771AB6" w:rsidRDefault="00771AB6" w:rsidP="0007491E">
      <w:pPr>
        <w:spacing w:line="360" w:lineRule="auto"/>
        <w:jc w:val="both"/>
        <w:rPr>
          <w:sz w:val="22"/>
          <w:szCs w:val="22"/>
        </w:rPr>
      </w:pPr>
    </w:p>
    <w:p w14:paraId="72DCDA87" w14:textId="77777777" w:rsidR="00771AB6" w:rsidRDefault="00771AB6" w:rsidP="0007491E">
      <w:pPr>
        <w:spacing w:line="360" w:lineRule="auto"/>
        <w:jc w:val="both"/>
        <w:rPr>
          <w:sz w:val="22"/>
          <w:szCs w:val="22"/>
        </w:rPr>
      </w:pPr>
    </w:p>
    <w:p w14:paraId="1DB8711B" w14:textId="77777777" w:rsidR="00771AB6" w:rsidRDefault="00771AB6" w:rsidP="0007491E">
      <w:pPr>
        <w:spacing w:line="360" w:lineRule="auto"/>
        <w:jc w:val="both"/>
        <w:rPr>
          <w:sz w:val="22"/>
          <w:szCs w:val="22"/>
        </w:rPr>
      </w:pPr>
    </w:p>
    <w:p w14:paraId="47D7E4DC" w14:textId="77777777" w:rsidR="00771AB6" w:rsidRDefault="00771AB6" w:rsidP="0007491E">
      <w:pPr>
        <w:spacing w:line="360" w:lineRule="auto"/>
        <w:jc w:val="both"/>
        <w:rPr>
          <w:sz w:val="22"/>
          <w:szCs w:val="22"/>
        </w:rPr>
      </w:pPr>
    </w:p>
    <w:p w14:paraId="1E676654" w14:textId="77777777" w:rsidR="00771AB6" w:rsidRDefault="00771AB6" w:rsidP="0007491E">
      <w:pPr>
        <w:spacing w:line="360" w:lineRule="auto"/>
        <w:jc w:val="both"/>
        <w:rPr>
          <w:sz w:val="22"/>
          <w:szCs w:val="22"/>
        </w:rPr>
      </w:pPr>
    </w:p>
    <w:p w14:paraId="3E46D070" w14:textId="78477D31" w:rsidR="008A1593" w:rsidRPr="003F0A3F" w:rsidRDefault="008A1593" w:rsidP="0007491E">
      <w:pPr>
        <w:spacing w:line="360" w:lineRule="auto"/>
        <w:jc w:val="both"/>
        <w:rPr>
          <w:sz w:val="22"/>
          <w:szCs w:val="22"/>
        </w:rPr>
      </w:pPr>
      <w:proofErr w:type="gramStart"/>
      <w:r w:rsidRPr="003F0A3F">
        <w:rPr>
          <w:sz w:val="22"/>
          <w:szCs w:val="22"/>
        </w:rPr>
        <w:t xml:space="preserve">Figure </w:t>
      </w:r>
      <w:r w:rsidR="00692F56">
        <w:rPr>
          <w:sz w:val="22"/>
          <w:szCs w:val="22"/>
        </w:rPr>
        <w:t>2</w:t>
      </w:r>
      <w:r w:rsidRPr="003F0A3F">
        <w:rPr>
          <w:sz w:val="22"/>
          <w:szCs w:val="22"/>
        </w:rPr>
        <w:t>.</w:t>
      </w:r>
      <w:proofErr w:type="gramEnd"/>
      <w:r w:rsidR="0017072F" w:rsidRPr="003F0A3F">
        <w:rPr>
          <w:sz w:val="22"/>
          <w:szCs w:val="22"/>
        </w:rPr>
        <w:t xml:space="preserve"> Extent of resection and utility of adjuvant treatment with recur</w:t>
      </w:r>
      <w:r w:rsidR="00771AB6">
        <w:rPr>
          <w:sz w:val="22"/>
          <w:szCs w:val="22"/>
        </w:rPr>
        <w:t>rence rates stratified by each</w:t>
      </w:r>
    </w:p>
    <w:p w14:paraId="0CB03D8A" w14:textId="7BBD64EE" w:rsidR="00771AB6" w:rsidRDefault="00771AB6" w:rsidP="0007491E">
      <w:pPr>
        <w:spacing w:line="360" w:lineRule="auto"/>
        <w:jc w:val="both"/>
        <w:rPr>
          <w:sz w:val="22"/>
          <w:szCs w:val="22"/>
        </w:rPr>
      </w:pPr>
      <w:r>
        <w:rPr>
          <w:noProof/>
          <w:sz w:val="22"/>
          <w:szCs w:val="22"/>
          <w:lang w:val="en-GB" w:eastAsia="en-GB"/>
        </w:rPr>
        <w:lastRenderedPageBreak/>
        <w:drawing>
          <wp:anchor distT="0" distB="0" distL="114300" distR="114300" simplePos="0" relativeHeight="251660288" behindDoc="0" locked="0" layoutInCell="1" allowOverlap="1" wp14:anchorId="4C04CC97" wp14:editId="1D13FDF3">
            <wp:simplePos x="0" y="0"/>
            <wp:positionH relativeFrom="column">
              <wp:posOffset>0</wp:posOffset>
            </wp:positionH>
            <wp:positionV relativeFrom="paragraph">
              <wp:posOffset>-1</wp:posOffset>
            </wp:positionV>
            <wp:extent cx="5391150" cy="3391465"/>
            <wp:effectExtent l="0" t="0" r="0" b="0"/>
            <wp:wrapNone/>
            <wp:docPr id="3" name="Picture 3" descr="C:\Users\ward3\Downloads\Figure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d3\Downloads\Figure 3.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33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591BA" w14:textId="77777777" w:rsidR="00771AB6" w:rsidRDefault="00771AB6" w:rsidP="0007491E">
      <w:pPr>
        <w:spacing w:line="360" w:lineRule="auto"/>
        <w:jc w:val="both"/>
        <w:rPr>
          <w:sz w:val="22"/>
          <w:szCs w:val="22"/>
        </w:rPr>
      </w:pPr>
    </w:p>
    <w:p w14:paraId="02246810" w14:textId="77777777" w:rsidR="00771AB6" w:rsidRDefault="00771AB6" w:rsidP="0007491E">
      <w:pPr>
        <w:spacing w:line="360" w:lineRule="auto"/>
        <w:jc w:val="both"/>
        <w:rPr>
          <w:sz w:val="22"/>
          <w:szCs w:val="22"/>
        </w:rPr>
      </w:pPr>
    </w:p>
    <w:p w14:paraId="49B8D8F9" w14:textId="77777777" w:rsidR="00771AB6" w:rsidRDefault="00771AB6" w:rsidP="0007491E">
      <w:pPr>
        <w:spacing w:line="360" w:lineRule="auto"/>
        <w:jc w:val="both"/>
        <w:rPr>
          <w:sz w:val="22"/>
          <w:szCs w:val="22"/>
        </w:rPr>
      </w:pPr>
    </w:p>
    <w:p w14:paraId="536893E9" w14:textId="77777777" w:rsidR="00771AB6" w:rsidRDefault="00771AB6" w:rsidP="0007491E">
      <w:pPr>
        <w:spacing w:line="360" w:lineRule="auto"/>
        <w:jc w:val="both"/>
        <w:rPr>
          <w:sz w:val="22"/>
          <w:szCs w:val="22"/>
        </w:rPr>
      </w:pPr>
    </w:p>
    <w:p w14:paraId="6DFF3F1D" w14:textId="77777777" w:rsidR="00771AB6" w:rsidRDefault="00771AB6" w:rsidP="0007491E">
      <w:pPr>
        <w:spacing w:line="360" w:lineRule="auto"/>
        <w:jc w:val="both"/>
        <w:rPr>
          <w:sz w:val="22"/>
          <w:szCs w:val="22"/>
        </w:rPr>
      </w:pPr>
    </w:p>
    <w:p w14:paraId="23022075" w14:textId="77777777" w:rsidR="00771AB6" w:rsidRDefault="00771AB6" w:rsidP="0007491E">
      <w:pPr>
        <w:spacing w:line="360" w:lineRule="auto"/>
        <w:jc w:val="both"/>
        <w:rPr>
          <w:sz w:val="22"/>
          <w:szCs w:val="22"/>
        </w:rPr>
      </w:pPr>
    </w:p>
    <w:p w14:paraId="23A3DF6E" w14:textId="77777777" w:rsidR="00771AB6" w:rsidRDefault="00771AB6" w:rsidP="0007491E">
      <w:pPr>
        <w:spacing w:line="360" w:lineRule="auto"/>
        <w:jc w:val="both"/>
        <w:rPr>
          <w:sz w:val="22"/>
          <w:szCs w:val="22"/>
        </w:rPr>
      </w:pPr>
    </w:p>
    <w:p w14:paraId="60BF37E8" w14:textId="77777777" w:rsidR="00771AB6" w:rsidRDefault="00771AB6" w:rsidP="0007491E">
      <w:pPr>
        <w:spacing w:line="360" w:lineRule="auto"/>
        <w:jc w:val="both"/>
        <w:rPr>
          <w:sz w:val="22"/>
          <w:szCs w:val="22"/>
        </w:rPr>
      </w:pPr>
    </w:p>
    <w:p w14:paraId="22D09AEC" w14:textId="77777777" w:rsidR="00771AB6" w:rsidRDefault="00771AB6" w:rsidP="0007491E">
      <w:pPr>
        <w:spacing w:line="360" w:lineRule="auto"/>
        <w:jc w:val="both"/>
        <w:rPr>
          <w:sz w:val="22"/>
          <w:szCs w:val="22"/>
        </w:rPr>
      </w:pPr>
    </w:p>
    <w:p w14:paraId="37D408D5" w14:textId="77777777" w:rsidR="00771AB6" w:rsidRDefault="00771AB6" w:rsidP="0007491E">
      <w:pPr>
        <w:spacing w:line="360" w:lineRule="auto"/>
        <w:jc w:val="both"/>
        <w:rPr>
          <w:sz w:val="22"/>
          <w:szCs w:val="22"/>
        </w:rPr>
      </w:pPr>
    </w:p>
    <w:p w14:paraId="7394F612" w14:textId="77777777" w:rsidR="00771AB6" w:rsidRDefault="00771AB6" w:rsidP="0007491E">
      <w:pPr>
        <w:spacing w:line="360" w:lineRule="auto"/>
        <w:jc w:val="both"/>
        <w:rPr>
          <w:sz w:val="22"/>
          <w:szCs w:val="22"/>
        </w:rPr>
      </w:pPr>
    </w:p>
    <w:p w14:paraId="742523D5" w14:textId="77777777" w:rsidR="00771AB6" w:rsidRDefault="00771AB6" w:rsidP="0007491E">
      <w:pPr>
        <w:spacing w:line="360" w:lineRule="auto"/>
        <w:jc w:val="both"/>
        <w:rPr>
          <w:sz w:val="22"/>
          <w:szCs w:val="22"/>
        </w:rPr>
      </w:pPr>
    </w:p>
    <w:p w14:paraId="4FDC9C96" w14:textId="77777777" w:rsidR="00771AB6" w:rsidRDefault="00771AB6" w:rsidP="0007491E">
      <w:pPr>
        <w:spacing w:line="360" w:lineRule="auto"/>
        <w:jc w:val="both"/>
        <w:rPr>
          <w:sz w:val="22"/>
          <w:szCs w:val="22"/>
        </w:rPr>
      </w:pPr>
    </w:p>
    <w:p w14:paraId="71CBCEE2" w14:textId="699AC0ED" w:rsidR="008A1593" w:rsidRPr="003F0A3F" w:rsidRDefault="008A1593" w:rsidP="0007491E">
      <w:pPr>
        <w:spacing w:line="360" w:lineRule="auto"/>
        <w:jc w:val="both"/>
        <w:rPr>
          <w:sz w:val="22"/>
          <w:szCs w:val="22"/>
        </w:rPr>
      </w:pPr>
      <w:proofErr w:type="gramStart"/>
      <w:r w:rsidRPr="003F0A3F">
        <w:rPr>
          <w:sz w:val="22"/>
          <w:szCs w:val="22"/>
        </w:rPr>
        <w:t xml:space="preserve">Figure </w:t>
      </w:r>
      <w:r w:rsidR="00692F56">
        <w:rPr>
          <w:sz w:val="22"/>
          <w:szCs w:val="22"/>
        </w:rPr>
        <w:t>3</w:t>
      </w:r>
      <w:r w:rsidRPr="003F0A3F">
        <w:rPr>
          <w:sz w:val="22"/>
          <w:szCs w:val="22"/>
        </w:rPr>
        <w:t>.</w:t>
      </w:r>
      <w:proofErr w:type="gramEnd"/>
      <w:r w:rsidR="0017072F" w:rsidRPr="003F0A3F">
        <w:rPr>
          <w:sz w:val="22"/>
          <w:szCs w:val="22"/>
        </w:rPr>
        <w:t xml:space="preserve"> A) Recurrence-free survival and B) overall survival stratified by multiplicity of meningioma</w:t>
      </w:r>
    </w:p>
    <w:p w14:paraId="34B0FADD" w14:textId="77777777" w:rsidR="00771AB6" w:rsidRDefault="00771AB6" w:rsidP="0007491E">
      <w:pPr>
        <w:spacing w:line="360" w:lineRule="auto"/>
        <w:jc w:val="both"/>
        <w:rPr>
          <w:sz w:val="22"/>
          <w:szCs w:val="22"/>
        </w:rPr>
      </w:pPr>
    </w:p>
    <w:p w14:paraId="0494C08A" w14:textId="27DBCFC7" w:rsidR="00771AB6" w:rsidRDefault="00771AB6" w:rsidP="0007491E">
      <w:pPr>
        <w:spacing w:line="360" w:lineRule="auto"/>
        <w:jc w:val="both"/>
        <w:rPr>
          <w:sz w:val="22"/>
          <w:szCs w:val="22"/>
        </w:rPr>
      </w:pPr>
    </w:p>
    <w:p w14:paraId="59AB0FD9" w14:textId="36BEBBD7" w:rsidR="00771AB6" w:rsidRDefault="00771AB6" w:rsidP="0007491E">
      <w:pPr>
        <w:spacing w:line="360" w:lineRule="auto"/>
        <w:jc w:val="both"/>
        <w:rPr>
          <w:sz w:val="22"/>
          <w:szCs w:val="22"/>
        </w:rPr>
      </w:pPr>
      <w:r>
        <w:rPr>
          <w:noProof/>
          <w:sz w:val="22"/>
          <w:szCs w:val="22"/>
          <w:lang w:val="en-GB" w:eastAsia="en-GB"/>
        </w:rPr>
        <w:drawing>
          <wp:anchor distT="0" distB="0" distL="114300" distR="114300" simplePos="0" relativeHeight="251661312" behindDoc="0" locked="0" layoutInCell="1" allowOverlap="1" wp14:anchorId="20BE3304" wp14:editId="7D3F0610">
            <wp:simplePos x="0" y="0"/>
            <wp:positionH relativeFrom="column">
              <wp:posOffset>0</wp:posOffset>
            </wp:positionH>
            <wp:positionV relativeFrom="paragraph">
              <wp:posOffset>42545</wp:posOffset>
            </wp:positionV>
            <wp:extent cx="4638675" cy="3075305"/>
            <wp:effectExtent l="0" t="0" r="9525" b="0"/>
            <wp:wrapNone/>
            <wp:docPr id="4" name="Picture 4" descr="C:\Users\ward3\Downloads\Figure 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rd3\Downloads\Figure 4.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8675" cy="307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BEDFF" w14:textId="77777777" w:rsidR="00771AB6" w:rsidRDefault="00771AB6" w:rsidP="0007491E">
      <w:pPr>
        <w:spacing w:line="360" w:lineRule="auto"/>
        <w:jc w:val="both"/>
        <w:rPr>
          <w:sz w:val="22"/>
          <w:szCs w:val="22"/>
        </w:rPr>
      </w:pPr>
    </w:p>
    <w:p w14:paraId="1D361446" w14:textId="77777777" w:rsidR="00771AB6" w:rsidRDefault="00771AB6" w:rsidP="0007491E">
      <w:pPr>
        <w:spacing w:line="360" w:lineRule="auto"/>
        <w:jc w:val="both"/>
        <w:rPr>
          <w:sz w:val="22"/>
          <w:szCs w:val="22"/>
        </w:rPr>
      </w:pPr>
    </w:p>
    <w:p w14:paraId="3EB48397" w14:textId="77777777" w:rsidR="00771AB6" w:rsidRDefault="00771AB6" w:rsidP="0007491E">
      <w:pPr>
        <w:spacing w:line="360" w:lineRule="auto"/>
        <w:jc w:val="both"/>
        <w:rPr>
          <w:sz w:val="22"/>
          <w:szCs w:val="22"/>
        </w:rPr>
      </w:pPr>
    </w:p>
    <w:p w14:paraId="2E29209B" w14:textId="77777777" w:rsidR="00771AB6" w:rsidRDefault="00771AB6" w:rsidP="0007491E">
      <w:pPr>
        <w:spacing w:line="360" w:lineRule="auto"/>
        <w:jc w:val="both"/>
        <w:rPr>
          <w:sz w:val="22"/>
          <w:szCs w:val="22"/>
        </w:rPr>
      </w:pPr>
    </w:p>
    <w:p w14:paraId="7AD4B199" w14:textId="77777777" w:rsidR="00771AB6" w:rsidRDefault="00771AB6" w:rsidP="0007491E">
      <w:pPr>
        <w:spacing w:line="360" w:lineRule="auto"/>
        <w:jc w:val="both"/>
        <w:rPr>
          <w:sz w:val="22"/>
          <w:szCs w:val="22"/>
        </w:rPr>
      </w:pPr>
    </w:p>
    <w:p w14:paraId="4CAE2BE0" w14:textId="77777777" w:rsidR="00771AB6" w:rsidRDefault="00771AB6" w:rsidP="0007491E">
      <w:pPr>
        <w:spacing w:line="360" w:lineRule="auto"/>
        <w:jc w:val="both"/>
        <w:rPr>
          <w:sz w:val="22"/>
          <w:szCs w:val="22"/>
        </w:rPr>
      </w:pPr>
    </w:p>
    <w:p w14:paraId="50D5FC6D" w14:textId="77777777" w:rsidR="00771AB6" w:rsidRDefault="00771AB6" w:rsidP="0007491E">
      <w:pPr>
        <w:spacing w:line="360" w:lineRule="auto"/>
        <w:jc w:val="both"/>
        <w:rPr>
          <w:sz w:val="22"/>
          <w:szCs w:val="22"/>
        </w:rPr>
      </w:pPr>
    </w:p>
    <w:p w14:paraId="3C41C973" w14:textId="77777777" w:rsidR="00771AB6" w:rsidRDefault="00771AB6" w:rsidP="0007491E">
      <w:pPr>
        <w:spacing w:line="360" w:lineRule="auto"/>
        <w:jc w:val="both"/>
        <w:rPr>
          <w:sz w:val="22"/>
          <w:szCs w:val="22"/>
        </w:rPr>
      </w:pPr>
    </w:p>
    <w:p w14:paraId="42DA112D" w14:textId="77777777" w:rsidR="00771AB6" w:rsidRDefault="00771AB6" w:rsidP="0007491E">
      <w:pPr>
        <w:spacing w:line="360" w:lineRule="auto"/>
        <w:jc w:val="both"/>
        <w:rPr>
          <w:sz w:val="22"/>
          <w:szCs w:val="22"/>
        </w:rPr>
      </w:pPr>
    </w:p>
    <w:p w14:paraId="42D1C15E" w14:textId="77777777" w:rsidR="00771AB6" w:rsidRDefault="00771AB6" w:rsidP="0007491E">
      <w:pPr>
        <w:spacing w:line="360" w:lineRule="auto"/>
        <w:jc w:val="both"/>
        <w:rPr>
          <w:sz w:val="22"/>
          <w:szCs w:val="22"/>
        </w:rPr>
      </w:pPr>
    </w:p>
    <w:p w14:paraId="276DC1C2" w14:textId="77777777" w:rsidR="00771AB6" w:rsidRDefault="00771AB6" w:rsidP="0007491E">
      <w:pPr>
        <w:spacing w:line="360" w:lineRule="auto"/>
        <w:jc w:val="both"/>
        <w:rPr>
          <w:sz w:val="22"/>
          <w:szCs w:val="22"/>
        </w:rPr>
      </w:pPr>
    </w:p>
    <w:p w14:paraId="38AEF53C" w14:textId="77777777" w:rsidR="00771AB6" w:rsidRDefault="00771AB6" w:rsidP="0007491E">
      <w:pPr>
        <w:spacing w:line="360" w:lineRule="auto"/>
        <w:jc w:val="both"/>
        <w:rPr>
          <w:sz w:val="22"/>
          <w:szCs w:val="22"/>
        </w:rPr>
      </w:pPr>
    </w:p>
    <w:p w14:paraId="6EA51C05" w14:textId="70BDAAE6" w:rsidR="00771AB6" w:rsidRPr="00771AB6" w:rsidRDefault="00771AB6" w:rsidP="00771AB6">
      <w:pPr>
        <w:spacing w:line="360" w:lineRule="auto"/>
        <w:jc w:val="both"/>
        <w:rPr>
          <w:sz w:val="22"/>
          <w:szCs w:val="22"/>
        </w:rPr>
      </w:pPr>
      <w:r>
        <w:rPr>
          <w:sz w:val="22"/>
          <w:szCs w:val="22"/>
        </w:rPr>
        <w:t xml:space="preserve">Figure </w:t>
      </w:r>
      <w:bookmarkStart w:id="0" w:name="_GoBack"/>
      <w:bookmarkEnd w:id="0"/>
      <w:r w:rsidR="00692F56">
        <w:rPr>
          <w:sz w:val="22"/>
          <w:szCs w:val="22"/>
        </w:rPr>
        <w:t>4</w:t>
      </w:r>
      <w:r w:rsidR="008A1593" w:rsidRPr="003F0A3F">
        <w:rPr>
          <w:sz w:val="22"/>
          <w:szCs w:val="22"/>
        </w:rPr>
        <w:t xml:space="preserve">. </w:t>
      </w:r>
      <w:r w:rsidR="0017072F" w:rsidRPr="003F0A3F">
        <w:rPr>
          <w:sz w:val="22"/>
          <w:szCs w:val="22"/>
        </w:rPr>
        <w:t>Recommended management strategies for the management of patients with multi</w:t>
      </w:r>
      <w:r>
        <w:rPr>
          <w:sz w:val="22"/>
          <w:szCs w:val="22"/>
        </w:rPr>
        <w:t>ple meningioma at presentation</w:t>
      </w:r>
    </w:p>
    <w:tbl>
      <w:tblPr>
        <w:tblStyle w:val="TableGrid1"/>
        <w:tblpPr w:leftFromText="180" w:rightFromText="180" w:vertAnchor="text" w:horzAnchor="margin" w:tblpXSpec="center" w:tblpY="-850"/>
        <w:tblW w:w="10060" w:type="dxa"/>
        <w:tblLayout w:type="fixed"/>
        <w:tblLook w:val="00A0" w:firstRow="1" w:lastRow="0" w:firstColumn="1" w:lastColumn="0" w:noHBand="0" w:noVBand="0"/>
      </w:tblPr>
      <w:tblGrid>
        <w:gridCol w:w="4957"/>
        <w:gridCol w:w="1417"/>
        <w:gridCol w:w="1418"/>
        <w:gridCol w:w="1417"/>
        <w:gridCol w:w="851"/>
      </w:tblGrid>
      <w:tr w:rsidR="00771AB6" w:rsidRPr="00771AB6" w14:paraId="75CFEB1E" w14:textId="77777777" w:rsidTr="00771AB6">
        <w:trPr>
          <w:trHeight w:val="353"/>
        </w:trPr>
        <w:tc>
          <w:tcPr>
            <w:tcW w:w="10060" w:type="dxa"/>
            <w:gridSpan w:val="5"/>
            <w:tcBorders>
              <w:top w:val="nil"/>
              <w:left w:val="nil"/>
              <w:right w:val="nil"/>
            </w:tcBorders>
          </w:tcPr>
          <w:p w14:paraId="31647457" w14:textId="779E538A" w:rsidR="00771AB6" w:rsidRPr="00771AB6" w:rsidRDefault="00771AB6" w:rsidP="00771AB6">
            <w:pPr>
              <w:tabs>
                <w:tab w:val="left" w:pos="-108"/>
                <w:tab w:val="left" w:pos="0"/>
              </w:tabs>
              <w:ind w:right="-108"/>
              <w:rPr>
                <w:rFonts w:ascii="Calibri" w:eastAsia="Times New Roman" w:hAnsi="Calibri" w:cs="Calibri"/>
                <w:b/>
                <w:bCs/>
                <w:sz w:val="20"/>
                <w:szCs w:val="20"/>
              </w:rPr>
            </w:pPr>
            <w:r w:rsidRPr="00771AB6">
              <w:rPr>
                <w:rFonts w:ascii="Calibri" w:eastAsia="Times New Roman" w:hAnsi="Calibri" w:cs="Calibri"/>
                <w:b/>
                <w:bCs/>
                <w:sz w:val="28"/>
                <w:szCs w:val="20"/>
              </w:rPr>
              <w:lastRenderedPageBreak/>
              <w:t xml:space="preserve">TABLES </w:t>
            </w:r>
          </w:p>
        </w:tc>
      </w:tr>
      <w:tr w:rsidR="00771AB6" w:rsidRPr="00771AB6" w14:paraId="589BFA0B" w14:textId="77777777" w:rsidTr="00771AB6">
        <w:trPr>
          <w:trHeight w:val="196"/>
        </w:trPr>
        <w:tc>
          <w:tcPr>
            <w:tcW w:w="10060" w:type="dxa"/>
            <w:gridSpan w:val="5"/>
          </w:tcPr>
          <w:p w14:paraId="14609760" w14:textId="34C3E140" w:rsidR="00771AB6" w:rsidRPr="00771AB6" w:rsidRDefault="00771AB6" w:rsidP="00771AB6">
            <w:pPr>
              <w:tabs>
                <w:tab w:val="left" w:pos="-108"/>
                <w:tab w:val="left" w:pos="0"/>
              </w:tabs>
              <w:ind w:right="-108"/>
              <w:rPr>
                <w:rFonts w:ascii="Calibri" w:eastAsia="Times New Roman" w:hAnsi="Calibri" w:cs="Calibri"/>
                <w:b/>
                <w:bCs/>
                <w:sz w:val="20"/>
                <w:szCs w:val="20"/>
              </w:rPr>
            </w:pPr>
            <w:r w:rsidRPr="00771AB6">
              <w:rPr>
                <w:rFonts w:ascii="Calibri" w:eastAsia="Times New Roman" w:hAnsi="Calibri" w:cs="Calibri"/>
                <w:b/>
                <w:bCs/>
                <w:sz w:val="20"/>
                <w:szCs w:val="20"/>
              </w:rPr>
              <w:t>Table 1. Baseline characteristics of the study cohort as a whole and by matched groups</w:t>
            </w:r>
          </w:p>
        </w:tc>
      </w:tr>
      <w:tr w:rsidR="00771AB6" w:rsidRPr="00771AB6" w14:paraId="6B9C1C3A" w14:textId="77777777" w:rsidTr="00AD14C5">
        <w:trPr>
          <w:trHeight w:val="759"/>
        </w:trPr>
        <w:tc>
          <w:tcPr>
            <w:tcW w:w="4957" w:type="dxa"/>
          </w:tcPr>
          <w:p w14:paraId="72D44C5D" w14:textId="77777777" w:rsidR="00771AB6" w:rsidRPr="00771AB6" w:rsidRDefault="00771AB6" w:rsidP="00771AB6">
            <w:pPr>
              <w:spacing w:before="120" w:after="120"/>
              <w:rPr>
                <w:rFonts w:ascii="Calibri" w:eastAsia="Times New Roman" w:hAnsi="Calibri" w:cs="Calibri"/>
                <w:iCs/>
                <w:sz w:val="20"/>
                <w:szCs w:val="20"/>
                <w:lang w:val="en-GB"/>
              </w:rPr>
            </w:pPr>
            <w:r w:rsidRPr="00771AB6">
              <w:rPr>
                <w:rFonts w:ascii="Calibri" w:eastAsia="Times New Roman" w:hAnsi="Calibri" w:cs="Calibri"/>
                <w:iCs/>
                <w:color w:val="000000"/>
                <w:sz w:val="20"/>
                <w:szCs w:val="20"/>
                <w:lang w:val="en-GB"/>
              </w:rPr>
              <w:t>Patient Characteristics</w:t>
            </w:r>
          </w:p>
        </w:tc>
        <w:tc>
          <w:tcPr>
            <w:tcW w:w="1417" w:type="dxa"/>
          </w:tcPr>
          <w:p w14:paraId="558279DB" w14:textId="77777777" w:rsidR="00771AB6" w:rsidRPr="00771AB6" w:rsidRDefault="00771AB6" w:rsidP="00771AB6">
            <w:pPr>
              <w:spacing w:before="120" w:after="120"/>
              <w:jc w:val="center"/>
              <w:rPr>
                <w:rFonts w:ascii="Calibri" w:eastAsia="Times New Roman" w:hAnsi="Calibri" w:cs="Calibri"/>
                <w:color w:val="000000"/>
                <w:sz w:val="20"/>
                <w:szCs w:val="20"/>
                <w:lang w:val="en-GB"/>
              </w:rPr>
            </w:pPr>
            <w:r w:rsidRPr="00771AB6">
              <w:rPr>
                <w:rFonts w:ascii="Calibri" w:eastAsia="Times New Roman" w:hAnsi="Calibri" w:cs="Calibri"/>
                <w:color w:val="000000"/>
                <w:sz w:val="20"/>
                <w:szCs w:val="20"/>
                <w:lang w:val="en-GB"/>
              </w:rPr>
              <w:t>Overall (n=68)</w:t>
            </w:r>
          </w:p>
        </w:tc>
        <w:tc>
          <w:tcPr>
            <w:tcW w:w="1418" w:type="dxa"/>
          </w:tcPr>
          <w:p w14:paraId="098999F5" w14:textId="77777777" w:rsidR="00771AB6" w:rsidRPr="00771AB6" w:rsidRDefault="00771AB6" w:rsidP="00771AB6">
            <w:pPr>
              <w:spacing w:before="120" w:after="120"/>
              <w:jc w:val="center"/>
              <w:rPr>
                <w:rFonts w:ascii="Calibri" w:eastAsia="Times New Roman" w:hAnsi="Calibri" w:cs="Calibri"/>
                <w:color w:val="000000"/>
                <w:sz w:val="20"/>
                <w:szCs w:val="20"/>
                <w:lang w:val="en-GB"/>
              </w:rPr>
            </w:pPr>
            <w:r w:rsidRPr="00771AB6">
              <w:rPr>
                <w:rFonts w:ascii="Calibri" w:eastAsia="Times New Roman" w:hAnsi="Calibri" w:cs="Calibri"/>
                <w:color w:val="000000"/>
                <w:sz w:val="20"/>
                <w:szCs w:val="20"/>
                <w:lang w:val="en-GB"/>
              </w:rPr>
              <w:t>Multiple  meningioma (n=34)</w:t>
            </w:r>
          </w:p>
        </w:tc>
        <w:tc>
          <w:tcPr>
            <w:tcW w:w="1417" w:type="dxa"/>
            <w:hideMark/>
          </w:tcPr>
          <w:p w14:paraId="7EE405D8" w14:textId="77777777" w:rsidR="00771AB6" w:rsidRPr="00771AB6" w:rsidRDefault="00771AB6" w:rsidP="00771AB6">
            <w:pPr>
              <w:spacing w:before="120" w:after="120"/>
              <w:jc w:val="center"/>
              <w:rPr>
                <w:rFonts w:ascii="Calibri" w:eastAsia="Times New Roman" w:hAnsi="Calibri" w:cs="Calibri"/>
                <w:color w:val="000000"/>
                <w:sz w:val="20"/>
                <w:szCs w:val="20"/>
                <w:lang w:val="en-GB"/>
              </w:rPr>
            </w:pPr>
            <w:r w:rsidRPr="00771AB6">
              <w:rPr>
                <w:rFonts w:ascii="Calibri" w:eastAsia="Times New Roman" w:hAnsi="Calibri" w:cs="Calibri"/>
                <w:color w:val="000000"/>
                <w:sz w:val="20"/>
                <w:szCs w:val="20"/>
                <w:lang w:val="en-GB"/>
              </w:rPr>
              <w:t>Solitary meningioma (n=34)</w:t>
            </w:r>
          </w:p>
        </w:tc>
        <w:tc>
          <w:tcPr>
            <w:tcW w:w="851" w:type="dxa"/>
            <w:tcBorders>
              <w:bottom w:val="nil"/>
            </w:tcBorders>
            <w:hideMark/>
          </w:tcPr>
          <w:p w14:paraId="0CC1385E" w14:textId="77777777" w:rsidR="00771AB6" w:rsidRPr="00771AB6" w:rsidRDefault="00771AB6" w:rsidP="00771AB6">
            <w:pPr>
              <w:tabs>
                <w:tab w:val="left" w:pos="-108"/>
                <w:tab w:val="left" w:pos="0"/>
              </w:tabs>
              <w:spacing w:before="120" w:after="120"/>
              <w:ind w:right="-108"/>
              <w:jc w:val="center"/>
              <w:rPr>
                <w:rFonts w:ascii="Calibri" w:eastAsia="Times New Roman" w:hAnsi="Calibri" w:cs="Calibri"/>
                <w:iCs/>
                <w:sz w:val="20"/>
                <w:szCs w:val="20"/>
                <w:lang w:val="en-GB"/>
              </w:rPr>
            </w:pPr>
            <w:r w:rsidRPr="00771AB6">
              <w:rPr>
                <w:rFonts w:ascii="Calibri" w:eastAsia="Times New Roman" w:hAnsi="Calibri" w:cs="Calibri"/>
                <w:iCs/>
                <w:sz w:val="20"/>
                <w:szCs w:val="20"/>
                <w:lang w:val="en-GB"/>
              </w:rPr>
              <w:t>P-value</w:t>
            </w:r>
          </w:p>
        </w:tc>
      </w:tr>
      <w:tr w:rsidR="00771AB6" w:rsidRPr="00771AB6" w14:paraId="63AE45BF" w14:textId="77777777" w:rsidTr="00AD14C5">
        <w:trPr>
          <w:trHeight w:val="331"/>
        </w:trPr>
        <w:tc>
          <w:tcPr>
            <w:tcW w:w="4957" w:type="dxa"/>
          </w:tcPr>
          <w:p w14:paraId="5EF3D21B" w14:textId="77777777" w:rsidR="00771AB6" w:rsidRPr="00771AB6" w:rsidDel="008E7498"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Age, mean (SD)</w:t>
            </w:r>
          </w:p>
        </w:tc>
        <w:tc>
          <w:tcPr>
            <w:tcW w:w="1417" w:type="dxa"/>
          </w:tcPr>
          <w:p w14:paraId="4AD04B5F"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58.3 (13.7)</w:t>
            </w:r>
          </w:p>
        </w:tc>
        <w:tc>
          <w:tcPr>
            <w:tcW w:w="1418" w:type="dxa"/>
          </w:tcPr>
          <w:p w14:paraId="33E8552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59.3 (13.5)</w:t>
            </w:r>
          </w:p>
        </w:tc>
        <w:tc>
          <w:tcPr>
            <w:tcW w:w="1417" w:type="dxa"/>
          </w:tcPr>
          <w:p w14:paraId="73168FC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57.3 (14.0)</w:t>
            </w:r>
          </w:p>
        </w:tc>
        <w:tc>
          <w:tcPr>
            <w:tcW w:w="851" w:type="dxa"/>
          </w:tcPr>
          <w:p w14:paraId="4395C4DE"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0.557</w:t>
            </w:r>
          </w:p>
        </w:tc>
      </w:tr>
      <w:tr w:rsidR="00771AB6" w:rsidRPr="00771AB6" w14:paraId="46080C32" w14:textId="77777777" w:rsidTr="00AD14C5">
        <w:trPr>
          <w:trHeight w:val="295"/>
        </w:trPr>
        <w:tc>
          <w:tcPr>
            <w:tcW w:w="4957" w:type="dxa"/>
          </w:tcPr>
          <w:p w14:paraId="2FB6AD12"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Female sex, count (%)</w:t>
            </w:r>
          </w:p>
        </w:tc>
        <w:tc>
          <w:tcPr>
            <w:tcW w:w="1417" w:type="dxa"/>
          </w:tcPr>
          <w:p w14:paraId="0E1A489C"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54 (79.4)</w:t>
            </w:r>
          </w:p>
        </w:tc>
        <w:tc>
          <w:tcPr>
            <w:tcW w:w="1418" w:type="dxa"/>
          </w:tcPr>
          <w:p w14:paraId="21603D9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31 (91.2)</w:t>
            </w:r>
          </w:p>
        </w:tc>
        <w:tc>
          <w:tcPr>
            <w:tcW w:w="1417" w:type="dxa"/>
          </w:tcPr>
          <w:p w14:paraId="0426ED0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23 (67.6)</w:t>
            </w:r>
          </w:p>
        </w:tc>
        <w:tc>
          <w:tcPr>
            <w:tcW w:w="851" w:type="dxa"/>
          </w:tcPr>
          <w:p w14:paraId="645FB0A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0.036</w:t>
            </w:r>
          </w:p>
        </w:tc>
      </w:tr>
      <w:tr w:rsidR="00771AB6" w:rsidRPr="00771AB6" w14:paraId="6F447043" w14:textId="77777777" w:rsidTr="00AD14C5">
        <w:trPr>
          <w:trHeight w:val="185"/>
        </w:trPr>
        <w:tc>
          <w:tcPr>
            <w:tcW w:w="4957" w:type="dxa"/>
          </w:tcPr>
          <w:p w14:paraId="3DC8AFBC"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Performance Status 0-2, count (%)</w:t>
            </w:r>
          </w:p>
        </w:tc>
        <w:tc>
          <w:tcPr>
            <w:tcW w:w="1417" w:type="dxa"/>
          </w:tcPr>
          <w:p w14:paraId="570A836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68 (100)</w:t>
            </w:r>
          </w:p>
        </w:tc>
        <w:tc>
          <w:tcPr>
            <w:tcW w:w="1418" w:type="dxa"/>
          </w:tcPr>
          <w:p w14:paraId="49600AE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34 (100)</w:t>
            </w:r>
          </w:p>
        </w:tc>
        <w:tc>
          <w:tcPr>
            <w:tcW w:w="1417" w:type="dxa"/>
          </w:tcPr>
          <w:p w14:paraId="048EAC1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34 (100)</w:t>
            </w:r>
          </w:p>
        </w:tc>
        <w:tc>
          <w:tcPr>
            <w:tcW w:w="851" w:type="dxa"/>
          </w:tcPr>
          <w:p w14:paraId="706BB67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0.999</w:t>
            </w:r>
          </w:p>
        </w:tc>
      </w:tr>
      <w:tr w:rsidR="00771AB6" w:rsidRPr="00771AB6" w14:paraId="77FC99AF" w14:textId="77777777" w:rsidTr="00AD14C5">
        <w:trPr>
          <w:trHeight w:val="185"/>
        </w:trPr>
        <w:tc>
          <w:tcPr>
            <w:tcW w:w="4957" w:type="dxa"/>
          </w:tcPr>
          <w:p w14:paraId="2F93A39E"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Incidental diagnosis, count (%)</w:t>
            </w:r>
          </w:p>
        </w:tc>
        <w:tc>
          <w:tcPr>
            <w:tcW w:w="1417" w:type="dxa"/>
          </w:tcPr>
          <w:p w14:paraId="4DF89FD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32 (47.1)</w:t>
            </w:r>
          </w:p>
        </w:tc>
        <w:tc>
          <w:tcPr>
            <w:tcW w:w="1418" w:type="dxa"/>
          </w:tcPr>
          <w:p w14:paraId="5617F05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16 (47.1)</w:t>
            </w:r>
          </w:p>
        </w:tc>
        <w:tc>
          <w:tcPr>
            <w:tcW w:w="1417" w:type="dxa"/>
          </w:tcPr>
          <w:p w14:paraId="6F6C042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16 (47.1)</w:t>
            </w:r>
          </w:p>
        </w:tc>
        <w:tc>
          <w:tcPr>
            <w:tcW w:w="851" w:type="dxa"/>
          </w:tcPr>
          <w:p w14:paraId="1DE86879"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0.999</w:t>
            </w:r>
          </w:p>
        </w:tc>
      </w:tr>
      <w:tr w:rsidR="00771AB6" w:rsidRPr="00771AB6" w14:paraId="5806105D" w14:textId="77777777" w:rsidTr="00AD14C5">
        <w:trPr>
          <w:trHeight w:val="185"/>
        </w:trPr>
        <w:tc>
          <w:tcPr>
            <w:tcW w:w="4957" w:type="dxa"/>
          </w:tcPr>
          <w:p w14:paraId="30A0C377"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Duration of follow-up, median (IQR)</w:t>
            </w:r>
          </w:p>
        </w:tc>
        <w:tc>
          <w:tcPr>
            <w:tcW w:w="1417" w:type="dxa"/>
          </w:tcPr>
          <w:p w14:paraId="22776D7F"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85.9 (47.6-105.8)</w:t>
            </w:r>
          </w:p>
        </w:tc>
        <w:tc>
          <w:tcPr>
            <w:tcW w:w="1418" w:type="dxa"/>
          </w:tcPr>
          <w:p w14:paraId="5AB05CA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80.6 (43.7-100.9)</w:t>
            </w:r>
          </w:p>
        </w:tc>
        <w:tc>
          <w:tcPr>
            <w:tcW w:w="1417" w:type="dxa"/>
          </w:tcPr>
          <w:p w14:paraId="3ADE6EDF"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91.1 (53.1-107-8)</w:t>
            </w:r>
          </w:p>
        </w:tc>
        <w:tc>
          <w:tcPr>
            <w:tcW w:w="851" w:type="dxa"/>
          </w:tcPr>
          <w:p w14:paraId="0250277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0.454</w:t>
            </w:r>
          </w:p>
        </w:tc>
      </w:tr>
      <w:tr w:rsidR="00771AB6" w:rsidRPr="00771AB6" w14:paraId="7331A457" w14:textId="77777777" w:rsidTr="00AD14C5">
        <w:trPr>
          <w:trHeight w:val="185"/>
        </w:trPr>
        <w:tc>
          <w:tcPr>
            <w:tcW w:w="10060" w:type="dxa"/>
            <w:gridSpan w:val="5"/>
          </w:tcPr>
          <w:p w14:paraId="7BAE925B"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b/>
                <w:bCs/>
                <w:sz w:val="20"/>
                <w:szCs w:val="20"/>
                <w:lang w:val="en-GB"/>
              </w:rPr>
              <w:t>For index tumour</w:t>
            </w:r>
          </w:p>
        </w:tc>
      </w:tr>
      <w:tr w:rsidR="00771AB6" w:rsidRPr="00771AB6" w14:paraId="003DE8C8" w14:textId="77777777" w:rsidTr="00AD14C5">
        <w:trPr>
          <w:trHeight w:val="185"/>
        </w:trPr>
        <w:tc>
          <w:tcPr>
            <w:tcW w:w="4957" w:type="dxa"/>
          </w:tcPr>
          <w:p w14:paraId="527AA467"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Meningioma location, count (%)</w:t>
            </w:r>
          </w:p>
        </w:tc>
        <w:tc>
          <w:tcPr>
            <w:tcW w:w="1417" w:type="dxa"/>
          </w:tcPr>
          <w:p w14:paraId="4601D491" w14:textId="77777777" w:rsidR="00771AB6" w:rsidRPr="00771AB6" w:rsidRDefault="00771AB6" w:rsidP="00771AB6">
            <w:pPr>
              <w:spacing w:line="276" w:lineRule="auto"/>
              <w:jc w:val="center"/>
              <w:rPr>
                <w:rFonts w:ascii="Calibri" w:eastAsia="Times New Roman" w:hAnsi="Calibri" w:cs="Calibri"/>
                <w:sz w:val="20"/>
                <w:szCs w:val="20"/>
                <w:lang w:val="en-GB"/>
              </w:rPr>
            </w:pPr>
          </w:p>
        </w:tc>
        <w:tc>
          <w:tcPr>
            <w:tcW w:w="1418" w:type="dxa"/>
          </w:tcPr>
          <w:p w14:paraId="4F448DA6" w14:textId="77777777" w:rsidR="00771AB6" w:rsidRPr="00771AB6" w:rsidRDefault="00771AB6" w:rsidP="00771AB6">
            <w:pPr>
              <w:spacing w:line="276" w:lineRule="auto"/>
              <w:jc w:val="center"/>
              <w:rPr>
                <w:rFonts w:ascii="Calibri" w:eastAsia="Times New Roman" w:hAnsi="Calibri" w:cs="Calibri"/>
                <w:sz w:val="20"/>
                <w:szCs w:val="20"/>
                <w:lang w:val="en-GB"/>
              </w:rPr>
            </w:pPr>
          </w:p>
        </w:tc>
        <w:tc>
          <w:tcPr>
            <w:tcW w:w="1417" w:type="dxa"/>
          </w:tcPr>
          <w:p w14:paraId="13FB0461" w14:textId="77777777" w:rsidR="00771AB6" w:rsidRPr="00771AB6" w:rsidRDefault="00771AB6" w:rsidP="00771AB6">
            <w:pPr>
              <w:spacing w:line="276" w:lineRule="auto"/>
              <w:jc w:val="center"/>
              <w:rPr>
                <w:rFonts w:ascii="Calibri" w:eastAsia="Times New Roman" w:hAnsi="Calibri" w:cs="Calibri"/>
                <w:sz w:val="20"/>
                <w:szCs w:val="20"/>
                <w:lang w:val="en-GB"/>
              </w:rPr>
            </w:pPr>
          </w:p>
        </w:tc>
        <w:tc>
          <w:tcPr>
            <w:tcW w:w="851" w:type="dxa"/>
          </w:tcPr>
          <w:p w14:paraId="1FE3C65F"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0.213</w:t>
            </w:r>
          </w:p>
        </w:tc>
      </w:tr>
      <w:tr w:rsidR="00771AB6" w:rsidRPr="00771AB6" w14:paraId="1B948321" w14:textId="77777777" w:rsidTr="00AD14C5">
        <w:trPr>
          <w:trHeight w:val="185"/>
        </w:trPr>
        <w:tc>
          <w:tcPr>
            <w:tcW w:w="4957" w:type="dxa"/>
          </w:tcPr>
          <w:p w14:paraId="6217F1F5" w14:textId="77777777" w:rsidR="00771AB6" w:rsidRPr="00771AB6" w:rsidRDefault="00771AB6" w:rsidP="00771AB6">
            <w:pPr>
              <w:spacing w:line="276" w:lineRule="auto"/>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Non-skull base</w:t>
            </w:r>
          </w:p>
        </w:tc>
        <w:tc>
          <w:tcPr>
            <w:tcW w:w="1417" w:type="dxa"/>
          </w:tcPr>
          <w:p w14:paraId="4BAA31C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44 (64.7)</w:t>
            </w:r>
          </w:p>
        </w:tc>
        <w:tc>
          <w:tcPr>
            <w:tcW w:w="1418" w:type="dxa"/>
          </w:tcPr>
          <w:p w14:paraId="5B44652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22 (64.7)</w:t>
            </w:r>
          </w:p>
        </w:tc>
        <w:tc>
          <w:tcPr>
            <w:tcW w:w="1417" w:type="dxa"/>
          </w:tcPr>
          <w:p w14:paraId="69E8618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22 (64.7)</w:t>
            </w:r>
          </w:p>
        </w:tc>
        <w:tc>
          <w:tcPr>
            <w:tcW w:w="851" w:type="dxa"/>
          </w:tcPr>
          <w:p w14:paraId="12F351C4"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20316758" w14:textId="77777777" w:rsidTr="00AD14C5">
        <w:trPr>
          <w:trHeight w:val="185"/>
        </w:trPr>
        <w:tc>
          <w:tcPr>
            <w:tcW w:w="4957" w:type="dxa"/>
          </w:tcPr>
          <w:p w14:paraId="2B7741EF"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Convexity</w:t>
            </w:r>
          </w:p>
        </w:tc>
        <w:tc>
          <w:tcPr>
            <w:tcW w:w="1417" w:type="dxa"/>
          </w:tcPr>
          <w:p w14:paraId="19294977"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18 (26.5)</w:t>
            </w:r>
          </w:p>
        </w:tc>
        <w:tc>
          <w:tcPr>
            <w:tcW w:w="1418" w:type="dxa"/>
          </w:tcPr>
          <w:p w14:paraId="5FF4135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12 (35.3)</w:t>
            </w:r>
          </w:p>
        </w:tc>
        <w:tc>
          <w:tcPr>
            <w:tcW w:w="1417" w:type="dxa"/>
          </w:tcPr>
          <w:p w14:paraId="319640B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6 (17.6)</w:t>
            </w:r>
          </w:p>
        </w:tc>
        <w:tc>
          <w:tcPr>
            <w:tcW w:w="851" w:type="dxa"/>
          </w:tcPr>
          <w:p w14:paraId="6C3DF6C9"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65BEA89D" w14:textId="77777777" w:rsidTr="00AD14C5">
        <w:trPr>
          <w:trHeight w:val="185"/>
        </w:trPr>
        <w:tc>
          <w:tcPr>
            <w:tcW w:w="4957" w:type="dxa"/>
          </w:tcPr>
          <w:p w14:paraId="22566B38"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Parasagittal</w:t>
            </w:r>
          </w:p>
        </w:tc>
        <w:tc>
          <w:tcPr>
            <w:tcW w:w="1417" w:type="dxa"/>
          </w:tcPr>
          <w:p w14:paraId="685C0B6C"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9 (13.2)</w:t>
            </w:r>
          </w:p>
        </w:tc>
        <w:tc>
          <w:tcPr>
            <w:tcW w:w="1418" w:type="dxa"/>
          </w:tcPr>
          <w:p w14:paraId="2E2F246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(8.8)</w:t>
            </w:r>
          </w:p>
        </w:tc>
        <w:tc>
          <w:tcPr>
            <w:tcW w:w="1417" w:type="dxa"/>
          </w:tcPr>
          <w:p w14:paraId="619421B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6 (17.6)</w:t>
            </w:r>
          </w:p>
        </w:tc>
        <w:tc>
          <w:tcPr>
            <w:tcW w:w="851" w:type="dxa"/>
          </w:tcPr>
          <w:p w14:paraId="0ADD4577"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3C7D79A9" w14:textId="77777777" w:rsidTr="00AD14C5">
        <w:trPr>
          <w:trHeight w:val="185"/>
        </w:trPr>
        <w:tc>
          <w:tcPr>
            <w:tcW w:w="4957" w:type="dxa"/>
          </w:tcPr>
          <w:p w14:paraId="5E578CB0" w14:textId="77777777" w:rsidR="00771AB6" w:rsidRPr="00771AB6" w:rsidRDefault="00771AB6" w:rsidP="00771AB6">
            <w:pPr>
              <w:spacing w:line="276" w:lineRule="auto"/>
              <w:ind w:left="1440"/>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Parafalcine</w:t>
            </w:r>
            <w:proofErr w:type="spellEnd"/>
          </w:p>
        </w:tc>
        <w:tc>
          <w:tcPr>
            <w:tcW w:w="1417" w:type="dxa"/>
          </w:tcPr>
          <w:p w14:paraId="5FBD2D3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10 (14.7)</w:t>
            </w:r>
          </w:p>
        </w:tc>
        <w:tc>
          <w:tcPr>
            <w:tcW w:w="1418" w:type="dxa"/>
          </w:tcPr>
          <w:p w14:paraId="777CFC7C"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(8.8)</w:t>
            </w:r>
          </w:p>
        </w:tc>
        <w:tc>
          <w:tcPr>
            <w:tcW w:w="1417" w:type="dxa"/>
          </w:tcPr>
          <w:p w14:paraId="10EF08E7"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 (20.6)</w:t>
            </w:r>
          </w:p>
        </w:tc>
        <w:tc>
          <w:tcPr>
            <w:tcW w:w="851" w:type="dxa"/>
          </w:tcPr>
          <w:p w14:paraId="3D352FF4"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39CCF161" w14:textId="77777777" w:rsidTr="00AD14C5">
        <w:trPr>
          <w:trHeight w:val="185"/>
        </w:trPr>
        <w:tc>
          <w:tcPr>
            <w:tcW w:w="4957" w:type="dxa"/>
          </w:tcPr>
          <w:p w14:paraId="34B10FF4" w14:textId="77777777" w:rsidR="00771AB6" w:rsidRPr="00771AB6" w:rsidRDefault="00771AB6" w:rsidP="00771AB6">
            <w:pPr>
              <w:spacing w:line="276" w:lineRule="auto"/>
              <w:ind w:left="1440"/>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Intraventricular</w:t>
            </w:r>
            <w:proofErr w:type="spellEnd"/>
          </w:p>
        </w:tc>
        <w:tc>
          <w:tcPr>
            <w:tcW w:w="1417" w:type="dxa"/>
          </w:tcPr>
          <w:p w14:paraId="07BDC907"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(4.4)</w:t>
            </w:r>
          </w:p>
        </w:tc>
        <w:tc>
          <w:tcPr>
            <w:tcW w:w="1418" w:type="dxa"/>
          </w:tcPr>
          <w:p w14:paraId="16D5CCA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2319554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(8.8)</w:t>
            </w:r>
          </w:p>
        </w:tc>
        <w:tc>
          <w:tcPr>
            <w:tcW w:w="851" w:type="dxa"/>
          </w:tcPr>
          <w:p w14:paraId="1DEA1FA6"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6304F89B" w14:textId="77777777" w:rsidTr="00AD14C5">
        <w:trPr>
          <w:trHeight w:val="185"/>
        </w:trPr>
        <w:tc>
          <w:tcPr>
            <w:tcW w:w="4957" w:type="dxa"/>
          </w:tcPr>
          <w:p w14:paraId="0654FA6C" w14:textId="77777777" w:rsidR="00771AB6" w:rsidRPr="00771AB6" w:rsidRDefault="00771AB6" w:rsidP="00771AB6">
            <w:pPr>
              <w:spacing w:line="276" w:lineRule="auto"/>
              <w:ind w:left="1440"/>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Tentorial</w:t>
            </w:r>
            <w:proofErr w:type="spellEnd"/>
          </w:p>
        </w:tc>
        <w:tc>
          <w:tcPr>
            <w:tcW w:w="1417" w:type="dxa"/>
          </w:tcPr>
          <w:p w14:paraId="0517AF1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(4.4)</w:t>
            </w:r>
          </w:p>
        </w:tc>
        <w:tc>
          <w:tcPr>
            <w:tcW w:w="1418" w:type="dxa"/>
          </w:tcPr>
          <w:p w14:paraId="78A4E57C"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(8.8)</w:t>
            </w:r>
          </w:p>
        </w:tc>
        <w:tc>
          <w:tcPr>
            <w:tcW w:w="1417" w:type="dxa"/>
          </w:tcPr>
          <w:p w14:paraId="6904C7F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851" w:type="dxa"/>
          </w:tcPr>
          <w:p w14:paraId="777873F2"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5DEA1806" w14:textId="77777777" w:rsidTr="00AD14C5">
        <w:trPr>
          <w:trHeight w:val="185"/>
        </w:trPr>
        <w:tc>
          <w:tcPr>
            <w:tcW w:w="4957" w:type="dxa"/>
          </w:tcPr>
          <w:p w14:paraId="50C24F83"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Pineal</w:t>
            </w:r>
          </w:p>
        </w:tc>
        <w:tc>
          <w:tcPr>
            <w:tcW w:w="1417" w:type="dxa"/>
          </w:tcPr>
          <w:p w14:paraId="4971426F"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(1.5)</w:t>
            </w:r>
          </w:p>
        </w:tc>
        <w:tc>
          <w:tcPr>
            <w:tcW w:w="1418" w:type="dxa"/>
          </w:tcPr>
          <w:p w14:paraId="190E811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5C7BA80C"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851" w:type="dxa"/>
          </w:tcPr>
          <w:p w14:paraId="0EEAB9E4"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6F48DE6D" w14:textId="77777777" w:rsidTr="00AD14C5">
        <w:trPr>
          <w:trHeight w:val="185"/>
        </w:trPr>
        <w:tc>
          <w:tcPr>
            <w:tcW w:w="4957" w:type="dxa"/>
          </w:tcPr>
          <w:p w14:paraId="78A880DB" w14:textId="77777777" w:rsidR="00771AB6" w:rsidRPr="00771AB6" w:rsidRDefault="00771AB6" w:rsidP="00771AB6">
            <w:pPr>
              <w:spacing w:line="276" w:lineRule="auto"/>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Skull base</w:t>
            </w:r>
          </w:p>
        </w:tc>
        <w:tc>
          <w:tcPr>
            <w:tcW w:w="1417" w:type="dxa"/>
          </w:tcPr>
          <w:p w14:paraId="73645A3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24 (35.3)</w:t>
            </w:r>
          </w:p>
        </w:tc>
        <w:tc>
          <w:tcPr>
            <w:tcW w:w="1418" w:type="dxa"/>
          </w:tcPr>
          <w:p w14:paraId="6BE648E5"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12 (35.3)</w:t>
            </w:r>
          </w:p>
        </w:tc>
        <w:tc>
          <w:tcPr>
            <w:tcW w:w="1417" w:type="dxa"/>
          </w:tcPr>
          <w:p w14:paraId="7C8773B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12 (35.3)</w:t>
            </w:r>
          </w:p>
        </w:tc>
        <w:tc>
          <w:tcPr>
            <w:tcW w:w="851" w:type="dxa"/>
          </w:tcPr>
          <w:p w14:paraId="736E7344"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565FA3A9" w14:textId="77777777" w:rsidTr="00AD14C5">
        <w:trPr>
          <w:trHeight w:val="185"/>
        </w:trPr>
        <w:tc>
          <w:tcPr>
            <w:tcW w:w="4957" w:type="dxa"/>
          </w:tcPr>
          <w:p w14:paraId="5989FCFF"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Sphenoid wing</w:t>
            </w:r>
          </w:p>
        </w:tc>
        <w:tc>
          <w:tcPr>
            <w:tcW w:w="1417" w:type="dxa"/>
          </w:tcPr>
          <w:p w14:paraId="1DBBB727"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15 (22.1)</w:t>
            </w:r>
          </w:p>
        </w:tc>
        <w:tc>
          <w:tcPr>
            <w:tcW w:w="1418" w:type="dxa"/>
          </w:tcPr>
          <w:p w14:paraId="456E17F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8 (23.5)</w:t>
            </w:r>
          </w:p>
        </w:tc>
        <w:tc>
          <w:tcPr>
            <w:tcW w:w="1417" w:type="dxa"/>
          </w:tcPr>
          <w:p w14:paraId="2B99BBBE"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 (20.6)</w:t>
            </w:r>
          </w:p>
        </w:tc>
        <w:tc>
          <w:tcPr>
            <w:tcW w:w="851" w:type="dxa"/>
          </w:tcPr>
          <w:p w14:paraId="43C4222B"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45F60D10" w14:textId="77777777" w:rsidTr="00AD14C5">
        <w:trPr>
          <w:trHeight w:val="185"/>
        </w:trPr>
        <w:tc>
          <w:tcPr>
            <w:tcW w:w="4957" w:type="dxa"/>
          </w:tcPr>
          <w:p w14:paraId="2E1674A5"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Anterior midline</w:t>
            </w:r>
          </w:p>
        </w:tc>
        <w:tc>
          <w:tcPr>
            <w:tcW w:w="1417" w:type="dxa"/>
          </w:tcPr>
          <w:p w14:paraId="2E85A72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4 (5.9)</w:t>
            </w:r>
          </w:p>
        </w:tc>
        <w:tc>
          <w:tcPr>
            <w:tcW w:w="1418" w:type="dxa"/>
          </w:tcPr>
          <w:p w14:paraId="586A220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(5.9)</w:t>
            </w:r>
          </w:p>
        </w:tc>
        <w:tc>
          <w:tcPr>
            <w:tcW w:w="1417" w:type="dxa"/>
          </w:tcPr>
          <w:p w14:paraId="7AA8AD2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(5.9)</w:t>
            </w:r>
          </w:p>
        </w:tc>
        <w:tc>
          <w:tcPr>
            <w:tcW w:w="851" w:type="dxa"/>
          </w:tcPr>
          <w:p w14:paraId="3408857E"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77275480" w14:textId="77777777" w:rsidTr="00AD14C5">
        <w:trPr>
          <w:trHeight w:val="185"/>
        </w:trPr>
        <w:tc>
          <w:tcPr>
            <w:tcW w:w="4957" w:type="dxa"/>
          </w:tcPr>
          <w:p w14:paraId="0B5FF3EF"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Posterior fossa – lateral and posterior</w:t>
            </w:r>
          </w:p>
        </w:tc>
        <w:tc>
          <w:tcPr>
            <w:tcW w:w="1417" w:type="dxa"/>
          </w:tcPr>
          <w:p w14:paraId="7B1DD87C"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(4.4)</w:t>
            </w:r>
          </w:p>
        </w:tc>
        <w:tc>
          <w:tcPr>
            <w:tcW w:w="1418" w:type="dxa"/>
          </w:tcPr>
          <w:p w14:paraId="430703E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7F2CD21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 (5.9)</w:t>
            </w:r>
          </w:p>
        </w:tc>
        <w:tc>
          <w:tcPr>
            <w:tcW w:w="851" w:type="dxa"/>
          </w:tcPr>
          <w:p w14:paraId="75847FCA"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2909F6F2" w14:textId="77777777" w:rsidTr="00AD14C5">
        <w:trPr>
          <w:trHeight w:val="185"/>
        </w:trPr>
        <w:tc>
          <w:tcPr>
            <w:tcW w:w="4957" w:type="dxa"/>
          </w:tcPr>
          <w:p w14:paraId="3AE1B6E6"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Posterior fossa – Midline</w:t>
            </w:r>
          </w:p>
        </w:tc>
        <w:tc>
          <w:tcPr>
            <w:tcW w:w="1417" w:type="dxa"/>
          </w:tcPr>
          <w:p w14:paraId="00326DE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(2.9)</w:t>
            </w:r>
          </w:p>
        </w:tc>
        <w:tc>
          <w:tcPr>
            <w:tcW w:w="1418" w:type="dxa"/>
          </w:tcPr>
          <w:p w14:paraId="29AEC9F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31864E5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851" w:type="dxa"/>
          </w:tcPr>
          <w:p w14:paraId="08791AE8"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6712E7A7" w14:textId="77777777" w:rsidTr="00AD14C5">
        <w:trPr>
          <w:trHeight w:val="185"/>
        </w:trPr>
        <w:tc>
          <w:tcPr>
            <w:tcW w:w="4957" w:type="dxa"/>
          </w:tcPr>
          <w:p w14:paraId="7E537262"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Meningioma volume, median (IQR)</w:t>
            </w:r>
          </w:p>
        </w:tc>
        <w:tc>
          <w:tcPr>
            <w:tcW w:w="1417" w:type="dxa"/>
          </w:tcPr>
          <w:p w14:paraId="62581CF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9.0 (3.0-35.2)</w:t>
            </w:r>
          </w:p>
        </w:tc>
        <w:tc>
          <w:tcPr>
            <w:tcW w:w="1418" w:type="dxa"/>
          </w:tcPr>
          <w:p w14:paraId="695B802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8.3 (2.0-30.7)</w:t>
            </w:r>
          </w:p>
        </w:tc>
        <w:tc>
          <w:tcPr>
            <w:tcW w:w="1417" w:type="dxa"/>
          </w:tcPr>
          <w:p w14:paraId="765024E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10.1 (3.3-36.5)</w:t>
            </w:r>
          </w:p>
        </w:tc>
        <w:tc>
          <w:tcPr>
            <w:tcW w:w="851" w:type="dxa"/>
          </w:tcPr>
          <w:p w14:paraId="7BA43F07"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0.364</w:t>
            </w:r>
          </w:p>
        </w:tc>
      </w:tr>
      <w:tr w:rsidR="00771AB6" w:rsidRPr="00771AB6" w14:paraId="3D57D420" w14:textId="77777777" w:rsidTr="00AD14C5">
        <w:trPr>
          <w:trHeight w:val="185"/>
        </w:trPr>
        <w:tc>
          <w:tcPr>
            <w:tcW w:w="4957" w:type="dxa"/>
          </w:tcPr>
          <w:p w14:paraId="5B4DD219" w14:textId="77777777" w:rsidR="00771AB6" w:rsidRPr="00771AB6" w:rsidRDefault="00771AB6" w:rsidP="00771AB6">
            <w:pPr>
              <w:spacing w:line="276" w:lineRule="auto"/>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Peri-tumoural</w:t>
            </w:r>
            <w:proofErr w:type="spellEnd"/>
            <w:r w:rsidRPr="00771AB6">
              <w:rPr>
                <w:rFonts w:ascii="Calibri" w:eastAsia="Times New Roman" w:hAnsi="Calibri" w:cs="Calibri"/>
                <w:sz w:val="20"/>
                <w:szCs w:val="20"/>
                <w:lang w:val="en-GB"/>
              </w:rPr>
              <w:t xml:space="preserve"> signal intensity, count (%)</w:t>
            </w:r>
          </w:p>
        </w:tc>
        <w:tc>
          <w:tcPr>
            <w:tcW w:w="1417" w:type="dxa"/>
          </w:tcPr>
          <w:p w14:paraId="5382008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24 (35.3)</w:t>
            </w:r>
          </w:p>
        </w:tc>
        <w:tc>
          <w:tcPr>
            <w:tcW w:w="1418" w:type="dxa"/>
          </w:tcPr>
          <w:p w14:paraId="3D5AB65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9 (26.5)</w:t>
            </w:r>
          </w:p>
        </w:tc>
        <w:tc>
          <w:tcPr>
            <w:tcW w:w="1417" w:type="dxa"/>
          </w:tcPr>
          <w:p w14:paraId="5C1156F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15 (44.1)</w:t>
            </w:r>
          </w:p>
        </w:tc>
        <w:tc>
          <w:tcPr>
            <w:tcW w:w="851" w:type="dxa"/>
          </w:tcPr>
          <w:p w14:paraId="2042CA4E"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0.102</w:t>
            </w:r>
          </w:p>
        </w:tc>
      </w:tr>
      <w:tr w:rsidR="00771AB6" w:rsidRPr="00771AB6" w14:paraId="53A9B70F" w14:textId="77777777" w:rsidTr="00AD14C5">
        <w:trPr>
          <w:trHeight w:val="185"/>
        </w:trPr>
        <w:tc>
          <w:tcPr>
            <w:tcW w:w="4957" w:type="dxa"/>
          </w:tcPr>
          <w:p w14:paraId="6D719588"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Proximity to critical neurovascular structures, count (%)</w:t>
            </w:r>
          </w:p>
        </w:tc>
        <w:tc>
          <w:tcPr>
            <w:tcW w:w="1417" w:type="dxa"/>
          </w:tcPr>
          <w:p w14:paraId="39826E4E"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51 (75)</w:t>
            </w:r>
          </w:p>
        </w:tc>
        <w:tc>
          <w:tcPr>
            <w:tcW w:w="1418" w:type="dxa"/>
          </w:tcPr>
          <w:p w14:paraId="5BCE6F6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25 (73.5)</w:t>
            </w:r>
          </w:p>
        </w:tc>
        <w:tc>
          <w:tcPr>
            <w:tcW w:w="1417" w:type="dxa"/>
          </w:tcPr>
          <w:p w14:paraId="19942CFE"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26 (76.5)</w:t>
            </w:r>
          </w:p>
        </w:tc>
        <w:tc>
          <w:tcPr>
            <w:tcW w:w="851" w:type="dxa"/>
          </w:tcPr>
          <w:p w14:paraId="648EC1B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0.779</w:t>
            </w:r>
          </w:p>
        </w:tc>
      </w:tr>
      <w:tr w:rsidR="00771AB6" w:rsidRPr="00771AB6" w14:paraId="6669B828" w14:textId="77777777" w:rsidTr="00AD14C5">
        <w:trPr>
          <w:trHeight w:val="185"/>
        </w:trPr>
        <w:tc>
          <w:tcPr>
            <w:tcW w:w="4957" w:type="dxa"/>
          </w:tcPr>
          <w:p w14:paraId="30E09BC8"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IMPACT score, median (IQR)*</w:t>
            </w:r>
          </w:p>
        </w:tc>
        <w:tc>
          <w:tcPr>
            <w:tcW w:w="1417" w:type="dxa"/>
          </w:tcPr>
          <w:p w14:paraId="33C51FA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2.3 (1.4-3.6)</w:t>
            </w:r>
          </w:p>
        </w:tc>
        <w:tc>
          <w:tcPr>
            <w:tcW w:w="1418" w:type="dxa"/>
          </w:tcPr>
          <w:p w14:paraId="2C5AFA0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2.3 (1.2-3.9)</w:t>
            </w:r>
          </w:p>
        </w:tc>
        <w:tc>
          <w:tcPr>
            <w:tcW w:w="1417" w:type="dxa"/>
          </w:tcPr>
          <w:p w14:paraId="3937455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2.3 (1.5-3.6)</w:t>
            </w:r>
          </w:p>
        </w:tc>
        <w:tc>
          <w:tcPr>
            <w:tcW w:w="851" w:type="dxa"/>
          </w:tcPr>
          <w:p w14:paraId="186B460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0.880</w:t>
            </w:r>
          </w:p>
        </w:tc>
      </w:tr>
      <w:tr w:rsidR="00771AB6" w:rsidRPr="00771AB6" w14:paraId="7B3EB9C8" w14:textId="77777777" w:rsidTr="00AD14C5">
        <w:trPr>
          <w:trHeight w:val="185"/>
        </w:trPr>
        <w:tc>
          <w:tcPr>
            <w:tcW w:w="10060" w:type="dxa"/>
            <w:gridSpan w:val="5"/>
          </w:tcPr>
          <w:p w14:paraId="00CAB2EC"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b/>
                <w:bCs/>
                <w:sz w:val="20"/>
                <w:szCs w:val="20"/>
                <w:lang w:val="en-GB"/>
              </w:rPr>
              <w:t>For all meningioma</w:t>
            </w:r>
          </w:p>
        </w:tc>
      </w:tr>
      <w:tr w:rsidR="00771AB6" w:rsidRPr="00771AB6" w14:paraId="4BB3A50A" w14:textId="77777777" w:rsidTr="00AD14C5">
        <w:trPr>
          <w:trHeight w:val="185"/>
        </w:trPr>
        <w:tc>
          <w:tcPr>
            <w:tcW w:w="4957" w:type="dxa"/>
          </w:tcPr>
          <w:p w14:paraId="306A3AC0"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Number of meningioma, (range)</w:t>
            </w:r>
          </w:p>
        </w:tc>
        <w:tc>
          <w:tcPr>
            <w:tcW w:w="1417" w:type="dxa"/>
          </w:tcPr>
          <w:p w14:paraId="765C97D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110 (1-6)</w:t>
            </w:r>
          </w:p>
        </w:tc>
        <w:tc>
          <w:tcPr>
            <w:tcW w:w="1418" w:type="dxa"/>
          </w:tcPr>
          <w:p w14:paraId="5938EC0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76 (2-6)</w:t>
            </w:r>
          </w:p>
        </w:tc>
        <w:tc>
          <w:tcPr>
            <w:tcW w:w="1417" w:type="dxa"/>
          </w:tcPr>
          <w:p w14:paraId="77C32D0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34 (1-1)</w:t>
            </w:r>
          </w:p>
        </w:tc>
        <w:tc>
          <w:tcPr>
            <w:tcW w:w="851" w:type="dxa"/>
          </w:tcPr>
          <w:p w14:paraId="15A3E5C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1AE2DCA9" w14:textId="77777777" w:rsidTr="00AD14C5">
        <w:trPr>
          <w:trHeight w:val="185"/>
        </w:trPr>
        <w:tc>
          <w:tcPr>
            <w:tcW w:w="4957" w:type="dxa"/>
          </w:tcPr>
          <w:p w14:paraId="45CF59FB"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Meningioma location, count (%)</w:t>
            </w:r>
          </w:p>
        </w:tc>
        <w:tc>
          <w:tcPr>
            <w:tcW w:w="1417" w:type="dxa"/>
          </w:tcPr>
          <w:p w14:paraId="3EBBDADC" w14:textId="77777777" w:rsidR="00771AB6" w:rsidRPr="00771AB6" w:rsidRDefault="00771AB6" w:rsidP="00771AB6">
            <w:pPr>
              <w:spacing w:line="276" w:lineRule="auto"/>
              <w:jc w:val="center"/>
              <w:rPr>
                <w:rFonts w:ascii="Calibri" w:eastAsia="Times New Roman" w:hAnsi="Calibri" w:cs="Calibri"/>
                <w:sz w:val="20"/>
                <w:szCs w:val="20"/>
                <w:lang w:val="en-GB"/>
              </w:rPr>
            </w:pPr>
          </w:p>
        </w:tc>
        <w:tc>
          <w:tcPr>
            <w:tcW w:w="1418" w:type="dxa"/>
          </w:tcPr>
          <w:p w14:paraId="47C7FA3F" w14:textId="77777777" w:rsidR="00771AB6" w:rsidRPr="00771AB6" w:rsidRDefault="00771AB6" w:rsidP="00771AB6">
            <w:pPr>
              <w:spacing w:line="276" w:lineRule="auto"/>
              <w:jc w:val="center"/>
              <w:rPr>
                <w:rFonts w:ascii="Calibri" w:eastAsia="Times New Roman" w:hAnsi="Calibri" w:cs="Calibri"/>
                <w:sz w:val="20"/>
                <w:szCs w:val="20"/>
                <w:lang w:val="en-GB"/>
              </w:rPr>
            </w:pPr>
          </w:p>
        </w:tc>
        <w:tc>
          <w:tcPr>
            <w:tcW w:w="1417" w:type="dxa"/>
          </w:tcPr>
          <w:p w14:paraId="5DD811EF" w14:textId="77777777" w:rsidR="00771AB6" w:rsidRPr="00771AB6" w:rsidRDefault="00771AB6" w:rsidP="00771AB6">
            <w:pPr>
              <w:spacing w:line="276" w:lineRule="auto"/>
              <w:jc w:val="center"/>
              <w:rPr>
                <w:rFonts w:ascii="Calibri" w:eastAsia="Times New Roman" w:hAnsi="Calibri" w:cs="Calibri"/>
                <w:sz w:val="20"/>
                <w:szCs w:val="20"/>
                <w:lang w:val="en-GB"/>
              </w:rPr>
            </w:pPr>
          </w:p>
        </w:tc>
        <w:tc>
          <w:tcPr>
            <w:tcW w:w="851" w:type="dxa"/>
          </w:tcPr>
          <w:p w14:paraId="4534EFD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0.131</w:t>
            </w:r>
          </w:p>
        </w:tc>
      </w:tr>
      <w:tr w:rsidR="00771AB6" w:rsidRPr="00771AB6" w14:paraId="199D6263" w14:textId="77777777" w:rsidTr="00AD14C5">
        <w:trPr>
          <w:trHeight w:val="185"/>
        </w:trPr>
        <w:tc>
          <w:tcPr>
            <w:tcW w:w="4957" w:type="dxa"/>
          </w:tcPr>
          <w:p w14:paraId="0C37FE0A" w14:textId="77777777" w:rsidR="00771AB6" w:rsidRPr="00771AB6" w:rsidRDefault="00771AB6" w:rsidP="00771AB6">
            <w:pPr>
              <w:spacing w:line="276" w:lineRule="auto"/>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Non-skull base</w:t>
            </w:r>
          </w:p>
        </w:tc>
        <w:tc>
          <w:tcPr>
            <w:tcW w:w="1417" w:type="dxa"/>
          </w:tcPr>
          <w:p w14:paraId="5B19736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72 (65.4)</w:t>
            </w:r>
          </w:p>
        </w:tc>
        <w:tc>
          <w:tcPr>
            <w:tcW w:w="1418" w:type="dxa"/>
          </w:tcPr>
          <w:p w14:paraId="7A6D82A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50 (65.8)</w:t>
            </w:r>
          </w:p>
        </w:tc>
        <w:tc>
          <w:tcPr>
            <w:tcW w:w="1417" w:type="dxa"/>
          </w:tcPr>
          <w:p w14:paraId="563AE02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22 (64.7)</w:t>
            </w:r>
          </w:p>
        </w:tc>
        <w:tc>
          <w:tcPr>
            <w:tcW w:w="851" w:type="dxa"/>
          </w:tcPr>
          <w:p w14:paraId="2BB6A9D0"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6AC61589" w14:textId="77777777" w:rsidTr="00AD14C5">
        <w:trPr>
          <w:trHeight w:val="185"/>
        </w:trPr>
        <w:tc>
          <w:tcPr>
            <w:tcW w:w="4957" w:type="dxa"/>
          </w:tcPr>
          <w:p w14:paraId="45D430ED"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Convexity</w:t>
            </w:r>
          </w:p>
        </w:tc>
        <w:tc>
          <w:tcPr>
            <w:tcW w:w="1417" w:type="dxa"/>
          </w:tcPr>
          <w:p w14:paraId="7865E07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 xml:space="preserve">34 (30.9) </w:t>
            </w:r>
          </w:p>
        </w:tc>
        <w:tc>
          <w:tcPr>
            <w:tcW w:w="1418" w:type="dxa"/>
          </w:tcPr>
          <w:p w14:paraId="776041E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28 (36.8)</w:t>
            </w:r>
          </w:p>
        </w:tc>
        <w:tc>
          <w:tcPr>
            <w:tcW w:w="1417" w:type="dxa"/>
          </w:tcPr>
          <w:p w14:paraId="42CD996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6 (17.6)</w:t>
            </w:r>
          </w:p>
        </w:tc>
        <w:tc>
          <w:tcPr>
            <w:tcW w:w="851" w:type="dxa"/>
          </w:tcPr>
          <w:p w14:paraId="64820351"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73F7DCE1" w14:textId="77777777" w:rsidTr="00AD14C5">
        <w:trPr>
          <w:trHeight w:val="185"/>
        </w:trPr>
        <w:tc>
          <w:tcPr>
            <w:tcW w:w="4957" w:type="dxa"/>
          </w:tcPr>
          <w:p w14:paraId="4C35242D"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Parasagittal</w:t>
            </w:r>
          </w:p>
        </w:tc>
        <w:tc>
          <w:tcPr>
            <w:tcW w:w="1417" w:type="dxa"/>
          </w:tcPr>
          <w:p w14:paraId="2DB9B27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12 (10.9)</w:t>
            </w:r>
          </w:p>
        </w:tc>
        <w:tc>
          <w:tcPr>
            <w:tcW w:w="1418" w:type="dxa"/>
          </w:tcPr>
          <w:p w14:paraId="4800F43F"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6 (7.9)</w:t>
            </w:r>
          </w:p>
        </w:tc>
        <w:tc>
          <w:tcPr>
            <w:tcW w:w="1417" w:type="dxa"/>
          </w:tcPr>
          <w:p w14:paraId="67A6ED6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6 (17.6)</w:t>
            </w:r>
          </w:p>
        </w:tc>
        <w:tc>
          <w:tcPr>
            <w:tcW w:w="851" w:type="dxa"/>
          </w:tcPr>
          <w:p w14:paraId="09ED6993"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4595AF0A" w14:textId="77777777" w:rsidTr="00AD14C5">
        <w:trPr>
          <w:trHeight w:val="185"/>
        </w:trPr>
        <w:tc>
          <w:tcPr>
            <w:tcW w:w="4957" w:type="dxa"/>
          </w:tcPr>
          <w:p w14:paraId="06E19196" w14:textId="77777777" w:rsidR="00771AB6" w:rsidRPr="00771AB6" w:rsidRDefault="00771AB6" w:rsidP="00771AB6">
            <w:pPr>
              <w:spacing w:line="276" w:lineRule="auto"/>
              <w:ind w:left="1440"/>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Parafalcine</w:t>
            </w:r>
            <w:proofErr w:type="spellEnd"/>
          </w:p>
        </w:tc>
        <w:tc>
          <w:tcPr>
            <w:tcW w:w="1417" w:type="dxa"/>
          </w:tcPr>
          <w:p w14:paraId="169AE5E9"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19 (17.3)</w:t>
            </w:r>
          </w:p>
        </w:tc>
        <w:tc>
          <w:tcPr>
            <w:tcW w:w="1418" w:type="dxa"/>
          </w:tcPr>
          <w:p w14:paraId="4F72DAE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12 (15.8)</w:t>
            </w:r>
          </w:p>
        </w:tc>
        <w:tc>
          <w:tcPr>
            <w:tcW w:w="1417" w:type="dxa"/>
          </w:tcPr>
          <w:p w14:paraId="0443F5A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 (20.6)</w:t>
            </w:r>
          </w:p>
        </w:tc>
        <w:tc>
          <w:tcPr>
            <w:tcW w:w="851" w:type="dxa"/>
          </w:tcPr>
          <w:p w14:paraId="3E33000C"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468950EA" w14:textId="77777777" w:rsidTr="00AD14C5">
        <w:trPr>
          <w:trHeight w:val="185"/>
        </w:trPr>
        <w:tc>
          <w:tcPr>
            <w:tcW w:w="4957" w:type="dxa"/>
          </w:tcPr>
          <w:p w14:paraId="1A68F4F1" w14:textId="77777777" w:rsidR="00771AB6" w:rsidRPr="00771AB6" w:rsidRDefault="00771AB6" w:rsidP="00771AB6">
            <w:pPr>
              <w:spacing w:line="276" w:lineRule="auto"/>
              <w:ind w:left="1440"/>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Intraventricular</w:t>
            </w:r>
            <w:proofErr w:type="spellEnd"/>
          </w:p>
        </w:tc>
        <w:tc>
          <w:tcPr>
            <w:tcW w:w="1417" w:type="dxa"/>
          </w:tcPr>
          <w:p w14:paraId="4789810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(2.7)</w:t>
            </w:r>
          </w:p>
        </w:tc>
        <w:tc>
          <w:tcPr>
            <w:tcW w:w="1418" w:type="dxa"/>
          </w:tcPr>
          <w:p w14:paraId="01274A87"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5B62C8E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(8.8)</w:t>
            </w:r>
          </w:p>
        </w:tc>
        <w:tc>
          <w:tcPr>
            <w:tcW w:w="851" w:type="dxa"/>
          </w:tcPr>
          <w:p w14:paraId="77C11D2D"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3AC06853" w14:textId="77777777" w:rsidTr="00AD14C5">
        <w:trPr>
          <w:trHeight w:val="185"/>
        </w:trPr>
        <w:tc>
          <w:tcPr>
            <w:tcW w:w="4957" w:type="dxa"/>
          </w:tcPr>
          <w:p w14:paraId="1CF20DBB" w14:textId="77777777" w:rsidR="00771AB6" w:rsidRPr="00771AB6" w:rsidRDefault="00771AB6" w:rsidP="00771AB6">
            <w:pPr>
              <w:spacing w:line="276" w:lineRule="auto"/>
              <w:ind w:left="1440"/>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Tentorial</w:t>
            </w:r>
            <w:proofErr w:type="spellEnd"/>
          </w:p>
        </w:tc>
        <w:tc>
          <w:tcPr>
            <w:tcW w:w="1417" w:type="dxa"/>
          </w:tcPr>
          <w:p w14:paraId="0D0587E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(2.7)</w:t>
            </w:r>
          </w:p>
        </w:tc>
        <w:tc>
          <w:tcPr>
            <w:tcW w:w="1418" w:type="dxa"/>
          </w:tcPr>
          <w:p w14:paraId="283BF2B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(3.9)</w:t>
            </w:r>
          </w:p>
        </w:tc>
        <w:tc>
          <w:tcPr>
            <w:tcW w:w="1417" w:type="dxa"/>
          </w:tcPr>
          <w:p w14:paraId="1EDA9CF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851" w:type="dxa"/>
          </w:tcPr>
          <w:p w14:paraId="43C369D8"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0DD2A81A" w14:textId="77777777" w:rsidTr="00AD14C5">
        <w:trPr>
          <w:trHeight w:val="185"/>
        </w:trPr>
        <w:tc>
          <w:tcPr>
            <w:tcW w:w="4957" w:type="dxa"/>
          </w:tcPr>
          <w:p w14:paraId="026EFE5D"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Pineal</w:t>
            </w:r>
          </w:p>
        </w:tc>
        <w:tc>
          <w:tcPr>
            <w:tcW w:w="1417" w:type="dxa"/>
          </w:tcPr>
          <w:p w14:paraId="7720F0D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(0.9)</w:t>
            </w:r>
          </w:p>
        </w:tc>
        <w:tc>
          <w:tcPr>
            <w:tcW w:w="1418" w:type="dxa"/>
          </w:tcPr>
          <w:p w14:paraId="45C3D3F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(1.3)</w:t>
            </w:r>
          </w:p>
        </w:tc>
        <w:tc>
          <w:tcPr>
            <w:tcW w:w="1417" w:type="dxa"/>
          </w:tcPr>
          <w:p w14:paraId="04A7077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851" w:type="dxa"/>
          </w:tcPr>
          <w:p w14:paraId="16D53EB0"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09FF41E0" w14:textId="77777777" w:rsidTr="00AD14C5">
        <w:trPr>
          <w:trHeight w:val="185"/>
        </w:trPr>
        <w:tc>
          <w:tcPr>
            <w:tcW w:w="4957" w:type="dxa"/>
          </w:tcPr>
          <w:p w14:paraId="6587AFD4" w14:textId="77777777" w:rsidR="00771AB6" w:rsidRPr="00771AB6" w:rsidRDefault="00771AB6" w:rsidP="00771AB6">
            <w:pPr>
              <w:spacing w:line="276" w:lineRule="auto"/>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Skull base</w:t>
            </w:r>
          </w:p>
        </w:tc>
        <w:tc>
          <w:tcPr>
            <w:tcW w:w="1417" w:type="dxa"/>
          </w:tcPr>
          <w:p w14:paraId="217155AC"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38 (34.5)</w:t>
            </w:r>
          </w:p>
        </w:tc>
        <w:tc>
          <w:tcPr>
            <w:tcW w:w="1418" w:type="dxa"/>
          </w:tcPr>
          <w:p w14:paraId="13F0726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26 (34.2)</w:t>
            </w:r>
          </w:p>
        </w:tc>
        <w:tc>
          <w:tcPr>
            <w:tcW w:w="1417" w:type="dxa"/>
          </w:tcPr>
          <w:p w14:paraId="0A621890"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12 (35.3)</w:t>
            </w:r>
          </w:p>
        </w:tc>
        <w:tc>
          <w:tcPr>
            <w:tcW w:w="851" w:type="dxa"/>
          </w:tcPr>
          <w:p w14:paraId="70550DCC"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27B21281" w14:textId="77777777" w:rsidTr="00AD14C5">
        <w:trPr>
          <w:trHeight w:val="185"/>
        </w:trPr>
        <w:tc>
          <w:tcPr>
            <w:tcW w:w="4957" w:type="dxa"/>
          </w:tcPr>
          <w:p w14:paraId="208EDE1B"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Sphenoid wing</w:t>
            </w:r>
          </w:p>
        </w:tc>
        <w:tc>
          <w:tcPr>
            <w:tcW w:w="1417" w:type="dxa"/>
          </w:tcPr>
          <w:p w14:paraId="23EB805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21 (19.1)</w:t>
            </w:r>
          </w:p>
        </w:tc>
        <w:tc>
          <w:tcPr>
            <w:tcW w:w="1418" w:type="dxa"/>
          </w:tcPr>
          <w:p w14:paraId="1CA7248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14 (18.4)</w:t>
            </w:r>
          </w:p>
        </w:tc>
        <w:tc>
          <w:tcPr>
            <w:tcW w:w="1417" w:type="dxa"/>
          </w:tcPr>
          <w:p w14:paraId="53304AB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 (20.6)</w:t>
            </w:r>
          </w:p>
        </w:tc>
        <w:tc>
          <w:tcPr>
            <w:tcW w:w="851" w:type="dxa"/>
          </w:tcPr>
          <w:p w14:paraId="7EAF5739"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2314A3FF" w14:textId="77777777" w:rsidTr="00AD14C5">
        <w:trPr>
          <w:trHeight w:val="185"/>
        </w:trPr>
        <w:tc>
          <w:tcPr>
            <w:tcW w:w="4957" w:type="dxa"/>
          </w:tcPr>
          <w:p w14:paraId="757CAECF"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Anterior midline</w:t>
            </w:r>
          </w:p>
        </w:tc>
        <w:tc>
          <w:tcPr>
            <w:tcW w:w="1417" w:type="dxa"/>
          </w:tcPr>
          <w:p w14:paraId="4B4B342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 (6.4)</w:t>
            </w:r>
          </w:p>
        </w:tc>
        <w:tc>
          <w:tcPr>
            <w:tcW w:w="1418" w:type="dxa"/>
          </w:tcPr>
          <w:p w14:paraId="1F1BDCA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 (6.6)</w:t>
            </w:r>
          </w:p>
        </w:tc>
        <w:tc>
          <w:tcPr>
            <w:tcW w:w="1417" w:type="dxa"/>
          </w:tcPr>
          <w:p w14:paraId="0AEC1C5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(5.9)</w:t>
            </w:r>
          </w:p>
        </w:tc>
        <w:tc>
          <w:tcPr>
            <w:tcW w:w="851" w:type="dxa"/>
          </w:tcPr>
          <w:p w14:paraId="1F0878F2"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21DB2B2B" w14:textId="77777777" w:rsidTr="00AD14C5">
        <w:trPr>
          <w:trHeight w:val="185"/>
        </w:trPr>
        <w:tc>
          <w:tcPr>
            <w:tcW w:w="4957" w:type="dxa"/>
          </w:tcPr>
          <w:p w14:paraId="69E43D6F"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Posterior fossa – lateral and posterior</w:t>
            </w:r>
          </w:p>
        </w:tc>
        <w:tc>
          <w:tcPr>
            <w:tcW w:w="1417" w:type="dxa"/>
          </w:tcPr>
          <w:p w14:paraId="7415B65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 (6.4)</w:t>
            </w:r>
          </w:p>
        </w:tc>
        <w:tc>
          <w:tcPr>
            <w:tcW w:w="1418" w:type="dxa"/>
          </w:tcPr>
          <w:p w14:paraId="0000505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5 (6.6)</w:t>
            </w:r>
          </w:p>
        </w:tc>
        <w:tc>
          <w:tcPr>
            <w:tcW w:w="1417" w:type="dxa"/>
          </w:tcPr>
          <w:p w14:paraId="2715F5E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(5.9)</w:t>
            </w:r>
          </w:p>
        </w:tc>
        <w:tc>
          <w:tcPr>
            <w:tcW w:w="851" w:type="dxa"/>
          </w:tcPr>
          <w:p w14:paraId="1086E3BB"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3FBCD7E4" w14:textId="77777777" w:rsidTr="00AD14C5">
        <w:trPr>
          <w:trHeight w:val="185"/>
        </w:trPr>
        <w:tc>
          <w:tcPr>
            <w:tcW w:w="4957" w:type="dxa"/>
          </w:tcPr>
          <w:p w14:paraId="7013C6DE" w14:textId="77777777" w:rsidR="00771AB6" w:rsidRPr="00771AB6" w:rsidRDefault="00771AB6" w:rsidP="00771AB6">
            <w:pPr>
              <w:spacing w:line="276" w:lineRule="auto"/>
              <w:ind w:left="1440"/>
              <w:rPr>
                <w:rFonts w:ascii="Calibri" w:eastAsia="Times New Roman" w:hAnsi="Calibri" w:cs="Calibri"/>
                <w:sz w:val="20"/>
                <w:szCs w:val="20"/>
                <w:lang w:val="en-GB"/>
              </w:rPr>
            </w:pPr>
            <w:r w:rsidRPr="00771AB6">
              <w:rPr>
                <w:rFonts w:ascii="Calibri" w:eastAsia="Times New Roman" w:hAnsi="Calibri" w:cs="Calibri"/>
                <w:sz w:val="20"/>
                <w:szCs w:val="20"/>
                <w:lang w:val="en-GB"/>
              </w:rPr>
              <w:t>Posterior fossa – Midline</w:t>
            </w:r>
          </w:p>
        </w:tc>
        <w:tc>
          <w:tcPr>
            <w:tcW w:w="1417" w:type="dxa"/>
          </w:tcPr>
          <w:p w14:paraId="41C11FF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 (2.7)</w:t>
            </w:r>
          </w:p>
        </w:tc>
        <w:tc>
          <w:tcPr>
            <w:tcW w:w="1418" w:type="dxa"/>
          </w:tcPr>
          <w:p w14:paraId="28F44789"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(2.6)</w:t>
            </w:r>
          </w:p>
        </w:tc>
        <w:tc>
          <w:tcPr>
            <w:tcW w:w="1417" w:type="dxa"/>
          </w:tcPr>
          <w:p w14:paraId="3E690F7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851" w:type="dxa"/>
          </w:tcPr>
          <w:p w14:paraId="5F8300A6" w14:textId="77777777" w:rsidR="00771AB6" w:rsidRPr="00771AB6" w:rsidRDefault="00771AB6" w:rsidP="00771AB6">
            <w:pPr>
              <w:spacing w:line="276" w:lineRule="auto"/>
              <w:jc w:val="center"/>
              <w:rPr>
                <w:rFonts w:ascii="Calibri" w:eastAsia="Times New Roman" w:hAnsi="Calibri" w:cs="Calibri"/>
                <w:sz w:val="20"/>
                <w:szCs w:val="20"/>
                <w:lang w:val="en-GB"/>
              </w:rPr>
            </w:pPr>
          </w:p>
        </w:tc>
      </w:tr>
      <w:tr w:rsidR="00771AB6" w:rsidRPr="00771AB6" w14:paraId="4CE6432E" w14:textId="77777777" w:rsidTr="00AD14C5">
        <w:trPr>
          <w:trHeight w:val="185"/>
        </w:trPr>
        <w:tc>
          <w:tcPr>
            <w:tcW w:w="4957" w:type="dxa"/>
          </w:tcPr>
          <w:p w14:paraId="4AB31BC5"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Total meningioma volume per patient, median (IQR)</w:t>
            </w:r>
          </w:p>
        </w:tc>
        <w:tc>
          <w:tcPr>
            <w:tcW w:w="1417" w:type="dxa"/>
          </w:tcPr>
          <w:p w14:paraId="543D3B84"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11.1 (3.3-34.3)</w:t>
            </w:r>
          </w:p>
        </w:tc>
        <w:tc>
          <w:tcPr>
            <w:tcW w:w="1418" w:type="dxa"/>
          </w:tcPr>
          <w:p w14:paraId="4C2126D2"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12.9 (3.3-39.4)</w:t>
            </w:r>
          </w:p>
        </w:tc>
        <w:tc>
          <w:tcPr>
            <w:tcW w:w="1417" w:type="dxa"/>
          </w:tcPr>
          <w:p w14:paraId="2EDB276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10.1 (3.3-36.5)</w:t>
            </w:r>
          </w:p>
        </w:tc>
        <w:tc>
          <w:tcPr>
            <w:tcW w:w="851" w:type="dxa"/>
          </w:tcPr>
          <w:p w14:paraId="2883371E"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0.904</w:t>
            </w:r>
          </w:p>
        </w:tc>
      </w:tr>
      <w:tr w:rsidR="00771AB6" w:rsidRPr="00771AB6" w14:paraId="2EA1E392" w14:textId="77777777" w:rsidTr="00AD14C5">
        <w:trPr>
          <w:trHeight w:val="185"/>
        </w:trPr>
        <w:tc>
          <w:tcPr>
            <w:tcW w:w="4957" w:type="dxa"/>
          </w:tcPr>
          <w:p w14:paraId="38AC07EA"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Meningioma volume, median (IQR)</w:t>
            </w:r>
          </w:p>
        </w:tc>
        <w:tc>
          <w:tcPr>
            <w:tcW w:w="1417" w:type="dxa"/>
          </w:tcPr>
          <w:p w14:paraId="3AB86B6F"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3.3 (0.7-12.7)</w:t>
            </w:r>
          </w:p>
        </w:tc>
        <w:tc>
          <w:tcPr>
            <w:tcW w:w="1418" w:type="dxa"/>
          </w:tcPr>
          <w:p w14:paraId="4FFE497B"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1.4 (0.4-8.1)</w:t>
            </w:r>
          </w:p>
        </w:tc>
        <w:tc>
          <w:tcPr>
            <w:tcW w:w="1417" w:type="dxa"/>
          </w:tcPr>
          <w:p w14:paraId="6955CA7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10.1 (3.3-36.5)</w:t>
            </w:r>
          </w:p>
        </w:tc>
        <w:tc>
          <w:tcPr>
            <w:tcW w:w="851" w:type="dxa"/>
          </w:tcPr>
          <w:p w14:paraId="1B4484A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0.001</w:t>
            </w:r>
          </w:p>
        </w:tc>
      </w:tr>
      <w:tr w:rsidR="00771AB6" w:rsidRPr="00771AB6" w14:paraId="591F47FC" w14:textId="77777777" w:rsidTr="00AD14C5">
        <w:trPr>
          <w:trHeight w:val="185"/>
        </w:trPr>
        <w:tc>
          <w:tcPr>
            <w:tcW w:w="4957" w:type="dxa"/>
          </w:tcPr>
          <w:p w14:paraId="13A416E8" w14:textId="77777777" w:rsidR="00771AB6" w:rsidRPr="00771AB6" w:rsidRDefault="00771AB6" w:rsidP="00771AB6">
            <w:pPr>
              <w:spacing w:line="276" w:lineRule="auto"/>
              <w:rPr>
                <w:rFonts w:ascii="Calibri" w:eastAsia="Times New Roman" w:hAnsi="Calibri" w:cs="Calibri"/>
                <w:sz w:val="20"/>
                <w:szCs w:val="20"/>
                <w:lang w:val="en-GB"/>
              </w:rPr>
            </w:pPr>
            <w:proofErr w:type="spellStart"/>
            <w:r w:rsidRPr="00771AB6">
              <w:rPr>
                <w:rFonts w:ascii="Calibri" w:eastAsia="Times New Roman" w:hAnsi="Calibri" w:cs="Calibri"/>
                <w:sz w:val="20"/>
                <w:szCs w:val="20"/>
                <w:lang w:val="en-GB"/>
              </w:rPr>
              <w:t>Peri-tumoural</w:t>
            </w:r>
            <w:proofErr w:type="spellEnd"/>
            <w:r w:rsidRPr="00771AB6">
              <w:rPr>
                <w:rFonts w:ascii="Calibri" w:eastAsia="Times New Roman" w:hAnsi="Calibri" w:cs="Calibri"/>
                <w:sz w:val="20"/>
                <w:szCs w:val="20"/>
                <w:lang w:val="en-GB"/>
              </w:rPr>
              <w:t xml:space="preserve"> signal intensity, count (%)</w:t>
            </w:r>
          </w:p>
        </w:tc>
        <w:tc>
          <w:tcPr>
            <w:tcW w:w="1417" w:type="dxa"/>
          </w:tcPr>
          <w:p w14:paraId="190F84F8"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24 (21.8)</w:t>
            </w:r>
          </w:p>
        </w:tc>
        <w:tc>
          <w:tcPr>
            <w:tcW w:w="1418" w:type="dxa"/>
          </w:tcPr>
          <w:p w14:paraId="036CEAE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9 (11.8)</w:t>
            </w:r>
          </w:p>
        </w:tc>
        <w:tc>
          <w:tcPr>
            <w:tcW w:w="1417" w:type="dxa"/>
          </w:tcPr>
          <w:p w14:paraId="047C340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15 (44.1)</w:t>
            </w:r>
          </w:p>
        </w:tc>
        <w:tc>
          <w:tcPr>
            <w:tcW w:w="851" w:type="dxa"/>
          </w:tcPr>
          <w:p w14:paraId="2BE3B18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0.001</w:t>
            </w:r>
          </w:p>
        </w:tc>
      </w:tr>
      <w:tr w:rsidR="00771AB6" w:rsidRPr="00771AB6" w14:paraId="7FA951BA" w14:textId="77777777" w:rsidTr="00AD14C5">
        <w:trPr>
          <w:trHeight w:val="185"/>
        </w:trPr>
        <w:tc>
          <w:tcPr>
            <w:tcW w:w="4957" w:type="dxa"/>
          </w:tcPr>
          <w:p w14:paraId="20197F9E"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Proximity to critical neurovascular structures, count (%)</w:t>
            </w:r>
          </w:p>
        </w:tc>
        <w:tc>
          <w:tcPr>
            <w:tcW w:w="1417" w:type="dxa"/>
          </w:tcPr>
          <w:p w14:paraId="0D41878D"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73 (66.3)</w:t>
            </w:r>
          </w:p>
        </w:tc>
        <w:tc>
          <w:tcPr>
            <w:tcW w:w="1418" w:type="dxa"/>
          </w:tcPr>
          <w:p w14:paraId="25F9D3B6"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47 (61.8)</w:t>
            </w:r>
          </w:p>
        </w:tc>
        <w:tc>
          <w:tcPr>
            <w:tcW w:w="1417" w:type="dxa"/>
          </w:tcPr>
          <w:p w14:paraId="7C3BBC6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26 (76.5)</w:t>
            </w:r>
          </w:p>
        </w:tc>
        <w:tc>
          <w:tcPr>
            <w:tcW w:w="851" w:type="dxa"/>
          </w:tcPr>
          <w:p w14:paraId="1AB728EA"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0.133</w:t>
            </w:r>
          </w:p>
        </w:tc>
      </w:tr>
      <w:tr w:rsidR="00771AB6" w:rsidRPr="00771AB6" w14:paraId="6598CB2A" w14:textId="77777777" w:rsidTr="00AD14C5">
        <w:trPr>
          <w:trHeight w:val="185"/>
        </w:trPr>
        <w:tc>
          <w:tcPr>
            <w:tcW w:w="4957" w:type="dxa"/>
          </w:tcPr>
          <w:p w14:paraId="1DB139AB"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IMPACT score, median (IQR)*</w:t>
            </w:r>
          </w:p>
        </w:tc>
        <w:tc>
          <w:tcPr>
            <w:tcW w:w="1417" w:type="dxa"/>
          </w:tcPr>
          <w:p w14:paraId="32FE1A95"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1.3 (-0.2-2.6)</w:t>
            </w:r>
          </w:p>
        </w:tc>
        <w:tc>
          <w:tcPr>
            <w:tcW w:w="1418" w:type="dxa"/>
          </w:tcPr>
          <w:p w14:paraId="594E8837"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0.9 (-0.7-3.6)</w:t>
            </w:r>
          </w:p>
        </w:tc>
        <w:tc>
          <w:tcPr>
            <w:tcW w:w="1417" w:type="dxa"/>
          </w:tcPr>
          <w:p w14:paraId="34CC87C3"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2.3 (1.5-3.6)</w:t>
            </w:r>
          </w:p>
        </w:tc>
        <w:tc>
          <w:tcPr>
            <w:tcW w:w="851" w:type="dxa"/>
          </w:tcPr>
          <w:p w14:paraId="25811F41" w14:textId="77777777" w:rsidR="00771AB6" w:rsidRPr="00771AB6" w:rsidRDefault="00771AB6" w:rsidP="00771AB6">
            <w:pPr>
              <w:spacing w:line="276" w:lineRule="auto"/>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0.001</w:t>
            </w:r>
          </w:p>
        </w:tc>
      </w:tr>
      <w:tr w:rsidR="00771AB6" w:rsidRPr="00771AB6" w14:paraId="548F5441" w14:textId="77777777" w:rsidTr="00AD14C5">
        <w:trPr>
          <w:trHeight w:val="185"/>
        </w:trPr>
        <w:tc>
          <w:tcPr>
            <w:tcW w:w="10060" w:type="dxa"/>
            <w:gridSpan w:val="5"/>
            <w:vAlign w:val="center"/>
          </w:tcPr>
          <w:p w14:paraId="31B70032" w14:textId="77777777" w:rsidR="00771AB6" w:rsidRPr="00771AB6" w:rsidRDefault="00771AB6" w:rsidP="00771AB6">
            <w:pPr>
              <w:spacing w:line="276" w:lineRule="auto"/>
              <w:rPr>
                <w:rFonts w:ascii="Calibri" w:eastAsia="Times New Roman" w:hAnsi="Calibri" w:cs="Calibri"/>
                <w:sz w:val="20"/>
                <w:szCs w:val="20"/>
                <w:lang w:val="en-GB"/>
              </w:rPr>
            </w:pPr>
            <w:r w:rsidRPr="00771AB6">
              <w:rPr>
                <w:rFonts w:ascii="Calibri" w:eastAsia="Times New Roman" w:hAnsi="Calibri" w:cs="Calibri"/>
                <w:sz w:val="20"/>
                <w:szCs w:val="20"/>
                <w:lang w:val="en-GB"/>
              </w:rPr>
              <w:t>* For asymptomatic tumours</w:t>
            </w:r>
          </w:p>
        </w:tc>
      </w:tr>
    </w:tbl>
    <w:p w14:paraId="19A03681" w14:textId="77777777" w:rsidR="00771AB6" w:rsidRPr="00771AB6" w:rsidRDefault="00771AB6" w:rsidP="00771AB6">
      <w:pPr>
        <w:rPr>
          <w:rFonts w:ascii="Calibri" w:eastAsia="Times New Roman" w:hAnsi="Calibri" w:cs="Arial"/>
          <w:lang w:val="en-GB"/>
        </w:rPr>
      </w:pPr>
    </w:p>
    <w:tbl>
      <w:tblPr>
        <w:tblStyle w:val="TableGrid1"/>
        <w:tblW w:w="0" w:type="auto"/>
        <w:tblLook w:val="04A0" w:firstRow="1" w:lastRow="0" w:firstColumn="1" w:lastColumn="0" w:noHBand="0" w:noVBand="1"/>
      </w:tblPr>
      <w:tblGrid>
        <w:gridCol w:w="2689"/>
        <w:gridCol w:w="1042"/>
        <w:gridCol w:w="1793"/>
        <w:gridCol w:w="1417"/>
      </w:tblGrid>
      <w:tr w:rsidR="00771AB6" w:rsidRPr="00771AB6" w14:paraId="69A6117B" w14:textId="77777777" w:rsidTr="00AD14C5">
        <w:tc>
          <w:tcPr>
            <w:tcW w:w="6941" w:type="dxa"/>
            <w:gridSpan w:val="4"/>
          </w:tcPr>
          <w:p w14:paraId="3257B421" w14:textId="77777777" w:rsidR="00771AB6" w:rsidRPr="00771AB6" w:rsidRDefault="00771AB6" w:rsidP="00771AB6">
            <w:pPr>
              <w:rPr>
                <w:rFonts w:ascii="Calibri" w:eastAsia="Times New Roman" w:hAnsi="Calibri" w:cs="Calibri"/>
                <w:b/>
                <w:sz w:val="20"/>
                <w:szCs w:val="20"/>
                <w:lang w:val="en-GB"/>
              </w:rPr>
            </w:pPr>
            <w:r w:rsidRPr="00771AB6">
              <w:rPr>
                <w:rFonts w:ascii="Calibri" w:eastAsia="Times New Roman" w:hAnsi="Calibri" w:cs="Calibri"/>
                <w:b/>
                <w:sz w:val="20"/>
                <w:szCs w:val="20"/>
                <w:lang w:val="en-GB"/>
              </w:rPr>
              <w:t>Table 2. Treatment details for the study cohort</w:t>
            </w:r>
          </w:p>
        </w:tc>
      </w:tr>
      <w:tr w:rsidR="00771AB6" w:rsidRPr="00771AB6" w14:paraId="03A6132A" w14:textId="77777777" w:rsidTr="00AD14C5">
        <w:tc>
          <w:tcPr>
            <w:tcW w:w="2689" w:type="dxa"/>
          </w:tcPr>
          <w:p w14:paraId="22F97E11" w14:textId="77777777" w:rsidR="00771AB6" w:rsidRPr="00771AB6" w:rsidRDefault="00771AB6" w:rsidP="00771AB6">
            <w:pPr>
              <w:rPr>
                <w:rFonts w:ascii="Calibri" w:eastAsia="Times New Roman" w:hAnsi="Calibri" w:cs="Calibri"/>
                <w:sz w:val="20"/>
                <w:szCs w:val="20"/>
                <w:lang w:val="en-GB"/>
              </w:rPr>
            </w:pPr>
          </w:p>
        </w:tc>
        <w:tc>
          <w:tcPr>
            <w:tcW w:w="1042" w:type="dxa"/>
          </w:tcPr>
          <w:p w14:paraId="5866189B"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Overall (n=68)</w:t>
            </w:r>
          </w:p>
        </w:tc>
        <w:tc>
          <w:tcPr>
            <w:tcW w:w="1793" w:type="dxa"/>
          </w:tcPr>
          <w:p w14:paraId="5FCAE89E"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Multiple meningioma (n=34)</w:t>
            </w:r>
          </w:p>
        </w:tc>
        <w:tc>
          <w:tcPr>
            <w:tcW w:w="1417" w:type="dxa"/>
          </w:tcPr>
          <w:p w14:paraId="064AEE56"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Solitary meningioma (n=34)</w:t>
            </w:r>
          </w:p>
        </w:tc>
      </w:tr>
      <w:tr w:rsidR="00771AB6" w:rsidRPr="00771AB6" w14:paraId="6B87F3F0" w14:textId="77777777" w:rsidTr="00AD14C5">
        <w:tc>
          <w:tcPr>
            <w:tcW w:w="6941" w:type="dxa"/>
            <w:gridSpan w:val="4"/>
            <w:vAlign w:val="center"/>
          </w:tcPr>
          <w:p w14:paraId="1539F566" w14:textId="77777777" w:rsidR="00771AB6" w:rsidRPr="00771AB6" w:rsidRDefault="00771AB6" w:rsidP="00771AB6">
            <w:pPr>
              <w:rPr>
                <w:rFonts w:ascii="Calibri" w:eastAsia="Times New Roman" w:hAnsi="Calibri" w:cs="Calibri"/>
                <w:b/>
                <w:sz w:val="20"/>
                <w:szCs w:val="20"/>
                <w:lang w:val="en-GB"/>
              </w:rPr>
            </w:pPr>
            <w:r w:rsidRPr="00771AB6">
              <w:rPr>
                <w:rFonts w:ascii="Calibri" w:eastAsia="Times New Roman" w:hAnsi="Calibri" w:cs="Calibri"/>
                <w:b/>
                <w:sz w:val="20"/>
                <w:szCs w:val="20"/>
                <w:lang w:val="en-GB"/>
              </w:rPr>
              <w:t>For index tumour</w:t>
            </w:r>
          </w:p>
        </w:tc>
      </w:tr>
      <w:tr w:rsidR="00771AB6" w:rsidRPr="00771AB6" w14:paraId="6FC017E2" w14:textId="77777777" w:rsidTr="00AD14C5">
        <w:tc>
          <w:tcPr>
            <w:tcW w:w="2689" w:type="dxa"/>
          </w:tcPr>
          <w:p w14:paraId="59A62CA1" w14:textId="77777777" w:rsidR="00771AB6" w:rsidRPr="00771AB6" w:rsidRDefault="00771AB6" w:rsidP="00771AB6">
            <w:pPr>
              <w:rPr>
                <w:rFonts w:ascii="Calibri" w:eastAsia="Times New Roman" w:hAnsi="Calibri" w:cs="Calibri"/>
                <w:sz w:val="20"/>
                <w:szCs w:val="20"/>
                <w:lang w:val="en-GB"/>
              </w:rPr>
            </w:pPr>
            <w:r w:rsidRPr="00771AB6">
              <w:rPr>
                <w:rFonts w:ascii="Calibri" w:eastAsia="Times New Roman" w:hAnsi="Calibri" w:cs="Calibri"/>
                <w:sz w:val="20"/>
                <w:szCs w:val="20"/>
                <w:lang w:val="en-GB"/>
              </w:rPr>
              <w:t>Surgery, count (%)</w:t>
            </w:r>
          </w:p>
        </w:tc>
        <w:tc>
          <w:tcPr>
            <w:tcW w:w="1042" w:type="dxa"/>
          </w:tcPr>
          <w:p w14:paraId="570B12A6" w14:textId="77777777" w:rsidR="00771AB6" w:rsidRPr="00771AB6" w:rsidRDefault="00771AB6" w:rsidP="00771AB6">
            <w:pPr>
              <w:rPr>
                <w:rFonts w:ascii="Calibri" w:eastAsia="Times New Roman" w:hAnsi="Calibri" w:cs="Calibri"/>
                <w:sz w:val="20"/>
                <w:szCs w:val="20"/>
                <w:lang w:val="en-GB"/>
              </w:rPr>
            </w:pPr>
          </w:p>
        </w:tc>
        <w:tc>
          <w:tcPr>
            <w:tcW w:w="1793" w:type="dxa"/>
          </w:tcPr>
          <w:p w14:paraId="5ED7554D" w14:textId="77777777" w:rsidR="00771AB6" w:rsidRPr="00771AB6" w:rsidRDefault="00771AB6" w:rsidP="00771AB6">
            <w:pPr>
              <w:rPr>
                <w:rFonts w:ascii="Calibri" w:eastAsia="Times New Roman" w:hAnsi="Calibri" w:cs="Calibri"/>
                <w:sz w:val="20"/>
                <w:szCs w:val="20"/>
                <w:lang w:val="en-GB"/>
              </w:rPr>
            </w:pPr>
          </w:p>
        </w:tc>
        <w:tc>
          <w:tcPr>
            <w:tcW w:w="1417" w:type="dxa"/>
          </w:tcPr>
          <w:p w14:paraId="05F05380" w14:textId="77777777" w:rsidR="00771AB6" w:rsidRPr="00771AB6" w:rsidRDefault="00771AB6" w:rsidP="00771AB6">
            <w:pPr>
              <w:rPr>
                <w:rFonts w:ascii="Calibri" w:eastAsia="Times New Roman" w:hAnsi="Calibri" w:cs="Calibri"/>
                <w:sz w:val="20"/>
                <w:szCs w:val="20"/>
                <w:lang w:val="en-GB"/>
              </w:rPr>
            </w:pPr>
          </w:p>
        </w:tc>
      </w:tr>
      <w:tr w:rsidR="00771AB6" w:rsidRPr="00771AB6" w14:paraId="37722F09" w14:textId="77777777" w:rsidTr="00AD14C5">
        <w:tc>
          <w:tcPr>
            <w:tcW w:w="2689" w:type="dxa"/>
          </w:tcPr>
          <w:p w14:paraId="376136C2"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Primary</w:t>
            </w:r>
          </w:p>
        </w:tc>
        <w:tc>
          <w:tcPr>
            <w:tcW w:w="1042" w:type="dxa"/>
          </w:tcPr>
          <w:p w14:paraId="277E7B7B"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45 (66.2)</w:t>
            </w:r>
          </w:p>
        </w:tc>
        <w:tc>
          <w:tcPr>
            <w:tcW w:w="1793" w:type="dxa"/>
          </w:tcPr>
          <w:p w14:paraId="3A53F0B4"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21 (61.2)</w:t>
            </w:r>
          </w:p>
        </w:tc>
        <w:tc>
          <w:tcPr>
            <w:tcW w:w="1417" w:type="dxa"/>
          </w:tcPr>
          <w:p w14:paraId="41460D1F"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24 (70.6)</w:t>
            </w:r>
          </w:p>
        </w:tc>
      </w:tr>
      <w:tr w:rsidR="00771AB6" w:rsidRPr="00771AB6" w14:paraId="16A63D45" w14:textId="77777777" w:rsidTr="00AD14C5">
        <w:tc>
          <w:tcPr>
            <w:tcW w:w="2689" w:type="dxa"/>
          </w:tcPr>
          <w:p w14:paraId="32833EC4" w14:textId="77777777" w:rsidR="00771AB6" w:rsidRPr="00771AB6" w:rsidRDefault="00771AB6" w:rsidP="00771AB6">
            <w:pPr>
              <w:ind w:left="1440"/>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Simpson 1</w:t>
            </w:r>
          </w:p>
        </w:tc>
        <w:tc>
          <w:tcPr>
            <w:tcW w:w="1042" w:type="dxa"/>
          </w:tcPr>
          <w:p w14:paraId="700BBE84"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15 (33.3)</w:t>
            </w:r>
          </w:p>
        </w:tc>
        <w:tc>
          <w:tcPr>
            <w:tcW w:w="1793" w:type="dxa"/>
          </w:tcPr>
          <w:p w14:paraId="0D98BB94"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9 (42.9)</w:t>
            </w:r>
          </w:p>
        </w:tc>
        <w:tc>
          <w:tcPr>
            <w:tcW w:w="1417" w:type="dxa"/>
          </w:tcPr>
          <w:p w14:paraId="3760C65A"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6 (25.0)</w:t>
            </w:r>
          </w:p>
        </w:tc>
      </w:tr>
      <w:tr w:rsidR="00771AB6" w:rsidRPr="00771AB6" w14:paraId="626F2235" w14:textId="77777777" w:rsidTr="00AD14C5">
        <w:tc>
          <w:tcPr>
            <w:tcW w:w="2689" w:type="dxa"/>
          </w:tcPr>
          <w:p w14:paraId="028939FD" w14:textId="77777777" w:rsidR="00771AB6" w:rsidRPr="00771AB6" w:rsidRDefault="00771AB6" w:rsidP="00771AB6">
            <w:pPr>
              <w:ind w:left="1440"/>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Simpson 2</w:t>
            </w:r>
          </w:p>
        </w:tc>
        <w:tc>
          <w:tcPr>
            <w:tcW w:w="1042" w:type="dxa"/>
          </w:tcPr>
          <w:p w14:paraId="6582620B"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15 (33.3)</w:t>
            </w:r>
          </w:p>
        </w:tc>
        <w:tc>
          <w:tcPr>
            <w:tcW w:w="1793" w:type="dxa"/>
          </w:tcPr>
          <w:p w14:paraId="55F8369C"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6 (28.6)</w:t>
            </w:r>
          </w:p>
        </w:tc>
        <w:tc>
          <w:tcPr>
            <w:tcW w:w="1417" w:type="dxa"/>
          </w:tcPr>
          <w:p w14:paraId="2E53DDC2"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9 (37.5)</w:t>
            </w:r>
          </w:p>
        </w:tc>
      </w:tr>
      <w:tr w:rsidR="00771AB6" w:rsidRPr="00771AB6" w14:paraId="59A927D9" w14:textId="77777777" w:rsidTr="00AD14C5">
        <w:tc>
          <w:tcPr>
            <w:tcW w:w="2689" w:type="dxa"/>
          </w:tcPr>
          <w:p w14:paraId="5C803713" w14:textId="77777777" w:rsidR="00771AB6" w:rsidRPr="00771AB6" w:rsidRDefault="00771AB6" w:rsidP="00771AB6">
            <w:pPr>
              <w:ind w:left="1440"/>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Simpson 3</w:t>
            </w:r>
          </w:p>
        </w:tc>
        <w:tc>
          <w:tcPr>
            <w:tcW w:w="1042" w:type="dxa"/>
          </w:tcPr>
          <w:p w14:paraId="3DCDBC5A"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3 (6.7)</w:t>
            </w:r>
          </w:p>
        </w:tc>
        <w:tc>
          <w:tcPr>
            <w:tcW w:w="1793" w:type="dxa"/>
          </w:tcPr>
          <w:p w14:paraId="18BFAA7B"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2 (9.5)</w:t>
            </w:r>
          </w:p>
        </w:tc>
        <w:tc>
          <w:tcPr>
            <w:tcW w:w="1417" w:type="dxa"/>
          </w:tcPr>
          <w:p w14:paraId="0BFBE5BD"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 (4.2)</w:t>
            </w:r>
          </w:p>
        </w:tc>
      </w:tr>
      <w:tr w:rsidR="00771AB6" w:rsidRPr="00771AB6" w14:paraId="4ECE637E" w14:textId="77777777" w:rsidTr="00AD14C5">
        <w:tc>
          <w:tcPr>
            <w:tcW w:w="2689" w:type="dxa"/>
          </w:tcPr>
          <w:p w14:paraId="496AA5C5" w14:textId="77777777" w:rsidR="00771AB6" w:rsidRPr="00771AB6" w:rsidRDefault="00771AB6" w:rsidP="00771AB6">
            <w:pPr>
              <w:ind w:left="1440"/>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Simpson 4</w:t>
            </w:r>
          </w:p>
        </w:tc>
        <w:tc>
          <w:tcPr>
            <w:tcW w:w="1042" w:type="dxa"/>
          </w:tcPr>
          <w:p w14:paraId="1B664CA9"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12 (26.7)</w:t>
            </w:r>
          </w:p>
        </w:tc>
        <w:tc>
          <w:tcPr>
            <w:tcW w:w="1793" w:type="dxa"/>
          </w:tcPr>
          <w:p w14:paraId="3E97BDEB"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4 (19.0)</w:t>
            </w:r>
          </w:p>
        </w:tc>
        <w:tc>
          <w:tcPr>
            <w:tcW w:w="1417" w:type="dxa"/>
          </w:tcPr>
          <w:p w14:paraId="5E5DC7FF"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8 (33.3)</w:t>
            </w:r>
          </w:p>
        </w:tc>
      </w:tr>
      <w:tr w:rsidR="00771AB6" w:rsidRPr="00771AB6" w14:paraId="473E33F0" w14:textId="77777777" w:rsidTr="00AD14C5">
        <w:tc>
          <w:tcPr>
            <w:tcW w:w="2689" w:type="dxa"/>
          </w:tcPr>
          <w:p w14:paraId="5ECBBB27"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Salvage</w:t>
            </w:r>
          </w:p>
        </w:tc>
        <w:tc>
          <w:tcPr>
            <w:tcW w:w="1042" w:type="dxa"/>
          </w:tcPr>
          <w:p w14:paraId="48D7B3F7"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793" w:type="dxa"/>
          </w:tcPr>
          <w:p w14:paraId="161FDAAF"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5F1517C8"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r>
      <w:tr w:rsidR="00771AB6" w:rsidRPr="00771AB6" w14:paraId="7901D188" w14:textId="77777777" w:rsidTr="00AD14C5">
        <w:tc>
          <w:tcPr>
            <w:tcW w:w="2689" w:type="dxa"/>
          </w:tcPr>
          <w:p w14:paraId="385B67B0" w14:textId="77777777" w:rsidR="00771AB6" w:rsidRPr="00771AB6" w:rsidRDefault="00771AB6" w:rsidP="00771AB6">
            <w:pPr>
              <w:rPr>
                <w:rFonts w:ascii="Calibri" w:eastAsia="Times New Roman" w:hAnsi="Calibri" w:cs="Calibri"/>
                <w:sz w:val="20"/>
                <w:szCs w:val="20"/>
                <w:lang w:val="en-GB"/>
              </w:rPr>
            </w:pPr>
            <w:r w:rsidRPr="00771AB6">
              <w:rPr>
                <w:rFonts w:ascii="Calibri" w:eastAsia="Times New Roman" w:hAnsi="Calibri" w:cs="Calibri"/>
                <w:sz w:val="20"/>
                <w:szCs w:val="20"/>
                <w:lang w:val="en-GB"/>
              </w:rPr>
              <w:t xml:space="preserve">SRS, count (%) </w:t>
            </w:r>
          </w:p>
        </w:tc>
        <w:tc>
          <w:tcPr>
            <w:tcW w:w="1042" w:type="dxa"/>
          </w:tcPr>
          <w:p w14:paraId="25A59B30" w14:textId="77777777" w:rsidR="00771AB6" w:rsidRPr="00771AB6" w:rsidRDefault="00771AB6" w:rsidP="00771AB6">
            <w:pPr>
              <w:jc w:val="center"/>
              <w:rPr>
                <w:rFonts w:ascii="Calibri" w:eastAsia="Times New Roman" w:hAnsi="Calibri" w:cs="Calibri"/>
                <w:sz w:val="20"/>
                <w:szCs w:val="20"/>
                <w:lang w:val="en-GB"/>
              </w:rPr>
            </w:pPr>
          </w:p>
        </w:tc>
        <w:tc>
          <w:tcPr>
            <w:tcW w:w="1793" w:type="dxa"/>
          </w:tcPr>
          <w:p w14:paraId="5D3F4884" w14:textId="77777777" w:rsidR="00771AB6" w:rsidRPr="00771AB6" w:rsidRDefault="00771AB6" w:rsidP="00771AB6">
            <w:pPr>
              <w:jc w:val="center"/>
              <w:rPr>
                <w:rFonts w:ascii="Calibri" w:eastAsia="Times New Roman" w:hAnsi="Calibri" w:cs="Calibri"/>
                <w:sz w:val="20"/>
                <w:szCs w:val="20"/>
                <w:lang w:val="en-GB"/>
              </w:rPr>
            </w:pPr>
          </w:p>
        </w:tc>
        <w:tc>
          <w:tcPr>
            <w:tcW w:w="1417" w:type="dxa"/>
          </w:tcPr>
          <w:p w14:paraId="5FCDE61D" w14:textId="77777777" w:rsidR="00771AB6" w:rsidRPr="00771AB6" w:rsidRDefault="00771AB6" w:rsidP="00771AB6">
            <w:pPr>
              <w:jc w:val="center"/>
              <w:rPr>
                <w:rFonts w:ascii="Calibri" w:eastAsia="Times New Roman" w:hAnsi="Calibri" w:cs="Calibri"/>
                <w:sz w:val="20"/>
                <w:szCs w:val="20"/>
                <w:lang w:val="en-GB"/>
              </w:rPr>
            </w:pPr>
          </w:p>
        </w:tc>
      </w:tr>
      <w:tr w:rsidR="00771AB6" w:rsidRPr="00771AB6" w14:paraId="1547B7A9" w14:textId="77777777" w:rsidTr="00AD14C5">
        <w:tc>
          <w:tcPr>
            <w:tcW w:w="2689" w:type="dxa"/>
          </w:tcPr>
          <w:p w14:paraId="55D036EE"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Primary</w:t>
            </w:r>
          </w:p>
        </w:tc>
        <w:tc>
          <w:tcPr>
            <w:tcW w:w="1042" w:type="dxa"/>
          </w:tcPr>
          <w:p w14:paraId="2FD83149"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793" w:type="dxa"/>
          </w:tcPr>
          <w:p w14:paraId="13E79BC8"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37500E77"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r>
      <w:tr w:rsidR="00771AB6" w:rsidRPr="00771AB6" w14:paraId="2A41D66B" w14:textId="77777777" w:rsidTr="00AD14C5">
        <w:tc>
          <w:tcPr>
            <w:tcW w:w="2689" w:type="dxa"/>
          </w:tcPr>
          <w:p w14:paraId="7B5D8C5B"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Adjuvant</w:t>
            </w:r>
          </w:p>
        </w:tc>
        <w:tc>
          <w:tcPr>
            <w:tcW w:w="1042" w:type="dxa"/>
          </w:tcPr>
          <w:p w14:paraId="4EDE8794"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(1.6)</w:t>
            </w:r>
          </w:p>
        </w:tc>
        <w:tc>
          <w:tcPr>
            <w:tcW w:w="1793" w:type="dxa"/>
          </w:tcPr>
          <w:p w14:paraId="4A0410A8"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18FFD958"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r>
      <w:tr w:rsidR="00771AB6" w:rsidRPr="00771AB6" w14:paraId="2EEBF91F" w14:textId="77777777" w:rsidTr="00AD14C5">
        <w:tc>
          <w:tcPr>
            <w:tcW w:w="2689" w:type="dxa"/>
          </w:tcPr>
          <w:p w14:paraId="3ACB8B5B"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Salvage</w:t>
            </w:r>
          </w:p>
        </w:tc>
        <w:tc>
          <w:tcPr>
            <w:tcW w:w="1042" w:type="dxa"/>
          </w:tcPr>
          <w:p w14:paraId="2DADFCA6"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(2.9)</w:t>
            </w:r>
          </w:p>
        </w:tc>
        <w:tc>
          <w:tcPr>
            <w:tcW w:w="1793" w:type="dxa"/>
          </w:tcPr>
          <w:p w14:paraId="06C236F0"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63C2455D"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r>
      <w:tr w:rsidR="00771AB6" w:rsidRPr="00771AB6" w14:paraId="55973A0D" w14:textId="77777777" w:rsidTr="00AD14C5">
        <w:tc>
          <w:tcPr>
            <w:tcW w:w="2689" w:type="dxa"/>
          </w:tcPr>
          <w:p w14:paraId="2DC0E92A" w14:textId="77777777" w:rsidR="00771AB6" w:rsidRPr="00771AB6" w:rsidRDefault="00771AB6" w:rsidP="00771AB6">
            <w:pPr>
              <w:rPr>
                <w:rFonts w:ascii="Calibri" w:eastAsia="Times New Roman" w:hAnsi="Calibri" w:cs="Calibri"/>
                <w:sz w:val="20"/>
                <w:szCs w:val="20"/>
                <w:lang w:val="en-GB"/>
              </w:rPr>
            </w:pPr>
            <w:proofErr w:type="spellStart"/>
            <w:proofErr w:type="gramStart"/>
            <w:r w:rsidRPr="00771AB6">
              <w:rPr>
                <w:rFonts w:ascii="Calibri" w:eastAsia="Times New Roman" w:hAnsi="Calibri" w:cs="Calibri"/>
                <w:i/>
                <w:sz w:val="20"/>
                <w:szCs w:val="20"/>
                <w:lang w:val="en-GB"/>
              </w:rPr>
              <w:t>f</w:t>
            </w:r>
            <w:r w:rsidRPr="00771AB6">
              <w:rPr>
                <w:rFonts w:ascii="Calibri" w:eastAsia="Times New Roman" w:hAnsi="Calibri" w:cs="Calibri"/>
                <w:sz w:val="20"/>
                <w:szCs w:val="20"/>
                <w:lang w:val="en-GB"/>
              </w:rPr>
              <w:t>RT</w:t>
            </w:r>
            <w:proofErr w:type="spellEnd"/>
            <w:proofErr w:type="gramEnd"/>
            <w:r w:rsidRPr="00771AB6">
              <w:rPr>
                <w:rFonts w:ascii="Calibri" w:eastAsia="Times New Roman" w:hAnsi="Calibri" w:cs="Calibri"/>
                <w:sz w:val="20"/>
                <w:szCs w:val="20"/>
                <w:lang w:val="en-GB"/>
              </w:rPr>
              <w:t>, count (%)</w:t>
            </w:r>
          </w:p>
        </w:tc>
        <w:tc>
          <w:tcPr>
            <w:tcW w:w="1042" w:type="dxa"/>
          </w:tcPr>
          <w:p w14:paraId="5CBDADFF" w14:textId="77777777" w:rsidR="00771AB6" w:rsidRPr="00771AB6" w:rsidRDefault="00771AB6" w:rsidP="00771AB6">
            <w:pPr>
              <w:jc w:val="center"/>
              <w:rPr>
                <w:rFonts w:ascii="Calibri" w:eastAsia="Times New Roman" w:hAnsi="Calibri" w:cs="Calibri"/>
                <w:sz w:val="20"/>
                <w:szCs w:val="20"/>
                <w:lang w:val="en-GB"/>
              </w:rPr>
            </w:pPr>
          </w:p>
        </w:tc>
        <w:tc>
          <w:tcPr>
            <w:tcW w:w="1793" w:type="dxa"/>
          </w:tcPr>
          <w:p w14:paraId="73C90340" w14:textId="77777777" w:rsidR="00771AB6" w:rsidRPr="00771AB6" w:rsidRDefault="00771AB6" w:rsidP="00771AB6">
            <w:pPr>
              <w:jc w:val="center"/>
              <w:rPr>
                <w:rFonts w:ascii="Calibri" w:eastAsia="Times New Roman" w:hAnsi="Calibri" w:cs="Calibri"/>
                <w:sz w:val="20"/>
                <w:szCs w:val="20"/>
                <w:lang w:val="en-GB"/>
              </w:rPr>
            </w:pPr>
          </w:p>
        </w:tc>
        <w:tc>
          <w:tcPr>
            <w:tcW w:w="1417" w:type="dxa"/>
          </w:tcPr>
          <w:p w14:paraId="018E9282" w14:textId="77777777" w:rsidR="00771AB6" w:rsidRPr="00771AB6" w:rsidRDefault="00771AB6" w:rsidP="00771AB6">
            <w:pPr>
              <w:jc w:val="center"/>
              <w:rPr>
                <w:rFonts w:ascii="Calibri" w:eastAsia="Times New Roman" w:hAnsi="Calibri" w:cs="Calibri"/>
                <w:sz w:val="20"/>
                <w:szCs w:val="20"/>
                <w:lang w:val="en-GB"/>
              </w:rPr>
            </w:pPr>
          </w:p>
        </w:tc>
      </w:tr>
      <w:tr w:rsidR="00771AB6" w:rsidRPr="00771AB6" w14:paraId="762446FB" w14:textId="77777777" w:rsidTr="00AD14C5">
        <w:tc>
          <w:tcPr>
            <w:tcW w:w="2689" w:type="dxa"/>
          </w:tcPr>
          <w:p w14:paraId="259AE0BD"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Primary</w:t>
            </w:r>
          </w:p>
        </w:tc>
        <w:tc>
          <w:tcPr>
            <w:tcW w:w="1042" w:type="dxa"/>
          </w:tcPr>
          <w:p w14:paraId="41AC73B3"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(1.6)</w:t>
            </w:r>
          </w:p>
        </w:tc>
        <w:tc>
          <w:tcPr>
            <w:tcW w:w="1793" w:type="dxa"/>
          </w:tcPr>
          <w:p w14:paraId="0FDF66FB"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087E7391"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r>
      <w:tr w:rsidR="00771AB6" w:rsidRPr="00771AB6" w14:paraId="2A7E01D8" w14:textId="77777777" w:rsidTr="00AD14C5">
        <w:tc>
          <w:tcPr>
            <w:tcW w:w="2689" w:type="dxa"/>
          </w:tcPr>
          <w:p w14:paraId="68C40C0F"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 xml:space="preserve">Adjuvant </w:t>
            </w:r>
          </w:p>
        </w:tc>
        <w:tc>
          <w:tcPr>
            <w:tcW w:w="1042" w:type="dxa"/>
          </w:tcPr>
          <w:p w14:paraId="440F8579"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8 (11.8)</w:t>
            </w:r>
          </w:p>
        </w:tc>
        <w:tc>
          <w:tcPr>
            <w:tcW w:w="1793" w:type="dxa"/>
          </w:tcPr>
          <w:p w14:paraId="22804D9F"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2F2E9E5C"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7 (20.6)</w:t>
            </w:r>
          </w:p>
        </w:tc>
      </w:tr>
      <w:tr w:rsidR="00771AB6" w:rsidRPr="00771AB6" w14:paraId="11D5DC4C" w14:textId="77777777" w:rsidTr="00AD14C5">
        <w:tc>
          <w:tcPr>
            <w:tcW w:w="2689" w:type="dxa"/>
          </w:tcPr>
          <w:p w14:paraId="3F198DD1"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Salvage</w:t>
            </w:r>
          </w:p>
        </w:tc>
        <w:tc>
          <w:tcPr>
            <w:tcW w:w="1042" w:type="dxa"/>
          </w:tcPr>
          <w:p w14:paraId="5262564E"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4 (5.9)</w:t>
            </w:r>
          </w:p>
        </w:tc>
        <w:tc>
          <w:tcPr>
            <w:tcW w:w="1793" w:type="dxa"/>
          </w:tcPr>
          <w:p w14:paraId="2195BDD6"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(5.9)</w:t>
            </w:r>
          </w:p>
        </w:tc>
        <w:tc>
          <w:tcPr>
            <w:tcW w:w="1417" w:type="dxa"/>
          </w:tcPr>
          <w:p w14:paraId="08A089DF"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(5.9)</w:t>
            </w:r>
          </w:p>
        </w:tc>
      </w:tr>
      <w:tr w:rsidR="00771AB6" w:rsidRPr="00771AB6" w14:paraId="1092BD85" w14:textId="77777777" w:rsidTr="00AD14C5">
        <w:tc>
          <w:tcPr>
            <w:tcW w:w="6941" w:type="dxa"/>
            <w:gridSpan w:val="4"/>
          </w:tcPr>
          <w:p w14:paraId="5471107F" w14:textId="77777777" w:rsidR="00771AB6" w:rsidRPr="00771AB6" w:rsidRDefault="00771AB6" w:rsidP="00771AB6">
            <w:pPr>
              <w:rPr>
                <w:rFonts w:ascii="Calibri" w:eastAsia="Times New Roman" w:hAnsi="Calibri" w:cs="Calibri"/>
                <w:b/>
                <w:sz w:val="20"/>
                <w:szCs w:val="20"/>
                <w:lang w:val="en-GB"/>
              </w:rPr>
            </w:pPr>
            <w:r w:rsidRPr="00771AB6">
              <w:rPr>
                <w:rFonts w:ascii="Calibri" w:eastAsia="Times New Roman" w:hAnsi="Calibri" w:cs="Calibri"/>
                <w:b/>
                <w:sz w:val="20"/>
                <w:szCs w:val="20"/>
                <w:lang w:val="en-GB"/>
              </w:rPr>
              <w:t>Due to other meningioma</w:t>
            </w:r>
          </w:p>
        </w:tc>
      </w:tr>
      <w:tr w:rsidR="00771AB6" w:rsidRPr="00771AB6" w14:paraId="6F4E910A" w14:textId="77777777" w:rsidTr="00AD14C5">
        <w:tc>
          <w:tcPr>
            <w:tcW w:w="2689" w:type="dxa"/>
          </w:tcPr>
          <w:p w14:paraId="687D4193" w14:textId="77777777" w:rsidR="00771AB6" w:rsidRPr="00771AB6" w:rsidRDefault="00771AB6" w:rsidP="00771AB6">
            <w:pPr>
              <w:rPr>
                <w:rFonts w:ascii="Calibri" w:eastAsia="Times New Roman" w:hAnsi="Calibri" w:cs="Calibri"/>
                <w:sz w:val="20"/>
                <w:szCs w:val="20"/>
                <w:lang w:val="en-GB"/>
              </w:rPr>
            </w:pPr>
            <w:r w:rsidRPr="00771AB6">
              <w:rPr>
                <w:rFonts w:ascii="Calibri" w:eastAsia="Times New Roman" w:hAnsi="Calibri" w:cs="Calibri"/>
                <w:sz w:val="20"/>
                <w:szCs w:val="20"/>
                <w:lang w:val="en-GB"/>
              </w:rPr>
              <w:t>Surgery, count (%)</w:t>
            </w:r>
          </w:p>
        </w:tc>
        <w:tc>
          <w:tcPr>
            <w:tcW w:w="1042" w:type="dxa"/>
          </w:tcPr>
          <w:p w14:paraId="28498F54" w14:textId="77777777" w:rsidR="00771AB6" w:rsidRPr="00771AB6" w:rsidRDefault="00771AB6" w:rsidP="00771AB6">
            <w:pPr>
              <w:jc w:val="center"/>
              <w:rPr>
                <w:rFonts w:ascii="Calibri" w:eastAsia="Times New Roman" w:hAnsi="Calibri" w:cs="Calibri"/>
                <w:sz w:val="20"/>
                <w:szCs w:val="20"/>
                <w:lang w:val="en-GB"/>
              </w:rPr>
            </w:pPr>
          </w:p>
        </w:tc>
        <w:tc>
          <w:tcPr>
            <w:tcW w:w="1793" w:type="dxa"/>
          </w:tcPr>
          <w:p w14:paraId="290C44B6" w14:textId="77777777" w:rsidR="00771AB6" w:rsidRPr="00771AB6" w:rsidRDefault="00771AB6" w:rsidP="00771AB6">
            <w:pPr>
              <w:jc w:val="center"/>
              <w:rPr>
                <w:rFonts w:ascii="Calibri" w:eastAsia="Times New Roman" w:hAnsi="Calibri" w:cs="Calibri"/>
                <w:sz w:val="20"/>
                <w:szCs w:val="20"/>
                <w:lang w:val="en-GB"/>
              </w:rPr>
            </w:pPr>
          </w:p>
        </w:tc>
        <w:tc>
          <w:tcPr>
            <w:tcW w:w="1417" w:type="dxa"/>
          </w:tcPr>
          <w:p w14:paraId="56B4C0A0" w14:textId="77777777" w:rsidR="00771AB6" w:rsidRPr="00771AB6" w:rsidRDefault="00771AB6" w:rsidP="00771AB6">
            <w:pPr>
              <w:jc w:val="center"/>
              <w:rPr>
                <w:rFonts w:ascii="Calibri" w:eastAsia="Times New Roman" w:hAnsi="Calibri" w:cs="Calibri"/>
                <w:sz w:val="20"/>
                <w:szCs w:val="20"/>
                <w:lang w:val="en-GB"/>
              </w:rPr>
            </w:pPr>
          </w:p>
        </w:tc>
      </w:tr>
      <w:tr w:rsidR="00771AB6" w:rsidRPr="00771AB6" w14:paraId="625E7399" w14:textId="77777777" w:rsidTr="00AD14C5">
        <w:tc>
          <w:tcPr>
            <w:tcW w:w="2689" w:type="dxa"/>
          </w:tcPr>
          <w:p w14:paraId="341F2172"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Primary</w:t>
            </w:r>
          </w:p>
        </w:tc>
        <w:tc>
          <w:tcPr>
            <w:tcW w:w="1042" w:type="dxa"/>
          </w:tcPr>
          <w:p w14:paraId="2952F326"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(1.6)</w:t>
            </w:r>
          </w:p>
        </w:tc>
        <w:tc>
          <w:tcPr>
            <w:tcW w:w="1793" w:type="dxa"/>
          </w:tcPr>
          <w:p w14:paraId="6E46BF62"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2B2916DA"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6DEA099B" w14:textId="77777777" w:rsidTr="00AD14C5">
        <w:tc>
          <w:tcPr>
            <w:tcW w:w="2689" w:type="dxa"/>
          </w:tcPr>
          <w:p w14:paraId="5C859C95" w14:textId="77777777" w:rsidR="00771AB6" w:rsidRPr="00771AB6" w:rsidRDefault="00771AB6" w:rsidP="00771AB6">
            <w:pPr>
              <w:ind w:left="1440"/>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Simpson 1</w:t>
            </w:r>
          </w:p>
        </w:tc>
        <w:tc>
          <w:tcPr>
            <w:tcW w:w="1042" w:type="dxa"/>
          </w:tcPr>
          <w:p w14:paraId="0CD4DE78"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 (100)</w:t>
            </w:r>
          </w:p>
        </w:tc>
        <w:tc>
          <w:tcPr>
            <w:tcW w:w="1793" w:type="dxa"/>
          </w:tcPr>
          <w:p w14:paraId="5D674901"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 (100)</w:t>
            </w:r>
          </w:p>
        </w:tc>
        <w:tc>
          <w:tcPr>
            <w:tcW w:w="1417" w:type="dxa"/>
          </w:tcPr>
          <w:p w14:paraId="5E689A08"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w:t>
            </w:r>
          </w:p>
        </w:tc>
      </w:tr>
      <w:tr w:rsidR="00771AB6" w:rsidRPr="00771AB6" w14:paraId="201B4578" w14:textId="77777777" w:rsidTr="00AD14C5">
        <w:tc>
          <w:tcPr>
            <w:tcW w:w="2689" w:type="dxa"/>
          </w:tcPr>
          <w:p w14:paraId="467F844E"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Salvage</w:t>
            </w:r>
          </w:p>
        </w:tc>
        <w:tc>
          <w:tcPr>
            <w:tcW w:w="1042" w:type="dxa"/>
          </w:tcPr>
          <w:p w14:paraId="25038E10"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(1.6)</w:t>
            </w:r>
          </w:p>
        </w:tc>
        <w:tc>
          <w:tcPr>
            <w:tcW w:w="1793" w:type="dxa"/>
          </w:tcPr>
          <w:p w14:paraId="146DBA9B"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509C8807"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254663DE" w14:textId="77777777" w:rsidTr="00AD14C5">
        <w:tc>
          <w:tcPr>
            <w:tcW w:w="2689" w:type="dxa"/>
          </w:tcPr>
          <w:p w14:paraId="5144C6AA" w14:textId="77777777" w:rsidR="00771AB6" w:rsidRPr="00771AB6" w:rsidRDefault="00771AB6" w:rsidP="00771AB6">
            <w:pPr>
              <w:ind w:left="1440"/>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Simpson 2</w:t>
            </w:r>
          </w:p>
        </w:tc>
        <w:tc>
          <w:tcPr>
            <w:tcW w:w="1042" w:type="dxa"/>
          </w:tcPr>
          <w:p w14:paraId="568638D4"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 (100)</w:t>
            </w:r>
          </w:p>
        </w:tc>
        <w:tc>
          <w:tcPr>
            <w:tcW w:w="1793" w:type="dxa"/>
          </w:tcPr>
          <w:p w14:paraId="763F0B62"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1 (100)</w:t>
            </w:r>
          </w:p>
        </w:tc>
        <w:tc>
          <w:tcPr>
            <w:tcW w:w="1417" w:type="dxa"/>
          </w:tcPr>
          <w:p w14:paraId="6BA49DCB" w14:textId="77777777" w:rsidR="00771AB6" w:rsidRPr="00771AB6" w:rsidRDefault="00771AB6" w:rsidP="00771AB6">
            <w:pPr>
              <w:jc w:val="center"/>
              <w:rPr>
                <w:rFonts w:ascii="Calibri" w:eastAsia="Times New Roman" w:hAnsi="Calibri" w:cs="Calibri"/>
                <w:i/>
                <w:iCs/>
                <w:sz w:val="18"/>
                <w:szCs w:val="18"/>
                <w:lang w:val="en-GB"/>
              </w:rPr>
            </w:pPr>
            <w:r w:rsidRPr="00771AB6">
              <w:rPr>
                <w:rFonts w:ascii="Calibri" w:eastAsia="Times New Roman" w:hAnsi="Calibri" w:cs="Calibri"/>
                <w:i/>
                <w:iCs/>
                <w:sz w:val="18"/>
                <w:szCs w:val="18"/>
                <w:lang w:val="en-GB"/>
              </w:rPr>
              <w:t>-</w:t>
            </w:r>
          </w:p>
        </w:tc>
      </w:tr>
      <w:tr w:rsidR="00771AB6" w:rsidRPr="00771AB6" w14:paraId="592FEEAB" w14:textId="77777777" w:rsidTr="00AD14C5">
        <w:tc>
          <w:tcPr>
            <w:tcW w:w="2689" w:type="dxa"/>
          </w:tcPr>
          <w:p w14:paraId="1871FD83" w14:textId="77777777" w:rsidR="00771AB6" w:rsidRPr="00771AB6" w:rsidRDefault="00771AB6" w:rsidP="00771AB6">
            <w:pPr>
              <w:rPr>
                <w:rFonts w:ascii="Calibri" w:eastAsia="Times New Roman" w:hAnsi="Calibri" w:cs="Calibri"/>
                <w:sz w:val="20"/>
                <w:szCs w:val="20"/>
                <w:lang w:val="en-GB"/>
              </w:rPr>
            </w:pPr>
            <w:r w:rsidRPr="00771AB6">
              <w:rPr>
                <w:rFonts w:ascii="Calibri" w:eastAsia="Times New Roman" w:hAnsi="Calibri" w:cs="Calibri"/>
                <w:sz w:val="20"/>
                <w:szCs w:val="20"/>
                <w:lang w:val="en-GB"/>
              </w:rPr>
              <w:t>SRS, count (%)</w:t>
            </w:r>
          </w:p>
        </w:tc>
        <w:tc>
          <w:tcPr>
            <w:tcW w:w="1042" w:type="dxa"/>
          </w:tcPr>
          <w:p w14:paraId="68175777" w14:textId="77777777" w:rsidR="00771AB6" w:rsidRPr="00771AB6" w:rsidRDefault="00771AB6" w:rsidP="00771AB6">
            <w:pPr>
              <w:jc w:val="center"/>
              <w:rPr>
                <w:rFonts w:ascii="Calibri" w:eastAsia="Times New Roman" w:hAnsi="Calibri" w:cs="Calibri"/>
                <w:sz w:val="20"/>
                <w:szCs w:val="20"/>
                <w:lang w:val="en-GB"/>
              </w:rPr>
            </w:pPr>
          </w:p>
        </w:tc>
        <w:tc>
          <w:tcPr>
            <w:tcW w:w="1793" w:type="dxa"/>
          </w:tcPr>
          <w:p w14:paraId="62835801" w14:textId="77777777" w:rsidR="00771AB6" w:rsidRPr="00771AB6" w:rsidRDefault="00771AB6" w:rsidP="00771AB6">
            <w:pPr>
              <w:jc w:val="center"/>
              <w:rPr>
                <w:rFonts w:ascii="Calibri" w:eastAsia="Times New Roman" w:hAnsi="Calibri" w:cs="Calibri"/>
                <w:sz w:val="20"/>
                <w:szCs w:val="20"/>
                <w:lang w:val="en-GB"/>
              </w:rPr>
            </w:pPr>
          </w:p>
        </w:tc>
        <w:tc>
          <w:tcPr>
            <w:tcW w:w="1417" w:type="dxa"/>
          </w:tcPr>
          <w:p w14:paraId="63D40E28" w14:textId="77777777" w:rsidR="00771AB6" w:rsidRPr="00771AB6" w:rsidRDefault="00771AB6" w:rsidP="00771AB6">
            <w:pPr>
              <w:jc w:val="center"/>
              <w:rPr>
                <w:rFonts w:ascii="Calibri" w:eastAsia="Times New Roman" w:hAnsi="Calibri" w:cs="Calibri"/>
                <w:sz w:val="20"/>
                <w:szCs w:val="20"/>
                <w:lang w:val="en-GB"/>
              </w:rPr>
            </w:pPr>
          </w:p>
        </w:tc>
      </w:tr>
      <w:tr w:rsidR="00771AB6" w:rsidRPr="00771AB6" w14:paraId="66F472A7" w14:textId="77777777" w:rsidTr="00AD14C5">
        <w:tc>
          <w:tcPr>
            <w:tcW w:w="2689" w:type="dxa"/>
          </w:tcPr>
          <w:p w14:paraId="1EE403AB"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Primary</w:t>
            </w:r>
          </w:p>
        </w:tc>
        <w:tc>
          <w:tcPr>
            <w:tcW w:w="1042" w:type="dxa"/>
          </w:tcPr>
          <w:p w14:paraId="2C6D8007"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(2.9)</w:t>
            </w:r>
          </w:p>
        </w:tc>
        <w:tc>
          <w:tcPr>
            <w:tcW w:w="1793" w:type="dxa"/>
          </w:tcPr>
          <w:p w14:paraId="7FD55C43"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2 (5.9)</w:t>
            </w:r>
          </w:p>
        </w:tc>
        <w:tc>
          <w:tcPr>
            <w:tcW w:w="1417" w:type="dxa"/>
          </w:tcPr>
          <w:p w14:paraId="374180BC"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472BE3BB" w14:textId="77777777" w:rsidTr="00AD14C5">
        <w:tc>
          <w:tcPr>
            <w:tcW w:w="2689" w:type="dxa"/>
          </w:tcPr>
          <w:p w14:paraId="4ADF6003"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Adjuvant</w:t>
            </w:r>
          </w:p>
        </w:tc>
        <w:tc>
          <w:tcPr>
            <w:tcW w:w="1042" w:type="dxa"/>
          </w:tcPr>
          <w:p w14:paraId="767329C7"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793" w:type="dxa"/>
          </w:tcPr>
          <w:p w14:paraId="3B16BD91"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72732A55"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0BE32299" w14:textId="77777777" w:rsidTr="00AD14C5">
        <w:tc>
          <w:tcPr>
            <w:tcW w:w="2689" w:type="dxa"/>
          </w:tcPr>
          <w:p w14:paraId="79CC6980"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Salvage</w:t>
            </w:r>
          </w:p>
        </w:tc>
        <w:tc>
          <w:tcPr>
            <w:tcW w:w="1042" w:type="dxa"/>
          </w:tcPr>
          <w:p w14:paraId="31F85B45"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793" w:type="dxa"/>
          </w:tcPr>
          <w:p w14:paraId="1FD24501"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60ADF028"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6411F235" w14:textId="77777777" w:rsidTr="00AD14C5">
        <w:tc>
          <w:tcPr>
            <w:tcW w:w="2689" w:type="dxa"/>
          </w:tcPr>
          <w:p w14:paraId="23B308EC" w14:textId="77777777" w:rsidR="00771AB6" w:rsidRPr="00771AB6" w:rsidRDefault="00771AB6" w:rsidP="00771AB6">
            <w:pPr>
              <w:rPr>
                <w:rFonts w:ascii="Calibri" w:eastAsia="Times New Roman" w:hAnsi="Calibri" w:cs="Calibri"/>
                <w:sz w:val="20"/>
                <w:szCs w:val="20"/>
                <w:lang w:val="en-GB"/>
              </w:rPr>
            </w:pPr>
            <w:proofErr w:type="spellStart"/>
            <w:proofErr w:type="gramStart"/>
            <w:r w:rsidRPr="00771AB6">
              <w:rPr>
                <w:rFonts w:ascii="Calibri" w:eastAsia="Times New Roman" w:hAnsi="Calibri" w:cs="Calibri"/>
                <w:i/>
                <w:sz w:val="20"/>
                <w:szCs w:val="20"/>
                <w:lang w:val="en-GB"/>
              </w:rPr>
              <w:t>f</w:t>
            </w:r>
            <w:r w:rsidRPr="00771AB6">
              <w:rPr>
                <w:rFonts w:ascii="Calibri" w:eastAsia="Times New Roman" w:hAnsi="Calibri" w:cs="Calibri"/>
                <w:sz w:val="20"/>
                <w:szCs w:val="20"/>
                <w:lang w:val="en-GB"/>
              </w:rPr>
              <w:t>RT</w:t>
            </w:r>
            <w:proofErr w:type="spellEnd"/>
            <w:proofErr w:type="gramEnd"/>
            <w:r w:rsidRPr="00771AB6">
              <w:rPr>
                <w:rFonts w:ascii="Calibri" w:eastAsia="Times New Roman" w:hAnsi="Calibri" w:cs="Calibri"/>
                <w:sz w:val="20"/>
                <w:szCs w:val="20"/>
                <w:lang w:val="en-GB"/>
              </w:rPr>
              <w:t>, count (%)</w:t>
            </w:r>
          </w:p>
        </w:tc>
        <w:tc>
          <w:tcPr>
            <w:tcW w:w="1042" w:type="dxa"/>
          </w:tcPr>
          <w:p w14:paraId="266A0833" w14:textId="77777777" w:rsidR="00771AB6" w:rsidRPr="00771AB6" w:rsidRDefault="00771AB6" w:rsidP="00771AB6">
            <w:pPr>
              <w:jc w:val="center"/>
              <w:rPr>
                <w:rFonts w:ascii="Calibri" w:eastAsia="Times New Roman" w:hAnsi="Calibri" w:cs="Calibri"/>
                <w:sz w:val="20"/>
                <w:szCs w:val="20"/>
                <w:lang w:val="en-GB"/>
              </w:rPr>
            </w:pPr>
          </w:p>
        </w:tc>
        <w:tc>
          <w:tcPr>
            <w:tcW w:w="1793" w:type="dxa"/>
          </w:tcPr>
          <w:p w14:paraId="4CC9446C" w14:textId="77777777" w:rsidR="00771AB6" w:rsidRPr="00771AB6" w:rsidRDefault="00771AB6" w:rsidP="00771AB6">
            <w:pPr>
              <w:jc w:val="center"/>
              <w:rPr>
                <w:rFonts w:ascii="Calibri" w:eastAsia="Times New Roman" w:hAnsi="Calibri" w:cs="Calibri"/>
                <w:sz w:val="20"/>
                <w:szCs w:val="20"/>
                <w:lang w:val="en-GB"/>
              </w:rPr>
            </w:pPr>
          </w:p>
        </w:tc>
        <w:tc>
          <w:tcPr>
            <w:tcW w:w="1417" w:type="dxa"/>
          </w:tcPr>
          <w:p w14:paraId="6052D067" w14:textId="77777777" w:rsidR="00771AB6" w:rsidRPr="00771AB6" w:rsidRDefault="00771AB6" w:rsidP="00771AB6">
            <w:pPr>
              <w:jc w:val="center"/>
              <w:rPr>
                <w:rFonts w:ascii="Calibri" w:eastAsia="Times New Roman" w:hAnsi="Calibri" w:cs="Calibri"/>
                <w:sz w:val="20"/>
                <w:szCs w:val="20"/>
                <w:lang w:val="en-GB"/>
              </w:rPr>
            </w:pPr>
          </w:p>
        </w:tc>
      </w:tr>
      <w:tr w:rsidR="00771AB6" w:rsidRPr="00771AB6" w14:paraId="374F96F4" w14:textId="77777777" w:rsidTr="00AD14C5">
        <w:tc>
          <w:tcPr>
            <w:tcW w:w="2689" w:type="dxa"/>
          </w:tcPr>
          <w:p w14:paraId="1F85BF96"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Primary</w:t>
            </w:r>
          </w:p>
        </w:tc>
        <w:tc>
          <w:tcPr>
            <w:tcW w:w="1042" w:type="dxa"/>
          </w:tcPr>
          <w:p w14:paraId="69139948"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(1.6)</w:t>
            </w:r>
          </w:p>
        </w:tc>
        <w:tc>
          <w:tcPr>
            <w:tcW w:w="1793" w:type="dxa"/>
          </w:tcPr>
          <w:p w14:paraId="2FEC5D69"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1 (2.9)</w:t>
            </w:r>
          </w:p>
        </w:tc>
        <w:tc>
          <w:tcPr>
            <w:tcW w:w="1417" w:type="dxa"/>
          </w:tcPr>
          <w:p w14:paraId="19C86175"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0429D3F5" w14:textId="77777777" w:rsidTr="00AD14C5">
        <w:tc>
          <w:tcPr>
            <w:tcW w:w="2689" w:type="dxa"/>
          </w:tcPr>
          <w:p w14:paraId="035ED321"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 xml:space="preserve">Adjuvant </w:t>
            </w:r>
          </w:p>
        </w:tc>
        <w:tc>
          <w:tcPr>
            <w:tcW w:w="1042" w:type="dxa"/>
          </w:tcPr>
          <w:p w14:paraId="67D64D36"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793" w:type="dxa"/>
          </w:tcPr>
          <w:p w14:paraId="235D019C"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42139437"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7E553D3D" w14:textId="77777777" w:rsidTr="00AD14C5">
        <w:tc>
          <w:tcPr>
            <w:tcW w:w="2689" w:type="dxa"/>
          </w:tcPr>
          <w:p w14:paraId="53B5068A" w14:textId="77777777" w:rsidR="00771AB6" w:rsidRPr="00771AB6" w:rsidRDefault="00771AB6" w:rsidP="00771AB6">
            <w:pPr>
              <w:ind w:left="720"/>
              <w:rPr>
                <w:rFonts w:ascii="Calibri" w:eastAsia="Times New Roman" w:hAnsi="Calibri" w:cs="Calibri"/>
                <w:sz w:val="20"/>
                <w:szCs w:val="20"/>
                <w:lang w:val="en-GB"/>
              </w:rPr>
            </w:pPr>
            <w:r w:rsidRPr="00771AB6">
              <w:rPr>
                <w:rFonts w:ascii="Calibri" w:eastAsia="Times New Roman" w:hAnsi="Calibri" w:cs="Calibri"/>
                <w:sz w:val="20"/>
                <w:szCs w:val="20"/>
                <w:lang w:val="en-GB"/>
              </w:rPr>
              <w:t>Salvage</w:t>
            </w:r>
          </w:p>
        </w:tc>
        <w:tc>
          <w:tcPr>
            <w:tcW w:w="1042" w:type="dxa"/>
          </w:tcPr>
          <w:p w14:paraId="62C8C03C"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793" w:type="dxa"/>
          </w:tcPr>
          <w:p w14:paraId="4A83B169"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0</w:t>
            </w:r>
          </w:p>
        </w:tc>
        <w:tc>
          <w:tcPr>
            <w:tcW w:w="1417" w:type="dxa"/>
          </w:tcPr>
          <w:p w14:paraId="3939ED66" w14:textId="77777777" w:rsidR="00771AB6" w:rsidRPr="00771AB6" w:rsidRDefault="00771AB6" w:rsidP="00771AB6">
            <w:pPr>
              <w:jc w:val="center"/>
              <w:rPr>
                <w:rFonts w:ascii="Calibri" w:eastAsia="Times New Roman" w:hAnsi="Calibri" w:cs="Calibri"/>
                <w:sz w:val="20"/>
                <w:szCs w:val="20"/>
                <w:lang w:val="en-GB"/>
              </w:rPr>
            </w:pPr>
            <w:r w:rsidRPr="00771AB6">
              <w:rPr>
                <w:rFonts w:ascii="Calibri" w:eastAsia="Times New Roman" w:hAnsi="Calibri" w:cs="Calibri"/>
                <w:sz w:val="20"/>
                <w:szCs w:val="20"/>
                <w:lang w:val="en-GB"/>
              </w:rPr>
              <w:t>-</w:t>
            </w:r>
          </w:p>
        </w:tc>
      </w:tr>
      <w:tr w:rsidR="00771AB6" w:rsidRPr="00771AB6" w14:paraId="5DC716B4" w14:textId="77777777" w:rsidTr="00AD14C5">
        <w:tc>
          <w:tcPr>
            <w:tcW w:w="6941" w:type="dxa"/>
            <w:gridSpan w:val="4"/>
          </w:tcPr>
          <w:p w14:paraId="271B4F8A" w14:textId="77777777" w:rsidR="00771AB6" w:rsidRPr="00771AB6" w:rsidRDefault="00771AB6" w:rsidP="00771AB6">
            <w:pPr>
              <w:jc w:val="both"/>
              <w:rPr>
                <w:rFonts w:ascii="Calibri" w:eastAsia="Times New Roman" w:hAnsi="Calibri" w:cs="Calibri"/>
                <w:sz w:val="16"/>
                <w:szCs w:val="16"/>
                <w:lang w:val="en-GB"/>
              </w:rPr>
            </w:pPr>
            <w:r w:rsidRPr="00771AB6">
              <w:rPr>
                <w:rFonts w:ascii="Calibri" w:eastAsia="Times New Roman" w:hAnsi="Calibri" w:cs="Calibri"/>
                <w:sz w:val="16"/>
                <w:szCs w:val="16"/>
                <w:lang w:val="en-GB"/>
              </w:rPr>
              <w:t xml:space="preserve">The percentages between brackets for Simpson’s grade of resection = the number of patients who underwent said extent of resection/number of patients who underwent surgery. Otherwise, the percentages between brackets are in relation to the overall number of patients or the number of patients with multiple or solitary meningioma </w:t>
            </w:r>
          </w:p>
        </w:tc>
      </w:tr>
    </w:tbl>
    <w:p w14:paraId="4F30F130" w14:textId="77777777" w:rsidR="00771AB6" w:rsidRDefault="00771AB6" w:rsidP="0007491E">
      <w:pPr>
        <w:pStyle w:val="Heading1"/>
        <w:spacing w:line="360" w:lineRule="auto"/>
        <w:rPr>
          <w:rFonts w:asciiTheme="minorHAnsi" w:hAnsiTheme="minorHAnsi" w:cstheme="minorHAnsi"/>
          <w:b/>
          <w:bCs/>
          <w:color w:val="auto"/>
          <w:sz w:val="28"/>
          <w:szCs w:val="28"/>
        </w:rPr>
      </w:pPr>
    </w:p>
    <w:p w14:paraId="0BFC5FC9" w14:textId="79FD0328" w:rsidR="00C80ADB" w:rsidRPr="002E400E" w:rsidRDefault="002E400E" w:rsidP="0007491E">
      <w:pPr>
        <w:pStyle w:val="Heading1"/>
        <w:spacing w:line="360" w:lineRule="auto"/>
        <w:rPr>
          <w:rFonts w:asciiTheme="minorHAnsi" w:hAnsiTheme="minorHAnsi" w:cstheme="minorHAnsi"/>
          <w:b/>
          <w:bCs/>
          <w:color w:val="auto"/>
          <w:sz w:val="28"/>
          <w:szCs w:val="28"/>
        </w:rPr>
      </w:pPr>
      <w:r w:rsidRPr="002E400E">
        <w:rPr>
          <w:rFonts w:asciiTheme="minorHAnsi" w:hAnsiTheme="minorHAnsi" w:cstheme="minorHAnsi"/>
          <w:b/>
          <w:bCs/>
          <w:color w:val="auto"/>
          <w:sz w:val="28"/>
          <w:szCs w:val="28"/>
        </w:rPr>
        <w:t>REFERENCES</w:t>
      </w:r>
    </w:p>
    <w:p w14:paraId="000ECE37" w14:textId="77777777" w:rsidR="00201509" w:rsidRPr="00201509" w:rsidRDefault="00F778EC" w:rsidP="00801683">
      <w:pPr>
        <w:pStyle w:val="Bibliography"/>
        <w:jc w:val="both"/>
        <w:rPr>
          <w:rFonts w:ascii="Calibri" w:hAnsi="Calibri" w:cs="Calibri"/>
          <w:sz w:val="22"/>
        </w:rPr>
      </w:pPr>
      <w:r w:rsidRPr="002E400E">
        <w:rPr>
          <w:rFonts w:cstheme="minorHAnsi"/>
          <w:color w:val="2A2A2A"/>
          <w:sz w:val="22"/>
          <w:szCs w:val="22"/>
          <w:shd w:val="clear" w:color="auto" w:fill="FFFFFF"/>
        </w:rPr>
        <w:fldChar w:fldCharType="begin"/>
      </w:r>
      <w:r w:rsidR="00134993" w:rsidRPr="002E400E">
        <w:rPr>
          <w:rFonts w:cstheme="minorHAnsi"/>
          <w:color w:val="2A2A2A"/>
          <w:sz w:val="22"/>
          <w:szCs w:val="22"/>
          <w:shd w:val="clear" w:color="auto" w:fill="FFFFFF"/>
        </w:rPr>
        <w:instrText xml:space="preserve"> ADDIN ZOTERO_BIBL {"uncited":[],"omitted":[],"custom":[]} CSL_BIBLIOGRAPHY </w:instrText>
      </w:r>
      <w:r w:rsidRPr="002E400E">
        <w:rPr>
          <w:rFonts w:cstheme="minorHAnsi"/>
          <w:color w:val="2A2A2A"/>
          <w:sz w:val="22"/>
          <w:szCs w:val="22"/>
          <w:shd w:val="clear" w:color="auto" w:fill="FFFFFF"/>
        </w:rPr>
        <w:fldChar w:fldCharType="separate"/>
      </w:r>
      <w:r w:rsidR="00201509" w:rsidRPr="00201509">
        <w:rPr>
          <w:rFonts w:ascii="Calibri" w:hAnsi="Calibri" w:cs="Calibri"/>
          <w:sz w:val="22"/>
        </w:rPr>
        <w:t>1.</w:t>
      </w:r>
      <w:r w:rsidR="00201509" w:rsidRPr="00201509">
        <w:rPr>
          <w:rFonts w:ascii="Calibri" w:hAnsi="Calibri" w:cs="Calibri"/>
          <w:sz w:val="22"/>
        </w:rPr>
        <w:tab/>
        <w:t xml:space="preserve">Goldbrunner R, Stavrinou P, Jenkinson MD, Sahm F, Mawrin C, Weber DC, et al. EANO guideline on the diagnosis and management of meningiomas. Neuro-Oncology. 2021 Nov 1;23(11):1821–34. </w:t>
      </w:r>
    </w:p>
    <w:p w14:paraId="5309D29F"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2.</w:t>
      </w:r>
      <w:r w:rsidRPr="00201509">
        <w:rPr>
          <w:rFonts w:ascii="Calibri" w:hAnsi="Calibri" w:cs="Calibri"/>
          <w:sz w:val="22"/>
        </w:rPr>
        <w:tab/>
        <w:t xml:space="preserve">Ostrom QT, Patil N, Cioffi G, Waite K, Kruchko C, Barnholtz-Sloan JS. CBTRUS Statistical Report: Primary Brain and Other Central Nervous System Tumors Diagnosed in the United States in 2013–2017. Neuro-Oncology. 2020 Oct 30;22(Supplement_1):iv1–96. </w:t>
      </w:r>
    </w:p>
    <w:p w14:paraId="3AE1F1E9"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lastRenderedPageBreak/>
        <w:t>3.</w:t>
      </w:r>
      <w:r w:rsidRPr="00201509">
        <w:rPr>
          <w:rFonts w:ascii="Calibri" w:hAnsi="Calibri" w:cs="Calibri"/>
          <w:sz w:val="22"/>
        </w:rPr>
        <w:tab/>
        <w:t xml:space="preserve">Brodbelt AR, Barclay ME, Greenberg D, Williams M, Jenkinson MD, Karabatsou K. The outcome of patients with surgically treated meningioma in England: 1999–2013. A cancer registry data analysis. British Journal of Neurosurgery. 2019 Nov 2;33(6):641–7. </w:t>
      </w:r>
    </w:p>
    <w:p w14:paraId="090A3816"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4.</w:t>
      </w:r>
      <w:r w:rsidRPr="00201509">
        <w:rPr>
          <w:rFonts w:ascii="Calibri" w:hAnsi="Calibri" w:cs="Calibri"/>
          <w:sz w:val="22"/>
        </w:rPr>
        <w:tab/>
        <w:t xml:space="preserve">Lusins JO, Nakagawa H. Multiple Meningiomas Evaluated by Computed Tomography. Neurosurgery. 1981 Aug 1;9(2):137–41. </w:t>
      </w:r>
    </w:p>
    <w:p w14:paraId="68165F8F"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5.</w:t>
      </w:r>
      <w:r w:rsidRPr="00201509">
        <w:rPr>
          <w:rFonts w:ascii="Calibri" w:hAnsi="Calibri" w:cs="Calibri"/>
          <w:sz w:val="22"/>
        </w:rPr>
        <w:tab/>
        <w:t xml:space="preserve">Weill A, Nguyen P, Labidi M, Cadier B, Passeri T, Duranteau L, et al. Use of high dose cyproterone acetate and risk of intracranial meningioma in women: cohort study. BMJ. 2021 Feb 3;372:n37. </w:t>
      </w:r>
    </w:p>
    <w:p w14:paraId="3D5CDA4D"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6.</w:t>
      </w:r>
      <w:r w:rsidRPr="00201509">
        <w:rPr>
          <w:rFonts w:ascii="Calibri" w:hAnsi="Calibri" w:cs="Calibri"/>
          <w:sz w:val="22"/>
        </w:rPr>
        <w:tab/>
        <w:t xml:space="preserve">Gillespie CS, Islim AI, Taweel BA, Millward CP, Kumar S, Rathi N, et al. The growth rate and clinical outcomes of radiation induced meningioma undergoing treatment or active monitoring. J Neurooncol. 2021;153(2):239–49. </w:t>
      </w:r>
    </w:p>
    <w:p w14:paraId="2E2F7E49"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7.</w:t>
      </w:r>
      <w:r w:rsidRPr="00201509">
        <w:rPr>
          <w:rFonts w:ascii="Calibri" w:hAnsi="Calibri" w:cs="Calibri"/>
          <w:sz w:val="22"/>
        </w:rPr>
        <w:tab/>
        <w:t>Plotkin SR, Messiaen L, Legius E, Pancza P, Avery RA, Blakeley JO, et al. Updated diagnostic criteria and nomenclature for neurofibromatosis type 2 and schwannomatosis: An international consensus recommendation. Genetics in Medicine [Internet]. 2022 Jun 8 [cited 2022 Aug 26];0(0). Available from: https://www.gimjournal.org/article/S1098-3600(22)00773-0/fulltext</w:t>
      </w:r>
    </w:p>
    <w:p w14:paraId="6F0C86D7"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8.</w:t>
      </w:r>
      <w:r w:rsidRPr="00201509">
        <w:rPr>
          <w:rFonts w:ascii="Calibri" w:hAnsi="Calibri" w:cs="Calibri"/>
          <w:sz w:val="22"/>
        </w:rPr>
        <w:tab/>
        <w:t xml:space="preserve">Ramos-Fresnedo A, Domingo RA, Vivas-Buitrago T, Lundy L, Trifiletti DM, Jentoft ME, et al. Multiple meningiomas: does quantity matter? a population-based survival analysis with underlined age and sex differences. J Neurooncol. 2020 Sep;149(3):413–20. </w:t>
      </w:r>
    </w:p>
    <w:p w14:paraId="4E9DDB84"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9.</w:t>
      </w:r>
      <w:r w:rsidRPr="00201509">
        <w:rPr>
          <w:rFonts w:ascii="Calibri" w:hAnsi="Calibri" w:cs="Calibri"/>
          <w:sz w:val="22"/>
        </w:rPr>
        <w:tab/>
        <w:t xml:space="preserve">Nassiri F, Wang JZ, Au K, Barnholtz-Sloan J, Jenkinson MD, Drummond K, et al. Consensus core clinical data elements for meningiomas (v2021.1). Neuro-Oncology. 2022 May 1;24(5):683–93. </w:t>
      </w:r>
    </w:p>
    <w:p w14:paraId="18FB4912"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10.</w:t>
      </w:r>
      <w:r w:rsidRPr="00201509">
        <w:rPr>
          <w:rFonts w:ascii="Calibri" w:hAnsi="Calibri" w:cs="Calibri"/>
          <w:sz w:val="22"/>
        </w:rPr>
        <w:tab/>
        <w:t xml:space="preserve">Islim AI, Kolamunnage-Dona R, Mohan M, Moon RDC, Crofton A, Haylock BJ, et al. A prognostic model to personalize monitoring regimes for patients with incidental asymptomatic meningiomas. Neuro-Oncology. 2020 Feb 20;22(2):278–89. </w:t>
      </w:r>
    </w:p>
    <w:p w14:paraId="7B2F0383"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11.</w:t>
      </w:r>
      <w:r w:rsidRPr="00201509">
        <w:rPr>
          <w:rFonts w:ascii="Calibri" w:hAnsi="Calibri" w:cs="Calibri"/>
          <w:sz w:val="22"/>
        </w:rPr>
        <w:tab/>
        <w:t xml:space="preserve">Tsermoulas G, Turel MK, Wilcox JT, Shultz D, Farb R, Zadeh G, et al. Management of multiple meningiomas. Journal of Neurosurgery. 2017 Jul 21;128(5):1403–9. </w:t>
      </w:r>
    </w:p>
    <w:p w14:paraId="55A6BFD6"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12.</w:t>
      </w:r>
      <w:r w:rsidRPr="00201509">
        <w:rPr>
          <w:rFonts w:ascii="Calibri" w:hAnsi="Calibri" w:cs="Calibri"/>
          <w:sz w:val="22"/>
        </w:rPr>
        <w:tab/>
        <w:t xml:space="preserve">Araújo Pereira BJ, Nogueira de Almeida A, Pires de Aguiar PH, Paiva WS, Teixeira MJ, Nagahashi Marie SK. Multiple Intracranial Meningiomas: A Case Series and Review of the Literature. World Neurosurgery. 2019 Feb 1;122:e1536–41. </w:t>
      </w:r>
    </w:p>
    <w:p w14:paraId="791A4955"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13.</w:t>
      </w:r>
      <w:r w:rsidRPr="00201509">
        <w:rPr>
          <w:rFonts w:ascii="Calibri" w:hAnsi="Calibri" w:cs="Calibri"/>
          <w:sz w:val="22"/>
        </w:rPr>
        <w:tab/>
        <w:t xml:space="preserve">Morin O, Chen WC, Nassiri F, Susko M, Magill ST, Vasudevan HN, et al. Integrated models incorporating radiologic and radiomic features predict meningioma grade, local failure, and overall survival. Neurooncol Adv. 2019 Dec;1(1):vdz011. </w:t>
      </w:r>
    </w:p>
    <w:p w14:paraId="007C44DC"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14.</w:t>
      </w:r>
      <w:r w:rsidRPr="00201509">
        <w:rPr>
          <w:rFonts w:ascii="Calibri" w:hAnsi="Calibri" w:cs="Calibri"/>
          <w:sz w:val="22"/>
        </w:rPr>
        <w:tab/>
        <w:t xml:space="preserve">Ko CC, Zhang Y, Chen JH, Chang KT, Chen TY, Lim SW, et al. Pre-operative MRI Radiomics for the Prediction of Progression and Recurrence in Meningiomas. Front Neurol. 2021 May 14;12:636235. </w:t>
      </w:r>
    </w:p>
    <w:p w14:paraId="3A6A4C84"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15.</w:t>
      </w:r>
      <w:r w:rsidRPr="00201509">
        <w:rPr>
          <w:rFonts w:ascii="Calibri" w:hAnsi="Calibri" w:cs="Calibri"/>
          <w:sz w:val="22"/>
        </w:rPr>
        <w:tab/>
        <w:t xml:space="preserve">Hwang WL, Marciscano AE, Niemierko A, Kim DW, Stemmer-Rachamimov AO, Curry WT, et al. Imaging and extent of surgical resection predict risk of meningioma recurrence better than WHO histopathological grade. Neuro-Oncology. 2016 Jun 1;18(6):863–72. </w:t>
      </w:r>
    </w:p>
    <w:p w14:paraId="1B063E52"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16.</w:t>
      </w:r>
      <w:r w:rsidRPr="00201509">
        <w:rPr>
          <w:rFonts w:ascii="Calibri" w:hAnsi="Calibri" w:cs="Calibri"/>
          <w:sz w:val="22"/>
        </w:rPr>
        <w:tab/>
        <w:t xml:space="preserve">Ramos-Fresnedo A, Domingo RA, Sanchez-Garavito JE, Perez-Vega C, Akinduro OO, Jentoft ME, et al. The impact of multiple lesions on progression-free survival of meningiomas: a 10-year multicenter experience. Journal of Neurosurgery. 2021 Nov 19;137(1):9–17. </w:t>
      </w:r>
    </w:p>
    <w:p w14:paraId="599190FA"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lastRenderedPageBreak/>
        <w:t>17.</w:t>
      </w:r>
      <w:r w:rsidRPr="00201509">
        <w:rPr>
          <w:rFonts w:ascii="Calibri" w:hAnsi="Calibri" w:cs="Calibri"/>
          <w:sz w:val="22"/>
        </w:rPr>
        <w:tab/>
        <w:t xml:space="preserve">Juratli TA, Prilop I, Saalfeld FC, Herold S, Meinhardt M, Wenzel C, et al. Sporadic multiple meningiomas harbor distinct driver mutations. acta neuropathol commun. 2021 Jan 6;9(1):8. </w:t>
      </w:r>
    </w:p>
    <w:p w14:paraId="4073A1B5"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18.</w:t>
      </w:r>
      <w:r w:rsidRPr="00201509">
        <w:rPr>
          <w:rFonts w:ascii="Calibri" w:hAnsi="Calibri" w:cs="Calibri"/>
          <w:sz w:val="22"/>
        </w:rPr>
        <w:tab/>
        <w:t xml:space="preserve">Hannan CJ, Hammerbeck-Ward C, Pathmanaban ON, Smith MJ, Rutherford SA, Lloyd SK, et al. Multiple Meningiomas as a Criterion for the Diagnosis of Neurofibromatosis Type 2 and Other Tumor Predisposition Syndromes. Neurosurgery. 2022 Jun;90(6):793–9. </w:t>
      </w:r>
    </w:p>
    <w:p w14:paraId="2F0F8342"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19.</w:t>
      </w:r>
      <w:r w:rsidRPr="00201509">
        <w:rPr>
          <w:rFonts w:ascii="Calibri" w:hAnsi="Calibri" w:cs="Calibri"/>
          <w:sz w:val="22"/>
        </w:rPr>
        <w:tab/>
        <w:t xml:space="preserve">Pathmanaban ON, Sadler KV, Kamaly-Asl ID, King AT, Rutherford SA, Hammerbeck-Ward C, et al. Association of Genetic Predisposition With Solitary Schwannoma or Meningioma in Children and Young Adults. JAMA Neurol. 2017 Sep 1;74(9):1123–9. </w:t>
      </w:r>
    </w:p>
    <w:p w14:paraId="012B410A"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20.</w:t>
      </w:r>
      <w:r w:rsidRPr="00201509">
        <w:rPr>
          <w:rFonts w:ascii="Calibri" w:hAnsi="Calibri" w:cs="Calibri"/>
          <w:sz w:val="22"/>
        </w:rPr>
        <w:tab/>
        <w:t xml:space="preserve">Jaoude SA, Peyre M, Degos V, Goutagny S, Parfait B, Kalamarides M. Validation of a scoring system to evaluate the risk of rapid growth of intracranial meningiomas in neurofibromatosis type 2 patients. Journal of Neurosurgery. 2020 May 22;134(5):1377–85. </w:t>
      </w:r>
    </w:p>
    <w:p w14:paraId="736AC9BD" w14:textId="77777777" w:rsidR="00201509" w:rsidRPr="00201509" w:rsidRDefault="00201509" w:rsidP="00801683">
      <w:pPr>
        <w:pStyle w:val="Bibliography"/>
        <w:jc w:val="both"/>
        <w:rPr>
          <w:rFonts w:ascii="Calibri" w:hAnsi="Calibri" w:cs="Calibri"/>
          <w:sz w:val="22"/>
        </w:rPr>
      </w:pPr>
      <w:r w:rsidRPr="00201509">
        <w:rPr>
          <w:rFonts w:ascii="Calibri" w:hAnsi="Calibri" w:cs="Calibri"/>
          <w:sz w:val="22"/>
        </w:rPr>
        <w:t>21.</w:t>
      </w:r>
      <w:r w:rsidRPr="00201509">
        <w:rPr>
          <w:rFonts w:ascii="Calibri" w:hAnsi="Calibri" w:cs="Calibri"/>
          <w:sz w:val="22"/>
        </w:rPr>
        <w:tab/>
        <w:t xml:space="preserve">Wang L, Chen W, Liu F, Zhang LF, Chen J. Letter to the Editor. Multiple meningiomas. Journal of Neurosurgery. 2018 May 1;128(5):1593–4. </w:t>
      </w:r>
    </w:p>
    <w:p w14:paraId="6A1C02AE" w14:textId="4A5416DE" w:rsidR="004964E3" w:rsidRPr="00A01A51" w:rsidRDefault="00F778EC" w:rsidP="00174A9F">
      <w:pPr>
        <w:spacing w:line="276" w:lineRule="auto"/>
        <w:jc w:val="both"/>
      </w:pPr>
      <w:r w:rsidRPr="002E400E">
        <w:rPr>
          <w:rFonts w:cstheme="minorHAnsi"/>
          <w:sz w:val="22"/>
          <w:szCs w:val="22"/>
          <w:shd w:val="clear" w:color="auto" w:fill="FFFFFF"/>
        </w:rPr>
        <w:fldChar w:fldCharType="end"/>
      </w:r>
    </w:p>
    <w:sectPr w:rsidR="004964E3" w:rsidRPr="00A01A51" w:rsidSect="006405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8EB"/>
    <w:multiLevelType w:val="hybridMultilevel"/>
    <w:tmpl w:val="57C6CC1A"/>
    <w:lvl w:ilvl="0" w:tplc="A9408924">
      <w:start w:val="1"/>
      <w:numFmt w:val="bullet"/>
      <w:lvlText w:val="•"/>
      <w:lvlJc w:val="left"/>
      <w:pPr>
        <w:tabs>
          <w:tab w:val="num" w:pos="720"/>
        </w:tabs>
        <w:ind w:left="720" w:hanging="360"/>
      </w:pPr>
      <w:rPr>
        <w:rFonts w:ascii="Arial" w:hAnsi="Arial" w:hint="default"/>
      </w:rPr>
    </w:lvl>
    <w:lvl w:ilvl="1" w:tplc="D5222470" w:tentative="1">
      <w:start w:val="1"/>
      <w:numFmt w:val="bullet"/>
      <w:lvlText w:val="•"/>
      <w:lvlJc w:val="left"/>
      <w:pPr>
        <w:tabs>
          <w:tab w:val="num" w:pos="1440"/>
        </w:tabs>
        <w:ind w:left="1440" w:hanging="360"/>
      </w:pPr>
      <w:rPr>
        <w:rFonts w:ascii="Arial" w:hAnsi="Arial" w:hint="default"/>
      </w:rPr>
    </w:lvl>
    <w:lvl w:ilvl="2" w:tplc="3F62101C" w:tentative="1">
      <w:start w:val="1"/>
      <w:numFmt w:val="bullet"/>
      <w:lvlText w:val="•"/>
      <w:lvlJc w:val="left"/>
      <w:pPr>
        <w:tabs>
          <w:tab w:val="num" w:pos="2160"/>
        </w:tabs>
        <w:ind w:left="2160" w:hanging="360"/>
      </w:pPr>
      <w:rPr>
        <w:rFonts w:ascii="Arial" w:hAnsi="Arial" w:hint="default"/>
      </w:rPr>
    </w:lvl>
    <w:lvl w:ilvl="3" w:tplc="6090091A">
      <w:numFmt w:val="bullet"/>
      <w:lvlText w:val=""/>
      <w:lvlJc w:val="left"/>
      <w:pPr>
        <w:tabs>
          <w:tab w:val="num" w:pos="2880"/>
        </w:tabs>
        <w:ind w:left="2880" w:hanging="360"/>
      </w:pPr>
      <w:rPr>
        <w:rFonts w:ascii="Wingdings" w:hAnsi="Wingdings" w:hint="default"/>
      </w:rPr>
    </w:lvl>
    <w:lvl w:ilvl="4" w:tplc="9BFEE8C8" w:tentative="1">
      <w:start w:val="1"/>
      <w:numFmt w:val="bullet"/>
      <w:lvlText w:val="•"/>
      <w:lvlJc w:val="left"/>
      <w:pPr>
        <w:tabs>
          <w:tab w:val="num" w:pos="3600"/>
        </w:tabs>
        <w:ind w:left="3600" w:hanging="360"/>
      </w:pPr>
      <w:rPr>
        <w:rFonts w:ascii="Arial" w:hAnsi="Arial" w:hint="default"/>
      </w:rPr>
    </w:lvl>
    <w:lvl w:ilvl="5" w:tplc="F46C8A98" w:tentative="1">
      <w:start w:val="1"/>
      <w:numFmt w:val="bullet"/>
      <w:lvlText w:val="•"/>
      <w:lvlJc w:val="left"/>
      <w:pPr>
        <w:tabs>
          <w:tab w:val="num" w:pos="4320"/>
        </w:tabs>
        <w:ind w:left="4320" w:hanging="360"/>
      </w:pPr>
      <w:rPr>
        <w:rFonts w:ascii="Arial" w:hAnsi="Arial" w:hint="default"/>
      </w:rPr>
    </w:lvl>
    <w:lvl w:ilvl="6" w:tplc="5E4867CA" w:tentative="1">
      <w:start w:val="1"/>
      <w:numFmt w:val="bullet"/>
      <w:lvlText w:val="•"/>
      <w:lvlJc w:val="left"/>
      <w:pPr>
        <w:tabs>
          <w:tab w:val="num" w:pos="5040"/>
        </w:tabs>
        <w:ind w:left="5040" w:hanging="360"/>
      </w:pPr>
      <w:rPr>
        <w:rFonts w:ascii="Arial" w:hAnsi="Arial" w:hint="default"/>
      </w:rPr>
    </w:lvl>
    <w:lvl w:ilvl="7" w:tplc="3A4A81CE" w:tentative="1">
      <w:start w:val="1"/>
      <w:numFmt w:val="bullet"/>
      <w:lvlText w:val="•"/>
      <w:lvlJc w:val="left"/>
      <w:pPr>
        <w:tabs>
          <w:tab w:val="num" w:pos="5760"/>
        </w:tabs>
        <w:ind w:left="5760" w:hanging="360"/>
      </w:pPr>
      <w:rPr>
        <w:rFonts w:ascii="Arial" w:hAnsi="Arial" w:hint="default"/>
      </w:rPr>
    </w:lvl>
    <w:lvl w:ilvl="8" w:tplc="1E424B3C" w:tentative="1">
      <w:start w:val="1"/>
      <w:numFmt w:val="bullet"/>
      <w:lvlText w:val="•"/>
      <w:lvlJc w:val="left"/>
      <w:pPr>
        <w:tabs>
          <w:tab w:val="num" w:pos="6480"/>
        </w:tabs>
        <w:ind w:left="6480" w:hanging="360"/>
      </w:pPr>
      <w:rPr>
        <w:rFonts w:ascii="Arial" w:hAnsi="Arial" w:hint="default"/>
      </w:rPr>
    </w:lvl>
  </w:abstractNum>
  <w:abstractNum w:abstractNumId="1">
    <w:nsid w:val="17584B13"/>
    <w:multiLevelType w:val="hybridMultilevel"/>
    <w:tmpl w:val="D1EE41E0"/>
    <w:lvl w:ilvl="0" w:tplc="AA367382">
      <w:start w:val="1"/>
      <w:numFmt w:val="bullet"/>
      <w:lvlText w:val="•"/>
      <w:lvlJc w:val="left"/>
      <w:pPr>
        <w:tabs>
          <w:tab w:val="num" w:pos="720"/>
        </w:tabs>
        <w:ind w:left="720" w:hanging="360"/>
      </w:pPr>
      <w:rPr>
        <w:rFonts w:ascii="Arial" w:hAnsi="Arial" w:hint="default"/>
      </w:rPr>
    </w:lvl>
    <w:lvl w:ilvl="1" w:tplc="CF4E7120" w:tentative="1">
      <w:start w:val="1"/>
      <w:numFmt w:val="bullet"/>
      <w:lvlText w:val="•"/>
      <w:lvlJc w:val="left"/>
      <w:pPr>
        <w:tabs>
          <w:tab w:val="num" w:pos="1440"/>
        </w:tabs>
        <w:ind w:left="1440" w:hanging="360"/>
      </w:pPr>
      <w:rPr>
        <w:rFonts w:ascii="Arial" w:hAnsi="Arial" w:hint="default"/>
      </w:rPr>
    </w:lvl>
    <w:lvl w:ilvl="2" w:tplc="5292256E" w:tentative="1">
      <w:start w:val="1"/>
      <w:numFmt w:val="bullet"/>
      <w:lvlText w:val="•"/>
      <w:lvlJc w:val="left"/>
      <w:pPr>
        <w:tabs>
          <w:tab w:val="num" w:pos="2160"/>
        </w:tabs>
        <w:ind w:left="2160" w:hanging="360"/>
      </w:pPr>
      <w:rPr>
        <w:rFonts w:ascii="Arial" w:hAnsi="Arial" w:hint="default"/>
      </w:rPr>
    </w:lvl>
    <w:lvl w:ilvl="3" w:tplc="7254859A" w:tentative="1">
      <w:start w:val="1"/>
      <w:numFmt w:val="bullet"/>
      <w:lvlText w:val="•"/>
      <w:lvlJc w:val="left"/>
      <w:pPr>
        <w:tabs>
          <w:tab w:val="num" w:pos="2880"/>
        </w:tabs>
        <w:ind w:left="2880" w:hanging="360"/>
      </w:pPr>
      <w:rPr>
        <w:rFonts w:ascii="Arial" w:hAnsi="Arial" w:hint="default"/>
      </w:rPr>
    </w:lvl>
    <w:lvl w:ilvl="4" w:tplc="F24E53CA" w:tentative="1">
      <w:start w:val="1"/>
      <w:numFmt w:val="bullet"/>
      <w:lvlText w:val="•"/>
      <w:lvlJc w:val="left"/>
      <w:pPr>
        <w:tabs>
          <w:tab w:val="num" w:pos="3600"/>
        </w:tabs>
        <w:ind w:left="3600" w:hanging="360"/>
      </w:pPr>
      <w:rPr>
        <w:rFonts w:ascii="Arial" w:hAnsi="Arial" w:hint="default"/>
      </w:rPr>
    </w:lvl>
    <w:lvl w:ilvl="5" w:tplc="F072E130" w:tentative="1">
      <w:start w:val="1"/>
      <w:numFmt w:val="bullet"/>
      <w:lvlText w:val="•"/>
      <w:lvlJc w:val="left"/>
      <w:pPr>
        <w:tabs>
          <w:tab w:val="num" w:pos="4320"/>
        </w:tabs>
        <w:ind w:left="4320" w:hanging="360"/>
      </w:pPr>
      <w:rPr>
        <w:rFonts w:ascii="Arial" w:hAnsi="Arial" w:hint="default"/>
      </w:rPr>
    </w:lvl>
    <w:lvl w:ilvl="6" w:tplc="7A56A172" w:tentative="1">
      <w:start w:val="1"/>
      <w:numFmt w:val="bullet"/>
      <w:lvlText w:val="•"/>
      <w:lvlJc w:val="left"/>
      <w:pPr>
        <w:tabs>
          <w:tab w:val="num" w:pos="5040"/>
        </w:tabs>
        <w:ind w:left="5040" w:hanging="360"/>
      </w:pPr>
      <w:rPr>
        <w:rFonts w:ascii="Arial" w:hAnsi="Arial" w:hint="default"/>
      </w:rPr>
    </w:lvl>
    <w:lvl w:ilvl="7" w:tplc="3CC6F934" w:tentative="1">
      <w:start w:val="1"/>
      <w:numFmt w:val="bullet"/>
      <w:lvlText w:val="•"/>
      <w:lvlJc w:val="left"/>
      <w:pPr>
        <w:tabs>
          <w:tab w:val="num" w:pos="5760"/>
        </w:tabs>
        <w:ind w:left="5760" w:hanging="360"/>
      </w:pPr>
      <w:rPr>
        <w:rFonts w:ascii="Arial" w:hAnsi="Arial" w:hint="default"/>
      </w:rPr>
    </w:lvl>
    <w:lvl w:ilvl="8" w:tplc="E9DC57B0" w:tentative="1">
      <w:start w:val="1"/>
      <w:numFmt w:val="bullet"/>
      <w:lvlText w:val="•"/>
      <w:lvlJc w:val="left"/>
      <w:pPr>
        <w:tabs>
          <w:tab w:val="num" w:pos="6480"/>
        </w:tabs>
        <w:ind w:left="6480" w:hanging="360"/>
      </w:pPr>
      <w:rPr>
        <w:rFonts w:ascii="Arial" w:hAnsi="Arial" w:hint="default"/>
      </w:rPr>
    </w:lvl>
  </w:abstractNum>
  <w:abstractNum w:abstractNumId="2">
    <w:nsid w:val="27871513"/>
    <w:multiLevelType w:val="hybridMultilevel"/>
    <w:tmpl w:val="B1E8AB66"/>
    <w:lvl w:ilvl="0" w:tplc="05585F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6E21A1"/>
    <w:multiLevelType w:val="hybridMultilevel"/>
    <w:tmpl w:val="8904C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773AC"/>
    <w:multiLevelType w:val="hybridMultilevel"/>
    <w:tmpl w:val="AE9AD932"/>
    <w:lvl w:ilvl="0" w:tplc="05505018">
      <w:start w:val="1"/>
      <w:numFmt w:val="bullet"/>
      <w:lvlText w:val="•"/>
      <w:lvlJc w:val="left"/>
      <w:pPr>
        <w:tabs>
          <w:tab w:val="num" w:pos="720"/>
        </w:tabs>
        <w:ind w:left="720" w:hanging="360"/>
      </w:pPr>
      <w:rPr>
        <w:rFonts w:ascii="Arial" w:hAnsi="Arial" w:hint="default"/>
      </w:rPr>
    </w:lvl>
    <w:lvl w:ilvl="1" w:tplc="12BC127E" w:tentative="1">
      <w:start w:val="1"/>
      <w:numFmt w:val="bullet"/>
      <w:lvlText w:val="•"/>
      <w:lvlJc w:val="left"/>
      <w:pPr>
        <w:tabs>
          <w:tab w:val="num" w:pos="1440"/>
        </w:tabs>
        <w:ind w:left="1440" w:hanging="360"/>
      </w:pPr>
      <w:rPr>
        <w:rFonts w:ascii="Arial" w:hAnsi="Arial" w:hint="default"/>
      </w:rPr>
    </w:lvl>
    <w:lvl w:ilvl="2" w:tplc="B3A8E788" w:tentative="1">
      <w:start w:val="1"/>
      <w:numFmt w:val="bullet"/>
      <w:lvlText w:val="•"/>
      <w:lvlJc w:val="left"/>
      <w:pPr>
        <w:tabs>
          <w:tab w:val="num" w:pos="2160"/>
        </w:tabs>
        <w:ind w:left="2160" w:hanging="360"/>
      </w:pPr>
      <w:rPr>
        <w:rFonts w:ascii="Arial" w:hAnsi="Arial" w:hint="default"/>
      </w:rPr>
    </w:lvl>
    <w:lvl w:ilvl="3" w:tplc="C99610BC" w:tentative="1">
      <w:start w:val="1"/>
      <w:numFmt w:val="bullet"/>
      <w:lvlText w:val="•"/>
      <w:lvlJc w:val="left"/>
      <w:pPr>
        <w:tabs>
          <w:tab w:val="num" w:pos="2880"/>
        </w:tabs>
        <w:ind w:left="2880" w:hanging="360"/>
      </w:pPr>
      <w:rPr>
        <w:rFonts w:ascii="Arial" w:hAnsi="Arial" w:hint="default"/>
      </w:rPr>
    </w:lvl>
    <w:lvl w:ilvl="4" w:tplc="68ACF8CA" w:tentative="1">
      <w:start w:val="1"/>
      <w:numFmt w:val="bullet"/>
      <w:lvlText w:val="•"/>
      <w:lvlJc w:val="left"/>
      <w:pPr>
        <w:tabs>
          <w:tab w:val="num" w:pos="3600"/>
        </w:tabs>
        <w:ind w:left="3600" w:hanging="360"/>
      </w:pPr>
      <w:rPr>
        <w:rFonts w:ascii="Arial" w:hAnsi="Arial" w:hint="default"/>
      </w:rPr>
    </w:lvl>
    <w:lvl w:ilvl="5" w:tplc="F90CFBF8" w:tentative="1">
      <w:start w:val="1"/>
      <w:numFmt w:val="bullet"/>
      <w:lvlText w:val="•"/>
      <w:lvlJc w:val="left"/>
      <w:pPr>
        <w:tabs>
          <w:tab w:val="num" w:pos="4320"/>
        </w:tabs>
        <w:ind w:left="4320" w:hanging="360"/>
      </w:pPr>
      <w:rPr>
        <w:rFonts w:ascii="Arial" w:hAnsi="Arial" w:hint="default"/>
      </w:rPr>
    </w:lvl>
    <w:lvl w:ilvl="6" w:tplc="1AB29762" w:tentative="1">
      <w:start w:val="1"/>
      <w:numFmt w:val="bullet"/>
      <w:lvlText w:val="•"/>
      <w:lvlJc w:val="left"/>
      <w:pPr>
        <w:tabs>
          <w:tab w:val="num" w:pos="5040"/>
        </w:tabs>
        <w:ind w:left="5040" w:hanging="360"/>
      </w:pPr>
      <w:rPr>
        <w:rFonts w:ascii="Arial" w:hAnsi="Arial" w:hint="default"/>
      </w:rPr>
    </w:lvl>
    <w:lvl w:ilvl="7" w:tplc="1FFECEF6" w:tentative="1">
      <w:start w:val="1"/>
      <w:numFmt w:val="bullet"/>
      <w:lvlText w:val="•"/>
      <w:lvlJc w:val="left"/>
      <w:pPr>
        <w:tabs>
          <w:tab w:val="num" w:pos="5760"/>
        </w:tabs>
        <w:ind w:left="5760" w:hanging="360"/>
      </w:pPr>
      <w:rPr>
        <w:rFonts w:ascii="Arial" w:hAnsi="Arial" w:hint="default"/>
      </w:rPr>
    </w:lvl>
    <w:lvl w:ilvl="8" w:tplc="6C766BD4" w:tentative="1">
      <w:start w:val="1"/>
      <w:numFmt w:val="bullet"/>
      <w:lvlText w:val="•"/>
      <w:lvlJc w:val="left"/>
      <w:pPr>
        <w:tabs>
          <w:tab w:val="num" w:pos="6480"/>
        </w:tabs>
        <w:ind w:left="6480" w:hanging="360"/>
      </w:pPr>
      <w:rPr>
        <w:rFonts w:ascii="Arial" w:hAnsi="Arial" w:hint="default"/>
      </w:rPr>
    </w:lvl>
  </w:abstractNum>
  <w:abstractNum w:abstractNumId="5">
    <w:nsid w:val="3E37108B"/>
    <w:multiLevelType w:val="hybridMultilevel"/>
    <w:tmpl w:val="B8320610"/>
    <w:lvl w:ilvl="0" w:tplc="EC4A819E">
      <w:start w:val="1"/>
      <w:numFmt w:val="bullet"/>
      <w:lvlText w:val="•"/>
      <w:lvlJc w:val="left"/>
      <w:pPr>
        <w:tabs>
          <w:tab w:val="num" w:pos="720"/>
        </w:tabs>
        <w:ind w:left="720" w:hanging="360"/>
      </w:pPr>
      <w:rPr>
        <w:rFonts w:ascii="Arial" w:hAnsi="Arial" w:hint="default"/>
      </w:rPr>
    </w:lvl>
    <w:lvl w:ilvl="1" w:tplc="1852554E" w:tentative="1">
      <w:start w:val="1"/>
      <w:numFmt w:val="bullet"/>
      <w:lvlText w:val="•"/>
      <w:lvlJc w:val="left"/>
      <w:pPr>
        <w:tabs>
          <w:tab w:val="num" w:pos="1440"/>
        </w:tabs>
        <w:ind w:left="1440" w:hanging="360"/>
      </w:pPr>
      <w:rPr>
        <w:rFonts w:ascii="Arial" w:hAnsi="Arial" w:hint="default"/>
      </w:rPr>
    </w:lvl>
    <w:lvl w:ilvl="2" w:tplc="170CAFE4" w:tentative="1">
      <w:start w:val="1"/>
      <w:numFmt w:val="bullet"/>
      <w:lvlText w:val="•"/>
      <w:lvlJc w:val="left"/>
      <w:pPr>
        <w:tabs>
          <w:tab w:val="num" w:pos="2160"/>
        </w:tabs>
        <w:ind w:left="2160" w:hanging="360"/>
      </w:pPr>
      <w:rPr>
        <w:rFonts w:ascii="Arial" w:hAnsi="Arial" w:hint="default"/>
      </w:rPr>
    </w:lvl>
    <w:lvl w:ilvl="3" w:tplc="6FEAF7DC" w:tentative="1">
      <w:start w:val="1"/>
      <w:numFmt w:val="bullet"/>
      <w:lvlText w:val="•"/>
      <w:lvlJc w:val="left"/>
      <w:pPr>
        <w:tabs>
          <w:tab w:val="num" w:pos="2880"/>
        </w:tabs>
        <w:ind w:left="2880" w:hanging="360"/>
      </w:pPr>
      <w:rPr>
        <w:rFonts w:ascii="Arial" w:hAnsi="Arial" w:hint="default"/>
      </w:rPr>
    </w:lvl>
    <w:lvl w:ilvl="4" w:tplc="58E26E38" w:tentative="1">
      <w:start w:val="1"/>
      <w:numFmt w:val="bullet"/>
      <w:lvlText w:val="•"/>
      <w:lvlJc w:val="left"/>
      <w:pPr>
        <w:tabs>
          <w:tab w:val="num" w:pos="3600"/>
        </w:tabs>
        <w:ind w:left="3600" w:hanging="360"/>
      </w:pPr>
      <w:rPr>
        <w:rFonts w:ascii="Arial" w:hAnsi="Arial" w:hint="default"/>
      </w:rPr>
    </w:lvl>
    <w:lvl w:ilvl="5" w:tplc="D234C19C" w:tentative="1">
      <w:start w:val="1"/>
      <w:numFmt w:val="bullet"/>
      <w:lvlText w:val="•"/>
      <w:lvlJc w:val="left"/>
      <w:pPr>
        <w:tabs>
          <w:tab w:val="num" w:pos="4320"/>
        </w:tabs>
        <w:ind w:left="4320" w:hanging="360"/>
      </w:pPr>
      <w:rPr>
        <w:rFonts w:ascii="Arial" w:hAnsi="Arial" w:hint="default"/>
      </w:rPr>
    </w:lvl>
    <w:lvl w:ilvl="6" w:tplc="2FD09DC0" w:tentative="1">
      <w:start w:val="1"/>
      <w:numFmt w:val="bullet"/>
      <w:lvlText w:val="•"/>
      <w:lvlJc w:val="left"/>
      <w:pPr>
        <w:tabs>
          <w:tab w:val="num" w:pos="5040"/>
        </w:tabs>
        <w:ind w:left="5040" w:hanging="360"/>
      </w:pPr>
      <w:rPr>
        <w:rFonts w:ascii="Arial" w:hAnsi="Arial" w:hint="default"/>
      </w:rPr>
    </w:lvl>
    <w:lvl w:ilvl="7" w:tplc="5FD4BC04" w:tentative="1">
      <w:start w:val="1"/>
      <w:numFmt w:val="bullet"/>
      <w:lvlText w:val="•"/>
      <w:lvlJc w:val="left"/>
      <w:pPr>
        <w:tabs>
          <w:tab w:val="num" w:pos="5760"/>
        </w:tabs>
        <w:ind w:left="5760" w:hanging="360"/>
      </w:pPr>
      <w:rPr>
        <w:rFonts w:ascii="Arial" w:hAnsi="Arial" w:hint="default"/>
      </w:rPr>
    </w:lvl>
    <w:lvl w:ilvl="8" w:tplc="5F0E2178" w:tentative="1">
      <w:start w:val="1"/>
      <w:numFmt w:val="bullet"/>
      <w:lvlText w:val="•"/>
      <w:lvlJc w:val="left"/>
      <w:pPr>
        <w:tabs>
          <w:tab w:val="num" w:pos="6480"/>
        </w:tabs>
        <w:ind w:left="6480" w:hanging="360"/>
      </w:pPr>
      <w:rPr>
        <w:rFonts w:ascii="Arial" w:hAnsi="Arial" w:hint="default"/>
      </w:rPr>
    </w:lvl>
  </w:abstractNum>
  <w:abstractNum w:abstractNumId="6">
    <w:nsid w:val="5B5F26F1"/>
    <w:multiLevelType w:val="hybridMultilevel"/>
    <w:tmpl w:val="431AADBC"/>
    <w:lvl w:ilvl="0" w:tplc="760E98CC">
      <w:start w:val="1"/>
      <w:numFmt w:val="bullet"/>
      <w:lvlText w:val="•"/>
      <w:lvlJc w:val="left"/>
      <w:pPr>
        <w:tabs>
          <w:tab w:val="num" w:pos="720"/>
        </w:tabs>
        <w:ind w:left="720" w:hanging="360"/>
      </w:pPr>
      <w:rPr>
        <w:rFonts w:ascii="Arial" w:hAnsi="Arial" w:hint="default"/>
      </w:rPr>
    </w:lvl>
    <w:lvl w:ilvl="1" w:tplc="6380837A">
      <w:numFmt w:val="bullet"/>
      <w:lvlText w:val=""/>
      <w:lvlJc w:val="left"/>
      <w:pPr>
        <w:tabs>
          <w:tab w:val="num" w:pos="1440"/>
        </w:tabs>
        <w:ind w:left="1440" w:hanging="360"/>
      </w:pPr>
      <w:rPr>
        <w:rFonts w:ascii="Wingdings" w:hAnsi="Wingdings" w:hint="default"/>
      </w:rPr>
    </w:lvl>
    <w:lvl w:ilvl="2" w:tplc="488A4474" w:tentative="1">
      <w:start w:val="1"/>
      <w:numFmt w:val="bullet"/>
      <w:lvlText w:val="•"/>
      <w:lvlJc w:val="left"/>
      <w:pPr>
        <w:tabs>
          <w:tab w:val="num" w:pos="2160"/>
        </w:tabs>
        <w:ind w:left="2160" w:hanging="360"/>
      </w:pPr>
      <w:rPr>
        <w:rFonts w:ascii="Arial" w:hAnsi="Arial" w:hint="default"/>
      </w:rPr>
    </w:lvl>
    <w:lvl w:ilvl="3" w:tplc="75582E1A" w:tentative="1">
      <w:start w:val="1"/>
      <w:numFmt w:val="bullet"/>
      <w:lvlText w:val="•"/>
      <w:lvlJc w:val="left"/>
      <w:pPr>
        <w:tabs>
          <w:tab w:val="num" w:pos="2880"/>
        </w:tabs>
        <w:ind w:left="2880" w:hanging="360"/>
      </w:pPr>
      <w:rPr>
        <w:rFonts w:ascii="Arial" w:hAnsi="Arial" w:hint="default"/>
      </w:rPr>
    </w:lvl>
    <w:lvl w:ilvl="4" w:tplc="059A6358" w:tentative="1">
      <w:start w:val="1"/>
      <w:numFmt w:val="bullet"/>
      <w:lvlText w:val="•"/>
      <w:lvlJc w:val="left"/>
      <w:pPr>
        <w:tabs>
          <w:tab w:val="num" w:pos="3600"/>
        </w:tabs>
        <w:ind w:left="3600" w:hanging="360"/>
      </w:pPr>
      <w:rPr>
        <w:rFonts w:ascii="Arial" w:hAnsi="Arial" w:hint="default"/>
      </w:rPr>
    </w:lvl>
    <w:lvl w:ilvl="5" w:tplc="879E51DA" w:tentative="1">
      <w:start w:val="1"/>
      <w:numFmt w:val="bullet"/>
      <w:lvlText w:val="•"/>
      <w:lvlJc w:val="left"/>
      <w:pPr>
        <w:tabs>
          <w:tab w:val="num" w:pos="4320"/>
        </w:tabs>
        <w:ind w:left="4320" w:hanging="360"/>
      </w:pPr>
      <w:rPr>
        <w:rFonts w:ascii="Arial" w:hAnsi="Arial" w:hint="default"/>
      </w:rPr>
    </w:lvl>
    <w:lvl w:ilvl="6" w:tplc="67048360" w:tentative="1">
      <w:start w:val="1"/>
      <w:numFmt w:val="bullet"/>
      <w:lvlText w:val="•"/>
      <w:lvlJc w:val="left"/>
      <w:pPr>
        <w:tabs>
          <w:tab w:val="num" w:pos="5040"/>
        </w:tabs>
        <w:ind w:left="5040" w:hanging="360"/>
      </w:pPr>
      <w:rPr>
        <w:rFonts w:ascii="Arial" w:hAnsi="Arial" w:hint="default"/>
      </w:rPr>
    </w:lvl>
    <w:lvl w:ilvl="7" w:tplc="9D543778" w:tentative="1">
      <w:start w:val="1"/>
      <w:numFmt w:val="bullet"/>
      <w:lvlText w:val="•"/>
      <w:lvlJc w:val="left"/>
      <w:pPr>
        <w:tabs>
          <w:tab w:val="num" w:pos="5760"/>
        </w:tabs>
        <w:ind w:left="5760" w:hanging="360"/>
      </w:pPr>
      <w:rPr>
        <w:rFonts w:ascii="Arial" w:hAnsi="Arial" w:hint="default"/>
      </w:rPr>
    </w:lvl>
    <w:lvl w:ilvl="8" w:tplc="7222F876" w:tentative="1">
      <w:start w:val="1"/>
      <w:numFmt w:val="bullet"/>
      <w:lvlText w:val="•"/>
      <w:lvlJc w:val="left"/>
      <w:pPr>
        <w:tabs>
          <w:tab w:val="num" w:pos="6480"/>
        </w:tabs>
        <w:ind w:left="6480" w:hanging="360"/>
      </w:pPr>
      <w:rPr>
        <w:rFonts w:ascii="Arial" w:hAnsi="Arial" w:hint="default"/>
      </w:rPr>
    </w:lvl>
  </w:abstractNum>
  <w:abstractNum w:abstractNumId="7">
    <w:nsid w:val="637E2E14"/>
    <w:multiLevelType w:val="multilevel"/>
    <w:tmpl w:val="E230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12"/>
    <w:rsid w:val="00001A06"/>
    <w:rsid w:val="00001C5E"/>
    <w:rsid w:val="00006E56"/>
    <w:rsid w:val="0001774E"/>
    <w:rsid w:val="00020F98"/>
    <w:rsid w:val="000210B3"/>
    <w:rsid w:val="00027615"/>
    <w:rsid w:val="00042E83"/>
    <w:rsid w:val="00045791"/>
    <w:rsid w:val="00051818"/>
    <w:rsid w:val="00052080"/>
    <w:rsid w:val="00054B6C"/>
    <w:rsid w:val="000614F1"/>
    <w:rsid w:val="00067280"/>
    <w:rsid w:val="000704DE"/>
    <w:rsid w:val="000728A6"/>
    <w:rsid w:val="00073F3B"/>
    <w:rsid w:val="0007471A"/>
    <w:rsid w:val="000748F0"/>
    <w:rsid w:val="0007491E"/>
    <w:rsid w:val="00083867"/>
    <w:rsid w:val="00095504"/>
    <w:rsid w:val="000A2E42"/>
    <w:rsid w:val="000B1A9A"/>
    <w:rsid w:val="000B38C6"/>
    <w:rsid w:val="000B4060"/>
    <w:rsid w:val="000C6077"/>
    <w:rsid w:val="000E2515"/>
    <w:rsid w:val="000F13DA"/>
    <w:rsid w:val="00103BF7"/>
    <w:rsid w:val="00103F46"/>
    <w:rsid w:val="00106F87"/>
    <w:rsid w:val="00107420"/>
    <w:rsid w:val="00107FDE"/>
    <w:rsid w:val="001105D7"/>
    <w:rsid w:val="0011482D"/>
    <w:rsid w:val="00120BAE"/>
    <w:rsid w:val="00121BA7"/>
    <w:rsid w:val="001236DC"/>
    <w:rsid w:val="00124568"/>
    <w:rsid w:val="0013269D"/>
    <w:rsid w:val="00134993"/>
    <w:rsid w:val="00140393"/>
    <w:rsid w:val="001558B6"/>
    <w:rsid w:val="00161ECC"/>
    <w:rsid w:val="0016221C"/>
    <w:rsid w:val="00165097"/>
    <w:rsid w:val="0017072F"/>
    <w:rsid w:val="00171D06"/>
    <w:rsid w:val="00172009"/>
    <w:rsid w:val="00174A9F"/>
    <w:rsid w:val="00185F49"/>
    <w:rsid w:val="00196ADF"/>
    <w:rsid w:val="001B360F"/>
    <w:rsid w:val="001B4D08"/>
    <w:rsid w:val="001B541D"/>
    <w:rsid w:val="001C6612"/>
    <w:rsid w:val="001C73E2"/>
    <w:rsid w:val="001D28D4"/>
    <w:rsid w:val="001E714A"/>
    <w:rsid w:val="001F3C4E"/>
    <w:rsid w:val="00201509"/>
    <w:rsid w:val="0020317D"/>
    <w:rsid w:val="002127C5"/>
    <w:rsid w:val="00216013"/>
    <w:rsid w:val="00217E4E"/>
    <w:rsid w:val="00225A6A"/>
    <w:rsid w:val="002268B1"/>
    <w:rsid w:val="00230E0E"/>
    <w:rsid w:val="00232175"/>
    <w:rsid w:val="00232569"/>
    <w:rsid w:val="00232631"/>
    <w:rsid w:val="002341FB"/>
    <w:rsid w:val="00241316"/>
    <w:rsid w:val="00245221"/>
    <w:rsid w:val="0024573D"/>
    <w:rsid w:val="00250BE3"/>
    <w:rsid w:val="002618EE"/>
    <w:rsid w:val="00262050"/>
    <w:rsid w:val="002754F9"/>
    <w:rsid w:val="00276E54"/>
    <w:rsid w:val="00283728"/>
    <w:rsid w:val="002866CA"/>
    <w:rsid w:val="00290B51"/>
    <w:rsid w:val="00293A84"/>
    <w:rsid w:val="002941FB"/>
    <w:rsid w:val="002A7D69"/>
    <w:rsid w:val="002B365F"/>
    <w:rsid w:val="002B589D"/>
    <w:rsid w:val="002B760D"/>
    <w:rsid w:val="002C0FCF"/>
    <w:rsid w:val="002C22B4"/>
    <w:rsid w:val="002C7CBE"/>
    <w:rsid w:val="002D7E1E"/>
    <w:rsid w:val="002E2C67"/>
    <w:rsid w:val="002E400E"/>
    <w:rsid w:val="002F5642"/>
    <w:rsid w:val="002F7006"/>
    <w:rsid w:val="003064E8"/>
    <w:rsid w:val="00307DDD"/>
    <w:rsid w:val="003174DF"/>
    <w:rsid w:val="003222F1"/>
    <w:rsid w:val="003346A9"/>
    <w:rsid w:val="003408C6"/>
    <w:rsid w:val="00347785"/>
    <w:rsid w:val="00350EB2"/>
    <w:rsid w:val="00360AFF"/>
    <w:rsid w:val="0036157F"/>
    <w:rsid w:val="003621A4"/>
    <w:rsid w:val="003635FE"/>
    <w:rsid w:val="00363A1A"/>
    <w:rsid w:val="00366AA4"/>
    <w:rsid w:val="00372A77"/>
    <w:rsid w:val="00383DD8"/>
    <w:rsid w:val="00386503"/>
    <w:rsid w:val="0038779D"/>
    <w:rsid w:val="00387E06"/>
    <w:rsid w:val="003906B4"/>
    <w:rsid w:val="003B0A32"/>
    <w:rsid w:val="003B2CB5"/>
    <w:rsid w:val="003C32BF"/>
    <w:rsid w:val="003C41E7"/>
    <w:rsid w:val="003C43D5"/>
    <w:rsid w:val="003C5589"/>
    <w:rsid w:val="003D6092"/>
    <w:rsid w:val="003E1F62"/>
    <w:rsid w:val="003E50BF"/>
    <w:rsid w:val="003F0496"/>
    <w:rsid w:val="003F0A3F"/>
    <w:rsid w:val="003F5B20"/>
    <w:rsid w:val="00404E10"/>
    <w:rsid w:val="00406B73"/>
    <w:rsid w:val="00416272"/>
    <w:rsid w:val="00424246"/>
    <w:rsid w:val="00430775"/>
    <w:rsid w:val="00431612"/>
    <w:rsid w:val="004329DC"/>
    <w:rsid w:val="004370C3"/>
    <w:rsid w:val="00446367"/>
    <w:rsid w:val="00447CAE"/>
    <w:rsid w:val="00454851"/>
    <w:rsid w:val="00456996"/>
    <w:rsid w:val="00457863"/>
    <w:rsid w:val="00485844"/>
    <w:rsid w:val="004871B4"/>
    <w:rsid w:val="00490997"/>
    <w:rsid w:val="00493398"/>
    <w:rsid w:val="00494409"/>
    <w:rsid w:val="004964E3"/>
    <w:rsid w:val="004A548E"/>
    <w:rsid w:val="004B284B"/>
    <w:rsid w:val="004B7047"/>
    <w:rsid w:val="004C148C"/>
    <w:rsid w:val="004C24AC"/>
    <w:rsid w:val="004C6912"/>
    <w:rsid w:val="004C778F"/>
    <w:rsid w:val="004C7882"/>
    <w:rsid w:val="004D5FF0"/>
    <w:rsid w:val="004E398A"/>
    <w:rsid w:val="004E4E16"/>
    <w:rsid w:val="004F2392"/>
    <w:rsid w:val="004F3124"/>
    <w:rsid w:val="004F4913"/>
    <w:rsid w:val="00500B2D"/>
    <w:rsid w:val="00505DA2"/>
    <w:rsid w:val="00506217"/>
    <w:rsid w:val="00512737"/>
    <w:rsid w:val="00517300"/>
    <w:rsid w:val="0053132F"/>
    <w:rsid w:val="0053155D"/>
    <w:rsid w:val="0053287B"/>
    <w:rsid w:val="0053424F"/>
    <w:rsid w:val="00541D70"/>
    <w:rsid w:val="00544C69"/>
    <w:rsid w:val="00546EC9"/>
    <w:rsid w:val="005534FB"/>
    <w:rsid w:val="00561D46"/>
    <w:rsid w:val="0056392E"/>
    <w:rsid w:val="00567963"/>
    <w:rsid w:val="005A343F"/>
    <w:rsid w:val="005A4468"/>
    <w:rsid w:val="005B5FA2"/>
    <w:rsid w:val="005C0721"/>
    <w:rsid w:val="005D4D86"/>
    <w:rsid w:val="005D5AF9"/>
    <w:rsid w:val="005F2390"/>
    <w:rsid w:val="005F4843"/>
    <w:rsid w:val="005F7599"/>
    <w:rsid w:val="00607E4F"/>
    <w:rsid w:val="00612B77"/>
    <w:rsid w:val="006143E8"/>
    <w:rsid w:val="00630F57"/>
    <w:rsid w:val="00632945"/>
    <w:rsid w:val="006373F3"/>
    <w:rsid w:val="006405AA"/>
    <w:rsid w:val="0064353D"/>
    <w:rsid w:val="0064504E"/>
    <w:rsid w:val="00646742"/>
    <w:rsid w:val="006479F2"/>
    <w:rsid w:val="00647A21"/>
    <w:rsid w:val="00650D61"/>
    <w:rsid w:val="00660221"/>
    <w:rsid w:val="006661B9"/>
    <w:rsid w:val="006703ED"/>
    <w:rsid w:val="00675DC9"/>
    <w:rsid w:val="00680124"/>
    <w:rsid w:val="00683A86"/>
    <w:rsid w:val="0068664A"/>
    <w:rsid w:val="0069164E"/>
    <w:rsid w:val="00692F2E"/>
    <w:rsid w:val="00692F56"/>
    <w:rsid w:val="0069575A"/>
    <w:rsid w:val="006A0378"/>
    <w:rsid w:val="006A38C6"/>
    <w:rsid w:val="006A5783"/>
    <w:rsid w:val="006A71D5"/>
    <w:rsid w:val="006A77D1"/>
    <w:rsid w:val="006C1140"/>
    <w:rsid w:val="006C1691"/>
    <w:rsid w:val="006C2D92"/>
    <w:rsid w:val="006C5F28"/>
    <w:rsid w:val="006C5F77"/>
    <w:rsid w:val="006D70AA"/>
    <w:rsid w:val="006E1AEE"/>
    <w:rsid w:val="006E5F3E"/>
    <w:rsid w:val="006F119C"/>
    <w:rsid w:val="006F2B01"/>
    <w:rsid w:val="006F3EA5"/>
    <w:rsid w:val="006F5B52"/>
    <w:rsid w:val="006F5D00"/>
    <w:rsid w:val="00707351"/>
    <w:rsid w:val="007122E9"/>
    <w:rsid w:val="00712E08"/>
    <w:rsid w:val="00713444"/>
    <w:rsid w:val="007150BB"/>
    <w:rsid w:val="0071622B"/>
    <w:rsid w:val="00720D64"/>
    <w:rsid w:val="00720E03"/>
    <w:rsid w:val="0072601D"/>
    <w:rsid w:val="007325DE"/>
    <w:rsid w:val="007325E1"/>
    <w:rsid w:val="0074098B"/>
    <w:rsid w:val="007412D5"/>
    <w:rsid w:val="00741D18"/>
    <w:rsid w:val="00744388"/>
    <w:rsid w:val="007445C1"/>
    <w:rsid w:val="00761121"/>
    <w:rsid w:val="00767CEF"/>
    <w:rsid w:val="00771AB6"/>
    <w:rsid w:val="007775BB"/>
    <w:rsid w:val="00780CD2"/>
    <w:rsid w:val="00784889"/>
    <w:rsid w:val="00791026"/>
    <w:rsid w:val="00791EA8"/>
    <w:rsid w:val="00793348"/>
    <w:rsid w:val="0079710E"/>
    <w:rsid w:val="007A2579"/>
    <w:rsid w:val="007A48CE"/>
    <w:rsid w:val="007A7899"/>
    <w:rsid w:val="007B1EB0"/>
    <w:rsid w:val="007B4DE7"/>
    <w:rsid w:val="007B5C1D"/>
    <w:rsid w:val="007C05CB"/>
    <w:rsid w:val="007C511B"/>
    <w:rsid w:val="007C5228"/>
    <w:rsid w:val="007C53DD"/>
    <w:rsid w:val="007D1900"/>
    <w:rsid w:val="007D3241"/>
    <w:rsid w:val="007E12C8"/>
    <w:rsid w:val="007E19D5"/>
    <w:rsid w:val="007E2E99"/>
    <w:rsid w:val="007E5158"/>
    <w:rsid w:val="007E5C7B"/>
    <w:rsid w:val="007E657F"/>
    <w:rsid w:val="007F3F4D"/>
    <w:rsid w:val="00801683"/>
    <w:rsid w:val="00805399"/>
    <w:rsid w:val="008157F1"/>
    <w:rsid w:val="00822EAD"/>
    <w:rsid w:val="00827154"/>
    <w:rsid w:val="00832B8A"/>
    <w:rsid w:val="00835C5C"/>
    <w:rsid w:val="00836070"/>
    <w:rsid w:val="00837484"/>
    <w:rsid w:val="0083782F"/>
    <w:rsid w:val="00844C12"/>
    <w:rsid w:val="00847404"/>
    <w:rsid w:val="00857237"/>
    <w:rsid w:val="0086615E"/>
    <w:rsid w:val="0087405F"/>
    <w:rsid w:val="0087798D"/>
    <w:rsid w:val="00890BF4"/>
    <w:rsid w:val="0089434D"/>
    <w:rsid w:val="00894A28"/>
    <w:rsid w:val="008A1593"/>
    <w:rsid w:val="008A1D5C"/>
    <w:rsid w:val="008A3953"/>
    <w:rsid w:val="008B20ED"/>
    <w:rsid w:val="008B3DF1"/>
    <w:rsid w:val="008B49B3"/>
    <w:rsid w:val="008B5833"/>
    <w:rsid w:val="008C79A4"/>
    <w:rsid w:val="008C7B17"/>
    <w:rsid w:val="008D3D35"/>
    <w:rsid w:val="008D7AE5"/>
    <w:rsid w:val="008E3BE6"/>
    <w:rsid w:val="008F71FD"/>
    <w:rsid w:val="00901853"/>
    <w:rsid w:val="00907140"/>
    <w:rsid w:val="009210D6"/>
    <w:rsid w:val="00923766"/>
    <w:rsid w:val="00923B73"/>
    <w:rsid w:val="00927F21"/>
    <w:rsid w:val="00930395"/>
    <w:rsid w:val="00930715"/>
    <w:rsid w:val="0093510C"/>
    <w:rsid w:val="009365DA"/>
    <w:rsid w:val="00941444"/>
    <w:rsid w:val="009414FC"/>
    <w:rsid w:val="00941A71"/>
    <w:rsid w:val="0094555B"/>
    <w:rsid w:val="00945D81"/>
    <w:rsid w:val="009546C9"/>
    <w:rsid w:val="00955F19"/>
    <w:rsid w:val="009642C5"/>
    <w:rsid w:val="009717EA"/>
    <w:rsid w:val="00975599"/>
    <w:rsid w:val="00981F66"/>
    <w:rsid w:val="00986825"/>
    <w:rsid w:val="009A0315"/>
    <w:rsid w:val="009B4C78"/>
    <w:rsid w:val="009B4F0B"/>
    <w:rsid w:val="009B6930"/>
    <w:rsid w:val="009B6E1B"/>
    <w:rsid w:val="009B70BE"/>
    <w:rsid w:val="009C17A5"/>
    <w:rsid w:val="009D0BB9"/>
    <w:rsid w:val="009D6FB9"/>
    <w:rsid w:val="009D71F1"/>
    <w:rsid w:val="009E1704"/>
    <w:rsid w:val="009E58DA"/>
    <w:rsid w:val="009E6324"/>
    <w:rsid w:val="009F0BE8"/>
    <w:rsid w:val="009F1072"/>
    <w:rsid w:val="009F3A88"/>
    <w:rsid w:val="00A01A51"/>
    <w:rsid w:val="00A01AFD"/>
    <w:rsid w:val="00A02773"/>
    <w:rsid w:val="00A04EC7"/>
    <w:rsid w:val="00A11389"/>
    <w:rsid w:val="00A12EFD"/>
    <w:rsid w:val="00A1509D"/>
    <w:rsid w:val="00A17527"/>
    <w:rsid w:val="00A22D29"/>
    <w:rsid w:val="00A31364"/>
    <w:rsid w:val="00A320E8"/>
    <w:rsid w:val="00A3256E"/>
    <w:rsid w:val="00A34B8C"/>
    <w:rsid w:val="00A354B0"/>
    <w:rsid w:val="00A358BC"/>
    <w:rsid w:val="00A53348"/>
    <w:rsid w:val="00A65945"/>
    <w:rsid w:val="00A74ACA"/>
    <w:rsid w:val="00A77EA9"/>
    <w:rsid w:val="00A80188"/>
    <w:rsid w:val="00A801AF"/>
    <w:rsid w:val="00A868B8"/>
    <w:rsid w:val="00A86923"/>
    <w:rsid w:val="00A86FE6"/>
    <w:rsid w:val="00A923CA"/>
    <w:rsid w:val="00A9270B"/>
    <w:rsid w:val="00A953D1"/>
    <w:rsid w:val="00A96019"/>
    <w:rsid w:val="00A962AD"/>
    <w:rsid w:val="00A97BA3"/>
    <w:rsid w:val="00AA01F4"/>
    <w:rsid w:val="00AA5C2D"/>
    <w:rsid w:val="00AB3CBE"/>
    <w:rsid w:val="00AC2A3A"/>
    <w:rsid w:val="00AD4481"/>
    <w:rsid w:val="00AF2EFE"/>
    <w:rsid w:val="00AF56FA"/>
    <w:rsid w:val="00B010E8"/>
    <w:rsid w:val="00B035D1"/>
    <w:rsid w:val="00B11313"/>
    <w:rsid w:val="00B1469C"/>
    <w:rsid w:val="00B15154"/>
    <w:rsid w:val="00B16982"/>
    <w:rsid w:val="00B24783"/>
    <w:rsid w:val="00B26BCE"/>
    <w:rsid w:val="00B27659"/>
    <w:rsid w:val="00B30480"/>
    <w:rsid w:val="00B30791"/>
    <w:rsid w:val="00B35310"/>
    <w:rsid w:val="00B37B14"/>
    <w:rsid w:val="00B403CF"/>
    <w:rsid w:val="00B53C9A"/>
    <w:rsid w:val="00B67347"/>
    <w:rsid w:val="00B67AF7"/>
    <w:rsid w:val="00B74498"/>
    <w:rsid w:val="00B76E3F"/>
    <w:rsid w:val="00B814AC"/>
    <w:rsid w:val="00B83159"/>
    <w:rsid w:val="00B92293"/>
    <w:rsid w:val="00B93CE0"/>
    <w:rsid w:val="00BA1B27"/>
    <w:rsid w:val="00BA3B02"/>
    <w:rsid w:val="00BC01C3"/>
    <w:rsid w:val="00BC1CEE"/>
    <w:rsid w:val="00BC364C"/>
    <w:rsid w:val="00BC51F0"/>
    <w:rsid w:val="00BC5A7B"/>
    <w:rsid w:val="00BC7CC1"/>
    <w:rsid w:val="00BD00CF"/>
    <w:rsid w:val="00BD28B9"/>
    <w:rsid w:val="00BE6D73"/>
    <w:rsid w:val="00BF1E66"/>
    <w:rsid w:val="00BF33D6"/>
    <w:rsid w:val="00C02827"/>
    <w:rsid w:val="00C12103"/>
    <w:rsid w:val="00C126DA"/>
    <w:rsid w:val="00C12AEC"/>
    <w:rsid w:val="00C13EED"/>
    <w:rsid w:val="00C16494"/>
    <w:rsid w:val="00C21D88"/>
    <w:rsid w:val="00C22F01"/>
    <w:rsid w:val="00C27A62"/>
    <w:rsid w:val="00C33587"/>
    <w:rsid w:val="00C5103A"/>
    <w:rsid w:val="00C5700B"/>
    <w:rsid w:val="00C60989"/>
    <w:rsid w:val="00C67FBA"/>
    <w:rsid w:val="00C706DA"/>
    <w:rsid w:val="00C80ADB"/>
    <w:rsid w:val="00C8109F"/>
    <w:rsid w:val="00C8137E"/>
    <w:rsid w:val="00C858C9"/>
    <w:rsid w:val="00C93776"/>
    <w:rsid w:val="00CA0267"/>
    <w:rsid w:val="00CA1DC1"/>
    <w:rsid w:val="00CA3122"/>
    <w:rsid w:val="00CB1884"/>
    <w:rsid w:val="00CB3D5B"/>
    <w:rsid w:val="00CD0F0B"/>
    <w:rsid w:val="00CD2BD6"/>
    <w:rsid w:val="00CD37AE"/>
    <w:rsid w:val="00CD5F16"/>
    <w:rsid w:val="00CD6F48"/>
    <w:rsid w:val="00CE720D"/>
    <w:rsid w:val="00CF4635"/>
    <w:rsid w:val="00D00AB1"/>
    <w:rsid w:val="00D07E0C"/>
    <w:rsid w:val="00D21696"/>
    <w:rsid w:val="00D25498"/>
    <w:rsid w:val="00D255B0"/>
    <w:rsid w:val="00D25BD4"/>
    <w:rsid w:val="00D336C1"/>
    <w:rsid w:val="00D42068"/>
    <w:rsid w:val="00D46B0D"/>
    <w:rsid w:val="00D47BF2"/>
    <w:rsid w:val="00D51267"/>
    <w:rsid w:val="00D57E23"/>
    <w:rsid w:val="00D63C12"/>
    <w:rsid w:val="00D77398"/>
    <w:rsid w:val="00D91229"/>
    <w:rsid w:val="00D96099"/>
    <w:rsid w:val="00DA6116"/>
    <w:rsid w:val="00DA6912"/>
    <w:rsid w:val="00DA7D46"/>
    <w:rsid w:val="00DB18DE"/>
    <w:rsid w:val="00DB435D"/>
    <w:rsid w:val="00DB462F"/>
    <w:rsid w:val="00DB5EFB"/>
    <w:rsid w:val="00DB7B9A"/>
    <w:rsid w:val="00DC1AC0"/>
    <w:rsid w:val="00DC1ADD"/>
    <w:rsid w:val="00DC2FCA"/>
    <w:rsid w:val="00DD42B8"/>
    <w:rsid w:val="00DD4590"/>
    <w:rsid w:val="00DE0D33"/>
    <w:rsid w:val="00DE1BBD"/>
    <w:rsid w:val="00DE2C21"/>
    <w:rsid w:val="00DE6E2B"/>
    <w:rsid w:val="00DF4EDE"/>
    <w:rsid w:val="00E0301B"/>
    <w:rsid w:val="00E0512C"/>
    <w:rsid w:val="00E05D07"/>
    <w:rsid w:val="00E12F83"/>
    <w:rsid w:val="00E13676"/>
    <w:rsid w:val="00E14C8F"/>
    <w:rsid w:val="00E1731D"/>
    <w:rsid w:val="00E20372"/>
    <w:rsid w:val="00E25BF9"/>
    <w:rsid w:val="00E3127B"/>
    <w:rsid w:val="00E3571B"/>
    <w:rsid w:val="00E35F5B"/>
    <w:rsid w:val="00E37536"/>
    <w:rsid w:val="00E52FCB"/>
    <w:rsid w:val="00E53B16"/>
    <w:rsid w:val="00E53FB4"/>
    <w:rsid w:val="00E5550D"/>
    <w:rsid w:val="00E55A4E"/>
    <w:rsid w:val="00E57BAC"/>
    <w:rsid w:val="00E62607"/>
    <w:rsid w:val="00E62FF2"/>
    <w:rsid w:val="00E66499"/>
    <w:rsid w:val="00E704E8"/>
    <w:rsid w:val="00E7143D"/>
    <w:rsid w:val="00E7619F"/>
    <w:rsid w:val="00E77260"/>
    <w:rsid w:val="00E821AD"/>
    <w:rsid w:val="00E83299"/>
    <w:rsid w:val="00E84761"/>
    <w:rsid w:val="00E84F91"/>
    <w:rsid w:val="00E97C47"/>
    <w:rsid w:val="00EA216D"/>
    <w:rsid w:val="00EA43AD"/>
    <w:rsid w:val="00EC1655"/>
    <w:rsid w:val="00ED722F"/>
    <w:rsid w:val="00ED781A"/>
    <w:rsid w:val="00ED797F"/>
    <w:rsid w:val="00ED7CCF"/>
    <w:rsid w:val="00EE70E6"/>
    <w:rsid w:val="00EF3F23"/>
    <w:rsid w:val="00EF7D01"/>
    <w:rsid w:val="00F12C69"/>
    <w:rsid w:val="00F14630"/>
    <w:rsid w:val="00F204D8"/>
    <w:rsid w:val="00F2153D"/>
    <w:rsid w:val="00F24204"/>
    <w:rsid w:val="00F352EC"/>
    <w:rsid w:val="00F478D2"/>
    <w:rsid w:val="00F61BA9"/>
    <w:rsid w:val="00F728CF"/>
    <w:rsid w:val="00F738B2"/>
    <w:rsid w:val="00F778EC"/>
    <w:rsid w:val="00F82EAD"/>
    <w:rsid w:val="00F85FE6"/>
    <w:rsid w:val="00F87D32"/>
    <w:rsid w:val="00F97B9A"/>
    <w:rsid w:val="00FA0A37"/>
    <w:rsid w:val="00FA6471"/>
    <w:rsid w:val="00FA6BC5"/>
    <w:rsid w:val="00FB1CC2"/>
    <w:rsid w:val="00FB4867"/>
    <w:rsid w:val="00FB7C66"/>
    <w:rsid w:val="00FD5540"/>
    <w:rsid w:val="00FE02A2"/>
    <w:rsid w:val="00FE1F48"/>
    <w:rsid w:val="00FE4473"/>
    <w:rsid w:val="00FE56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E3"/>
    <w:rPr>
      <w:lang w:val="en-US"/>
    </w:rPr>
  </w:style>
  <w:style w:type="paragraph" w:styleId="Heading1">
    <w:name w:val="heading 1"/>
    <w:basedOn w:val="Normal"/>
    <w:next w:val="Normal"/>
    <w:link w:val="Heading1Char"/>
    <w:uiPriority w:val="9"/>
    <w:qFormat/>
    <w:rsid w:val="00CF46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6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67"/>
    <w:rPr>
      <w:color w:val="0563C1" w:themeColor="hyperlink"/>
      <w:u w:val="single"/>
    </w:rPr>
  </w:style>
  <w:style w:type="character" w:customStyle="1" w:styleId="UnresolvedMention1">
    <w:name w:val="Unresolved Mention1"/>
    <w:basedOn w:val="DefaultParagraphFont"/>
    <w:uiPriority w:val="99"/>
    <w:semiHidden/>
    <w:unhideWhenUsed/>
    <w:rsid w:val="00446367"/>
    <w:rPr>
      <w:color w:val="605E5C"/>
      <w:shd w:val="clear" w:color="auto" w:fill="E1DFDD"/>
    </w:rPr>
  </w:style>
  <w:style w:type="paragraph" w:styleId="ListParagraph">
    <w:name w:val="List Paragraph"/>
    <w:basedOn w:val="Normal"/>
    <w:uiPriority w:val="34"/>
    <w:qFormat/>
    <w:rsid w:val="00A01A51"/>
    <w:pPr>
      <w:ind w:left="720"/>
      <w:contextualSpacing/>
    </w:pPr>
  </w:style>
  <w:style w:type="paragraph" w:customStyle="1" w:styleId="chapter-para">
    <w:name w:val="chapter-para"/>
    <w:basedOn w:val="Normal"/>
    <w:rsid w:val="00C858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58C9"/>
    <w:rPr>
      <w:b/>
      <w:bCs/>
    </w:rPr>
  </w:style>
  <w:style w:type="character" w:customStyle="1" w:styleId="apple-converted-space">
    <w:name w:val="apple-converted-space"/>
    <w:basedOn w:val="DefaultParagraphFont"/>
    <w:rsid w:val="00C858C9"/>
  </w:style>
  <w:style w:type="character" w:customStyle="1" w:styleId="content-section">
    <w:name w:val="content-section"/>
    <w:basedOn w:val="DefaultParagraphFont"/>
    <w:rsid w:val="00C858C9"/>
  </w:style>
  <w:style w:type="character" w:styleId="Emphasis">
    <w:name w:val="Emphasis"/>
    <w:basedOn w:val="DefaultParagraphFont"/>
    <w:uiPriority w:val="20"/>
    <w:qFormat/>
    <w:rsid w:val="00C80ADB"/>
    <w:rPr>
      <w:i/>
      <w:iCs/>
    </w:rPr>
  </w:style>
  <w:style w:type="character" w:styleId="FollowedHyperlink">
    <w:name w:val="FollowedHyperlink"/>
    <w:basedOn w:val="DefaultParagraphFont"/>
    <w:uiPriority w:val="99"/>
    <w:semiHidden/>
    <w:unhideWhenUsed/>
    <w:rsid w:val="002618EE"/>
    <w:rPr>
      <w:color w:val="954F72" w:themeColor="followedHyperlink"/>
      <w:u w:val="single"/>
    </w:rPr>
  </w:style>
  <w:style w:type="table" w:styleId="LightShading">
    <w:name w:val="Light Shading"/>
    <w:basedOn w:val="TableNormal"/>
    <w:uiPriority w:val="60"/>
    <w:rsid w:val="0038779D"/>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61D46"/>
    <w:rPr>
      <w:color w:val="808080"/>
    </w:rPr>
  </w:style>
  <w:style w:type="paragraph" w:styleId="Bibliography">
    <w:name w:val="Bibliography"/>
    <w:basedOn w:val="Normal"/>
    <w:next w:val="Normal"/>
    <w:uiPriority w:val="37"/>
    <w:unhideWhenUsed/>
    <w:rsid w:val="00F778EC"/>
    <w:pPr>
      <w:tabs>
        <w:tab w:val="left" w:pos="380"/>
      </w:tabs>
      <w:spacing w:after="240"/>
      <w:ind w:left="384" w:hanging="384"/>
    </w:pPr>
  </w:style>
  <w:style w:type="character" w:styleId="CommentReference">
    <w:name w:val="annotation reference"/>
    <w:basedOn w:val="DefaultParagraphFont"/>
    <w:uiPriority w:val="99"/>
    <w:semiHidden/>
    <w:unhideWhenUsed/>
    <w:rsid w:val="009B6E1B"/>
    <w:rPr>
      <w:sz w:val="16"/>
      <w:szCs w:val="16"/>
    </w:rPr>
  </w:style>
  <w:style w:type="paragraph" w:styleId="CommentText">
    <w:name w:val="annotation text"/>
    <w:basedOn w:val="Normal"/>
    <w:link w:val="CommentTextChar"/>
    <w:uiPriority w:val="99"/>
    <w:semiHidden/>
    <w:unhideWhenUsed/>
    <w:rsid w:val="009B6E1B"/>
    <w:rPr>
      <w:sz w:val="20"/>
      <w:szCs w:val="20"/>
    </w:rPr>
  </w:style>
  <w:style w:type="character" w:customStyle="1" w:styleId="CommentTextChar">
    <w:name w:val="Comment Text Char"/>
    <w:basedOn w:val="DefaultParagraphFont"/>
    <w:link w:val="CommentText"/>
    <w:uiPriority w:val="99"/>
    <w:semiHidden/>
    <w:rsid w:val="009B6E1B"/>
    <w:rPr>
      <w:sz w:val="20"/>
      <w:szCs w:val="20"/>
    </w:rPr>
  </w:style>
  <w:style w:type="paragraph" w:styleId="CommentSubject">
    <w:name w:val="annotation subject"/>
    <w:basedOn w:val="CommentText"/>
    <w:next w:val="CommentText"/>
    <w:link w:val="CommentSubjectChar"/>
    <w:uiPriority w:val="99"/>
    <w:semiHidden/>
    <w:unhideWhenUsed/>
    <w:rsid w:val="009B6E1B"/>
    <w:rPr>
      <w:b/>
      <w:bCs/>
    </w:rPr>
  </w:style>
  <w:style w:type="character" w:customStyle="1" w:styleId="CommentSubjectChar">
    <w:name w:val="Comment Subject Char"/>
    <w:basedOn w:val="CommentTextChar"/>
    <w:link w:val="CommentSubject"/>
    <w:uiPriority w:val="99"/>
    <w:semiHidden/>
    <w:rsid w:val="009B6E1B"/>
    <w:rPr>
      <w:b/>
      <w:bCs/>
      <w:sz w:val="20"/>
      <w:szCs w:val="20"/>
    </w:rPr>
  </w:style>
  <w:style w:type="character" w:customStyle="1" w:styleId="Heading1Char">
    <w:name w:val="Heading 1 Char"/>
    <w:basedOn w:val="DefaultParagraphFont"/>
    <w:link w:val="Heading1"/>
    <w:uiPriority w:val="9"/>
    <w:rsid w:val="00CF46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4635"/>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7E5C7B"/>
    <w:rPr>
      <w:color w:val="605E5C"/>
      <w:shd w:val="clear" w:color="auto" w:fill="E1DFDD"/>
    </w:rPr>
  </w:style>
  <w:style w:type="paragraph" w:styleId="Revision">
    <w:name w:val="Revision"/>
    <w:hidden/>
    <w:uiPriority w:val="99"/>
    <w:semiHidden/>
    <w:rsid w:val="006F3EA5"/>
  </w:style>
  <w:style w:type="paragraph" w:styleId="BalloonText">
    <w:name w:val="Balloon Text"/>
    <w:basedOn w:val="Normal"/>
    <w:link w:val="BalloonTextChar"/>
    <w:uiPriority w:val="99"/>
    <w:semiHidden/>
    <w:unhideWhenUsed/>
    <w:rsid w:val="00CB3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5B"/>
    <w:rPr>
      <w:rFonts w:ascii="Segoe UI" w:hAnsi="Segoe UI" w:cs="Segoe UI"/>
      <w:sz w:val="18"/>
      <w:szCs w:val="18"/>
    </w:rPr>
  </w:style>
  <w:style w:type="table" w:customStyle="1" w:styleId="TableGrid1">
    <w:name w:val="Table Grid1"/>
    <w:basedOn w:val="TableNormal"/>
    <w:next w:val="TableGrid"/>
    <w:uiPriority w:val="39"/>
    <w:rsid w:val="00771AB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E3"/>
    <w:rPr>
      <w:lang w:val="en-US"/>
    </w:rPr>
  </w:style>
  <w:style w:type="paragraph" w:styleId="Heading1">
    <w:name w:val="heading 1"/>
    <w:basedOn w:val="Normal"/>
    <w:next w:val="Normal"/>
    <w:link w:val="Heading1Char"/>
    <w:uiPriority w:val="9"/>
    <w:qFormat/>
    <w:rsid w:val="00CF46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6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67"/>
    <w:rPr>
      <w:color w:val="0563C1" w:themeColor="hyperlink"/>
      <w:u w:val="single"/>
    </w:rPr>
  </w:style>
  <w:style w:type="character" w:customStyle="1" w:styleId="UnresolvedMention1">
    <w:name w:val="Unresolved Mention1"/>
    <w:basedOn w:val="DefaultParagraphFont"/>
    <w:uiPriority w:val="99"/>
    <w:semiHidden/>
    <w:unhideWhenUsed/>
    <w:rsid w:val="00446367"/>
    <w:rPr>
      <w:color w:val="605E5C"/>
      <w:shd w:val="clear" w:color="auto" w:fill="E1DFDD"/>
    </w:rPr>
  </w:style>
  <w:style w:type="paragraph" w:styleId="ListParagraph">
    <w:name w:val="List Paragraph"/>
    <w:basedOn w:val="Normal"/>
    <w:uiPriority w:val="34"/>
    <w:qFormat/>
    <w:rsid w:val="00A01A51"/>
    <w:pPr>
      <w:ind w:left="720"/>
      <w:contextualSpacing/>
    </w:pPr>
  </w:style>
  <w:style w:type="paragraph" w:customStyle="1" w:styleId="chapter-para">
    <w:name w:val="chapter-para"/>
    <w:basedOn w:val="Normal"/>
    <w:rsid w:val="00C858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58C9"/>
    <w:rPr>
      <w:b/>
      <w:bCs/>
    </w:rPr>
  </w:style>
  <w:style w:type="character" w:customStyle="1" w:styleId="apple-converted-space">
    <w:name w:val="apple-converted-space"/>
    <w:basedOn w:val="DefaultParagraphFont"/>
    <w:rsid w:val="00C858C9"/>
  </w:style>
  <w:style w:type="character" w:customStyle="1" w:styleId="content-section">
    <w:name w:val="content-section"/>
    <w:basedOn w:val="DefaultParagraphFont"/>
    <w:rsid w:val="00C858C9"/>
  </w:style>
  <w:style w:type="character" w:styleId="Emphasis">
    <w:name w:val="Emphasis"/>
    <w:basedOn w:val="DefaultParagraphFont"/>
    <w:uiPriority w:val="20"/>
    <w:qFormat/>
    <w:rsid w:val="00C80ADB"/>
    <w:rPr>
      <w:i/>
      <w:iCs/>
    </w:rPr>
  </w:style>
  <w:style w:type="character" w:styleId="FollowedHyperlink">
    <w:name w:val="FollowedHyperlink"/>
    <w:basedOn w:val="DefaultParagraphFont"/>
    <w:uiPriority w:val="99"/>
    <w:semiHidden/>
    <w:unhideWhenUsed/>
    <w:rsid w:val="002618EE"/>
    <w:rPr>
      <w:color w:val="954F72" w:themeColor="followedHyperlink"/>
      <w:u w:val="single"/>
    </w:rPr>
  </w:style>
  <w:style w:type="table" w:styleId="LightShading">
    <w:name w:val="Light Shading"/>
    <w:basedOn w:val="TableNormal"/>
    <w:uiPriority w:val="60"/>
    <w:rsid w:val="0038779D"/>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61D46"/>
    <w:rPr>
      <w:color w:val="808080"/>
    </w:rPr>
  </w:style>
  <w:style w:type="paragraph" w:styleId="Bibliography">
    <w:name w:val="Bibliography"/>
    <w:basedOn w:val="Normal"/>
    <w:next w:val="Normal"/>
    <w:uiPriority w:val="37"/>
    <w:unhideWhenUsed/>
    <w:rsid w:val="00F778EC"/>
    <w:pPr>
      <w:tabs>
        <w:tab w:val="left" w:pos="380"/>
      </w:tabs>
      <w:spacing w:after="240"/>
      <w:ind w:left="384" w:hanging="384"/>
    </w:pPr>
  </w:style>
  <w:style w:type="character" w:styleId="CommentReference">
    <w:name w:val="annotation reference"/>
    <w:basedOn w:val="DefaultParagraphFont"/>
    <w:uiPriority w:val="99"/>
    <w:semiHidden/>
    <w:unhideWhenUsed/>
    <w:rsid w:val="009B6E1B"/>
    <w:rPr>
      <w:sz w:val="16"/>
      <w:szCs w:val="16"/>
    </w:rPr>
  </w:style>
  <w:style w:type="paragraph" w:styleId="CommentText">
    <w:name w:val="annotation text"/>
    <w:basedOn w:val="Normal"/>
    <w:link w:val="CommentTextChar"/>
    <w:uiPriority w:val="99"/>
    <w:semiHidden/>
    <w:unhideWhenUsed/>
    <w:rsid w:val="009B6E1B"/>
    <w:rPr>
      <w:sz w:val="20"/>
      <w:szCs w:val="20"/>
    </w:rPr>
  </w:style>
  <w:style w:type="character" w:customStyle="1" w:styleId="CommentTextChar">
    <w:name w:val="Comment Text Char"/>
    <w:basedOn w:val="DefaultParagraphFont"/>
    <w:link w:val="CommentText"/>
    <w:uiPriority w:val="99"/>
    <w:semiHidden/>
    <w:rsid w:val="009B6E1B"/>
    <w:rPr>
      <w:sz w:val="20"/>
      <w:szCs w:val="20"/>
    </w:rPr>
  </w:style>
  <w:style w:type="paragraph" w:styleId="CommentSubject">
    <w:name w:val="annotation subject"/>
    <w:basedOn w:val="CommentText"/>
    <w:next w:val="CommentText"/>
    <w:link w:val="CommentSubjectChar"/>
    <w:uiPriority w:val="99"/>
    <w:semiHidden/>
    <w:unhideWhenUsed/>
    <w:rsid w:val="009B6E1B"/>
    <w:rPr>
      <w:b/>
      <w:bCs/>
    </w:rPr>
  </w:style>
  <w:style w:type="character" w:customStyle="1" w:styleId="CommentSubjectChar">
    <w:name w:val="Comment Subject Char"/>
    <w:basedOn w:val="CommentTextChar"/>
    <w:link w:val="CommentSubject"/>
    <w:uiPriority w:val="99"/>
    <w:semiHidden/>
    <w:rsid w:val="009B6E1B"/>
    <w:rPr>
      <w:b/>
      <w:bCs/>
      <w:sz w:val="20"/>
      <w:szCs w:val="20"/>
    </w:rPr>
  </w:style>
  <w:style w:type="character" w:customStyle="1" w:styleId="Heading1Char">
    <w:name w:val="Heading 1 Char"/>
    <w:basedOn w:val="DefaultParagraphFont"/>
    <w:link w:val="Heading1"/>
    <w:uiPriority w:val="9"/>
    <w:rsid w:val="00CF46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4635"/>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7E5C7B"/>
    <w:rPr>
      <w:color w:val="605E5C"/>
      <w:shd w:val="clear" w:color="auto" w:fill="E1DFDD"/>
    </w:rPr>
  </w:style>
  <w:style w:type="paragraph" w:styleId="Revision">
    <w:name w:val="Revision"/>
    <w:hidden/>
    <w:uiPriority w:val="99"/>
    <w:semiHidden/>
    <w:rsid w:val="006F3EA5"/>
  </w:style>
  <w:style w:type="paragraph" w:styleId="BalloonText">
    <w:name w:val="Balloon Text"/>
    <w:basedOn w:val="Normal"/>
    <w:link w:val="BalloonTextChar"/>
    <w:uiPriority w:val="99"/>
    <w:semiHidden/>
    <w:unhideWhenUsed/>
    <w:rsid w:val="00CB3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5B"/>
    <w:rPr>
      <w:rFonts w:ascii="Segoe UI" w:hAnsi="Segoe UI" w:cs="Segoe UI"/>
      <w:sz w:val="18"/>
      <w:szCs w:val="18"/>
    </w:rPr>
  </w:style>
  <w:style w:type="table" w:customStyle="1" w:styleId="TableGrid1">
    <w:name w:val="Table Grid1"/>
    <w:basedOn w:val="TableNormal"/>
    <w:next w:val="TableGrid"/>
    <w:uiPriority w:val="39"/>
    <w:rsid w:val="00771AB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4052">
      <w:bodyDiv w:val="1"/>
      <w:marLeft w:val="0"/>
      <w:marRight w:val="0"/>
      <w:marTop w:val="0"/>
      <w:marBottom w:val="0"/>
      <w:divBdr>
        <w:top w:val="none" w:sz="0" w:space="0" w:color="auto"/>
        <w:left w:val="none" w:sz="0" w:space="0" w:color="auto"/>
        <w:bottom w:val="none" w:sz="0" w:space="0" w:color="auto"/>
        <w:right w:val="none" w:sz="0" w:space="0" w:color="auto"/>
      </w:divBdr>
    </w:div>
    <w:div w:id="108357806">
      <w:bodyDiv w:val="1"/>
      <w:marLeft w:val="0"/>
      <w:marRight w:val="0"/>
      <w:marTop w:val="0"/>
      <w:marBottom w:val="0"/>
      <w:divBdr>
        <w:top w:val="none" w:sz="0" w:space="0" w:color="auto"/>
        <w:left w:val="none" w:sz="0" w:space="0" w:color="auto"/>
        <w:bottom w:val="none" w:sz="0" w:space="0" w:color="auto"/>
        <w:right w:val="none" w:sz="0" w:space="0" w:color="auto"/>
      </w:divBdr>
    </w:div>
    <w:div w:id="140730112">
      <w:bodyDiv w:val="1"/>
      <w:marLeft w:val="0"/>
      <w:marRight w:val="0"/>
      <w:marTop w:val="0"/>
      <w:marBottom w:val="0"/>
      <w:divBdr>
        <w:top w:val="none" w:sz="0" w:space="0" w:color="auto"/>
        <w:left w:val="none" w:sz="0" w:space="0" w:color="auto"/>
        <w:bottom w:val="none" w:sz="0" w:space="0" w:color="auto"/>
        <w:right w:val="none" w:sz="0" w:space="0" w:color="auto"/>
      </w:divBdr>
    </w:div>
    <w:div w:id="203099349">
      <w:bodyDiv w:val="1"/>
      <w:marLeft w:val="0"/>
      <w:marRight w:val="0"/>
      <w:marTop w:val="0"/>
      <w:marBottom w:val="0"/>
      <w:divBdr>
        <w:top w:val="none" w:sz="0" w:space="0" w:color="auto"/>
        <w:left w:val="none" w:sz="0" w:space="0" w:color="auto"/>
        <w:bottom w:val="none" w:sz="0" w:space="0" w:color="auto"/>
        <w:right w:val="none" w:sz="0" w:space="0" w:color="auto"/>
      </w:divBdr>
    </w:div>
    <w:div w:id="208566611">
      <w:bodyDiv w:val="1"/>
      <w:marLeft w:val="0"/>
      <w:marRight w:val="0"/>
      <w:marTop w:val="0"/>
      <w:marBottom w:val="0"/>
      <w:divBdr>
        <w:top w:val="none" w:sz="0" w:space="0" w:color="auto"/>
        <w:left w:val="none" w:sz="0" w:space="0" w:color="auto"/>
        <w:bottom w:val="none" w:sz="0" w:space="0" w:color="auto"/>
        <w:right w:val="none" w:sz="0" w:space="0" w:color="auto"/>
      </w:divBdr>
    </w:div>
    <w:div w:id="243806886">
      <w:bodyDiv w:val="1"/>
      <w:marLeft w:val="0"/>
      <w:marRight w:val="0"/>
      <w:marTop w:val="0"/>
      <w:marBottom w:val="0"/>
      <w:divBdr>
        <w:top w:val="none" w:sz="0" w:space="0" w:color="auto"/>
        <w:left w:val="none" w:sz="0" w:space="0" w:color="auto"/>
        <w:bottom w:val="none" w:sz="0" w:space="0" w:color="auto"/>
        <w:right w:val="none" w:sz="0" w:space="0" w:color="auto"/>
      </w:divBdr>
      <w:divsChild>
        <w:div w:id="397096227">
          <w:marLeft w:val="1267"/>
          <w:marRight w:val="0"/>
          <w:marTop w:val="0"/>
          <w:marBottom w:val="0"/>
          <w:divBdr>
            <w:top w:val="none" w:sz="0" w:space="0" w:color="auto"/>
            <w:left w:val="none" w:sz="0" w:space="0" w:color="auto"/>
            <w:bottom w:val="none" w:sz="0" w:space="0" w:color="auto"/>
            <w:right w:val="none" w:sz="0" w:space="0" w:color="auto"/>
          </w:divBdr>
        </w:div>
        <w:div w:id="401173599">
          <w:marLeft w:val="547"/>
          <w:marRight w:val="0"/>
          <w:marTop w:val="0"/>
          <w:marBottom w:val="0"/>
          <w:divBdr>
            <w:top w:val="none" w:sz="0" w:space="0" w:color="auto"/>
            <w:left w:val="none" w:sz="0" w:space="0" w:color="auto"/>
            <w:bottom w:val="none" w:sz="0" w:space="0" w:color="auto"/>
            <w:right w:val="none" w:sz="0" w:space="0" w:color="auto"/>
          </w:divBdr>
        </w:div>
        <w:div w:id="746456668">
          <w:marLeft w:val="446"/>
          <w:marRight w:val="0"/>
          <w:marTop w:val="0"/>
          <w:marBottom w:val="0"/>
          <w:divBdr>
            <w:top w:val="none" w:sz="0" w:space="0" w:color="auto"/>
            <w:left w:val="none" w:sz="0" w:space="0" w:color="auto"/>
            <w:bottom w:val="none" w:sz="0" w:space="0" w:color="auto"/>
            <w:right w:val="none" w:sz="0" w:space="0" w:color="auto"/>
          </w:divBdr>
        </w:div>
        <w:div w:id="1311179187">
          <w:marLeft w:val="446"/>
          <w:marRight w:val="0"/>
          <w:marTop w:val="0"/>
          <w:marBottom w:val="0"/>
          <w:divBdr>
            <w:top w:val="none" w:sz="0" w:space="0" w:color="auto"/>
            <w:left w:val="none" w:sz="0" w:space="0" w:color="auto"/>
            <w:bottom w:val="none" w:sz="0" w:space="0" w:color="auto"/>
            <w:right w:val="none" w:sz="0" w:space="0" w:color="auto"/>
          </w:divBdr>
        </w:div>
        <w:div w:id="1944336125">
          <w:marLeft w:val="1267"/>
          <w:marRight w:val="0"/>
          <w:marTop w:val="0"/>
          <w:marBottom w:val="0"/>
          <w:divBdr>
            <w:top w:val="none" w:sz="0" w:space="0" w:color="auto"/>
            <w:left w:val="none" w:sz="0" w:space="0" w:color="auto"/>
            <w:bottom w:val="none" w:sz="0" w:space="0" w:color="auto"/>
            <w:right w:val="none" w:sz="0" w:space="0" w:color="auto"/>
          </w:divBdr>
        </w:div>
        <w:div w:id="2005549246">
          <w:marLeft w:val="1267"/>
          <w:marRight w:val="0"/>
          <w:marTop w:val="0"/>
          <w:marBottom w:val="0"/>
          <w:divBdr>
            <w:top w:val="none" w:sz="0" w:space="0" w:color="auto"/>
            <w:left w:val="none" w:sz="0" w:space="0" w:color="auto"/>
            <w:bottom w:val="none" w:sz="0" w:space="0" w:color="auto"/>
            <w:right w:val="none" w:sz="0" w:space="0" w:color="auto"/>
          </w:divBdr>
        </w:div>
      </w:divsChild>
    </w:div>
    <w:div w:id="288172077">
      <w:bodyDiv w:val="1"/>
      <w:marLeft w:val="0"/>
      <w:marRight w:val="0"/>
      <w:marTop w:val="0"/>
      <w:marBottom w:val="0"/>
      <w:divBdr>
        <w:top w:val="none" w:sz="0" w:space="0" w:color="auto"/>
        <w:left w:val="none" w:sz="0" w:space="0" w:color="auto"/>
        <w:bottom w:val="none" w:sz="0" w:space="0" w:color="auto"/>
        <w:right w:val="none" w:sz="0" w:space="0" w:color="auto"/>
      </w:divBdr>
      <w:divsChild>
        <w:div w:id="781143610">
          <w:marLeft w:val="446"/>
          <w:marRight w:val="0"/>
          <w:marTop w:val="0"/>
          <w:marBottom w:val="0"/>
          <w:divBdr>
            <w:top w:val="none" w:sz="0" w:space="0" w:color="auto"/>
            <w:left w:val="none" w:sz="0" w:space="0" w:color="auto"/>
            <w:bottom w:val="none" w:sz="0" w:space="0" w:color="auto"/>
            <w:right w:val="none" w:sz="0" w:space="0" w:color="auto"/>
          </w:divBdr>
        </w:div>
        <w:div w:id="916673414">
          <w:marLeft w:val="2707"/>
          <w:marRight w:val="0"/>
          <w:marTop w:val="0"/>
          <w:marBottom w:val="0"/>
          <w:divBdr>
            <w:top w:val="none" w:sz="0" w:space="0" w:color="auto"/>
            <w:left w:val="none" w:sz="0" w:space="0" w:color="auto"/>
            <w:bottom w:val="none" w:sz="0" w:space="0" w:color="auto"/>
            <w:right w:val="none" w:sz="0" w:space="0" w:color="auto"/>
          </w:divBdr>
        </w:div>
        <w:div w:id="1280723125">
          <w:marLeft w:val="2707"/>
          <w:marRight w:val="0"/>
          <w:marTop w:val="0"/>
          <w:marBottom w:val="0"/>
          <w:divBdr>
            <w:top w:val="none" w:sz="0" w:space="0" w:color="auto"/>
            <w:left w:val="none" w:sz="0" w:space="0" w:color="auto"/>
            <w:bottom w:val="none" w:sz="0" w:space="0" w:color="auto"/>
            <w:right w:val="none" w:sz="0" w:space="0" w:color="auto"/>
          </w:divBdr>
        </w:div>
        <w:div w:id="1540364157">
          <w:marLeft w:val="2707"/>
          <w:marRight w:val="0"/>
          <w:marTop w:val="0"/>
          <w:marBottom w:val="0"/>
          <w:divBdr>
            <w:top w:val="none" w:sz="0" w:space="0" w:color="auto"/>
            <w:left w:val="none" w:sz="0" w:space="0" w:color="auto"/>
            <w:bottom w:val="none" w:sz="0" w:space="0" w:color="auto"/>
            <w:right w:val="none" w:sz="0" w:space="0" w:color="auto"/>
          </w:divBdr>
        </w:div>
        <w:div w:id="1848405906">
          <w:marLeft w:val="446"/>
          <w:marRight w:val="0"/>
          <w:marTop w:val="0"/>
          <w:marBottom w:val="0"/>
          <w:divBdr>
            <w:top w:val="none" w:sz="0" w:space="0" w:color="auto"/>
            <w:left w:val="none" w:sz="0" w:space="0" w:color="auto"/>
            <w:bottom w:val="none" w:sz="0" w:space="0" w:color="auto"/>
            <w:right w:val="none" w:sz="0" w:space="0" w:color="auto"/>
          </w:divBdr>
        </w:div>
        <w:div w:id="2067529915">
          <w:marLeft w:val="547"/>
          <w:marRight w:val="0"/>
          <w:marTop w:val="0"/>
          <w:marBottom w:val="0"/>
          <w:divBdr>
            <w:top w:val="none" w:sz="0" w:space="0" w:color="auto"/>
            <w:left w:val="none" w:sz="0" w:space="0" w:color="auto"/>
            <w:bottom w:val="none" w:sz="0" w:space="0" w:color="auto"/>
            <w:right w:val="none" w:sz="0" w:space="0" w:color="auto"/>
          </w:divBdr>
        </w:div>
      </w:divsChild>
    </w:div>
    <w:div w:id="379980986">
      <w:bodyDiv w:val="1"/>
      <w:marLeft w:val="0"/>
      <w:marRight w:val="0"/>
      <w:marTop w:val="0"/>
      <w:marBottom w:val="0"/>
      <w:divBdr>
        <w:top w:val="none" w:sz="0" w:space="0" w:color="auto"/>
        <w:left w:val="none" w:sz="0" w:space="0" w:color="auto"/>
        <w:bottom w:val="none" w:sz="0" w:space="0" w:color="auto"/>
        <w:right w:val="none" w:sz="0" w:space="0" w:color="auto"/>
      </w:divBdr>
      <w:divsChild>
        <w:div w:id="972907961">
          <w:marLeft w:val="0"/>
          <w:marRight w:val="0"/>
          <w:marTop w:val="240"/>
          <w:marBottom w:val="0"/>
          <w:divBdr>
            <w:top w:val="single" w:sz="6" w:space="12" w:color="auto"/>
            <w:left w:val="none" w:sz="0" w:space="0" w:color="auto"/>
            <w:bottom w:val="none" w:sz="0" w:space="0" w:color="auto"/>
            <w:right w:val="none" w:sz="0" w:space="0" w:color="auto"/>
          </w:divBdr>
        </w:div>
        <w:div w:id="1438988563">
          <w:marLeft w:val="0"/>
          <w:marRight w:val="0"/>
          <w:marTop w:val="0"/>
          <w:marBottom w:val="0"/>
          <w:divBdr>
            <w:top w:val="none" w:sz="0" w:space="0" w:color="auto"/>
            <w:left w:val="none" w:sz="0" w:space="0" w:color="auto"/>
            <w:bottom w:val="none" w:sz="0" w:space="0" w:color="auto"/>
            <w:right w:val="none" w:sz="0" w:space="0" w:color="auto"/>
          </w:divBdr>
        </w:div>
      </w:divsChild>
    </w:div>
    <w:div w:id="416368032">
      <w:bodyDiv w:val="1"/>
      <w:marLeft w:val="0"/>
      <w:marRight w:val="0"/>
      <w:marTop w:val="0"/>
      <w:marBottom w:val="0"/>
      <w:divBdr>
        <w:top w:val="none" w:sz="0" w:space="0" w:color="auto"/>
        <w:left w:val="none" w:sz="0" w:space="0" w:color="auto"/>
        <w:bottom w:val="none" w:sz="0" w:space="0" w:color="auto"/>
        <w:right w:val="none" w:sz="0" w:space="0" w:color="auto"/>
      </w:divBdr>
    </w:div>
    <w:div w:id="461964271">
      <w:bodyDiv w:val="1"/>
      <w:marLeft w:val="0"/>
      <w:marRight w:val="0"/>
      <w:marTop w:val="0"/>
      <w:marBottom w:val="0"/>
      <w:divBdr>
        <w:top w:val="none" w:sz="0" w:space="0" w:color="auto"/>
        <w:left w:val="none" w:sz="0" w:space="0" w:color="auto"/>
        <w:bottom w:val="none" w:sz="0" w:space="0" w:color="auto"/>
        <w:right w:val="none" w:sz="0" w:space="0" w:color="auto"/>
      </w:divBdr>
    </w:div>
    <w:div w:id="514615031">
      <w:bodyDiv w:val="1"/>
      <w:marLeft w:val="0"/>
      <w:marRight w:val="0"/>
      <w:marTop w:val="0"/>
      <w:marBottom w:val="0"/>
      <w:divBdr>
        <w:top w:val="none" w:sz="0" w:space="0" w:color="auto"/>
        <w:left w:val="none" w:sz="0" w:space="0" w:color="auto"/>
        <w:bottom w:val="none" w:sz="0" w:space="0" w:color="auto"/>
        <w:right w:val="none" w:sz="0" w:space="0" w:color="auto"/>
      </w:divBdr>
      <w:divsChild>
        <w:div w:id="84690650">
          <w:marLeft w:val="446"/>
          <w:marRight w:val="0"/>
          <w:marTop w:val="0"/>
          <w:marBottom w:val="0"/>
          <w:divBdr>
            <w:top w:val="none" w:sz="0" w:space="0" w:color="auto"/>
            <w:left w:val="none" w:sz="0" w:space="0" w:color="auto"/>
            <w:bottom w:val="none" w:sz="0" w:space="0" w:color="auto"/>
            <w:right w:val="none" w:sz="0" w:space="0" w:color="auto"/>
          </w:divBdr>
        </w:div>
        <w:div w:id="95255293">
          <w:marLeft w:val="446"/>
          <w:marRight w:val="0"/>
          <w:marTop w:val="0"/>
          <w:marBottom w:val="0"/>
          <w:divBdr>
            <w:top w:val="none" w:sz="0" w:space="0" w:color="auto"/>
            <w:left w:val="none" w:sz="0" w:space="0" w:color="auto"/>
            <w:bottom w:val="none" w:sz="0" w:space="0" w:color="auto"/>
            <w:right w:val="none" w:sz="0" w:space="0" w:color="auto"/>
          </w:divBdr>
        </w:div>
        <w:div w:id="912813844">
          <w:marLeft w:val="446"/>
          <w:marRight w:val="0"/>
          <w:marTop w:val="0"/>
          <w:marBottom w:val="0"/>
          <w:divBdr>
            <w:top w:val="none" w:sz="0" w:space="0" w:color="auto"/>
            <w:left w:val="none" w:sz="0" w:space="0" w:color="auto"/>
            <w:bottom w:val="none" w:sz="0" w:space="0" w:color="auto"/>
            <w:right w:val="none" w:sz="0" w:space="0" w:color="auto"/>
          </w:divBdr>
        </w:div>
        <w:div w:id="1133138843">
          <w:marLeft w:val="446"/>
          <w:marRight w:val="0"/>
          <w:marTop w:val="0"/>
          <w:marBottom w:val="0"/>
          <w:divBdr>
            <w:top w:val="none" w:sz="0" w:space="0" w:color="auto"/>
            <w:left w:val="none" w:sz="0" w:space="0" w:color="auto"/>
            <w:bottom w:val="none" w:sz="0" w:space="0" w:color="auto"/>
            <w:right w:val="none" w:sz="0" w:space="0" w:color="auto"/>
          </w:divBdr>
        </w:div>
        <w:div w:id="1523014633">
          <w:marLeft w:val="446"/>
          <w:marRight w:val="0"/>
          <w:marTop w:val="0"/>
          <w:marBottom w:val="0"/>
          <w:divBdr>
            <w:top w:val="none" w:sz="0" w:space="0" w:color="auto"/>
            <w:left w:val="none" w:sz="0" w:space="0" w:color="auto"/>
            <w:bottom w:val="none" w:sz="0" w:space="0" w:color="auto"/>
            <w:right w:val="none" w:sz="0" w:space="0" w:color="auto"/>
          </w:divBdr>
        </w:div>
        <w:div w:id="1843735552">
          <w:marLeft w:val="446"/>
          <w:marRight w:val="0"/>
          <w:marTop w:val="0"/>
          <w:marBottom w:val="0"/>
          <w:divBdr>
            <w:top w:val="none" w:sz="0" w:space="0" w:color="auto"/>
            <w:left w:val="none" w:sz="0" w:space="0" w:color="auto"/>
            <w:bottom w:val="none" w:sz="0" w:space="0" w:color="auto"/>
            <w:right w:val="none" w:sz="0" w:space="0" w:color="auto"/>
          </w:divBdr>
        </w:div>
      </w:divsChild>
    </w:div>
    <w:div w:id="589971041">
      <w:bodyDiv w:val="1"/>
      <w:marLeft w:val="0"/>
      <w:marRight w:val="0"/>
      <w:marTop w:val="0"/>
      <w:marBottom w:val="0"/>
      <w:divBdr>
        <w:top w:val="none" w:sz="0" w:space="0" w:color="auto"/>
        <w:left w:val="none" w:sz="0" w:space="0" w:color="auto"/>
        <w:bottom w:val="none" w:sz="0" w:space="0" w:color="auto"/>
        <w:right w:val="none" w:sz="0" w:space="0" w:color="auto"/>
      </w:divBdr>
    </w:div>
    <w:div w:id="639846191">
      <w:bodyDiv w:val="1"/>
      <w:marLeft w:val="0"/>
      <w:marRight w:val="0"/>
      <w:marTop w:val="0"/>
      <w:marBottom w:val="0"/>
      <w:divBdr>
        <w:top w:val="none" w:sz="0" w:space="0" w:color="auto"/>
        <w:left w:val="none" w:sz="0" w:space="0" w:color="auto"/>
        <w:bottom w:val="none" w:sz="0" w:space="0" w:color="auto"/>
        <w:right w:val="none" w:sz="0" w:space="0" w:color="auto"/>
      </w:divBdr>
    </w:div>
    <w:div w:id="672799944">
      <w:bodyDiv w:val="1"/>
      <w:marLeft w:val="0"/>
      <w:marRight w:val="0"/>
      <w:marTop w:val="0"/>
      <w:marBottom w:val="0"/>
      <w:divBdr>
        <w:top w:val="none" w:sz="0" w:space="0" w:color="auto"/>
        <w:left w:val="none" w:sz="0" w:space="0" w:color="auto"/>
        <w:bottom w:val="none" w:sz="0" w:space="0" w:color="auto"/>
        <w:right w:val="none" w:sz="0" w:space="0" w:color="auto"/>
      </w:divBdr>
      <w:divsChild>
        <w:div w:id="642391493">
          <w:marLeft w:val="360"/>
          <w:marRight w:val="0"/>
          <w:marTop w:val="200"/>
          <w:marBottom w:val="0"/>
          <w:divBdr>
            <w:top w:val="none" w:sz="0" w:space="0" w:color="auto"/>
            <w:left w:val="none" w:sz="0" w:space="0" w:color="auto"/>
            <w:bottom w:val="none" w:sz="0" w:space="0" w:color="auto"/>
            <w:right w:val="none" w:sz="0" w:space="0" w:color="auto"/>
          </w:divBdr>
        </w:div>
        <w:div w:id="1171989582">
          <w:marLeft w:val="360"/>
          <w:marRight w:val="0"/>
          <w:marTop w:val="200"/>
          <w:marBottom w:val="0"/>
          <w:divBdr>
            <w:top w:val="none" w:sz="0" w:space="0" w:color="auto"/>
            <w:left w:val="none" w:sz="0" w:space="0" w:color="auto"/>
            <w:bottom w:val="none" w:sz="0" w:space="0" w:color="auto"/>
            <w:right w:val="none" w:sz="0" w:space="0" w:color="auto"/>
          </w:divBdr>
        </w:div>
      </w:divsChild>
    </w:div>
    <w:div w:id="802775674">
      <w:bodyDiv w:val="1"/>
      <w:marLeft w:val="0"/>
      <w:marRight w:val="0"/>
      <w:marTop w:val="0"/>
      <w:marBottom w:val="0"/>
      <w:divBdr>
        <w:top w:val="none" w:sz="0" w:space="0" w:color="auto"/>
        <w:left w:val="none" w:sz="0" w:space="0" w:color="auto"/>
        <w:bottom w:val="none" w:sz="0" w:space="0" w:color="auto"/>
        <w:right w:val="none" w:sz="0" w:space="0" w:color="auto"/>
      </w:divBdr>
      <w:divsChild>
        <w:div w:id="1459295926">
          <w:marLeft w:val="0"/>
          <w:marRight w:val="0"/>
          <w:marTop w:val="0"/>
          <w:marBottom w:val="0"/>
          <w:divBdr>
            <w:top w:val="none" w:sz="0" w:space="0" w:color="auto"/>
            <w:left w:val="none" w:sz="0" w:space="0" w:color="auto"/>
            <w:bottom w:val="none" w:sz="0" w:space="0" w:color="auto"/>
            <w:right w:val="none" w:sz="0" w:space="0" w:color="auto"/>
          </w:divBdr>
        </w:div>
        <w:div w:id="1485701231">
          <w:marLeft w:val="0"/>
          <w:marRight w:val="0"/>
          <w:marTop w:val="240"/>
          <w:marBottom w:val="0"/>
          <w:divBdr>
            <w:top w:val="single" w:sz="6" w:space="12" w:color="auto"/>
            <w:left w:val="none" w:sz="0" w:space="0" w:color="auto"/>
            <w:bottom w:val="none" w:sz="0" w:space="0" w:color="auto"/>
            <w:right w:val="none" w:sz="0" w:space="0" w:color="auto"/>
          </w:divBdr>
        </w:div>
      </w:divsChild>
    </w:div>
    <w:div w:id="858005267">
      <w:bodyDiv w:val="1"/>
      <w:marLeft w:val="0"/>
      <w:marRight w:val="0"/>
      <w:marTop w:val="0"/>
      <w:marBottom w:val="0"/>
      <w:divBdr>
        <w:top w:val="none" w:sz="0" w:space="0" w:color="auto"/>
        <w:left w:val="none" w:sz="0" w:space="0" w:color="auto"/>
        <w:bottom w:val="none" w:sz="0" w:space="0" w:color="auto"/>
        <w:right w:val="none" w:sz="0" w:space="0" w:color="auto"/>
      </w:divBdr>
    </w:div>
    <w:div w:id="943149506">
      <w:bodyDiv w:val="1"/>
      <w:marLeft w:val="0"/>
      <w:marRight w:val="0"/>
      <w:marTop w:val="0"/>
      <w:marBottom w:val="0"/>
      <w:divBdr>
        <w:top w:val="none" w:sz="0" w:space="0" w:color="auto"/>
        <w:left w:val="none" w:sz="0" w:space="0" w:color="auto"/>
        <w:bottom w:val="none" w:sz="0" w:space="0" w:color="auto"/>
        <w:right w:val="none" w:sz="0" w:space="0" w:color="auto"/>
      </w:divBdr>
    </w:div>
    <w:div w:id="979847206">
      <w:bodyDiv w:val="1"/>
      <w:marLeft w:val="0"/>
      <w:marRight w:val="0"/>
      <w:marTop w:val="0"/>
      <w:marBottom w:val="0"/>
      <w:divBdr>
        <w:top w:val="none" w:sz="0" w:space="0" w:color="auto"/>
        <w:left w:val="none" w:sz="0" w:space="0" w:color="auto"/>
        <w:bottom w:val="none" w:sz="0" w:space="0" w:color="auto"/>
        <w:right w:val="none" w:sz="0" w:space="0" w:color="auto"/>
      </w:divBdr>
      <w:divsChild>
        <w:div w:id="777918454">
          <w:marLeft w:val="360"/>
          <w:marRight w:val="0"/>
          <w:marTop w:val="200"/>
          <w:marBottom w:val="0"/>
          <w:divBdr>
            <w:top w:val="none" w:sz="0" w:space="0" w:color="auto"/>
            <w:left w:val="none" w:sz="0" w:space="0" w:color="auto"/>
            <w:bottom w:val="none" w:sz="0" w:space="0" w:color="auto"/>
            <w:right w:val="none" w:sz="0" w:space="0" w:color="auto"/>
          </w:divBdr>
        </w:div>
        <w:div w:id="2141458008">
          <w:marLeft w:val="360"/>
          <w:marRight w:val="0"/>
          <w:marTop w:val="200"/>
          <w:marBottom w:val="0"/>
          <w:divBdr>
            <w:top w:val="none" w:sz="0" w:space="0" w:color="auto"/>
            <w:left w:val="none" w:sz="0" w:space="0" w:color="auto"/>
            <w:bottom w:val="none" w:sz="0" w:space="0" w:color="auto"/>
            <w:right w:val="none" w:sz="0" w:space="0" w:color="auto"/>
          </w:divBdr>
        </w:div>
      </w:divsChild>
    </w:div>
    <w:div w:id="1037776704">
      <w:bodyDiv w:val="1"/>
      <w:marLeft w:val="0"/>
      <w:marRight w:val="0"/>
      <w:marTop w:val="0"/>
      <w:marBottom w:val="0"/>
      <w:divBdr>
        <w:top w:val="none" w:sz="0" w:space="0" w:color="auto"/>
        <w:left w:val="none" w:sz="0" w:space="0" w:color="auto"/>
        <w:bottom w:val="none" w:sz="0" w:space="0" w:color="auto"/>
        <w:right w:val="none" w:sz="0" w:space="0" w:color="auto"/>
      </w:divBdr>
    </w:div>
    <w:div w:id="1087770266">
      <w:bodyDiv w:val="1"/>
      <w:marLeft w:val="0"/>
      <w:marRight w:val="0"/>
      <w:marTop w:val="0"/>
      <w:marBottom w:val="0"/>
      <w:divBdr>
        <w:top w:val="none" w:sz="0" w:space="0" w:color="auto"/>
        <w:left w:val="none" w:sz="0" w:space="0" w:color="auto"/>
        <w:bottom w:val="none" w:sz="0" w:space="0" w:color="auto"/>
        <w:right w:val="none" w:sz="0" w:space="0" w:color="auto"/>
      </w:divBdr>
    </w:div>
    <w:div w:id="1101879192">
      <w:bodyDiv w:val="1"/>
      <w:marLeft w:val="0"/>
      <w:marRight w:val="0"/>
      <w:marTop w:val="0"/>
      <w:marBottom w:val="0"/>
      <w:divBdr>
        <w:top w:val="none" w:sz="0" w:space="0" w:color="auto"/>
        <w:left w:val="none" w:sz="0" w:space="0" w:color="auto"/>
        <w:bottom w:val="none" w:sz="0" w:space="0" w:color="auto"/>
        <w:right w:val="none" w:sz="0" w:space="0" w:color="auto"/>
      </w:divBdr>
    </w:div>
    <w:div w:id="1122187984">
      <w:bodyDiv w:val="1"/>
      <w:marLeft w:val="0"/>
      <w:marRight w:val="0"/>
      <w:marTop w:val="0"/>
      <w:marBottom w:val="0"/>
      <w:divBdr>
        <w:top w:val="none" w:sz="0" w:space="0" w:color="auto"/>
        <w:left w:val="none" w:sz="0" w:space="0" w:color="auto"/>
        <w:bottom w:val="none" w:sz="0" w:space="0" w:color="auto"/>
        <w:right w:val="none" w:sz="0" w:space="0" w:color="auto"/>
      </w:divBdr>
    </w:div>
    <w:div w:id="1159229072">
      <w:bodyDiv w:val="1"/>
      <w:marLeft w:val="0"/>
      <w:marRight w:val="0"/>
      <w:marTop w:val="0"/>
      <w:marBottom w:val="0"/>
      <w:divBdr>
        <w:top w:val="none" w:sz="0" w:space="0" w:color="auto"/>
        <w:left w:val="none" w:sz="0" w:space="0" w:color="auto"/>
        <w:bottom w:val="none" w:sz="0" w:space="0" w:color="auto"/>
        <w:right w:val="none" w:sz="0" w:space="0" w:color="auto"/>
      </w:divBdr>
    </w:div>
    <w:div w:id="1183319493">
      <w:bodyDiv w:val="1"/>
      <w:marLeft w:val="0"/>
      <w:marRight w:val="0"/>
      <w:marTop w:val="0"/>
      <w:marBottom w:val="0"/>
      <w:divBdr>
        <w:top w:val="none" w:sz="0" w:space="0" w:color="auto"/>
        <w:left w:val="none" w:sz="0" w:space="0" w:color="auto"/>
        <w:bottom w:val="none" w:sz="0" w:space="0" w:color="auto"/>
        <w:right w:val="none" w:sz="0" w:space="0" w:color="auto"/>
      </w:divBdr>
    </w:div>
    <w:div w:id="1378696371">
      <w:bodyDiv w:val="1"/>
      <w:marLeft w:val="0"/>
      <w:marRight w:val="0"/>
      <w:marTop w:val="0"/>
      <w:marBottom w:val="0"/>
      <w:divBdr>
        <w:top w:val="none" w:sz="0" w:space="0" w:color="auto"/>
        <w:left w:val="none" w:sz="0" w:space="0" w:color="auto"/>
        <w:bottom w:val="none" w:sz="0" w:space="0" w:color="auto"/>
        <w:right w:val="none" w:sz="0" w:space="0" w:color="auto"/>
      </w:divBdr>
    </w:div>
    <w:div w:id="1409766012">
      <w:bodyDiv w:val="1"/>
      <w:marLeft w:val="0"/>
      <w:marRight w:val="0"/>
      <w:marTop w:val="0"/>
      <w:marBottom w:val="0"/>
      <w:divBdr>
        <w:top w:val="none" w:sz="0" w:space="0" w:color="auto"/>
        <w:left w:val="none" w:sz="0" w:space="0" w:color="auto"/>
        <w:bottom w:val="none" w:sz="0" w:space="0" w:color="auto"/>
        <w:right w:val="none" w:sz="0" w:space="0" w:color="auto"/>
      </w:divBdr>
    </w:div>
    <w:div w:id="1466314342">
      <w:bodyDiv w:val="1"/>
      <w:marLeft w:val="0"/>
      <w:marRight w:val="0"/>
      <w:marTop w:val="0"/>
      <w:marBottom w:val="0"/>
      <w:divBdr>
        <w:top w:val="none" w:sz="0" w:space="0" w:color="auto"/>
        <w:left w:val="none" w:sz="0" w:space="0" w:color="auto"/>
        <w:bottom w:val="none" w:sz="0" w:space="0" w:color="auto"/>
        <w:right w:val="none" w:sz="0" w:space="0" w:color="auto"/>
      </w:divBdr>
    </w:div>
    <w:div w:id="1606379713">
      <w:bodyDiv w:val="1"/>
      <w:marLeft w:val="0"/>
      <w:marRight w:val="0"/>
      <w:marTop w:val="0"/>
      <w:marBottom w:val="0"/>
      <w:divBdr>
        <w:top w:val="none" w:sz="0" w:space="0" w:color="auto"/>
        <w:left w:val="none" w:sz="0" w:space="0" w:color="auto"/>
        <w:bottom w:val="none" w:sz="0" w:space="0" w:color="auto"/>
        <w:right w:val="none" w:sz="0" w:space="0" w:color="auto"/>
      </w:divBdr>
    </w:div>
    <w:div w:id="1714381311">
      <w:bodyDiv w:val="1"/>
      <w:marLeft w:val="0"/>
      <w:marRight w:val="0"/>
      <w:marTop w:val="0"/>
      <w:marBottom w:val="0"/>
      <w:divBdr>
        <w:top w:val="none" w:sz="0" w:space="0" w:color="auto"/>
        <w:left w:val="none" w:sz="0" w:space="0" w:color="auto"/>
        <w:bottom w:val="none" w:sz="0" w:space="0" w:color="auto"/>
        <w:right w:val="none" w:sz="0" w:space="0" w:color="auto"/>
      </w:divBdr>
      <w:divsChild>
        <w:div w:id="1221357902">
          <w:marLeft w:val="446"/>
          <w:marRight w:val="0"/>
          <w:marTop w:val="0"/>
          <w:marBottom w:val="0"/>
          <w:divBdr>
            <w:top w:val="none" w:sz="0" w:space="0" w:color="auto"/>
            <w:left w:val="none" w:sz="0" w:space="0" w:color="auto"/>
            <w:bottom w:val="none" w:sz="0" w:space="0" w:color="auto"/>
            <w:right w:val="none" w:sz="0" w:space="0" w:color="auto"/>
          </w:divBdr>
        </w:div>
        <w:div w:id="1926643077">
          <w:marLeft w:val="446"/>
          <w:marRight w:val="0"/>
          <w:marTop w:val="0"/>
          <w:marBottom w:val="0"/>
          <w:divBdr>
            <w:top w:val="none" w:sz="0" w:space="0" w:color="auto"/>
            <w:left w:val="none" w:sz="0" w:space="0" w:color="auto"/>
            <w:bottom w:val="none" w:sz="0" w:space="0" w:color="auto"/>
            <w:right w:val="none" w:sz="0" w:space="0" w:color="auto"/>
          </w:divBdr>
        </w:div>
      </w:divsChild>
    </w:div>
    <w:div w:id="1807042921">
      <w:bodyDiv w:val="1"/>
      <w:marLeft w:val="0"/>
      <w:marRight w:val="0"/>
      <w:marTop w:val="0"/>
      <w:marBottom w:val="0"/>
      <w:divBdr>
        <w:top w:val="none" w:sz="0" w:space="0" w:color="auto"/>
        <w:left w:val="none" w:sz="0" w:space="0" w:color="auto"/>
        <w:bottom w:val="none" w:sz="0" w:space="0" w:color="auto"/>
        <w:right w:val="none" w:sz="0" w:space="0" w:color="auto"/>
      </w:divBdr>
    </w:div>
    <w:div w:id="1816723760">
      <w:bodyDiv w:val="1"/>
      <w:marLeft w:val="0"/>
      <w:marRight w:val="0"/>
      <w:marTop w:val="0"/>
      <w:marBottom w:val="0"/>
      <w:divBdr>
        <w:top w:val="none" w:sz="0" w:space="0" w:color="auto"/>
        <w:left w:val="none" w:sz="0" w:space="0" w:color="auto"/>
        <w:bottom w:val="none" w:sz="0" w:space="0" w:color="auto"/>
        <w:right w:val="none" w:sz="0" w:space="0" w:color="auto"/>
      </w:divBdr>
    </w:div>
    <w:div w:id="1917083427">
      <w:bodyDiv w:val="1"/>
      <w:marLeft w:val="0"/>
      <w:marRight w:val="0"/>
      <w:marTop w:val="0"/>
      <w:marBottom w:val="0"/>
      <w:divBdr>
        <w:top w:val="none" w:sz="0" w:space="0" w:color="auto"/>
        <w:left w:val="none" w:sz="0" w:space="0" w:color="auto"/>
        <w:bottom w:val="none" w:sz="0" w:space="0" w:color="auto"/>
        <w:right w:val="none" w:sz="0" w:space="0" w:color="auto"/>
      </w:divBdr>
    </w:div>
    <w:div w:id="1966810781">
      <w:bodyDiv w:val="1"/>
      <w:marLeft w:val="0"/>
      <w:marRight w:val="0"/>
      <w:marTop w:val="0"/>
      <w:marBottom w:val="0"/>
      <w:divBdr>
        <w:top w:val="none" w:sz="0" w:space="0" w:color="auto"/>
        <w:left w:val="none" w:sz="0" w:space="0" w:color="auto"/>
        <w:bottom w:val="none" w:sz="0" w:space="0" w:color="auto"/>
        <w:right w:val="none" w:sz="0" w:space="0" w:color="auto"/>
      </w:divBdr>
    </w:div>
    <w:div w:id="2041584547">
      <w:bodyDiv w:val="1"/>
      <w:marLeft w:val="0"/>
      <w:marRight w:val="0"/>
      <w:marTop w:val="0"/>
      <w:marBottom w:val="0"/>
      <w:divBdr>
        <w:top w:val="none" w:sz="0" w:space="0" w:color="auto"/>
        <w:left w:val="none" w:sz="0" w:space="0" w:color="auto"/>
        <w:bottom w:val="none" w:sz="0" w:space="0" w:color="auto"/>
        <w:right w:val="none" w:sz="0" w:space="0" w:color="auto"/>
      </w:divBdr>
    </w:div>
    <w:div w:id="214735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tiff"/><Relationship Id="rId4" Type="http://schemas.microsoft.com/office/2007/relationships/stylesWithEffects" Target="stylesWithEffect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2B79-4209-4E3A-A64B-01037079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19581</Words>
  <Characters>111612</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Islim</dc:creator>
  <cp:lastModifiedBy>Ward Three (LTHTR)</cp:lastModifiedBy>
  <cp:revision>2</cp:revision>
  <dcterms:created xsi:type="dcterms:W3CDTF">2023-05-28T08:10:00Z</dcterms:created>
  <dcterms:modified xsi:type="dcterms:W3CDTF">2023-05-28T08:10:00Z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id="svD7oopY"/&gt;&lt;style id="http://www.zotero.org/styles/vancouver" locale="en-GB" hasBibliography="1" bibliographyStyleHasBeenSet="1"/&gt;&lt;prefs&gt;&lt;pref name="fieldType" value="Field"/&gt;&lt;/prefs&gt;&lt;/data&gt;</vt:lpwstr>
  </property>
</Properties>
</file>