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02E6" w:rsidRDefault="002702E6">
      <w:pPr>
        <w:tabs>
          <w:tab w:val="center" w:pos="4513"/>
        </w:tabs>
        <w:rPr>
          <w:b/>
        </w:rPr>
      </w:pPr>
    </w:p>
    <w:p w14:paraId="00000002" w14:textId="77777777" w:rsidR="002702E6" w:rsidRDefault="00AD5F64">
      <w:pPr>
        <w:tabs>
          <w:tab w:val="center" w:pos="4513"/>
        </w:tabs>
      </w:pPr>
      <w:r>
        <w:rPr>
          <w:b/>
        </w:rPr>
        <w:t xml:space="preserve">A comparison of computed tomography (CT) and magnetic resonance imaging (MRI) in the diagnosis of non-accidental head injury (NAHI) in paediatrics: a narrative review of evidence </w:t>
      </w:r>
    </w:p>
    <w:p w14:paraId="00000003" w14:textId="77777777" w:rsidR="002702E6" w:rsidRDefault="002702E6">
      <w:pPr>
        <w:tabs>
          <w:tab w:val="left" w:pos="-720"/>
        </w:tabs>
      </w:pPr>
    </w:p>
    <w:p w14:paraId="00000004" w14:textId="77777777" w:rsidR="002702E6" w:rsidRDefault="00AD5F64">
      <w:pPr>
        <w:tabs>
          <w:tab w:val="left" w:pos="-720"/>
        </w:tabs>
        <w:spacing w:line="360" w:lineRule="auto"/>
      </w:pPr>
      <w:r>
        <w:rPr>
          <w:b/>
        </w:rPr>
        <w:t>Abstract</w:t>
      </w:r>
      <w:r>
        <w:t xml:space="preserve"> </w:t>
      </w:r>
    </w:p>
    <w:p w14:paraId="00000005" w14:textId="77777777" w:rsidR="002702E6" w:rsidRDefault="002702E6">
      <w:pPr>
        <w:tabs>
          <w:tab w:val="left" w:pos="-720"/>
        </w:tabs>
        <w:spacing w:line="360" w:lineRule="auto"/>
      </w:pPr>
    </w:p>
    <w:p w14:paraId="00000006" w14:textId="03B508BA" w:rsidR="002702E6" w:rsidRDefault="00AD5F64">
      <w:pPr>
        <w:tabs>
          <w:tab w:val="left" w:pos="-720"/>
        </w:tabs>
        <w:spacing w:line="360" w:lineRule="auto"/>
      </w:pPr>
      <w:r>
        <w:rPr>
          <w:b/>
        </w:rPr>
        <w:t xml:space="preserve">Background: </w:t>
      </w:r>
      <w:r>
        <w:t>NAHI has a 25% mortality rate, emphasising the significance of correct diagnoses. CT is currently the ‘gold standard’ imaging modality, however peer-reviewed literature presents conflicting effectiveness data. This narrative review of literature investigates the sensitivity and specificity values of CT and MRI in the diagnosis of NAHI.</w:t>
      </w:r>
    </w:p>
    <w:p w14:paraId="00000007" w14:textId="77777777" w:rsidR="002702E6" w:rsidRDefault="00AD5F64">
      <w:pPr>
        <w:tabs>
          <w:tab w:val="left" w:pos="-72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 xml:space="preserve">Method: </w:t>
      </w:r>
      <w:r>
        <w:rPr>
          <w:rFonts w:ascii="Calibri" w:eastAsia="Calibri" w:hAnsi="Calibri" w:cs="Calibri"/>
          <w:sz w:val="24"/>
          <w:szCs w:val="24"/>
        </w:rPr>
        <w:t>A narrative review methodology was used to conduct this study. A variety of search terms were used to gather papers; literature was obtained from various databases.  Inclusion and exclusion criteria helped to focus the review e.g; literature from the last 10 years. A relevant CASP tool was used to review the literature quality and a PRISMA flowchart shows the article filtration details. Articles passing the rigorous selection procedure were of high quality and relevance to this study's aims.</w:t>
      </w:r>
    </w:p>
    <w:p w14:paraId="00000008" w14:textId="77777777" w:rsidR="002702E6" w:rsidRDefault="00AD5F64">
      <w:pPr>
        <w:tabs>
          <w:tab w:val="left" w:pos="-72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 xml:space="preserve">Results: </w:t>
      </w:r>
      <w:r>
        <w:rPr>
          <w:rFonts w:ascii="Calibri" w:eastAsia="Calibri" w:hAnsi="Calibri" w:cs="Calibri"/>
          <w:sz w:val="24"/>
          <w:szCs w:val="24"/>
        </w:rPr>
        <w:t xml:space="preserve">Only five papers were eligible for the review. The ranges of CT sensitivity were 25.00%-87.00%, specificity 85.70%-100.00%. </w:t>
      </w:r>
      <w:proofErr w:type="spellStart"/>
      <w:r>
        <w:rPr>
          <w:rFonts w:ascii="Calibri" w:eastAsia="Calibri" w:hAnsi="Calibri" w:cs="Calibri"/>
          <w:sz w:val="24"/>
          <w:szCs w:val="24"/>
        </w:rPr>
        <w:t>rMRI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GRE sequence sensitivity was 83.20%-92.80%, specificity 90.40%-96.20%. CT with </w:t>
      </w:r>
      <w:proofErr w:type="spellStart"/>
      <w:r>
        <w:rPr>
          <w:rFonts w:ascii="Calibri" w:eastAsia="Calibri" w:hAnsi="Calibri" w:cs="Calibri"/>
          <w:sz w:val="24"/>
          <w:szCs w:val="24"/>
        </w:rPr>
        <w:t>rMRI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GRE sequence showed </w:t>
      </w:r>
      <w:proofErr w:type="gramStart"/>
      <w:r>
        <w:rPr>
          <w:rFonts w:ascii="Calibri" w:eastAsia="Calibri" w:hAnsi="Calibri" w:cs="Calibri"/>
          <w:sz w:val="24"/>
          <w:szCs w:val="24"/>
        </w:rPr>
        <w:t>a  sensitivity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86.00%-90.00%. </w:t>
      </w:r>
    </w:p>
    <w:p w14:paraId="00000009" w14:textId="77777777" w:rsidR="002702E6" w:rsidRDefault="00AD5F64">
      <w:pPr>
        <w:tabs>
          <w:tab w:val="left" w:pos="-72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>Conclusion:</w:t>
      </w: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review concluded that </w:t>
      </w:r>
      <w:proofErr w:type="spellStart"/>
      <w:r>
        <w:rPr>
          <w:rFonts w:ascii="Calibri" w:eastAsia="Calibri" w:hAnsi="Calibri" w:cs="Calibri"/>
          <w:sz w:val="24"/>
          <w:szCs w:val="24"/>
        </w:rPr>
        <w:t>rMRI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scans with a GRE sequence increased sensitivity. However due to the lack of papers available further research is required before these findings can influence future practice. </w:t>
      </w:r>
    </w:p>
    <w:p w14:paraId="0000000A" w14:textId="77777777" w:rsidR="002702E6" w:rsidRDefault="002702E6">
      <w:pPr>
        <w:tabs>
          <w:tab w:val="left" w:pos="-72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</w:p>
    <w:sectPr w:rsidR="002702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E6"/>
    <w:rsid w:val="002702E6"/>
    <w:rsid w:val="00AD5F64"/>
    <w:rsid w:val="00BA6A98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48DA"/>
  <w15:docId w15:val="{4C15109B-AFBC-4DA2-9129-4896F2E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D5F6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Mackay</dc:creator>
  <cp:lastModifiedBy>Stuart Mackay</cp:lastModifiedBy>
  <cp:revision>3</cp:revision>
  <dcterms:created xsi:type="dcterms:W3CDTF">2023-06-16T11:28:00Z</dcterms:created>
  <dcterms:modified xsi:type="dcterms:W3CDTF">2023-06-16T11:29:00Z</dcterms:modified>
</cp:coreProperties>
</file>