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4165F" w14:textId="3181E49C" w:rsidR="001A1AC1" w:rsidRDefault="004B0D5E" w:rsidP="007517F1">
      <w:pPr>
        <w:jc w:val="center"/>
        <w:rPr>
          <w:b/>
          <w:bCs/>
          <w:sz w:val="28"/>
          <w:szCs w:val="28"/>
        </w:rPr>
      </w:pPr>
      <w:r>
        <w:rPr>
          <w:b/>
          <w:bCs/>
          <w:sz w:val="28"/>
          <w:szCs w:val="28"/>
        </w:rPr>
        <w:t xml:space="preserve">Child Sexual Exploitation and the Adoption of </w:t>
      </w:r>
      <w:r w:rsidR="001E26FC" w:rsidRPr="004375C5">
        <w:rPr>
          <w:b/>
          <w:bCs/>
          <w:sz w:val="28"/>
          <w:szCs w:val="28"/>
        </w:rPr>
        <w:t>P</w:t>
      </w:r>
      <w:r w:rsidR="001A1AC1" w:rsidRPr="004375C5">
        <w:rPr>
          <w:b/>
          <w:bCs/>
          <w:sz w:val="28"/>
          <w:szCs w:val="28"/>
        </w:rPr>
        <w:t xml:space="preserve">ublic </w:t>
      </w:r>
      <w:r>
        <w:rPr>
          <w:b/>
          <w:bCs/>
          <w:sz w:val="28"/>
          <w:szCs w:val="28"/>
        </w:rPr>
        <w:t>H</w:t>
      </w:r>
      <w:r w:rsidR="001A1AC1" w:rsidRPr="004375C5">
        <w:rPr>
          <w:b/>
          <w:bCs/>
          <w:sz w:val="28"/>
          <w:szCs w:val="28"/>
        </w:rPr>
        <w:t xml:space="preserve">ealth </w:t>
      </w:r>
      <w:r>
        <w:rPr>
          <w:b/>
          <w:bCs/>
          <w:sz w:val="28"/>
          <w:szCs w:val="28"/>
        </w:rPr>
        <w:t>A</w:t>
      </w:r>
      <w:r w:rsidR="001A1AC1" w:rsidRPr="004375C5">
        <w:rPr>
          <w:b/>
          <w:bCs/>
          <w:sz w:val="28"/>
          <w:szCs w:val="28"/>
        </w:rPr>
        <w:t>pproach</w:t>
      </w:r>
      <w:r w:rsidR="00B83EDE" w:rsidRPr="004375C5">
        <w:rPr>
          <w:b/>
          <w:bCs/>
          <w:sz w:val="28"/>
          <w:szCs w:val="28"/>
        </w:rPr>
        <w:t xml:space="preserve">es </w:t>
      </w:r>
      <w:r w:rsidR="006A4E0C" w:rsidRPr="004375C5">
        <w:rPr>
          <w:b/>
          <w:bCs/>
          <w:sz w:val="28"/>
          <w:szCs w:val="28"/>
        </w:rPr>
        <w:t xml:space="preserve">to </w:t>
      </w:r>
      <w:r>
        <w:rPr>
          <w:b/>
          <w:bCs/>
          <w:sz w:val="28"/>
          <w:szCs w:val="28"/>
        </w:rPr>
        <w:t>P</w:t>
      </w:r>
      <w:r w:rsidR="006A4E0C" w:rsidRPr="004375C5">
        <w:rPr>
          <w:b/>
          <w:bCs/>
          <w:sz w:val="28"/>
          <w:szCs w:val="28"/>
        </w:rPr>
        <w:t>revention</w:t>
      </w:r>
      <w:r w:rsidR="001A1AC1" w:rsidRPr="004375C5">
        <w:rPr>
          <w:b/>
          <w:bCs/>
          <w:sz w:val="28"/>
          <w:szCs w:val="28"/>
        </w:rPr>
        <w:t xml:space="preserve">: </w:t>
      </w:r>
      <w:r>
        <w:rPr>
          <w:b/>
          <w:bCs/>
          <w:sz w:val="28"/>
          <w:szCs w:val="28"/>
        </w:rPr>
        <w:t>Critical R</w:t>
      </w:r>
      <w:r w:rsidR="004375C5">
        <w:rPr>
          <w:b/>
          <w:bCs/>
          <w:sz w:val="28"/>
          <w:szCs w:val="28"/>
        </w:rPr>
        <w:t xml:space="preserve">eflections on </w:t>
      </w:r>
      <w:r>
        <w:rPr>
          <w:b/>
          <w:bCs/>
          <w:sz w:val="28"/>
          <w:szCs w:val="28"/>
        </w:rPr>
        <w:t>Evolving Processes and Practices</w:t>
      </w:r>
    </w:p>
    <w:p w14:paraId="3901A015" w14:textId="77777777" w:rsidR="007517F1" w:rsidRDefault="007517F1" w:rsidP="007517F1">
      <w:pPr>
        <w:jc w:val="center"/>
        <w:rPr>
          <w:b/>
          <w:bCs/>
          <w:sz w:val="28"/>
          <w:szCs w:val="28"/>
        </w:rPr>
      </w:pPr>
    </w:p>
    <w:p w14:paraId="21831A8F" w14:textId="22330BF5" w:rsidR="007517F1" w:rsidRDefault="007517F1" w:rsidP="007517F1">
      <w:pPr>
        <w:jc w:val="center"/>
        <w:rPr>
          <w:b/>
          <w:bCs/>
          <w:sz w:val="28"/>
          <w:szCs w:val="28"/>
        </w:rPr>
      </w:pPr>
      <w:r>
        <w:rPr>
          <w:b/>
          <w:bCs/>
          <w:sz w:val="28"/>
          <w:szCs w:val="28"/>
        </w:rPr>
        <w:t>Samantha Weston</w:t>
      </w:r>
      <w:r w:rsidR="00CD5C1B">
        <w:rPr>
          <w:rStyle w:val="FootnoteReference"/>
          <w:b/>
          <w:bCs/>
          <w:sz w:val="28"/>
          <w:szCs w:val="28"/>
        </w:rPr>
        <w:footnoteReference w:id="1"/>
      </w:r>
      <w:r>
        <w:rPr>
          <w:b/>
          <w:bCs/>
          <w:sz w:val="28"/>
          <w:szCs w:val="28"/>
        </w:rPr>
        <w:t xml:space="preserve"> and Gabe Mythen</w:t>
      </w:r>
      <w:r w:rsidR="001D7560">
        <w:rPr>
          <w:rStyle w:val="FootnoteReference"/>
          <w:b/>
          <w:bCs/>
          <w:sz w:val="28"/>
          <w:szCs w:val="28"/>
        </w:rPr>
        <w:footnoteReference w:id="2"/>
      </w:r>
    </w:p>
    <w:p w14:paraId="07F944AA" w14:textId="77777777" w:rsidR="001A1AC1" w:rsidRDefault="001A1AC1" w:rsidP="008A5F7B">
      <w:pPr>
        <w:rPr>
          <w:b/>
          <w:bCs/>
        </w:rPr>
      </w:pPr>
    </w:p>
    <w:p w14:paraId="37632E0C" w14:textId="4E161A40" w:rsidR="001C265B" w:rsidRPr="001C265B" w:rsidRDefault="001C265B" w:rsidP="008A5F7B">
      <w:pPr>
        <w:spacing w:line="480" w:lineRule="auto"/>
        <w:jc w:val="both"/>
        <w:rPr>
          <w:b/>
          <w:bCs/>
        </w:rPr>
      </w:pPr>
      <w:r w:rsidRPr="008A5F7B">
        <w:rPr>
          <w:b/>
          <w:bCs/>
        </w:rPr>
        <w:t>Abstract</w:t>
      </w:r>
    </w:p>
    <w:p w14:paraId="1681BAA8" w14:textId="3B6E4EA9" w:rsidR="00805B91" w:rsidRDefault="001C265B" w:rsidP="00805B91">
      <w:pPr>
        <w:autoSpaceDE w:val="0"/>
        <w:autoSpaceDN w:val="0"/>
        <w:adjustRightInd w:val="0"/>
        <w:spacing w:line="480" w:lineRule="auto"/>
        <w:jc w:val="both"/>
      </w:pPr>
      <w:r w:rsidRPr="008A5F7B">
        <w:t>In recent years, the use of public health approaches to address complex social problems</w:t>
      </w:r>
      <w:r w:rsidR="00DE5C71">
        <w:t xml:space="preserve"> </w:t>
      </w:r>
      <w:r w:rsidRPr="008A5F7B">
        <w:t>ha</w:t>
      </w:r>
      <w:r w:rsidR="00353F3A">
        <w:t>ve</w:t>
      </w:r>
      <w:r w:rsidR="00DE5C71">
        <w:t xml:space="preserve"> </w:t>
      </w:r>
      <w:r w:rsidRPr="008A5F7B">
        <w:t>gained popularity. In England and Wales, the rise in low-volume</w:t>
      </w:r>
      <w:r w:rsidR="00DE5C71">
        <w:t>,</w:t>
      </w:r>
      <w:r w:rsidRPr="008A5F7B">
        <w:t xml:space="preserve"> high-harm</w:t>
      </w:r>
      <w:r w:rsidR="00E54DB5" w:rsidRPr="008A5F7B">
        <w:t xml:space="preserve"> </w:t>
      </w:r>
      <w:r w:rsidRPr="008A5F7B">
        <w:t xml:space="preserve">crime has </w:t>
      </w:r>
      <w:r w:rsidR="00DE5C71">
        <w:t xml:space="preserve">accelerated </w:t>
      </w:r>
      <w:r w:rsidRPr="008A5F7B">
        <w:t xml:space="preserve">this shift, with calls for public health </w:t>
      </w:r>
      <w:r w:rsidR="00DE5C71">
        <w:t xml:space="preserve">interventions </w:t>
      </w:r>
      <w:r w:rsidRPr="008A5F7B">
        <w:t>to</w:t>
      </w:r>
      <w:r w:rsidR="00DE5C71">
        <w:t xml:space="preserve"> tackle</w:t>
      </w:r>
      <w:r w:rsidRPr="008A5F7B">
        <w:t xml:space="preserve"> </w:t>
      </w:r>
      <w:r w:rsidRPr="0063244C">
        <w:t>knife</w:t>
      </w:r>
      <w:r w:rsidR="007B659B">
        <w:t>-</w:t>
      </w:r>
      <w:r w:rsidRPr="0063244C">
        <w:t>crime</w:t>
      </w:r>
      <w:r w:rsidR="00DE5C71">
        <w:t xml:space="preserve">, extremism and sexual violence </w:t>
      </w:r>
      <w:r w:rsidRPr="0063244C">
        <w:t>made</w:t>
      </w:r>
      <w:r w:rsidR="00E54DB5" w:rsidRPr="0063244C">
        <w:t xml:space="preserve"> </w:t>
      </w:r>
      <w:r w:rsidRPr="0063244C">
        <w:t xml:space="preserve">by politicians, </w:t>
      </w:r>
      <w:r w:rsidR="00DE5C71">
        <w:t xml:space="preserve">policy makers, welfare workers and the </w:t>
      </w:r>
      <w:r w:rsidRPr="0063244C">
        <w:t xml:space="preserve">police </w:t>
      </w:r>
      <w:r w:rsidR="00DE5C71">
        <w:t>service</w:t>
      </w:r>
      <w:r w:rsidRPr="0063244C">
        <w:t xml:space="preserve">. </w:t>
      </w:r>
      <w:r w:rsidR="00DE5C71">
        <w:t xml:space="preserve">Notwithstanding such appeals, </w:t>
      </w:r>
      <w:r w:rsidR="00541800">
        <w:t xml:space="preserve">how </w:t>
      </w:r>
      <w:r w:rsidR="00E54DB5" w:rsidRPr="008A5F7B">
        <w:t xml:space="preserve">public health approaches are </w:t>
      </w:r>
      <w:r w:rsidR="00DE5C71">
        <w:t xml:space="preserve">both </w:t>
      </w:r>
      <w:r w:rsidR="00E54DB5" w:rsidRPr="008A5F7B">
        <w:t xml:space="preserve">operationalised </w:t>
      </w:r>
      <w:r w:rsidR="00DE5C71">
        <w:t xml:space="preserve">and impact </w:t>
      </w:r>
      <w:r w:rsidR="00E54DB5" w:rsidRPr="008A5F7B">
        <w:t xml:space="preserve">remain largely unknown. Drawing on findings from a qualitative study focused on </w:t>
      </w:r>
      <w:r w:rsidR="00E54DB5">
        <w:t xml:space="preserve">the implementation of a specific initiative in the UK designed to reduce the risk of Child Sexual Exploitation (CSE) amongst young people, this article attempts to address </w:t>
      </w:r>
      <w:r w:rsidR="00DE5C71">
        <w:t xml:space="preserve">tangible </w:t>
      </w:r>
      <w:r w:rsidR="00E54DB5">
        <w:t>gap</w:t>
      </w:r>
      <w:r w:rsidR="007B659B">
        <w:t>s in th</w:t>
      </w:r>
      <w:r w:rsidR="00DE5C71">
        <w:t>ese two key</w:t>
      </w:r>
      <w:r w:rsidR="007B659B">
        <w:t xml:space="preserve"> area</w:t>
      </w:r>
      <w:r w:rsidR="00DE5C71">
        <w:t>s</w:t>
      </w:r>
      <w:r w:rsidR="00E54DB5">
        <w:t xml:space="preserve"> </w:t>
      </w:r>
      <w:r w:rsidR="007B659B">
        <w:t>of</w:t>
      </w:r>
      <w:r w:rsidR="00E54DB5">
        <w:t xml:space="preserve"> knowledge. </w:t>
      </w:r>
      <w:r w:rsidR="002C416D">
        <w:t xml:space="preserve">Although </w:t>
      </w:r>
      <w:r w:rsidR="00331584">
        <w:t xml:space="preserve">generally supportive of </w:t>
      </w:r>
      <w:r w:rsidR="002C416D">
        <w:t>a public health approach to CSE</w:t>
      </w:r>
      <w:r w:rsidR="00331584">
        <w:t xml:space="preserve">, </w:t>
      </w:r>
      <w:r w:rsidR="00805B91">
        <w:t xml:space="preserve">an analysis of </w:t>
      </w:r>
      <w:r w:rsidR="00180BE2">
        <w:t>in-</w:t>
      </w:r>
      <w:r w:rsidR="00E54DB5">
        <w:t>depth interviews with members of a multi-agency team</w:t>
      </w:r>
      <w:r w:rsidR="00805B91">
        <w:t xml:space="preserve"> reveals </w:t>
      </w:r>
      <w:proofErr w:type="gramStart"/>
      <w:r w:rsidR="00805B91">
        <w:t>a number of</w:t>
      </w:r>
      <w:proofErr w:type="gramEnd"/>
      <w:r w:rsidR="00805B91">
        <w:t xml:space="preserve"> </w:t>
      </w:r>
      <w:r w:rsidR="00180BE2">
        <w:t xml:space="preserve">quandaries and thorny issues </w:t>
      </w:r>
      <w:r w:rsidR="004D0ABA">
        <w:t xml:space="preserve">when implemented within a specific </w:t>
      </w:r>
      <w:r w:rsidR="007B0F4C">
        <w:t xml:space="preserve">policing and </w:t>
      </w:r>
      <w:r w:rsidR="004D0ABA">
        <w:t xml:space="preserve">criminal justice context. </w:t>
      </w:r>
    </w:p>
    <w:p w14:paraId="576D3E24" w14:textId="77777777" w:rsidR="00CB1EBF" w:rsidRDefault="00CB1EBF" w:rsidP="0046273A">
      <w:pPr>
        <w:rPr>
          <w:b/>
          <w:bCs/>
        </w:rPr>
      </w:pPr>
    </w:p>
    <w:p w14:paraId="16825372" w14:textId="1D518EB9" w:rsidR="00BD473B" w:rsidRPr="00BD473B" w:rsidRDefault="00BD473B" w:rsidP="0046273A">
      <w:pPr>
        <w:rPr>
          <w:b/>
          <w:bCs/>
        </w:rPr>
      </w:pPr>
      <w:r>
        <w:rPr>
          <w:b/>
          <w:bCs/>
        </w:rPr>
        <w:t xml:space="preserve">Introduction </w:t>
      </w:r>
    </w:p>
    <w:p w14:paraId="38974338" w14:textId="6D364D81" w:rsidR="001063B1" w:rsidRDefault="001063B1" w:rsidP="001063B1">
      <w:pPr>
        <w:rPr>
          <w:shd w:val="clear" w:color="auto" w:fill="FFFFFF"/>
        </w:rPr>
      </w:pPr>
    </w:p>
    <w:p w14:paraId="579501F2" w14:textId="3FA41C50" w:rsidR="001F36B6" w:rsidRDefault="002B6F11" w:rsidP="004375C5">
      <w:pPr>
        <w:spacing w:line="480" w:lineRule="auto"/>
        <w:jc w:val="both"/>
        <w:rPr>
          <w:color w:val="000000" w:themeColor="text1"/>
        </w:rPr>
      </w:pPr>
      <w:r>
        <w:t>In the UK and elsewhere</w:t>
      </w:r>
      <w:r w:rsidR="004375C5">
        <w:t>, p</w:t>
      </w:r>
      <w:r w:rsidR="003542BF" w:rsidRPr="009422C2">
        <w:t xml:space="preserve">ublic health approaches to crime prevention </w:t>
      </w:r>
      <w:r w:rsidR="00F0506E">
        <w:t xml:space="preserve">have become </w:t>
      </w:r>
      <w:r w:rsidR="004C33DE">
        <w:t xml:space="preserve">increasingly </w:t>
      </w:r>
      <w:r w:rsidR="00F0506E">
        <w:t xml:space="preserve">popular and </w:t>
      </w:r>
      <w:r w:rsidR="00F52D7E">
        <w:t xml:space="preserve">have recently been </w:t>
      </w:r>
      <w:r w:rsidR="003542BF" w:rsidRPr="009422C2">
        <w:t>applied across a</w:t>
      </w:r>
      <w:r w:rsidR="003542BF">
        <w:t xml:space="preserve"> range of</w:t>
      </w:r>
      <w:r>
        <w:t xml:space="preserve"> areas of social concern</w:t>
      </w:r>
      <w:r w:rsidR="003542BF" w:rsidRPr="009422C2">
        <w:t>. Harm reduction</w:t>
      </w:r>
      <w:r w:rsidR="003542BF">
        <w:t xml:space="preserve"> methods</w:t>
      </w:r>
      <w:r w:rsidR="003542BF" w:rsidRPr="009422C2">
        <w:t xml:space="preserve"> rooted in </w:t>
      </w:r>
      <w:r w:rsidR="003542BF">
        <w:t xml:space="preserve">a </w:t>
      </w:r>
      <w:r w:rsidR="003542BF" w:rsidRPr="009422C2">
        <w:t xml:space="preserve">public health </w:t>
      </w:r>
      <w:r w:rsidR="003542BF">
        <w:t xml:space="preserve">model </w:t>
      </w:r>
      <w:r w:rsidR="00F0506E">
        <w:t xml:space="preserve">initially </w:t>
      </w:r>
      <w:r w:rsidR="003542BF">
        <w:t xml:space="preserve">became popular </w:t>
      </w:r>
      <w:r w:rsidR="003542BF" w:rsidRPr="009422C2">
        <w:t xml:space="preserve">during the 1980s for adults with substance abuse problems </w:t>
      </w:r>
      <w:r w:rsidR="004375C5" w:rsidRPr="009422C2">
        <w:t>(Newcombe, 1992; Stimson, 1992)</w:t>
      </w:r>
      <w:r w:rsidR="00F0506E">
        <w:t xml:space="preserve"> and </w:t>
      </w:r>
      <w:r w:rsidR="00244ACF">
        <w:t xml:space="preserve">have since </w:t>
      </w:r>
      <w:r w:rsidR="003542BF" w:rsidRPr="009422C2">
        <w:t>been effective in reducing morbidity among</w:t>
      </w:r>
      <w:r w:rsidR="00F0506E">
        <w:t>st</w:t>
      </w:r>
      <w:r w:rsidR="003542BF" w:rsidRPr="009422C2">
        <w:t xml:space="preserve"> </w:t>
      </w:r>
      <w:r>
        <w:t xml:space="preserve">‘at risk’ </w:t>
      </w:r>
      <w:r w:rsidR="003542BF" w:rsidRPr="009422C2">
        <w:t>populations (Stimson, 1</w:t>
      </w:r>
      <w:r w:rsidR="003542BF">
        <w:t xml:space="preserve">995; Stevens and Hughes, 2010). </w:t>
      </w:r>
      <w:r w:rsidR="00F8368B">
        <w:t>The success of h</w:t>
      </w:r>
      <w:r w:rsidR="003542BF" w:rsidRPr="009422C2">
        <w:t xml:space="preserve">arm reduction </w:t>
      </w:r>
      <w:r w:rsidR="003542BF">
        <w:t xml:space="preserve">initiatives </w:t>
      </w:r>
      <w:r w:rsidR="003542BF" w:rsidRPr="009422C2">
        <w:t>ha</w:t>
      </w:r>
      <w:r w:rsidR="00666201">
        <w:t>s</w:t>
      </w:r>
      <w:r w:rsidR="003542BF" w:rsidRPr="009422C2">
        <w:t xml:space="preserve"> </w:t>
      </w:r>
      <w:r w:rsidR="00935357">
        <w:t xml:space="preserve">also </w:t>
      </w:r>
      <w:r w:rsidR="00F8368B">
        <w:t>been observed</w:t>
      </w:r>
      <w:r w:rsidR="00A346DE">
        <w:t xml:space="preserve"> </w:t>
      </w:r>
      <w:r w:rsidR="00A67063">
        <w:lastRenderedPageBreak/>
        <w:t>in</w:t>
      </w:r>
      <w:r w:rsidR="00666201">
        <w:t xml:space="preserve"> efforts to reduce </w:t>
      </w:r>
      <w:r>
        <w:t xml:space="preserve">the risk of physical violence and </w:t>
      </w:r>
      <w:r w:rsidR="003542BF">
        <w:t xml:space="preserve">prevalence of </w:t>
      </w:r>
      <w:r w:rsidR="003542BF" w:rsidRPr="009422C2">
        <w:t>sexually transmitted diseases</w:t>
      </w:r>
      <w:r w:rsidR="00935357">
        <w:t xml:space="preserve"> </w:t>
      </w:r>
      <w:r w:rsidR="00F653AE">
        <w:t xml:space="preserve">among </w:t>
      </w:r>
      <w:r w:rsidR="00935357">
        <w:t>sex workers</w:t>
      </w:r>
      <w:r w:rsidR="00666201">
        <w:t xml:space="preserve"> </w:t>
      </w:r>
      <w:r w:rsidR="003542BF" w:rsidRPr="009422C2">
        <w:t>(</w:t>
      </w:r>
      <w:r w:rsidR="00935357" w:rsidRPr="009422C2">
        <w:t>Cusick, 2006</w:t>
      </w:r>
      <w:r w:rsidR="003542BF" w:rsidRPr="009422C2">
        <w:t xml:space="preserve">). It is of no surprise then that </w:t>
      </w:r>
      <w:r w:rsidR="003542BF">
        <w:t>strategies informed by the public health model</w:t>
      </w:r>
      <w:r w:rsidR="003542BF" w:rsidRPr="009422C2">
        <w:t xml:space="preserve"> are now being used to address issues suc</w:t>
      </w:r>
      <w:r w:rsidR="003542BF">
        <w:t xml:space="preserve">h as youth violence, </w:t>
      </w:r>
      <w:proofErr w:type="gramStart"/>
      <w:r w:rsidR="003542BF">
        <w:t>radicalisation</w:t>
      </w:r>
      <w:proofErr w:type="gramEnd"/>
      <w:r w:rsidR="003542BF">
        <w:t xml:space="preserve"> </w:t>
      </w:r>
      <w:r w:rsidR="003542BF" w:rsidRPr="009422C2">
        <w:t xml:space="preserve">and </w:t>
      </w:r>
      <w:r w:rsidR="003542BF">
        <w:t xml:space="preserve">child sexual exploitation </w:t>
      </w:r>
      <w:r w:rsidR="003542BF" w:rsidRPr="009422C2">
        <w:t>(</w:t>
      </w:r>
      <w:r w:rsidR="003542BF">
        <w:t xml:space="preserve">see </w:t>
      </w:r>
      <w:r w:rsidR="003542BF" w:rsidRPr="009422C2">
        <w:t xml:space="preserve">Levy, 2007; </w:t>
      </w:r>
      <w:proofErr w:type="spellStart"/>
      <w:r w:rsidR="003542BF" w:rsidRPr="009422C2">
        <w:t>Bhui</w:t>
      </w:r>
      <w:proofErr w:type="spellEnd"/>
      <w:r w:rsidR="003542BF" w:rsidRPr="009422C2">
        <w:t xml:space="preserve">, et al. 2012; </w:t>
      </w:r>
      <w:r w:rsidR="003542BF" w:rsidRPr="009422C2">
        <w:rPr>
          <w:color w:val="000000"/>
        </w:rPr>
        <w:t>Public Health England, 2017</w:t>
      </w:r>
      <w:r w:rsidR="003542BF" w:rsidRPr="009422C2">
        <w:t>)</w:t>
      </w:r>
      <w:r w:rsidR="00994FD9">
        <w:t xml:space="preserve">. </w:t>
      </w:r>
      <w:r w:rsidR="000B1274">
        <w:rPr>
          <w:rFonts w:eastAsia="Calibri"/>
        </w:rPr>
        <w:t>I</w:t>
      </w:r>
      <w:r w:rsidR="000B1274">
        <w:t xml:space="preserve">n </w:t>
      </w:r>
      <w:r w:rsidR="000B1274" w:rsidRPr="009422C2">
        <w:t>October 2018</w:t>
      </w:r>
      <w:r w:rsidR="000B1274">
        <w:t xml:space="preserve">, the </w:t>
      </w:r>
      <w:r w:rsidR="00935357">
        <w:t xml:space="preserve">then UK </w:t>
      </w:r>
      <w:r w:rsidR="000B1274">
        <w:t xml:space="preserve">Home </w:t>
      </w:r>
      <w:r w:rsidR="000B1274" w:rsidRPr="009422C2">
        <w:t xml:space="preserve">Secretary </w:t>
      </w:r>
      <w:r>
        <w:t xml:space="preserve">launched </w:t>
      </w:r>
      <w:r w:rsidR="000B1274">
        <w:t xml:space="preserve">a consultation process intended to inform </w:t>
      </w:r>
      <w:r w:rsidR="000B1274" w:rsidRPr="009422C2">
        <w:t>a new legal duty underpin</w:t>
      </w:r>
      <w:r w:rsidR="000B1274">
        <w:t>ned by</w:t>
      </w:r>
      <w:r w:rsidR="000B1274" w:rsidRPr="009422C2">
        <w:t xml:space="preserve"> a public health approach to tackl</w:t>
      </w:r>
      <w:r w:rsidR="000B1274">
        <w:t>e</w:t>
      </w:r>
      <w:r w:rsidR="000B1274" w:rsidRPr="009422C2">
        <w:t xml:space="preserve"> serious violence (Home Office and Javid, 2018).</w:t>
      </w:r>
      <w:r w:rsidR="00E854E6">
        <w:t xml:space="preserve"> In line with these general undercurrents, consecutive UK Government</w:t>
      </w:r>
      <w:r w:rsidR="00E854E6" w:rsidRPr="009422C2">
        <w:t xml:space="preserve"> Action Plans</w:t>
      </w:r>
      <w:r w:rsidR="00E854E6">
        <w:t xml:space="preserve"> to </w:t>
      </w:r>
      <w:r w:rsidR="008F4F51">
        <w:t xml:space="preserve">combat </w:t>
      </w:r>
      <w:r w:rsidR="00E854E6">
        <w:t xml:space="preserve">CSE </w:t>
      </w:r>
      <w:r w:rsidR="00E854E6" w:rsidRPr="009422C2">
        <w:t xml:space="preserve">have </w:t>
      </w:r>
      <w:r w:rsidR="00E854E6">
        <w:t xml:space="preserve">encouraged risk-focused preventative interventions consistent with the </w:t>
      </w:r>
      <w:r w:rsidR="00E854E6" w:rsidRPr="009422C2">
        <w:t>public health approach</w:t>
      </w:r>
      <w:r w:rsidR="00E854E6">
        <w:t xml:space="preserve"> and </w:t>
      </w:r>
      <w:r w:rsidR="008F4F51">
        <w:t xml:space="preserve">geared </w:t>
      </w:r>
      <w:r w:rsidR="00E854E6">
        <w:t xml:space="preserve">toward raising awareness of risk </w:t>
      </w:r>
      <w:r w:rsidR="00E854E6" w:rsidRPr="009422C2">
        <w:t xml:space="preserve">among young people, parents, </w:t>
      </w:r>
      <w:proofErr w:type="gramStart"/>
      <w:r w:rsidR="00E854E6" w:rsidRPr="00A2234A">
        <w:t>carers</w:t>
      </w:r>
      <w:proofErr w:type="gramEnd"/>
      <w:r w:rsidR="00E854E6" w:rsidRPr="00A2234A">
        <w:t xml:space="preserve"> and potential perpetrators</w:t>
      </w:r>
      <w:r w:rsidR="00781A85">
        <w:t xml:space="preserve"> (see Weston and Mythen, 2020)</w:t>
      </w:r>
      <w:r w:rsidR="00E854E6" w:rsidRPr="00A2234A">
        <w:t xml:space="preserve">. </w:t>
      </w:r>
      <w:r w:rsidR="00E854E6" w:rsidRPr="00A2234A">
        <w:rPr>
          <w:color w:val="000000" w:themeColor="text1"/>
        </w:rPr>
        <w:t xml:space="preserve"> </w:t>
      </w:r>
    </w:p>
    <w:p w14:paraId="13B26284" w14:textId="77777777" w:rsidR="001F36B6" w:rsidRDefault="001F36B6" w:rsidP="004375C5">
      <w:pPr>
        <w:spacing w:line="480" w:lineRule="auto"/>
        <w:jc w:val="both"/>
        <w:rPr>
          <w:color w:val="000000" w:themeColor="text1"/>
        </w:rPr>
      </w:pPr>
    </w:p>
    <w:p w14:paraId="02ACFB07" w14:textId="414466E4" w:rsidR="00723D21" w:rsidRDefault="00E854E6" w:rsidP="00B83C0B">
      <w:pPr>
        <w:spacing w:before="100" w:beforeAutospacing="1" w:after="100" w:afterAutospacing="1" w:line="480" w:lineRule="auto"/>
        <w:jc w:val="both"/>
        <w:rPr>
          <w:rFonts w:eastAsia="Calibri"/>
        </w:rPr>
      </w:pPr>
      <w:r w:rsidRPr="00A2234A">
        <w:rPr>
          <w:color w:val="000000" w:themeColor="text1"/>
        </w:rPr>
        <w:t xml:space="preserve">Within these public health frameworks, </w:t>
      </w:r>
      <w:r w:rsidR="00FA2CAA" w:rsidRPr="00A2234A">
        <w:rPr>
          <w:rFonts w:eastAsia="Calibri"/>
        </w:rPr>
        <w:t xml:space="preserve">the police </w:t>
      </w:r>
      <w:r w:rsidR="008F4F51">
        <w:rPr>
          <w:rFonts w:eastAsia="Calibri"/>
        </w:rPr>
        <w:t xml:space="preserve">service has assumed key roles in leading and directing a </w:t>
      </w:r>
      <w:r w:rsidR="00A2234A">
        <w:rPr>
          <w:rFonts w:eastAsia="Calibri"/>
        </w:rPr>
        <w:t xml:space="preserve">range </w:t>
      </w:r>
      <w:r w:rsidR="008F4F51">
        <w:rPr>
          <w:rFonts w:eastAsia="Calibri"/>
        </w:rPr>
        <w:t xml:space="preserve">of </w:t>
      </w:r>
      <w:r w:rsidR="00A2234A">
        <w:rPr>
          <w:rFonts w:eastAsia="Calibri"/>
        </w:rPr>
        <w:t>preventative activit</w:t>
      </w:r>
      <w:r w:rsidR="00781A85">
        <w:rPr>
          <w:rFonts w:eastAsia="Calibri"/>
        </w:rPr>
        <w:t>ies</w:t>
      </w:r>
      <w:r w:rsidR="008C79DE">
        <w:rPr>
          <w:rFonts w:eastAsia="Calibri"/>
        </w:rPr>
        <w:t xml:space="preserve">, </w:t>
      </w:r>
      <w:r w:rsidR="009F4481">
        <w:rPr>
          <w:rFonts w:eastAsia="Calibri"/>
        </w:rPr>
        <w:t xml:space="preserve">including working alongside partners to problem-solve, building cohesive communities, encouraging personal resilience amongst young people, improving data </w:t>
      </w:r>
      <w:proofErr w:type="gramStart"/>
      <w:r w:rsidR="009F4481">
        <w:rPr>
          <w:rFonts w:eastAsia="Calibri"/>
        </w:rPr>
        <w:t>sharing</w:t>
      </w:r>
      <w:proofErr w:type="gramEnd"/>
      <w:r w:rsidR="009F4481">
        <w:rPr>
          <w:rFonts w:eastAsia="Calibri"/>
        </w:rPr>
        <w:t xml:space="preserve"> and developing ‘whole systems’ approaches</w:t>
      </w:r>
      <w:r w:rsidR="00A2234A">
        <w:rPr>
          <w:rFonts w:eastAsia="Calibri"/>
        </w:rPr>
        <w:t xml:space="preserve"> (see Christmas and </w:t>
      </w:r>
      <w:proofErr w:type="spellStart"/>
      <w:r w:rsidR="00A2234A">
        <w:rPr>
          <w:rFonts w:eastAsia="Calibri"/>
        </w:rPr>
        <w:t>Srivstava</w:t>
      </w:r>
      <w:proofErr w:type="spellEnd"/>
      <w:r w:rsidR="00A2234A">
        <w:rPr>
          <w:rFonts w:eastAsia="Calibri"/>
        </w:rPr>
        <w:t>, 2019</w:t>
      </w:r>
      <w:r w:rsidR="003029AA">
        <w:rPr>
          <w:rFonts w:eastAsia="Calibri"/>
        </w:rPr>
        <w:t xml:space="preserve">; van Dijk, et al. </w:t>
      </w:r>
      <w:r w:rsidR="00763735">
        <w:rPr>
          <w:rFonts w:eastAsia="Calibri"/>
        </w:rPr>
        <w:t>2019</w:t>
      </w:r>
      <w:r w:rsidR="00A2234A">
        <w:rPr>
          <w:rFonts w:eastAsia="Calibri"/>
        </w:rPr>
        <w:t>).</w:t>
      </w:r>
      <w:r w:rsidR="00C90F04">
        <w:rPr>
          <w:rFonts w:eastAsia="Calibri"/>
        </w:rPr>
        <w:t xml:space="preserve"> </w:t>
      </w:r>
      <w:r w:rsidR="007C6E0E">
        <w:rPr>
          <w:rFonts w:eastAsia="Calibri"/>
        </w:rPr>
        <w:t xml:space="preserve">While </w:t>
      </w:r>
      <w:r w:rsidR="004B574C">
        <w:rPr>
          <w:rFonts w:eastAsia="Calibri"/>
        </w:rPr>
        <w:t>m</w:t>
      </w:r>
      <w:r w:rsidR="00A46A7D">
        <w:rPr>
          <w:rFonts w:eastAsia="Calibri"/>
        </w:rPr>
        <w:t xml:space="preserve">ulti-agency working </w:t>
      </w:r>
      <w:r w:rsidR="005865E8">
        <w:rPr>
          <w:rFonts w:eastAsia="Calibri"/>
        </w:rPr>
        <w:t>is</w:t>
      </w:r>
      <w:r w:rsidR="00D1017C">
        <w:rPr>
          <w:rFonts w:eastAsia="Calibri"/>
        </w:rPr>
        <w:t xml:space="preserve"> </w:t>
      </w:r>
      <w:r w:rsidR="004B574C">
        <w:rPr>
          <w:rFonts w:eastAsia="Calibri"/>
        </w:rPr>
        <w:t xml:space="preserve">necessary to address the diverse and interdisciplinary concerns of public health (Hunter and Perkins, 2012), little </w:t>
      </w:r>
      <w:r w:rsidR="00B050E7">
        <w:rPr>
          <w:rFonts w:eastAsia="Calibri"/>
        </w:rPr>
        <w:t xml:space="preserve">research has focused on </w:t>
      </w:r>
      <w:r w:rsidR="00B16593">
        <w:rPr>
          <w:rFonts w:eastAsia="Calibri"/>
        </w:rPr>
        <w:t xml:space="preserve">its </w:t>
      </w:r>
      <w:r w:rsidR="00436B62">
        <w:rPr>
          <w:rFonts w:eastAsia="Calibri"/>
        </w:rPr>
        <w:t xml:space="preserve">success within </w:t>
      </w:r>
      <w:r w:rsidR="00E93E08">
        <w:rPr>
          <w:rFonts w:eastAsia="Calibri"/>
        </w:rPr>
        <w:t xml:space="preserve">those partnerships that have a </w:t>
      </w:r>
      <w:r w:rsidR="002F660B">
        <w:rPr>
          <w:rFonts w:eastAsia="Calibri"/>
        </w:rPr>
        <w:t>criminal justice</w:t>
      </w:r>
      <w:r w:rsidR="00E93E08">
        <w:rPr>
          <w:rFonts w:eastAsia="Calibri"/>
        </w:rPr>
        <w:t xml:space="preserve"> presence</w:t>
      </w:r>
      <w:r w:rsidR="008C7B0B">
        <w:rPr>
          <w:rFonts w:eastAsia="Calibri"/>
        </w:rPr>
        <w:t xml:space="preserve"> and those </w:t>
      </w:r>
      <w:r w:rsidR="00F516CB">
        <w:rPr>
          <w:rFonts w:eastAsia="Calibri"/>
        </w:rPr>
        <w:t xml:space="preserve">that have </w:t>
      </w:r>
      <w:r w:rsidR="00DF559F">
        <w:rPr>
          <w:rFonts w:eastAsia="Calibri"/>
        </w:rPr>
        <w:t xml:space="preserve">identify </w:t>
      </w:r>
      <w:r w:rsidR="00C66A1C">
        <w:rPr>
          <w:rFonts w:eastAsia="Calibri"/>
        </w:rPr>
        <w:t xml:space="preserve">difficulties in aligning the </w:t>
      </w:r>
      <w:r w:rsidR="008C7B0B">
        <w:rPr>
          <w:rFonts w:eastAsia="Calibri"/>
        </w:rPr>
        <w:t>interests</w:t>
      </w:r>
      <w:r w:rsidR="00C66A1C">
        <w:rPr>
          <w:rFonts w:eastAsia="Calibri"/>
        </w:rPr>
        <w:t xml:space="preserve"> and priorities of agencies </w:t>
      </w:r>
      <w:r w:rsidR="0010268C">
        <w:rPr>
          <w:rFonts w:eastAsia="Calibri"/>
        </w:rPr>
        <w:t xml:space="preserve">from different </w:t>
      </w:r>
      <w:r w:rsidR="006826B1">
        <w:rPr>
          <w:rFonts w:eastAsia="Calibri"/>
        </w:rPr>
        <w:t>cultural</w:t>
      </w:r>
      <w:r w:rsidR="00817086">
        <w:rPr>
          <w:rFonts w:eastAsia="Calibri"/>
        </w:rPr>
        <w:t xml:space="preserve"> and</w:t>
      </w:r>
      <w:r w:rsidR="006826B1">
        <w:rPr>
          <w:rFonts w:eastAsia="Calibri"/>
        </w:rPr>
        <w:t xml:space="preserve"> ideological backgrounds</w:t>
      </w:r>
      <w:r w:rsidR="00817086">
        <w:rPr>
          <w:rFonts w:eastAsia="Calibri"/>
        </w:rPr>
        <w:t xml:space="preserve"> (Weston, 2014</w:t>
      </w:r>
      <w:r w:rsidR="008C7B0B">
        <w:rPr>
          <w:rFonts w:eastAsia="Calibri"/>
        </w:rPr>
        <w:t xml:space="preserve">; Davies, et al. </w:t>
      </w:r>
      <w:r w:rsidR="00050993">
        <w:rPr>
          <w:rFonts w:eastAsia="Calibri"/>
        </w:rPr>
        <w:t>2023</w:t>
      </w:r>
      <w:r w:rsidR="00817086">
        <w:rPr>
          <w:rFonts w:eastAsia="Calibri"/>
        </w:rPr>
        <w:t>)</w:t>
      </w:r>
      <w:r w:rsidR="00723D21">
        <w:rPr>
          <w:rFonts w:eastAsia="Calibri"/>
        </w:rPr>
        <w:t>.</w:t>
      </w:r>
      <w:r w:rsidR="00817086">
        <w:rPr>
          <w:rFonts w:eastAsia="Calibri"/>
        </w:rPr>
        <w:t xml:space="preserve"> </w:t>
      </w:r>
    </w:p>
    <w:p w14:paraId="41C39DFA" w14:textId="1DF563CD" w:rsidR="00DC38B7" w:rsidRDefault="00D809BD" w:rsidP="00B83C0B">
      <w:pPr>
        <w:spacing w:before="100" w:beforeAutospacing="1" w:after="100" w:afterAutospacing="1" w:line="480" w:lineRule="auto"/>
        <w:jc w:val="both"/>
        <w:rPr>
          <w:color w:val="000000" w:themeColor="text1"/>
        </w:rPr>
      </w:pPr>
      <w:r w:rsidRPr="00185D72">
        <w:rPr>
          <w:color w:val="000000" w:themeColor="text1"/>
        </w:rPr>
        <w:t xml:space="preserve">For </w:t>
      </w:r>
      <w:proofErr w:type="gramStart"/>
      <w:r w:rsidRPr="00185D72">
        <w:rPr>
          <w:color w:val="000000" w:themeColor="text1"/>
        </w:rPr>
        <w:t>policy-makers</w:t>
      </w:r>
      <w:proofErr w:type="gramEnd"/>
      <w:r w:rsidR="00267B98">
        <w:rPr>
          <w:color w:val="000000" w:themeColor="text1"/>
        </w:rPr>
        <w:t xml:space="preserve">, </w:t>
      </w:r>
      <w:r w:rsidRPr="00FC0787">
        <w:rPr>
          <w:color w:val="000000" w:themeColor="text1"/>
        </w:rPr>
        <w:t xml:space="preserve">the </w:t>
      </w:r>
      <w:r w:rsidRPr="00185D72">
        <w:rPr>
          <w:color w:val="000000" w:themeColor="text1"/>
        </w:rPr>
        <w:t xml:space="preserve">major appeal of public health </w:t>
      </w:r>
      <w:r w:rsidR="003233D7" w:rsidRPr="00FC0787">
        <w:rPr>
          <w:color w:val="000000" w:themeColor="text1"/>
        </w:rPr>
        <w:t>frameworks</w:t>
      </w:r>
      <w:r w:rsidR="00C31473" w:rsidRPr="00FC0787">
        <w:rPr>
          <w:color w:val="000000" w:themeColor="text1"/>
        </w:rPr>
        <w:t xml:space="preserve"> </w:t>
      </w:r>
      <w:r w:rsidRPr="00185D72">
        <w:rPr>
          <w:color w:val="000000" w:themeColor="text1"/>
        </w:rPr>
        <w:t xml:space="preserve">is </w:t>
      </w:r>
      <w:r w:rsidR="00C55703">
        <w:rPr>
          <w:color w:val="000000" w:themeColor="text1"/>
        </w:rPr>
        <w:t xml:space="preserve">the </w:t>
      </w:r>
      <w:r w:rsidR="002B6F11">
        <w:rPr>
          <w:color w:val="000000" w:themeColor="text1"/>
        </w:rPr>
        <w:t xml:space="preserve">promise </w:t>
      </w:r>
      <w:r w:rsidR="00C55703">
        <w:rPr>
          <w:color w:val="000000" w:themeColor="text1"/>
        </w:rPr>
        <w:t xml:space="preserve">of </w:t>
      </w:r>
      <w:r w:rsidRPr="00185D72">
        <w:rPr>
          <w:color w:val="000000" w:themeColor="text1"/>
        </w:rPr>
        <w:t>clear</w:t>
      </w:r>
      <w:r w:rsidR="00903E04" w:rsidRPr="00FC0787">
        <w:rPr>
          <w:color w:val="000000" w:themeColor="text1"/>
        </w:rPr>
        <w:t>,</w:t>
      </w:r>
      <w:r w:rsidRPr="00185D72">
        <w:rPr>
          <w:color w:val="000000" w:themeColor="text1"/>
        </w:rPr>
        <w:t xml:space="preserve"> evidence-based</w:t>
      </w:r>
      <w:r w:rsidR="00903E04" w:rsidRPr="00FC0787">
        <w:rPr>
          <w:color w:val="000000" w:themeColor="text1"/>
        </w:rPr>
        <w:t>, practical</w:t>
      </w:r>
      <w:r w:rsidRPr="00185D72">
        <w:rPr>
          <w:color w:val="000000" w:themeColor="text1"/>
        </w:rPr>
        <w:t xml:space="preserve"> steps to </w:t>
      </w:r>
      <w:r w:rsidR="00903E04" w:rsidRPr="00FC0787">
        <w:rPr>
          <w:color w:val="000000" w:themeColor="text1"/>
        </w:rPr>
        <w:t>reduce levels of offending</w:t>
      </w:r>
      <w:r w:rsidR="00F47317">
        <w:rPr>
          <w:color w:val="000000" w:themeColor="text1"/>
        </w:rPr>
        <w:t xml:space="preserve"> via interventions that focus on </w:t>
      </w:r>
      <w:r w:rsidR="006E5B14" w:rsidRPr="00FC0787">
        <w:rPr>
          <w:color w:val="000000" w:themeColor="text1"/>
        </w:rPr>
        <w:t xml:space="preserve">the </w:t>
      </w:r>
      <w:r w:rsidR="006E5B14" w:rsidRPr="00FC0787">
        <w:rPr>
          <w:color w:val="000000" w:themeColor="text1"/>
        </w:rPr>
        <w:lastRenderedPageBreak/>
        <w:t xml:space="preserve">causes of crime, </w:t>
      </w:r>
      <w:r w:rsidR="00F47317">
        <w:rPr>
          <w:color w:val="000000" w:themeColor="text1"/>
        </w:rPr>
        <w:t xml:space="preserve">promote use of </w:t>
      </w:r>
      <w:r w:rsidR="006E5B14" w:rsidRPr="00FC0787">
        <w:rPr>
          <w:color w:val="000000" w:themeColor="text1"/>
        </w:rPr>
        <w:t xml:space="preserve">data and </w:t>
      </w:r>
      <w:r w:rsidR="007B659B">
        <w:rPr>
          <w:color w:val="000000" w:themeColor="text1"/>
        </w:rPr>
        <w:t xml:space="preserve">enable </w:t>
      </w:r>
      <w:r w:rsidR="006E5B14" w:rsidRPr="00FC0787">
        <w:rPr>
          <w:color w:val="000000" w:themeColor="text1"/>
        </w:rPr>
        <w:t>working across organisational boundaries</w:t>
      </w:r>
      <w:r w:rsidR="00950E4F" w:rsidRPr="00FC0787">
        <w:rPr>
          <w:color w:val="000000" w:themeColor="text1"/>
        </w:rPr>
        <w:t xml:space="preserve"> (</w:t>
      </w:r>
      <w:r w:rsidR="002B6F11">
        <w:rPr>
          <w:color w:val="000000" w:themeColor="text1"/>
        </w:rPr>
        <w:t xml:space="preserve">see </w:t>
      </w:r>
      <w:r w:rsidR="009B1EC5">
        <w:rPr>
          <w:color w:val="000000" w:themeColor="text1"/>
        </w:rPr>
        <w:t>Catch-22, 2019</w:t>
      </w:r>
      <w:r w:rsidR="00950E4F" w:rsidRPr="00FC0787">
        <w:rPr>
          <w:color w:val="000000" w:themeColor="text1"/>
        </w:rPr>
        <w:t>)</w:t>
      </w:r>
      <w:r w:rsidR="006E5B14" w:rsidRPr="00FC0787">
        <w:rPr>
          <w:color w:val="000000" w:themeColor="text1"/>
        </w:rPr>
        <w:t xml:space="preserve">. </w:t>
      </w:r>
      <w:r w:rsidR="00F573F7">
        <w:rPr>
          <w:color w:val="000000" w:themeColor="text1"/>
        </w:rPr>
        <w:t xml:space="preserve">While there has been </w:t>
      </w:r>
      <w:r w:rsidR="00723D21">
        <w:rPr>
          <w:color w:val="000000" w:themeColor="text1"/>
        </w:rPr>
        <w:t xml:space="preserve">recent </w:t>
      </w:r>
      <w:r w:rsidR="00F573F7">
        <w:rPr>
          <w:color w:val="000000" w:themeColor="text1"/>
        </w:rPr>
        <w:t>interest in the UK about whether these types of strategies ‘work’</w:t>
      </w:r>
      <w:r w:rsidR="00C55703">
        <w:rPr>
          <w:color w:val="000000" w:themeColor="text1"/>
        </w:rPr>
        <w:t xml:space="preserve"> - </w:t>
      </w:r>
      <w:r w:rsidR="00F573F7">
        <w:rPr>
          <w:color w:val="000000" w:themeColor="text1"/>
        </w:rPr>
        <w:t>as witnessed by national and local evaluations of Violence Reduction Units (</w:t>
      </w:r>
      <w:r w:rsidR="000D4129">
        <w:rPr>
          <w:color w:val="000000" w:themeColor="text1"/>
        </w:rPr>
        <w:t xml:space="preserve">Caulfield, et al. 2021; </w:t>
      </w:r>
      <w:proofErr w:type="spellStart"/>
      <w:r w:rsidR="000D4129">
        <w:rPr>
          <w:color w:val="000000" w:themeColor="text1"/>
        </w:rPr>
        <w:t>Quigg</w:t>
      </w:r>
      <w:proofErr w:type="spellEnd"/>
      <w:r w:rsidR="000D4129">
        <w:rPr>
          <w:color w:val="000000" w:themeColor="text1"/>
        </w:rPr>
        <w:t>, et al. 2021</w:t>
      </w:r>
      <w:r w:rsidR="00F573F7">
        <w:rPr>
          <w:color w:val="000000" w:themeColor="text1"/>
        </w:rPr>
        <w:t xml:space="preserve">) and </w:t>
      </w:r>
      <w:r w:rsidR="00781A85">
        <w:rPr>
          <w:color w:val="000000" w:themeColor="text1"/>
        </w:rPr>
        <w:t xml:space="preserve">plans </w:t>
      </w:r>
      <w:r w:rsidR="00F573F7">
        <w:rPr>
          <w:color w:val="000000" w:themeColor="text1"/>
        </w:rPr>
        <w:t>to investigate the effectiveness of public health interventions led by or involving the police (</w:t>
      </w:r>
      <w:r w:rsidR="000D4129">
        <w:rPr>
          <w:color w:val="000000" w:themeColor="text1"/>
        </w:rPr>
        <w:t>NIHR, 2021</w:t>
      </w:r>
      <w:r w:rsidR="00F573F7">
        <w:rPr>
          <w:color w:val="000000" w:themeColor="text1"/>
        </w:rPr>
        <w:t>)</w:t>
      </w:r>
      <w:r w:rsidR="00C55703">
        <w:rPr>
          <w:color w:val="000000" w:themeColor="text1"/>
        </w:rPr>
        <w:t xml:space="preserve"> - </w:t>
      </w:r>
      <w:r w:rsidR="006E5B14" w:rsidRPr="00FC0787">
        <w:rPr>
          <w:color w:val="000000" w:themeColor="text1"/>
        </w:rPr>
        <w:t xml:space="preserve">the </w:t>
      </w:r>
      <w:r w:rsidR="002B6F11">
        <w:rPr>
          <w:color w:val="000000" w:themeColor="text1"/>
        </w:rPr>
        <w:t xml:space="preserve">myriad </w:t>
      </w:r>
      <w:r w:rsidR="006E5B14" w:rsidRPr="00FC0787">
        <w:rPr>
          <w:color w:val="000000" w:themeColor="text1"/>
        </w:rPr>
        <w:t>way</w:t>
      </w:r>
      <w:r w:rsidR="002B6F11">
        <w:rPr>
          <w:color w:val="000000" w:themeColor="text1"/>
        </w:rPr>
        <w:t>s</w:t>
      </w:r>
      <w:r w:rsidR="006E5B14" w:rsidRPr="00FC0787">
        <w:rPr>
          <w:color w:val="000000" w:themeColor="text1"/>
        </w:rPr>
        <w:t xml:space="preserve"> in which th</w:t>
      </w:r>
      <w:r w:rsidR="00F573F7">
        <w:rPr>
          <w:color w:val="000000" w:themeColor="text1"/>
        </w:rPr>
        <w:t>ey</w:t>
      </w:r>
      <w:r w:rsidR="00781A85">
        <w:rPr>
          <w:color w:val="000000" w:themeColor="text1"/>
        </w:rPr>
        <w:t xml:space="preserve"> </w:t>
      </w:r>
      <w:r w:rsidR="00950E4F" w:rsidRPr="00FC0787">
        <w:rPr>
          <w:color w:val="000000" w:themeColor="text1"/>
        </w:rPr>
        <w:t xml:space="preserve">are both </w:t>
      </w:r>
      <w:r w:rsidR="006E5B14" w:rsidRPr="00FC0787">
        <w:rPr>
          <w:color w:val="000000" w:themeColor="text1"/>
        </w:rPr>
        <w:t xml:space="preserve">formally </w:t>
      </w:r>
      <w:r w:rsidR="00950E4F" w:rsidRPr="00FC0787">
        <w:rPr>
          <w:color w:val="000000" w:themeColor="text1"/>
        </w:rPr>
        <w:t xml:space="preserve">and informally </w:t>
      </w:r>
      <w:r w:rsidR="006E5B14" w:rsidRPr="00FC0787">
        <w:rPr>
          <w:color w:val="000000" w:themeColor="text1"/>
        </w:rPr>
        <w:t xml:space="preserve">implemented </w:t>
      </w:r>
      <w:r w:rsidR="002B6F11">
        <w:rPr>
          <w:color w:val="000000" w:themeColor="text1"/>
        </w:rPr>
        <w:t xml:space="preserve">remains under explored. </w:t>
      </w:r>
      <w:r w:rsidRPr="00185D72">
        <w:rPr>
          <w:color w:val="000000" w:themeColor="text1"/>
        </w:rPr>
        <w:t xml:space="preserve">As Reimann (2019) notes in </w:t>
      </w:r>
      <w:r w:rsidR="007B234B" w:rsidRPr="00FC0787">
        <w:rPr>
          <w:color w:val="000000" w:themeColor="text1"/>
        </w:rPr>
        <w:t xml:space="preserve">his discussion about </w:t>
      </w:r>
      <w:r w:rsidR="00CE7802" w:rsidRPr="00FC0787">
        <w:rPr>
          <w:color w:val="000000" w:themeColor="text1"/>
        </w:rPr>
        <w:t xml:space="preserve">the </w:t>
      </w:r>
      <w:r w:rsidR="005A6FD6" w:rsidRPr="00FC0787">
        <w:rPr>
          <w:color w:val="000000" w:themeColor="text1"/>
        </w:rPr>
        <w:t xml:space="preserve">‘Cure Violence’ initiative implemented in the US, </w:t>
      </w:r>
      <w:r w:rsidR="00255984" w:rsidRPr="00FC0787">
        <w:rPr>
          <w:color w:val="000000" w:themeColor="text1"/>
        </w:rPr>
        <w:t>by</w:t>
      </w:r>
      <w:r w:rsidR="004C009F" w:rsidRPr="00FC0787">
        <w:rPr>
          <w:color w:val="000000" w:themeColor="text1"/>
        </w:rPr>
        <w:t xml:space="preserve"> employing the language of medical science and placing emphasis on the role of data collection and analysis to inform preventative activity, </w:t>
      </w:r>
      <w:r w:rsidR="005A6FD6" w:rsidRPr="00FC0787">
        <w:rPr>
          <w:color w:val="000000" w:themeColor="text1"/>
        </w:rPr>
        <w:t xml:space="preserve">public health approaches </w:t>
      </w:r>
      <w:r w:rsidRPr="00185D72">
        <w:rPr>
          <w:color w:val="000000" w:themeColor="text1"/>
        </w:rPr>
        <w:t>‘presuppose the superiority of a quantitative, evidence-based epidemiology over other approaches’ (Reimann, 2019</w:t>
      </w:r>
      <w:r w:rsidR="001C265B">
        <w:rPr>
          <w:color w:val="000000" w:themeColor="text1"/>
        </w:rPr>
        <w:t>:</w:t>
      </w:r>
      <w:r w:rsidR="007B659B">
        <w:rPr>
          <w:color w:val="000000" w:themeColor="text1"/>
        </w:rPr>
        <w:t xml:space="preserve"> </w:t>
      </w:r>
      <w:r w:rsidR="001C265B">
        <w:rPr>
          <w:color w:val="000000" w:themeColor="text1"/>
        </w:rPr>
        <w:t>147</w:t>
      </w:r>
      <w:r w:rsidRPr="00185D72">
        <w:rPr>
          <w:color w:val="000000" w:themeColor="text1"/>
        </w:rPr>
        <w:t xml:space="preserve">). </w:t>
      </w:r>
      <w:r w:rsidR="00DC38B7">
        <w:rPr>
          <w:color w:val="000000" w:themeColor="text1"/>
        </w:rPr>
        <w:t xml:space="preserve">These observations are also reflected in the </w:t>
      </w:r>
      <w:r w:rsidR="007B659B">
        <w:rPr>
          <w:color w:val="000000" w:themeColor="text1"/>
        </w:rPr>
        <w:t xml:space="preserve">central </w:t>
      </w:r>
      <w:r w:rsidR="000D4129">
        <w:rPr>
          <w:color w:val="000000" w:themeColor="text1"/>
        </w:rPr>
        <w:t>focus of research thus far, which has remained fixed on outcomes, seemingly overlooking how public health approaches are qualitatively operationalised on the ground (</w:t>
      </w:r>
      <w:proofErr w:type="spellStart"/>
      <w:r w:rsidR="000D4129">
        <w:rPr>
          <w:color w:val="000000" w:themeColor="text1"/>
        </w:rPr>
        <w:t>Bhui</w:t>
      </w:r>
      <w:proofErr w:type="spellEnd"/>
      <w:r w:rsidR="000D4129">
        <w:rPr>
          <w:color w:val="000000" w:themeColor="text1"/>
        </w:rPr>
        <w:t xml:space="preserve">, et al. 2012; Public Health England, 2019a; 2019b). </w:t>
      </w:r>
    </w:p>
    <w:p w14:paraId="2F71B933" w14:textId="2402F6F7" w:rsidR="006E6D61" w:rsidRPr="00CF2F2B" w:rsidRDefault="000E3DFB" w:rsidP="00A27BB5">
      <w:pPr>
        <w:pStyle w:val="NormalWeb"/>
        <w:spacing w:line="480" w:lineRule="auto"/>
        <w:jc w:val="both"/>
      </w:pPr>
      <w:r>
        <w:t>T</w:t>
      </w:r>
      <w:r w:rsidR="00F47317">
        <w:t xml:space="preserve">o </w:t>
      </w:r>
      <w:r w:rsidR="00C55703">
        <w:t xml:space="preserve">begin to fill </w:t>
      </w:r>
      <w:r w:rsidR="00F47317">
        <w:t>this knowledge</w:t>
      </w:r>
      <w:r w:rsidR="00C55703">
        <w:t xml:space="preserve"> gap</w:t>
      </w:r>
      <w:r w:rsidR="00F47317">
        <w:t xml:space="preserve">, </w:t>
      </w:r>
      <w:r w:rsidR="007B659B">
        <w:t xml:space="preserve">in this article we concentrate </w:t>
      </w:r>
      <w:r w:rsidR="0020406A">
        <w:t>on the implementation of a specific awareness raising initiative in the UK designed to reduce the risk of Child Sexual Exploitation (CSE) amongst young people</w:t>
      </w:r>
      <w:r w:rsidR="007B659B">
        <w:t xml:space="preserve">. In so doing, it is our intention to </w:t>
      </w:r>
      <w:r w:rsidR="00781A85">
        <w:t xml:space="preserve">consider </w:t>
      </w:r>
      <w:r w:rsidR="0075633F">
        <w:t xml:space="preserve">how </w:t>
      </w:r>
      <w:r w:rsidR="00781A85">
        <w:t xml:space="preserve">a </w:t>
      </w:r>
      <w:r w:rsidR="00CA47C6">
        <w:t>public health</w:t>
      </w:r>
      <w:r w:rsidR="00615961">
        <w:t>-</w:t>
      </w:r>
      <w:r w:rsidR="002B6F11">
        <w:t xml:space="preserve">oriented </w:t>
      </w:r>
      <w:r w:rsidR="00CA47C6">
        <w:t xml:space="preserve">approach </w:t>
      </w:r>
      <w:r w:rsidR="00F15603">
        <w:t xml:space="preserve">was </w:t>
      </w:r>
      <w:r w:rsidR="00AE4F56">
        <w:t>operationalised</w:t>
      </w:r>
      <w:r w:rsidR="00F15603">
        <w:t xml:space="preserve"> by practitioners and </w:t>
      </w:r>
      <w:r w:rsidR="000D1162">
        <w:t xml:space="preserve">potentially impacted </w:t>
      </w:r>
      <w:r w:rsidR="00375447">
        <w:t xml:space="preserve">by </w:t>
      </w:r>
      <w:r w:rsidR="000D1162">
        <w:t xml:space="preserve">its </w:t>
      </w:r>
      <w:r w:rsidR="00F15603">
        <w:t>participants</w:t>
      </w:r>
      <w:r w:rsidR="005C6E93">
        <w:t>.</w:t>
      </w:r>
      <w:r w:rsidR="00FC27EA">
        <w:t xml:space="preserve"> </w:t>
      </w:r>
      <w:r w:rsidR="00FC27EA" w:rsidRPr="009422C2">
        <w:t>Drawing</w:t>
      </w:r>
      <w:r w:rsidR="00FC27EA">
        <w:t xml:space="preserve"> on qualitative empirical data - </w:t>
      </w:r>
      <w:r w:rsidR="00FC27EA" w:rsidRPr="009422C2">
        <w:t xml:space="preserve">including field observations, in-depth interviews with members of a multi-agency team and focus groups with young people </w:t>
      </w:r>
      <w:r w:rsidR="00FC27EA">
        <w:t xml:space="preserve">involved in the </w:t>
      </w:r>
      <w:r w:rsidR="00FC27EA" w:rsidRPr="009422C2">
        <w:t>CSE</w:t>
      </w:r>
      <w:r w:rsidR="00FC27EA">
        <w:t xml:space="preserve"> awareness raising initiatives </w:t>
      </w:r>
      <w:r w:rsidR="00C55703">
        <w:t>-</w:t>
      </w:r>
      <w:r w:rsidR="00FC27EA">
        <w:t xml:space="preserve"> </w:t>
      </w:r>
      <w:r w:rsidR="00C55703">
        <w:t xml:space="preserve">we critically analyse </w:t>
      </w:r>
      <w:r w:rsidR="00781A85">
        <w:t xml:space="preserve">the </w:t>
      </w:r>
      <w:r w:rsidR="00C55703">
        <w:t xml:space="preserve">general approach </w:t>
      </w:r>
      <w:r w:rsidR="00490FAE">
        <w:t>used</w:t>
      </w:r>
      <w:r w:rsidR="00AF3053">
        <w:t xml:space="preserve"> </w:t>
      </w:r>
      <w:r w:rsidR="006C1F40">
        <w:t xml:space="preserve">by the </w:t>
      </w:r>
      <w:r w:rsidR="00687FD0">
        <w:t xml:space="preserve">multi-agency </w:t>
      </w:r>
      <w:r w:rsidR="006C1F40">
        <w:t>team</w:t>
      </w:r>
      <w:r w:rsidR="00C55703">
        <w:t xml:space="preserve"> to</w:t>
      </w:r>
      <w:r w:rsidR="00687FD0">
        <w:t xml:space="preserve"> ‘make visible’ </w:t>
      </w:r>
      <w:r w:rsidR="00011F11">
        <w:t xml:space="preserve">young people ‘which would not </w:t>
      </w:r>
      <w:r w:rsidR="00011F11" w:rsidRPr="007966B8">
        <w:t>otherwise be seen’</w:t>
      </w:r>
      <w:r w:rsidR="00F562C2">
        <w:t xml:space="preserve"> (see Amo</w:t>
      </w:r>
      <w:r w:rsidR="009F28C9">
        <w:t>o</w:t>
      </w:r>
      <w:r w:rsidR="00F562C2">
        <w:t xml:space="preserve">re and </w:t>
      </w:r>
      <w:r w:rsidR="008D3B62">
        <w:t>d</w:t>
      </w:r>
      <w:r w:rsidR="00F562C2">
        <w:t>e</w:t>
      </w:r>
      <w:r w:rsidR="009F28C9">
        <w:t xml:space="preserve"> </w:t>
      </w:r>
      <w:r w:rsidR="00F562C2">
        <w:t>Goede, 2008</w:t>
      </w:r>
      <w:r w:rsidR="00363BA8">
        <w:t>:6</w:t>
      </w:r>
      <w:r w:rsidR="00F562C2">
        <w:t>)</w:t>
      </w:r>
      <w:r w:rsidR="00C55703">
        <w:t xml:space="preserve">. On this basis, we </w:t>
      </w:r>
      <w:r w:rsidR="008157DA">
        <w:t xml:space="preserve">suggest </w:t>
      </w:r>
      <w:r w:rsidR="00C55703">
        <w:t>that</w:t>
      </w:r>
      <w:r w:rsidR="009D241A" w:rsidRPr="007966B8">
        <w:t xml:space="preserve"> </w:t>
      </w:r>
      <w:r w:rsidR="00C55703">
        <w:t xml:space="preserve">modes of pre-emptive regulation that attempt to address </w:t>
      </w:r>
      <w:r w:rsidR="008E5825">
        <w:t>so-called ‘</w:t>
      </w:r>
      <w:proofErr w:type="gramStart"/>
      <w:r w:rsidR="008E5825">
        <w:t>dangers’</w:t>
      </w:r>
      <w:proofErr w:type="gramEnd"/>
      <w:r w:rsidR="008E5825">
        <w:t xml:space="preserve"> </w:t>
      </w:r>
      <w:r w:rsidR="002B6F11">
        <w:t xml:space="preserve">may </w:t>
      </w:r>
      <w:r w:rsidR="00EF42C5">
        <w:t xml:space="preserve">identify </w:t>
      </w:r>
      <w:r w:rsidR="000C22AC">
        <w:t xml:space="preserve">unnecessary </w:t>
      </w:r>
      <w:r w:rsidR="00EF42C5">
        <w:t xml:space="preserve">risk </w:t>
      </w:r>
      <w:r w:rsidR="002B6F11">
        <w:t xml:space="preserve">and </w:t>
      </w:r>
      <w:r w:rsidR="00F53BE0">
        <w:t xml:space="preserve">thereby </w:t>
      </w:r>
      <w:r w:rsidR="002B6F11">
        <w:t>encourage subsequent techniques of surveillance</w:t>
      </w:r>
      <w:r w:rsidR="00DD26BA" w:rsidRPr="007966B8">
        <w:t>.</w:t>
      </w:r>
      <w:r w:rsidR="00851E06" w:rsidRPr="007966B8">
        <w:t xml:space="preserve"> </w:t>
      </w:r>
      <w:r w:rsidR="0020406A">
        <w:t>Our argument is that a</w:t>
      </w:r>
      <w:r w:rsidR="00851E06" w:rsidRPr="007966B8">
        <w:t xml:space="preserve">lthough </w:t>
      </w:r>
      <w:r w:rsidR="002667CC">
        <w:lastRenderedPageBreak/>
        <w:t xml:space="preserve">population level </w:t>
      </w:r>
      <w:r w:rsidR="002B6F11">
        <w:t xml:space="preserve">public health </w:t>
      </w:r>
      <w:r w:rsidR="002667CC">
        <w:t>approaches</w:t>
      </w:r>
      <w:r w:rsidR="00851E06" w:rsidRPr="007966B8">
        <w:t xml:space="preserve"> </w:t>
      </w:r>
      <w:r w:rsidR="0015092C">
        <w:t xml:space="preserve">might be </w:t>
      </w:r>
      <w:r w:rsidR="00851E06" w:rsidRPr="007966B8">
        <w:t>necessary</w:t>
      </w:r>
      <w:r w:rsidR="00C55703">
        <w:t xml:space="preserve"> and have utility</w:t>
      </w:r>
      <w:r w:rsidR="002B6F11">
        <w:t xml:space="preserve"> </w:t>
      </w:r>
      <w:r w:rsidR="00C55703">
        <w:t xml:space="preserve">in some areas </w:t>
      </w:r>
      <w:r w:rsidR="00781A85">
        <w:t>- for instance</w:t>
      </w:r>
      <w:r w:rsidR="00851E06" w:rsidRPr="007966B8">
        <w:t xml:space="preserve"> in </w:t>
      </w:r>
      <w:r w:rsidR="00C55703">
        <w:t xml:space="preserve">preventing the spread </w:t>
      </w:r>
      <w:r w:rsidR="00851E06" w:rsidRPr="007966B8">
        <w:t xml:space="preserve">of </w:t>
      </w:r>
      <w:r w:rsidR="002B6F11">
        <w:t xml:space="preserve">infectious </w:t>
      </w:r>
      <w:r w:rsidR="00851E06" w:rsidRPr="007966B8">
        <w:t>disease</w:t>
      </w:r>
      <w:r w:rsidR="002B6F11">
        <w:t>s</w:t>
      </w:r>
      <w:r w:rsidR="00851E06" w:rsidRPr="007966B8">
        <w:t xml:space="preserve">, </w:t>
      </w:r>
      <w:r w:rsidR="002B6F11">
        <w:t>such as Covid-19</w:t>
      </w:r>
      <w:r w:rsidR="00781A85">
        <w:t xml:space="preserve"> - </w:t>
      </w:r>
      <w:r w:rsidR="00851E06" w:rsidRPr="007966B8">
        <w:t xml:space="preserve">applying </w:t>
      </w:r>
      <w:r w:rsidR="006E6D61">
        <w:t xml:space="preserve">preventative measures under the umbrella of public health </w:t>
      </w:r>
      <w:r w:rsidR="00AE2515" w:rsidRPr="007966B8">
        <w:t xml:space="preserve">within </w:t>
      </w:r>
      <w:r w:rsidR="002B6F11">
        <w:t xml:space="preserve">broader </w:t>
      </w:r>
      <w:r w:rsidR="00AE2515" w:rsidRPr="007966B8">
        <w:t>context</w:t>
      </w:r>
      <w:r w:rsidR="006E6D61">
        <w:t>s</w:t>
      </w:r>
      <w:r w:rsidR="00AE2515" w:rsidRPr="007966B8">
        <w:t xml:space="preserve"> of crime prevention </w:t>
      </w:r>
      <w:r w:rsidR="00567B52">
        <w:t xml:space="preserve">may </w:t>
      </w:r>
      <w:r w:rsidR="00420C6D">
        <w:t xml:space="preserve">subject individuals to increasing forms of securitisation and </w:t>
      </w:r>
      <w:r w:rsidR="002B6F11">
        <w:t xml:space="preserve">unduly </w:t>
      </w:r>
      <w:r w:rsidR="00420C6D">
        <w:t xml:space="preserve">expose them to criminal justice </w:t>
      </w:r>
      <w:r w:rsidR="006E6D61">
        <w:t xml:space="preserve">processes </w:t>
      </w:r>
      <w:r w:rsidR="002B6F11">
        <w:t xml:space="preserve">which </w:t>
      </w:r>
      <w:r w:rsidR="003E08D3">
        <w:t xml:space="preserve">they may not otherwise </w:t>
      </w:r>
      <w:r w:rsidR="002B6F11">
        <w:t>have</w:t>
      </w:r>
      <w:r w:rsidR="00605C2C">
        <w:t xml:space="preserve"> </w:t>
      </w:r>
      <w:r w:rsidR="00645237">
        <w:t>encountered</w:t>
      </w:r>
      <w:r w:rsidR="0074363C">
        <w:t xml:space="preserve">. </w:t>
      </w:r>
      <w:r w:rsidR="00605C2C">
        <w:t>While our study is context specific and thus generates findings that are not generalisable, we wish to raise concerns of principle and practice around the need to uphold civil liberties and safeguarding provision for those most in need of protection.</w:t>
      </w:r>
    </w:p>
    <w:p w14:paraId="684A7C5C" w14:textId="19AD9E65" w:rsidR="000B2E6F" w:rsidRDefault="0009218F" w:rsidP="004375C5">
      <w:pPr>
        <w:spacing w:before="100" w:beforeAutospacing="1" w:after="100" w:afterAutospacing="1" w:line="480" w:lineRule="auto"/>
        <w:jc w:val="both"/>
        <w:rPr>
          <w:b/>
          <w:bCs/>
          <w:color w:val="000000" w:themeColor="text1"/>
        </w:rPr>
      </w:pPr>
      <w:r>
        <w:rPr>
          <w:b/>
          <w:bCs/>
          <w:color w:val="000000" w:themeColor="text1"/>
        </w:rPr>
        <w:t xml:space="preserve">Unpacking </w:t>
      </w:r>
      <w:r w:rsidR="00200071">
        <w:rPr>
          <w:b/>
          <w:bCs/>
          <w:color w:val="000000" w:themeColor="text1"/>
        </w:rPr>
        <w:t xml:space="preserve">Public </w:t>
      </w:r>
      <w:r w:rsidR="004B0D5E">
        <w:rPr>
          <w:b/>
          <w:bCs/>
          <w:color w:val="000000" w:themeColor="text1"/>
        </w:rPr>
        <w:t>H</w:t>
      </w:r>
      <w:r w:rsidR="00200071">
        <w:rPr>
          <w:b/>
          <w:bCs/>
          <w:color w:val="000000" w:themeColor="text1"/>
        </w:rPr>
        <w:t xml:space="preserve">ealth </w:t>
      </w:r>
      <w:r w:rsidR="004B0D5E">
        <w:rPr>
          <w:b/>
          <w:bCs/>
          <w:color w:val="000000" w:themeColor="text1"/>
        </w:rPr>
        <w:t>A</w:t>
      </w:r>
      <w:r w:rsidR="00200071">
        <w:rPr>
          <w:b/>
          <w:bCs/>
          <w:color w:val="000000" w:themeColor="text1"/>
        </w:rPr>
        <w:t xml:space="preserve">pproaches to </w:t>
      </w:r>
      <w:r w:rsidR="004B0D5E">
        <w:rPr>
          <w:b/>
          <w:bCs/>
          <w:color w:val="000000" w:themeColor="text1"/>
        </w:rPr>
        <w:t>C</w:t>
      </w:r>
      <w:r w:rsidR="00200071">
        <w:rPr>
          <w:b/>
          <w:bCs/>
          <w:color w:val="000000" w:themeColor="text1"/>
        </w:rPr>
        <w:t xml:space="preserve">rime </w:t>
      </w:r>
      <w:r w:rsidR="004B0D5E">
        <w:rPr>
          <w:b/>
          <w:bCs/>
          <w:color w:val="000000" w:themeColor="text1"/>
        </w:rPr>
        <w:t>P</w:t>
      </w:r>
      <w:r w:rsidR="00200071">
        <w:rPr>
          <w:b/>
          <w:bCs/>
          <w:color w:val="000000" w:themeColor="text1"/>
        </w:rPr>
        <w:t>revention</w:t>
      </w:r>
    </w:p>
    <w:p w14:paraId="6DB8EAF9" w14:textId="20C931D5" w:rsidR="006B0F8E" w:rsidRDefault="000F0AB1" w:rsidP="006B0F8E">
      <w:pPr>
        <w:spacing w:before="100" w:beforeAutospacing="1" w:after="100" w:afterAutospacing="1" w:line="480" w:lineRule="auto"/>
        <w:jc w:val="both"/>
        <w:rPr>
          <w:color w:val="000000" w:themeColor="text1"/>
        </w:rPr>
      </w:pPr>
      <w:r>
        <w:rPr>
          <w:color w:val="000000" w:themeColor="text1"/>
        </w:rPr>
        <w:t xml:space="preserve">Before </w:t>
      </w:r>
      <w:r w:rsidR="0006022B">
        <w:rPr>
          <w:color w:val="000000" w:themeColor="text1"/>
        </w:rPr>
        <w:t xml:space="preserve">presenting an outline </w:t>
      </w:r>
      <w:r w:rsidR="0009218F">
        <w:rPr>
          <w:color w:val="000000" w:themeColor="text1"/>
        </w:rPr>
        <w:t>of the research design and methods, it is necessary to provide a</w:t>
      </w:r>
      <w:r w:rsidR="000E2374">
        <w:rPr>
          <w:color w:val="000000" w:themeColor="text1"/>
        </w:rPr>
        <w:t>n</w:t>
      </w:r>
      <w:r w:rsidR="0009218F">
        <w:rPr>
          <w:color w:val="000000" w:themeColor="text1"/>
        </w:rPr>
        <w:t xml:space="preserve"> account of the emergence and maturation of public health approaches in areas of crime prevention. </w:t>
      </w:r>
      <w:r w:rsidR="0006022B">
        <w:rPr>
          <w:color w:val="000000" w:themeColor="text1"/>
        </w:rPr>
        <w:t>Importantly</w:t>
      </w:r>
      <w:r w:rsidR="00605C2C">
        <w:rPr>
          <w:color w:val="000000" w:themeColor="text1"/>
        </w:rPr>
        <w:t>,</w:t>
      </w:r>
      <w:r w:rsidR="0006022B">
        <w:rPr>
          <w:color w:val="000000" w:themeColor="text1"/>
        </w:rPr>
        <w:t xml:space="preserve"> </w:t>
      </w:r>
      <w:r w:rsidR="0009218F">
        <w:rPr>
          <w:color w:val="000000" w:themeColor="text1"/>
        </w:rPr>
        <w:t>t</w:t>
      </w:r>
      <w:r w:rsidR="00F966E9" w:rsidRPr="00D461B2">
        <w:rPr>
          <w:color w:val="000000" w:themeColor="text1"/>
        </w:rPr>
        <w:t xml:space="preserve">he application of public health </w:t>
      </w:r>
      <w:r w:rsidR="002B6F11">
        <w:rPr>
          <w:color w:val="000000" w:themeColor="text1"/>
        </w:rPr>
        <w:t>models</w:t>
      </w:r>
      <w:r w:rsidR="00F966E9" w:rsidRPr="00D461B2">
        <w:rPr>
          <w:color w:val="000000" w:themeColor="text1"/>
        </w:rPr>
        <w:t xml:space="preserve"> </w:t>
      </w:r>
      <w:r w:rsidR="002B6F11">
        <w:rPr>
          <w:color w:val="000000" w:themeColor="text1"/>
        </w:rPr>
        <w:t>within</w:t>
      </w:r>
      <w:r w:rsidR="00EC0EA3">
        <w:rPr>
          <w:color w:val="000000" w:themeColor="text1"/>
        </w:rPr>
        <w:t xml:space="preserve"> </w:t>
      </w:r>
      <w:r w:rsidR="00B639E3">
        <w:rPr>
          <w:color w:val="000000" w:themeColor="text1"/>
        </w:rPr>
        <w:t xml:space="preserve">crime prevention </w:t>
      </w:r>
      <w:r w:rsidR="002B6F11">
        <w:rPr>
          <w:color w:val="000000" w:themeColor="text1"/>
        </w:rPr>
        <w:t xml:space="preserve">strategies </w:t>
      </w:r>
      <w:r w:rsidR="00D461B2" w:rsidRPr="00D461B2">
        <w:rPr>
          <w:color w:val="000000" w:themeColor="text1"/>
        </w:rPr>
        <w:t xml:space="preserve">has a long history. </w:t>
      </w:r>
      <w:r w:rsidR="001969BA">
        <w:rPr>
          <w:color w:val="000000" w:themeColor="text1"/>
        </w:rPr>
        <w:t xml:space="preserve">As </w:t>
      </w:r>
      <w:proofErr w:type="spellStart"/>
      <w:r w:rsidR="001969BA">
        <w:rPr>
          <w:color w:val="000000" w:themeColor="text1"/>
        </w:rPr>
        <w:t>Tonry</w:t>
      </w:r>
      <w:proofErr w:type="spellEnd"/>
      <w:r w:rsidR="001969BA">
        <w:rPr>
          <w:color w:val="000000" w:themeColor="text1"/>
        </w:rPr>
        <w:t xml:space="preserve"> and Farrington </w:t>
      </w:r>
      <w:r w:rsidR="00486F04">
        <w:rPr>
          <w:color w:val="000000" w:themeColor="text1"/>
        </w:rPr>
        <w:t xml:space="preserve">(1995) </w:t>
      </w:r>
      <w:r w:rsidR="001969BA">
        <w:rPr>
          <w:color w:val="000000" w:themeColor="text1"/>
        </w:rPr>
        <w:t>suggested</w:t>
      </w:r>
      <w:r w:rsidR="00605C2C">
        <w:rPr>
          <w:color w:val="000000" w:themeColor="text1"/>
        </w:rPr>
        <w:t xml:space="preserve"> almost two decades ago</w:t>
      </w:r>
      <w:r w:rsidR="001969BA">
        <w:rPr>
          <w:color w:val="000000" w:themeColor="text1"/>
        </w:rPr>
        <w:t xml:space="preserve">, </w:t>
      </w:r>
      <w:r w:rsidR="00225FED">
        <w:rPr>
          <w:color w:val="000000" w:themeColor="text1"/>
        </w:rPr>
        <w:t>a public health approach should not be considered a distinct</w:t>
      </w:r>
      <w:r w:rsidR="00365242">
        <w:rPr>
          <w:color w:val="000000" w:themeColor="text1"/>
        </w:rPr>
        <w:t xml:space="preserve">ive </w:t>
      </w:r>
      <w:proofErr w:type="gramStart"/>
      <w:r w:rsidR="00481AB8">
        <w:rPr>
          <w:color w:val="000000" w:themeColor="text1"/>
        </w:rPr>
        <w:t>strategy</w:t>
      </w:r>
      <w:r w:rsidR="002B6F11">
        <w:rPr>
          <w:color w:val="000000" w:themeColor="text1"/>
        </w:rPr>
        <w:t xml:space="preserve"> in itself,</w:t>
      </w:r>
      <w:r w:rsidR="00481AB8">
        <w:rPr>
          <w:color w:val="000000" w:themeColor="text1"/>
        </w:rPr>
        <w:t xml:space="preserve"> </w:t>
      </w:r>
      <w:r w:rsidR="00365242">
        <w:rPr>
          <w:color w:val="000000" w:themeColor="text1"/>
        </w:rPr>
        <w:t>as</w:t>
      </w:r>
      <w:proofErr w:type="gramEnd"/>
      <w:r w:rsidR="00365242">
        <w:rPr>
          <w:color w:val="000000" w:themeColor="text1"/>
        </w:rPr>
        <w:t xml:space="preserve"> development, situational and community </w:t>
      </w:r>
      <w:r w:rsidR="006F4CEA">
        <w:rPr>
          <w:color w:val="000000" w:themeColor="text1"/>
        </w:rPr>
        <w:t xml:space="preserve">strategies </w:t>
      </w:r>
      <w:r w:rsidR="00365242">
        <w:rPr>
          <w:color w:val="000000" w:themeColor="text1"/>
        </w:rPr>
        <w:t xml:space="preserve">to crime </w:t>
      </w:r>
      <w:r w:rsidR="00B639E3">
        <w:rPr>
          <w:color w:val="000000" w:themeColor="text1"/>
        </w:rPr>
        <w:t>prevention</w:t>
      </w:r>
      <w:r w:rsidR="00A62801">
        <w:rPr>
          <w:color w:val="000000" w:themeColor="text1"/>
        </w:rPr>
        <w:t xml:space="preserve"> </w:t>
      </w:r>
      <w:r w:rsidR="00D30781">
        <w:rPr>
          <w:color w:val="000000" w:themeColor="text1"/>
        </w:rPr>
        <w:t>all inc</w:t>
      </w:r>
      <w:r w:rsidR="002B6F11">
        <w:rPr>
          <w:color w:val="000000" w:themeColor="text1"/>
        </w:rPr>
        <w:t>orporate</w:t>
      </w:r>
      <w:r w:rsidR="00D30781">
        <w:rPr>
          <w:color w:val="000000" w:themeColor="text1"/>
        </w:rPr>
        <w:t xml:space="preserve"> </w:t>
      </w:r>
      <w:r w:rsidR="002B6F11">
        <w:rPr>
          <w:color w:val="000000" w:themeColor="text1"/>
        </w:rPr>
        <w:t xml:space="preserve">facets </w:t>
      </w:r>
      <w:r w:rsidR="00D30781">
        <w:rPr>
          <w:color w:val="000000" w:themeColor="text1"/>
        </w:rPr>
        <w:t>of public health</w:t>
      </w:r>
      <w:r w:rsidR="00122B8A">
        <w:rPr>
          <w:color w:val="000000" w:themeColor="text1"/>
        </w:rPr>
        <w:t xml:space="preserve"> agendas</w:t>
      </w:r>
      <w:r w:rsidR="00D30781">
        <w:rPr>
          <w:color w:val="000000" w:themeColor="text1"/>
        </w:rPr>
        <w:t>.</w:t>
      </w:r>
      <w:r w:rsidR="002E180C">
        <w:rPr>
          <w:color w:val="000000" w:themeColor="text1"/>
        </w:rPr>
        <w:t xml:space="preserve"> </w:t>
      </w:r>
      <w:r w:rsidR="0057458A">
        <w:rPr>
          <w:color w:val="000000" w:themeColor="text1"/>
        </w:rPr>
        <w:t xml:space="preserve">It was during </w:t>
      </w:r>
      <w:r w:rsidR="001E137A">
        <w:rPr>
          <w:color w:val="000000" w:themeColor="text1"/>
        </w:rPr>
        <w:t>th</w:t>
      </w:r>
      <w:r w:rsidR="00122B8A">
        <w:rPr>
          <w:color w:val="000000" w:themeColor="text1"/>
        </w:rPr>
        <w:t xml:space="preserve">e 1990s </w:t>
      </w:r>
      <w:r w:rsidR="00001297">
        <w:rPr>
          <w:color w:val="000000" w:themeColor="text1"/>
        </w:rPr>
        <w:t xml:space="preserve">that public health approaches to crime prevention </w:t>
      </w:r>
      <w:r w:rsidR="0009218F">
        <w:rPr>
          <w:color w:val="000000" w:themeColor="text1"/>
        </w:rPr>
        <w:t xml:space="preserve">emerged </w:t>
      </w:r>
      <w:r w:rsidR="001E137A">
        <w:rPr>
          <w:color w:val="000000" w:themeColor="text1"/>
        </w:rPr>
        <w:t>as a</w:t>
      </w:r>
      <w:r w:rsidR="00605C2C">
        <w:rPr>
          <w:color w:val="000000" w:themeColor="text1"/>
        </w:rPr>
        <w:t xml:space="preserve">n </w:t>
      </w:r>
      <w:r w:rsidR="001E137A">
        <w:rPr>
          <w:color w:val="000000" w:themeColor="text1"/>
        </w:rPr>
        <w:t xml:space="preserve">alternative to </w:t>
      </w:r>
      <w:r w:rsidR="009E68A5">
        <w:rPr>
          <w:color w:val="000000" w:themeColor="text1"/>
        </w:rPr>
        <w:t xml:space="preserve">traditional methods of </w:t>
      </w:r>
      <w:r w:rsidR="00FD699C">
        <w:rPr>
          <w:color w:val="000000" w:themeColor="text1"/>
        </w:rPr>
        <w:t xml:space="preserve">crime </w:t>
      </w:r>
      <w:r w:rsidR="00122B8A">
        <w:rPr>
          <w:color w:val="000000" w:themeColor="text1"/>
        </w:rPr>
        <w:t xml:space="preserve">management, </w:t>
      </w:r>
      <w:r w:rsidR="006A7664">
        <w:rPr>
          <w:color w:val="000000" w:themeColor="text1"/>
        </w:rPr>
        <w:t xml:space="preserve">through social development and crime prevention </w:t>
      </w:r>
      <w:r w:rsidR="0009218F">
        <w:rPr>
          <w:color w:val="000000" w:themeColor="text1"/>
        </w:rPr>
        <w:t xml:space="preserve">via </w:t>
      </w:r>
      <w:r w:rsidR="006A7664">
        <w:rPr>
          <w:color w:val="000000" w:themeColor="text1"/>
        </w:rPr>
        <w:t>environmental design</w:t>
      </w:r>
      <w:r w:rsidR="00E27399">
        <w:rPr>
          <w:color w:val="000000" w:themeColor="text1"/>
        </w:rPr>
        <w:t xml:space="preserve">. </w:t>
      </w:r>
      <w:r w:rsidR="0009218F">
        <w:rPr>
          <w:color w:val="000000" w:themeColor="text1"/>
        </w:rPr>
        <w:t xml:space="preserve">In emphasising the value of public health approaches, </w:t>
      </w:r>
      <w:r w:rsidR="00E27399">
        <w:rPr>
          <w:color w:val="000000" w:themeColor="text1"/>
        </w:rPr>
        <w:t>Moore (1995)</w:t>
      </w:r>
      <w:r w:rsidR="00911039">
        <w:rPr>
          <w:color w:val="000000" w:themeColor="text1"/>
        </w:rPr>
        <w:t xml:space="preserve"> </w:t>
      </w:r>
      <w:r w:rsidR="0009218F">
        <w:rPr>
          <w:color w:val="000000" w:themeColor="text1"/>
        </w:rPr>
        <w:t xml:space="preserve">posited </w:t>
      </w:r>
      <w:r w:rsidR="00414434">
        <w:rPr>
          <w:color w:val="000000" w:themeColor="text1"/>
        </w:rPr>
        <w:t xml:space="preserve">that </w:t>
      </w:r>
      <w:r w:rsidR="00305D2E">
        <w:rPr>
          <w:color w:val="000000" w:themeColor="text1"/>
        </w:rPr>
        <w:t xml:space="preserve">violence </w:t>
      </w:r>
      <w:r w:rsidR="0009218F">
        <w:rPr>
          <w:color w:val="000000" w:themeColor="text1"/>
        </w:rPr>
        <w:t xml:space="preserve">is </w:t>
      </w:r>
      <w:r w:rsidR="00305D2E">
        <w:rPr>
          <w:color w:val="000000" w:themeColor="text1"/>
        </w:rPr>
        <w:t>a threat to community health</w:t>
      </w:r>
      <w:r w:rsidR="009A2C60">
        <w:rPr>
          <w:color w:val="000000" w:themeColor="text1"/>
        </w:rPr>
        <w:t xml:space="preserve"> </w:t>
      </w:r>
      <w:r w:rsidR="00133AED">
        <w:rPr>
          <w:color w:val="000000" w:themeColor="text1"/>
        </w:rPr>
        <w:t xml:space="preserve">which </w:t>
      </w:r>
      <w:r w:rsidR="009A2C60">
        <w:rPr>
          <w:color w:val="000000" w:themeColor="text1"/>
        </w:rPr>
        <w:t xml:space="preserve">emerges from a complex </w:t>
      </w:r>
      <w:r w:rsidR="00CE2A23">
        <w:rPr>
          <w:color w:val="000000" w:themeColor="text1"/>
        </w:rPr>
        <w:t xml:space="preserve">causal system that goes beyond </w:t>
      </w:r>
      <w:r w:rsidR="005D136A">
        <w:rPr>
          <w:color w:val="000000" w:themeColor="text1"/>
        </w:rPr>
        <w:t xml:space="preserve">an offenders’ motivations, </w:t>
      </w:r>
      <w:proofErr w:type="gramStart"/>
      <w:r w:rsidR="005D136A">
        <w:rPr>
          <w:color w:val="000000" w:themeColor="text1"/>
        </w:rPr>
        <w:t>intentions</w:t>
      </w:r>
      <w:proofErr w:type="gramEnd"/>
      <w:r w:rsidR="005D136A">
        <w:rPr>
          <w:color w:val="000000" w:themeColor="text1"/>
        </w:rPr>
        <w:t xml:space="preserve"> and character</w:t>
      </w:r>
      <w:r w:rsidR="00133AED">
        <w:rPr>
          <w:color w:val="000000" w:themeColor="text1"/>
        </w:rPr>
        <w:t xml:space="preserve">. </w:t>
      </w:r>
      <w:r w:rsidR="00133AED" w:rsidRPr="00CF2F2B">
        <w:rPr>
          <w:i/>
          <w:iCs/>
          <w:color w:val="000000" w:themeColor="text1"/>
        </w:rPr>
        <w:t>Ergo</w:t>
      </w:r>
      <w:r w:rsidR="00133AED">
        <w:rPr>
          <w:color w:val="000000" w:themeColor="text1"/>
        </w:rPr>
        <w:t>,</w:t>
      </w:r>
      <w:r w:rsidR="00CE5304">
        <w:rPr>
          <w:color w:val="000000" w:themeColor="text1"/>
        </w:rPr>
        <w:t xml:space="preserve"> interventions that take place at the level of ‘primary’ prevention </w:t>
      </w:r>
      <w:r w:rsidR="00122B8A">
        <w:rPr>
          <w:color w:val="000000" w:themeColor="text1"/>
        </w:rPr>
        <w:t>-</w:t>
      </w:r>
      <w:r w:rsidR="00CE5304">
        <w:rPr>
          <w:color w:val="000000" w:themeColor="text1"/>
        </w:rPr>
        <w:t xml:space="preserve"> </w:t>
      </w:r>
      <w:r w:rsidR="00605C2C">
        <w:rPr>
          <w:color w:val="000000" w:themeColor="text1"/>
        </w:rPr>
        <w:t>mitigat</w:t>
      </w:r>
      <w:r w:rsidR="0017051E">
        <w:rPr>
          <w:color w:val="000000" w:themeColor="text1"/>
        </w:rPr>
        <w:t>e</w:t>
      </w:r>
      <w:r w:rsidR="00605C2C">
        <w:rPr>
          <w:color w:val="000000" w:themeColor="text1"/>
        </w:rPr>
        <w:t xml:space="preserve"> against </w:t>
      </w:r>
      <w:r w:rsidR="00CE5304">
        <w:rPr>
          <w:color w:val="000000" w:themeColor="text1"/>
        </w:rPr>
        <w:t>harm</w:t>
      </w:r>
      <w:r w:rsidR="00650688">
        <w:rPr>
          <w:color w:val="000000" w:themeColor="text1"/>
        </w:rPr>
        <w:t>s</w:t>
      </w:r>
      <w:r w:rsidR="00CE5304">
        <w:rPr>
          <w:color w:val="000000" w:themeColor="text1"/>
        </w:rPr>
        <w:t xml:space="preserve"> </w:t>
      </w:r>
      <w:r w:rsidR="00920B51">
        <w:rPr>
          <w:color w:val="000000" w:themeColor="text1"/>
        </w:rPr>
        <w:t xml:space="preserve">before they </w:t>
      </w:r>
      <w:r w:rsidR="00CE5304">
        <w:rPr>
          <w:color w:val="000000" w:themeColor="text1"/>
        </w:rPr>
        <w:t xml:space="preserve">occur </w:t>
      </w:r>
      <w:r w:rsidR="00122B8A">
        <w:rPr>
          <w:color w:val="000000" w:themeColor="text1"/>
        </w:rPr>
        <w:t>-</w:t>
      </w:r>
      <w:r w:rsidR="00650688">
        <w:rPr>
          <w:color w:val="000000" w:themeColor="text1"/>
        </w:rPr>
        <w:t xml:space="preserve"> and at the level of ‘tertiary’ and ‘secondary’</w:t>
      </w:r>
      <w:r w:rsidR="003742C3">
        <w:rPr>
          <w:color w:val="000000" w:themeColor="text1"/>
        </w:rPr>
        <w:t xml:space="preserve"> </w:t>
      </w:r>
      <w:r w:rsidR="00122B8A">
        <w:rPr>
          <w:color w:val="000000" w:themeColor="text1"/>
        </w:rPr>
        <w:t>-</w:t>
      </w:r>
      <w:r w:rsidR="003742C3">
        <w:rPr>
          <w:color w:val="000000" w:themeColor="text1"/>
        </w:rPr>
        <w:t xml:space="preserve"> when the risk of violence has already been identified or already occurred</w:t>
      </w:r>
      <w:r w:rsidR="00133AED">
        <w:rPr>
          <w:color w:val="000000" w:themeColor="text1"/>
        </w:rPr>
        <w:t xml:space="preserve"> </w:t>
      </w:r>
      <w:r w:rsidR="00B852E8">
        <w:rPr>
          <w:color w:val="000000" w:themeColor="text1"/>
        </w:rPr>
        <w:t>–</w:t>
      </w:r>
      <w:r w:rsidR="00133AED">
        <w:rPr>
          <w:color w:val="000000" w:themeColor="text1"/>
        </w:rPr>
        <w:t xml:space="preserve"> are</w:t>
      </w:r>
      <w:r w:rsidR="00B852E8">
        <w:rPr>
          <w:color w:val="000000" w:themeColor="text1"/>
        </w:rPr>
        <w:t xml:space="preserve"> </w:t>
      </w:r>
      <w:r w:rsidR="00133AED">
        <w:rPr>
          <w:color w:val="000000" w:themeColor="text1"/>
        </w:rPr>
        <w:t xml:space="preserve">essential in </w:t>
      </w:r>
      <w:r w:rsidR="00A55F2D">
        <w:rPr>
          <w:color w:val="000000" w:themeColor="text1"/>
        </w:rPr>
        <w:t xml:space="preserve">reducing </w:t>
      </w:r>
      <w:r w:rsidR="00133AED">
        <w:rPr>
          <w:color w:val="000000" w:themeColor="text1"/>
        </w:rPr>
        <w:t>violent crime</w:t>
      </w:r>
      <w:r w:rsidR="005D136A">
        <w:rPr>
          <w:color w:val="000000" w:themeColor="text1"/>
        </w:rPr>
        <w:t>.</w:t>
      </w:r>
      <w:r w:rsidR="00F35FFA">
        <w:rPr>
          <w:color w:val="000000" w:themeColor="text1"/>
        </w:rPr>
        <w:t xml:space="preserve"> </w:t>
      </w:r>
      <w:r w:rsidR="00122B8A">
        <w:rPr>
          <w:color w:val="000000" w:themeColor="text1"/>
        </w:rPr>
        <w:t xml:space="preserve">Notwithstanding the above, it is </w:t>
      </w:r>
      <w:r w:rsidR="00A426EB">
        <w:rPr>
          <w:color w:val="000000" w:themeColor="text1"/>
        </w:rPr>
        <w:t xml:space="preserve">only </w:t>
      </w:r>
      <w:r w:rsidR="002E180C">
        <w:rPr>
          <w:color w:val="000000" w:themeColor="text1"/>
        </w:rPr>
        <w:t xml:space="preserve">relatively </w:t>
      </w:r>
      <w:r w:rsidR="00A426EB">
        <w:rPr>
          <w:color w:val="000000" w:themeColor="text1"/>
        </w:rPr>
        <w:t xml:space="preserve">recently </w:t>
      </w:r>
      <w:r w:rsidR="00122B8A">
        <w:rPr>
          <w:color w:val="000000" w:themeColor="text1"/>
        </w:rPr>
        <w:t xml:space="preserve">that </w:t>
      </w:r>
      <w:r w:rsidR="00A426EB">
        <w:rPr>
          <w:color w:val="000000" w:themeColor="text1"/>
        </w:rPr>
        <w:t xml:space="preserve">the public health </w:t>
      </w:r>
      <w:r w:rsidR="00A426EB">
        <w:rPr>
          <w:color w:val="000000" w:themeColor="text1"/>
        </w:rPr>
        <w:lastRenderedPageBreak/>
        <w:t xml:space="preserve">vocabulary </w:t>
      </w:r>
      <w:r w:rsidR="00CB4514">
        <w:rPr>
          <w:color w:val="000000" w:themeColor="text1"/>
        </w:rPr>
        <w:t>of</w:t>
      </w:r>
      <w:r w:rsidR="003742C3">
        <w:rPr>
          <w:color w:val="000000" w:themeColor="text1"/>
        </w:rPr>
        <w:t xml:space="preserve"> </w:t>
      </w:r>
      <w:r w:rsidR="00CB4514">
        <w:rPr>
          <w:color w:val="000000" w:themeColor="text1"/>
        </w:rPr>
        <w:t xml:space="preserve">primary, </w:t>
      </w:r>
      <w:proofErr w:type="gramStart"/>
      <w:r w:rsidR="00CB4514">
        <w:rPr>
          <w:color w:val="000000" w:themeColor="text1"/>
        </w:rPr>
        <w:t>secondary</w:t>
      </w:r>
      <w:proofErr w:type="gramEnd"/>
      <w:r w:rsidR="00CB4514">
        <w:rPr>
          <w:color w:val="000000" w:themeColor="text1"/>
        </w:rPr>
        <w:t xml:space="preserve"> </w:t>
      </w:r>
      <w:r w:rsidR="004F6D1D">
        <w:rPr>
          <w:color w:val="000000" w:themeColor="text1"/>
        </w:rPr>
        <w:t xml:space="preserve">and tertiary </w:t>
      </w:r>
      <w:r w:rsidR="00CB4514">
        <w:rPr>
          <w:color w:val="000000" w:themeColor="text1"/>
        </w:rPr>
        <w:t xml:space="preserve">prevention </w:t>
      </w:r>
      <w:r w:rsidR="00605C2C">
        <w:rPr>
          <w:color w:val="000000" w:themeColor="text1"/>
        </w:rPr>
        <w:t xml:space="preserve">become focal in </w:t>
      </w:r>
      <w:r w:rsidR="003742C3">
        <w:rPr>
          <w:color w:val="000000" w:themeColor="text1"/>
        </w:rPr>
        <w:t xml:space="preserve">formal </w:t>
      </w:r>
      <w:r w:rsidR="006C2201">
        <w:rPr>
          <w:color w:val="000000" w:themeColor="text1"/>
        </w:rPr>
        <w:t>criminal justice discourse</w:t>
      </w:r>
      <w:r w:rsidR="00122B8A">
        <w:rPr>
          <w:color w:val="000000" w:themeColor="text1"/>
        </w:rPr>
        <w:t>s</w:t>
      </w:r>
      <w:r w:rsidR="004E5C7C">
        <w:rPr>
          <w:color w:val="000000" w:themeColor="text1"/>
        </w:rPr>
        <w:t xml:space="preserve">. </w:t>
      </w:r>
      <w:r w:rsidR="006B0F8E">
        <w:t xml:space="preserve">It is only since the publication of the national </w:t>
      </w:r>
      <w:r w:rsidR="006B0F8E" w:rsidRPr="00596474">
        <w:rPr>
          <w:i/>
          <w:iCs/>
        </w:rPr>
        <w:t xml:space="preserve">Policing, </w:t>
      </w:r>
      <w:proofErr w:type="gramStart"/>
      <w:r w:rsidR="006B0F8E" w:rsidRPr="00596474">
        <w:rPr>
          <w:i/>
          <w:iCs/>
        </w:rPr>
        <w:t>Health</w:t>
      </w:r>
      <w:proofErr w:type="gramEnd"/>
      <w:r w:rsidR="006B0F8E" w:rsidRPr="00596474">
        <w:rPr>
          <w:i/>
          <w:iCs/>
        </w:rPr>
        <w:t xml:space="preserve"> and Social Care Consensus </w:t>
      </w:r>
      <w:r w:rsidR="006B0F8E">
        <w:t xml:space="preserve">(NPCC, 2018) that all police force areas have been tasked with embedding and advancing public health approaches that emphasise the need to focus on prevention and collaborative working (see </w:t>
      </w:r>
      <w:r w:rsidR="006B0F8E">
        <w:rPr>
          <w:rFonts w:eastAsia="Calibri"/>
        </w:rPr>
        <w:t xml:space="preserve">Christmas and </w:t>
      </w:r>
      <w:proofErr w:type="spellStart"/>
      <w:r w:rsidR="006B0F8E">
        <w:rPr>
          <w:rFonts w:eastAsia="Calibri"/>
        </w:rPr>
        <w:t>Srivstava</w:t>
      </w:r>
      <w:proofErr w:type="spellEnd"/>
      <w:r w:rsidR="006B0F8E">
        <w:rPr>
          <w:rFonts w:eastAsia="Calibri"/>
        </w:rPr>
        <w:t>, 2019)</w:t>
      </w:r>
      <w:r w:rsidR="006B0F8E">
        <w:t>. Following on from this, i</w:t>
      </w:r>
      <w:r w:rsidR="00133AED">
        <w:t xml:space="preserve">n </w:t>
      </w:r>
      <w:r w:rsidR="00D67098">
        <w:t xml:space="preserve">July 2019, the UK Government announced that it would </w:t>
      </w:r>
      <w:r w:rsidR="002D2401" w:rsidRPr="000439FA">
        <w:t>introduce</w:t>
      </w:r>
      <w:r w:rsidR="005D5C9D" w:rsidRPr="000439FA">
        <w:t xml:space="preserve"> </w:t>
      </w:r>
      <w:r w:rsidR="002D2401" w:rsidRPr="000439FA">
        <w:t xml:space="preserve">new legal duties </w:t>
      </w:r>
      <w:r w:rsidR="00133AED">
        <w:t>requiring</w:t>
      </w:r>
      <w:r w:rsidR="002D2401" w:rsidRPr="000439FA">
        <w:t xml:space="preserve"> public services to work together to prevent serious violence. Forming part of </w:t>
      </w:r>
      <w:r w:rsidR="00133AED">
        <w:t xml:space="preserve">a </w:t>
      </w:r>
      <w:r w:rsidR="002D2401" w:rsidRPr="000439FA">
        <w:t>new ‘public health approach’</w:t>
      </w:r>
      <w:r w:rsidR="000439FA">
        <w:t>,</w:t>
      </w:r>
      <w:r w:rsidR="00B21583" w:rsidRPr="000439FA">
        <w:t xml:space="preserve"> funding was made available to set up Violence Reduction Un</w:t>
      </w:r>
      <w:r w:rsidR="00730149" w:rsidRPr="000439FA">
        <w:t xml:space="preserve">its in the eighteen </w:t>
      </w:r>
      <w:r w:rsidR="00922250">
        <w:t>police force</w:t>
      </w:r>
      <w:r w:rsidR="00605C2C">
        <w:t xml:space="preserve">s </w:t>
      </w:r>
      <w:r w:rsidR="006B0F8E">
        <w:t xml:space="preserve">deemed to be </w:t>
      </w:r>
      <w:r w:rsidR="00605C2C">
        <w:t xml:space="preserve">most affected by </w:t>
      </w:r>
      <w:r w:rsidR="006810A8" w:rsidRPr="000439FA">
        <w:t>violent crime</w:t>
      </w:r>
      <w:r w:rsidR="00922250">
        <w:t xml:space="preserve">. </w:t>
      </w:r>
      <w:r w:rsidR="006B0F8E">
        <w:t>Notwithstanding these developments, t</w:t>
      </w:r>
      <w:r w:rsidR="00323E6E">
        <w:t xml:space="preserve">he </w:t>
      </w:r>
      <w:r w:rsidR="00133AED">
        <w:t xml:space="preserve">key principles underpinning the </w:t>
      </w:r>
      <w:r w:rsidR="00323E6E">
        <w:t xml:space="preserve">public health approach </w:t>
      </w:r>
      <w:r w:rsidR="00133AED">
        <w:t>are</w:t>
      </w:r>
      <w:r w:rsidR="006B0F8E">
        <w:t xml:space="preserve"> </w:t>
      </w:r>
      <w:r w:rsidR="00323E6E">
        <w:t>not new</w:t>
      </w:r>
      <w:r w:rsidR="00133AED">
        <w:t xml:space="preserve"> to policing</w:t>
      </w:r>
      <w:r w:rsidR="006B0F8E">
        <w:t xml:space="preserve">, </w:t>
      </w:r>
      <w:r w:rsidR="00133AED">
        <w:t xml:space="preserve">having </w:t>
      </w:r>
      <w:r w:rsidR="007D1631">
        <w:t xml:space="preserve">previously </w:t>
      </w:r>
      <w:r w:rsidR="00133AED">
        <w:t xml:space="preserve">appeared in various guises and under different nomenclatures, including </w:t>
      </w:r>
      <w:r w:rsidR="007D1631">
        <w:t xml:space="preserve">adopting </w:t>
      </w:r>
      <w:r w:rsidR="007D1631">
        <w:rPr>
          <w:color w:val="000000" w:themeColor="text1"/>
        </w:rPr>
        <w:t xml:space="preserve">a population approach, working in partnership, focusing on prevention, using data and evidence to inform practice, addressing </w:t>
      </w:r>
      <w:proofErr w:type="gramStart"/>
      <w:r w:rsidR="007D1631">
        <w:rPr>
          <w:color w:val="000000" w:themeColor="text1"/>
        </w:rPr>
        <w:t>causes</w:t>
      </w:r>
      <w:proofErr w:type="gramEnd"/>
      <w:r w:rsidR="007D1631">
        <w:rPr>
          <w:color w:val="000000" w:themeColor="text1"/>
        </w:rPr>
        <w:t xml:space="preserve"> and evaluating implementation and impact.</w:t>
      </w:r>
      <w:r w:rsidR="00FF40BD">
        <w:rPr>
          <w:color w:val="000000" w:themeColor="text1"/>
        </w:rPr>
        <w:t xml:space="preserve"> </w:t>
      </w:r>
    </w:p>
    <w:p w14:paraId="47A90C41" w14:textId="31656DEA" w:rsidR="007D79A4" w:rsidRPr="00DF1F99" w:rsidRDefault="00FD02A1" w:rsidP="00596474">
      <w:pPr>
        <w:spacing w:before="100" w:beforeAutospacing="1" w:after="100" w:afterAutospacing="1" w:line="480" w:lineRule="auto"/>
        <w:jc w:val="both"/>
      </w:pPr>
      <w:r>
        <w:rPr>
          <w:color w:val="000000"/>
        </w:rPr>
        <w:t>T</w:t>
      </w:r>
      <w:r w:rsidR="003D11EB">
        <w:rPr>
          <w:color w:val="000000"/>
        </w:rPr>
        <w:t xml:space="preserve">he benefits of public health approaches to prevent </w:t>
      </w:r>
      <w:r w:rsidR="001D478D">
        <w:t>c</w:t>
      </w:r>
      <w:r w:rsidR="004A124C">
        <w:t>hild sexual abuse (CSA)</w:t>
      </w:r>
      <w:r w:rsidR="008B4186">
        <w:t xml:space="preserve"> </w:t>
      </w:r>
      <w:r w:rsidR="003D11EB">
        <w:t xml:space="preserve">have been acknowledged for some </w:t>
      </w:r>
      <w:r w:rsidR="003D11EB" w:rsidRPr="005B2961">
        <w:t xml:space="preserve">years </w:t>
      </w:r>
      <w:r w:rsidR="004A124C" w:rsidRPr="005B2961">
        <w:t>(</w:t>
      </w:r>
      <w:r w:rsidR="007777EC" w:rsidRPr="00DF1F99">
        <w:t xml:space="preserve">Plummer, 2001; </w:t>
      </w:r>
      <w:proofErr w:type="spellStart"/>
      <w:r w:rsidR="000F3119" w:rsidRPr="00DF1F99">
        <w:t>Fink</w:t>
      </w:r>
      <w:r w:rsidR="00C81BA6" w:rsidRPr="00DF1F99">
        <w:t>el</w:t>
      </w:r>
      <w:r w:rsidR="000F3119" w:rsidRPr="00DF1F99">
        <w:t>hor</w:t>
      </w:r>
      <w:proofErr w:type="spellEnd"/>
      <w:r w:rsidR="000F3119" w:rsidRPr="00DF1F99">
        <w:t>, 2009</w:t>
      </w:r>
      <w:r w:rsidR="00CA3ED1" w:rsidRPr="00DF1F99">
        <w:t>;</w:t>
      </w:r>
      <w:r w:rsidR="00C52F71" w:rsidRPr="005B2961">
        <w:t xml:space="preserve"> </w:t>
      </w:r>
      <w:r w:rsidR="00CA3ED1" w:rsidRPr="00DF1F99">
        <w:t>Letourneau</w:t>
      </w:r>
      <w:r w:rsidR="009C1788" w:rsidRPr="005B2961">
        <w:t>, et al. 2014</w:t>
      </w:r>
      <w:r w:rsidR="001D478D">
        <w:t>)</w:t>
      </w:r>
      <w:r>
        <w:t xml:space="preserve"> but</w:t>
      </w:r>
      <w:r w:rsidR="001D478D">
        <w:t xml:space="preserve"> </w:t>
      </w:r>
      <w:r w:rsidR="00EB0FA4">
        <w:t xml:space="preserve">it is </w:t>
      </w:r>
      <w:r w:rsidR="001D478D">
        <w:t xml:space="preserve">only relatively recently </w:t>
      </w:r>
      <w:r w:rsidR="00B06C40">
        <w:t xml:space="preserve">that they have been </w:t>
      </w:r>
      <w:r w:rsidR="00DA2F00">
        <w:t xml:space="preserve">used for </w:t>
      </w:r>
      <w:r w:rsidR="0072530F">
        <w:t>the prevention of CSE</w:t>
      </w:r>
      <w:r w:rsidR="00EB0FA4">
        <w:t xml:space="preserve">. </w:t>
      </w:r>
      <w:r w:rsidR="003B3544" w:rsidRPr="009422C2">
        <w:rPr>
          <w:color w:val="000000"/>
        </w:rPr>
        <w:t xml:space="preserve">Fuelled by a series of historical revelations and </w:t>
      </w:r>
      <w:r w:rsidR="003B3544">
        <w:rPr>
          <w:color w:val="000000"/>
        </w:rPr>
        <w:t xml:space="preserve">subsequent </w:t>
      </w:r>
      <w:r w:rsidR="003B3544" w:rsidRPr="009422C2">
        <w:rPr>
          <w:color w:val="000000"/>
        </w:rPr>
        <w:t>prosecutions</w:t>
      </w:r>
      <w:r w:rsidR="00122B8A">
        <w:rPr>
          <w:color w:val="000000"/>
        </w:rPr>
        <w:t xml:space="preserve"> documented by</w:t>
      </w:r>
      <w:r w:rsidR="00131563">
        <w:rPr>
          <w:color w:val="000000"/>
        </w:rPr>
        <w:t xml:space="preserve"> </w:t>
      </w:r>
      <w:r w:rsidR="00CA4D42">
        <w:rPr>
          <w:color w:val="000000"/>
        </w:rPr>
        <w:t>Jay</w:t>
      </w:r>
      <w:r w:rsidR="00122B8A">
        <w:rPr>
          <w:color w:val="000000"/>
        </w:rPr>
        <w:t xml:space="preserve"> (</w:t>
      </w:r>
      <w:r w:rsidR="00CA4D42">
        <w:rPr>
          <w:color w:val="000000"/>
        </w:rPr>
        <w:t>2014)</w:t>
      </w:r>
      <w:r w:rsidR="003B3544" w:rsidRPr="009422C2">
        <w:rPr>
          <w:color w:val="000000"/>
        </w:rPr>
        <w:t xml:space="preserve">, </w:t>
      </w:r>
      <w:r w:rsidR="006D7077">
        <w:rPr>
          <w:color w:val="000000"/>
        </w:rPr>
        <w:t xml:space="preserve">in </w:t>
      </w:r>
      <w:r w:rsidR="003B3544" w:rsidRPr="009422C2">
        <w:rPr>
          <w:color w:val="000000"/>
        </w:rPr>
        <w:t>the UK there has been a spike in regulatory activity a</w:t>
      </w:r>
      <w:r w:rsidR="003B3544">
        <w:rPr>
          <w:color w:val="000000"/>
        </w:rPr>
        <w:t>ddressing</w:t>
      </w:r>
      <w:r w:rsidR="003B3544" w:rsidRPr="009422C2">
        <w:rPr>
          <w:color w:val="000000"/>
        </w:rPr>
        <w:t xml:space="preserve"> C</w:t>
      </w:r>
      <w:r w:rsidR="007D7F7B">
        <w:rPr>
          <w:color w:val="000000"/>
        </w:rPr>
        <w:t xml:space="preserve">hild </w:t>
      </w:r>
      <w:r w:rsidR="003B3544" w:rsidRPr="009422C2">
        <w:rPr>
          <w:color w:val="000000"/>
        </w:rPr>
        <w:t>S</w:t>
      </w:r>
      <w:r w:rsidR="007D7F7B">
        <w:rPr>
          <w:color w:val="000000"/>
        </w:rPr>
        <w:t xml:space="preserve">exual </w:t>
      </w:r>
      <w:r w:rsidR="003B3544" w:rsidRPr="009422C2">
        <w:rPr>
          <w:color w:val="000000"/>
        </w:rPr>
        <w:t>E</w:t>
      </w:r>
      <w:r w:rsidR="007D7F7B">
        <w:rPr>
          <w:color w:val="000000"/>
        </w:rPr>
        <w:t>xp</w:t>
      </w:r>
      <w:r w:rsidR="00122B8A">
        <w:rPr>
          <w:color w:val="000000"/>
        </w:rPr>
        <w:t>l</w:t>
      </w:r>
      <w:r w:rsidR="007D7F7B">
        <w:rPr>
          <w:color w:val="000000"/>
        </w:rPr>
        <w:t>oitation (CSE)</w:t>
      </w:r>
      <w:r w:rsidR="003B3544" w:rsidRPr="009422C2">
        <w:rPr>
          <w:color w:val="000000"/>
        </w:rPr>
        <w:t xml:space="preserve"> and a series of policy imperatives </w:t>
      </w:r>
      <w:r w:rsidR="003B3544">
        <w:rPr>
          <w:color w:val="000000"/>
        </w:rPr>
        <w:t xml:space="preserve">promoting </w:t>
      </w:r>
      <w:r w:rsidR="003B3544" w:rsidRPr="009422C2">
        <w:rPr>
          <w:color w:val="000000"/>
        </w:rPr>
        <w:t>pr</w:t>
      </w:r>
      <w:r w:rsidR="003B3544">
        <w:rPr>
          <w:color w:val="000000"/>
        </w:rPr>
        <w:t>e-emptive</w:t>
      </w:r>
      <w:r w:rsidR="003B3544" w:rsidRPr="009422C2">
        <w:rPr>
          <w:color w:val="000000"/>
        </w:rPr>
        <w:t xml:space="preserve"> action. </w:t>
      </w:r>
      <w:r w:rsidR="00D82C97">
        <w:rPr>
          <w:color w:val="000000"/>
        </w:rPr>
        <w:t xml:space="preserve">Following </w:t>
      </w:r>
      <w:r w:rsidR="00A5249D">
        <w:rPr>
          <w:color w:val="000000"/>
        </w:rPr>
        <w:t>the exposure of high-profile case</w:t>
      </w:r>
      <w:r w:rsidR="00E93292">
        <w:rPr>
          <w:color w:val="000000"/>
        </w:rPr>
        <w:t>s</w:t>
      </w:r>
      <w:r w:rsidR="00A5249D">
        <w:rPr>
          <w:color w:val="000000"/>
        </w:rPr>
        <w:t xml:space="preserve"> of CSE</w:t>
      </w:r>
      <w:r w:rsidR="00F12CC2">
        <w:rPr>
          <w:color w:val="000000"/>
        </w:rPr>
        <w:t xml:space="preserve">, </w:t>
      </w:r>
      <w:r w:rsidR="00E862C4">
        <w:rPr>
          <w:color w:val="000000"/>
        </w:rPr>
        <w:t xml:space="preserve">risk regulating institutions </w:t>
      </w:r>
      <w:r w:rsidR="00A5249D" w:rsidRPr="009422C2">
        <w:rPr>
          <w:color w:val="000000"/>
        </w:rPr>
        <w:t xml:space="preserve">and agencies </w:t>
      </w:r>
      <w:r w:rsidR="00E862C4">
        <w:rPr>
          <w:color w:val="000000"/>
        </w:rPr>
        <w:t xml:space="preserve">have come </w:t>
      </w:r>
      <w:r w:rsidR="00A5249D" w:rsidRPr="009422C2">
        <w:rPr>
          <w:color w:val="000000"/>
        </w:rPr>
        <w:t>under increasing p</w:t>
      </w:r>
      <w:r w:rsidR="00A5249D">
        <w:rPr>
          <w:color w:val="000000"/>
        </w:rPr>
        <w:t xml:space="preserve">ressure to develop </w:t>
      </w:r>
      <w:r w:rsidR="001265E5">
        <w:rPr>
          <w:color w:val="000000"/>
        </w:rPr>
        <w:t xml:space="preserve">new </w:t>
      </w:r>
      <w:r w:rsidR="00A5249D">
        <w:rPr>
          <w:color w:val="000000"/>
        </w:rPr>
        <w:t>strategies</w:t>
      </w:r>
      <w:r w:rsidR="001265E5">
        <w:rPr>
          <w:color w:val="000000"/>
        </w:rPr>
        <w:t xml:space="preserve"> informed by the public health model</w:t>
      </w:r>
      <w:r w:rsidR="00A5249D">
        <w:rPr>
          <w:color w:val="000000"/>
        </w:rPr>
        <w:t xml:space="preserve">. Post </w:t>
      </w:r>
      <w:r w:rsidR="00A5249D" w:rsidRPr="009422C2">
        <w:rPr>
          <w:color w:val="000000"/>
        </w:rPr>
        <w:t>th</w:t>
      </w:r>
      <w:r w:rsidR="00A5249D">
        <w:rPr>
          <w:color w:val="000000"/>
        </w:rPr>
        <w:t xml:space="preserve">e publication of the Jay Report (2014), </w:t>
      </w:r>
      <w:r w:rsidR="00A5249D" w:rsidRPr="009422C2">
        <w:rPr>
          <w:color w:val="000000"/>
        </w:rPr>
        <w:t xml:space="preserve">the </w:t>
      </w:r>
      <w:r w:rsidR="001265E5">
        <w:rPr>
          <w:color w:val="000000"/>
        </w:rPr>
        <w:t xml:space="preserve">then </w:t>
      </w:r>
      <w:r w:rsidR="00A5249D" w:rsidRPr="009422C2">
        <w:rPr>
          <w:color w:val="000000"/>
        </w:rPr>
        <w:t>Prime Minister</w:t>
      </w:r>
      <w:r w:rsidR="001265E5">
        <w:rPr>
          <w:color w:val="000000"/>
        </w:rPr>
        <w:t>, David Cameron, referred to CSE</w:t>
      </w:r>
      <w:r w:rsidR="00A5249D" w:rsidRPr="009422C2">
        <w:rPr>
          <w:color w:val="000000"/>
        </w:rPr>
        <w:t xml:space="preserve"> as a ‘national threat’</w:t>
      </w:r>
      <w:r w:rsidR="00A5249D">
        <w:rPr>
          <w:color w:val="000000"/>
        </w:rPr>
        <w:t>,</w:t>
      </w:r>
      <w:r w:rsidR="00A5249D" w:rsidRPr="009422C2">
        <w:rPr>
          <w:color w:val="000000"/>
        </w:rPr>
        <w:t xml:space="preserve"> directing police forces to collaborate more effectively across regional boundaries </w:t>
      </w:r>
      <w:r w:rsidR="00A5249D">
        <w:rPr>
          <w:color w:val="000000"/>
        </w:rPr>
        <w:t>to better</w:t>
      </w:r>
      <w:r w:rsidR="00A5249D" w:rsidRPr="009422C2">
        <w:rPr>
          <w:color w:val="000000"/>
        </w:rPr>
        <w:t xml:space="preserve"> safeguard children (HM Government, 2015). Following this, national </w:t>
      </w:r>
      <w:r w:rsidR="00A5249D" w:rsidRPr="009422C2">
        <w:rPr>
          <w:color w:val="000000"/>
        </w:rPr>
        <w:lastRenderedPageBreak/>
        <w:t>guidance for practitioners, loca</w:t>
      </w:r>
      <w:r w:rsidR="00A5249D">
        <w:rPr>
          <w:color w:val="000000"/>
        </w:rPr>
        <w:t xml:space="preserve">l </w:t>
      </w:r>
      <w:proofErr w:type="gramStart"/>
      <w:r w:rsidR="00A5249D">
        <w:rPr>
          <w:color w:val="000000"/>
        </w:rPr>
        <w:t>leaders</w:t>
      </w:r>
      <w:proofErr w:type="gramEnd"/>
      <w:r w:rsidR="00A5249D">
        <w:rPr>
          <w:color w:val="000000"/>
        </w:rPr>
        <w:t xml:space="preserve"> and decision makers</w:t>
      </w:r>
      <w:r w:rsidR="00ED2F1E">
        <w:rPr>
          <w:color w:val="000000"/>
        </w:rPr>
        <w:t>,</w:t>
      </w:r>
      <w:r w:rsidR="00A5249D">
        <w:rPr>
          <w:color w:val="000000"/>
        </w:rPr>
        <w:t xml:space="preserve"> was introduced </w:t>
      </w:r>
      <w:r w:rsidR="003C09DE">
        <w:rPr>
          <w:color w:val="000000"/>
        </w:rPr>
        <w:t xml:space="preserve">encouraging the use of risk-focused interventions channelled toward raising among young people, parents, carers and potential </w:t>
      </w:r>
      <w:r w:rsidR="00B86E03">
        <w:rPr>
          <w:color w:val="000000"/>
        </w:rPr>
        <w:t xml:space="preserve">perpetrators </w:t>
      </w:r>
      <w:r w:rsidR="009274FF" w:rsidRPr="009422C2">
        <w:rPr>
          <w:color w:val="000000"/>
        </w:rPr>
        <w:t>(Department for Education, 2017:</w:t>
      </w:r>
      <w:r w:rsidR="009274FF">
        <w:rPr>
          <w:color w:val="000000"/>
        </w:rPr>
        <w:t xml:space="preserve"> </w:t>
      </w:r>
      <w:r w:rsidR="009274FF" w:rsidRPr="009422C2">
        <w:rPr>
          <w:color w:val="000000"/>
        </w:rPr>
        <w:t>18).</w:t>
      </w:r>
      <w:r w:rsidR="00B86E03">
        <w:rPr>
          <w:color w:val="000000"/>
        </w:rPr>
        <w:t xml:space="preserve"> </w:t>
      </w:r>
      <w:r w:rsidR="00412D8F">
        <w:rPr>
          <w:color w:val="000000" w:themeColor="text1"/>
        </w:rPr>
        <w:t xml:space="preserve">Within these public health frameworks, the prevention, identification, and reduction of risk </w:t>
      </w:r>
      <w:r w:rsidR="00B86E03">
        <w:rPr>
          <w:color w:val="000000" w:themeColor="text1"/>
        </w:rPr>
        <w:t xml:space="preserve">became </w:t>
      </w:r>
      <w:r w:rsidR="00412D8F">
        <w:rPr>
          <w:color w:val="000000" w:themeColor="text1"/>
        </w:rPr>
        <w:t xml:space="preserve">a key objective. </w:t>
      </w:r>
    </w:p>
    <w:p w14:paraId="07A18779" w14:textId="448BDE3B" w:rsidR="00B04B83" w:rsidRPr="00205555" w:rsidRDefault="00333B8D" w:rsidP="004375C5">
      <w:pPr>
        <w:pStyle w:val="NormalWeb"/>
        <w:spacing w:line="480" w:lineRule="auto"/>
        <w:jc w:val="both"/>
      </w:pPr>
      <w:r>
        <w:t>T</w:t>
      </w:r>
      <w:r w:rsidR="001265E5">
        <w:t xml:space="preserve">he limited </w:t>
      </w:r>
      <w:r w:rsidR="006278E9" w:rsidRPr="00205555">
        <w:t>evidence produced thus far s</w:t>
      </w:r>
      <w:r w:rsidR="001265E5">
        <w:t>uggest</w:t>
      </w:r>
      <w:r>
        <w:t>s</w:t>
      </w:r>
      <w:r w:rsidR="006278E9" w:rsidRPr="00205555">
        <w:t xml:space="preserve"> some progress </w:t>
      </w:r>
      <w:r w:rsidR="008D768A" w:rsidRPr="00205555">
        <w:t xml:space="preserve">in </w:t>
      </w:r>
      <w:r w:rsidR="00D87B11" w:rsidRPr="00205555">
        <w:t xml:space="preserve">applying </w:t>
      </w:r>
      <w:r w:rsidR="00BB30B8" w:rsidRPr="00205555">
        <w:t xml:space="preserve">public health approaches to </w:t>
      </w:r>
      <w:r w:rsidR="00F852DC">
        <w:t xml:space="preserve">a </w:t>
      </w:r>
      <w:r w:rsidR="00BB30B8" w:rsidRPr="00205555">
        <w:t>breadth of areas within policing</w:t>
      </w:r>
      <w:r w:rsidR="00FF5B43" w:rsidRPr="00205555">
        <w:t xml:space="preserve"> (</w:t>
      </w:r>
      <w:r w:rsidR="006B3FED" w:rsidRPr="00205555">
        <w:t>College of Policing, 2021)</w:t>
      </w:r>
      <w:r>
        <w:t>. However,</w:t>
      </w:r>
      <w:r w:rsidR="00D87B11" w:rsidRPr="00205555">
        <w:t xml:space="preserve"> the way in which such approaches are </w:t>
      </w:r>
      <w:r w:rsidR="00122B8A">
        <w:t>experienced by those engaging with them</w:t>
      </w:r>
      <w:r w:rsidR="00344CFB">
        <w:t>,</w:t>
      </w:r>
      <w:r w:rsidR="00122B8A">
        <w:t xml:space="preserve"> </w:t>
      </w:r>
      <w:proofErr w:type="gramStart"/>
      <w:r w:rsidR="00D87B11" w:rsidRPr="00205555">
        <w:t xml:space="preserve">and </w:t>
      </w:r>
      <w:r w:rsidR="00122B8A">
        <w:t>also</w:t>
      </w:r>
      <w:proofErr w:type="gramEnd"/>
      <w:r w:rsidR="00122B8A">
        <w:t xml:space="preserve"> how they are understood and </w:t>
      </w:r>
      <w:r w:rsidR="00D87B11" w:rsidRPr="00205555">
        <w:t xml:space="preserve">operationalised </w:t>
      </w:r>
      <w:r w:rsidR="00122B8A">
        <w:t>by practitioners implementing them</w:t>
      </w:r>
      <w:r w:rsidR="00344CFB">
        <w:t>,</w:t>
      </w:r>
      <w:r w:rsidR="00122B8A">
        <w:t xml:space="preserve"> </w:t>
      </w:r>
      <w:r w:rsidR="006C042A">
        <w:t xml:space="preserve">has </w:t>
      </w:r>
      <w:r w:rsidR="00122B8A">
        <w:t xml:space="preserve">evaded analytical scrutiny. </w:t>
      </w:r>
      <w:r w:rsidR="006D74D6" w:rsidRPr="00205555">
        <w:rPr>
          <w:color w:val="000000" w:themeColor="text1"/>
        </w:rPr>
        <w:t>Often</w:t>
      </w:r>
      <w:r w:rsidR="001265E5">
        <w:rPr>
          <w:color w:val="000000" w:themeColor="text1"/>
        </w:rPr>
        <w:t xml:space="preserve"> - </w:t>
      </w:r>
      <w:r w:rsidR="009B3324" w:rsidRPr="00205555">
        <w:rPr>
          <w:color w:val="000000" w:themeColor="text1"/>
        </w:rPr>
        <w:t>and particularly within the crime reduction arena</w:t>
      </w:r>
      <w:r w:rsidR="001265E5">
        <w:rPr>
          <w:color w:val="000000" w:themeColor="text1"/>
        </w:rPr>
        <w:t xml:space="preserve"> - </w:t>
      </w:r>
      <w:r w:rsidR="009B3324" w:rsidRPr="00205555">
        <w:rPr>
          <w:color w:val="000000" w:themeColor="text1"/>
        </w:rPr>
        <w:t xml:space="preserve">the implementation of public health frameworks </w:t>
      </w:r>
      <w:r w:rsidR="006D48BD">
        <w:rPr>
          <w:color w:val="000000" w:themeColor="text1"/>
        </w:rPr>
        <w:t>necessitates modes</w:t>
      </w:r>
      <w:r w:rsidR="00122B8A">
        <w:rPr>
          <w:color w:val="000000" w:themeColor="text1"/>
        </w:rPr>
        <w:t xml:space="preserve"> of </w:t>
      </w:r>
      <w:r w:rsidR="009B3324" w:rsidRPr="00205555">
        <w:rPr>
          <w:color w:val="000000" w:themeColor="text1"/>
        </w:rPr>
        <w:t xml:space="preserve">surveillance and intervention. </w:t>
      </w:r>
      <w:r w:rsidR="00122B8A">
        <w:rPr>
          <w:color w:val="000000" w:themeColor="text1"/>
        </w:rPr>
        <w:t xml:space="preserve">As </w:t>
      </w:r>
      <w:r w:rsidR="006D48BD">
        <w:rPr>
          <w:color w:val="000000" w:themeColor="text1"/>
        </w:rPr>
        <w:t xml:space="preserve">proponents of the governmentality </w:t>
      </w:r>
      <w:r w:rsidR="00D11F83">
        <w:rPr>
          <w:color w:val="000000" w:themeColor="text1"/>
        </w:rPr>
        <w:t xml:space="preserve">thesis </w:t>
      </w:r>
      <w:r w:rsidR="00122B8A">
        <w:rPr>
          <w:color w:val="000000" w:themeColor="text1"/>
        </w:rPr>
        <w:t xml:space="preserve">have illuminated, the valorisation of risk as a driver for governance can incite </w:t>
      </w:r>
      <w:r w:rsidR="001265E5">
        <w:rPr>
          <w:color w:val="000000" w:themeColor="text1"/>
        </w:rPr>
        <w:t xml:space="preserve">a panoply of </w:t>
      </w:r>
      <w:r w:rsidR="00122B8A">
        <w:rPr>
          <w:color w:val="000000" w:themeColor="text1"/>
        </w:rPr>
        <w:t xml:space="preserve">techniques of regulation, </w:t>
      </w:r>
      <w:proofErr w:type="gramStart"/>
      <w:r w:rsidR="009B3324" w:rsidRPr="00205555">
        <w:rPr>
          <w:color w:val="000000" w:themeColor="text1"/>
        </w:rPr>
        <w:t>educat</w:t>
      </w:r>
      <w:r w:rsidR="00122B8A">
        <w:rPr>
          <w:color w:val="000000" w:themeColor="text1"/>
        </w:rPr>
        <w:t>ion</w:t>
      </w:r>
      <w:proofErr w:type="gramEnd"/>
      <w:r w:rsidR="009B3324" w:rsidRPr="00205555">
        <w:rPr>
          <w:color w:val="000000" w:themeColor="text1"/>
        </w:rPr>
        <w:t xml:space="preserve"> and </w:t>
      </w:r>
      <w:r w:rsidR="00122B8A">
        <w:rPr>
          <w:color w:val="000000" w:themeColor="text1"/>
        </w:rPr>
        <w:t xml:space="preserve">monitoring, </w:t>
      </w:r>
      <w:r w:rsidR="00730DD1">
        <w:rPr>
          <w:color w:val="000000" w:themeColor="text1"/>
        </w:rPr>
        <w:t xml:space="preserve">ushered in </w:t>
      </w:r>
      <w:r w:rsidR="00122B8A">
        <w:rPr>
          <w:color w:val="000000" w:themeColor="text1"/>
        </w:rPr>
        <w:t>under the rationale that the safety of both ‘risky’ and ‘at risk’ individuals</w:t>
      </w:r>
      <w:r w:rsidR="00730DD1">
        <w:rPr>
          <w:color w:val="000000" w:themeColor="text1"/>
        </w:rPr>
        <w:t xml:space="preserve"> must</w:t>
      </w:r>
      <w:r w:rsidR="00122B8A">
        <w:rPr>
          <w:color w:val="000000" w:themeColor="text1"/>
        </w:rPr>
        <w:t xml:space="preserve"> </w:t>
      </w:r>
      <w:r w:rsidR="001265E5">
        <w:rPr>
          <w:color w:val="000000" w:themeColor="text1"/>
        </w:rPr>
        <w:t>be</w:t>
      </w:r>
      <w:r w:rsidR="00122B8A">
        <w:rPr>
          <w:color w:val="000000" w:themeColor="text1"/>
        </w:rPr>
        <w:t xml:space="preserve"> prioritised </w:t>
      </w:r>
      <w:r w:rsidR="009B3324" w:rsidRPr="00205555">
        <w:rPr>
          <w:color w:val="000000" w:themeColor="text1"/>
        </w:rPr>
        <w:t>(</w:t>
      </w:r>
      <w:r w:rsidR="001265E5">
        <w:rPr>
          <w:color w:val="000000" w:themeColor="text1"/>
        </w:rPr>
        <w:t xml:space="preserve">see </w:t>
      </w:r>
      <w:r w:rsidR="009B3324" w:rsidRPr="00205555">
        <w:t>O’Malley, 1992; Rose and Miller, 1992). Th</w:t>
      </w:r>
      <w:r w:rsidR="001265E5">
        <w:t>ese assorted</w:t>
      </w:r>
      <w:r w:rsidR="009B3324" w:rsidRPr="00205555">
        <w:t xml:space="preserve"> process</w:t>
      </w:r>
      <w:r w:rsidR="001265E5">
        <w:t xml:space="preserve">es of surveillance not only define </w:t>
      </w:r>
      <w:r w:rsidR="009B3324" w:rsidRPr="00205555">
        <w:t>individuals</w:t>
      </w:r>
      <w:r w:rsidR="00FA5D36">
        <w:t xml:space="preserve"> </w:t>
      </w:r>
      <w:r w:rsidR="001265E5">
        <w:t xml:space="preserve">- </w:t>
      </w:r>
      <w:r w:rsidR="00FA5D36">
        <w:t xml:space="preserve">and indeed communities </w:t>
      </w:r>
      <w:r w:rsidR="001265E5">
        <w:t xml:space="preserve">- </w:t>
      </w:r>
      <w:r w:rsidR="00FA5D36">
        <w:t xml:space="preserve">as </w:t>
      </w:r>
      <w:r w:rsidR="00DB784A">
        <w:t xml:space="preserve">potentially threatening, </w:t>
      </w:r>
      <w:r w:rsidR="00924CF5">
        <w:t xml:space="preserve">but </w:t>
      </w:r>
      <w:r w:rsidR="001265E5">
        <w:t xml:space="preserve">effectively </w:t>
      </w:r>
      <w:r w:rsidR="00D11F83">
        <w:t>‘</w:t>
      </w:r>
      <w:r w:rsidR="00FA5D36">
        <w:t>ma</w:t>
      </w:r>
      <w:r w:rsidR="00B632C7">
        <w:t>k</w:t>
      </w:r>
      <w:r w:rsidR="00FA5D36">
        <w:t>e</w:t>
      </w:r>
      <w:r w:rsidR="00B632C7">
        <w:t>-</w:t>
      </w:r>
      <w:r w:rsidR="00FA5D36">
        <w:t>up</w:t>
      </w:r>
      <w:r w:rsidR="00D11F83">
        <w:t>’</w:t>
      </w:r>
      <w:r w:rsidR="00FA5D36">
        <w:t xml:space="preserve"> subjects and</w:t>
      </w:r>
      <w:r w:rsidR="009B3324" w:rsidRPr="00205555">
        <w:t xml:space="preserve"> object</w:t>
      </w:r>
      <w:r w:rsidR="00FA5D36">
        <w:t>s</w:t>
      </w:r>
      <w:r w:rsidR="009B3324" w:rsidRPr="00205555">
        <w:t xml:space="preserve"> </w:t>
      </w:r>
      <w:r w:rsidR="00FA5D36">
        <w:t>that require</w:t>
      </w:r>
      <w:r w:rsidR="009B3324" w:rsidRPr="00205555">
        <w:t xml:space="preserve"> </w:t>
      </w:r>
      <w:r w:rsidR="00FA5D36">
        <w:t xml:space="preserve">tracking and surveillance </w:t>
      </w:r>
      <w:r w:rsidR="009B3324" w:rsidRPr="00205555">
        <w:t>(</w:t>
      </w:r>
      <w:r w:rsidR="00DB784A" w:rsidRPr="00205555">
        <w:t xml:space="preserve">Kelly, 2001; </w:t>
      </w:r>
      <w:r w:rsidR="009B3324" w:rsidRPr="00205555">
        <w:t xml:space="preserve">Rose, 1999). </w:t>
      </w:r>
      <w:r w:rsidR="00892EAC" w:rsidRPr="00205555">
        <w:t>As</w:t>
      </w:r>
      <w:r w:rsidR="00FA5D36">
        <w:t xml:space="preserve"> we shall elucidate, with recourse to a</w:t>
      </w:r>
      <w:r w:rsidR="001265E5">
        <w:t xml:space="preserve"> specific</w:t>
      </w:r>
      <w:r w:rsidR="00FA5D36">
        <w:t xml:space="preserve"> empirical study gauging the efficacy of an awareness raising initiative about CSE with young people, </w:t>
      </w:r>
      <w:r w:rsidR="00892EAC" w:rsidRPr="00205555">
        <w:t xml:space="preserve">approaches </w:t>
      </w:r>
      <w:r w:rsidR="00FA5D36">
        <w:t xml:space="preserve">directed toward </w:t>
      </w:r>
      <w:r w:rsidR="00892EAC" w:rsidRPr="00205555">
        <w:t>pre-emptive interventions</w:t>
      </w:r>
      <w:r w:rsidR="00FA5D36">
        <w:t xml:space="preserve"> and undergirded by the assumption that </w:t>
      </w:r>
      <w:r w:rsidR="00FA5D36" w:rsidRPr="00205555">
        <w:t>‘anybody can be at</w:t>
      </w:r>
      <w:r w:rsidR="00FA5D36">
        <w:t xml:space="preserve"> risk’</w:t>
      </w:r>
      <w:r w:rsidR="00FA5D36" w:rsidRPr="00205555">
        <w:t xml:space="preserve"> </w:t>
      </w:r>
      <w:r w:rsidR="00FA5D36">
        <w:t xml:space="preserve">- may result in </w:t>
      </w:r>
      <w:r w:rsidR="00892EAC" w:rsidRPr="00205555">
        <w:t>expos</w:t>
      </w:r>
      <w:r w:rsidR="00FA5D36">
        <w:t>ing</w:t>
      </w:r>
      <w:r w:rsidR="00892EAC" w:rsidRPr="00205555">
        <w:t xml:space="preserve"> young people to increasing forms of securitisation.</w:t>
      </w:r>
      <w:r w:rsidR="002659B1" w:rsidRPr="00205555">
        <w:t xml:space="preserve"> Before </w:t>
      </w:r>
      <w:r w:rsidR="001265E5">
        <w:t xml:space="preserve">scrutinising the ways in which </w:t>
      </w:r>
      <w:r w:rsidR="002659B1" w:rsidRPr="00205555">
        <w:t xml:space="preserve">public health approaches to the prevention of CSE </w:t>
      </w:r>
      <w:r w:rsidR="00DB784A">
        <w:t xml:space="preserve">were interpreted and </w:t>
      </w:r>
      <w:r w:rsidR="002659B1" w:rsidRPr="00205555">
        <w:t>operationalised</w:t>
      </w:r>
      <w:r w:rsidR="001265E5">
        <w:t xml:space="preserve"> </w:t>
      </w:r>
      <w:r w:rsidR="00DB784A">
        <w:t xml:space="preserve">in this </w:t>
      </w:r>
      <w:r w:rsidR="00E32B33">
        <w:t xml:space="preserve">specific </w:t>
      </w:r>
      <w:r w:rsidR="00730DD1">
        <w:t>case</w:t>
      </w:r>
      <w:r w:rsidR="00E32B33">
        <w:t xml:space="preserve">, </w:t>
      </w:r>
      <w:r w:rsidR="00383151" w:rsidRPr="00205555">
        <w:t xml:space="preserve">we </w:t>
      </w:r>
      <w:r w:rsidR="00F15603">
        <w:t xml:space="preserve">outline </w:t>
      </w:r>
      <w:r w:rsidR="00383151" w:rsidRPr="00205555">
        <w:t xml:space="preserve">below the </w:t>
      </w:r>
      <w:r w:rsidR="00245134" w:rsidRPr="00205555">
        <w:t>study design</w:t>
      </w:r>
      <w:r w:rsidR="00B632C7">
        <w:t>.</w:t>
      </w:r>
    </w:p>
    <w:p w14:paraId="469AB753" w14:textId="00530E9E" w:rsidR="009B3324" w:rsidRDefault="007239B3" w:rsidP="004375C5">
      <w:pPr>
        <w:pStyle w:val="NormalWeb"/>
        <w:spacing w:line="480" w:lineRule="auto"/>
        <w:jc w:val="both"/>
        <w:rPr>
          <w:b/>
          <w:bCs/>
        </w:rPr>
      </w:pPr>
      <w:r>
        <w:rPr>
          <w:b/>
          <w:bCs/>
        </w:rPr>
        <w:t>Method</w:t>
      </w:r>
      <w:r w:rsidR="004B0D5E">
        <w:rPr>
          <w:b/>
          <w:bCs/>
        </w:rPr>
        <w:t>s</w:t>
      </w:r>
      <w:r w:rsidR="00730DD1">
        <w:rPr>
          <w:b/>
          <w:bCs/>
        </w:rPr>
        <w:t xml:space="preserve">, </w:t>
      </w:r>
      <w:r w:rsidR="00B04B83">
        <w:rPr>
          <w:b/>
          <w:bCs/>
        </w:rPr>
        <w:t>Study Design</w:t>
      </w:r>
      <w:r w:rsidR="00730DD1">
        <w:rPr>
          <w:b/>
          <w:bCs/>
        </w:rPr>
        <w:t xml:space="preserve"> and Key Findings</w:t>
      </w:r>
      <w:r w:rsidR="002C5034">
        <w:rPr>
          <w:b/>
          <w:bCs/>
        </w:rPr>
        <w:t xml:space="preserve"> </w:t>
      </w:r>
    </w:p>
    <w:p w14:paraId="46C8DB54" w14:textId="41E647CE" w:rsidR="0003319D" w:rsidRDefault="00AD3B5B" w:rsidP="004375C5">
      <w:pPr>
        <w:autoSpaceDE w:val="0"/>
        <w:autoSpaceDN w:val="0"/>
        <w:adjustRightInd w:val="0"/>
        <w:spacing w:line="480" w:lineRule="auto"/>
        <w:jc w:val="both"/>
      </w:pPr>
      <w:r w:rsidRPr="009422C2">
        <w:rPr>
          <w:color w:val="000000"/>
        </w:rPr>
        <w:lastRenderedPageBreak/>
        <w:t>The data presented below is drawn from a qualitative study involving 65 participants</w:t>
      </w:r>
      <w:r w:rsidR="004B0D5E">
        <w:rPr>
          <w:color w:val="000000"/>
        </w:rPr>
        <w:t>. The study was designed to</w:t>
      </w:r>
      <w:r>
        <w:rPr>
          <w:color w:val="000000"/>
        </w:rPr>
        <w:t xml:space="preserve"> </w:t>
      </w:r>
      <w:r w:rsidRPr="009422C2">
        <w:rPr>
          <w:color w:val="000000"/>
        </w:rPr>
        <w:t xml:space="preserve">evaluate the effectiveness of a CSE prevention programme implemented by a large police force area - referred </w:t>
      </w:r>
      <w:r>
        <w:rPr>
          <w:color w:val="000000"/>
        </w:rPr>
        <w:t xml:space="preserve">to </w:t>
      </w:r>
      <w:r w:rsidRPr="009422C2">
        <w:rPr>
          <w:color w:val="000000"/>
        </w:rPr>
        <w:t>hereafter as</w:t>
      </w:r>
      <w:r w:rsidR="00DB784A">
        <w:rPr>
          <w:color w:val="000000"/>
        </w:rPr>
        <w:t xml:space="preserve"> </w:t>
      </w:r>
      <w:proofErr w:type="spellStart"/>
      <w:r w:rsidR="00DB784A">
        <w:rPr>
          <w:color w:val="000000"/>
        </w:rPr>
        <w:t>Midshire</w:t>
      </w:r>
      <w:proofErr w:type="spellEnd"/>
      <w:r w:rsidRPr="009422C2">
        <w:rPr>
          <w:color w:val="000000"/>
        </w:rPr>
        <w:t>. Rooted in a public health approach (Public Health England, 2017), the ke</w:t>
      </w:r>
      <w:r>
        <w:rPr>
          <w:color w:val="000000"/>
        </w:rPr>
        <w:t>y objective of the programme was</w:t>
      </w:r>
      <w:r w:rsidRPr="009422C2">
        <w:rPr>
          <w:color w:val="000000"/>
        </w:rPr>
        <w:t xml:space="preserve"> to raise awareness of CSE among young people</w:t>
      </w:r>
      <w:r w:rsidR="004B0D5E">
        <w:rPr>
          <w:color w:val="000000"/>
        </w:rPr>
        <w:t xml:space="preserve"> and </w:t>
      </w:r>
      <w:r w:rsidRPr="009422C2">
        <w:rPr>
          <w:color w:val="000000"/>
        </w:rPr>
        <w:t xml:space="preserve">parents </w:t>
      </w:r>
      <w:r>
        <w:rPr>
          <w:color w:val="000000"/>
        </w:rPr>
        <w:t xml:space="preserve">via </w:t>
      </w:r>
      <w:r w:rsidRPr="009422C2">
        <w:rPr>
          <w:color w:val="000000"/>
        </w:rPr>
        <w:t>education, targeted prevention and support for victims and offenders. Deploying age</w:t>
      </w:r>
      <w:r w:rsidR="0098466F">
        <w:rPr>
          <w:color w:val="000000"/>
        </w:rPr>
        <w:t>-</w:t>
      </w:r>
      <w:r w:rsidRPr="009422C2">
        <w:rPr>
          <w:color w:val="000000"/>
        </w:rPr>
        <w:t xml:space="preserve">appropriate content, adapted from materials designed by CEOP (Child Exploitation and Online Protection) and children’s charities such as the NSPCC (National Society for the Protection of Children) and </w:t>
      </w:r>
      <w:proofErr w:type="spellStart"/>
      <w:r w:rsidRPr="009422C2">
        <w:rPr>
          <w:color w:val="000000"/>
        </w:rPr>
        <w:t>Barnados</w:t>
      </w:r>
      <w:proofErr w:type="spellEnd"/>
      <w:r w:rsidRPr="009422C2">
        <w:rPr>
          <w:color w:val="000000"/>
        </w:rPr>
        <w:t>, a universal education and prevention programme was delivered across a variety of settings</w:t>
      </w:r>
      <w:r w:rsidR="004B0D5E">
        <w:rPr>
          <w:color w:val="000000"/>
        </w:rPr>
        <w:t>,</w:t>
      </w:r>
      <w:r w:rsidRPr="009422C2">
        <w:rPr>
          <w:color w:val="000000"/>
        </w:rPr>
        <w:t xml:space="preserve"> including schools, </w:t>
      </w:r>
      <w:proofErr w:type="gramStart"/>
      <w:r w:rsidRPr="009422C2">
        <w:rPr>
          <w:color w:val="000000"/>
        </w:rPr>
        <w:t>colleges</w:t>
      </w:r>
      <w:proofErr w:type="gramEnd"/>
      <w:r w:rsidRPr="009422C2">
        <w:rPr>
          <w:color w:val="000000"/>
        </w:rPr>
        <w:t xml:space="preserve"> and a</w:t>
      </w:r>
      <w:r>
        <w:rPr>
          <w:color w:val="000000"/>
        </w:rPr>
        <w:t>lternative educational providers</w:t>
      </w:r>
      <w:r w:rsidRPr="009422C2">
        <w:rPr>
          <w:color w:val="000000"/>
        </w:rPr>
        <w:t>. Large group presentations were undertaken in schools</w:t>
      </w:r>
      <w:r w:rsidR="000753E0">
        <w:rPr>
          <w:color w:val="000000"/>
        </w:rPr>
        <w:t xml:space="preserve">, </w:t>
      </w:r>
      <w:r w:rsidR="004B0D5E">
        <w:rPr>
          <w:color w:val="000000"/>
        </w:rPr>
        <w:t xml:space="preserve">primarily </w:t>
      </w:r>
      <w:r w:rsidRPr="009422C2">
        <w:rPr>
          <w:color w:val="000000"/>
        </w:rPr>
        <w:t>focused on online</w:t>
      </w:r>
      <w:r w:rsidR="004B0D5E">
        <w:rPr>
          <w:color w:val="000000"/>
        </w:rPr>
        <w:t xml:space="preserve"> </w:t>
      </w:r>
      <w:proofErr w:type="gramStart"/>
      <w:r w:rsidR="004B0D5E">
        <w:rPr>
          <w:color w:val="000000"/>
        </w:rPr>
        <w:t>safety</w:t>
      </w:r>
      <w:proofErr w:type="gramEnd"/>
      <w:r w:rsidRPr="009422C2">
        <w:rPr>
          <w:color w:val="000000"/>
        </w:rPr>
        <w:t xml:space="preserve"> and raising risk awareness among potential victims of CSE. These presentations were combined with more targeted work with smaller groups of young people identified as being ‘at risk’ of becoming </w:t>
      </w:r>
      <w:r w:rsidR="00D11F83">
        <w:rPr>
          <w:color w:val="000000"/>
        </w:rPr>
        <w:t xml:space="preserve">either </w:t>
      </w:r>
      <w:r w:rsidRPr="009422C2">
        <w:rPr>
          <w:color w:val="000000"/>
        </w:rPr>
        <w:t xml:space="preserve">a victim </w:t>
      </w:r>
      <w:r w:rsidR="00D11F83">
        <w:rPr>
          <w:color w:val="000000"/>
        </w:rPr>
        <w:t>and/</w:t>
      </w:r>
      <w:r w:rsidRPr="009422C2">
        <w:rPr>
          <w:color w:val="000000"/>
        </w:rPr>
        <w:t xml:space="preserve">or </w:t>
      </w:r>
      <w:r w:rsidR="004B0D5E">
        <w:rPr>
          <w:color w:val="000000"/>
        </w:rPr>
        <w:t xml:space="preserve">a </w:t>
      </w:r>
      <w:r w:rsidRPr="009422C2">
        <w:rPr>
          <w:color w:val="000000"/>
        </w:rPr>
        <w:t xml:space="preserve">perpetrator of CSE. The </w:t>
      </w:r>
      <w:r w:rsidR="004B0D5E">
        <w:rPr>
          <w:color w:val="000000"/>
        </w:rPr>
        <w:t xml:space="preserve">programme was </w:t>
      </w:r>
      <w:r w:rsidRPr="009422C2">
        <w:rPr>
          <w:color w:val="000000"/>
        </w:rPr>
        <w:t>delivered in tandem</w:t>
      </w:r>
      <w:r w:rsidR="004B0D5E">
        <w:rPr>
          <w:color w:val="000000"/>
        </w:rPr>
        <w:t xml:space="preserve"> across </w:t>
      </w:r>
      <w:proofErr w:type="spellStart"/>
      <w:r w:rsidR="00DB784A">
        <w:rPr>
          <w:color w:val="000000"/>
        </w:rPr>
        <w:t>Midshire</w:t>
      </w:r>
      <w:proofErr w:type="spellEnd"/>
      <w:r w:rsidR="00DB784A">
        <w:rPr>
          <w:color w:val="000000"/>
        </w:rPr>
        <w:t xml:space="preserve"> </w:t>
      </w:r>
      <w:r w:rsidRPr="009422C2">
        <w:rPr>
          <w:color w:val="000000"/>
        </w:rPr>
        <w:t xml:space="preserve">by </w:t>
      </w:r>
      <w:r w:rsidR="004B0D5E">
        <w:rPr>
          <w:color w:val="000000"/>
        </w:rPr>
        <w:t>a</w:t>
      </w:r>
      <w:r w:rsidRPr="009422C2">
        <w:rPr>
          <w:color w:val="000000"/>
        </w:rPr>
        <w:t xml:space="preserve"> </w:t>
      </w:r>
      <w:r>
        <w:rPr>
          <w:color w:val="000000"/>
        </w:rPr>
        <w:t xml:space="preserve">multi-agency </w:t>
      </w:r>
      <w:r w:rsidRPr="009422C2">
        <w:rPr>
          <w:color w:val="000000"/>
        </w:rPr>
        <w:t>team</w:t>
      </w:r>
      <w:r w:rsidR="00DB784A">
        <w:rPr>
          <w:color w:val="000000"/>
        </w:rPr>
        <w:t>, led by the police service and involv</w:t>
      </w:r>
      <w:r w:rsidR="008B63DE">
        <w:rPr>
          <w:color w:val="000000"/>
        </w:rPr>
        <w:t>ing</w:t>
      </w:r>
      <w:r w:rsidR="00DB784A">
        <w:rPr>
          <w:color w:val="000000"/>
        </w:rPr>
        <w:t xml:space="preserve"> </w:t>
      </w:r>
      <w:r w:rsidR="008B63DE" w:rsidRPr="002B47C2">
        <w:t xml:space="preserve">experienced practitioners </w:t>
      </w:r>
      <w:r w:rsidR="008B63DE">
        <w:t xml:space="preserve">working within </w:t>
      </w:r>
      <w:r w:rsidR="008B63DE" w:rsidRPr="002B47C2">
        <w:t>child</w:t>
      </w:r>
      <w:r w:rsidR="008B63DE">
        <w:t>/youth</w:t>
      </w:r>
      <w:r w:rsidR="008B63DE" w:rsidRPr="002B47C2">
        <w:t xml:space="preserve"> welfare-oriented </w:t>
      </w:r>
      <w:r w:rsidR="008B63DE">
        <w:t xml:space="preserve">positions, including </w:t>
      </w:r>
      <w:r w:rsidR="008B63DE" w:rsidRPr="002B47C2">
        <w:t>police officers with 12</w:t>
      </w:r>
      <w:r w:rsidR="008B63DE">
        <w:t>-</w:t>
      </w:r>
      <w:r w:rsidR="008B63DE" w:rsidRPr="002B47C2">
        <w:t>25 year</w:t>
      </w:r>
      <w:r w:rsidR="008B63DE">
        <w:t xml:space="preserve">s’ </w:t>
      </w:r>
      <w:r w:rsidR="008B63DE" w:rsidRPr="002B47C2">
        <w:t>service, a family support worker, a residential care worker, a teacher, a youth worker and a voluntary sector worker</w:t>
      </w:r>
      <w:r w:rsidR="008B63DE">
        <w:t xml:space="preserve">, previously counselling </w:t>
      </w:r>
      <w:r w:rsidR="008B63DE" w:rsidRPr="002B47C2">
        <w:t>children at risk of</w:t>
      </w:r>
      <w:r w:rsidR="008B63DE">
        <w:t xml:space="preserve"> CSE</w:t>
      </w:r>
      <w:r w:rsidR="008B63DE" w:rsidRPr="002B47C2">
        <w:t>.</w:t>
      </w:r>
    </w:p>
    <w:p w14:paraId="7D1976C4" w14:textId="77777777" w:rsidR="00AF3FA8" w:rsidRDefault="00AF3FA8" w:rsidP="004375C5">
      <w:pPr>
        <w:autoSpaceDE w:val="0"/>
        <w:autoSpaceDN w:val="0"/>
        <w:adjustRightInd w:val="0"/>
        <w:spacing w:line="480" w:lineRule="auto"/>
        <w:jc w:val="both"/>
      </w:pPr>
    </w:p>
    <w:p w14:paraId="0854390D" w14:textId="6E84D083" w:rsidR="00F1692E" w:rsidRPr="00DF1F99" w:rsidRDefault="00AF3FA8" w:rsidP="00DF1F99">
      <w:pPr>
        <w:widowControl w:val="0"/>
        <w:autoSpaceDE w:val="0"/>
        <w:autoSpaceDN w:val="0"/>
        <w:adjustRightInd w:val="0"/>
        <w:spacing w:line="480" w:lineRule="auto"/>
        <w:jc w:val="both"/>
        <w:rPr>
          <w:color w:val="000000" w:themeColor="text1"/>
        </w:rPr>
      </w:pPr>
      <w:r w:rsidRPr="009422C2">
        <w:rPr>
          <w:color w:val="000000"/>
        </w:rPr>
        <w:t xml:space="preserve">The purpose of the </w:t>
      </w:r>
      <w:r>
        <w:rPr>
          <w:color w:val="000000"/>
        </w:rPr>
        <w:t xml:space="preserve">study </w:t>
      </w:r>
      <w:r w:rsidRPr="009422C2">
        <w:rPr>
          <w:color w:val="000000"/>
        </w:rPr>
        <w:t xml:space="preserve">was to provide an </w:t>
      </w:r>
      <w:r>
        <w:rPr>
          <w:color w:val="000000"/>
        </w:rPr>
        <w:t xml:space="preserve">evaluation </w:t>
      </w:r>
      <w:r w:rsidRPr="009422C2">
        <w:rPr>
          <w:color w:val="000000"/>
        </w:rPr>
        <w:t>of the programme as a w</w:t>
      </w:r>
      <w:r>
        <w:rPr>
          <w:color w:val="000000"/>
        </w:rPr>
        <w:t xml:space="preserve">hole </w:t>
      </w:r>
      <w:r w:rsidRPr="009422C2">
        <w:rPr>
          <w:color w:val="000000"/>
        </w:rPr>
        <w:t xml:space="preserve">and to conduct a more detailed </w:t>
      </w:r>
      <w:r>
        <w:rPr>
          <w:color w:val="000000"/>
        </w:rPr>
        <w:t xml:space="preserve">assessment </w:t>
      </w:r>
      <w:r w:rsidRPr="009422C2">
        <w:rPr>
          <w:color w:val="000000"/>
        </w:rPr>
        <w:t xml:space="preserve">of practice focusing on the feasibility and effectiveness of prevention techniques used. </w:t>
      </w:r>
      <w:r w:rsidR="00453547">
        <w:rPr>
          <w:color w:val="000000"/>
        </w:rPr>
        <w:t>Data w</w:t>
      </w:r>
      <w:r w:rsidR="00180BE2">
        <w:rPr>
          <w:color w:val="000000"/>
        </w:rPr>
        <w:t>as</w:t>
      </w:r>
      <w:r w:rsidR="00453547">
        <w:rPr>
          <w:color w:val="000000"/>
        </w:rPr>
        <w:t xml:space="preserve"> </w:t>
      </w:r>
      <w:r w:rsidRPr="009422C2">
        <w:rPr>
          <w:color w:val="000000"/>
        </w:rPr>
        <w:t>collected using semi-structured interviews</w:t>
      </w:r>
      <w:r w:rsidR="009C3839">
        <w:rPr>
          <w:color w:val="000000"/>
        </w:rPr>
        <w:t xml:space="preserve"> with practition</w:t>
      </w:r>
      <w:r w:rsidR="001B55FB">
        <w:rPr>
          <w:color w:val="000000"/>
        </w:rPr>
        <w:t>e</w:t>
      </w:r>
      <w:r w:rsidR="009C3839">
        <w:rPr>
          <w:color w:val="000000"/>
        </w:rPr>
        <w:t>rs</w:t>
      </w:r>
      <w:r w:rsidRPr="009422C2">
        <w:rPr>
          <w:color w:val="000000"/>
        </w:rPr>
        <w:t>, field observations of the delivery of prevention methods</w:t>
      </w:r>
      <w:r w:rsidR="00180BE2">
        <w:rPr>
          <w:color w:val="000000"/>
        </w:rPr>
        <w:t xml:space="preserve"> </w:t>
      </w:r>
      <w:r w:rsidRPr="009422C2">
        <w:rPr>
          <w:color w:val="000000"/>
        </w:rPr>
        <w:t xml:space="preserve">and focus groups with young people engaging with the programme. To capture the dynamics of the process of implementation during the span of the programme, a longitudinal follow-up design was </w:t>
      </w:r>
      <w:r w:rsidRPr="009422C2">
        <w:rPr>
          <w:color w:val="000000"/>
        </w:rPr>
        <w:lastRenderedPageBreak/>
        <w:t xml:space="preserve">adopted. </w:t>
      </w:r>
      <w:r w:rsidR="007B2EEC">
        <w:rPr>
          <w:color w:val="000000"/>
        </w:rPr>
        <w:t xml:space="preserve">This </w:t>
      </w:r>
      <w:r w:rsidR="0057158D">
        <w:rPr>
          <w:color w:val="000000"/>
        </w:rPr>
        <w:t xml:space="preserve">paper draws </w:t>
      </w:r>
      <w:r w:rsidR="004B0D5E">
        <w:rPr>
          <w:color w:val="000000"/>
        </w:rPr>
        <w:t xml:space="preserve">exclusively </w:t>
      </w:r>
      <w:r w:rsidR="0057158D">
        <w:rPr>
          <w:color w:val="000000"/>
        </w:rPr>
        <w:t>on the data collected from the</w:t>
      </w:r>
      <w:r w:rsidR="0087283C">
        <w:rPr>
          <w:color w:val="000000"/>
        </w:rPr>
        <w:t xml:space="preserve"> </w:t>
      </w:r>
      <w:r w:rsidR="0057158D">
        <w:rPr>
          <w:color w:val="000000"/>
        </w:rPr>
        <w:t>semi-structured interviews</w:t>
      </w:r>
      <w:r w:rsidR="0087283C">
        <w:rPr>
          <w:color w:val="000000"/>
        </w:rPr>
        <w:t xml:space="preserve"> with practitioners</w:t>
      </w:r>
      <w:r w:rsidR="0057158D">
        <w:rPr>
          <w:color w:val="000000"/>
        </w:rPr>
        <w:t xml:space="preserve">. </w:t>
      </w:r>
      <w:r w:rsidR="00AD3B5B" w:rsidRPr="009422C2">
        <w:rPr>
          <w:color w:val="000000"/>
        </w:rPr>
        <w:t xml:space="preserve">In total, 17 participants involved in delivering the programme were selected, comprising </w:t>
      </w:r>
      <w:r w:rsidR="004C3431">
        <w:rPr>
          <w:color w:val="000000"/>
        </w:rPr>
        <w:t xml:space="preserve">the </w:t>
      </w:r>
      <w:r w:rsidR="00AD3B5B" w:rsidRPr="009422C2">
        <w:rPr>
          <w:color w:val="000000"/>
        </w:rPr>
        <w:t xml:space="preserve">nine members of the multi-agency team and </w:t>
      </w:r>
      <w:r w:rsidR="004C3431">
        <w:rPr>
          <w:color w:val="000000"/>
        </w:rPr>
        <w:t xml:space="preserve">a further </w:t>
      </w:r>
      <w:r w:rsidR="00AD3B5B" w:rsidRPr="009422C2">
        <w:rPr>
          <w:color w:val="000000"/>
        </w:rPr>
        <w:t xml:space="preserve">eight members of the steering group. </w:t>
      </w:r>
      <w:r w:rsidR="00D6069A">
        <w:rPr>
          <w:color w:val="000000"/>
        </w:rPr>
        <w:t>As with</w:t>
      </w:r>
      <w:r w:rsidR="004C3431">
        <w:rPr>
          <w:color w:val="000000"/>
        </w:rPr>
        <w:t xml:space="preserve"> the multi-agency team</w:t>
      </w:r>
      <w:r w:rsidR="00D6069A">
        <w:rPr>
          <w:color w:val="000000"/>
        </w:rPr>
        <w:t xml:space="preserve"> delivering the programme</w:t>
      </w:r>
      <w:r w:rsidR="004C3431">
        <w:rPr>
          <w:color w:val="000000"/>
        </w:rPr>
        <w:t xml:space="preserve">, </w:t>
      </w:r>
      <w:r w:rsidR="004C3431">
        <w:rPr>
          <w:color w:val="000000" w:themeColor="text1"/>
        </w:rPr>
        <w:t xml:space="preserve">members </w:t>
      </w:r>
      <w:r w:rsidR="00B70556" w:rsidRPr="000A4A83">
        <w:rPr>
          <w:color w:val="000000" w:themeColor="text1"/>
        </w:rPr>
        <w:t xml:space="preserve">of the steering group committee were from diverse contexts and included senior police chiefs, county and city-wide safeguarding leads and commissioners for children’s services. </w:t>
      </w:r>
    </w:p>
    <w:p w14:paraId="48E2913A" w14:textId="77777777" w:rsidR="00B70556" w:rsidRDefault="00B70556" w:rsidP="004375C5">
      <w:pPr>
        <w:autoSpaceDE w:val="0"/>
        <w:autoSpaceDN w:val="0"/>
        <w:adjustRightInd w:val="0"/>
        <w:spacing w:line="480" w:lineRule="auto"/>
        <w:jc w:val="both"/>
        <w:rPr>
          <w:color w:val="000000"/>
        </w:rPr>
      </w:pPr>
    </w:p>
    <w:p w14:paraId="56C32660" w14:textId="50B1F6B4" w:rsidR="00E04139" w:rsidRDefault="00F35896" w:rsidP="004375C5">
      <w:pPr>
        <w:autoSpaceDE w:val="0"/>
        <w:autoSpaceDN w:val="0"/>
        <w:adjustRightInd w:val="0"/>
        <w:spacing w:line="480" w:lineRule="auto"/>
        <w:jc w:val="both"/>
        <w:rPr>
          <w:color w:val="000000"/>
        </w:rPr>
      </w:pPr>
      <w:r>
        <w:rPr>
          <w:color w:val="000000"/>
        </w:rPr>
        <w:t xml:space="preserve">Each </w:t>
      </w:r>
      <w:r w:rsidR="00923C46">
        <w:rPr>
          <w:color w:val="000000"/>
        </w:rPr>
        <w:t>participant was interviewed twice over the duration of the project</w:t>
      </w:r>
      <w:r w:rsidR="00A1672A">
        <w:rPr>
          <w:color w:val="000000"/>
        </w:rPr>
        <w:t xml:space="preserve">. The first interview took place </w:t>
      </w:r>
      <w:r w:rsidR="00AD3B5B" w:rsidRPr="009422C2">
        <w:rPr>
          <w:color w:val="000000"/>
        </w:rPr>
        <w:t xml:space="preserve">within six months of the programme’s implementation </w:t>
      </w:r>
      <w:r w:rsidR="00AD3B5B">
        <w:rPr>
          <w:color w:val="000000"/>
        </w:rPr>
        <w:t xml:space="preserve">and </w:t>
      </w:r>
      <w:r w:rsidR="006B4865">
        <w:rPr>
          <w:color w:val="000000"/>
        </w:rPr>
        <w:t>the second</w:t>
      </w:r>
      <w:r w:rsidR="001673E7">
        <w:rPr>
          <w:color w:val="000000"/>
        </w:rPr>
        <w:t>,</w:t>
      </w:r>
      <w:r w:rsidR="006B4865">
        <w:rPr>
          <w:color w:val="000000"/>
        </w:rPr>
        <w:t xml:space="preserve"> </w:t>
      </w:r>
      <w:r w:rsidR="00AD3B5B" w:rsidRPr="009422C2">
        <w:rPr>
          <w:color w:val="000000"/>
        </w:rPr>
        <w:t xml:space="preserve">twelve months later. Interviews lasted between 45-90 minutes and </w:t>
      </w:r>
      <w:r w:rsidR="00AD3B5B">
        <w:rPr>
          <w:color w:val="000000"/>
        </w:rPr>
        <w:t xml:space="preserve">followed </w:t>
      </w:r>
      <w:r w:rsidR="00AD3B5B" w:rsidRPr="009422C2">
        <w:rPr>
          <w:color w:val="000000"/>
        </w:rPr>
        <w:t xml:space="preserve">a semi-structured topic guide about the CSE initiative and the participant’s role within it. Interviews </w:t>
      </w:r>
      <w:r w:rsidR="00AD3B5B">
        <w:rPr>
          <w:color w:val="000000"/>
        </w:rPr>
        <w:t xml:space="preserve">were conducted </w:t>
      </w:r>
      <w:r w:rsidR="00AD3B5B" w:rsidRPr="009422C2">
        <w:rPr>
          <w:color w:val="000000"/>
        </w:rPr>
        <w:t xml:space="preserve">at </w:t>
      </w:r>
      <w:r w:rsidR="00AD3B5B">
        <w:rPr>
          <w:color w:val="000000"/>
        </w:rPr>
        <w:t xml:space="preserve">either </w:t>
      </w:r>
      <w:r w:rsidR="00AD3B5B" w:rsidRPr="009422C2">
        <w:rPr>
          <w:color w:val="000000"/>
        </w:rPr>
        <w:t>the office of the interviewer or</w:t>
      </w:r>
      <w:r w:rsidR="00AD3B5B">
        <w:rPr>
          <w:color w:val="000000"/>
        </w:rPr>
        <w:t xml:space="preserve"> that of the</w:t>
      </w:r>
      <w:r w:rsidR="00AD3B5B" w:rsidRPr="009422C2">
        <w:rPr>
          <w:color w:val="000000"/>
        </w:rPr>
        <w:t xml:space="preserve"> interviewees.</w:t>
      </w:r>
      <w:r w:rsidR="0057158D">
        <w:rPr>
          <w:color w:val="000000"/>
        </w:rPr>
        <w:t xml:space="preserve"> </w:t>
      </w:r>
      <w:r w:rsidR="008B63DE">
        <w:rPr>
          <w:color w:val="000000"/>
        </w:rPr>
        <w:t>P</w:t>
      </w:r>
      <w:r w:rsidR="00E04139">
        <w:rPr>
          <w:color w:val="000000"/>
        </w:rPr>
        <w:t xml:space="preserve">rinciples established in the code for research endorsed by the British Society of Criminology were adhered to </w:t>
      </w:r>
      <w:r w:rsidR="008B63DE">
        <w:rPr>
          <w:color w:val="000000"/>
        </w:rPr>
        <w:t xml:space="preserve">throughout </w:t>
      </w:r>
      <w:r w:rsidR="00E04139">
        <w:rPr>
          <w:color w:val="000000"/>
        </w:rPr>
        <w:t xml:space="preserve">and formal </w:t>
      </w:r>
      <w:r w:rsidR="00E04139" w:rsidRPr="009422C2">
        <w:rPr>
          <w:color w:val="000000"/>
        </w:rPr>
        <w:t xml:space="preserve">approval for the study was </w:t>
      </w:r>
      <w:r w:rsidR="00E04139">
        <w:rPr>
          <w:color w:val="000000"/>
        </w:rPr>
        <w:t xml:space="preserve">granted </w:t>
      </w:r>
      <w:r w:rsidR="00E04139" w:rsidRPr="009422C2">
        <w:rPr>
          <w:color w:val="000000"/>
        </w:rPr>
        <w:t xml:space="preserve">by the </w:t>
      </w:r>
      <w:r w:rsidR="00E04139">
        <w:rPr>
          <w:color w:val="000000"/>
        </w:rPr>
        <w:t>home Universit</w:t>
      </w:r>
      <w:r w:rsidR="008B63DE">
        <w:rPr>
          <w:color w:val="000000"/>
        </w:rPr>
        <w:t>y’s Ethics C</w:t>
      </w:r>
      <w:r w:rsidR="00E04139">
        <w:rPr>
          <w:color w:val="000000"/>
        </w:rPr>
        <w:t>ommittee.</w:t>
      </w:r>
    </w:p>
    <w:p w14:paraId="07CF2B0B" w14:textId="77777777" w:rsidR="0057158D" w:rsidRPr="009422C2" w:rsidRDefault="0057158D" w:rsidP="004375C5">
      <w:pPr>
        <w:autoSpaceDE w:val="0"/>
        <w:autoSpaceDN w:val="0"/>
        <w:adjustRightInd w:val="0"/>
        <w:spacing w:line="480" w:lineRule="auto"/>
        <w:jc w:val="both"/>
        <w:rPr>
          <w:color w:val="000000"/>
        </w:rPr>
      </w:pPr>
    </w:p>
    <w:p w14:paraId="71923112" w14:textId="0FB0529D" w:rsidR="00E56CE5" w:rsidRDefault="004337EE" w:rsidP="004375C5">
      <w:pPr>
        <w:spacing w:line="480" w:lineRule="auto"/>
        <w:jc w:val="both"/>
      </w:pPr>
      <w:r w:rsidRPr="009422C2">
        <w:rPr>
          <w:color w:val="000000"/>
        </w:rPr>
        <w:t>Post data gathering, all interviews and focus groups were recorded and transcribed</w:t>
      </w:r>
      <w:r>
        <w:rPr>
          <w:color w:val="000000"/>
        </w:rPr>
        <w:t xml:space="preserve"> verbatim</w:t>
      </w:r>
      <w:r w:rsidRPr="009422C2">
        <w:rPr>
          <w:color w:val="000000"/>
        </w:rPr>
        <w:t>. T</w:t>
      </w:r>
      <w:r w:rsidRPr="009422C2">
        <w:rPr>
          <w:bCs/>
        </w:rPr>
        <w:t xml:space="preserve">he broad principles of grounded theory were followed throughout the process of data analysis (see Glaser and Strauss, 1967; </w:t>
      </w:r>
      <w:r w:rsidRPr="009422C2">
        <w:t>Strauss and Corbin, 1990)</w:t>
      </w:r>
      <w:r w:rsidRPr="009422C2">
        <w:rPr>
          <w:bCs/>
        </w:rPr>
        <w:t xml:space="preserve">. The </w:t>
      </w:r>
      <w:r w:rsidRPr="009422C2">
        <w:rPr>
          <w:color w:val="000000"/>
        </w:rPr>
        <w:t xml:space="preserve">first phase of analysis involved the researchers independently becoming familiar with the content of the data set and scanning for emergent patterns and themes. Initial </w:t>
      </w:r>
      <w:r w:rsidR="008B63DE">
        <w:rPr>
          <w:color w:val="000000"/>
        </w:rPr>
        <w:t xml:space="preserve">open </w:t>
      </w:r>
      <w:r w:rsidRPr="009422C2">
        <w:rPr>
          <w:color w:val="000000"/>
        </w:rPr>
        <w:t>codes were attached to the interview and focus</w:t>
      </w:r>
      <w:r>
        <w:rPr>
          <w:color w:val="000000"/>
        </w:rPr>
        <w:t xml:space="preserve"> group transcriptions to organis</w:t>
      </w:r>
      <w:r w:rsidRPr="009422C2">
        <w:rPr>
          <w:color w:val="000000"/>
        </w:rPr>
        <w:t>e and structure the data. The second phase of data analysis consisted of a more refined analysis of the data</w:t>
      </w:r>
      <w:r w:rsidR="004B0D5E">
        <w:rPr>
          <w:color w:val="000000"/>
        </w:rPr>
        <w:t>,</w:t>
      </w:r>
      <w:r w:rsidRPr="009422C2">
        <w:rPr>
          <w:color w:val="000000"/>
        </w:rPr>
        <w:t xml:space="preserve"> </w:t>
      </w:r>
      <w:r w:rsidR="004B0D5E">
        <w:rPr>
          <w:color w:val="000000"/>
        </w:rPr>
        <w:t xml:space="preserve">geared toward </w:t>
      </w:r>
      <w:r w:rsidRPr="009422C2">
        <w:rPr>
          <w:color w:val="000000"/>
        </w:rPr>
        <w:t>determin</w:t>
      </w:r>
      <w:r w:rsidR="004B0D5E">
        <w:rPr>
          <w:color w:val="000000"/>
        </w:rPr>
        <w:t>ing</w:t>
      </w:r>
      <w:r w:rsidRPr="009422C2">
        <w:rPr>
          <w:color w:val="000000"/>
        </w:rPr>
        <w:t xml:space="preserve"> key themes and cluster</w:t>
      </w:r>
      <w:r w:rsidR="004B0D5E">
        <w:rPr>
          <w:color w:val="000000"/>
        </w:rPr>
        <w:t>ing of</w:t>
      </w:r>
      <w:r w:rsidRPr="009422C2">
        <w:rPr>
          <w:color w:val="000000"/>
        </w:rPr>
        <w:t xml:space="preserve"> sub themes. The third phase of </w:t>
      </w:r>
      <w:r w:rsidR="004B0D5E">
        <w:rPr>
          <w:color w:val="000000"/>
        </w:rPr>
        <w:t xml:space="preserve">deliberation and </w:t>
      </w:r>
      <w:r w:rsidRPr="009422C2">
        <w:rPr>
          <w:color w:val="000000"/>
        </w:rPr>
        <w:t xml:space="preserve">negotiation </w:t>
      </w:r>
      <w:r>
        <w:rPr>
          <w:color w:val="000000"/>
        </w:rPr>
        <w:t xml:space="preserve">involved </w:t>
      </w:r>
      <w:r w:rsidRPr="009422C2">
        <w:rPr>
          <w:color w:val="000000"/>
        </w:rPr>
        <w:t xml:space="preserve">collaboration between the researchers </w:t>
      </w:r>
      <w:r>
        <w:rPr>
          <w:color w:val="000000"/>
        </w:rPr>
        <w:t xml:space="preserve">to </w:t>
      </w:r>
      <w:proofErr w:type="gramStart"/>
      <w:r w:rsidRPr="009422C2">
        <w:rPr>
          <w:color w:val="000000"/>
        </w:rPr>
        <w:t>compare and contrast</w:t>
      </w:r>
      <w:proofErr w:type="gramEnd"/>
      <w:r w:rsidRPr="009422C2">
        <w:rPr>
          <w:color w:val="000000"/>
        </w:rPr>
        <w:t xml:space="preserve"> prevalent themes and sub themes and </w:t>
      </w:r>
      <w:r>
        <w:rPr>
          <w:color w:val="000000"/>
        </w:rPr>
        <w:t xml:space="preserve">to </w:t>
      </w:r>
      <w:r>
        <w:rPr>
          <w:color w:val="000000"/>
        </w:rPr>
        <w:lastRenderedPageBreak/>
        <w:t xml:space="preserve">determine </w:t>
      </w:r>
      <w:r w:rsidRPr="009422C2">
        <w:rPr>
          <w:color w:val="000000"/>
        </w:rPr>
        <w:t>dominant</w:t>
      </w:r>
      <w:r w:rsidR="004B0D5E">
        <w:rPr>
          <w:color w:val="000000"/>
        </w:rPr>
        <w:t xml:space="preserve"> and prevalent</w:t>
      </w:r>
      <w:r w:rsidRPr="009422C2">
        <w:rPr>
          <w:color w:val="000000"/>
        </w:rPr>
        <w:t xml:space="preserve"> themes. </w:t>
      </w:r>
      <w:r w:rsidRPr="009422C2">
        <w:t xml:space="preserve">Following the principles of grounded theory, axial encoding was conducted </w:t>
      </w:r>
      <w:r>
        <w:t>throughout</w:t>
      </w:r>
      <w:r w:rsidR="004B0D5E">
        <w:t xml:space="preserve"> the </w:t>
      </w:r>
      <w:r>
        <w:t>process</w:t>
      </w:r>
      <w:r w:rsidR="004B0D5E">
        <w:t xml:space="preserve">, enabling reflective, </w:t>
      </w:r>
      <w:proofErr w:type="gramStart"/>
      <w:r w:rsidRPr="009422C2">
        <w:t>iterative</w:t>
      </w:r>
      <w:proofErr w:type="gramEnd"/>
      <w:r w:rsidRPr="009422C2">
        <w:t xml:space="preserve"> and dynamic data analysis (</w:t>
      </w:r>
      <w:r>
        <w:t xml:space="preserve">see </w:t>
      </w:r>
      <w:r w:rsidRPr="009422C2">
        <w:t xml:space="preserve">Ralph, Birks and Chapman, 2015). </w:t>
      </w:r>
    </w:p>
    <w:p w14:paraId="14D5E55C" w14:textId="565238B9" w:rsidR="00B94C81" w:rsidRPr="00596474" w:rsidRDefault="00B04B83" w:rsidP="004375C5">
      <w:pPr>
        <w:pStyle w:val="NormalWeb"/>
        <w:spacing w:line="480" w:lineRule="auto"/>
        <w:jc w:val="both"/>
        <w:rPr>
          <w:color w:val="000000" w:themeColor="text1"/>
        </w:rPr>
      </w:pPr>
      <w:proofErr w:type="spellStart"/>
      <w:r>
        <w:rPr>
          <w:color w:val="000000" w:themeColor="text1"/>
        </w:rPr>
        <w:t>Outwith</w:t>
      </w:r>
      <w:proofErr w:type="spellEnd"/>
      <w:r>
        <w:rPr>
          <w:color w:val="000000" w:themeColor="text1"/>
        </w:rPr>
        <w:t xml:space="preserve"> the initiative examined here, u</w:t>
      </w:r>
      <w:r w:rsidR="00D952A3" w:rsidRPr="00B61B21">
        <w:rPr>
          <w:color w:val="000000" w:themeColor="text1"/>
        </w:rPr>
        <w:t xml:space="preserve">niversal education approaches to the prevention of harms </w:t>
      </w:r>
      <w:proofErr w:type="gramStart"/>
      <w:r w:rsidR="00D952A3" w:rsidRPr="00B61B21">
        <w:rPr>
          <w:color w:val="000000" w:themeColor="text1"/>
        </w:rPr>
        <w:t>is</w:t>
      </w:r>
      <w:proofErr w:type="gramEnd"/>
      <w:r w:rsidR="00D952A3" w:rsidRPr="00B61B21">
        <w:rPr>
          <w:color w:val="000000" w:themeColor="text1"/>
        </w:rPr>
        <w:t xml:space="preserve"> </w:t>
      </w:r>
      <w:r w:rsidR="004B0D5E">
        <w:rPr>
          <w:color w:val="000000" w:themeColor="text1"/>
        </w:rPr>
        <w:t xml:space="preserve">by no means new. </w:t>
      </w:r>
      <w:r w:rsidR="00303CE6" w:rsidRPr="00B61B21">
        <w:rPr>
          <w:color w:val="000000" w:themeColor="text1"/>
        </w:rPr>
        <w:t>For many years</w:t>
      </w:r>
      <w:r w:rsidR="004B0D5E">
        <w:rPr>
          <w:color w:val="000000" w:themeColor="text1"/>
        </w:rPr>
        <w:t>,</w:t>
      </w:r>
      <w:r w:rsidR="00303CE6" w:rsidRPr="00B61B21">
        <w:rPr>
          <w:color w:val="000000" w:themeColor="text1"/>
        </w:rPr>
        <w:t xml:space="preserve"> emergency services have delivered </w:t>
      </w:r>
      <w:r w:rsidR="00F650C9">
        <w:rPr>
          <w:color w:val="000000" w:themeColor="text1"/>
        </w:rPr>
        <w:t xml:space="preserve">population level </w:t>
      </w:r>
      <w:r w:rsidR="00C2276B" w:rsidRPr="00B61B21">
        <w:rPr>
          <w:color w:val="000000" w:themeColor="text1"/>
        </w:rPr>
        <w:t>awareness sessions to children and young people about</w:t>
      </w:r>
      <w:r w:rsidR="00906CE0">
        <w:rPr>
          <w:color w:val="000000" w:themeColor="text1"/>
        </w:rPr>
        <w:t xml:space="preserve"> various topics including </w:t>
      </w:r>
      <w:r w:rsidR="00C2276B" w:rsidRPr="00B61B21">
        <w:rPr>
          <w:color w:val="000000" w:themeColor="text1"/>
        </w:rPr>
        <w:t>drug</w:t>
      </w:r>
      <w:r w:rsidR="004B0D5E">
        <w:rPr>
          <w:color w:val="000000" w:themeColor="text1"/>
        </w:rPr>
        <w:t>s</w:t>
      </w:r>
      <w:r w:rsidR="00C2276B" w:rsidRPr="00B61B21">
        <w:rPr>
          <w:color w:val="000000" w:themeColor="text1"/>
        </w:rPr>
        <w:t>, road safety</w:t>
      </w:r>
      <w:r w:rsidR="004B0D5E">
        <w:rPr>
          <w:color w:val="000000" w:themeColor="text1"/>
        </w:rPr>
        <w:t xml:space="preserve"> and firework use</w:t>
      </w:r>
      <w:r w:rsidR="00C2276B" w:rsidRPr="00B61B21">
        <w:rPr>
          <w:color w:val="000000" w:themeColor="text1"/>
        </w:rPr>
        <w:t xml:space="preserve">. </w:t>
      </w:r>
      <w:r w:rsidR="00367094" w:rsidRPr="00251436">
        <w:rPr>
          <w:color w:val="000000" w:themeColor="text1"/>
        </w:rPr>
        <w:t>Yet</w:t>
      </w:r>
      <w:r w:rsidR="004B0D5E" w:rsidRPr="00251436">
        <w:rPr>
          <w:color w:val="000000" w:themeColor="text1"/>
        </w:rPr>
        <w:t xml:space="preserve"> </w:t>
      </w:r>
      <w:r w:rsidR="005A01C6">
        <w:rPr>
          <w:color w:val="000000" w:themeColor="text1"/>
        </w:rPr>
        <w:t xml:space="preserve">recent public health developments within policing </w:t>
      </w:r>
      <w:r w:rsidR="00F650C9" w:rsidRPr="00251436">
        <w:rPr>
          <w:color w:val="000000" w:themeColor="text1"/>
        </w:rPr>
        <w:t xml:space="preserve">simultaneously </w:t>
      </w:r>
      <w:r w:rsidR="00367094" w:rsidRPr="00251436">
        <w:rPr>
          <w:color w:val="000000" w:themeColor="text1"/>
        </w:rPr>
        <w:t xml:space="preserve">demands </w:t>
      </w:r>
      <w:r w:rsidR="004B0D5E" w:rsidRPr="00251436">
        <w:rPr>
          <w:color w:val="000000" w:themeColor="text1"/>
        </w:rPr>
        <w:t xml:space="preserve">that </w:t>
      </w:r>
      <w:r w:rsidR="00367094" w:rsidRPr="00251436">
        <w:rPr>
          <w:color w:val="000000" w:themeColor="text1"/>
        </w:rPr>
        <w:t>users go beyond universal education</w:t>
      </w:r>
      <w:r w:rsidR="00C60802" w:rsidRPr="00251436">
        <w:rPr>
          <w:color w:val="000000" w:themeColor="text1"/>
        </w:rPr>
        <w:t xml:space="preserve"> </w:t>
      </w:r>
      <w:r w:rsidRPr="00251436">
        <w:rPr>
          <w:color w:val="000000" w:themeColor="text1"/>
        </w:rPr>
        <w:t>and</w:t>
      </w:r>
      <w:r w:rsidR="005B6A31" w:rsidRPr="00251436">
        <w:rPr>
          <w:color w:val="000000" w:themeColor="text1"/>
        </w:rPr>
        <w:t xml:space="preserve"> mak</w:t>
      </w:r>
      <w:r w:rsidRPr="00251436">
        <w:rPr>
          <w:color w:val="000000" w:themeColor="text1"/>
        </w:rPr>
        <w:t>e</w:t>
      </w:r>
      <w:r w:rsidR="005B6A31" w:rsidRPr="00251436">
        <w:rPr>
          <w:color w:val="000000" w:themeColor="text1"/>
        </w:rPr>
        <w:t xml:space="preserve"> </w:t>
      </w:r>
      <w:r w:rsidR="00C60802" w:rsidRPr="00251436">
        <w:rPr>
          <w:color w:val="000000" w:themeColor="text1"/>
        </w:rPr>
        <w:t xml:space="preserve">use of surveillance </w:t>
      </w:r>
      <w:r w:rsidR="00090001" w:rsidRPr="00251436">
        <w:rPr>
          <w:color w:val="000000" w:themeColor="text1"/>
        </w:rPr>
        <w:t>data</w:t>
      </w:r>
      <w:r w:rsidR="00C60802" w:rsidRPr="00251436">
        <w:rPr>
          <w:color w:val="000000" w:themeColor="text1"/>
        </w:rPr>
        <w:t xml:space="preserve"> </w:t>
      </w:r>
      <w:r w:rsidR="005B6A31" w:rsidRPr="00251436">
        <w:rPr>
          <w:color w:val="000000" w:themeColor="text1"/>
        </w:rPr>
        <w:t xml:space="preserve">to </w:t>
      </w:r>
      <w:r w:rsidR="00C130D8" w:rsidRPr="00251436">
        <w:rPr>
          <w:color w:val="000000" w:themeColor="text1"/>
        </w:rPr>
        <w:t>monitor</w:t>
      </w:r>
      <w:r w:rsidR="005B6A31" w:rsidRPr="00251436">
        <w:rPr>
          <w:color w:val="000000" w:themeColor="text1"/>
        </w:rPr>
        <w:t xml:space="preserve"> and </w:t>
      </w:r>
      <w:r w:rsidR="00C130D8" w:rsidRPr="00251436">
        <w:rPr>
          <w:color w:val="000000" w:themeColor="text1"/>
        </w:rPr>
        <w:t>detect</w:t>
      </w:r>
      <w:r w:rsidR="004B0D5E" w:rsidRPr="00251436">
        <w:rPr>
          <w:color w:val="000000" w:themeColor="text1"/>
        </w:rPr>
        <w:t xml:space="preserve"> potential</w:t>
      </w:r>
      <w:r w:rsidR="00C130D8" w:rsidRPr="00251436">
        <w:rPr>
          <w:color w:val="000000" w:themeColor="text1"/>
        </w:rPr>
        <w:t xml:space="preserve"> irregularities</w:t>
      </w:r>
      <w:r w:rsidR="00153782">
        <w:rPr>
          <w:color w:val="000000" w:themeColor="text1"/>
        </w:rPr>
        <w:t xml:space="preserve">. </w:t>
      </w:r>
      <w:r w:rsidR="007E2455">
        <w:rPr>
          <w:color w:val="000000" w:themeColor="text1"/>
        </w:rPr>
        <w:t>W</w:t>
      </w:r>
      <w:r w:rsidR="00B763F9">
        <w:rPr>
          <w:color w:val="000000" w:themeColor="text1"/>
        </w:rPr>
        <w:t xml:space="preserve">ithin </w:t>
      </w:r>
      <w:proofErr w:type="gramStart"/>
      <w:r w:rsidR="00B763F9">
        <w:rPr>
          <w:color w:val="000000" w:themeColor="text1"/>
        </w:rPr>
        <w:t>general public</w:t>
      </w:r>
      <w:proofErr w:type="gramEnd"/>
      <w:r w:rsidR="00B763F9">
        <w:rPr>
          <w:color w:val="000000" w:themeColor="text1"/>
        </w:rPr>
        <w:t xml:space="preserve"> health context</w:t>
      </w:r>
      <w:r w:rsidR="007E2455">
        <w:rPr>
          <w:color w:val="000000" w:themeColor="text1"/>
        </w:rPr>
        <w:t>s</w:t>
      </w:r>
      <w:r w:rsidR="00B763F9">
        <w:rPr>
          <w:color w:val="000000" w:themeColor="text1"/>
        </w:rPr>
        <w:t>, these methods of data collection and analysis are relatively benign</w:t>
      </w:r>
      <w:r w:rsidR="00B32B02">
        <w:rPr>
          <w:color w:val="000000" w:themeColor="text1"/>
        </w:rPr>
        <w:t>. However,</w:t>
      </w:r>
      <w:r w:rsidR="00B763F9">
        <w:rPr>
          <w:color w:val="000000" w:themeColor="text1"/>
        </w:rPr>
        <w:t xml:space="preserve"> </w:t>
      </w:r>
      <w:r w:rsidR="00AA6557">
        <w:rPr>
          <w:color w:val="000000" w:themeColor="text1"/>
        </w:rPr>
        <w:t xml:space="preserve">within contexts that include a heavy police presence </w:t>
      </w:r>
      <w:r w:rsidR="004A02E1">
        <w:rPr>
          <w:color w:val="000000" w:themeColor="text1"/>
        </w:rPr>
        <w:t xml:space="preserve">such approaches may be used </w:t>
      </w:r>
      <w:r w:rsidR="00487E31">
        <w:rPr>
          <w:color w:val="000000" w:themeColor="text1"/>
        </w:rPr>
        <w:t xml:space="preserve">in ways that produce </w:t>
      </w:r>
      <w:r w:rsidR="00CC20B5">
        <w:rPr>
          <w:color w:val="000000" w:themeColor="text1"/>
        </w:rPr>
        <w:t>iatrogenic</w:t>
      </w:r>
      <w:r w:rsidR="00487E31">
        <w:rPr>
          <w:color w:val="000000" w:themeColor="text1"/>
        </w:rPr>
        <w:t xml:space="preserve"> effects. </w:t>
      </w:r>
      <w:r w:rsidR="007D6BD1">
        <w:rPr>
          <w:color w:val="000000" w:themeColor="text1"/>
        </w:rPr>
        <w:t xml:space="preserve">As we illustrate below, </w:t>
      </w:r>
      <w:r w:rsidR="004B0D5E">
        <w:rPr>
          <w:color w:val="000000" w:themeColor="text1"/>
        </w:rPr>
        <w:t>th</w:t>
      </w:r>
      <w:r w:rsidR="00D34C71">
        <w:rPr>
          <w:color w:val="000000" w:themeColor="text1"/>
        </w:rPr>
        <w:t>e</w:t>
      </w:r>
      <w:r w:rsidR="004B0D5E">
        <w:rPr>
          <w:color w:val="000000" w:themeColor="text1"/>
        </w:rPr>
        <w:t xml:space="preserve"> </w:t>
      </w:r>
      <w:r w:rsidR="00730DD1">
        <w:rPr>
          <w:color w:val="000000" w:themeColor="text1"/>
        </w:rPr>
        <w:t xml:space="preserve">universal approach </w:t>
      </w:r>
      <w:r w:rsidR="00D34C71">
        <w:rPr>
          <w:color w:val="000000" w:themeColor="text1"/>
        </w:rPr>
        <w:t xml:space="preserve">adopted by practitioners in this study </w:t>
      </w:r>
      <w:r w:rsidR="00BA1C1B">
        <w:rPr>
          <w:color w:val="000000" w:themeColor="text1"/>
        </w:rPr>
        <w:t>d</w:t>
      </w:r>
      <w:r w:rsidR="004D1BC0">
        <w:rPr>
          <w:color w:val="000000" w:themeColor="text1"/>
        </w:rPr>
        <w:t>r</w:t>
      </w:r>
      <w:r w:rsidR="00D34C71">
        <w:rPr>
          <w:color w:val="000000" w:themeColor="text1"/>
        </w:rPr>
        <w:t xml:space="preserve">ew their </w:t>
      </w:r>
      <w:r w:rsidR="00B15730">
        <w:rPr>
          <w:color w:val="000000" w:themeColor="text1"/>
        </w:rPr>
        <w:t xml:space="preserve">attention away from young people who may </w:t>
      </w:r>
      <w:proofErr w:type="gramStart"/>
      <w:r w:rsidR="00B15730">
        <w:rPr>
          <w:color w:val="000000" w:themeColor="text1"/>
        </w:rPr>
        <w:t>be in need of</w:t>
      </w:r>
      <w:proofErr w:type="gramEnd"/>
      <w:r w:rsidR="00B15730">
        <w:rPr>
          <w:color w:val="000000" w:themeColor="text1"/>
        </w:rPr>
        <w:t xml:space="preserve"> safeguarding</w:t>
      </w:r>
      <w:r w:rsidR="00BF0FDC">
        <w:rPr>
          <w:color w:val="000000" w:themeColor="text1"/>
        </w:rPr>
        <w:t xml:space="preserve"> </w:t>
      </w:r>
      <w:r w:rsidR="00BB67B6">
        <w:rPr>
          <w:color w:val="000000" w:themeColor="text1"/>
        </w:rPr>
        <w:t xml:space="preserve">while simultaneously </w:t>
      </w:r>
      <w:r w:rsidR="00BF0FDC">
        <w:rPr>
          <w:color w:val="000000" w:themeColor="text1"/>
        </w:rPr>
        <w:t>rais</w:t>
      </w:r>
      <w:r w:rsidR="00BB67B6">
        <w:rPr>
          <w:color w:val="000000" w:themeColor="text1"/>
        </w:rPr>
        <w:t>ing</w:t>
      </w:r>
      <w:r w:rsidR="00BF0FDC">
        <w:rPr>
          <w:color w:val="000000" w:themeColor="text1"/>
        </w:rPr>
        <w:t xml:space="preserve"> concerns around the encroachment of civil liberties. </w:t>
      </w:r>
      <w:r w:rsidR="00195E2C" w:rsidRPr="009230BD">
        <w:rPr>
          <w:color w:val="000000" w:themeColor="text1"/>
        </w:rPr>
        <w:t xml:space="preserve">Rather than </w:t>
      </w:r>
      <w:r w:rsidR="00E4347B">
        <w:rPr>
          <w:color w:val="000000" w:themeColor="text1"/>
        </w:rPr>
        <w:t xml:space="preserve">adopting a public health approach that makes </w:t>
      </w:r>
      <w:r w:rsidR="00195E2C" w:rsidRPr="009230BD">
        <w:rPr>
          <w:color w:val="000000" w:themeColor="text1"/>
        </w:rPr>
        <w:t xml:space="preserve">strategic use of </w:t>
      </w:r>
      <w:r w:rsidR="002C5034">
        <w:rPr>
          <w:color w:val="000000" w:themeColor="text1"/>
        </w:rPr>
        <w:t xml:space="preserve">reliable </w:t>
      </w:r>
      <w:r w:rsidR="00195E2C" w:rsidRPr="009230BD">
        <w:rPr>
          <w:color w:val="000000" w:themeColor="text1"/>
        </w:rPr>
        <w:t xml:space="preserve">data to </w:t>
      </w:r>
      <w:r w:rsidR="004B0D5E" w:rsidRPr="009230BD">
        <w:rPr>
          <w:color w:val="000000" w:themeColor="text1"/>
        </w:rPr>
        <w:t xml:space="preserve">make decisions about </w:t>
      </w:r>
      <w:r w:rsidR="00F650C9" w:rsidRPr="00CF2F2B">
        <w:rPr>
          <w:color w:val="000000" w:themeColor="text1"/>
        </w:rPr>
        <w:t>specific individuals that</w:t>
      </w:r>
      <w:r w:rsidR="00420BBA" w:rsidRPr="009230BD">
        <w:rPr>
          <w:color w:val="000000" w:themeColor="text1"/>
        </w:rPr>
        <w:t xml:space="preserve"> </w:t>
      </w:r>
      <w:r w:rsidR="004B0D5E" w:rsidRPr="009230BD">
        <w:rPr>
          <w:color w:val="000000" w:themeColor="text1"/>
        </w:rPr>
        <w:t>might be most</w:t>
      </w:r>
      <w:r w:rsidR="00420BBA" w:rsidRPr="009230BD">
        <w:rPr>
          <w:color w:val="000000" w:themeColor="text1"/>
        </w:rPr>
        <w:t xml:space="preserve"> at risk</w:t>
      </w:r>
      <w:r w:rsidR="006B2E31">
        <w:rPr>
          <w:color w:val="000000" w:themeColor="text1"/>
        </w:rPr>
        <w:t>,</w:t>
      </w:r>
      <w:r w:rsidR="00420BBA" w:rsidRPr="009230BD">
        <w:rPr>
          <w:color w:val="000000" w:themeColor="text1"/>
        </w:rPr>
        <w:t xml:space="preserve"> </w:t>
      </w:r>
      <w:r w:rsidR="00D1637C" w:rsidRPr="009230BD">
        <w:rPr>
          <w:color w:val="000000" w:themeColor="text1"/>
        </w:rPr>
        <w:t>and design</w:t>
      </w:r>
      <w:r w:rsidR="00F650C9">
        <w:rPr>
          <w:color w:val="000000" w:themeColor="text1"/>
        </w:rPr>
        <w:t>ing</w:t>
      </w:r>
      <w:r w:rsidR="00D1637C" w:rsidRPr="009230BD">
        <w:rPr>
          <w:color w:val="000000" w:themeColor="text1"/>
        </w:rPr>
        <w:t xml:space="preserve"> </w:t>
      </w:r>
      <w:r w:rsidR="001316CA" w:rsidRPr="009230BD">
        <w:rPr>
          <w:color w:val="000000" w:themeColor="text1"/>
        </w:rPr>
        <w:t xml:space="preserve">preventative activity </w:t>
      </w:r>
      <w:r w:rsidR="00D1637C" w:rsidRPr="009230BD">
        <w:rPr>
          <w:color w:val="000000" w:themeColor="text1"/>
        </w:rPr>
        <w:t>accordin</w:t>
      </w:r>
      <w:r w:rsidR="00B61B21" w:rsidRPr="009230BD">
        <w:rPr>
          <w:color w:val="000000" w:themeColor="text1"/>
        </w:rPr>
        <w:t>gly</w:t>
      </w:r>
      <w:r w:rsidR="00D1637C" w:rsidRPr="009230BD">
        <w:rPr>
          <w:color w:val="000000" w:themeColor="text1"/>
        </w:rPr>
        <w:t xml:space="preserve">, </w:t>
      </w:r>
      <w:r w:rsidR="00061A48" w:rsidRPr="009230BD">
        <w:rPr>
          <w:color w:val="000000" w:themeColor="text1"/>
        </w:rPr>
        <w:t xml:space="preserve">the </w:t>
      </w:r>
      <w:r w:rsidR="006B2E31">
        <w:rPr>
          <w:color w:val="000000" w:themeColor="text1"/>
        </w:rPr>
        <w:t>universal</w:t>
      </w:r>
      <w:r w:rsidR="006B2E31" w:rsidRPr="009230BD">
        <w:rPr>
          <w:color w:val="000000" w:themeColor="text1"/>
        </w:rPr>
        <w:t xml:space="preserve"> </w:t>
      </w:r>
      <w:r w:rsidR="00061A48" w:rsidRPr="009230BD">
        <w:rPr>
          <w:color w:val="000000" w:themeColor="text1"/>
        </w:rPr>
        <w:t xml:space="preserve">approach adopted </w:t>
      </w:r>
      <w:r w:rsidR="00F650C9">
        <w:rPr>
          <w:color w:val="000000" w:themeColor="text1"/>
        </w:rPr>
        <w:t xml:space="preserve">was directed toward </w:t>
      </w:r>
      <w:r w:rsidR="00351C16" w:rsidRPr="009230BD">
        <w:rPr>
          <w:color w:val="000000" w:themeColor="text1"/>
        </w:rPr>
        <w:t>reaching as many people as possible</w:t>
      </w:r>
      <w:r w:rsidR="009230BD" w:rsidRPr="00CF2F2B">
        <w:rPr>
          <w:color w:val="000000" w:themeColor="text1"/>
        </w:rPr>
        <w:t>.</w:t>
      </w:r>
      <w:r w:rsidR="009230BD">
        <w:rPr>
          <w:color w:val="000000" w:themeColor="text1"/>
        </w:rPr>
        <w:t xml:space="preserve"> </w:t>
      </w:r>
      <w:r w:rsidR="002C5034">
        <w:t>A</w:t>
      </w:r>
      <w:r w:rsidR="00F650C9">
        <w:t xml:space="preserve">side from jarring with a more concentrated focus on ‘at risk’ individuals and/or groups, </w:t>
      </w:r>
      <w:r w:rsidR="002C5034">
        <w:t xml:space="preserve">the universalising principle under which all children and young people </w:t>
      </w:r>
      <w:r w:rsidR="00F650C9">
        <w:t xml:space="preserve">were deemed </w:t>
      </w:r>
      <w:r w:rsidR="002C5034">
        <w:t xml:space="preserve">at risk </w:t>
      </w:r>
      <w:r w:rsidR="00B12A41">
        <w:t>generate</w:t>
      </w:r>
      <w:r w:rsidR="00B701BC">
        <w:t>d</w:t>
      </w:r>
      <w:r w:rsidR="00B12A41">
        <w:t xml:space="preserve"> </w:t>
      </w:r>
      <w:r w:rsidR="00915C2C">
        <w:t>several</w:t>
      </w:r>
      <w:r w:rsidR="004C2D87">
        <w:t xml:space="preserve"> </w:t>
      </w:r>
      <w:r w:rsidR="002C5034">
        <w:t>problems</w:t>
      </w:r>
      <w:r w:rsidR="00B701BC">
        <w:t xml:space="preserve"> within this specific context</w:t>
      </w:r>
      <w:r w:rsidR="00873E97">
        <w:t>.</w:t>
      </w:r>
    </w:p>
    <w:p w14:paraId="0D95CA46" w14:textId="2FF81210" w:rsidR="00595A51" w:rsidRDefault="00AD456D" w:rsidP="00BC01B5">
      <w:pPr>
        <w:pStyle w:val="NormalWeb"/>
        <w:spacing w:line="480" w:lineRule="auto"/>
        <w:jc w:val="both"/>
        <w:rPr>
          <w:color w:val="000000" w:themeColor="text1"/>
        </w:rPr>
      </w:pPr>
      <w:r>
        <w:rPr>
          <w:b/>
          <w:bCs/>
        </w:rPr>
        <w:t>Shared mission or mission creep</w:t>
      </w:r>
      <w:r w:rsidR="00AB1EB5">
        <w:rPr>
          <w:b/>
          <w:bCs/>
        </w:rPr>
        <w:t>?</w:t>
      </w:r>
      <w:r w:rsidR="00ED6A1E">
        <w:rPr>
          <w:b/>
          <w:bCs/>
        </w:rPr>
        <w:t xml:space="preserve"> </w:t>
      </w:r>
      <w:r w:rsidR="00235E6F">
        <w:rPr>
          <w:b/>
          <w:bCs/>
        </w:rPr>
        <w:t>Operationalising ‘</w:t>
      </w:r>
      <w:r w:rsidR="00ED6A1E">
        <w:rPr>
          <w:b/>
          <w:bCs/>
        </w:rPr>
        <w:t>public health</w:t>
      </w:r>
      <w:r w:rsidR="00235E6F">
        <w:rPr>
          <w:b/>
          <w:bCs/>
        </w:rPr>
        <w:t>’</w:t>
      </w:r>
      <w:r w:rsidR="00ED6A1E">
        <w:rPr>
          <w:b/>
          <w:bCs/>
        </w:rPr>
        <w:t xml:space="preserve"> </w:t>
      </w:r>
      <w:r w:rsidR="003B2E34">
        <w:rPr>
          <w:b/>
          <w:bCs/>
        </w:rPr>
        <w:t>aim</w:t>
      </w:r>
      <w:r w:rsidR="001720E8">
        <w:rPr>
          <w:b/>
          <w:bCs/>
        </w:rPr>
        <w:t>s</w:t>
      </w:r>
      <w:r w:rsidR="00ED6A1E">
        <w:rPr>
          <w:b/>
          <w:bCs/>
        </w:rPr>
        <w:t xml:space="preserve"> within a polic</w:t>
      </w:r>
      <w:r w:rsidR="0025347E">
        <w:rPr>
          <w:b/>
          <w:bCs/>
        </w:rPr>
        <w:t>ing context</w:t>
      </w:r>
    </w:p>
    <w:p w14:paraId="55086DC5" w14:textId="2B56E92D" w:rsidR="00A46394" w:rsidRPr="0035529F" w:rsidRDefault="00652DF2" w:rsidP="006B2CC6">
      <w:pPr>
        <w:pStyle w:val="NormalWeb"/>
        <w:spacing w:line="480" w:lineRule="auto"/>
        <w:jc w:val="both"/>
        <w:rPr>
          <w:color w:val="000000" w:themeColor="text1"/>
        </w:rPr>
      </w:pPr>
      <w:r>
        <w:rPr>
          <w:color w:val="000000" w:themeColor="text1"/>
        </w:rPr>
        <w:t xml:space="preserve">The overall </w:t>
      </w:r>
      <w:r w:rsidR="00061A48">
        <w:rPr>
          <w:color w:val="000000" w:themeColor="text1"/>
        </w:rPr>
        <w:t xml:space="preserve">population </w:t>
      </w:r>
      <w:r w:rsidR="004B0D5E">
        <w:rPr>
          <w:color w:val="000000" w:themeColor="text1"/>
        </w:rPr>
        <w:t xml:space="preserve">level </w:t>
      </w:r>
      <w:r w:rsidR="00061A48">
        <w:rPr>
          <w:color w:val="000000" w:themeColor="text1"/>
        </w:rPr>
        <w:t>approach adopted by</w:t>
      </w:r>
      <w:r w:rsidR="00DB58FC">
        <w:rPr>
          <w:color w:val="000000" w:themeColor="text1"/>
        </w:rPr>
        <w:t xml:space="preserve"> the Prevent CSE team </w:t>
      </w:r>
      <w:r w:rsidR="004B0D5E">
        <w:rPr>
          <w:color w:val="000000" w:themeColor="text1"/>
        </w:rPr>
        <w:t xml:space="preserve">was </w:t>
      </w:r>
      <w:r>
        <w:rPr>
          <w:color w:val="000000" w:themeColor="text1"/>
        </w:rPr>
        <w:t xml:space="preserve">designed </w:t>
      </w:r>
      <w:r w:rsidR="004B0D5E">
        <w:rPr>
          <w:color w:val="000000" w:themeColor="text1"/>
        </w:rPr>
        <w:t xml:space="preserve">to </w:t>
      </w:r>
      <w:r w:rsidR="005E1D84">
        <w:rPr>
          <w:color w:val="000000" w:themeColor="text1"/>
        </w:rPr>
        <w:t xml:space="preserve">engage </w:t>
      </w:r>
      <w:r w:rsidR="004B0D5E">
        <w:rPr>
          <w:color w:val="000000" w:themeColor="text1"/>
        </w:rPr>
        <w:t xml:space="preserve">all young people. </w:t>
      </w:r>
      <w:r w:rsidR="00F0390C">
        <w:rPr>
          <w:color w:val="000000" w:themeColor="text1"/>
        </w:rPr>
        <w:t xml:space="preserve">Nonetheless, </w:t>
      </w:r>
      <w:r w:rsidR="00DB58FC">
        <w:rPr>
          <w:color w:val="000000" w:themeColor="text1"/>
        </w:rPr>
        <w:t xml:space="preserve">preventative </w:t>
      </w:r>
      <w:r w:rsidR="00D61903" w:rsidRPr="0035529F">
        <w:rPr>
          <w:color w:val="000000" w:themeColor="text1"/>
        </w:rPr>
        <w:t>activit</w:t>
      </w:r>
      <w:r w:rsidR="00DB58FC">
        <w:rPr>
          <w:color w:val="000000" w:themeColor="text1"/>
        </w:rPr>
        <w:t>y</w:t>
      </w:r>
      <w:r w:rsidR="00A46394" w:rsidRPr="0035529F">
        <w:rPr>
          <w:color w:val="000000" w:themeColor="text1"/>
        </w:rPr>
        <w:t xml:space="preserve"> </w:t>
      </w:r>
      <w:r w:rsidR="00F0390C">
        <w:rPr>
          <w:color w:val="000000" w:themeColor="text1"/>
        </w:rPr>
        <w:t xml:space="preserve">was also </w:t>
      </w:r>
      <w:r w:rsidR="004B0D5E">
        <w:rPr>
          <w:color w:val="000000" w:themeColor="text1"/>
        </w:rPr>
        <w:t>aimed at</w:t>
      </w:r>
      <w:r w:rsidR="00A46394" w:rsidRPr="0035529F">
        <w:rPr>
          <w:color w:val="000000" w:themeColor="text1"/>
        </w:rPr>
        <w:t xml:space="preserve"> those considered </w:t>
      </w:r>
      <w:r w:rsidR="00A46394" w:rsidRPr="0035529F">
        <w:rPr>
          <w:color w:val="000000" w:themeColor="text1"/>
        </w:rPr>
        <w:lastRenderedPageBreak/>
        <w:t>to be</w:t>
      </w:r>
      <w:r w:rsidR="00F0390C">
        <w:rPr>
          <w:color w:val="000000" w:themeColor="text1"/>
        </w:rPr>
        <w:t xml:space="preserve"> on ‘the periphery’</w:t>
      </w:r>
      <w:r w:rsidR="00A46394" w:rsidRPr="0035529F">
        <w:rPr>
          <w:color w:val="000000" w:themeColor="text1"/>
        </w:rPr>
        <w:t xml:space="preserve">. </w:t>
      </w:r>
      <w:r w:rsidR="006B2CC6">
        <w:rPr>
          <w:color w:val="000000" w:themeColor="text1"/>
        </w:rPr>
        <w:t xml:space="preserve">Although practitioners </w:t>
      </w:r>
      <w:r w:rsidR="004D1BC0">
        <w:rPr>
          <w:color w:val="000000" w:themeColor="text1"/>
        </w:rPr>
        <w:t xml:space="preserve">carried out </w:t>
      </w:r>
      <w:r w:rsidR="00D53B82">
        <w:rPr>
          <w:color w:val="000000" w:themeColor="text1"/>
        </w:rPr>
        <w:t xml:space="preserve">some </w:t>
      </w:r>
      <w:r w:rsidR="006B2CC6">
        <w:rPr>
          <w:color w:val="000000" w:themeColor="text1"/>
        </w:rPr>
        <w:t>one-to-one</w:t>
      </w:r>
      <w:r w:rsidR="00F0390C">
        <w:rPr>
          <w:color w:val="000000" w:themeColor="text1"/>
        </w:rPr>
        <w:t xml:space="preserve"> </w:t>
      </w:r>
      <w:r w:rsidR="006B2CC6">
        <w:rPr>
          <w:color w:val="000000" w:themeColor="text1"/>
        </w:rPr>
        <w:t>intervention</w:t>
      </w:r>
      <w:r w:rsidR="00F0390C">
        <w:rPr>
          <w:color w:val="000000" w:themeColor="text1"/>
        </w:rPr>
        <w:t xml:space="preserve"> </w:t>
      </w:r>
      <w:r w:rsidR="006B2CC6">
        <w:rPr>
          <w:color w:val="000000" w:themeColor="text1"/>
        </w:rPr>
        <w:t>work</w:t>
      </w:r>
      <w:r w:rsidR="00F0390C">
        <w:rPr>
          <w:color w:val="000000" w:themeColor="text1"/>
        </w:rPr>
        <w:t>,</w:t>
      </w:r>
      <w:r w:rsidR="006B2CC6">
        <w:rPr>
          <w:color w:val="000000" w:themeColor="text1"/>
        </w:rPr>
        <w:t xml:space="preserve"> </w:t>
      </w:r>
      <w:r w:rsidR="00D53B82">
        <w:rPr>
          <w:color w:val="000000" w:themeColor="text1"/>
        </w:rPr>
        <w:t xml:space="preserve">the initiative was directed at </w:t>
      </w:r>
      <w:r w:rsidR="003A78E0">
        <w:rPr>
          <w:color w:val="000000" w:themeColor="text1"/>
        </w:rPr>
        <w:t>general</w:t>
      </w:r>
      <w:r w:rsidR="00A46394" w:rsidRPr="0035529F">
        <w:rPr>
          <w:color w:val="000000" w:themeColor="text1"/>
        </w:rPr>
        <w:t xml:space="preserve"> </w:t>
      </w:r>
      <w:r w:rsidR="00D53B82">
        <w:rPr>
          <w:color w:val="000000" w:themeColor="text1"/>
        </w:rPr>
        <w:t xml:space="preserve">population level and </w:t>
      </w:r>
      <w:r w:rsidR="00F0390C">
        <w:rPr>
          <w:color w:val="000000" w:themeColor="text1"/>
        </w:rPr>
        <w:t xml:space="preserve">intended </w:t>
      </w:r>
      <w:r w:rsidR="00302A35">
        <w:rPr>
          <w:color w:val="000000" w:themeColor="text1"/>
        </w:rPr>
        <w:t>to assist</w:t>
      </w:r>
      <w:r w:rsidR="00F0390C">
        <w:rPr>
          <w:color w:val="000000" w:themeColor="text1"/>
        </w:rPr>
        <w:t xml:space="preserve"> both</w:t>
      </w:r>
      <w:r w:rsidR="00302A35">
        <w:rPr>
          <w:color w:val="000000" w:themeColor="text1"/>
        </w:rPr>
        <w:t xml:space="preserve"> </w:t>
      </w:r>
      <w:r w:rsidR="00A46394" w:rsidRPr="00CF2F2B">
        <w:rPr>
          <w:color w:val="000000" w:themeColor="text1"/>
        </w:rPr>
        <w:t>potential</w:t>
      </w:r>
      <w:r w:rsidR="00A46394" w:rsidRPr="0035529F">
        <w:rPr>
          <w:color w:val="000000" w:themeColor="text1"/>
        </w:rPr>
        <w:t xml:space="preserve"> victims and/or </w:t>
      </w:r>
      <w:r w:rsidR="00A46394" w:rsidRPr="00CF2F2B">
        <w:rPr>
          <w:color w:val="000000" w:themeColor="text1"/>
        </w:rPr>
        <w:t>potential</w:t>
      </w:r>
      <w:r w:rsidR="00A46394" w:rsidRPr="00B12A41">
        <w:rPr>
          <w:color w:val="000000" w:themeColor="text1"/>
        </w:rPr>
        <w:t xml:space="preserve"> </w:t>
      </w:r>
      <w:r w:rsidR="00A46394" w:rsidRPr="0035529F">
        <w:rPr>
          <w:color w:val="000000" w:themeColor="text1"/>
        </w:rPr>
        <w:t>offenders</w:t>
      </w:r>
      <w:r w:rsidR="00D53B82">
        <w:rPr>
          <w:color w:val="000000" w:themeColor="text1"/>
        </w:rPr>
        <w:t xml:space="preserve"> and</w:t>
      </w:r>
      <w:r w:rsidR="00F0390C">
        <w:rPr>
          <w:color w:val="000000" w:themeColor="text1"/>
        </w:rPr>
        <w:t xml:space="preserve"> </w:t>
      </w:r>
      <w:r w:rsidR="00302A35">
        <w:rPr>
          <w:color w:val="000000" w:themeColor="text1"/>
        </w:rPr>
        <w:t>encompass</w:t>
      </w:r>
      <w:r w:rsidR="00D53B82">
        <w:rPr>
          <w:color w:val="000000" w:themeColor="text1"/>
        </w:rPr>
        <w:t>ing</w:t>
      </w:r>
      <w:r w:rsidR="00302A35">
        <w:rPr>
          <w:color w:val="000000" w:themeColor="text1"/>
        </w:rPr>
        <w:t xml:space="preserve"> young people </w:t>
      </w:r>
      <w:r w:rsidR="00D4654C">
        <w:rPr>
          <w:color w:val="000000" w:themeColor="text1"/>
        </w:rPr>
        <w:t xml:space="preserve">thought </w:t>
      </w:r>
      <w:r w:rsidR="00302A35">
        <w:rPr>
          <w:color w:val="000000" w:themeColor="text1"/>
        </w:rPr>
        <w:t xml:space="preserve">to </w:t>
      </w:r>
      <w:r w:rsidR="00D4654C">
        <w:rPr>
          <w:color w:val="000000" w:themeColor="text1"/>
        </w:rPr>
        <w:t>be ‘lower risk cases’</w:t>
      </w:r>
      <w:r w:rsidR="00A46394" w:rsidRPr="0035529F">
        <w:rPr>
          <w:color w:val="000000" w:themeColor="text1"/>
        </w:rPr>
        <w:t>:</w:t>
      </w:r>
    </w:p>
    <w:p w14:paraId="3F680D16" w14:textId="58124650" w:rsidR="00A46394" w:rsidRPr="00BC4C66" w:rsidRDefault="001E695C" w:rsidP="004375C5">
      <w:pPr>
        <w:pStyle w:val="NormalWeb"/>
        <w:spacing w:line="480" w:lineRule="auto"/>
        <w:ind w:left="720" w:right="656"/>
        <w:jc w:val="both"/>
        <w:rPr>
          <w:color w:val="000000" w:themeColor="text1"/>
        </w:rPr>
      </w:pPr>
      <w:r>
        <w:rPr>
          <w:color w:val="000000" w:themeColor="text1"/>
        </w:rPr>
        <w:t>P</w:t>
      </w:r>
      <w:r w:rsidR="00A46394" w:rsidRPr="00BC4C66">
        <w:rPr>
          <w:color w:val="000000" w:themeColor="text1"/>
        </w:rPr>
        <w:t>redominantly we’re aimed towards dealing with victims … Vulnerable people who need prolonged and sustained support,</w:t>
      </w:r>
      <w:r w:rsidR="00F327D7" w:rsidRPr="00BC4C66">
        <w:rPr>
          <w:color w:val="000000" w:themeColor="text1"/>
        </w:rPr>
        <w:t xml:space="preserve"> </w:t>
      </w:r>
      <w:r w:rsidR="00A46394" w:rsidRPr="00BC4C66">
        <w:rPr>
          <w:color w:val="000000" w:themeColor="text1"/>
        </w:rPr>
        <w:t>we aren’t around to do that. We’re also doing some work with potential offenders</w:t>
      </w:r>
      <w:r w:rsidR="00EF393D">
        <w:rPr>
          <w:color w:val="000000" w:themeColor="text1"/>
        </w:rPr>
        <w:t xml:space="preserve">… </w:t>
      </w:r>
      <w:r w:rsidR="00A46394" w:rsidRPr="00BC4C66">
        <w:rPr>
          <w:color w:val="000000" w:themeColor="text1"/>
        </w:rPr>
        <w:t>I don’t think we’re dealing with the extreme, or the people who are already offending</w:t>
      </w:r>
      <w:r w:rsidR="00B12A41">
        <w:rPr>
          <w:color w:val="000000" w:themeColor="text1"/>
        </w:rPr>
        <w:t xml:space="preserve">… </w:t>
      </w:r>
      <w:r w:rsidR="00A46394" w:rsidRPr="00BC4C66">
        <w:rPr>
          <w:color w:val="000000" w:themeColor="text1"/>
        </w:rPr>
        <w:t>it’s like the periphery group. So</w:t>
      </w:r>
      <w:r w:rsidR="00D53B82">
        <w:rPr>
          <w:color w:val="000000" w:themeColor="text1"/>
        </w:rPr>
        <w:t>,</w:t>
      </w:r>
      <w:r w:rsidR="00A46394" w:rsidRPr="00BC4C66">
        <w:rPr>
          <w:color w:val="000000" w:themeColor="text1"/>
        </w:rPr>
        <w:t xml:space="preserve"> it’s either they’re potential victims on the periphery or they’re potential offenders on the periphery. That’s what we’re aimed more towards</w:t>
      </w:r>
      <w:r w:rsidR="00302A35">
        <w:rPr>
          <w:color w:val="000000" w:themeColor="text1"/>
        </w:rPr>
        <w:t xml:space="preserve"> </w:t>
      </w:r>
      <w:r w:rsidR="00A46394" w:rsidRPr="00BC4C66">
        <w:rPr>
          <w:color w:val="000000" w:themeColor="text1"/>
        </w:rPr>
        <w:t>(Mark, Prevent CSE Team Leader)</w:t>
      </w:r>
      <w:r w:rsidR="00302A35">
        <w:rPr>
          <w:color w:val="000000" w:themeColor="text1"/>
        </w:rPr>
        <w:t>.</w:t>
      </w:r>
    </w:p>
    <w:p w14:paraId="15CADBC3" w14:textId="7382659A" w:rsidR="00A46394" w:rsidRPr="00BC4C66" w:rsidRDefault="00A46394" w:rsidP="004375C5">
      <w:pPr>
        <w:pStyle w:val="NormalWeb"/>
        <w:spacing w:line="480" w:lineRule="auto"/>
        <w:ind w:left="720" w:right="656"/>
        <w:jc w:val="both"/>
        <w:rPr>
          <w:color w:val="000000" w:themeColor="text1"/>
        </w:rPr>
      </w:pPr>
      <w:r w:rsidRPr="00BC4C66">
        <w:rPr>
          <w:color w:val="000000" w:themeColor="text1"/>
        </w:rPr>
        <w:t>It’s to try and prevent those lower risk cases escalating to a more serious level</w:t>
      </w:r>
      <w:r w:rsidR="00397B4F">
        <w:rPr>
          <w:color w:val="000000" w:themeColor="text1"/>
        </w:rPr>
        <w:t>…</w:t>
      </w:r>
      <w:r w:rsidRPr="00BC4C66">
        <w:rPr>
          <w:color w:val="000000" w:themeColor="text1"/>
        </w:rPr>
        <w:t xml:space="preserve"> </w:t>
      </w:r>
      <w:r w:rsidR="006F0E9C">
        <w:rPr>
          <w:color w:val="000000" w:themeColor="text1"/>
        </w:rPr>
        <w:t>I</w:t>
      </w:r>
      <w:r w:rsidRPr="00BC4C66">
        <w:rPr>
          <w:color w:val="000000" w:themeColor="text1"/>
        </w:rPr>
        <w:t>f we get the early intervention, and the awareness done, there will be hopefully fewer numbers of children being involved in exploitation. You know, if they are sent some images, or chatted online, or whatever has happened, hopefully, we can stop that progressing any further. So that they’re not sort of drawn into this world</w:t>
      </w:r>
      <w:r w:rsidR="0031641F">
        <w:rPr>
          <w:color w:val="000000" w:themeColor="text1"/>
        </w:rPr>
        <w:t xml:space="preserve"> </w:t>
      </w:r>
      <w:r w:rsidRPr="00BC4C66">
        <w:rPr>
          <w:color w:val="000000" w:themeColor="text1"/>
        </w:rPr>
        <w:t>in a more serious way</w:t>
      </w:r>
      <w:r w:rsidR="00302A35">
        <w:rPr>
          <w:color w:val="000000" w:themeColor="text1"/>
        </w:rPr>
        <w:t xml:space="preserve"> </w:t>
      </w:r>
      <w:r w:rsidRPr="00BC4C66">
        <w:rPr>
          <w:color w:val="000000" w:themeColor="text1"/>
        </w:rPr>
        <w:t xml:space="preserve">(Susan, Prevent CSE </w:t>
      </w:r>
      <w:r w:rsidR="00CC3058">
        <w:rPr>
          <w:color w:val="000000" w:themeColor="text1"/>
        </w:rPr>
        <w:t>Worker</w:t>
      </w:r>
      <w:r w:rsidRPr="00BC4C66">
        <w:rPr>
          <w:color w:val="000000" w:themeColor="text1"/>
        </w:rPr>
        <w:t>).</w:t>
      </w:r>
    </w:p>
    <w:p w14:paraId="63E94251" w14:textId="3BBB9C5A" w:rsidR="00931ED1" w:rsidRDefault="00AB5FDF" w:rsidP="004375C5">
      <w:pPr>
        <w:pStyle w:val="NormalWeb"/>
        <w:spacing w:line="480" w:lineRule="auto"/>
        <w:jc w:val="both"/>
        <w:rPr>
          <w:color w:val="000000" w:themeColor="text1"/>
        </w:rPr>
      </w:pPr>
      <w:r>
        <w:rPr>
          <w:color w:val="000000" w:themeColor="text1"/>
        </w:rPr>
        <w:t xml:space="preserve">As </w:t>
      </w:r>
      <w:r w:rsidR="009D3117">
        <w:rPr>
          <w:color w:val="000000" w:themeColor="text1"/>
        </w:rPr>
        <w:t xml:space="preserve">the </w:t>
      </w:r>
      <w:r w:rsidR="00CC3058">
        <w:rPr>
          <w:color w:val="000000" w:themeColor="text1"/>
        </w:rPr>
        <w:t xml:space="preserve">leader of the </w:t>
      </w:r>
      <w:r w:rsidR="00C871F7">
        <w:rPr>
          <w:color w:val="000000" w:themeColor="text1"/>
        </w:rPr>
        <w:t xml:space="preserve">prevent CSE </w:t>
      </w:r>
      <w:r w:rsidR="00CC3058">
        <w:rPr>
          <w:color w:val="000000" w:themeColor="text1"/>
        </w:rPr>
        <w:t xml:space="preserve">team </w:t>
      </w:r>
      <w:r w:rsidR="00D53B82">
        <w:rPr>
          <w:color w:val="000000" w:themeColor="text1"/>
        </w:rPr>
        <w:t>suggest</w:t>
      </w:r>
      <w:r w:rsidR="009D3117">
        <w:rPr>
          <w:color w:val="000000" w:themeColor="text1"/>
        </w:rPr>
        <w:t>s</w:t>
      </w:r>
      <w:r>
        <w:rPr>
          <w:color w:val="000000" w:themeColor="text1"/>
        </w:rPr>
        <w:t xml:space="preserve">, </w:t>
      </w:r>
      <w:r w:rsidR="00302A35">
        <w:rPr>
          <w:color w:val="000000" w:themeColor="text1"/>
        </w:rPr>
        <w:t>the education awareness initiative</w:t>
      </w:r>
      <w:r>
        <w:rPr>
          <w:color w:val="000000" w:themeColor="text1"/>
        </w:rPr>
        <w:t xml:space="preserve"> is</w:t>
      </w:r>
      <w:r w:rsidR="00302A35">
        <w:rPr>
          <w:color w:val="000000" w:themeColor="text1"/>
        </w:rPr>
        <w:t xml:space="preserve"> rooted in a public health model</w:t>
      </w:r>
      <w:r w:rsidR="00D53B82">
        <w:rPr>
          <w:color w:val="000000" w:themeColor="text1"/>
        </w:rPr>
        <w:t>,</w:t>
      </w:r>
      <w:r w:rsidR="007C3936">
        <w:rPr>
          <w:color w:val="000000" w:themeColor="text1"/>
        </w:rPr>
        <w:t xml:space="preserve"> </w:t>
      </w:r>
      <w:r w:rsidR="00D53B82">
        <w:rPr>
          <w:color w:val="000000" w:themeColor="text1"/>
        </w:rPr>
        <w:t>but also</w:t>
      </w:r>
      <w:r w:rsidR="00302A35">
        <w:rPr>
          <w:color w:val="000000" w:themeColor="text1"/>
        </w:rPr>
        <w:t xml:space="preserve"> oriented toward</w:t>
      </w:r>
      <w:r w:rsidR="004B3FFC" w:rsidRPr="00BC4C66">
        <w:rPr>
          <w:color w:val="000000" w:themeColor="text1"/>
        </w:rPr>
        <w:t xml:space="preserve"> </w:t>
      </w:r>
      <w:r w:rsidR="00302A35">
        <w:rPr>
          <w:color w:val="000000" w:themeColor="text1"/>
        </w:rPr>
        <w:t xml:space="preserve">identification of </w:t>
      </w:r>
      <w:r w:rsidR="005D2D40" w:rsidRPr="00BC4C66">
        <w:rPr>
          <w:i/>
          <w:iCs/>
          <w:color w:val="000000" w:themeColor="text1"/>
        </w:rPr>
        <w:t>potential</w:t>
      </w:r>
      <w:r w:rsidR="005D2D40" w:rsidRPr="00BC4C66">
        <w:rPr>
          <w:color w:val="000000" w:themeColor="text1"/>
        </w:rPr>
        <w:t xml:space="preserve"> cases </w:t>
      </w:r>
      <w:r w:rsidR="00302A35">
        <w:rPr>
          <w:color w:val="000000" w:themeColor="text1"/>
        </w:rPr>
        <w:t xml:space="preserve">at a stage </w:t>
      </w:r>
      <w:r w:rsidR="005D2D40" w:rsidRPr="00BC4C66">
        <w:rPr>
          <w:color w:val="000000" w:themeColor="text1"/>
        </w:rPr>
        <w:t xml:space="preserve">early enough to intervene and prevent future harm. </w:t>
      </w:r>
      <w:r w:rsidR="00302A35">
        <w:rPr>
          <w:color w:val="000000" w:themeColor="text1"/>
        </w:rPr>
        <w:t xml:space="preserve">Despite being </w:t>
      </w:r>
      <w:r w:rsidR="00A73F2A" w:rsidRPr="00BC4C66">
        <w:rPr>
          <w:color w:val="000000" w:themeColor="text1"/>
        </w:rPr>
        <w:t xml:space="preserve">employed by </w:t>
      </w:r>
      <w:r w:rsidR="00302A35">
        <w:rPr>
          <w:color w:val="000000" w:themeColor="text1"/>
        </w:rPr>
        <w:t xml:space="preserve">a </w:t>
      </w:r>
      <w:r w:rsidR="00A73F2A" w:rsidRPr="00BC4C66">
        <w:rPr>
          <w:color w:val="000000" w:themeColor="text1"/>
        </w:rPr>
        <w:t xml:space="preserve">criminal justice </w:t>
      </w:r>
      <w:r w:rsidR="00302A35">
        <w:rPr>
          <w:color w:val="000000" w:themeColor="text1"/>
        </w:rPr>
        <w:t>agency</w:t>
      </w:r>
      <w:r w:rsidR="00A73F2A" w:rsidRPr="00BC4C66">
        <w:rPr>
          <w:color w:val="000000" w:themeColor="text1"/>
        </w:rPr>
        <w:t xml:space="preserve"> </w:t>
      </w:r>
      <w:r w:rsidR="00302A35">
        <w:rPr>
          <w:color w:val="000000" w:themeColor="text1"/>
        </w:rPr>
        <w:t>-</w:t>
      </w:r>
      <w:r w:rsidR="00A73F2A" w:rsidRPr="00BC4C66">
        <w:rPr>
          <w:color w:val="000000" w:themeColor="text1"/>
        </w:rPr>
        <w:t xml:space="preserve"> </w:t>
      </w:r>
      <w:proofErr w:type="spellStart"/>
      <w:r w:rsidR="00A862D0">
        <w:rPr>
          <w:color w:val="000000" w:themeColor="text1"/>
        </w:rPr>
        <w:t>Midshire</w:t>
      </w:r>
      <w:proofErr w:type="spellEnd"/>
      <w:r w:rsidR="00A73F2A" w:rsidRPr="00BC4C66">
        <w:rPr>
          <w:color w:val="000000" w:themeColor="text1"/>
        </w:rPr>
        <w:t xml:space="preserve"> police </w:t>
      </w:r>
      <w:r w:rsidR="00EB5C4F">
        <w:rPr>
          <w:color w:val="000000" w:themeColor="text1"/>
        </w:rPr>
        <w:t>–</w:t>
      </w:r>
      <w:r w:rsidR="00A73F2A" w:rsidRPr="00BC4C66">
        <w:rPr>
          <w:color w:val="000000" w:themeColor="text1"/>
        </w:rPr>
        <w:t xml:space="preserve"> </w:t>
      </w:r>
      <w:r w:rsidR="003B4CAB">
        <w:rPr>
          <w:color w:val="000000" w:themeColor="text1"/>
        </w:rPr>
        <w:t xml:space="preserve">the team leader </w:t>
      </w:r>
      <w:r w:rsidR="00302A35">
        <w:rPr>
          <w:color w:val="000000" w:themeColor="text1"/>
        </w:rPr>
        <w:t>d</w:t>
      </w:r>
      <w:r w:rsidR="006013A4">
        <w:rPr>
          <w:color w:val="000000" w:themeColor="text1"/>
        </w:rPr>
        <w:t>id</w:t>
      </w:r>
      <w:r w:rsidR="00302A35">
        <w:rPr>
          <w:color w:val="000000" w:themeColor="text1"/>
        </w:rPr>
        <w:t xml:space="preserve"> not perceive </w:t>
      </w:r>
      <w:r w:rsidR="00023DB7">
        <w:rPr>
          <w:color w:val="000000" w:themeColor="text1"/>
        </w:rPr>
        <w:t xml:space="preserve">of the team’s </w:t>
      </w:r>
      <w:r>
        <w:rPr>
          <w:color w:val="000000" w:themeColor="text1"/>
        </w:rPr>
        <w:t xml:space="preserve">role </w:t>
      </w:r>
      <w:r w:rsidR="00023DB7">
        <w:rPr>
          <w:color w:val="000000" w:themeColor="text1"/>
        </w:rPr>
        <w:t xml:space="preserve">as </w:t>
      </w:r>
      <w:r>
        <w:rPr>
          <w:color w:val="000000" w:themeColor="text1"/>
        </w:rPr>
        <w:t xml:space="preserve">responding to </w:t>
      </w:r>
      <w:r w:rsidR="00A73F2A" w:rsidRPr="00BC4C66">
        <w:rPr>
          <w:color w:val="000000" w:themeColor="text1"/>
        </w:rPr>
        <w:t>crime</w:t>
      </w:r>
      <w:r w:rsidR="00302A35">
        <w:rPr>
          <w:color w:val="000000" w:themeColor="text1"/>
        </w:rPr>
        <w:t xml:space="preserve"> nor </w:t>
      </w:r>
      <w:r w:rsidR="00A73F2A" w:rsidRPr="00BC4C66">
        <w:rPr>
          <w:color w:val="000000" w:themeColor="text1"/>
        </w:rPr>
        <w:t>rehabilitat</w:t>
      </w:r>
      <w:r>
        <w:rPr>
          <w:color w:val="000000" w:themeColor="text1"/>
        </w:rPr>
        <w:t>ing</w:t>
      </w:r>
      <w:r w:rsidR="00A73F2A" w:rsidRPr="00BC4C66">
        <w:rPr>
          <w:color w:val="000000" w:themeColor="text1"/>
        </w:rPr>
        <w:t xml:space="preserve"> </w:t>
      </w:r>
      <w:r w:rsidR="00302A35">
        <w:rPr>
          <w:color w:val="000000" w:themeColor="text1"/>
        </w:rPr>
        <w:t xml:space="preserve">offenders. Rather, </w:t>
      </w:r>
      <w:r w:rsidR="00D53B82">
        <w:rPr>
          <w:color w:val="000000" w:themeColor="text1"/>
        </w:rPr>
        <w:t xml:space="preserve">his </w:t>
      </w:r>
      <w:r w:rsidR="0085663B">
        <w:rPr>
          <w:color w:val="000000" w:themeColor="text1"/>
        </w:rPr>
        <w:t xml:space="preserve">team’s </w:t>
      </w:r>
      <w:r w:rsidR="00D53B82">
        <w:rPr>
          <w:color w:val="000000" w:themeColor="text1"/>
        </w:rPr>
        <w:t xml:space="preserve">purpose in </w:t>
      </w:r>
      <w:r w:rsidR="00302A35">
        <w:rPr>
          <w:color w:val="000000" w:themeColor="text1"/>
        </w:rPr>
        <w:t xml:space="preserve">the awareness raising initiative </w:t>
      </w:r>
      <w:r w:rsidR="00896FA9">
        <w:rPr>
          <w:color w:val="000000" w:themeColor="text1"/>
        </w:rPr>
        <w:t>was</w:t>
      </w:r>
      <w:r w:rsidR="00D53B82">
        <w:rPr>
          <w:color w:val="000000" w:themeColor="text1"/>
        </w:rPr>
        <w:t xml:space="preserve"> predominantly </w:t>
      </w:r>
      <w:r w:rsidR="00302A35">
        <w:rPr>
          <w:color w:val="000000" w:themeColor="text1"/>
        </w:rPr>
        <w:t>pre-emptive</w:t>
      </w:r>
      <w:r w:rsidR="00F0390C">
        <w:rPr>
          <w:color w:val="000000" w:themeColor="text1"/>
        </w:rPr>
        <w:t xml:space="preserve">: </w:t>
      </w:r>
      <w:r w:rsidR="00A73F2A" w:rsidRPr="00BC4C66">
        <w:rPr>
          <w:color w:val="000000" w:themeColor="text1"/>
        </w:rPr>
        <w:t xml:space="preserve">to </w:t>
      </w:r>
      <w:r w:rsidR="00302A35">
        <w:rPr>
          <w:color w:val="000000" w:themeColor="text1"/>
        </w:rPr>
        <w:t xml:space="preserve">identify and divert future harms. </w:t>
      </w:r>
      <w:r w:rsidR="0015344A" w:rsidRPr="00D31B1A">
        <w:rPr>
          <w:color w:val="000000" w:themeColor="text1"/>
        </w:rPr>
        <w:t>This approach</w:t>
      </w:r>
      <w:r w:rsidR="00302A35">
        <w:rPr>
          <w:color w:val="000000" w:themeColor="text1"/>
        </w:rPr>
        <w:t xml:space="preserve"> chimes with the </w:t>
      </w:r>
      <w:r>
        <w:rPr>
          <w:color w:val="000000" w:themeColor="text1"/>
        </w:rPr>
        <w:t xml:space="preserve">previous </w:t>
      </w:r>
      <w:r w:rsidR="00302A35">
        <w:rPr>
          <w:color w:val="000000" w:themeColor="text1"/>
        </w:rPr>
        <w:t>deployment of</w:t>
      </w:r>
      <w:r w:rsidR="0015344A" w:rsidRPr="00D31B1A">
        <w:rPr>
          <w:color w:val="000000" w:themeColor="text1"/>
        </w:rPr>
        <w:t xml:space="preserve"> ‘pre-crime’ strategies </w:t>
      </w:r>
      <w:r w:rsidR="00302A35">
        <w:rPr>
          <w:color w:val="000000" w:themeColor="text1"/>
        </w:rPr>
        <w:t>in other contexts of regulation</w:t>
      </w:r>
      <w:r w:rsidR="00C45E46">
        <w:rPr>
          <w:color w:val="000000" w:themeColor="text1"/>
        </w:rPr>
        <w:t xml:space="preserve">, most notably </w:t>
      </w:r>
      <w:r w:rsidR="00C45E46">
        <w:rPr>
          <w:color w:val="000000" w:themeColor="text1"/>
        </w:rPr>
        <w:lastRenderedPageBreak/>
        <w:t>counter terrorism</w:t>
      </w:r>
      <w:r w:rsidR="00302A35">
        <w:rPr>
          <w:color w:val="000000" w:themeColor="text1"/>
        </w:rPr>
        <w:t xml:space="preserve"> </w:t>
      </w:r>
      <w:r w:rsidR="0015344A" w:rsidRPr="00CF2F2B">
        <w:rPr>
          <w:color w:val="000000" w:themeColor="text1"/>
        </w:rPr>
        <w:t>(</w:t>
      </w:r>
      <w:r w:rsidR="00302A35" w:rsidRPr="00CF2F2B">
        <w:rPr>
          <w:color w:val="000000" w:themeColor="text1"/>
        </w:rPr>
        <w:t xml:space="preserve">see </w:t>
      </w:r>
      <w:r w:rsidR="00C45E46" w:rsidRPr="00CF2F2B">
        <w:rPr>
          <w:color w:val="000000" w:themeColor="text1"/>
        </w:rPr>
        <w:t xml:space="preserve">Amoore and de Goede; 2008; </w:t>
      </w:r>
      <w:r w:rsidR="00302A35" w:rsidRPr="00CF2F2B">
        <w:rPr>
          <w:color w:val="000000" w:themeColor="text1"/>
        </w:rPr>
        <w:t xml:space="preserve">Mythen and </w:t>
      </w:r>
      <w:proofErr w:type="spellStart"/>
      <w:r w:rsidR="00302A35" w:rsidRPr="00CF2F2B">
        <w:rPr>
          <w:color w:val="000000" w:themeColor="text1"/>
        </w:rPr>
        <w:t>Walklate</w:t>
      </w:r>
      <w:proofErr w:type="spellEnd"/>
      <w:r w:rsidR="00302A35" w:rsidRPr="00CF2F2B">
        <w:rPr>
          <w:color w:val="000000" w:themeColor="text1"/>
        </w:rPr>
        <w:t>, 20</w:t>
      </w:r>
      <w:r w:rsidR="0030563D">
        <w:rPr>
          <w:color w:val="000000" w:themeColor="text1"/>
        </w:rPr>
        <w:t>10</w:t>
      </w:r>
      <w:r w:rsidR="0015344A" w:rsidRPr="00CF2F2B">
        <w:rPr>
          <w:color w:val="000000" w:themeColor="text1"/>
        </w:rPr>
        <w:t>).</w:t>
      </w:r>
      <w:r w:rsidR="00931ED1" w:rsidRPr="00D31B1A">
        <w:rPr>
          <w:color w:val="000000" w:themeColor="text1"/>
        </w:rPr>
        <w:t xml:space="preserve"> The</w:t>
      </w:r>
      <w:r w:rsidR="00302A35">
        <w:rPr>
          <w:color w:val="000000" w:themeColor="text1"/>
        </w:rPr>
        <w:t xml:space="preserve"> </w:t>
      </w:r>
      <w:r w:rsidR="00C45E46">
        <w:rPr>
          <w:color w:val="000000" w:themeColor="text1"/>
        </w:rPr>
        <w:t xml:space="preserve">prickly </w:t>
      </w:r>
      <w:r w:rsidR="00302A35">
        <w:rPr>
          <w:color w:val="000000" w:themeColor="text1"/>
        </w:rPr>
        <w:t>question that surfaces</w:t>
      </w:r>
      <w:r w:rsidR="00634CF2">
        <w:rPr>
          <w:color w:val="000000" w:themeColor="text1"/>
        </w:rPr>
        <w:t xml:space="preserve">, however, </w:t>
      </w:r>
      <w:r w:rsidR="00302A35">
        <w:rPr>
          <w:color w:val="000000" w:themeColor="text1"/>
        </w:rPr>
        <w:t xml:space="preserve">is </w:t>
      </w:r>
      <w:r w:rsidR="00D31B1A" w:rsidRPr="00D31B1A">
        <w:rPr>
          <w:color w:val="000000" w:themeColor="text1"/>
        </w:rPr>
        <w:t>a</w:t>
      </w:r>
      <w:r w:rsidR="00931ED1" w:rsidRPr="00D31B1A">
        <w:rPr>
          <w:color w:val="000000" w:themeColor="text1"/>
        </w:rPr>
        <w:t xml:space="preserve">t what point </w:t>
      </w:r>
      <w:r w:rsidR="00302A35">
        <w:rPr>
          <w:color w:val="000000" w:themeColor="text1"/>
        </w:rPr>
        <w:t xml:space="preserve">does </w:t>
      </w:r>
      <w:r w:rsidR="00D31B1A" w:rsidRPr="00D31B1A">
        <w:rPr>
          <w:color w:val="000000" w:themeColor="text1"/>
        </w:rPr>
        <w:t xml:space="preserve">preventative activity </w:t>
      </w:r>
      <w:r w:rsidR="00931ED1" w:rsidRPr="00D31B1A">
        <w:rPr>
          <w:color w:val="000000" w:themeColor="text1"/>
        </w:rPr>
        <w:t xml:space="preserve">become </w:t>
      </w:r>
      <w:r w:rsidR="00302A35">
        <w:rPr>
          <w:color w:val="000000" w:themeColor="text1"/>
        </w:rPr>
        <w:t xml:space="preserve">a </w:t>
      </w:r>
      <w:r w:rsidR="00931ED1" w:rsidRPr="00D31B1A">
        <w:rPr>
          <w:color w:val="000000" w:themeColor="text1"/>
        </w:rPr>
        <w:t xml:space="preserve">form of </w:t>
      </w:r>
      <w:r w:rsidR="00302A35">
        <w:rPr>
          <w:color w:val="000000" w:themeColor="text1"/>
        </w:rPr>
        <w:t xml:space="preserve">disciplinary </w:t>
      </w:r>
      <w:r w:rsidR="00931ED1" w:rsidRPr="00D31B1A">
        <w:rPr>
          <w:color w:val="000000" w:themeColor="text1"/>
        </w:rPr>
        <w:t>governance</w:t>
      </w:r>
      <w:r w:rsidR="00D53B82">
        <w:rPr>
          <w:color w:val="000000" w:themeColor="text1"/>
        </w:rPr>
        <w:t>,</w:t>
      </w:r>
      <w:r w:rsidR="00302A35">
        <w:rPr>
          <w:color w:val="000000" w:themeColor="text1"/>
        </w:rPr>
        <w:t xml:space="preserve"> not so much </w:t>
      </w:r>
      <w:r w:rsidR="00C45E46">
        <w:rPr>
          <w:color w:val="000000" w:themeColor="text1"/>
        </w:rPr>
        <w:t xml:space="preserve">directed at observing and monitoring those </w:t>
      </w:r>
      <w:r w:rsidR="00302A35">
        <w:rPr>
          <w:color w:val="000000" w:themeColor="text1"/>
        </w:rPr>
        <w:t>‘at risk’ or ‘risky’</w:t>
      </w:r>
      <w:r w:rsidR="00D53B82">
        <w:rPr>
          <w:color w:val="000000" w:themeColor="text1"/>
        </w:rPr>
        <w:t xml:space="preserve">, </w:t>
      </w:r>
      <w:r w:rsidR="00302A35">
        <w:rPr>
          <w:color w:val="000000" w:themeColor="text1"/>
        </w:rPr>
        <w:t xml:space="preserve">but those </w:t>
      </w:r>
      <w:proofErr w:type="spellStart"/>
      <w:r w:rsidR="00302A35">
        <w:rPr>
          <w:color w:val="000000" w:themeColor="text1"/>
        </w:rPr>
        <w:t>outwith</w:t>
      </w:r>
      <w:proofErr w:type="spellEnd"/>
      <w:r w:rsidR="00302A35">
        <w:rPr>
          <w:color w:val="000000" w:themeColor="text1"/>
        </w:rPr>
        <w:t xml:space="preserve"> this ambit? </w:t>
      </w:r>
      <w:r w:rsidR="0087210B">
        <w:rPr>
          <w:color w:val="000000" w:themeColor="text1"/>
        </w:rPr>
        <w:t xml:space="preserve">The team leader’s </w:t>
      </w:r>
      <w:r w:rsidR="003A78E0">
        <w:rPr>
          <w:color w:val="000000" w:themeColor="text1"/>
        </w:rPr>
        <w:t>self-correction is also worthy of remark, illustrating the imagined proximity between those defined as</w:t>
      </w:r>
      <w:r w:rsidR="00C45E46">
        <w:rPr>
          <w:color w:val="000000" w:themeColor="text1"/>
        </w:rPr>
        <w:t xml:space="preserve"> presently potentially</w:t>
      </w:r>
      <w:r w:rsidR="003A78E0">
        <w:rPr>
          <w:color w:val="000000" w:themeColor="text1"/>
        </w:rPr>
        <w:t xml:space="preserve"> ‘vulnerable’ and those that are classified as ‘</w:t>
      </w:r>
      <w:proofErr w:type="gramStart"/>
      <w:r w:rsidR="003A78E0">
        <w:rPr>
          <w:color w:val="000000" w:themeColor="text1"/>
        </w:rPr>
        <w:t>victims’</w:t>
      </w:r>
      <w:proofErr w:type="gramEnd"/>
      <w:r w:rsidR="003A78E0">
        <w:rPr>
          <w:color w:val="000000" w:themeColor="text1"/>
        </w:rPr>
        <w:t xml:space="preserve">. This </w:t>
      </w:r>
      <w:r w:rsidR="00D53B82">
        <w:rPr>
          <w:color w:val="000000" w:themeColor="text1"/>
        </w:rPr>
        <w:t>has resonances</w:t>
      </w:r>
      <w:r w:rsidR="00C45E46">
        <w:rPr>
          <w:color w:val="000000" w:themeColor="text1"/>
        </w:rPr>
        <w:t xml:space="preserve"> with the seemingly creeping </w:t>
      </w:r>
      <w:r w:rsidR="00D53B82">
        <w:rPr>
          <w:color w:val="000000" w:themeColor="text1"/>
        </w:rPr>
        <w:t xml:space="preserve">societal </w:t>
      </w:r>
      <w:r w:rsidR="003A78E0">
        <w:rPr>
          <w:color w:val="000000" w:themeColor="text1"/>
        </w:rPr>
        <w:t xml:space="preserve">spectre of the ‘universal victim’ and associated </w:t>
      </w:r>
      <w:r w:rsidR="00D53B82">
        <w:rPr>
          <w:color w:val="000000" w:themeColor="text1"/>
        </w:rPr>
        <w:t xml:space="preserve">thorny </w:t>
      </w:r>
      <w:r w:rsidR="003A78E0">
        <w:rPr>
          <w:color w:val="000000" w:themeColor="text1"/>
        </w:rPr>
        <w:t xml:space="preserve">issues of what </w:t>
      </w:r>
      <w:r w:rsidR="00D53B82">
        <w:rPr>
          <w:color w:val="000000" w:themeColor="text1"/>
        </w:rPr>
        <w:t>becomes</w:t>
      </w:r>
      <w:r w:rsidR="003A78E0">
        <w:rPr>
          <w:color w:val="000000" w:themeColor="text1"/>
        </w:rPr>
        <w:t xml:space="preserve"> </w:t>
      </w:r>
      <w:r w:rsidR="00D53B82">
        <w:rPr>
          <w:color w:val="000000" w:themeColor="text1"/>
        </w:rPr>
        <w:t xml:space="preserve">obscure </w:t>
      </w:r>
      <w:proofErr w:type="gramStart"/>
      <w:r w:rsidR="003A78E0">
        <w:rPr>
          <w:color w:val="000000" w:themeColor="text1"/>
        </w:rPr>
        <w:t xml:space="preserve">if </w:t>
      </w:r>
      <w:r w:rsidR="00D53B82">
        <w:rPr>
          <w:color w:val="000000" w:themeColor="text1"/>
        </w:rPr>
        <w:t>and when</w:t>
      </w:r>
      <w:proofErr w:type="gramEnd"/>
      <w:r w:rsidR="00D53B82">
        <w:rPr>
          <w:color w:val="000000" w:themeColor="text1"/>
        </w:rPr>
        <w:t xml:space="preserve"> </w:t>
      </w:r>
      <w:r w:rsidR="003A78E0">
        <w:rPr>
          <w:color w:val="000000" w:themeColor="text1"/>
        </w:rPr>
        <w:t>victim</w:t>
      </w:r>
      <w:r w:rsidR="00C45E46">
        <w:rPr>
          <w:color w:val="000000" w:themeColor="text1"/>
        </w:rPr>
        <w:t>isation</w:t>
      </w:r>
      <w:r w:rsidR="003A78E0">
        <w:rPr>
          <w:color w:val="000000" w:themeColor="text1"/>
        </w:rPr>
        <w:t xml:space="preserve"> becomes a classificatory norm </w:t>
      </w:r>
      <w:r w:rsidR="003A78E0" w:rsidRPr="003D08E9">
        <w:rPr>
          <w:color w:val="000000" w:themeColor="text1"/>
        </w:rPr>
        <w:t>(</w:t>
      </w:r>
      <w:r w:rsidR="003A78E0" w:rsidRPr="00CF2F2B">
        <w:rPr>
          <w:color w:val="000000" w:themeColor="text1"/>
        </w:rPr>
        <w:t xml:space="preserve">see </w:t>
      </w:r>
      <w:r w:rsidRPr="00CF2F2B">
        <w:rPr>
          <w:color w:val="000000" w:themeColor="text1"/>
        </w:rPr>
        <w:t xml:space="preserve">McGarry and </w:t>
      </w:r>
      <w:proofErr w:type="spellStart"/>
      <w:r w:rsidRPr="00CF2F2B">
        <w:rPr>
          <w:color w:val="000000" w:themeColor="text1"/>
        </w:rPr>
        <w:t>Walklate</w:t>
      </w:r>
      <w:proofErr w:type="spellEnd"/>
      <w:r w:rsidRPr="00CF2F2B">
        <w:rPr>
          <w:color w:val="000000" w:themeColor="text1"/>
        </w:rPr>
        <w:t>, 2015)</w:t>
      </w:r>
      <w:r w:rsidR="003A78E0" w:rsidRPr="003D08E9">
        <w:rPr>
          <w:color w:val="000000" w:themeColor="text1"/>
        </w:rPr>
        <w:t>.</w:t>
      </w:r>
    </w:p>
    <w:p w14:paraId="05A2FF2E" w14:textId="18E3485B" w:rsidR="007D4A36" w:rsidRPr="00C965AD" w:rsidRDefault="007D4A36" w:rsidP="007D4A36">
      <w:pPr>
        <w:pStyle w:val="NormalWeb"/>
        <w:spacing w:line="480" w:lineRule="auto"/>
        <w:jc w:val="both"/>
        <w:rPr>
          <w:color w:val="000000" w:themeColor="text1"/>
        </w:rPr>
      </w:pPr>
      <w:r w:rsidRPr="006A04B9">
        <w:rPr>
          <w:color w:val="000000" w:themeColor="text1"/>
        </w:rPr>
        <w:t xml:space="preserve">As with traditional public health and crime prevention approaches, the rationale underpinning the initiative to prevent CSE was to </w:t>
      </w:r>
      <w:r>
        <w:rPr>
          <w:color w:val="000000" w:themeColor="text1"/>
        </w:rPr>
        <w:t xml:space="preserve">raise awareness of risk among young people, parents, </w:t>
      </w:r>
      <w:proofErr w:type="gramStart"/>
      <w:r>
        <w:rPr>
          <w:color w:val="000000" w:themeColor="text1"/>
        </w:rPr>
        <w:t>carers</w:t>
      </w:r>
      <w:proofErr w:type="gramEnd"/>
      <w:r>
        <w:rPr>
          <w:color w:val="000000" w:themeColor="text1"/>
        </w:rPr>
        <w:t xml:space="preserve"> and potential perpetrators, with reduction of risk being a focal objective</w:t>
      </w:r>
      <w:r w:rsidRPr="00C965AD">
        <w:rPr>
          <w:color w:val="000000" w:themeColor="text1"/>
        </w:rPr>
        <w:t xml:space="preserve">. This </w:t>
      </w:r>
      <w:r>
        <w:rPr>
          <w:color w:val="000000" w:themeColor="text1"/>
        </w:rPr>
        <w:t xml:space="preserve">aspiration was </w:t>
      </w:r>
      <w:r w:rsidR="00710578">
        <w:rPr>
          <w:color w:val="000000" w:themeColor="text1"/>
        </w:rPr>
        <w:t xml:space="preserve">also </w:t>
      </w:r>
      <w:r>
        <w:rPr>
          <w:color w:val="000000" w:themeColor="text1"/>
        </w:rPr>
        <w:t xml:space="preserve">foregrounded by the </w:t>
      </w:r>
      <w:r w:rsidRPr="00C965AD">
        <w:rPr>
          <w:color w:val="000000" w:themeColor="text1"/>
        </w:rPr>
        <w:t>strategic leads we interviewed at the onset of the project</w:t>
      </w:r>
      <w:r w:rsidR="004C3E85">
        <w:rPr>
          <w:color w:val="000000" w:themeColor="text1"/>
        </w:rPr>
        <w:t xml:space="preserve">, as one of them emphasised, </w:t>
      </w:r>
      <w:r>
        <w:rPr>
          <w:color w:val="000000" w:themeColor="text1"/>
        </w:rPr>
        <w:t>th</w:t>
      </w:r>
      <w:r w:rsidR="000F7A7A">
        <w:rPr>
          <w:color w:val="000000" w:themeColor="text1"/>
        </w:rPr>
        <w:t>at</w:t>
      </w:r>
      <w:r w:rsidRPr="00C965AD">
        <w:rPr>
          <w:color w:val="000000" w:themeColor="text1"/>
        </w:rPr>
        <w:t xml:space="preserve"> data collected from local polic</w:t>
      </w:r>
      <w:r>
        <w:rPr>
          <w:color w:val="000000" w:themeColor="text1"/>
        </w:rPr>
        <w:t xml:space="preserve">e </w:t>
      </w:r>
      <w:r w:rsidRPr="00C965AD">
        <w:rPr>
          <w:color w:val="000000" w:themeColor="text1"/>
        </w:rPr>
        <w:t xml:space="preserve">and safeguarding systems would </w:t>
      </w:r>
      <w:r>
        <w:rPr>
          <w:color w:val="000000" w:themeColor="text1"/>
        </w:rPr>
        <w:t xml:space="preserve">direct </w:t>
      </w:r>
      <w:r w:rsidRPr="00C965AD">
        <w:rPr>
          <w:color w:val="000000" w:themeColor="text1"/>
        </w:rPr>
        <w:t xml:space="preserve">the multi-agency team </w:t>
      </w:r>
      <w:r>
        <w:rPr>
          <w:color w:val="000000" w:themeColor="text1"/>
        </w:rPr>
        <w:t>to</w:t>
      </w:r>
      <w:r w:rsidRPr="00C965AD">
        <w:rPr>
          <w:color w:val="000000" w:themeColor="text1"/>
        </w:rPr>
        <w:t xml:space="preserve"> ‘the soil </w:t>
      </w:r>
      <w:r>
        <w:rPr>
          <w:color w:val="000000" w:themeColor="text1"/>
        </w:rPr>
        <w:t xml:space="preserve">where </w:t>
      </w:r>
      <w:r w:rsidRPr="00C965AD">
        <w:rPr>
          <w:color w:val="000000" w:themeColor="text1"/>
        </w:rPr>
        <w:t>children vulnerable to CSE breed’</w:t>
      </w:r>
      <w:r>
        <w:rPr>
          <w:color w:val="000000" w:themeColor="text1"/>
        </w:rPr>
        <w:t xml:space="preserve">. </w:t>
      </w:r>
      <w:r w:rsidRPr="00C965AD">
        <w:rPr>
          <w:color w:val="000000" w:themeColor="text1"/>
        </w:rPr>
        <w:t xml:space="preserve">Aligning with </w:t>
      </w:r>
      <w:r>
        <w:rPr>
          <w:color w:val="000000" w:themeColor="text1"/>
        </w:rPr>
        <w:t>a</w:t>
      </w:r>
      <w:r w:rsidRPr="00C965AD">
        <w:rPr>
          <w:color w:val="000000" w:themeColor="text1"/>
        </w:rPr>
        <w:t xml:space="preserve"> </w:t>
      </w:r>
      <w:r>
        <w:rPr>
          <w:color w:val="000000" w:themeColor="text1"/>
        </w:rPr>
        <w:t>public health model</w:t>
      </w:r>
      <w:r w:rsidRPr="00C965AD">
        <w:rPr>
          <w:color w:val="000000" w:themeColor="text1"/>
        </w:rPr>
        <w:t xml:space="preserve"> of </w:t>
      </w:r>
      <w:r>
        <w:rPr>
          <w:color w:val="000000" w:themeColor="text1"/>
        </w:rPr>
        <w:t xml:space="preserve">using </w:t>
      </w:r>
      <w:r w:rsidRPr="00C965AD">
        <w:rPr>
          <w:color w:val="000000" w:themeColor="text1"/>
        </w:rPr>
        <w:t xml:space="preserve">data collection and analysis to inform preventative activity, </w:t>
      </w:r>
      <w:r w:rsidR="00066857">
        <w:rPr>
          <w:color w:val="000000" w:themeColor="text1"/>
        </w:rPr>
        <w:t xml:space="preserve">the aim was to </w:t>
      </w:r>
      <w:r w:rsidR="00116583">
        <w:rPr>
          <w:color w:val="000000" w:themeColor="text1"/>
        </w:rPr>
        <w:t>‘</w:t>
      </w:r>
      <w:r w:rsidR="00066857">
        <w:rPr>
          <w:color w:val="000000" w:themeColor="text1"/>
        </w:rPr>
        <w:t xml:space="preserve">profile </w:t>
      </w:r>
      <w:r>
        <w:rPr>
          <w:color w:val="000000" w:themeColor="text1"/>
        </w:rPr>
        <w:t xml:space="preserve">specific </w:t>
      </w:r>
      <w:r w:rsidRPr="00C965AD">
        <w:rPr>
          <w:color w:val="000000" w:themeColor="text1"/>
        </w:rPr>
        <w:t>geographical areas as potential sites for intervention</w:t>
      </w:r>
      <w:r>
        <w:rPr>
          <w:color w:val="000000" w:themeColor="text1"/>
        </w:rPr>
        <w:t xml:space="preserve"> in</w:t>
      </w:r>
      <w:r w:rsidRPr="00C965AD">
        <w:rPr>
          <w:color w:val="000000" w:themeColor="text1"/>
        </w:rPr>
        <w:t xml:space="preserve"> accord</w:t>
      </w:r>
      <w:r>
        <w:rPr>
          <w:color w:val="000000" w:themeColor="text1"/>
        </w:rPr>
        <w:t>ance with</w:t>
      </w:r>
      <w:r w:rsidRPr="00C965AD">
        <w:rPr>
          <w:color w:val="000000" w:themeColor="text1"/>
        </w:rPr>
        <w:t xml:space="preserve"> locally produced information </w:t>
      </w:r>
      <w:proofErr w:type="gramStart"/>
      <w:r w:rsidRPr="00C965AD">
        <w:rPr>
          <w:color w:val="000000" w:themeColor="text1"/>
        </w:rPr>
        <w:t>systems</w:t>
      </w:r>
      <w:r w:rsidR="00116583">
        <w:rPr>
          <w:color w:val="000000" w:themeColor="text1"/>
        </w:rPr>
        <w:t>’</w:t>
      </w:r>
      <w:proofErr w:type="gramEnd"/>
      <w:r w:rsidRPr="00C965AD">
        <w:rPr>
          <w:color w:val="000000" w:themeColor="text1"/>
        </w:rPr>
        <w:t>. Yet</w:t>
      </w:r>
      <w:r w:rsidR="00457069">
        <w:rPr>
          <w:color w:val="000000" w:themeColor="text1"/>
        </w:rPr>
        <w:t xml:space="preserve"> </w:t>
      </w:r>
      <w:r w:rsidRPr="00C965AD">
        <w:rPr>
          <w:color w:val="000000" w:themeColor="text1"/>
        </w:rPr>
        <w:t xml:space="preserve">the approach adopted </w:t>
      </w:r>
      <w:r>
        <w:rPr>
          <w:color w:val="000000" w:themeColor="text1"/>
        </w:rPr>
        <w:t xml:space="preserve">in practice </w:t>
      </w:r>
      <w:r w:rsidRPr="00C965AD">
        <w:rPr>
          <w:color w:val="000000" w:themeColor="text1"/>
        </w:rPr>
        <w:t xml:space="preserve">rarely </w:t>
      </w:r>
      <w:r>
        <w:rPr>
          <w:color w:val="000000" w:themeColor="text1"/>
        </w:rPr>
        <w:t xml:space="preserve">appeared to take </w:t>
      </w:r>
      <w:r w:rsidRPr="00C965AD">
        <w:rPr>
          <w:color w:val="000000" w:themeColor="text1"/>
        </w:rPr>
        <w:t xml:space="preserve">account of information gathered by local safeguarding systems: </w:t>
      </w:r>
    </w:p>
    <w:p w14:paraId="59243E55" w14:textId="6B6980D6" w:rsidR="007D4A36" w:rsidRPr="00C965AD" w:rsidRDefault="007D4A36" w:rsidP="007D4A36">
      <w:pPr>
        <w:spacing w:line="480" w:lineRule="auto"/>
        <w:ind w:left="720" w:right="656" w:hanging="11"/>
        <w:jc w:val="both"/>
        <w:rPr>
          <w:color w:val="000000" w:themeColor="text1"/>
        </w:rPr>
      </w:pPr>
      <w:r>
        <w:rPr>
          <w:color w:val="000000" w:themeColor="text1"/>
        </w:rPr>
        <w:t>O</w:t>
      </w:r>
      <w:r w:rsidRPr="00C965AD">
        <w:rPr>
          <w:color w:val="000000" w:themeColor="text1"/>
        </w:rPr>
        <w:t xml:space="preserve">ne of the things that I agreed in one of the early planning meetings for this service was that the Prevent team would attend CSE panels, where we’re trying to gather not just information on individual </w:t>
      </w:r>
      <w:proofErr w:type="gramStart"/>
      <w:r w:rsidRPr="00C965AD">
        <w:rPr>
          <w:color w:val="000000" w:themeColor="text1"/>
        </w:rPr>
        <w:t>children</w:t>
      </w:r>
      <w:r>
        <w:rPr>
          <w:color w:val="000000" w:themeColor="text1"/>
        </w:rPr>
        <w:t>,</w:t>
      </w:r>
      <w:r w:rsidRPr="00C965AD">
        <w:rPr>
          <w:color w:val="000000" w:themeColor="text1"/>
        </w:rPr>
        <w:t xml:space="preserve"> but</w:t>
      </w:r>
      <w:proofErr w:type="gramEnd"/>
      <w:r w:rsidRPr="00C965AD">
        <w:rPr>
          <w:color w:val="000000" w:themeColor="text1"/>
        </w:rPr>
        <w:t xml:space="preserve"> aggregated local based</w:t>
      </w:r>
      <w:r>
        <w:rPr>
          <w:color w:val="000000" w:themeColor="text1"/>
        </w:rPr>
        <w:t xml:space="preserve"> </w:t>
      </w:r>
      <w:r w:rsidRPr="00C965AD">
        <w:rPr>
          <w:color w:val="000000" w:themeColor="text1"/>
        </w:rPr>
        <w:t>… and we could directly give them pieces of work to do in local areas, based on the findings of the panel. So</w:t>
      </w:r>
      <w:r w:rsidR="00457069">
        <w:rPr>
          <w:color w:val="000000" w:themeColor="text1"/>
        </w:rPr>
        <w:t>,</w:t>
      </w:r>
      <w:r w:rsidRPr="00C965AD">
        <w:rPr>
          <w:color w:val="000000" w:themeColor="text1"/>
        </w:rPr>
        <w:t xml:space="preserve"> I went to observe one of the panels last week and </w:t>
      </w:r>
      <w:r w:rsidRPr="00C965AD">
        <w:rPr>
          <w:color w:val="000000" w:themeColor="text1"/>
        </w:rPr>
        <w:lastRenderedPageBreak/>
        <w:t xml:space="preserve">it was clear we’ve got a cluster of young people who are attending one school. So, the ideal would be for the </w:t>
      </w:r>
      <w:r w:rsidRPr="00457069">
        <w:rPr>
          <w:color w:val="000000" w:themeColor="text1"/>
        </w:rPr>
        <w:t xml:space="preserve">Prevent </w:t>
      </w:r>
      <w:r w:rsidRPr="00C965AD">
        <w:rPr>
          <w:color w:val="000000" w:themeColor="text1"/>
        </w:rPr>
        <w:t>team to go in. Not with those young people already identified, but with probably the year group below, and look with the school and the local social work team, what they could target at that group of young people to prevent them becoming the next victims</w:t>
      </w:r>
      <w:r w:rsidR="00A84C93">
        <w:rPr>
          <w:color w:val="000000" w:themeColor="text1"/>
        </w:rPr>
        <w:t>…</w:t>
      </w:r>
      <w:r w:rsidRPr="00C965AD">
        <w:rPr>
          <w:color w:val="000000" w:themeColor="text1"/>
        </w:rPr>
        <w:t xml:space="preserve">. I only found out last week that the </w:t>
      </w:r>
      <w:r w:rsidRPr="00457069">
        <w:rPr>
          <w:color w:val="000000" w:themeColor="text1"/>
        </w:rPr>
        <w:t>Prevent</w:t>
      </w:r>
      <w:r w:rsidRPr="00C965AD">
        <w:rPr>
          <w:color w:val="000000" w:themeColor="text1"/>
        </w:rPr>
        <w:t xml:space="preserve"> team weren’t going to the CSE panels</w:t>
      </w:r>
      <w:r>
        <w:rPr>
          <w:color w:val="000000" w:themeColor="text1"/>
        </w:rPr>
        <w:t xml:space="preserve"> </w:t>
      </w:r>
      <w:r w:rsidRPr="00C965AD">
        <w:rPr>
          <w:color w:val="000000" w:themeColor="text1"/>
        </w:rPr>
        <w:t>…</w:t>
      </w:r>
      <w:r w:rsidRPr="00342AA1">
        <w:rPr>
          <w:color w:val="000000" w:themeColor="text1"/>
        </w:rPr>
        <w:t xml:space="preserve"> So, by this team not coming, they undermine their capacity to get out quickly to where we need them to go … I think if they lose their link to the CSE panels, that’s a really dropped ball. And what it will become is a police initiative with the police sent out to do work in areas dictated to by police led intelligence (Victoria, Strategic Lead).</w:t>
      </w:r>
    </w:p>
    <w:p w14:paraId="5E782CAD" w14:textId="60FC2A3C" w:rsidR="007D4A36" w:rsidRPr="00614DF3" w:rsidRDefault="007D4A36" w:rsidP="007D4A36">
      <w:pPr>
        <w:pStyle w:val="NormalWeb"/>
        <w:spacing w:line="480" w:lineRule="auto"/>
        <w:ind w:right="89"/>
        <w:jc w:val="both"/>
        <w:rPr>
          <w:color w:val="000000" w:themeColor="text1"/>
        </w:rPr>
      </w:pPr>
      <w:r w:rsidRPr="00614DF3">
        <w:rPr>
          <w:color w:val="000000" w:themeColor="text1"/>
        </w:rPr>
        <w:t>Despite being a multi-agency team set up to deliver primary</w:t>
      </w:r>
      <w:r>
        <w:rPr>
          <w:color w:val="000000" w:themeColor="text1"/>
        </w:rPr>
        <w:t xml:space="preserve"> and secondary</w:t>
      </w:r>
      <w:r w:rsidRPr="00614DF3">
        <w:rPr>
          <w:color w:val="000000" w:themeColor="text1"/>
        </w:rPr>
        <w:t xml:space="preserve"> interventions that would help to prevent CSE</w:t>
      </w:r>
      <w:r>
        <w:rPr>
          <w:color w:val="000000" w:themeColor="text1"/>
        </w:rPr>
        <w:t xml:space="preserve"> and respond to it in situations where it has occurred</w:t>
      </w:r>
      <w:r w:rsidRPr="00614DF3">
        <w:rPr>
          <w:color w:val="000000" w:themeColor="text1"/>
        </w:rPr>
        <w:t xml:space="preserve">, the population approach </w:t>
      </w:r>
      <w:r>
        <w:rPr>
          <w:color w:val="000000" w:themeColor="text1"/>
        </w:rPr>
        <w:t xml:space="preserve">deployed </w:t>
      </w:r>
      <w:r w:rsidRPr="00614DF3">
        <w:rPr>
          <w:color w:val="000000" w:themeColor="text1"/>
        </w:rPr>
        <w:t xml:space="preserve">by practitioners </w:t>
      </w:r>
      <w:r>
        <w:rPr>
          <w:color w:val="000000" w:themeColor="text1"/>
        </w:rPr>
        <w:t xml:space="preserve">inclined toward </w:t>
      </w:r>
      <w:r w:rsidRPr="00614DF3">
        <w:rPr>
          <w:color w:val="000000" w:themeColor="text1"/>
        </w:rPr>
        <w:t xml:space="preserve">interventions aimed at </w:t>
      </w:r>
      <w:r w:rsidRPr="00614DF3">
        <w:rPr>
          <w:i/>
          <w:iCs/>
          <w:color w:val="000000" w:themeColor="text1"/>
        </w:rPr>
        <w:t>potential</w:t>
      </w:r>
      <w:r w:rsidRPr="00614DF3">
        <w:rPr>
          <w:color w:val="000000" w:themeColor="text1"/>
        </w:rPr>
        <w:t xml:space="preserve"> victims and/or </w:t>
      </w:r>
      <w:r w:rsidRPr="00614DF3">
        <w:rPr>
          <w:i/>
          <w:iCs/>
          <w:color w:val="000000" w:themeColor="text1"/>
        </w:rPr>
        <w:t>potential</w:t>
      </w:r>
      <w:r w:rsidRPr="00614DF3">
        <w:rPr>
          <w:color w:val="000000" w:themeColor="text1"/>
        </w:rPr>
        <w:t xml:space="preserve"> offenders</w:t>
      </w:r>
      <w:r>
        <w:rPr>
          <w:color w:val="000000" w:themeColor="text1"/>
        </w:rPr>
        <w:t xml:space="preserve"> alongside</w:t>
      </w:r>
      <w:r w:rsidRPr="00614DF3">
        <w:rPr>
          <w:color w:val="000000" w:themeColor="text1"/>
        </w:rPr>
        <w:t xml:space="preserve"> those thought </w:t>
      </w:r>
      <w:r w:rsidR="001C5E8F">
        <w:rPr>
          <w:color w:val="000000" w:themeColor="text1"/>
        </w:rPr>
        <w:t xml:space="preserve">to </w:t>
      </w:r>
      <w:r w:rsidRPr="00614DF3">
        <w:rPr>
          <w:color w:val="000000" w:themeColor="text1"/>
        </w:rPr>
        <w:t>be at ‘lower risk’</w:t>
      </w:r>
      <w:r>
        <w:rPr>
          <w:color w:val="000000" w:themeColor="text1"/>
        </w:rPr>
        <w:t>. As such</w:t>
      </w:r>
      <w:r w:rsidR="0027636D">
        <w:rPr>
          <w:color w:val="000000" w:themeColor="text1"/>
        </w:rPr>
        <w:t>,</w:t>
      </w:r>
      <w:r>
        <w:rPr>
          <w:color w:val="000000" w:themeColor="text1"/>
        </w:rPr>
        <w:t xml:space="preserve"> their attention was </w:t>
      </w:r>
      <w:r w:rsidRPr="00614DF3">
        <w:rPr>
          <w:color w:val="000000" w:themeColor="text1"/>
        </w:rPr>
        <w:t xml:space="preserve">focused </w:t>
      </w:r>
      <w:r>
        <w:rPr>
          <w:color w:val="000000" w:themeColor="text1"/>
        </w:rPr>
        <w:t>toward reaching as many people as possible</w:t>
      </w:r>
      <w:r w:rsidRPr="00614DF3">
        <w:rPr>
          <w:color w:val="000000" w:themeColor="text1"/>
        </w:rPr>
        <w:t xml:space="preserve">. As </w:t>
      </w:r>
      <w:r w:rsidR="006428A7">
        <w:rPr>
          <w:color w:val="000000" w:themeColor="text1"/>
        </w:rPr>
        <w:t xml:space="preserve">the strategic lead </w:t>
      </w:r>
      <w:r w:rsidRPr="00614DF3">
        <w:rPr>
          <w:color w:val="000000" w:themeColor="text1"/>
        </w:rPr>
        <w:t xml:space="preserve">indicates above, there </w:t>
      </w:r>
      <w:r>
        <w:rPr>
          <w:color w:val="000000" w:themeColor="text1"/>
        </w:rPr>
        <w:t xml:space="preserve">are </w:t>
      </w:r>
      <w:r w:rsidRPr="00614DF3">
        <w:rPr>
          <w:color w:val="000000" w:themeColor="text1"/>
        </w:rPr>
        <w:t>clear benefits to universal education initiatives and brief interventions</w:t>
      </w:r>
      <w:r>
        <w:rPr>
          <w:color w:val="000000" w:themeColor="text1"/>
        </w:rPr>
        <w:t xml:space="preserve">, not least of which being that they are </w:t>
      </w:r>
      <w:r w:rsidRPr="00614DF3">
        <w:rPr>
          <w:color w:val="000000" w:themeColor="text1"/>
        </w:rPr>
        <w:t xml:space="preserve">able to reach large proportions of the population. However, as </w:t>
      </w:r>
      <w:r w:rsidR="006428A7">
        <w:rPr>
          <w:color w:val="000000" w:themeColor="text1"/>
        </w:rPr>
        <w:t xml:space="preserve">the </w:t>
      </w:r>
      <w:r w:rsidR="009D3117">
        <w:rPr>
          <w:color w:val="000000" w:themeColor="text1"/>
        </w:rPr>
        <w:t xml:space="preserve">prevent CSE </w:t>
      </w:r>
      <w:r w:rsidR="006428A7">
        <w:rPr>
          <w:color w:val="000000" w:themeColor="text1"/>
        </w:rPr>
        <w:t xml:space="preserve">team leader </w:t>
      </w:r>
      <w:r w:rsidRPr="00614DF3">
        <w:rPr>
          <w:color w:val="000000" w:themeColor="text1"/>
        </w:rPr>
        <w:t>acknowledge</w:t>
      </w:r>
      <w:r w:rsidR="00457069">
        <w:rPr>
          <w:color w:val="000000" w:themeColor="text1"/>
        </w:rPr>
        <w:t>s</w:t>
      </w:r>
      <w:r w:rsidRPr="00614DF3">
        <w:rPr>
          <w:color w:val="000000" w:themeColor="text1"/>
        </w:rPr>
        <w:t xml:space="preserve">, </w:t>
      </w:r>
      <w:r w:rsidR="00457069">
        <w:rPr>
          <w:color w:val="000000" w:themeColor="text1"/>
        </w:rPr>
        <w:t xml:space="preserve">there are </w:t>
      </w:r>
      <w:r w:rsidRPr="00614DF3">
        <w:rPr>
          <w:color w:val="000000" w:themeColor="text1"/>
        </w:rPr>
        <w:t xml:space="preserve">drawbacks with this approach in </w:t>
      </w:r>
      <w:r w:rsidR="00457069">
        <w:rPr>
          <w:color w:val="000000" w:themeColor="text1"/>
        </w:rPr>
        <w:t xml:space="preserve">terms of </w:t>
      </w:r>
      <w:r w:rsidRPr="00614DF3">
        <w:rPr>
          <w:color w:val="000000" w:themeColor="text1"/>
        </w:rPr>
        <w:t xml:space="preserve">identifying </w:t>
      </w:r>
      <w:r w:rsidR="00457069">
        <w:rPr>
          <w:color w:val="000000" w:themeColor="text1"/>
        </w:rPr>
        <w:t xml:space="preserve">and supporting </w:t>
      </w:r>
      <w:r w:rsidRPr="00614DF3">
        <w:rPr>
          <w:color w:val="000000" w:themeColor="text1"/>
        </w:rPr>
        <w:t xml:space="preserve">young people </w:t>
      </w:r>
      <w:r>
        <w:rPr>
          <w:color w:val="000000" w:themeColor="text1"/>
        </w:rPr>
        <w:t xml:space="preserve">considered </w:t>
      </w:r>
      <w:r w:rsidRPr="00614DF3">
        <w:rPr>
          <w:color w:val="000000" w:themeColor="text1"/>
        </w:rPr>
        <w:t>‘more vulnerable’:</w:t>
      </w:r>
    </w:p>
    <w:p w14:paraId="4356D4F8" w14:textId="44ED1B36" w:rsidR="007D4A36" w:rsidRPr="00614DF3" w:rsidRDefault="008D7331" w:rsidP="007D4A36">
      <w:pPr>
        <w:pStyle w:val="NormalWeb"/>
        <w:spacing w:line="480" w:lineRule="auto"/>
        <w:ind w:left="720" w:right="656"/>
        <w:jc w:val="both"/>
        <w:rPr>
          <w:color w:val="000000" w:themeColor="text1"/>
        </w:rPr>
      </w:pPr>
      <w:r>
        <w:rPr>
          <w:color w:val="000000" w:themeColor="text1"/>
        </w:rPr>
        <w:t>W</w:t>
      </w:r>
      <w:r w:rsidR="007D4A36" w:rsidRPr="00614DF3">
        <w:rPr>
          <w:color w:val="000000" w:themeColor="text1"/>
        </w:rPr>
        <w:t>e’ve been in it only for a couple of months, straight away we’re in with all these people. Brilliant</w:t>
      </w:r>
      <w:r w:rsidR="007D4A36">
        <w:rPr>
          <w:color w:val="000000" w:themeColor="text1"/>
        </w:rPr>
        <w:t xml:space="preserve"> </w:t>
      </w:r>
      <w:r w:rsidR="007D4A36" w:rsidRPr="00614DF3">
        <w:rPr>
          <w:color w:val="000000" w:themeColor="text1"/>
        </w:rPr>
        <w:t>...</w:t>
      </w:r>
      <w:r w:rsidR="007D4A36">
        <w:rPr>
          <w:color w:val="000000" w:themeColor="text1"/>
        </w:rPr>
        <w:t xml:space="preserve"> b</w:t>
      </w:r>
      <w:r w:rsidR="007D4A36" w:rsidRPr="00614DF3">
        <w:rPr>
          <w:color w:val="000000" w:themeColor="text1"/>
        </w:rPr>
        <w:t xml:space="preserve">ut those people aren’t always the ones who’ve got the kids who are more vulnerable, so it’s how we then tackle that and </w:t>
      </w:r>
      <w:proofErr w:type="gramStart"/>
      <w:r w:rsidR="007D4A36" w:rsidRPr="00614DF3">
        <w:rPr>
          <w:color w:val="000000" w:themeColor="text1"/>
        </w:rPr>
        <w:t>at the moment</w:t>
      </w:r>
      <w:proofErr w:type="gramEnd"/>
      <w:r w:rsidR="007D4A36" w:rsidRPr="00614DF3">
        <w:rPr>
          <w:color w:val="000000" w:themeColor="text1"/>
        </w:rPr>
        <w:t>, I don’t have the answer</w:t>
      </w:r>
      <w:r w:rsidR="006F53EF">
        <w:rPr>
          <w:color w:val="000000" w:themeColor="text1"/>
        </w:rPr>
        <w:t xml:space="preserve"> </w:t>
      </w:r>
      <w:r w:rsidR="007D4A36" w:rsidRPr="00614DF3">
        <w:rPr>
          <w:color w:val="000000" w:themeColor="text1"/>
        </w:rPr>
        <w:t>(Mark, Prevent CSE Team Leader).</w:t>
      </w:r>
    </w:p>
    <w:p w14:paraId="75350C0D" w14:textId="195E45E0" w:rsidR="007D4A36" w:rsidRPr="003530BD" w:rsidRDefault="007D4A36" w:rsidP="007D4A36">
      <w:pPr>
        <w:pStyle w:val="NormalWeb"/>
        <w:spacing w:line="480" w:lineRule="auto"/>
        <w:jc w:val="both"/>
        <w:rPr>
          <w:color w:val="000000" w:themeColor="text1"/>
        </w:rPr>
      </w:pPr>
      <w:r>
        <w:rPr>
          <w:color w:val="000000" w:themeColor="text1"/>
        </w:rPr>
        <w:lastRenderedPageBreak/>
        <w:t>Arguably</w:t>
      </w:r>
      <w:r w:rsidRPr="003530BD">
        <w:rPr>
          <w:color w:val="000000" w:themeColor="text1"/>
        </w:rPr>
        <w:t xml:space="preserve">, </w:t>
      </w:r>
      <w:r w:rsidR="00EE642E">
        <w:rPr>
          <w:color w:val="000000" w:themeColor="text1"/>
        </w:rPr>
        <w:t xml:space="preserve">this </w:t>
      </w:r>
      <w:r w:rsidRPr="003530BD">
        <w:rPr>
          <w:color w:val="000000" w:themeColor="text1"/>
        </w:rPr>
        <w:t xml:space="preserve">focus on </w:t>
      </w:r>
      <w:r w:rsidR="00DF7940">
        <w:rPr>
          <w:color w:val="000000" w:themeColor="text1"/>
        </w:rPr>
        <w:t xml:space="preserve">universal </w:t>
      </w:r>
      <w:r w:rsidRPr="003530BD">
        <w:rPr>
          <w:color w:val="000000" w:themeColor="text1"/>
        </w:rPr>
        <w:t xml:space="preserve">education prevented practitioners from </w:t>
      </w:r>
      <w:r>
        <w:rPr>
          <w:color w:val="000000" w:themeColor="text1"/>
        </w:rPr>
        <w:t xml:space="preserve">working </w:t>
      </w:r>
      <w:r w:rsidR="00457069">
        <w:rPr>
          <w:color w:val="000000" w:themeColor="text1"/>
        </w:rPr>
        <w:t xml:space="preserve">to </w:t>
      </w:r>
      <w:r w:rsidRPr="003530BD">
        <w:rPr>
          <w:color w:val="000000" w:themeColor="text1"/>
        </w:rPr>
        <w:t xml:space="preserve">effectively </w:t>
      </w:r>
      <w:r w:rsidR="00457069">
        <w:rPr>
          <w:color w:val="000000" w:themeColor="text1"/>
        </w:rPr>
        <w:t xml:space="preserve">identify </w:t>
      </w:r>
      <w:r w:rsidRPr="003530BD">
        <w:rPr>
          <w:color w:val="000000" w:themeColor="text1"/>
        </w:rPr>
        <w:t>those more likely to be at risk of CSE</w:t>
      </w:r>
      <w:r>
        <w:rPr>
          <w:color w:val="000000" w:themeColor="text1"/>
        </w:rPr>
        <w:t>,</w:t>
      </w:r>
      <w:r w:rsidRPr="003530BD">
        <w:rPr>
          <w:color w:val="000000" w:themeColor="text1"/>
        </w:rPr>
        <w:t xml:space="preserve"> but not quite meeting the thresholds for a safeguarding referral: </w:t>
      </w:r>
    </w:p>
    <w:p w14:paraId="0F1C4663" w14:textId="5A31BC68" w:rsidR="007D4A36" w:rsidRPr="003530BD" w:rsidRDefault="007D4A36" w:rsidP="007D4A36">
      <w:pPr>
        <w:pStyle w:val="NormalWeb"/>
        <w:spacing w:line="480" w:lineRule="auto"/>
        <w:ind w:left="720" w:right="656"/>
        <w:jc w:val="both"/>
        <w:rPr>
          <w:color w:val="000000" w:themeColor="text1"/>
        </w:rPr>
      </w:pPr>
      <w:r w:rsidRPr="003530BD">
        <w:rPr>
          <w:color w:val="000000" w:themeColor="text1"/>
        </w:rPr>
        <w:t xml:space="preserve">And that’s the bit we are not suitably skilled at knowing how to deal with. We know how to intervene once these kids have effectively been held hostage and they’re trying to escape. We can fall back on our traditional methodologies at that </w:t>
      </w:r>
      <w:proofErr w:type="gramStart"/>
      <w:r w:rsidRPr="003530BD">
        <w:rPr>
          <w:color w:val="000000" w:themeColor="text1"/>
        </w:rPr>
        <w:t>point</w:t>
      </w:r>
      <w:proofErr w:type="gramEnd"/>
      <w:r w:rsidRPr="003530BD">
        <w:rPr>
          <w:color w:val="000000" w:themeColor="text1"/>
        </w:rPr>
        <w:t xml:space="preserve"> and they serve us quite well. In the intervention point where the risk is clear, but the young people, at least on the face of it, appear to be engaging in that abuse, we have very few tools in our artillery </w:t>
      </w:r>
      <w:proofErr w:type="gramStart"/>
      <w:r w:rsidRPr="003530BD">
        <w:rPr>
          <w:color w:val="000000" w:themeColor="text1"/>
        </w:rPr>
        <w:t>at the moment</w:t>
      </w:r>
      <w:proofErr w:type="gramEnd"/>
      <w:r w:rsidRPr="003530BD">
        <w:rPr>
          <w:color w:val="000000" w:themeColor="text1"/>
        </w:rPr>
        <w:t>, to know how to work with that</w:t>
      </w:r>
      <w:r>
        <w:rPr>
          <w:color w:val="000000" w:themeColor="text1"/>
        </w:rPr>
        <w:t xml:space="preserve"> </w:t>
      </w:r>
      <w:r w:rsidRPr="003530BD">
        <w:rPr>
          <w:color w:val="000000" w:themeColor="text1"/>
        </w:rPr>
        <w:t>(Victoria, Strategic Lead).</w:t>
      </w:r>
    </w:p>
    <w:p w14:paraId="32C21290" w14:textId="500F8347" w:rsidR="00906CE0" w:rsidRDefault="007D4A36" w:rsidP="007D4A36">
      <w:pPr>
        <w:pStyle w:val="NormalWeb"/>
        <w:spacing w:line="480" w:lineRule="auto"/>
        <w:ind w:right="-52"/>
        <w:jc w:val="both"/>
        <w:rPr>
          <w:color w:val="000000" w:themeColor="text1"/>
        </w:rPr>
      </w:pPr>
      <w:r w:rsidRPr="000C03D7">
        <w:rPr>
          <w:color w:val="000000" w:themeColor="text1"/>
        </w:rPr>
        <w:t xml:space="preserve">Although </w:t>
      </w:r>
      <w:r>
        <w:rPr>
          <w:color w:val="000000" w:themeColor="text1"/>
        </w:rPr>
        <w:t xml:space="preserve">elements of the suite of education and early interventions adopted by the Prevent CSE clearly align with a public health approach to crime prevention, apparently absent </w:t>
      </w:r>
      <w:r w:rsidR="00ED309E">
        <w:rPr>
          <w:color w:val="000000" w:themeColor="text1"/>
        </w:rPr>
        <w:t>were</w:t>
      </w:r>
      <w:r>
        <w:rPr>
          <w:color w:val="000000" w:themeColor="text1"/>
        </w:rPr>
        <w:t xml:space="preserve"> those interventions aimed at the tertiary level. The multi-agency team directed attention toward</w:t>
      </w:r>
      <w:r w:rsidRPr="001B4C41">
        <w:rPr>
          <w:color w:val="000000" w:themeColor="text1"/>
        </w:rPr>
        <w:t xml:space="preserve"> the delivery of primary prevention</w:t>
      </w:r>
      <w:r>
        <w:rPr>
          <w:color w:val="000000" w:themeColor="text1"/>
        </w:rPr>
        <w:t>,</w:t>
      </w:r>
      <w:r w:rsidRPr="001B4C41">
        <w:rPr>
          <w:color w:val="000000" w:themeColor="text1"/>
        </w:rPr>
        <w:t xml:space="preserve"> while those who had already become a victim of CSE were receiving interventions </w:t>
      </w:r>
      <w:r>
        <w:rPr>
          <w:color w:val="000000" w:themeColor="text1"/>
        </w:rPr>
        <w:t xml:space="preserve">(secondary) </w:t>
      </w:r>
      <w:r w:rsidRPr="001B4C41">
        <w:rPr>
          <w:color w:val="000000" w:themeColor="text1"/>
        </w:rPr>
        <w:t xml:space="preserve">from other services. </w:t>
      </w:r>
      <w:r w:rsidR="00ED0959">
        <w:rPr>
          <w:color w:val="000000" w:themeColor="text1"/>
        </w:rPr>
        <w:t>Noticeably</w:t>
      </w:r>
      <w:r w:rsidR="00356FB1">
        <w:rPr>
          <w:color w:val="000000" w:themeColor="text1"/>
        </w:rPr>
        <w:t xml:space="preserve"> missing</w:t>
      </w:r>
      <w:r w:rsidR="002057FB">
        <w:rPr>
          <w:color w:val="000000" w:themeColor="text1"/>
        </w:rPr>
        <w:t xml:space="preserve"> </w:t>
      </w:r>
      <w:r w:rsidRPr="001B4C41">
        <w:rPr>
          <w:color w:val="000000" w:themeColor="text1"/>
        </w:rPr>
        <w:t xml:space="preserve">were </w:t>
      </w:r>
      <w:r w:rsidR="00356FB1">
        <w:rPr>
          <w:color w:val="000000" w:themeColor="text1"/>
        </w:rPr>
        <w:t xml:space="preserve">interventions </w:t>
      </w:r>
      <w:r>
        <w:rPr>
          <w:color w:val="000000" w:themeColor="text1"/>
        </w:rPr>
        <w:t xml:space="preserve">that responded to individuals who </w:t>
      </w:r>
      <w:r w:rsidRPr="001B4C41">
        <w:rPr>
          <w:color w:val="000000" w:themeColor="text1"/>
        </w:rPr>
        <w:t xml:space="preserve">were </w:t>
      </w:r>
      <w:r>
        <w:rPr>
          <w:color w:val="000000" w:themeColor="text1"/>
        </w:rPr>
        <w:t xml:space="preserve">considered </w:t>
      </w:r>
      <w:r w:rsidRPr="001B4C41">
        <w:rPr>
          <w:color w:val="000000" w:themeColor="text1"/>
        </w:rPr>
        <w:t>‘more’ at risk</w:t>
      </w:r>
      <w:r w:rsidR="006920C9">
        <w:rPr>
          <w:color w:val="000000" w:themeColor="text1"/>
        </w:rPr>
        <w:t xml:space="preserve"> </w:t>
      </w:r>
      <w:r w:rsidR="00457069">
        <w:rPr>
          <w:color w:val="000000" w:themeColor="text1"/>
        </w:rPr>
        <w:t>-</w:t>
      </w:r>
      <w:r w:rsidR="006920C9">
        <w:rPr>
          <w:color w:val="000000" w:themeColor="text1"/>
        </w:rPr>
        <w:t xml:space="preserve"> </w:t>
      </w:r>
      <w:r w:rsidR="00342AA1">
        <w:rPr>
          <w:color w:val="000000" w:themeColor="text1"/>
        </w:rPr>
        <w:t xml:space="preserve">as in </w:t>
      </w:r>
      <w:r w:rsidR="006920C9">
        <w:rPr>
          <w:color w:val="000000" w:themeColor="text1"/>
        </w:rPr>
        <w:t xml:space="preserve">the example given in </w:t>
      </w:r>
      <w:r w:rsidR="00EB3A1D">
        <w:rPr>
          <w:color w:val="000000" w:themeColor="text1"/>
        </w:rPr>
        <w:t xml:space="preserve">the strategic lead’s </w:t>
      </w:r>
      <w:r w:rsidR="006920C9">
        <w:rPr>
          <w:color w:val="000000" w:themeColor="text1"/>
        </w:rPr>
        <w:t xml:space="preserve">account above </w:t>
      </w:r>
      <w:r w:rsidR="00906CE0">
        <w:rPr>
          <w:color w:val="000000" w:themeColor="text1"/>
        </w:rPr>
        <w:t>-</w:t>
      </w:r>
      <w:r w:rsidR="006920C9">
        <w:rPr>
          <w:color w:val="000000" w:themeColor="text1"/>
        </w:rPr>
        <w:t xml:space="preserve"> </w:t>
      </w:r>
      <w:r w:rsidRPr="001B4C41">
        <w:rPr>
          <w:color w:val="000000" w:themeColor="text1"/>
        </w:rPr>
        <w:t>but did not meet the threshold for a safeguarding referral</w:t>
      </w:r>
      <w:r>
        <w:rPr>
          <w:color w:val="000000" w:themeColor="text1"/>
        </w:rPr>
        <w:t xml:space="preserve"> on to secondary and tertiary support</w:t>
      </w:r>
      <w:r w:rsidRPr="001B4C41">
        <w:rPr>
          <w:color w:val="000000" w:themeColor="text1"/>
        </w:rPr>
        <w:t xml:space="preserve">. </w:t>
      </w:r>
      <w:r w:rsidR="007035F9">
        <w:rPr>
          <w:color w:val="000000" w:themeColor="text1"/>
        </w:rPr>
        <w:t>This disconnect</w:t>
      </w:r>
      <w:r w:rsidR="00906CE0">
        <w:rPr>
          <w:color w:val="000000" w:themeColor="text1"/>
        </w:rPr>
        <w:t>ion</w:t>
      </w:r>
      <w:r w:rsidR="007035F9">
        <w:rPr>
          <w:color w:val="000000" w:themeColor="text1"/>
        </w:rPr>
        <w:t xml:space="preserve">, between the </w:t>
      </w:r>
      <w:r w:rsidR="007F7806">
        <w:rPr>
          <w:color w:val="000000" w:themeColor="text1"/>
        </w:rPr>
        <w:t xml:space="preserve">aspirations of </w:t>
      </w:r>
      <w:r w:rsidR="002E4752">
        <w:rPr>
          <w:color w:val="000000" w:themeColor="text1"/>
        </w:rPr>
        <w:t xml:space="preserve">the strategic leads and </w:t>
      </w:r>
      <w:r w:rsidR="002057FB">
        <w:rPr>
          <w:color w:val="000000" w:themeColor="text1"/>
        </w:rPr>
        <w:t xml:space="preserve">the </w:t>
      </w:r>
      <w:r w:rsidR="007035F9">
        <w:rPr>
          <w:color w:val="000000" w:themeColor="text1"/>
        </w:rPr>
        <w:t xml:space="preserve">operationalisation of </w:t>
      </w:r>
      <w:r w:rsidR="00CF6B93">
        <w:rPr>
          <w:color w:val="000000" w:themeColor="text1"/>
        </w:rPr>
        <w:t xml:space="preserve">the prevent CSE initiative, </w:t>
      </w:r>
      <w:r w:rsidR="00D976BB">
        <w:rPr>
          <w:color w:val="000000" w:themeColor="text1"/>
        </w:rPr>
        <w:t xml:space="preserve">further </w:t>
      </w:r>
      <w:r w:rsidR="00FE344D">
        <w:rPr>
          <w:color w:val="000000" w:themeColor="text1"/>
        </w:rPr>
        <w:t>supports</w:t>
      </w:r>
      <w:r w:rsidR="00CF6B93">
        <w:rPr>
          <w:color w:val="000000" w:themeColor="text1"/>
        </w:rPr>
        <w:t xml:space="preserve"> the difficulties </w:t>
      </w:r>
      <w:r w:rsidR="00D976BB">
        <w:rPr>
          <w:color w:val="000000" w:themeColor="text1"/>
        </w:rPr>
        <w:t xml:space="preserve">previously acknowledged </w:t>
      </w:r>
      <w:r w:rsidR="00BF7DB0">
        <w:rPr>
          <w:color w:val="000000" w:themeColor="text1"/>
        </w:rPr>
        <w:t>of aligning priorities</w:t>
      </w:r>
      <w:r w:rsidR="000421FF">
        <w:rPr>
          <w:color w:val="000000" w:themeColor="text1"/>
        </w:rPr>
        <w:t xml:space="preserve"> within partnership approaches</w:t>
      </w:r>
      <w:r w:rsidR="000421FF">
        <w:rPr>
          <w:rFonts w:eastAsia="Calibri"/>
        </w:rPr>
        <w:t xml:space="preserve"> (Weston, 2014; Davies, et al. 2023)</w:t>
      </w:r>
      <w:r w:rsidR="00FE344D">
        <w:rPr>
          <w:rFonts w:eastAsia="Calibri"/>
        </w:rPr>
        <w:t>.</w:t>
      </w:r>
    </w:p>
    <w:p w14:paraId="08048719" w14:textId="62E453DB" w:rsidR="003D36E0" w:rsidRPr="00F82D22" w:rsidRDefault="007D4A36" w:rsidP="004375C5">
      <w:pPr>
        <w:pStyle w:val="NormalWeb"/>
        <w:spacing w:line="480" w:lineRule="auto"/>
        <w:jc w:val="both"/>
        <w:rPr>
          <w:color w:val="000000" w:themeColor="text1"/>
        </w:rPr>
      </w:pPr>
      <w:r>
        <w:rPr>
          <w:b/>
          <w:bCs/>
        </w:rPr>
        <w:t xml:space="preserve">Data Gathering, Management and Storage: </w:t>
      </w:r>
      <w:r w:rsidR="004701DA">
        <w:rPr>
          <w:b/>
          <w:bCs/>
          <w:color w:val="000000" w:themeColor="text1"/>
        </w:rPr>
        <w:t>Public Health or Police Surveillance?</w:t>
      </w:r>
      <w:r>
        <w:rPr>
          <w:b/>
          <w:bCs/>
        </w:rPr>
        <w:t xml:space="preserve"> </w:t>
      </w:r>
      <w:r w:rsidR="00C30943">
        <w:rPr>
          <w:b/>
          <w:bCs/>
        </w:rPr>
        <w:t xml:space="preserve"> </w:t>
      </w:r>
      <w:r w:rsidR="00C6053A">
        <w:rPr>
          <w:color w:val="000000" w:themeColor="text1"/>
        </w:rPr>
        <w:t>E</w:t>
      </w:r>
      <w:r w:rsidR="00436FFC">
        <w:rPr>
          <w:color w:val="000000" w:themeColor="text1"/>
        </w:rPr>
        <w:t xml:space="preserve">mbedded within the </w:t>
      </w:r>
      <w:r w:rsidR="00193E66">
        <w:rPr>
          <w:color w:val="000000" w:themeColor="text1"/>
        </w:rPr>
        <w:t xml:space="preserve">prevent CSE </w:t>
      </w:r>
      <w:r w:rsidR="00436FFC">
        <w:rPr>
          <w:color w:val="000000" w:themeColor="text1"/>
        </w:rPr>
        <w:t xml:space="preserve">team’s response was </w:t>
      </w:r>
      <w:r w:rsidR="003A78E0">
        <w:rPr>
          <w:color w:val="000000" w:themeColor="text1"/>
        </w:rPr>
        <w:t xml:space="preserve">the </w:t>
      </w:r>
      <w:r w:rsidR="00302A35">
        <w:rPr>
          <w:color w:val="000000" w:themeColor="text1"/>
        </w:rPr>
        <w:t xml:space="preserve">belief </w:t>
      </w:r>
      <w:r w:rsidR="007E4E95" w:rsidRPr="00E34494">
        <w:rPr>
          <w:color w:val="000000" w:themeColor="text1"/>
        </w:rPr>
        <w:t xml:space="preserve">that </w:t>
      </w:r>
      <w:r w:rsidR="00FD48D4">
        <w:rPr>
          <w:color w:val="000000" w:themeColor="text1"/>
        </w:rPr>
        <w:t xml:space="preserve">intervening </w:t>
      </w:r>
      <w:r w:rsidR="007E4E95" w:rsidRPr="00E34494">
        <w:rPr>
          <w:color w:val="000000" w:themeColor="text1"/>
        </w:rPr>
        <w:t xml:space="preserve">early </w:t>
      </w:r>
      <w:r w:rsidR="00302A35">
        <w:rPr>
          <w:color w:val="000000" w:themeColor="text1"/>
        </w:rPr>
        <w:t xml:space="preserve">can </w:t>
      </w:r>
      <w:r w:rsidR="007E4E95" w:rsidRPr="00E34494">
        <w:rPr>
          <w:color w:val="000000" w:themeColor="text1"/>
        </w:rPr>
        <w:t xml:space="preserve">prevent </w:t>
      </w:r>
      <w:r w:rsidR="003A78E0">
        <w:rPr>
          <w:color w:val="000000" w:themeColor="text1"/>
        </w:rPr>
        <w:t xml:space="preserve">some </w:t>
      </w:r>
      <w:r w:rsidR="007E4E95" w:rsidRPr="00E34494">
        <w:rPr>
          <w:color w:val="000000" w:themeColor="text1"/>
        </w:rPr>
        <w:t xml:space="preserve">young people from being ‘drawn into’ the criminal justice system ‘in a more </w:t>
      </w:r>
      <w:r w:rsidR="007E4E95" w:rsidRPr="00E34494">
        <w:rPr>
          <w:color w:val="000000" w:themeColor="text1"/>
        </w:rPr>
        <w:lastRenderedPageBreak/>
        <w:t>serious way’</w:t>
      </w:r>
      <w:r w:rsidR="00484B74">
        <w:rPr>
          <w:color w:val="000000" w:themeColor="text1"/>
        </w:rPr>
        <w:t>.</w:t>
      </w:r>
      <w:r w:rsidR="00D02C82">
        <w:rPr>
          <w:color w:val="000000" w:themeColor="text1"/>
        </w:rPr>
        <w:t xml:space="preserve"> </w:t>
      </w:r>
      <w:r w:rsidR="00484B74">
        <w:rPr>
          <w:color w:val="000000" w:themeColor="text1"/>
        </w:rPr>
        <w:t xml:space="preserve">Yet, </w:t>
      </w:r>
      <w:r w:rsidR="00252498">
        <w:rPr>
          <w:color w:val="000000" w:themeColor="text1"/>
        </w:rPr>
        <w:t>t</w:t>
      </w:r>
      <w:r w:rsidR="007E4E95" w:rsidRPr="00E34494">
        <w:rPr>
          <w:color w:val="000000" w:themeColor="text1"/>
        </w:rPr>
        <w:t xml:space="preserve">he collection and storage of data </w:t>
      </w:r>
      <w:r w:rsidR="003A78E0">
        <w:rPr>
          <w:color w:val="000000" w:themeColor="text1"/>
        </w:rPr>
        <w:t xml:space="preserve">without prior consent </w:t>
      </w:r>
      <w:r w:rsidR="00C44503">
        <w:rPr>
          <w:color w:val="000000" w:themeColor="text1"/>
        </w:rPr>
        <w:t xml:space="preserve">of </w:t>
      </w:r>
      <w:r w:rsidR="007E4E95" w:rsidRPr="00E34494">
        <w:rPr>
          <w:color w:val="000000" w:themeColor="text1"/>
        </w:rPr>
        <w:t xml:space="preserve">individuals that had </w:t>
      </w:r>
      <w:r w:rsidR="001853EC">
        <w:rPr>
          <w:color w:val="000000" w:themeColor="text1"/>
        </w:rPr>
        <w:t xml:space="preserve">been </w:t>
      </w:r>
      <w:r w:rsidR="000D0A51">
        <w:rPr>
          <w:color w:val="000000" w:themeColor="text1"/>
        </w:rPr>
        <w:t xml:space="preserve">in contact with the </w:t>
      </w:r>
      <w:r w:rsidR="001853EC" w:rsidRPr="003D36E0">
        <w:rPr>
          <w:color w:val="000000" w:themeColor="text1"/>
        </w:rPr>
        <w:t xml:space="preserve">team </w:t>
      </w:r>
      <w:r w:rsidR="00E12CBF" w:rsidRPr="003D36E0">
        <w:rPr>
          <w:color w:val="000000" w:themeColor="text1"/>
        </w:rPr>
        <w:t xml:space="preserve">appeared to be </w:t>
      </w:r>
      <w:r w:rsidR="00C5042E" w:rsidRPr="003D36E0">
        <w:rPr>
          <w:color w:val="000000" w:themeColor="text1"/>
        </w:rPr>
        <w:t>standard practice</w:t>
      </w:r>
      <w:r w:rsidR="00C5042E" w:rsidRPr="00F82D22">
        <w:rPr>
          <w:color w:val="000000" w:themeColor="text1"/>
        </w:rPr>
        <w:t>.</w:t>
      </w:r>
      <w:r w:rsidR="007E4E95" w:rsidRPr="00F82D22">
        <w:rPr>
          <w:color w:val="000000" w:themeColor="text1"/>
        </w:rPr>
        <w:t xml:space="preserve"> </w:t>
      </w:r>
      <w:r w:rsidR="00F11DE7">
        <w:rPr>
          <w:color w:val="000000" w:themeColor="text1"/>
        </w:rPr>
        <w:t xml:space="preserve">Information about </w:t>
      </w:r>
      <w:r w:rsidR="00641736">
        <w:rPr>
          <w:color w:val="000000" w:themeColor="text1"/>
        </w:rPr>
        <w:t xml:space="preserve">young people receiving an early </w:t>
      </w:r>
      <w:r w:rsidR="008674FD">
        <w:rPr>
          <w:color w:val="000000" w:themeColor="text1"/>
        </w:rPr>
        <w:t xml:space="preserve">and </w:t>
      </w:r>
      <w:r w:rsidR="00641736">
        <w:rPr>
          <w:color w:val="000000" w:themeColor="text1"/>
        </w:rPr>
        <w:t>brief intervention</w:t>
      </w:r>
      <w:r w:rsidR="005539EF">
        <w:rPr>
          <w:color w:val="000000" w:themeColor="text1"/>
        </w:rPr>
        <w:t xml:space="preserve"> - </w:t>
      </w:r>
      <w:r w:rsidR="00CF4C00">
        <w:rPr>
          <w:color w:val="000000" w:themeColor="text1"/>
        </w:rPr>
        <w:t xml:space="preserve">despite having only been identified </w:t>
      </w:r>
      <w:r w:rsidR="00026515">
        <w:rPr>
          <w:color w:val="000000" w:themeColor="text1"/>
        </w:rPr>
        <w:t xml:space="preserve">in the </w:t>
      </w:r>
      <w:r w:rsidR="00CF4C00">
        <w:rPr>
          <w:color w:val="000000" w:themeColor="text1"/>
        </w:rPr>
        <w:t>‘low</w:t>
      </w:r>
      <w:r w:rsidR="00026515">
        <w:rPr>
          <w:color w:val="000000" w:themeColor="text1"/>
        </w:rPr>
        <w:t>er</w:t>
      </w:r>
      <w:r w:rsidR="00CF4C00">
        <w:rPr>
          <w:color w:val="000000" w:themeColor="text1"/>
        </w:rPr>
        <w:t xml:space="preserve"> risk’</w:t>
      </w:r>
      <w:r w:rsidR="00026515">
        <w:rPr>
          <w:color w:val="000000" w:themeColor="text1"/>
        </w:rPr>
        <w:t xml:space="preserve"> category</w:t>
      </w:r>
      <w:r w:rsidR="005539EF">
        <w:rPr>
          <w:color w:val="000000" w:themeColor="text1"/>
        </w:rPr>
        <w:t xml:space="preserve"> - </w:t>
      </w:r>
      <w:r w:rsidR="00F11DE7">
        <w:rPr>
          <w:color w:val="000000" w:themeColor="text1"/>
        </w:rPr>
        <w:t xml:space="preserve">were </w:t>
      </w:r>
      <w:r w:rsidR="003D36E0" w:rsidRPr="00F82D22">
        <w:rPr>
          <w:color w:val="000000" w:themeColor="text1"/>
        </w:rPr>
        <w:t xml:space="preserve">collated and stored </w:t>
      </w:r>
      <w:r w:rsidR="00AB5FDF">
        <w:rPr>
          <w:color w:val="000000" w:themeColor="text1"/>
        </w:rPr>
        <w:t>using</w:t>
      </w:r>
      <w:r w:rsidR="003D36E0" w:rsidRPr="00F82D22">
        <w:rPr>
          <w:color w:val="000000" w:themeColor="text1"/>
        </w:rPr>
        <w:t xml:space="preserve"> case management software. In the interests of having an ‘audit trail’, each conversation </w:t>
      </w:r>
      <w:r w:rsidR="003A78E0">
        <w:rPr>
          <w:color w:val="000000" w:themeColor="text1"/>
        </w:rPr>
        <w:t xml:space="preserve">completed - </w:t>
      </w:r>
      <w:r w:rsidR="003D36E0" w:rsidRPr="00F82D22">
        <w:rPr>
          <w:color w:val="000000" w:themeColor="text1"/>
        </w:rPr>
        <w:t>including</w:t>
      </w:r>
      <w:r w:rsidR="00630509" w:rsidRPr="00F82D22">
        <w:rPr>
          <w:color w:val="000000" w:themeColor="text1"/>
        </w:rPr>
        <w:t xml:space="preserve"> </w:t>
      </w:r>
      <w:r w:rsidR="003D36E0" w:rsidRPr="00F82D22">
        <w:rPr>
          <w:color w:val="000000" w:themeColor="text1"/>
        </w:rPr>
        <w:t>both face to face and over the telephone</w:t>
      </w:r>
      <w:r w:rsidR="006A6A27" w:rsidRPr="00F82D22">
        <w:rPr>
          <w:color w:val="000000" w:themeColor="text1"/>
        </w:rPr>
        <w:t xml:space="preserve"> sessions</w:t>
      </w:r>
      <w:r w:rsidR="00630509" w:rsidRPr="00F82D22">
        <w:rPr>
          <w:color w:val="000000" w:themeColor="text1"/>
        </w:rPr>
        <w:t xml:space="preserve"> </w:t>
      </w:r>
      <w:r w:rsidR="003A78E0">
        <w:rPr>
          <w:color w:val="000000" w:themeColor="text1"/>
        </w:rPr>
        <w:t>-</w:t>
      </w:r>
      <w:r w:rsidR="003D36E0" w:rsidRPr="00F82D22">
        <w:rPr>
          <w:color w:val="000000" w:themeColor="text1"/>
        </w:rPr>
        <w:t xml:space="preserve"> was recorded </w:t>
      </w:r>
      <w:r w:rsidR="003A78E0">
        <w:rPr>
          <w:color w:val="000000" w:themeColor="text1"/>
        </w:rPr>
        <w:t xml:space="preserve">and logged </w:t>
      </w:r>
      <w:r w:rsidR="003D36E0" w:rsidRPr="00F82D22">
        <w:rPr>
          <w:color w:val="000000" w:themeColor="text1"/>
        </w:rPr>
        <w:t>on police information systems</w:t>
      </w:r>
      <w:r w:rsidR="003A78E0">
        <w:rPr>
          <w:color w:val="000000" w:themeColor="text1"/>
        </w:rPr>
        <w:t>. Moreover, this information was subject to assessment</w:t>
      </w:r>
      <w:r w:rsidR="003D36E0" w:rsidRPr="00F82D22">
        <w:rPr>
          <w:color w:val="000000" w:themeColor="text1"/>
        </w:rPr>
        <w:t xml:space="preserve">: </w:t>
      </w:r>
    </w:p>
    <w:p w14:paraId="30BF80A2" w14:textId="3E97792E" w:rsidR="003D36E0" w:rsidRDefault="003D36E0" w:rsidP="004375C5">
      <w:pPr>
        <w:pStyle w:val="NormalWeb"/>
        <w:spacing w:line="480" w:lineRule="auto"/>
        <w:ind w:left="720" w:right="656"/>
        <w:jc w:val="both"/>
        <w:rPr>
          <w:color w:val="000000" w:themeColor="text1"/>
        </w:rPr>
      </w:pPr>
      <w:r w:rsidRPr="00F82D22">
        <w:rPr>
          <w:color w:val="000000" w:themeColor="text1"/>
        </w:rPr>
        <w:t>We put it on [case management software]</w:t>
      </w:r>
      <w:r w:rsidR="00AB5FDF">
        <w:rPr>
          <w:color w:val="000000" w:themeColor="text1"/>
        </w:rPr>
        <w:t xml:space="preserve">. </w:t>
      </w:r>
      <w:r w:rsidRPr="00F82D22">
        <w:rPr>
          <w:color w:val="000000" w:themeColor="text1"/>
        </w:rPr>
        <w:t>So</w:t>
      </w:r>
      <w:r w:rsidR="00457069">
        <w:rPr>
          <w:color w:val="000000" w:themeColor="text1"/>
        </w:rPr>
        <w:t>,</w:t>
      </w:r>
      <w:r w:rsidRPr="00F82D22">
        <w:rPr>
          <w:color w:val="000000" w:themeColor="text1"/>
        </w:rPr>
        <w:t xml:space="preserve"> each session we have, the phone calls, the conversations, whatever it is, </w:t>
      </w:r>
      <w:r w:rsidR="00DD3BAB">
        <w:rPr>
          <w:color w:val="000000" w:themeColor="text1"/>
        </w:rPr>
        <w:t>around the awareness work</w:t>
      </w:r>
      <w:r w:rsidR="00A23B5C">
        <w:rPr>
          <w:color w:val="000000" w:themeColor="text1"/>
        </w:rPr>
        <w:t>, I’ll record it</w:t>
      </w:r>
      <w:r w:rsidR="00903CED">
        <w:rPr>
          <w:color w:val="000000" w:themeColor="text1"/>
        </w:rPr>
        <w:t xml:space="preserve"> </w:t>
      </w:r>
      <w:r w:rsidRPr="00F82D22">
        <w:rPr>
          <w:color w:val="000000" w:themeColor="text1"/>
        </w:rPr>
        <w:t>(Cathy, Prevent CSE Worker</w:t>
      </w:r>
      <w:r w:rsidR="001D4721">
        <w:rPr>
          <w:color w:val="000000" w:themeColor="text1"/>
        </w:rPr>
        <w:t>).</w:t>
      </w:r>
    </w:p>
    <w:p w14:paraId="23522916" w14:textId="5410ADC8" w:rsidR="001D4721" w:rsidRPr="00E34494" w:rsidRDefault="002172D0" w:rsidP="002172D0">
      <w:pPr>
        <w:pStyle w:val="NormalWeb"/>
        <w:spacing w:line="480" w:lineRule="auto"/>
        <w:jc w:val="both"/>
        <w:rPr>
          <w:color w:val="000000" w:themeColor="text1"/>
        </w:rPr>
      </w:pPr>
      <w:r>
        <w:rPr>
          <w:color w:val="000000" w:themeColor="text1"/>
        </w:rPr>
        <w:t xml:space="preserve">Practitioners of </w:t>
      </w:r>
      <w:r w:rsidR="00864DDC">
        <w:rPr>
          <w:color w:val="000000" w:themeColor="text1"/>
        </w:rPr>
        <w:t>the multi-agency team</w:t>
      </w:r>
      <w:r>
        <w:rPr>
          <w:color w:val="000000" w:themeColor="text1"/>
        </w:rPr>
        <w:t xml:space="preserve"> often </w:t>
      </w:r>
      <w:r w:rsidR="00864DDC">
        <w:rPr>
          <w:color w:val="000000" w:themeColor="text1"/>
        </w:rPr>
        <w:t xml:space="preserve">referred </w:t>
      </w:r>
      <w:r w:rsidR="001D4721" w:rsidRPr="00E34494">
        <w:rPr>
          <w:color w:val="000000" w:themeColor="text1"/>
        </w:rPr>
        <w:t xml:space="preserve">to </w:t>
      </w:r>
      <w:r w:rsidR="00457069">
        <w:rPr>
          <w:color w:val="000000" w:themeColor="text1"/>
        </w:rPr>
        <w:t>th</w:t>
      </w:r>
      <w:r w:rsidR="00740BBA">
        <w:rPr>
          <w:color w:val="000000" w:themeColor="text1"/>
        </w:rPr>
        <w:t>is type of</w:t>
      </w:r>
      <w:r w:rsidR="00457069">
        <w:rPr>
          <w:color w:val="000000" w:themeColor="text1"/>
        </w:rPr>
        <w:t xml:space="preserve"> </w:t>
      </w:r>
      <w:r w:rsidR="00302EE3">
        <w:rPr>
          <w:color w:val="000000" w:themeColor="text1"/>
        </w:rPr>
        <w:t xml:space="preserve">data gathering </w:t>
      </w:r>
      <w:r w:rsidR="001D4721" w:rsidRPr="00E34494">
        <w:rPr>
          <w:color w:val="000000" w:themeColor="text1"/>
        </w:rPr>
        <w:t xml:space="preserve">as </w:t>
      </w:r>
      <w:r w:rsidR="003A78E0">
        <w:rPr>
          <w:color w:val="000000" w:themeColor="text1"/>
        </w:rPr>
        <w:t>‘</w:t>
      </w:r>
      <w:r w:rsidR="001D4721" w:rsidRPr="00E34494">
        <w:rPr>
          <w:color w:val="000000" w:themeColor="text1"/>
        </w:rPr>
        <w:t>intelligence</w:t>
      </w:r>
      <w:r w:rsidR="003A78E0">
        <w:rPr>
          <w:color w:val="000000" w:themeColor="text1"/>
        </w:rPr>
        <w:t>’</w:t>
      </w:r>
      <w:r w:rsidR="00C5627F">
        <w:rPr>
          <w:color w:val="000000" w:themeColor="text1"/>
        </w:rPr>
        <w:t xml:space="preserve"> and</w:t>
      </w:r>
      <w:r w:rsidR="002A6F2C">
        <w:rPr>
          <w:color w:val="000000" w:themeColor="text1"/>
        </w:rPr>
        <w:t>,</w:t>
      </w:r>
      <w:r w:rsidR="00C5627F">
        <w:rPr>
          <w:color w:val="000000" w:themeColor="text1"/>
        </w:rPr>
        <w:t xml:space="preserve"> although others </w:t>
      </w:r>
      <w:r w:rsidR="004404B3">
        <w:rPr>
          <w:color w:val="000000" w:themeColor="text1"/>
        </w:rPr>
        <w:t xml:space="preserve">had negotiated understandings of </w:t>
      </w:r>
      <w:r w:rsidR="001D4721" w:rsidRPr="00E34494">
        <w:rPr>
          <w:color w:val="000000" w:themeColor="text1"/>
        </w:rPr>
        <w:t>the</w:t>
      </w:r>
      <w:r w:rsidR="004404B3">
        <w:rPr>
          <w:color w:val="000000" w:themeColor="text1"/>
        </w:rPr>
        <w:t>ir</w:t>
      </w:r>
      <w:r w:rsidR="001D4721" w:rsidRPr="00E34494">
        <w:rPr>
          <w:color w:val="000000" w:themeColor="text1"/>
        </w:rPr>
        <w:t xml:space="preserve"> work </w:t>
      </w:r>
      <w:r w:rsidR="004404B3">
        <w:rPr>
          <w:color w:val="000000" w:themeColor="text1"/>
        </w:rPr>
        <w:t xml:space="preserve">as not being directed by </w:t>
      </w:r>
      <w:r w:rsidR="001D4721" w:rsidRPr="00E34494">
        <w:rPr>
          <w:color w:val="000000" w:themeColor="text1"/>
        </w:rPr>
        <w:t xml:space="preserve">data </w:t>
      </w:r>
      <w:r w:rsidR="00740BBA">
        <w:rPr>
          <w:color w:val="000000" w:themeColor="text1"/>
        </w:rPr>
        <w:t>collection</w:t>
      </w:r>
      <w:r w:rsidR="004404B3">
        <w:rPr>
          <w:color w:val="000000" w:themeColor="text1"/>
        </w:rPr>
        <w:t xml:space="preserve">, </w:t>
      </w:r>
      <w:r w:rsidR="00C5627F">
        <w:rPr>
          <w:color w:val="000000" w:themeColor="text1"/>
        </w:rPr>
        <w:t xml:space="preserve">emphasised that </w:t>
      </w:r>
      <w:r w:rsidR="003A78E0">
        <w:rPr>
          <w:color w:val="000000" w:themeColor="text1"/>
        </w:rPr>
        <w:t xml:space="preserve">the initiative </w:t>
      </w:r>
      <w:r w:rsidR="001D4721" w:rsidRPr="00E34494">
        <w:rPr>
          <w:color w:val="000000" w:themeColor="text1"/>
        </w:rPr>
        <w:t xml:space="preserve">was ‘a police project’ and </w:t>
      </w:r>
      <w:r w:rsidR="004404B3">
        <w:rPr>
          <w:color w:val="000000" w:themeColor="text1"/>
        </w:rPr>
        <w:t xml:space="preserve">connected to </w:t>
      </w:r>
      <w:r w:rsidR="001D4721" w:rsidRPr="00E34494">
        <w:rPr>
          <w:color w:val="000000" w:themeColor="text1"/>
        </w:rPr>
        <w:t xml:space="preserve">police work </w:t>
      </w:r>
      <w:r w:rsidR="003A78E0">
        <w:rPr>
          <w:color w:val="000000" w:themeColor="text1"/>
        </w:rPr>
        <w:t>‘</w:t>
      </w:r>
      <w:r w:rsidR="001D4721" w:rsidRPr="00E34494">
        <w:rPr>
          <w:color w:val="000000" w:themeColor="text1"/>
        </w:rPr>
        <w:t>on intel’:</w:t>
      </w:r>
    </w:p>
    <w:p w14:paraId="21FEFE8C" w14:textId="661E8CD9" w:rsidR="001D4721" w:rsidRPr="00E34494" w:rsidRDefault="002A6F2C" w:rsidP="004375C5">
      <w:pPr>
        <w:pStyle w:val="NormalWeb"/>
        <w:spacing w:line="480" w:lineRule="auto"/>
        <w:ind w:left="720" w:right="656"/>
        <w:jc w:val="both"/>
        <w:rPr>
          <w:color w:val="000000" w:themeColor="text1"/>
        </w:rPr>
      </w:pPr>
      <w:r>
        <w:rPr>
          <w:color w:val="000000" w:themeColor="text1"/>
        </w:rPr>
        <w:t>I</w:t>
      </w:r>
      <w:r w:rsidR="001D4721" w:rsidRPr="00E34494">
        <w:rPr>
          <w:color w:val="000000" w:themeColor="text1"/>
        </w:rPr>
        <w:t>t’s not about intel</w:t>
      </w:r>
      <w:r w:rsidR="003A78E0">
        <w:rPr>
          <w:color w:val="000000" w:themeColor="text1"/>
        </w:rPr>
        <w:t>,</w:t>
      </w:r>
      <w:r w:rsidR="001D4721" w:rsidRPr="00E34494">
        <w:rPr>
          <w:color w:val="000000" w:themeColor="text1"/>
        </w:rPr>
        <w:t xml:space="preserve"> it’s about protecting young people from the risk of exploitation, you can’t move away from that. But at the same time, it’s a police project and at the police service, you know</w:t>
      </w:r>
      <w:r w:rsidR="003A78E0">
        <w:rPr>
          <w:color w:val="000000" w:themeColor="text1"/>
        </w:rPr>
        <w:t>,</w:t>
      </w:r>
      <w:r w:rsidR="001D4721" w:rsidRPr="00E34494">
        <w:rPr>
          <w:color w:val="000000" w:themeColor="text1"/>
        </w:rPr>
        <w:t xml:space="preserve"> we work on intel. And if you’re doing education and you’re not getting much intel back, surely that’s telling you something?</w:t>
      </w:r>
      <w:r w:rsidR="003A78E0">
        <w:rPr>
          <w:color w:val="000000" w:themeColor="text1"/>
        </w:rPr>
        <w:t xml:space="preserve"> </w:t>
      </w:r>
      <w:r w:rsidR="001D4721" w:rsidRPr="00E34494">
        <w:rPr>
          <w:color w:val="000000" w:themeColor="text1"/>
        </w:rPr>
        <w:t>(Sadia, Prevent CSE Worker)</w:t>
      </w:r>
      <w:r w:rsidR="003A78E0">
        <w:rPr>
          <w:color w:val="000000" w:themeColor="text1"/>
        </w:rPr>
        <w:t>.</w:t>
      </w:r>
    </w:p>
    <w:p w14:paraId="1B1D5003" w14:textId="2209C5BE" w:rsidR="005F038F" w:rsidRDefault="001D4721" w:rsidP="004375C5">
      <w:pPr>
        <w:pStyle w:val="NormalWeb"/>
        <w:spacing w:line="480" w:lineRule="auto"/>
        <w:jc w:val="both"/>
        <w:rPr>
          <w:color w:val="000000" w:themeColor="text1"/>
        </w:rPr>
      </w:pPr>
      <w:r w:rsidRPr="00F21C36">
        <w:rPr>
          <w:color w:val="000000" w:themeColor="text1"/>
        </w:rPr>
        <w:t xml:space="preserve">While public health approaches place emphasis on the role of data collection and analysis to inform preventative activity, the language used by </w:t>
      </w:r>
      <w:r w:rsidR="00C871F7">
        <w:rPr>
          <w:color w:val="000000" w:themeColor="text1"/>
        </w:rPr>
        <w:t xml:space="preserve">some of the prevent team </w:t>
      </w:r>
      <w:r w:rsidRPr="00F21C36">
        <w:rPr>
          <w:color w:val="000000" w:themeColor="text1"/>
        </w:rPr>
        <w:t xml:space="preserve">suggests a more problematic objective </w:t>
      </w:r>
      <w:r w:rsidR="003A78E0">
        <w:rPr>
          <w:color w:val="000000" w:themeColor="text1"/>
        </w:rPr>
        <w:t>- albeit relayed as secondary - t</w:t>
      </w:r>
      <w:r w:rsidRPr="00F21C36">
        <w:rPr>
          <w:color w:val="000000" w:themeColor="text1"/>
        </w:rPr>
        <w:t xml:space="preserve">hat </w:t>
      </w:r>
      <w:r w:rsidR="003A78E0">
        <w:rPr>
          <w:color w:val="000000" w:themeColor="text1"/>
        </w:rPr>
        <w:t xml:space="preserve">permit </w:t>
      </w:r>
      <w:r w:rsidRPr="00F21C36">
        <w:rPr>
          <w:color w:val="000000" w:themeColor="text1"/>
        </w:rPr>
        <w:t xml:space="preserve">the use of data to identify criminal activity. </w:t>
      </w:r>
      <w:r w:rsidR="0043366E">
        <w:rPr>
          <w:color w:val="000000" w:themeColor="text1"/>
        </w:rPr>
        <w:t xml:space="preserve">To this end, the </w:t>
      </w:r>
      <w:r w:rsidR="00457069">
        <w:rPr>
          <w:color w:val="000000" w:themeColor="text1"/>
        </w:rPr>
        <w:t xml:space="preserve">caveat </w:t>
      </w:r>
      <w:r w:rsidR="0043366E">
        <w:rPr>
          <w:color w:val="000000" w:themeColor="text1"/>
        </w:rPr>
        <w:t xml:space="preserve">made by </w:t>
      </w:r>
      <w:r w:rsidR="00A53508">
        <w:rPr>
          <w:color w:val="000000" w:themeColor="text1"/>
        </w:rPr>
        <w:t xml:space="preserve">one of </w:t>
      </w:r>
      <w:r w:rsidR="00C871F7">
        <w:rPr>
          <w:color w:val="000000" w:themeColor="text1"/>
        </w:rPr>
        <w:t>the strategic lead</w:t>
      </w:r>
      <w:r w:rsidR="00A53508">
        <w:rPr>
          <w:color w:val="000000" w:themeColor="text1"/>
        </w:rPr>
        <w:t>s</w:t>
      </w:r>
      <w:r w:rsidR="00C871F7">
        <w:rPr>
          <w:color w:val="000000" w:themeColor="text1"/>
        </w:rPr>
        <w:t xml:space="preserve"> </w:t>
      </w:r>
      <w:r w:rsidR="0043366E">
        <w:rPr>
          <w:color w:val="000000" w:themeColor="text1"/>
        </w:rPr>
        <w:t xml:space="preserve">that if the team </w:t>
      </w:r>
      <w:r w:rsidR="0043366E">
        <w:rPr>
          <w:color w:val="000000" w:themeColor="text1"/>
        </w:rPr>
        <w:lastRenderedPageBreak/>
        <w:t xml:space="preserve">‘lose their link to CSE panels’ the initiative will become a ‘police initiative with the police sent out to do work in areas dictated to by police led intelligence’ comes </w:t>
      </w:r>
      <w:r w:rsidR="00457069">
        <w:rPr>
          <w:color w:val="000000" w:themeColor="text1"/>
        </w:rPr>
        <w:t xml:space="preserve">to </w:t>
      </w:r>
      <w:r w:rsidR="0043366E">
        <w:rPr>
          <w:color w:val="000000" w:themeColor="text1"/>
        </w:rPr>
        <w:t xml:space="preserve">fruition. </w:t>
      </w:r>
    </w:p>
    <w:p w14:paraId="27048FC6" w14:textId="04C19ABF" w:rsidR="00FB501F" w:rsidRPr="00F82D22" w:rsidRDefault="00457069" w:rsidP="004375C5">
      <w:pPr>
        <w:pStyle w:val="NormalWeb"/>
        <w:spacing w:line="480" w:lineRule="auto"/>
        <w:jc w:val="both"/>
        <w:rPr>
          <w:color w:val="000000" w:themeColor="text1"/>
        </w:rPr>
      </w:pPr>
      <w:r>
        <w:rPr>
          <w:color w:val="000000" w:themeColor="text1"/>
        </w:rPr>
        <w:t>Th</w:t>
      </w:r>
      <w:r w:rsidR="00617114">
        <w:rPr>
          <w:color w:val="000000" w:themeColor="text1"/>
        </w:rPr>
        <w:t>e</w:t>
      </w:r>
      <w:r w:rsidR="0067356D">
        <w:rPr>
          <w:color w:val="000000" w:themeColor="text1"/>
        </w:rPr>
        <w:t xml:space="preserve"> </w:t>
      </w:r>
      <w:r w:rsidR="006A6A27" w:rsidRPr="00F82D22">
        <w:rPr>
          <w:color w:val="000000" w:themeColor="text1"/>
        </w:rPr>
        <w:t xml:space="preserve">collection and storage of data in this </w:t>
      </w:r>
      <w:r w:rsidR="003A78E0">
        <w:rPr>
          <w:color w:val="000000" w:themeColor="text1"/>
        </w:rPr>
        <w:t>fashion raises a range of issues relati</w:t>
      </w:r>
      <w:r w:rsidR="00BE6301">
        <w:rPr>
          <w:color w:val="000000" w:themeColor="text1"/>
        </w:rPr>
        <w:t>ng</w:t>
      </w:r>
      <w:r w:rsidR="003A78E0">
        <w:rPr>
          <w:color w:val="000000" w:themeColor="text1"/>
        </w:rPr>
        <w:t xml:space="preserve"> to permission, data storage and data sharing. More specifically, it </w:t>
      </w:r>
      <w:proofErr w:type="gramStart"/>
      <w:r w:rsidR="003A78E0">
        <w:rPr>
          <w:color w:val="000000" w:themeColor="text1"/>
        </w:rPr>
        <w:t>opens up</w:t>
      </w:r>
      <w:proofErr w:type="gramEnd"/>
      <w:r w:rsidR="003A78E0">
        <w:rPr>
          <w:color w:val="000000" w:themeColor="text1"/>
        </w:rPr>
        <w:t xml:space="preserve"> portals for </w:t>
      </w:r>
      <w:r w:rsidR="006A6A27" w:rsidRPr="00F82D22">
        <w:rPr>
          <w:color w:val="000000" w:themeColor="text1"/>
        </w:rPr>
        <w:t xml:space="preserve">data to be </w:t>
      </w:r>
      <w:r w:rsidR="003A78E0">
        <w:rPr>
          <w:color w:val="000000" w:themeColor="text1"/>
        </w:rPr>
        <w:t xml:space="preserve">accessed </w:t>
      </w:r>
      <w:r w:rsidR="006A6A27" w:rsidRPr="00F82D22">
        <w:rPr>
          <w:color w:val="000000" w:themeColor="text1"/>
        </w:rPr>
        <w:t xml:space="preserve">by those with relevant permissions across the force. As </w:t>
      </w:r>
      <w:r w:rsidR="002D5562">
        <w:rPr>
          <w:color w:val="000000" w:themeColor="text1"/>
        </w:rPr>
        <w:t xml:space="preserve">one of the prevent CSE </w:t>
      </w:r>
      <w:r w:rsidR="007637B1">
        <w:rPr>
          <w:color w:val="000000" w:themeColor="text1"/>
        </w:rPr>
        <w:t xml:space="preserve">team </w:t>
      </w:r>
      <w:r w:rsidR="006A6A27" w:rsidRPr="00F82D22">
        <w:rPr>
          <w:color w:val="000000" w:themeColor="text1"/>
        </w:rPr>
        <w:t>recall</w:t>
      </w:r>
      <w:r w:rsidR="000D4ABA">
        <w:rPr>
          <w:color w:val="000000" w:themeColor="text1"/>
        </w:rPr>
        <w:t>s below</w:t>
      </w:r>
      <w:r w:rsidR="006A6A27" w:rsidRPr="00F82D22">
        <w:rPr>
          <w:color w:val="000000" w:themeColor="text1"/>
        </w:rPr>
        <w:t xml:space="preserve">, all entries made on the case management system </w:t>
      </w:r>
      <w:r w:rsidR="003A78E0">
        <w:rPr>
          <w:color w:val="000000" w:themeColor="text1"/>
        </w:rPr>
        <w:t xml:space="preserve">are </w:t>
      </w:r>
      <w:r w:rsidR="00300EB9" w:rsidRPr="00F82D22">
        <w:rPr>
          <w:color w:val="000000" w:themeColor="text1"/>
        </w:rPr>
        <w:t>stored</w:t>
      </w:r>
      <w:r w:rsidR="003A78E0">
        <w:rPr>
          <w:color w:val="000000" w:themeColor="text1"/>
        </w:rPr>
        <w:t xml:space="preserve">. The rationale for this was to ensure an audit trail that would allow retrieval in the event of a </w:t>
      </w:r>
      <w:r w:rsidR="00FB501F" w:rsidRPr="00F82D22">
        <w:rPr>
          <w:color w:val="000000" w:themeColor="text1"/>
        </w:rPr>
        <w:t xml:space="preserve">future incident </w:t>
      </w:r>
      <w:r w:rsidR="003A78E0">
        <w:rPr>
          <w:color w:val="000000" w:themeColor="text1"/>
        </w:rPr>
        <w:t xml:space="preserve">involving </w:t>
      </w:r>
      <w:r w:rsidR="00FB501F" w:rsidRPr="00F82D22">
        <w:rPr>
          <w:color w:val="000000" w:themeColor="text1"/>
        </w:rPr>
        <w:t>a particular individual</w:t>
      </w:r>
      <w:r w:rsidR="003A78E0">
        <w:rPr>
          <w:color w:val="000000" w:themeColor="text1"/>
        </w:rPr>
        <w:t>:</w:t>
      </w:r>
    </w:p>
    <w:p w14:paraId="750C70F9" w14:textId="7D64F38E" w:rsidR="00FB501F" w:rsidRPr="00F82D22" w:rsidRDefault="00355BF6" w:rsidP="004375C5">
      <w:pPr>
        <w:pStyle w:val="NormalWeb"/>
        <w:spacing w:line="480" w:lineRule="auto"/>
        <w:ind w:left="720" w:right="656"/>
        <w:jc w:val="both"/>
        <w:rPr>
          <w:color w:val="000000" w:themeColor="text1"/>
        </w:rPr>
      </w:pPr>
      <w:r>
        <w:rPr>
          <w:color w:val="000000" w:themeColor="text1"/>
        </w:rPr>
        <w:t>W</w:t>
      </w:r>
      <w:r w:rsidR="00FB501F" w:rsidRPr="00F82D22">
        <w:rPr>
          <w:color w:val="000000" w:themeColor="text1"/>
        </w:rPr>
        <w:t xml:space="preserve">e </w:t>
      </w:r>
      <w:proofErr w:type="gramStart"/>
      <w:r w:rsidR="00FB501F" w:rsidRPr="00F82D22">
        <w:rPr>
          <w:color w:val="000000" w:themeColor="text1"/>
        </w:rPr>
        <w:t>have to</w:t>
      </w:r>
      <w:proofErr w:type="gramEnd"/>
      <w:r w:rsidR="00FB501F" w:rsidRPr="00F82D22">
        <w:rPr>
          <w:color w:val="000000" w:themeColor="text1"/>
        </w:rPr>
        <w:t xml:space="preserve"> put this information on [</w:t>
      </w:r>
      <w:r w:rsidR="003A78E0">
        <w:rPr>
          <w:color w:val="000000" w:themeColor="text1"/>
        </w:rPr>
        <w:t xml:space="preserve">a </w:t>
      </w:r>
      <w:r w:rsidR="00FB501F" w:rsidRPr="00F82D22">
        <w:rPr>
          <w:color w:val="000000" w:themeColor="text1"/>
        </w:rPr>
        <w:t>case management system], because then there's a record.  Obviously, if it's been called in through 101 there's a record anyway, but you do have to remind them of that</w:t>
      </w:r>
      <w:r w:rsidR="000036B7">
        <w:rPr>
          <w:color w:val="000000" w:themeColor="text1"/>
        </w:rPr>
        <w:t>…</w:t>
      </w:r>
      <w:r w:rsidR="00FB501F" w:rsidRPr="00F82D22">
        <w:rPr>
          <w:color w:val="000000" w:themeColor="text1"/>
        </w:rPr>
        <w:t xml:space="preserve">  And I just say to them, you know, because it's a vulnerable child, we need to make a record that this has happened so that if anything happens in the future, or any other incidents happen</w:t>
      </w:r>
      <w:r w:rsidR="005F038F">
        <w:rPr>
          <w:color w:val="000000" w:themeColor="text1"/>
        </w:rPr>
        <w:t xml:space="preserve">… </w:t>
      </w:r>
      <w:r w:rsidR="003A78E0">
        <w:rPr>
          <w:color w:val="000000" w:themeColor="text1"/>
        </w:rPr>
        <w:t>it’s</w:t>
      </w:r>
      <w:r w:rsidR="00FB501F" w:rsidRPr="00F82D22">
        <w:rPr>
          <w:color w:val="000000" w:themeColor="text1"/>
        </w:rPr>
        <w:t xml:space="preserve"> linked (Amanda, Prevent CSE Worker)</w:t>
      </w:r>
      <w:r w:rsidR="003A78E0">
        <w:rPr>
          <w:color w:val="000000" w:themeColor="text1"/>
        </w:rPr>
        <w:t>.</w:t>
      </w:r>
    </w:p>
    <w:p w14:paraId="7712CE5B" w14:textId="7FB61875" w:rsidR="000458C7" w:rsidRPr="00F82D22" w:rsidRDefault="003A78E0" w:rsidP="004375C5">
      <w:pPr>
        <w:pStyle w:val="NormalWeb"/>
        <w:spacing w:line="480" w:lineRule="auto"/>
        <w:ind w:right="-52"/>
        <w:jc w:val="both"/>
        <w:rPr>
          <w:color w:val="000000" w:themeColor="text1"/>
        </w:rPr>
      </w:pPr>
      <w:r>
        <w:rPr>
          <w:color w:val="000000" w:themeColor="text1"/>
        </w:rPr>
        <w:t xml:space="preserve">Alongside </w:t>
      </w:r>
      <w:r w:rsidR="007637B1">
        <w:rPr>
          <w:color w:val="000000" w:themeColor="text1"/>
        </w:rPr>
        <w:t xml:space="preserve">these </w:t>
      </w:r>
      <w:r>
        <w:rPr>
          <w:color w:val="000000" w:themeColor="text1"/>
        </w:rPr>
        <w:t xml:space="preserve">reflections, </w:t>
      </w:r>
      <w:r w:rsidR="007637B1">
        <w:rPr>
          <w:color w:val="000000" w:themeColor="text1"/>
        </w:rPr>
        <w:t xml:space="preserve">another member of the team </w:t>
      </w:r>
      <w:r>
        <w:rPr>
          <w:color w:val="000000" w:themeColor="text1"/>
        </w:rPr>
        <w:t xml:space="preserve">talked about the possible eventuation of a future </w:t>
      </w:r>
      <w:r w:rsidR="004B48FB" w:rsidRPr="00F82D22">
        <w:rPr>
          <w:color w:val="000000" w:themeColor="text1"/>
        </w:rPr>
        <w:t xml:space="preserve">incident </w:t>
      </w:r>
      <w:r>
        <w:rPr>
          <w:color w:val="000000" w:themeColor="text1"/>
        </w:rPr>
        <w:t>occurring which</w:t>
      </w:r>
      <w:r w:rsidR="00910931" w:rsidRPr="00F82D22">
        <w:rPr>
          <w:color w:val="000000" w:themeColor="text1"/>
        </w:rPr>
        <w:t xml:space="preserve"> </w:t>
      </w:r>
      <w:r w:rsidR="00596C20" w:rsidRPr="00F82D22">
        <w:rPr>
          <w:color w:val="000000" w:themeColor="text1"/>
        </w:rPr>
        <w:t>involv</w:t>
      </w:r>
      <w:r>
        <w:rPr>
          <w:color w:val="000000" w:themeColor="text1"/>
        </w:rPr>
        <w:t>ed</w:t>
      </w:r>
      <w:r w:rsidR="00596C20" w:rsidRPr="00F82D22">
        <w:rPr>
          <w:color w:val="000000" w:themeColor="text1"/>
        </w:rPr>
        <w:t xml:space="preserve"> those </w:t>
      </w:r>
      <w:r>
        <w:rPr>
          <w:color w:val="000000" w:themeColor="text1"/>
        </w:rPr>
        <w:t xml:space="preserve">having </w:t>
      </w:r>
      <w:r w:rsidR="00910931" w:rsidRPr="00F82D22">
        <w:rPr>
          <w:color w:val="000000" w:themeColor="text1"/>
        </w:rPr>
        <w:t>previous contact with the Preve</w:t>
      </w:r>
      <w:r w:rsidR="00800C8D" w:rsidRPr="00F82D22">
        <w:rPr>
          <w:color w:val="000000" w:themeColor="text1"/>
        </w:rPr>
        <w:t>nt</w:t>
      </w:r>
      <w:r w:rsidR="00910931" w:rsidRPr="00F82D22">
        <w:rPr>
          <w:color w:val="000000" w:themeColor="text1"/>
        </w:rPr>
        <w:t xml:space="preserve"> CSE team</w:t>
      </w:r>
      <w:r>
        <w:rPr>
          <w:color w:val="000000" w:themeColor="text1"/>
        </w:rPr>
        <w:t>. In such an instance,</w:t>
      </w:r>
      <w:r w:rsidR="00BE6301">
        <w:rPr>
          <w:color w:val="000000" w:themeColor="text1"/>
        </w:rPr>
        <w:t xml:space="preserve"> </w:t>
      </w:r>
      <w:r w:rsidR="00C26DB9">
        <w:rPr>
          <w:color w:val="000000" w:themeColor="text1"/>
        </w:rPr>
        <w:t xml:space="preserve">the </w:t>
      </w:r>
      <w:r w:rsidR="00BE6301">
        <w:rPr>
          <w:color w:val="000000" w:themeColor="text1"/>
        </w:rPr>
        <w:t xml:space="preserve">understanding was that </w:t>
      </w:r>
      <w:r w:rsidR="00604D79" w:rsidRPr="00F82D22">
        <w:rPr>
          <w:color w:val="000000" w:themeColor="text1"/>
        </w:rPr>
        <w:t xml:space="preserve">data previously </w:t>
      </w:r>
      <w:r w:rsidR="00F82D22" w:rsidRPr="00F82D22">
        <w:rPr>
          <w:color w:val="000000" w:themeColor="text1"/>
        </w:rPr>
        <w:t xml:space="preserve">collected </w:t>
      </w:r>
      <w:r>
        <w:rPr>
          <w:color w:val="000000" w:themeColor="text1"/>
        </w:rPr>
        <w:t xml:space="preserve">would be cross-referred </w:t>
      </w:r>
      <w:r w:rsidR="00F82D22" w:rsidRPr="00F82D22">
        <w:rPr>
          <w:color w:val="000000" w:themeColor="text1"/>
        </w:rPr>
        <w:t xml:space="preserve">to </w:t>
      </w:r>
      <w:proofErr w:type="gramStart"/>
      <w:r>
        <w:rPr>
          <w:color w:val="000000" w:themeColor="text1"/>
        </w:rPr>
        <w:t>in order to</w:t>
      </w:r>
      <w:proofErr w:type="gramEnd"/>
      <w:r>
        <w:rPr>
          <w:color w:val="000000" w:themeColor="text1"/>
        </w:rPr>
        <w:t xml:space="preserve"> </w:t>
      </w:r>
      <w:r w:rsidR="00F82D22" w:rsidRPr="00F82D22">
        <w:rPr>
          <w:color w:val="000000" w:themeColor="text1"/>
        </w:rPr>
        <w:t xml:space="preserve">inform </w:t>
      </w:r>
      <w:r w:rsidR="00C77D4E">
        <w:rPr>
          <w:color w:val="000000" w:themeColor="text1"/>
        </w:rPr>
        <w:t xml:space="preserve">future </w:t>
      </w:r>
      <w:r>
        <w:rPr>
          <w:color w:val="000000" w:themeColor="text1"/>
        </w:rPr>
        <w:t xml:space="preserve">decisions and </w:t>
      </w:r>
      <w:r w:rsidR="00F82D22" w:rsidRPr="00F82D22">
        <w:rPr>
          <w:color w:val="000000" w:themeColor="text1"/>
        </w:rPr>
        <w:t>action</w:t>
      </w:r>
      <w:r>
        <w:rPr>
          <w:color w:val="000000" w:themeColor="text1"/>
        </w:rPr>
        <w:t>s</w:t>
      </w:r>
      <w:r w:rsidR="00DE3A7D">
        <w:rPr>
          <w:color w:val="000000" w:themeColor="text1"/>
        </w:rPr>
        <w:t xml:space="preserve">. </w:t>
      </w:r>
      <w:r w:rsidR="00296EE3">
        <w:rPr>
          <w:color w:val="000000" w:themeColor="text1"/>
        </w:rPr>
        <w:t>T</w:t>
      </w:r>
      <w:r w:rsidR="00C77D4E">
        <w:rPr>
          <w:color w:val="000000" w:themeColor="text1"/>
        </w:rPr>
        <w:t xml:space="preserve">he </w:t>
      </w:r>
      <w:r w:rsidR="00837160">
        <w:rPr>
          <w:color w:val="000000" w:themeColor="text1"/>
        </w:rPr>
        <w:t xml:space="preserve">aim </w:t>
      </w:r>
      <w:r w:rsidR="00C77D4E">
        <w:rPr>
          <w:color w:val="000000" w:themeColor="text1"/>
        </w:rPr>
        <w:t>of this process</w:t>
      </w:r>
      <w:r w:rsidR="00296EE3">
        <w:rPr>
          <w:color w:val="000000" w:themeColor="text1"/>
        </w:rPr>
        <w:t>, therefore,</w:t>
      </w:r>
      <w:r w:rsidR="00C77D4E">
        <w:rPr>
          <w:color w:val="000000" w:themeColor="text1"/>
        </w:rPr>
        <w:t xml:space="preserve"> </w:t>
      </w:r>
      <w:r w:rsidR="00837160">
        <w:rPr>
          <w:color w:val="000000" w:themeColor="text1"/>
        </w:rPr>
        <w:t>appear</w:t>
      </w:r>
      <w:r w:rsidR="00296EE3">
        <w:rPr>
          <w:color w:val="000000" w:themeColor="text1"/>
        </w:rPr>
        <w:t>ed</w:t>
      </w:r>
      <w:r w:rsidR="00837160">
        <w:rPr>
          <w:color w:val="000000" w:themeColor="text1"/>
        </w:rPr>
        <w:t xml:space="preserve"> to be </w:t>
      </w:r>
      <w:r w:rsidR="006A7902">
        <w:rPr>
          <w:color w:val="000000" w:themeColor="text1"/>
        </w:rPr>
        <w:t xml:space="preserve">about </w:t>
      </w:r>
      <w:r w:rsidR="00C77D4E">
        <w:rPr>
          <w:color w:val="000000" w:themeColor="text1"/>
        </w:rPr>
        <w:t xml:space="preserve">identifying those perceived to be ignoring </w:t>
      </w:r>
      <w:r w:rsidR="000458C7" w:rsidRPr="00F82D22">
        <w:rPr>
          <w:color w:val="000000" w:themeColor="text1"/>
        </w:rPr>
        <w:t xml:space="preserve">the advice of the </w:t>
      </w:r>
      <w:r w:rsidR="00AF674D">
        <w:rPr>
          <w:color w:val="000000" w:themeColor="text1"/>
        </w:rPr>
        <w:t>prevent CSE</w:t>
      </w:r>
      <w:r w:rsidR="000458C7" w:rsidRPr="00F82D22">
        <w:rPr>
          <w:color w:val="000000" w:themeColor="text1"/>
        </w:rPr>
        <w:t xml:space="preserve"> team:</w:t>
      </w:r>
    </w:p>
    <w:p w14:paraId="278365C8" w14:textId="2768C440" w:rsidR="000458C7" w:rsidRPr="00F82D22" w:rsidRDefault="000458C7" w:rsidP="004375C5">
      <w:pPr>
        <w:pStyle w:val="NormalWeb"/>
        <w:spacing w:line="480" w:lineRule="auto"/>
        <w:ind w:left="720" w:right="656"/>
        <w:jc w:val="both"/>
        <w:rPr>
          <w:color w:val="000000" w:themeColor="text1"/>
        </w:rPr>
      </w:pPr>
      <w:proofErr w:type="gramStart"/>
      <w:r w:rsidRPr="00F82D22">
        <w:rPr>
          <w:color w:val="000000" w:themeColor="text1"/>
        </w:rPr>
        <w:t>So</w:t>
      </w:r>
      <w:proofErr w:type="gramEnd"/>
      <w:r w:rsidRPr="00F82D22">
        <w:rPr>
          <w:color w:val="000000" w:themeColor="text1"/>
        </w:rPr>
        <w:t xml:space="preserve"> in a way, you won</w:t>
      </w:r>
      <w:r w:rsidR="00457069">
        <w:rPr>
          <w:color w:val="000000" w:themeColor="text1"/>
        </w:rPr>
        <w:t>’</w:t>
      </w:r>
      <w:r w:rsidRPr="00F82D22">
        <w:rPr>
          <w:color w:val="000000" w:themeColor="text1"/>
        </w:rPr>
        <w:t>t be able to say, well I didn</w:t>
      </w:r>
      <w:r w:rsidR="00457069">
        <w:rPr>
          <w:color w:val="000000" w:themeColor="text1"/>
        </w:rPr>
        <w:t>’</w:t>
      </w:r>
      <w:r w:rsidRPr="00F82D22">
        <w:rPr>
          <w:color w:val="000000" w:themeColor="text1"/>
        </w:rPr>
        <w:t>t know, you won't be able to use that as an excuse</w:t>
      </w:r>
      <w:r w:rsidR="00C77D4E">
        <w:rPr>
          <w:color w:val="000000" w:themeColor="text1"/>
        </w:rPr>
        <w:t xml:space="preserve"> -</w:t>
      </w:r>
      <w:r w:rsidRPr="00F82D22">
        <w:rPr>
          <w:color w:val="000000" w:themeColor="text1"/>
        </w:rPr>
        <w:t xml:space="preserve"> because you did know, you had an intervention and I</w:t>
      </w:r>
      <w:r w:rsidR="00457069">
        <w:rPr>
          <w:color w:val="000000" w:themeColor="text1"/>
        </w:rPr>
        <w:t>’</w:t>
      </w:r>
      <w:r w:rsidRPr="00F82D22">
        <w:rPr>
          <w:color w:val="000000" w:themeColor="text1"/>
        </w:rPr>
        <w:t>ll make sure that this is recorded on [the case management system]</w:t>
      </w:r>
      <w:r w:rsidR="00C77D4E">
        <w:rPr>
          <w:color w:val="000000" w:themeColor="text1"/>
        </w:rPr>
        <w:t xml:space="preserve">. </w:t>
      </w:r>
      <w:r w:rsidRPr="00F82D22">
        <w:rPr>
          <w:color w:val="000000" w:themeColor="text1"/>
        </w:rPr>
        <w:t>It</w:t>
      </w:r>
      <w:r w:rsidR="00C77D4E">
        <w:rPr>
          <w:color w:val="000000" w:themeColor="text1"/>
        </w:rPr>
        <w:t>’</w:t>
      </w:r>
      <w:r w:rsidRPr="00F82D22">
        <w:rPr>
          <w:color w:val="000000" w:themeColor="text1"/>
        </w:rPr>
        <w:t xml:space="preserve">s about me </w:t>
      </w:r>
      <w:r w:rsidRPr="00F82D22">
        <w:rPr>
          <w:color w:val="000000" w:themeColor="text1"/>
        </w:rPr>
        <w:lastRenderedPageBreak/>
        <w:t>giving them information</w:t>
      </w:r>
      <w:proofErr w:type="gramStart"/>
      <w:r w:rsidRPr="00F82D22">
        <w:rPr>
          <w:color w:val="000000" w:themeColor="text1"/>
        </w:rPr>
        <w:t>, definitely, but</w:t>
      </w:r>
      <w:proofErr w:type="gramEnd"/>
      <w:r w:rsidRPr="00F82D22">
        <w:rPr>
          <w:color w:val="000000" w:themeColor="text1"/>
        </w:rPr>
        <w:t xml:space="preserve"> it </w:t>
      </w:r>
      <w:r w:rsidR="00C77D4E">
        <w:rPr>
          <w:color w:val="000000" w:themeColor="text1"/>
        </w:rPr>
        <w:t>is</w:t>
      </w:r>
      <w:r w:rsidRPr="00F82D22">
        <w:rPr>
          <w:color w:val="000000" w:themeColor="text1"/>
        </w:rPr>
        <w:t xml:space="preserve"> also about me saying, you can</w:t>
      </w:r>
      <w:r w:rsidR="008D3B62">
        <w:rPr>
          <w:color w:val="000000" w:themeColor="text1"/>
        </w:rPr>
        <w:t>’</w:t>
      </w:r>
      <w:r w:rsidRPr="00F82D22">
        <w:rPr>
          <w:color w:val="000000" w:themeColor="text1"/>
        </w:rPr>
        <w:t xml:space="preserve">t just get away with it next time.  It won't be acceptable for you to just play the </w:t>
      </w:r>
      <w:r w:rsidR="00C77D4E">
        <w:rPr>
          <w:color w:val="000000" w:themeColor="text1"/>
        </w:rPr>
        <w:t>‘</w:t>
      </w:r>
      <w:r w:rsidRPr="00F82D22">
        <w:rPr>
          <w:color w:val="000000" w:themeColor="text1"/>
        </w:rPr>
        <w:t>I don't know card</w:t>
      </w:r>
      <w:r w:rsidR="00C77D4E">
        <w:rPr>
          <w:color w:val="000000" w:themeColor="text1"/>
        </w:rPr>
        <w:t>’</w:t>
      </w:r>
      <w:r w:rsidRPr="00F82D22">
        <w:rPr>
          <w:color w:val="000000" w:themeColor="text1"/>
        </w:rPr>
        <w:t xml:space="preserve">, or </w:t>
      </w:r>
      <w:r w:rsidR="00C77D4E">
        <w:rPr>
          <w:color w:val="000000" w:themeColor="text1"/>
        </w:rPr>
        <w:t>‘</w:t>
      </w:r>
      <w:r w:rsidRPr="00F82D22">
        <w:rPr>
          <w:color w:val="000000" w:themeColor="text1"/>
        </w:rPr>
        <w:t>I didn</w:t>
      </w:r>
      <w:r w:rsidR="008D3B62">
        <w:rPr>
          <w:color w:val="000000" w:themeColor="text1"/>
        </w:rPr>
        <w:t>’</w:t>
      </w:r>
      <w:r w:rsidRPr="00F82D22">
        <w:rPr>
          <w:color w:val="000000" w:themeColor="text1"/>
        </w:rPr>
        <w:t>t know that</w:t>
      </w:r>
      <w:r w:rsidR="008D3B62">
        <w:rPr>
          <w:color w:val="000000" w:themeColor="text1"/>
        </w:rPr>
        <w:t>’</w:t>
      </w:r>
      <w:r w:rsidRPr="00F82D22">
        <w:rPr>
          <w:color w:val="000000" w:themeColor="text1"/>
        </w:rPr>
        <w:t>s what the law meant</w:t>
      </w:r>
      <w:r w:rsidR="00C77D4E">
        <w:rPr>
          <w:color w:val="000000" w:themeColor="text1"/>
        </w:rPr>
        <w:t>’</w:t>
      </w:r>
      <w:r w:rsidRPr="00F82D22">
        <w:rPr>
          <w:color w:val="000000" w:themeColor="text1"/>
        </w:rPr>
        <w:t>.</w:t>
      </w:r>
      <w:r w:rsidR="00C77D4E">
        <w:rPr>
          <w:color w:val="000000" w:themeColor="text1"/>
        </w:rPr>
        <w:t xml:space="preserve"> </w:t>
      </w:r>
      <w:r w:rsidRPr="00F82D22">
        <w:rPr>
          <w:color w:val="000000" w:themeColor="text1"/>
        </w:rPr>
        <w:t>If a police incident is rung through and it</w:t>
      </w:r>
      <w:r w:rsidR="008D3B62">
        <w:rPr>
          <w:color w:val="000000" w:themeColor="text1"/>
        </w:rPr>
        <w:t>’</w:t>
      </w:r>
      <w:r w:rsidRPr="00F82D22">
        <w:rPr>
          <w:color w:val="000000" w:themeColor="text1"/>
        </w:rPr>
        <w:t>s regarding a person under the age of 18, they should be able to get a record of i</w:t>
      </w:r>
      <w:r w:rsidR="00C77D4E">
        <w:rPr>
          <w:color w:val="000000" w:themeColor="text1"/>
        </w:rPr>
        <w:t>f</w:t>
      </w:r>
      <w:r w:rsidR="008D3B62">
        <w:rPr>
          <w:color w:val="000000" w:themeColor="text1"/>
        </w:rPr>
        <w:t>,</w:t>
      </w:r>
      <w:r w:rsidRPr="00F82D22">
        <w:rPr>
          <w:color w:val="000000" w:themeColor="text1"/>
        </w:rPr>
        <w:t xml:space="preserve"> that child has been known to [case management system</w:t>
      </w:r>
      <w:r w:rsidR="009A2608">
        <w:rPr>
          <w:color w:val="000000" w:themeColor="text1"/>
        </w:rPr>
        <w:t>]</w:t>
      </w:r>
      <w:r w:rsidR="008D3B62">
        <w:rPr>
          <w:color w:val="000000" w:themeColor="text1"/>
        </w:rPr>
        <w:t>.</w:t>
      </w:r>
      <w:r w:rsidRPr="00F82D22">
        <w:rPr>
          <w:color w:val="000000" w:themeColor="text1"/>
        </w:rPr>
        <w:t xml:space="preserve"> So</w:t>
      </w:r>
      <w:r w:rsidR="008D3B62">
        <w:rPr>
          <w:color w:val="000000" w:themeColor="text1"/>
        </w:rPr>
        <w:t>,</w:t>
      </w:r>
      <w:r w:rsidRPr="00F82D22">
        <w:rPr>
          <w:color w:val="000000" w:themeColor="text1"/>
        </w:rPr>
        <w:t xml:space="preserve"> I think if a police officer </w:t>
      </w:r>
      <w:r w:rsidR="00C77D4E">
        <w:rPr>
          <w:color w:val="000000" w:themeColor="text1"/>
        </w:rPr>
        <w:t xml:space="preserve">is </w:t>
      </w:r>
      <w:r w:rsidRPr="00F82D22">
        <w:rPr>
          <w:color w:val="000000" w:themeColor="text1"/>
        </w:rPr>
        <w:t>needed</w:t>
      </w:r>
      <w:r w:rsidR="00C77D4E">
        <w:rPr>
          <w:color w:val="000000" w:themeColor="text1"/>
        </w:rPr>
        <w:t xml:space="preserve"> … h</w:t>
      </w:r>
      <w:r w:rsidRPr="00F82D22">
        <w:rPr>
          <w:color w:val="000000" w:themeColor="text1"/>
        </w:rPr>
        <w:t>ad got somebody under the age of 18 they</w:t>
      </w:r>
      <w:r w:rsidR="00F562C2">
        <w:rPr>
          <w:color w:val="000000" w:themeColor="text1"/>
        </w:rPr>
        <w:t>’d</w:t>
      </w:r>
      <w:r w:rsidRPr="00F82D22">
        <w:rPr>
          <w:color w:val="000000" w:themeColor="text1"/>
        </w:rPr>
        <w:t xml:space="preserve"> be able to access [case management system] to find out had there been any work done with them</w:t>
      </w:r>
      <w:r w:rsidR="00C77D4E">
        <w:rPr>
          <w:color w:val="000000" w:themeColor="text1"/>
        </w:rPr>
        <w:t xml:space="preserve"> </w:t>
      </w:r>
      <w:r w:rsidRPr="00F82D22">
        <w:rPr>
          <w:color w:val="000000" w:themeColor="text1"/>
        </w:rPr>
        <w:t>(Hannah, Prevent CSE Worker).</w:t>
      </w:r>
    </w:p>
    <w:p w14:paraId="568A15FE" w14:textId="1CFBA5CF" w:rsidR="00A46394" w:rsidRPr="00B232E6" w:rsidRDefault="00DA6707" w:rsidP="00596474">
      <w:pPr>
        <w:pStyle w:val="NormalWeb"/>
        <w:spacing w:line="480" w:lineRule="auto"/>
        <w:jc w:val="both"/>
        <w:rPr>
          <w:highlight w:val="magenta"/>
        </w:rPr>
      </w:pPr>
      <w:r>
        <w:rPr>
          <w:color w:val="000000" w:themeColor="text1"/>
        </w:rPr>
        <w:t>T</w:t>
      </w:r>
      <w:r w:rsidR="00FD48D4" w:rsidRPr="00F21C36">
        <w:rPr>
          <w:color w:val="000000" w:themeColor="text1"/>
        </w:rPr>
        <w:t xml:space="preserve">he collection of ‘intel’ is </w:t>
      </w:r>
      <w:r w:rsidR="00C77D4E">
        <w:rPr>
          <w:color w:val="000000" w:themeColor="text1"/>
        </w:rPr>
        <w:t>a longstanding</w:t>
      </w:r>
      <w:r w:rsidR="00764F15">
        <w:rPr>
          <w:color w:val="000000" w:themeColor="text1"/>
        </w:rPr>
        <w:t xml:space="preserve"> and </w:t>
      </w:r>
      <w:r w:rsidR="00C77D4E">
        <w:rPr>
          <w:color w:val="000000" w:themeColor="text1"/>
        </w:rPr>
        <w:t>ubiquitous practice</w:t>
      </w:r>
      <w:r w:rsidR="00FD48D4" w:rsidRPr="00F21C36">
        <w:rPr>
          <w:color w:val="000000" w:themeColor="text1"/>
        </w:rPr>
        <w:t xml:space="preserve"> within policing (</w:t>
      </w:r>
      <w:r w:rsidR="00FD48D4">
        <w:rPr>
          <w:color w:val="000000" w:themeColor="text1"/>
        </w:rPr>
        <w:t>Ratcliffe, 2016</w:t>
      </w:r>
      <w:r w:rsidR="00FD48D4" w:rsidRPr="00F21C36">
        <w:rPr>
          <w:color w:val="000000" w:themeColor="text1"/>
        </w:rPr>
        <w:t>)</w:t>
      </w:r>
      <w:r w:rsidR="0060155B">
        <w:rPr>
          <w:color w:val="000000" w:themeColor="text1"/>
        </w:rPr>
        <w:t xml:space="preserve"> yet, </w:t>
      </w:r>
      <w:r w:rsidR="004533BD">
        <w:rPr>
          <w:color w:val="000000" w:themeColor="text1"/>
        </w:rPr>
        <w:t xml:space="preserve">when operationalised </w:t>
      </w:r>
      <w:r w:rsidR="0060155B">
        <w:rPr>
          <w:color w:val="000000" w:themeColor="text1"/>
        </w:rPr>
        <w:t xml:space="preserve">within this </w:t>
      </w:r>
      <w:proofErr w:type="gramStart"/>
      <w:r w:rsidR="0060155B">
        <w:rPr>
          <w:color w:val="000000" w:themeColor="text1"/>
        </w:rPr>
        <w:t>particular context</w:t>
      </w:r>
      <w:proofErr w:type="gramEnd"/>
      <w:r w:rsidR="0060155B">
        <w:rPr>
          <w:color w:val="000000" w:themeColor="text1"/>
        </w:rPr>
        <w:t xml:space="preserve">, </w:t>
      </w:r>
      <w:r w:rsidR="00C77D4E">
        <w:rPr>
          <w:color w:val="000000" w:themeColor="text1"/>
        </w:rPr>
        <w:t xml:space="preserve">some barbed issues </w:t>
      </w:r>
      <w:r w:rsidR="004533BD">
        <w:rPr>
          <w:color w:val="000000" w:themeColor="text1"/>
        </w:rPr>
        <w:t xml:space="preserve">do </w:t>
      </w:r>
      <w:r w:rsidR="00C77D4E">
        <w:rPr>
          <w:color w:val="000000" w:themeColor="text1"/>
        </w:rPr>
        <w:t>emerge. Given that the programme evaluated was presented as a</w:t>
      </w:r>
      <w:r w:rsidR="00764F15">
        <w:rPr>
          <w:color w:val="000000" w:themeColor="text1"/>
        </w:rPr>
        <w:t xml:space="preserve"> general</w:t>
      </w:r>
      <w:r w:rsidR="00C77D4E">
        <w:rPr>
          <w:color w:val="000000" w:themeColor="text1"/>
        </w:rPr>
        <w:t xml:space="preserve"> educational initiative</w:t>
      </w:r>
      <w:r w:rsidR="000C19A7">
        <w:rPr>
          <w:color w:val="000000" w:themeColor="text1"/>
        </w:rPr>
        <w:t xml:space="preserve"> rooted in a public health approach</w:t>
      </w:r>
      <w:r w:rsidR="00C77D4E">
        <w:rPr>
          <w:color w:val="000000" w:themeColor="text1"/>
        </w:rPr>
        <w:t xml:space="preserve">, there are some questions that can be justifiably raised around </w:t>
      </w:r>
      <w:r w:rsidR="008D3B62">
        <w:rPr>
          <w:color w:val="000000" w:themeColor="text1"/>
        </w:rPr>
        <w:t>transparency of purpose and</w:t>
      </w:r>
      <w:r w:rsidR="00C30943">
        <w:rPr>
          <w:color w:val="000000" w:themeColor="text1"/>
        </w:rPr>
        <w:t xml:space="preserve"> </w:t>
      </w:r>
      <w:r w:rsidR="00C77D4E">
        <w:rPr>
          <w:color w:val="000000" w:themeColor="text1"/>
        </w:rPr>
        <w:t xml:space="preserve">the protection of </w:t>
      </w:r>
      <w:r w:rsidR="008D3B62">
        <w:rPr>
          <w:color w:val="000000" w:themeColor="text1"/>
        </w:rPr>
        <w:t xml:space="preserve">human </w:t>
      </w:r>
      <w:r w:rsidR="00C77D4E">
        <w:rPr>
          <w:color w:val="000000" w:themeColor="text1"/>
        </w:rPr>
        <w:t>rights.</w:t>
      </w:r>
      <w:r w:rsidR="00691A89">
        <w:rPr>
          <w:color w:val="000000" w:themeColor="text1"/>
        </w:rPr>
        <w:t xml:space="preserve"> While formally characterised by practitioners as</w:t>
      </w:r>
      <w:r w:rsidR="00FD48D4" w:rsidRPr="00F21C36">
        <w:rPr>
          <w:color w:val="000000" w:themeColor="text1"/>
        </w:rPr>
        <w:t xml:space="preserve"> </w:t>
      </w:r>
      <w:r w:rsidR="00D674DA">
        <w:rPr>
          <w:color w:val="000000" w:themeColor="text1"/>
        </w:rPr>
        <w:t xml:space="preserve">‘preventative’ and </w:t>
      </w:r>
      <w:r w:rsidR="00FD48D4" w:rsidRPr="00F21C36">
        <w:rPr>
          <w:color w:val="000000" w:themeColor="text1"/>
        </w:rPr>
        <w:t>‘supportive’</w:t>
      </w:r>
      <w:r w:rsidR="00691A89">
        <w:rPr>
          <w:color w:val="000000" w:themeColor="text1"/>
        </w:rPr>
        <w:t xml:space="preserve">, </w:t>
      </w:r>
      <w:r w:rsidR="008D3B62">
        <w:rPr>
          <w:color w:val="000000" w:themeColor="text1"/>
        </w:rPr>
        <w:t xml:space="preserve">a combination of net-widening intent and data gathering under the rubric of </w:t>
      </w:r>
      <w:r w:rsidR="00FD48D4" w:rsidRPr="00F21C36">
        <w:rPr>
          <w:color w:val="000000" w:themeColor="text1"/>
        </w:rPr>
        <w:t>crime prevention</w:t>
      </w:r>
      <w:r w:rsidR="008D3B62">
        <w:rPr>
          <w:color w:val="000000" w:themeColor="text1"/>
        </w:rPr>
        <w:t xml:space="preserve"> brings to the surface issues of monitoring and surveillance. </w:t>
      </w:r>
      <w:r w:rsidR="00691A89">
        <w:rPr>
          <w:color w:val="000000" w:themeColor="text1"/>
        </w:rPr>
        <w:t xml:space="preserve"> </w:t>
      </w:r>
    </w:p>
    <w:p w14:paraId="66201B75" w14:textId="6A4BB69B" w:rsidR="00906CE0" w:rsidRPr="006756C7" w:rsidRDefault="00691A89" w:rsidP="004375C5">
      <w:pPr>
        <w:spacing w:line="480" w:lineRule="auto"/>
        <w:rPr>
          <w:b/>
          <w:bCs/>
        </w:rPr>
      </w:pPr>
      <w:r>
        <w:rPr>
          <w:b/>
          <w:bCs/>
        </w:rPr>
        <w:t xml:space="preserve">Reflections and </w:t>
      </w:r>
      <w:r w:rsidR="00A46394" w:rsidRPr="006756C7">
        <w:rPr>
          <w:b/>
          <w:bCs/>
        </w:rPr>
        <w:t xml:space="preserve">Discussion </w:t>
      </w:r>
    </w:p>
    <w:p w14:paraId="5DBD00E1" w14:textId="3BE2BE8D" w:rsidR="005B6C4E" w:rsidRDefault="00C025B1" w:rsidP="004375C5">
      <w:pPr>
        <w:spacing w:line="480" w:lineRule="auto"/>
        <w:jc w:val="both"/>
      </w:pPr>
      <w:r w:rsidRPr="006756C7">
        <w:t>In recent years</w:t>
      </w:r>
      <w:r w:rsidR="007D4A36">
        <w:t>,</w:t>
      </w:r>
      <w:r w:rsidR="00354A5E">
        <w:t xml:space="preserve"> </w:t>
      </w:r>
      <w:r w:rsidRPr="006756C7">
        <w:t xml:space="preserve">public health approaches to crime reduction have gained </w:t>
      </w:r>
      <w:r w:rsidR="00444CA3" w:rsidRPr="006756C7">
        <w:t xml:space="preserve">increased </w:t>
      </w:r>
      <w:r w:rsidR="00EB52D9">
        <w:t>r</w:t>
      </w:r>
      <w:r w:rsidR="00EB52D9" w:rsidRPr="006756C7">
        <w:t>elevance</w:t>
      </w:r>
      <w:r w:rsidR="00354A5E">
        <w:t>,</w:t>
      </w:r>
      <w:r w:rsidR="000E2E60" w:rsidRPr="006756C7">
        <w:t xml:space="preserve"> focusing attention on prevention, multi-agency working, data sharing, evidence-based </w:t>
      </w:r>
      <w:proofErr w:type="gramStart"/>
      <w:r w:rsidR="000E2E60" w:rsidRPr="006756C7">
        <w:t>practice</w:t>
      </w:r>
      <w:proofErr w:type="gramEnd"/>
      <w:r w:rsidR="000E2E60" w:rsidRPr="006756C7">
        <w:t xml:space="preserve"> and whole systems approaches </w:t>
      </w:r>
      <w:r w:rsidR="000E2E60" w:rsidRPr="006756C7">
        <w:rPr>
          <w:rFonts w:eastAsia="Calibri"/>
        </w:rPr>
        <w:t xml:space="preserve">(Christmas and </w:t>
      </w:r>
      <w:proofErr w:type="spellStart"/>
      <w:r w:rsidR="000E2E60" w:rsidRPr="006756C7">
        <w:rPr>
          <w:rFonts w:eastAsia="Calibri"/>
        </w:rPr>
        <w:t>Srivstava</w:t>
      </w:r>
      <w:proofErr w:type="spellEnd"/>
      <w:r w:rsidR="000E2E60" w:rsidRPr="006756C7">
        <w:rPr>
          <w:rFonts w:eastAsia="Calibri"/>
        </w:rPr>
        <w:t>, 2019).</w:t>
      </w:r>
      <w:r w:rsidR="00460BF0">
        <w:rPr>
          <w:rFonts w:eastAsia="Calibri"/>
        </w:rPr>
        <w:t xml:space="preserve"> </w:t>
      </w:r>
      <w:r w:rsidR="000E2E60" w:rsidRPr="006756C7">
        <w:rPr>
          <w:rFonts w:eastAsia="Calibri"/>
        </w:rPr>
        <w:t xml:space="preserve">Within this framework, the </w:t>
      </w:r>
      <w:r w:rsidR="000E2E60" w:rsidRPr="006D1235">
        <w:rPr>
          <w:rFonts w:eastAsia="Calibri"/>
        </w:rPr>
        <w:t xml:space="preserve">police have become key players </w:t>
      </w:r>
      <w:r w:rsidR="0091206D">
        <w:rPr>
          <w:rFonts w:eastAsia="Calibri"/>
        </w:rPr>
        <w:t xml:space="preserve">in developing </w:t>
      </w:r>
      <w:r w:rsidR="002424EA">
        <w:rPr>
          <w:rFonts w:eastAsia="Calibri"/>
        </w:rPr>
        <w:t xml:space="preserve">preventative </w:t>
      </w:r>
      <w:r w:rsidR="0091206D">
        <w:rPr>
          <w:rFonts w:eastAsia="Calibri"/>
        </w:rPr>
        <w:t>activit</w:t>
      </w:r>
      <w:r w:rsidR="00691A89">
        <w:rPr>
          <w:rFonts w:eastAsia="Calibri"/>
        </w:rPr>
        <w:t>ies intended to</w:t>
      </w:r>
      <w:r w:rsidR="0091206D">
        <w:rPr>
          <w:rFonts w:eastAsia="Calibri"/>
        </w:rPr>
        <w:t xml:space="preserve"> </w:t>
      </w:r>
      <w:r w:rsidR="002424EA">
        <w:rPr>
          <w:rFonts w:eastAsia="Calibri"/>
        </w:rPr>
        <w:t xml:space="preserve">both </w:t>
      </w:r>
      <w:r w:rsidR="0091206D">
        <w:rPr>
          <w:rFonts w:eastAsia="Calibri"/>
        </w:rPr>
        <w:t>identif</w:t>
      </w:r>
      <w:r w:rsidR="00691A89">
        <w:rPr>
          <w:rFonts w:eastAsia="Calibri"/>
        </w:rPr>
        <w:t>y</w:t>
      </w:r>
      <w:r w:rsidR="0091206D">
        <w:rPr>
          <w:rFonts w:eastAsia="Calibri"/>
        </w:rPr>
        <w:t xml:space="preserve"> and reduce risk</w:t>
      </w:r>
      <w:r w:rsidR="00803239" w:rsidRPr="00453BD8">
        <w:t>.</w:t>
      </w:r>
      <w:r w:rsidR="00453BD8">
        <w:t xml:space="preserve"> </w:t>
      </w:r>
      <w:r w:rsidR="00607817" w:rsidRPr="00453BD8">
        <w:t xml:space="preserve">Reflecting this direction of travel, </w:t>
      </w:r>
      <w:proofErr w:type="spellStart"/>
      <w:r w:rsidR="00A862D0">
        <w:t>Midshire</w:t>
      </w:r>
      <w:r w:rsidR="00607817" w:rsidRPr="00453BD8">
        <w:t>’s</w:t>
      </w:r>
      <w:proofErr w:type="spellEnd"/>
      <w:r w:rsidR="00607817" w:rsidRPr="00453BD8">
        <w:t xml:space="preserve"> intervention strategy to prevent CSE comprised of primary (universal education), secondary (brief intervention) and tertiary (wraparound services) interventions. Within this arrangement, the police had responsibility for </w:t>
      </w:r>
      <w:r w:rsidR="00607817" w:rsidRPr="00453BD8">
        <w:lastRenderedPageBreak/>
        <w:t>the deployment of primary and secondary level measures and</w:t>
      </w:r>
      <w:r w:rsidR="00691A89">
        <w:t>,</w:t>
      </w:r>
      <w:r w:rsidR="00607817" w:rsidRPr="00453BD8">
        <w:t xml:space="preserve"> in </w:t>
      </w:r>
      <w:r w:rsidR="00691A89">
        <w:t xml:space="preserve">so </w:t>
      </w:r>
      <w:r w:rsidR="00607817" w:rsidRPr="00453BD8">
        <w:t>doing</w:t>
      </w:r>
      <w:r w:rsidR="00691A89">
        <w:t xml:space="preserve">, </w:t>
      </w:r>
      <w:r w:rsidR="00607817" w:rsidRPr="00453BD8">
        <w:t xml:space="preserve">were pivotal in identifying those at risk of becoming a victim </w:t>
      </w:r>
      <w:r w:rsidR="00691A89">
        <w:t>and/</w:t>
      </w:r>
      <w:r w:rsidR="00607817" w:rsidRPr="00453BD8">
        <w:t xml:space="preserve">or </w:t>
      </w:r>
      <w:r w:rsidR="00691A89">
        <w:t xml:space="preserve">a </w:t>
      </w:r>
      <w:r w:rsidR="00607817" w:rsidRPr="00453BD8">
        <w:t xml:space="preserve">perpetrator of CSE. </w:t>
      </w:r>
    </w:p>
    <w:p w14:paraId="486110DC" w14:textId="4ED0B265" w:rsidR="00EA6449" w:rsidRDefault="00EA6449" w:rsidP="004375C5">
      <w:pPr>
        <w:spacing w:line="480" w:lineRule="auto"/>
        <w:jc w:val="both"/>
      </w:pPr>
    </w:p>
    <w:p w14:paraId="6A4CFB61" w14:textId="0C00CB8F" w:rsidR="0006276D" w:rsidRDefault="00691A89" w:rsidP="004375C5">
      <w:pPr>
        <w:spacing w:line="480" w:lineRule="auto"/>
        <w:jc w:val="both"/>
      </w:pPr>
      <w:r>
        <w:t xml:space="preserve">While such a set of structures and principles </w:t>
      </w:r>
      <w:r w:rsidR="008F447E">
        <w:t xml:space="preserve">is defensible </w:t>
      </w:r>
      <w:r>
        <w:t xml:space="preserve">in theory, </w:t>
      </w:r>
      <w:r w:rsidR="000F0217">
        <w:t>the way in which these public health approaches were operationalised raise</w:t>
      </w:r>
      <w:r>
        <w:t>s</w:t>
      </w:r>
      <w:r w:rsidR="000F0217">
        <w:t xml:space="preserve"> </w:t>
      </w:r>
      <w:proofErr w:type="gramStart"/>
      <w:r w:rsidR="000F0217">
        <w:t>a number of</w:t>
      </w:r>
      <w:proofErr w:type="gramEnd"/>
      <w:r w:rsidR="000F0217">
        <w:t xml:space="preserve"> </w:t>
      </w:r>
      <w:r w:rsidR="00B4696B">
        <w:t xml:space="preserve">important </w:t>
      </w:r>
      <w:r w:rsidR="00506B70">
        <w:t>issues</w:t>
      </w:r>
      <w:r w:rsidR="00B4696B">
        <w:t xml:space="preserve"> that are worthy of </w:t>
      </w:r>
      <w:r>
        <w:t xml:space="preserve">further </w:t>
      </w:r>
      <w:r w:rsidR="00B4696B">
        <w:t xml:space="preserve">consideration. </w:t>
      </w:r>
      <w:r w:rsidR="00FA7456" w:rsidRPr="0042011E">
        <w:t>C</w:t>
      </w:r>
      <w:r w:rsidR="00CA2823" w:rsidRPr="0042011E">
        <w:t>entral</w:t>
      </w:r>
      <w:r w:rsidR="00CA2823">
        <w:t xml:space="preserve"> to </w:t>
      </w:r>
      <w:r w:rsidR="00622F8E">
        <w:t xml:space="preserve">a public health approach </w:t>
      </w:r>
      <w:r w:rsidR="00CA2823">
        <w:t>is the role of surveillance</w:t>
      </w:r>
      <w:r w:rsidR="004D4A93">
        <w:t xml:space="preserve"> </w:t>
      </w:r>
      <w:r w:rsidR="00DE488D">
        <w:t>data</w:t>
      </w:r>
      <w:r w:rsidR="00BE6301">
        <w:t>,</w:t>
      </w:r>
      <w:r w:rsidR="00DE488D">
        <w:t xml:space="preserve"> </w:t>
      </w:r>
      <w:r w:rsidR="004D4A93">
        <w:t xml:space="preserve">which </w:t>
      </w:r>
      <w:r w:rsidR="00653036">
        <w:t>provides the scientific and factual data essential to inform decision making and approp</w:t>
      </w:r>
      <w:r w:rsidR="00AE1E1C">
        <w:t>riate action</w:t>
      </w:r>
      <w:r w:rsidR="00CB7DA8">
        <w:t xml:space="preserve"> (Nsu</w:t>
      </w:r>
      <w:r w:rsidR="00731B85">
        <w:t>buga, et al</w:t>
      </w:r>
      <w:r w:rsidR="00AE1E1C">
        <w:t>.</w:t>
      </w:r>
      <w:r w:rsidR="00731B85">
        <w:t xml:space="preserve"> 2006).</w:t>
      </w:r>
      <w:r w:rsidR="00621F1F">
        <w:t xml:space="preserve"> Often used to monitor trends, detect </w:t>
      </w:r>
      <w:proofErr w:type="gramStart"/>
      <w:r w:rsidR="00621F1F">
        <w:t>irregularities</w:t>
      </w:r>
      <w:proofErr w:type="gramEnd"/>
      <w:r w:rsidR="0035145A">
        <w:t xml:space="preserve"> and inform practice</w:t>
      </w:r>
      <w:r w:rsidR="00E6423B">
        <w:t xml:space="preserve"> (</w:t>
      </w:r>
      <w:proofErr w:type="spellStart"/>
      <w:r w:rsidR="00E6423B">
        <w:t>Declich</w:t>
      </w:r>
      <w:proofErr w:type="spellEnd"/>
      <w:r w:rsidR="00E6423B">
        <w:t xml:space="preserve"> and Carter, 1994)</w:t>
      </w:r>
      <w:r w:rsidR="0035145A">
        <w:t>, surveillance</w:t>
      </w:r>
      <w:r w:rsidR="00090001">
        <w:t xml:space="preserve"> data</w:t>
      </w:r>
      <w:r w:rsidR="0035145A">
        <w:t xml:space="preserve"> allows practitioners to </w:t>
      </w:r>
      <w:r w:rsidR="00687056">
        <w:t>implement evidence-based interventions that are aligned to the prevalence</w:t>
      </w:r>
      <w:r w:rsidR="0069637B">
        <w:t xml:space="preserve">, incidence and </w:t>
      </w:r>
      <w:r w:rsidR="008D5834">
        <w:t>related risk behaviours</w:t>
      </w:r>
      <w:r w:rsidR="00687056">
        <w:t xml:space="preserve"> of </w:t>
      </w:r>
      <w:r w:rsidR="008D5834">
        <w:t xml:space="preserve">a </w:t>
      </w:r>
      <w:r w:rsidR="00687056">
        <w:t xml:space="preserve">given </w:t>
      </w:r>
      <w:r w:rsidR="008D5834">
        <w:t>problem</w:t>
      </w:r>
      <w:r w:rsidR="00444B4B">
        <w:t xml:space="preserve">. </w:t>
      </w:r>
      <w:r w:rsidR="007F38F9">
        <w:t xml:space="preserve">However, </w:t>
      </w:r>
      <w:r w:rsidR="009F64A7">
        <w:t xml:space="preserve">rather than using </w:t>
      </w:r>
      <w:r w:rsidR="00E94290">
        <w:t>data in a way that would focus their activity on communities that are</w:t>
      </w:r>
      <w:r w:rsidR="009F64A7">
        <w:t xml:space="preserve"> statistically more likely to include victims</w:t>
      </w:r>
      <w:r w:rsidR="009B71D4">
        <w:t>,</w:t>
      </w:r>
      <w:r w:rsidR="009F64A7">
        <w:t xml:space="preserve"> </w:t>
      </w:r>
      <w:r w:rsidR="007F38F9">
        <w:t xml:space="preserve">the </w:t>
      </w:r>
      <w:r w:rsidR="00137829">
        <w:t xml:space="preserve">approach adopted by the multi-agency </w:t>
      </w:r>
      <w:r w:rsidR="00CD2519">
        <w:t xml:space="preserve">team </w:t>
      </w:r>
      <w:r w:rsidR="003D2847">
        <w:t xml:space="preserve">referred to in this paper </w:t>
      </w:r>
      <w:r w:rsidR="009B71D4">
        <w:t xml:space="preserve">was to assume that </w:t>
      </w:r>
      <w:proofErr w:type="gramStart"/>
      <w:r w:rsidR="009B71D4">
        <w:t>each and every</w:t>
      </w:r>
      <w:proofErr w:type="gramEnd"/>
      <w:r w:rsidR="009B71D4">
        <w:t xml:space="preserve"> life was at risk in some way</w:t>
      </w:r>
      <w:r>
        <w:t xml:space="preserve"> or other</w:t>
      </w:r>
      <w:r w:rsidR="00781683">
        <w:t xml:space="preserve">. </w:t>
      </w:r>
      <w:r w:rsidR="00356419">
        <w:t>O</w:t>
      </w:r>
      <w:r w:rsidR="00781683">
        <w:t xml:space="preserve">bserved was the implementation of a population level approach that </w:t>
      </w:r>
      <w:r w:rsidR="00861B6A">
        <w:t xml:space="preserve">deemed every young person ‘at risk’ or ‘risky’ and thus </w:t>
      </w:r>
      <w:r w:rsidR="007D4A36">
        <w:t xml:space="preserve">potentially </w:t>
      </w:r>
      <w:r w:rsidR="00861B6A">
        <w:t>in need of some level of intervention.</w:t>
      </w:r>
      <w:r w:rsidR="00FA7456">
        <w:t xml:space="preserve"> As the data presented above illustrates, </w:t>
      </w:r>
      <w:r w:rsidR="00AF2F9E">
        <w:t xml:space="preserve">the implications of this approach </w:t>
      </w:r>
      <w:r w:rsidR="00A2421C">
        <w:t>are twofold</w:t>
      </w:r>
      <w:r w:rsidR="007D4A36">
        <w:t xml:space="preserve">, pertaining first to </w:t>
      </w:r>
      <w:r w:rsidR="00C27598">
        <w:t>in</w:t>
      </w:r>
      <w:r w:rsidR="007D4A36">
        <w:t xml:space="preserve">consistent trajectory and objectives and, second, to </w:t>
      </w:r>
      <w:r w:rsidR="005C7244">
        <w:t>issues around transparency, data sharing and surveillance.</w:t>
      </w:r>
      <w:r w:rsidR="007D4A36">
        <w:t xml:space="preserve"> </w:t>
      </w:r>
    </w:p>
    <w:p w14:paraId="6AAE1EB6" w14:textId="2F745750" w:rsidR="0006276D" w:rsidRDefault="0006276D" w:rsidP="004375C5">
      <w:pPr>
        <w:spacing w:line="480" w:lineRule="auto"/>
        <w:jc w:val="both"/>
      </w:pPr>
    </w:p>
    <w:p w14:paraId="26C39F82" w14:textId="7261BC77" w:rsidR="007D053D" w:rsidRDefault="0006276D" w:rsidP="004375C5">
      <w:pPr>
        <w:spacing w:line="480" w:lineRule="auto"/>
        <w:jc w:val="both"/>
      </w:pPr>
      <w:r>
        <w:t>Firstly, the multi-agency team appear</w:t>
      </w:r>
      <w:r w:rsidR="00691469">
        <w:t>ed</w:t>
      </w:r>
      <w:r>
        <w:t xml:space="preserve"> to overlook </w:t>
      </w:r>
      <w:r>
        <w:rPr>
          <w:color w:val="000000" w:themeColor="text1"/>
        </w:rPr>
        <w:t xml:space="preserve">evidence that would help to focus their intervention activity in ‘the soil in which the children vulnerable to CSE breed’. </w:t>
      </w:r>
      <w:r w:rsidRPr="00614DF3">
        <w:rPr>
          <w:color w:val="000000" w:themeColor="text1"/>
        </w:rPr>
        <w:t xml:space="preserve">Despite being a multi-agency team set up to deliver </w:t>
      </w:r>
      <w:r>
        <w:rPr>
          <w:color w:val="000000" w:themeColor="text1"/>
        </w:rPr>
        <w:t xml:space="preserve">both </w:t>
      </w:r>
      <w:r w:rsidRPr="00614DF3">
        <w:rPr>
          <w:color w:val="000000" w:themeColor="text1"/>
        </w:rPr>
        <w:t>primary</w:t>
      </w:r>
      <w:r>
        <w:rPr>
          <w:color w:val="000000" w:themeColor="text1"/>
        </w:rPr>
        <w:t xml:space="preserve"> and secondary</w:t>
      </w:r>
      <w:r w:rsidRPr="00614DF3">
        <w:rPr>
          <w:color w:val="000000" w:themeColor="text1"/>
        </w:rPr>
        <w:t xml:space="preserve"> interventions that would help to prevent CSE</w:t>
      </w:r>
      <w:r>
        <w:rPr>
          <w:color w:val="000000" w:themeColor="text1"/>
        </w:rPr>
        <w:t xml:space="preserve"> and respond to it in situations where it had occurred</w:t>
      </w:r>
      <w:r w:rsidRPr="00614DF3">
        <w:rPr>
          <w:color w:val="000000" w:themeColor="text1"/>
        </w:rPr>
        <w:t xml:space="preserve">, the population </w:t>
      </w:r>
      <w:r>
        <w:rPr>
          <w:color w:val="000000" w:themeColor="text1"/>
        </w:rPr>
        <w:t xml:space="preserve">level </w:t>
      </w:r>
      <w:r w:rsidRPr="00614DF3">
        <w:rPr>
          <w:color w:val="000000" w:themeColor="text1"/>
        </w:rPr>
        <w:t xml:space="preserve">approach adopted by practitioners favoured interventions aimed at </w:t>
      </w:r>
      <w:r w:rsidRPr="00614DF3">
        <w:rPr>
          <w:i/>
          <w:iCs/>
          <w:color w:val="000000" w:themeColor="text1"/>
        </w:rPr>
        <w:t>potential</w:t>
      </w:r>
      <w:r w:rsidRPr="00614DF3">
        <w:rPr>
          <w:color w:val="000000" w:themeColor="text1"/>
        </w:rPr>
        <w:t xml:space="preserve"> victims and/or </w:t>
      </w:r>
      <w:r w:rsidRPr="00614DF3">
        <w:rPr>
          <w:i/>
          <w:iCs/>
          <w:color w:val="000000" w:themeColor="text1"/>
        </w:rPr>
        <w:lastRenderedPageBreak/>
        <w:t>potential</w:t>
      </w:r>
      <w:r w:rsidRPr="00614DF3">
        <w:rPr>
          <w:color w:val="000000" w:themeColor="text1"/>
        </w:rPr>
        <w:t xml:space="preserve"> offenders and those thought </w:t>
      </w:r>
      <w:r>
        <w:rPr>
          <w:color w:val="000000" w:themeColor="text1"/>
        </w:rPr>
        <w:t xml:space="preserve">to </w:t>
      </w:r>
      <w:r w:rsidRPr="00614DF3">
        <w:rPr>
          <w:color w:val="000000" w:themeColor="text1"/>
        </w:rPr>
        <w:t>be at ‘lower risk’</w:t>
      </w:r>
      <w:r>
        <w:rPr>
          <w:color w:val="000000" w:themeColor="text1"/>
        </w:rPr>
        <w:t>, detracting practitioners’ attention away from those who may actually be in tangible need of safeguarding.</w:t>
      </w:r>
    </w:p>
    <w:p w14:paraId="779120A7" w14:textId="77777777" w:rsidR="007D053D" w:rsidRDefault="007D053D" w:rsidP="004375C5">
      <w:pPr>
        <w:spacing w:line="480" w:lineRule="auto"/>
        <w:jc w:val="both"/>
      </w:pPr>
    </w:p>
    <w:p w14:paraId="6DC46ECD" w14:textId="77122866" w:rsidR="00975EDD" w:rsidRDefault="007D053D" w:rsidP="009408CE">
      <w:pPr>
        <w:spacing w:line="480" w:lineRule="auto"/>
        <w:jc w:val="both"/>
      </w:pPr>
      <w:r w:rsidRPr="009408CE">
        <w:t>Secondly, and equally as problematic, was the team’s</w:t>
      </w:r>
      <w:r w:rsidR="006C1F92" w:rsidRPr="009408CE">
        <w:t xml:space="preserve"> </w:t>
      </w:r>
      <w:r w:rsidR="009408CE" w:rsidRPr="00596474">
        <w:t xml:space="preserve">approach to </w:t>
      </w:r>
      <w:r w:rsidR="006C1F92" w:rsidRPr="009408CE">
        <w:t xml:space="preserve">data </w:t>
      </w:r>
      <w:r w:rsidR="00AE49BA" w:rsidRPr="009408CE">
        <w:t xml:space="preserve">collection </w:t>
      </w:r>
      <w:r w:rsidR="00975EDD" w:rsidRPr="009408CE">
        <w:rPr>
          <w:color w:val="000000" w:themeColor="text1"/>
        </w:rPr>
        <w:t>a</w:t>
      </w:r>
      <w:r w:rsidR="00975EDD" w:rsidRPr="00E34494">
        <w:rPr>
          <w:color w:val="000000" w:themeColor="text1"/>
        </w:rPr>
        <w:t>nd storage</w:t>
      </w:r>
      <w:r w:rsidR="009408CE">
        <w:rPr>
          <w:color w:val="000000" w:themeColor="text1"/>
        </w:rPr>
        <w:t>.</w:t>
      </w:r>
    </w:p>
    <w:p w14:paraId="6CF6B154" w14:textId="60491FE6" w:rsidR="002A59F5" w:rsidRDefault="00691A89" w:rsidP="004375C5">
      <w:pPr>
        <w:spacing w:line="480" w:lineRule="auto"/>
        <w:jc w:val="both"/>
        <w:rPr>
          <w:color w:val="000000" w:themeColor="text1"/>
        </w:rPr>
      </w:pPr>
      <w:r>
        <w:t>A</w:t>
      </w:r>
      <w:r w:rsidR="00C3027C">
        <w:t xml:space="preserve">ligning with </w:t>
      </w:r>
      <w:r w:rsidR="001C602B">
        <w:t>a</w:t>
      </w:r>
      <w:r w:rsidR="00C3027C">
        <w:t xml:space="preserve"> public health approach </w:t>
      </w:r>
      <w:r>
        <w:t xml:space="preserve">necessitated </w:t>
      </w:r>
      <w:r w:rsidR="00C3027C">
        <w:t xml:space="preserve">the </w:t>
      </w:r>
      <w:r w:rsidR="001E2405">
        <w:t>acknowledge</w:t>
      </w:r>
      <w:r w:rsidR="00C3027C">
        <w:t>ment among practitioners about</w:t>
      </w:r>
      <w:r w:rsidR="001E2405">
        <w:t xml:space="preserve"> the importance of data collection </w:t>
      </w:r>
      <w:r>
        <w:t xml:space="preserve">in </w:t>
      </w:r>
      <w:r w:rsidR="001E2405">
        <w:t>inform</w:t>
      </w:r>
      <w:r>
        <w:t>ing and driving</w:t>
      </w:r>
      <w:r w:rsidR="001E2405">
        <w:t xml:space="preserve"> activity</w:t>
      </w:r>
      <w:r w:rsidR="00C3027C">
        <w:t xml:space="preserve">. </w:t>
      </w:r>
      <w:r w:rsidR="00322ABE">
        <w:t>Yet</w:t>
      </w:r>
      <w:r w:rsidR="005F38B9">
        <w:t xml:space="preserve"> </w:t>
      </w:r>
      <w:r w:rsidR="0088459B">
        <w:t xml:space="preserve">the </w:t>
      </w:r>
      <w:r w:rsidR="00707FB3">
        <w:t xml:space="preserve">implementation of this </w:t>
      </w:r>
      <w:r w:rsidR="0088459B">
        <w:t>approach focused the multi-agency team on the collection of ‘intel’.</w:t>
      </w:r>
      <w:r w:rsidR="005A68C7">
        <w:t xml:space="preserve"> </w:t>
      </w:r>
      <w:r w:rsidR="000F7309" w:rsidRPr="000873E2">
        <w:rPr>
          <w:color w:val="000000" w:themeColor="text1"/>
        </w:rPr>
        <w:t xml:space="preserve">Within the context of the CSE prevention initiatives we examined, </w:t>
      </w:r>
      <w:r w:rsidR="00FC4380">
        <w:rPr>
          <w:color w:val="000000" w:themeColor="text1"/>
        </w:rPr>
        <w:t xml:space="preserve">primary and secondary (brief) interventions were </w:t>
      </w:r>
      <w:r w:rsidR="003C54AC">
        <w:rPr>
          <w:color w:val="000000" w:themeColor="text1"/>
        </w:rPr>
        <w:t xml:space="preserve">thus </w:t>
      </w:r>
      <w:r w:rsidR="005A68C7">
        <w:rPr>
          <w:color w:val="000000" w:themeColor="text1"/>
        </w:rPr>
        <w:t xml:space="preserve">used </w:t>
      </w:r>
      <w:r w:rsidR="000F7309" w:rsidRPr="000873E2">
        <w:rPr>
          <w:color w:val="000000" w:themeColor="text1"/>
        </w:rPr>
        <w:t xml:space="preserve">as apparatus to </w:t>
      </w:r>
      <w:r w:rsidR="005A68C7">
        <w:rPr>
          <w:color w:val="000000" w:themeColor="text1"/>
        </w:rPr>
        <w:t>collect information</w:t>
      </w:r>
      <w:r w:rsidR="000A7859">
        <w:rPr>
          <w:color w:val="000000" w:themeColor="text1"/>
        </w:rPr>
        <w:t xml:space="preserve">, not on the basis that such information would </w:t>
      </w:r>
      <w:r w:rsidR="00F42268">
        <w:rPr>
          <w:color w:val="000000" w:themeColor="text1"/>
        </w:rPr>
        <w:t>help inform</w:t>
      </w:r>
      <w:r w:rsidR="00F42268" w:rsidRPr="00F42268">
        <w:rPr>
          <w:color w:val="000000" w:themeColor="text1"/>
        </w:rPr>
        <w:t xml:space="preserve"> </w:t>
      </w:r>
      <w:r w:rsidR="00F42268" w:rsidRPr="00FC0787">
        <w:rPr>
          <w:color w:val="000000" w:themeColor="text1"/>
        </w:rPr>
        <w:t>preventative activity</w:t>
      </w:r>
      <w:r w:rsidR="008F447E">
        <w:rPr>
          <w:color w:val="000000" w:themeColor="text1"/>
        </w:rPr>
        <w:t>,</w:t>
      </w:r>
      <w:r w:rsidR="00447685">
        <w:rPr>
          <w:color w:val="000000" w:themeColor="text1"/>
        </w:rPr>
        <w:t xml:space="preserve"> but </w:t>
      </w:r>
      <w:r w:rsidR="008F447E">
        <w:rPr>
          <w:color w:val="000000" w:themeColor="text1"/>
        </w:rPr>
        <w:t xml:space="preserve">rather </w:t>
      </w:r>
      <w:r w:rsidR="00447685">
        <w:rPr>
          <w:color w:val="000000" w:themeColor="text1"/>
        </w:rPr>
        <w:t>on the basis that it m</w:t>
      </w:r>
      <w:r w:rsidR="008F447E">
        <w:rPr>
          <w:color w:val="000000" w:themeColor="text1"/>
        </w:rPr>
        <w:t>ay</w:t>
      </w:r>
      <w:r w:rsidR="00447685">
        <w:rPr>
          <w:color w:val="000000" w:themeColor="text1"/>
        </w:rPr>
        <w:t xml:space="preserve"> </w:t>
      </w:r>
      <w:r w:rsidR="00346459">
        <w:rPr>
          <w:color w:val="000000" w:themeColor="text1"/>
        </w:rPr>
        <w:t xml:space="preserve">help to identify criminal activity. </w:t>
      </w:r>
      <w:r w:rsidR="008F447E">
        <w:rPr>
          <w:color w:val="000000" w:themeColor="text1"/>
        </w:rPr>
        <w:t xml:space="preserve">This </w:t>
      </w:r>
      <w:r w:rsidR="00346459">
        <w:rPr>
          <w:color w:val="000000" w:themeColor="text1"/>
        </w:rPr>
        <w:t xml:space="preserve">approach </w:t>
      </w:r>
      <w:r w:rsidR="008F447E">
        <w:rPr>
          <w:color w:val="000000" w:themeColor="text1"/>
        </w:rPr>
        <w:t xml:space="preserve">encourages </w:t>
      </w:r>
      <w:r w:rsidR="003426C0">
        <w:rPr>
          <w:color w:val="000000" w:themeColor="text1"/>
        </w:rPr>
        <w:t xml:space="preserve">the subjectification of all young people to increasing forms of surveillance and </w:t>
      </w:r>
      <w:r w:rsidR="008F447E">
        <w:rPr>
          <w:color w:val="000000" w:themeColor="text1"/>
        </w:rPr>
        <w:t>may unduly expose</w:t>
      </w:r>
      <w:r w:rsidR="003426C0">
        <w:rPr>
          <w:color w:val="000000" w:themeColor="text1"/>
        </w:rPr>
        <w:t xml:space="preserve"> </w:t>
      </w:r>
      <w:r w:rsidR="00003523">
        <w:rPr>
          <w:color w:val="000000" w:themeColor="text1"/>
        </w:rPr>
        <w:t>them to the</w:t>
      </w:r>
      <w:r w:rsidR="008F447E">
        <w:rPr>
          <w:color w:val="000000" w:themeColor="text1"/>
        </w:rPr>
        <w:t xml:space="preserve"> apparatus of the</w:t>
      </w:r>
      <w:r w:rsidR="00003523">
        <w:rPr>
          <w:color w:val="000000" w:themeColor="text1"/>
        </w:rPr>
        <w:t xml:space="preserve"> criminal justice system</w:t>
      </w:r>
      <w:r w:rsidR="008F447E">
        <w:rPr>
          <w:color w:val="000000" w:themeColor="text1"/>
        </w:rPr>
        <w:t>.</w:t>
      </w:r>
    </w:p>
    <w:p w14:paraId="490D9176" w14:textId="64D79C7E" w:rsidR="00D80FA8" w:rsidRPr="00553AF2" w:rsidRDefault="00965728" w:rsidP="00DF1F99">
      <w:pPr>
        <w:pStyle w:val="NormalWeb"/>
        <w:spacing w:line="480" w:lineRule="auto"/>
        <w:ind w:right="89"/>
        <w:jc w:val="both"/>
        <w:rPr>
          <w:color w:val="000000" w:themeColor="text1"/>
        </w:rPr>
      </w:pPr>
      <w:r w:rsidRPr="0075251C">
        <w:rPr>
          <w:color w:val="000000" w:themeColor="text1"/>
        </w:rPr>
        <w:t xml:space="preserve">There is no doubt that </w:t>
      </w:r>
      <w:r w:rsidR="00A20B08" w:rsidRPr="0075251C">
        <w:rPr>
          <w:color w:val="000000" w:themeColor="text1"/>
        </w:rPr>
        <w:t xml:space="preserve">public health approaches to crime prevention </w:t>
      </w:r>
      <w:r w:rsidR="000C1446" w:rsidRPr="0075251C">
        <w:rPr>
          <w:color w:val="000000" w:themeColor="text1"/>
        </w:rPr>
        <w:t xml:space="preserve">might </w:t>
      </w:r>
      <w:r w:rsidR="00A20B08" w:rsidRPr="0075251C">
        <w:rPr>
          <w:color w:val="000000" w:themeColor="text1"/>
        </w:rPr>
        <w:t>be beneficial</w:t>
      </w:r>
      <w:r w:rsidR="000C1446" w:rsidRPr="0075251C">
        <w:rPr>
          <w:color w:val="000000" w:themeColor="text1"/>
        </w:rPr>
        <w:t xml:space="preserve">, particularly when used to identify and address the complex </w:t>
      </w:r>
      <w:r w:rsidR="000C6F82" w:rsidRPr="0075251C">
        <w:rPr>
          <w:color w:val="000000" w:themeColor="text1"/>
        </w:rPr>
        <w:t xml:space="preserve">causal system of crime that goes beyond an offenders’ motivations, </w:t>
      </w:r>
      <w:proofErr w:type="gramStart"/>
      <w:r w:rsidR="000C6F82" w:rsidRPr="0075251C">
        <w:rPr>
          <w:color w:val="000000" w:themeColor="text1"/>
        </w:rPr>
        <w:t>intentions</w:t>
      </w:r>
      <w:proofErr w:type="gramEnd"/>
      <w:r w:rsidR="000C6F82" w:rsidRPr="0075251C">
        <w:rPr>
          <w:color w:val="000000" w:themeColor="text1"/>
        </w:rPr>
        <w:t xml:space="preserve"> and character (Moore, 1995). Yet</w:t>
      </w:r>
      <w:r w:rsidR="008F447E">
        <w:rPr>
          <w:color w:val="000000" w:themeColor="text1"/>
        </w:rPr>
        <w:t xml:space="preserve">, in this context of application at least, </w:t>
      </w:r>
      <w:r w:rsidR="00603E85" w:rsidRPr="0075251C">
        <w:rPr>
          <w:color w:val="000000" w:themeColor="text1"/>
        </w:rPr>
        <w:t xml:space="preserve">the </w:t>
      </w:r>
      <w:r w:rsidR="005772B3" w:rsidRPr="0075251C">
        <w:rPr>
          <w:color w:val="000000" w:themeColor="text1"/>
        </w:rPr>
        <w:t xml:space="preserve">activity adopted in </w:t>
      </w:r>
      <w:proofErr w:type="spellStart"/>
      <w:r w:rsidR="00A862D0">
        <w:rPr>
          <w:color w:val="000000" w:themeColor="text1"/>
        </w:rPr>
        <w:t>Midshire</w:t>
      </w:r>
      <w:proofErr w:type="spellEnd"/>
      <w:r w:rsidR="005772B3" w:rsidRPr="0075251C">
        <w:rPr>
          <w:color w:val="000000" w:themeColor="text1"/>
        </w:rPr>
        <w:t xml:space="preserve"> to prevent CSE suggests that </w:t>
      </w:r>
      <w:r w:rsidR="00020303" w:rsidRPr="0075251C">
        <w:rPr>
          <w:color w:val="000000" w:themeColor="text1"/>
        </w:rPr>
        <w:t xml:space="preserve">the </w:t>
      </w:r>
      <w:r w:rsidR="00E6045C" w:rsidRPr="0075251C">
        <w:rPr>
          <w:color w:val="000000" w:themeColor="text1"/>
        </w:rPr>
        <w:t xml:space="preserve">operationalisation of these approaches </w:t>
      </w:r>
      <w:r w:rsidR="008F447E">
        <w:rPr>
          <w:color w:val="000000" w:themeColor="text1"/>
        </w:rPr>
        <w:t xml:space="preserve">does not readily align with </w:t>
      </w:r>
      <w:r w:rsidR="00020303" w:rsidRPr="0075251C">
        <w:rPr>
          <w:color w:val="000000" w:themeColor="text1"/>
        </w:rPr>
        <w:t xml:space="preserve">achieving these goals. </w:t>
      </w:r>
      <w:r w:rsidR="005D2F7F" w:rsidRPr="0075251C">
        <w:rPr>
          <w:color w:val="000000" w:themeColor="text1"/>
        </w:rPr>
        <w:t>A public health approach suggests that a much more developed insight into the deep-rooted causes of crime</w:t>
      </w:r>
      <w:r w:rsidR="005D2F7F">
        <w:rPr>
          <w:color w:val="000000" w:themeColor="text1"/>
        </w:rPr>
        <w:t>, smarter use of data and working across organisational boundaries will take place</w:t>
      </w:r>
      <w:r w:rsidR="003638CD">
        <w:rPr>
          <w:color w:val="000000" w:themeColor="text1"/>
        </w:rPr>
        <w:t xml:space="preserve"> but</w:t>
      </w:r>
      <w:r w:rsidR="00183DAF">
        <w:rPr>
          <w:color w:val="000000" w:themeColor="text1"/>
        </w:rPr>
        <w:t>,</w:t>
      </w:r>
      <w:r w:rsidR="003638CD">
        <w:rPr>
          <w:color w:val="000000" w:themeColor="text1"/>
        </w:rPr>
        <w:t xml:space="preserve"> </w:t>
      </w:r>
      <w:r w:rsidR="009B7E2A">
        <w:rPr>
          <w:color w:val="000000" w:themeColor="text1"/>
        </w:rPr>
        <w:t>in the</w:t>
      </w:r>
      <w:r w:rsidR="008F447E">
        <w:rPr>
          <w:color w:val="000000" w:themeColor="text1"/>
        </w:rPr>
        <w:t xml:space="preserve"> case under study</w:t>
      </w:r>
      <w:r w:rsidR="00183DAF">
        <w:rPr>
          <w:color w:val="000000" w:themeColor="text1"/>
        </w:rPr>
        <w:t>,</w:t>
      </w:r>
      <w:r w:rsidR="009B7E2A">
        <w:rPr>
          <w:color w:val="000000" w:themeColor="text1"/>
        </w:rPr>
        <w:t xml:space="preserve"> </w:t>
      </w:r>
      <w:r w:rsidR="003638CD">
        <w:rPr>
          <w:color w:val="000000" w:themeColor="text1"/>
        </w:rPr>
        <w:t xml:space="preserve">there was little evidence </w:t>
      </w:r>
      <w:r w:rsidR="00076C76">
        <w:rPr>
          <w:color w:val="000000" w:themeColor="text1"/>
        </w:rPr>
        <w:t xml:space="preserve">to suggest that </w:t>
      </w:r>
      <w:r w:rsidR="003148B1">
        <w:rPr>
          <w:color w:val="000000" w:themeColor="text1"/>
        </w:rPr>
        <w:t>this was</w:t>
      </w:r>
      <w:r w:rsidR="008F447E">
        <w:rPr>
          <w:color w:val="000000" w:themeColor="text1"/>
        </w:rPr>
        <w:t xml:space="preserve"> occur</w:t>
      </w:r>
      <w:r w:rsidR="005C7244">
        <w:rPr>
          <w:color w:val="000000" w:themeColor="text1"/>
        </w:rPr>
        <w:t>r</w:t>
      </w:r>
      <w:r w:rsidR="008F447E">
        <w:rPr>
          <w:color w:val="000000" w:themeColor="text1"/>
        </w:rPr>
        <w:t>ing</w:t>
      </w:r>
      <w:r w:rsidR="00076C76">
        <w:rPr>
          <w:color w:val="000000" w:themeColor="text1"/>
        </w:rPr>
        <w:t xml:space="preserve">. </w:t>
      </w:r>
      <w:r w:rsidR="00876418">
        <w:rPr>
          <w:color w:val="000000" w:themeColor="text1"/>
        </w:rPr>
        <w:t>While emphasis was placed on data</w:t>
      </w:r>
      <w:r w:rsidR="005C7244">
        <w:rPr>
          <w:color w:val="000000" w:themeColor="text1"/>
        </w:rPr>
        <w:t xml:space="preserve"> gathering</w:t>
      </w:r>
      <w:r w:rsidR="00876418">
        <w:rPr>
          <w:color w:val="000000" w:themeColor="text1"/>
        </w:rPr>
        <w:t xml:space="preserve">, </w:t>
      </w:r>
      <w:r w:rsidR="001344F6" w:rsidRPr="005C7244">
        <w:rPr>
          <w:color w:val="000000" w:themeColor="text1"/>
        </w:rPr>
        <w:t>how</w:t>
      </w:r>
      <w:r w:rsidR="001344F6">
        <w:rPr>
          <w:color w:val="000000" w:themeColor="text1"/>
        </w:rPr>
        <w:t xml:space="preserve"> the data </w:t>
      </w:r>
      <w:r w:rsidR="005C7244">
        <w:rPr>
          <w:color w:val="000000" w:themeColor="text1"/>
        </w:rPr>
        <w:t xml:space="preserve">was </w:t>
      </w:r>
      <w:r w:rsidR="001344F6">
        <w:rPr>
          <w:color w:val="000000" w:themeColor="text1"/>
        </w:rPr>
        <w:t>collected</w:t>
      </w:r>
      <w:r w:rsidR="005C7244">
        <w:rPr>
          <w:color w:val="000000" w:themeColor="text1"/>
        </w:rPr>
        <w:t xml:space="preserve"> and whether transparency was adhered to in terms of informed consent for data storage and data sharing remains a moot point. Further, </w:t>
      </w:r>
      <w:proofErr w:type="gramStart"/>
      <w:r w:rsidR="005C7244">
        <w:rPr>
          <w:color w:val="000000" w:themeColor="text1"/>
        </w:rPr>
        <w:t>in order to</w:t>
      </w:r>
      <w:proofErr w:type="gramEnd"/>
      <w:r w:rsidR="005C7244">
        <w:rPr>
          <w:color w:val="000000" w:themeColor="text1"/>
        </w:rPr>
        <w:t xml:space="preserve"> be put to effective use, data gathered from young people should be evaluated alongside </w:t>
      </w:r>
      <w:r w:rsidR="008F447E">
        <w:rPr>
          <w:color w:val="000000" w:themeColor="text1"/>
        </w:rPr>
        <w:t xml:space="preserve">systemic </w:t>
      </w:r>
      <w:r w:rsidR="00877314">
        <w:rPr>
          <w:color w:val="000000" w:themeColor="text1"/>
        </w:rPr>
        <w:t>factors</w:t>
      </w:r>
      <w:r w:rsidR="00CE499E">
        <w:rPr>
          <w:color w:val="000000" w:themeColor="text1"/>
        </w:rPr>
        <w:t xml:space="preserve">, such as discrimination, poverty and </w:t>
      </w:r>
      <w:r w:rsidR="00CE499E">
        <w:rPr>
          <w:color w:val="000000" w:themeColor="text1"/>
        </w:rPr>
        <w:lastRenderedPageBreak/>
        <w:t>structural disadvantage</w:t>
      </w:r>
      <w:r w:rsidR="006D5856">
        <w:rPr>
          <w:color w:val="000000" w:themeColor="text1"/>
        </w:rPr>
        <w:t xml:space="preserve">, which are </w:t>
      </w:r>
      <w:r w:rsidR="006D5856" w:rsidRPr="001C265B">
        <w:rPr>
          <w:color w:val="000000" w:themeColor="text1"/>
        </w:rPr>
        <w:t xml:space="preserve">acknowledged widely </w:t>
      </w:r>
      <w:r w:rsidR="005C7244">
        <w:rPr>
          <w:color w:val="000000" w:themeColor="text1"/>
        </w:rPr>
        <w:t>as salient factors associated with</w:t>
      </w:r>
      <w:r w:rsidR="006D5856" w:rsidRPr="001C265B">
        <w:rPr>
          <w:color w:val="000000" w:themeColor="text1"/>
        </w:rPr>
        <w:t xml:space="preserve"> youth crime and (sexual) violence </w:t>
      </w:r>
      <w:r w:rsidR="006D5856" w:rsidRPr="00CF2F2B">
        <w:rPr>
          <w:color w:val="000000" w:themeColor="text1"/>
        </w:rPr>
        <w:t>(</w:t>
      </w:r>
      <w:r w:rsidR="001C265B" w:rsidRPr="00CF2F2B">
        <w:rPr>
          <w:color w:val="000000" w:themeColor="text1"/>
        </w:rPr>
        <w:t>Goldson and Muncie, 2015</w:t>
      </w:r>
      <w:r w:rsidR="006D5856" w:rsidRPr="00CF2F2B">
        <w:rPr>
          <w:color w:val="000000" w:themeColor="text1"/>
        </w:rPr>
        <w:t>)</w:t>
      </w:r>
      <w:r w:rsidR="008264CD" w:rsidRPr="00CF2F2B">
        <w:rPr>
          <w:color w:val="000000" w:themeColor="text1"/>
        </w:rPr>
        <w:t>.</w:t>
      </w:r>
      <w:r w:rsidR="0036583F" w:rsidRPr="001C265B">
        <w:rPr>
          <w:color w:val="000000" w:themeColor="text1"/>
        </w:rPr>
        <w:t xml:space="preserve"> </w:t>
      </w:r>
      <w:r w:rsidR="008264CD" w:rsidRPr="001C265B">
        <w:rPr>
          <w:color w:val="000000" w:themeColor="text1"/>
        </w:rPr>
        <w:t>Instead</w:t>
      </w:r>
      <w:r w:rsidR="008264CD">
        <w:rPr>
          <w:color w:val="000000" w:themeColor="text1"/>
        </w:rPr>
        <w:t xml:space="preserve">, the </w:t>
      </w:r>
      <w:r w:rsidR="00083D6F">
        <w:rPr>
          <w:color w:val="000000" w:themeColor="text1"/>
        </w:rPr>
        <w:t>population approach adopted by the multi-agency team</w:t>
      </w:r>
      <w:r w:rsidR="00FA7503">
        <w:rPr>
          <w:color w:val="000000" w:themeColor="text1"/>
        </w:rPr>
        <w:t>,</w:t>
      </w:r>
      <w:r w:rsidR="00083D6F">
        <w:rPr>
          <w:color w:val="000000" w:themeColor="text1"/>
        </w:rPr>
        <w:t xml:space="preserve"> alongside the working assumptions that </w:t>
      </w:r>
      <w:proofErr w:type="gramStart"/>
      <w:r w:rsidR="00BE782C">
        <w:t>each and every</w:t>
      </w:r>
      <w:proofErr w:type="gramEnd"/>
      <w:r w:rsidR="00BE782C">
        <w:t xml:space="preserve"> life was at risk in some way</w:t>
      </w:r>
      <w:r w:rsidR="00FA7503">
        <w:t>,</w:t>
      </w:r>
      <w:r w:rsidR="00BE782C">
        <w:t xml:space="preserve"> </w:t>
      </w:r>
      <w:r w:rsidR="008F447E">
        <w:t xml:space="preserve">served </w:t>
      </w:r>
      <w:r w:rsidR="00BE782C">
        <w:t xml:space="preserve">to </w:t>
      </w:r>
      <w:r w:rsidR="00937409">
        <w:t xml:space="preserve">individualise, </w:t>
      </w:r>
      <w:r w:rsidR="008F447E">
        <w:t>rather than be</w:t>
      </w:r>
      <w:r w:rsidR="005C7244">
        <w:t xml:space="preserve"> </w:t>
      </w:r>
      <w:r w:rsidR="008F447E">
        <w:t xml:space="preserve">appreciative of </w:t>
      </w:r>
      <w:r w:rsidR="003459A1">
        <w:t xml:space="preserve">the </w:t>
      </w:r>
      <w:r w:rsidR="00937409">
        <w:t xml:space="preserve">material conditions and inequalities that </w:t>
      </w:r>
      <w:r w:rsidR="005C7244">
        <w:t xml:space="preserve">inform, </w:t>
      </w:r>
      <w:r w:rsidR="00937409">
        <w:t>shape and structure young people’s behaviour.</w:t>
      </w:r>
      <w:r w:rsidR="00906CE0">
        <w:t xml:space="preserve"> </w:t>
      </w:r>
      <w:r w:rsidR="00BF0E9E">
        <w:t>Although often perceived negatively, t</w:t>
      </w:r>
      <w:r w:rsidR="004A5AE6">
        <w:t xml:space="preserve">he demand that public health </w:t>
      </w:r>
      <w:r w:rsidR="00840EFA">
        <w:t xml:space="preserve">approaches </w:t>
      </w:r>
      <w:r w:rsidR="004A5AE6">
        <w:t xml:space="preserve">place on surveillance </w:t>
      </w:r>
      <w:r w:rsidR="00BF0E9E">
        <w:t xml:space="preserve">data </w:t>
      </w:r>
      <w:r w:rsidR="004A5AE6">
        <w:t xml:space="preserve">that systematically report on cases </w:t>
      </w:r>
      <w:r w:rsidR="004A5AE6">
        <w:rPr>
          <w:color w:val="000000" w:themeColor="text1"/>
        </w:rPr>
        <w:t xml:space="preserve">may work in the interests of both care and control (Lyon, 2006). </w:t>
      </w:r>
      <w:r w:rsidR="004A5AE6" w:rsidRPr="008E6C85">
        <w:t xml:space="preserve">Although surveillance is effectively being watched with a certain purpose in mind, which can often be controlling and disciplining the subject into certain behaviour or set of norms, it </w:t>
      </w:r>
      <w:r w:rsidR="004A5AE6">
        <w:t xml:space="preserve">might </w:t>
      </w:r>
      <w:r w:rsidR="004A5AE6" w:rsidRPr="008E6C85">
        <w:t xml:space="preserve">also work to protect and care for the subject. </w:t>
      </w:r>
      <w:r w:rsidR="004A5AE6" w:rsidRPr="005654FE">
        <w:t xml:space="preserve">Despite having long-established constitutional systems of government that are ostensibly committed to liberal democracy, responses to COVID-19 in both the UK and US </w:t>
      </w:r>
      <w:r w:rsidR="006E6AD9">
        <w:t xml:space="preserve">have not only </w:t>
      </w:r>
      <w:r w:rsidR="000D688A">
        <w:t xml:space="preserve">included a withdrawal of freedoms but </w:t>
      </w:r>
      <w:r w:rsidR="004A5AE6" w:rsidRPr="005654FE">
        <w:t xml:space="preserve">revealed the extent to which people are willing to give up their civil liberties in favour of </w:t>
      </w:r>
      <w:r w:rsidR="008F447E">
        <w:t xml:space="preserve">perceived </w:t>
      </w:r>
      <w:r w:rsidR="004A5AE6" w:rsidRPr="005654FE">
        <w:t>security and protection (</w:t>
      </w:r>
      <w:r w:rsidR="008F447E">
        <w:t xml:space="preserve">see </w:t>
      </w:r>
      <w:r w:rsidR="004A5AE6" w:rsidRPr="005654FE">
        <w:t xml:space="preserve">Arceneaux, et al. 2020; </w:t>
      </w:r>
      <w:proofErr w:type="spellStart"/>
      <w:r w:rsidR="004A5AE6" w:rsidRPr="005654FE">
        <w:t>Alsan</w:t>
      </w:r>
      <w:proofErr w:type="spellEnd"/>
      <w:r w:rsidR="004A5AE6" w:rsidRPr="005654FE">
        <w:t xml:space="preserve">, et al. 2020). </w:t>
      </w:r>
      <w:r w:rsidR="00764F15">
        <w:t xml:space="preserve">The </w:t>
      </w:r>
      <w:r w:rsidR="00AD500C">
        <w:t xml:space="preserve">way in which such </w:t>
      </w:r>
      <w:r w:rsidR="009C090F">
        <w:t>data collection techniques</w:t>
      </w:r>
      <w:r w:rsidR="00FC2974">
        <w:t xml:space="preserve"> are implemented, particularly where there is an underlying project </w:t>
      </w:r>
      <w:r w:rsidR="006E6AD9">
        <w:t>to impose certain moralistic behaviour</w:t>
      </w:r>
      <w:r w:rsidR="00764F15">
        <w:t>, is vexing</w:t>
      </w:r>
      <w:r w:rsidR="006E6AD9">
        <w:t>.</w:t>
      </w:r>
      <w:r w:rsidR="006304A1">
        <w:t xml:space="preserve"> Although the implementation of public health </w:t>
      </w:r>
      <w:r w:rsidR="00BB2E0C">
        <w:t xml:space="preserve">approaches </w:t>
      </w:r>
      <w:r w:rsidR="006304A1">
        <w:t xml:space="preserve">more often than </w:t>
      </w:r>
      <w:r w:rsidR="006304A1" w:rsidRPr="00D77F5E">
        <w:t xml:space="preserve">not </w:t>
      </w:r>
      <w:r w:rsidR="006304A1" w:rsidRPr="00D77F5E">
        <w:rPr>
          <w:color w:val="000000" w:themeColor="text1"/>
        </w:rPr>
        <w:t xml:space="preserve">demand for both </w:t>
      </w:r>
      <w:r w:rsidR="00B458EF">
        <w:rPr>
          <w:color w:val="000000" w:themeColor="text1"/>
        </w:rPr>
        <w:t xml:space="preserve">the collection of </w:t>
      </w:r>
      <w:r w:rsidR="006304A1" w:rsidRPr="00D77F5E">
        <w:rPr>
          <w:color w:val="000000" w:themeColor="text1"/>
        </w:rPr>
        <w:t xml:space="preserve">surveillance </w:t>
      </w:r>
      <w:r w:rsidR="00B458EF">
        <w:rPr>
          <w:color w:val="000000" w:themeColor="text1"/>
        </w:rPr>
        <w:t xml:space="preserve">data </w:t>
      </w:r>
      <w:r w:rsidR="006304A1" w:rsidRPr="00D77F5E">
        <w:rPr>
          <w:color w:val="000000" w:themeColor="text1"/>
        </w:rPr>
        <w:t xml:space="preserve">and </w:t>
      </w:r>
      <w:r w:rsidR="00B458EF">
        <w:rPr>
          <w:color w:val="000000" w:themeColor="text1"/>
        </w:rPr>
        <w:t xml:space="preserve">subsequent informed </w:t>
      </w:r>
      <w:r w:rsidR="006304A1" w:rsidRPr="00D77F5E">
        <w:rPr>
          <w:color w:val="000000" w:themeColor="text1"/>
        </w:rPr>
        <w:t>intervention</w:t>
      </w:r>
      <w:r w:rsidR="00764F15">
        <w:rPr>
          <w:color w:val="000000" w:themeColor="text1"/>
        </w:rPr>
        <w:t xml:space="preserve">, </w:t>
      </w:r>
      <w:r w:rsidR="006304A1" w:rsidRPr="00D77F5E">
        <w:rPr>
          <w:color w:val="000000" w:themeColor="text1"/>
        </w:rPr>
        <w:t xml:space="preserve">such techniques can be ideationally legitimised in areas of societal concern on the basis that so-called problematic behaviour is an outcome of dysfunctional individuals who need to be identified through assessment and educated and managed accordingly to ensure </w:t>
      </w:r>
      <w:r w:rsidR="008F447E">
        <w:rPr>
          <w:color w:val="000000" w:themeColor="text1"/>
        </w:rPr>
        <w:t xml:space="preserve">both </w:t>
      </w:r>
      <w:r w:rsidR="006304A1" w:rsidRPr="00D77F5E">
        <w:rPr>
          <w:color w:val="000000" w:themeColor="text1"/>
        </w:rPr>
        <w:t>their safety and the safety of others (</w:t>
      </w:r>
      <w:r w:rsidR="006304A1" w:rsidRPr="00D77F5E">
        <w:t xml:space="preserve">Kelly, 2001; O’Malley, 1992; Rose and Miller, 1992). This process is one in which individuals become the object of government whilst also encouraging the growth of surveillance inclined toward </w:t>
      </w:r>
      <w:proofErr w:type="gramStart"/>
      <w:r w:rsidR="00FE7D51">
        <w:t>particular groups</w:t>
      </w:r>
      <w:proofErr w:type="gramEnd"/>
      <w:r w:rsidR="006304A1" w:rsidRPr="00D77F5E">
        <w:t xml:space="preserve"> (Rose, 1999). </w:t>
      </w:r>
      <w:r w:rsidR="00D80FA8" w:rsidRPr="00D77F5E">
        <w:rPr>
          <w:color w:val="000000" w:themeColor="text1"/>
        </w:rPr>
        <w:t xml:space="preserve">The narrative, for example, that all young people need to be protected from the risk of </w:t>
      </w:r>
      <w:r w:rsidR="008F447E">
        <w:rPr>
          <w:color w:val="000000" w:themeColor="text1"/>
        </w:rPr>
        <w:t xml:space="preserve">sexual </w:t>
      </w:r>
      <w:r w:rsidR="00D80FA8" w:rsidRPr="00D77F5E">
        <w:rPr>
          <w:color w:val="000000" w:themeColor="text1"/>
        </w:rPr>
        <w:t>exploitation</w:t>
      </w:r>
      <w:r w:rsidR="00D80FA8" w:rsidRPr="00553AF2">
        <w:rPr>
          <w:color w:val="000000" w:themeColor="text1"/>
        </w:rPr>
        <w:t xml:space="preserve"> </w:t>
      </w:r>
      <w:r w:rsidR="008F447E">
        <w:rPr>
          <w:color w:val="000000" w:themeColor="text1"/>
        </w:rPr>
        <w:t>-</w:t>
      </w:r>
      <w:r w:rsidR="00D80FA8" w:rsidRPr="00553AF2">
        <w:rPr>
          <w:color w:val="000000" w:themeColor="text1"/>
        </w:rPr>
        <w:t xml:space="preserve"> and the resulting </w:t>
      </w:r>
      <w:r w:rsidR="00D80FA8" w:rsidRPr="00553AF2">
        <w:rPr>
          <w:color w:val="000000" w:themeColor="text1"/>
        </w:rPr>
        <w:lastRenderedPageBreak/>
        <w:t xml:space="preserve">population approach that was adopted by the multi-agency team here - permits state intervention into the lives of </w:t>
      </w:r>
      <w:r w:rsidR="00D80FA8" w:rsidRPr="00553AF2">
        <w:rPr>
          <w:i/>
          <w:iCs/>
          <w:color w:val="000000" w:themeColor="text1"/>
        </w:rPr>
        <w:t>all</w:t>
      </w:r>
      <w:r w:rsidR="00D80FA8" w:rsidRPr="00553AF2">
        <w:rPr>
          <w:color w:val="000000" w:themeColor="text1"/>
        </w:rPr>
        <w:t xml:space="preserve"> young people and their families. A question to be asked, therefore, is to what extent are people willing to trade off their civil liberties in the interests of a wider public good</w:t>
      </w:r>
      <w:r w:rsidR="008F447E">
        <w:rPr>
          <w:color w:val="000000" w:themeColor="text1"/>
        </w:rPr>
        <w:t xml:space="preserve">? </w:t>
      </w:r>
    </w:p>
    <w:p w14:paraId="4B9B84CC" w14:textId="7D14BC67" w:rsidR="006B7DB8" w:rsidRDefault="00344C5A" w:rsidP="004375C5">
      <w:pPr>
        <w:spacing w:line="480" w:lineRule="auto"/>
        <w:jc w:val="both"/>
        <w:rPr>
          <w:rStyle w:val="ref-lnk"/>
        </w:rPr>
      </w:pPr>
      <w:r>
        <w:t xml:space="preserve">We would </w:t>
      </w:r>
      <w:r w:rsidR="00B377C3">
        <w:t>suggest</w:t>
      </w:r>
      <w:r>
        <w:t>, however, that t</w:t>
      </w:r>
      <w:r w:rsidR="004A5AE6" w:rsidRPr="005654FE">
        <w:t>he relinquishing of civil liberties</w:t>
      </w:r>
      <w:r>
        <w:t xml:space="preserve"> </w:t>
      </w:r>
      <w:r w:rsidR="004A5AE6" w:rsidRPr="005654FE">
        <w:t xml:space="preserve">should not be unlimited particularly where surveillance </w:t>
      </w:r>
      <w:r w:rsidR="00F44341">
        <w:t xml:space="preserve">data </w:t>
      </w:r>
      <w:r w:rsidR="004A5AE6" w:rsidRPr="005654FE">
        <w:t xml:space="preserve">are used to legitimate </w:t>
      </w:r>
      <w:proofErr w:type="gramStart"/>
      <w:r w:rsidR="004A5AE6" w:rsidRPr="005654FE">
        <w:t>particular types</w:t>
      </w:r>
      <w:proofErr w:type="gramEnd"/>
      <w:r w:rsidR="004A5AE6" w:rsidRPr="005654FE">
        <w:t xml:space="preserve"> of governance and control that discriminate between people. </w:t>
      </w:r>
      <w:r w:rsidR="0071048C">
        <w:t xml:space="preserve">Given that people </w:t>
      </w:r>
      <w:r w:rsidR="00174DD7">
        <w:t xml:space="preserve">seem </w:t>
      </w:r>
      <w:r w:rsidR="0071048C">
        <w:t xml:space="preserve">quite willing </w:t>
      </w:r>
      <w:r w:rsidR="00174DD7">
        <w:t>to provide data, particularly where there is a promise of safety and security as we observed during the Covid-19 pandemic</w:t>
      </w:r>
      <w:r w:rsidR="00AA57C7">
        <w:t>, the challenge becomes how to encourage resistance within contexts</w:t>
      </w:r>
      <w:r w:rsidR="007F34CD">
        <w:t xml:space="preserve"> wh</w:t>
      </w:r>
      <w:r w:rsidR="003213BA">
        <w:t>ere civil liberties are being compromised</w:t>
      </w:r>
      <w:r w:rsidR="008F447E">
        <w:t>,</w:t>
      </w:r>
      <w:r w:rsidR="003213BA">
        <w:t xml:space="preserve"> but specificity about </w:t>
      </w:r>
      <w:r w:rsidR="00592F1E">
        <w:t xml:space="preserve">how data </w:t>
      </w:r>
      <w:r w:rsidR="006B1CD6">
        <w:t xml:space="preserve">is </w:t>
      </w:r>
      <w:r w:rsidR="00592F1E">
        <w:t xml:space="preserve">used </w:t>
      </w:r>
      <w:r w:rsidR="00A951D9">
        <w:t xml:space="preserve">is absent. </w:t>
      </w:r>
      <w:r w:rsidR="007F34CD" w:rsidRPr="00616557">
        <w:rPr>
          <w:rStyle w:val="ref-lnk"/>
        </w:rPr>
        <w:t>As Mariner (2007) suggests, surveillance for the common good should only be pursued without sacrificing the rights of privacy and, we would add, unnecessarily criminalising already marginalised sections of the population.</w:t>
      </w:r>
      <w:r w:rsidR="007F34CD">
        <w:rPr>
          <w:rStyle w:val="ref-lnk"/>
        </w:rPr>
        <w:t xml:space="preserve"> </w:t>
      </w:r>
    </w:p>
    <w:p w14:paraId="2E2E15F8" w14:textId="77777777" w:rsidR="00ED0FE4" w:rsidRDefault="00ED0FE4" w:rsidP="004375C5">
      <w:pPr>
        <w:spacing w:line="480" w:lineRule="auto"/>
        <w:jc w:val="both"/>
        <w:rPr>
          <w:rStyle w:val="ref-lnk"/>
        </w:rPr>
      </w:pPr>
    </w:p>
    <w:p w14:paraId="7466F375" w14:textId="67ADFF67" w:rsidR="00652DF2" w:rsidRDefault="00EA3784" w:rsidP="004375C5">
      <w:pPr>
        <w:spacing w:line="480" w:lineRule="auto"/>
        <w:jc w:val="both"/>
        <w:rPr>
          <w:rStyle w:val="ref-lnk"/>
        </w:rPr>
      </w:pPr>
      <w:r>
        <w:rPr>
          <w:rStyle w:val="ref-lnk"/>
        </w:rPr>
        <w:t xml:space="preserve">Although </w:t>
      </w:r>
      <w:r w:rsidR="000826CB">
        <w:rPr>
          <w:rStyle w:val="ref-lnk"/>
        </w:rPr>
        <w:t xml:space="preserve">we </w:t>
      </w:r>
      <w:r w:rsidR="00906CE0">
        <w:rPr>
          <w:rStyle w:val="ref-lnk"/>
        </w:rPr>
        <w:t xml:space="preserve">would </w:t>
      </w:r>
      <w:r w:rsidR="000826CB">
        <w:rPr>
          <w:rStyle w:val="ref-lnk"/>
        </w:rPr>
        <w:t xml:space="preserve">acknowledge the benefits of </w:t>
      </w:r>
      <w:r w:rsidR="00AA7722">
        <w:rPr>
          <w:rStyle w:val="ref-lnk"/>
        </w:rPr>
        <w:t>a public health approach to crime prevention</w:t>
      </w:r>
      <w:r w:rsidR="00906CE0">
        <w:rPr>
          <w:rStyle w:val="ref-lnk"/>
        </w:rPr>
        <w:t>,</w:t>
      </w:r>
      <w:r w:rsidR="00AA7722">
        <w:rPr>
          <w:rStyle w:val="ref-lnk"/>
        </w:rPr>
        <w:t xml:space="preserve"> we have illustrated that </w:t>
      </w:r>
      <w:r w:rsidR="00631176">
        <w:rPr>
          <w:rStyle w:val="ref-lnk"/>
        </w:rPr>
        <w:t>when operationalised in a particular way</w:t>
      </w:r>
      <w:r w:rsidR="00AA7722">
        <w:rPr>
          <w:rStyle w:val="ref-lnk"/>
        </w:rPr>
        <w:t xml:space="preserve"> and within a particular policing context</w:t>
      </w:r>
      <w:r w:rsidR="00631176">
        <w:rPr>
          <w:rStyle w:val="ref-lnk"/>
        </w:rPr>
        <w:t xml:space="preserve">, </w:t>
      </w:r>
      <w:r w:rsidR="00AA7722">
        <w:rPr>
          <w:rStyle w:val="ref-lnk"/>
        </w:rPr>
        <w:t xml:space="preserve">they </w:t>
      </w:r>
      <w:r w:rsidR="008F447E">
        <w:rPr>
          <w:rStyle w:val="ref-lnk"/>
        </w:rPr>
        <w:t xml:space="preserve">harbour the risk of engendering iatrogenic effects that fuel both the </w:t>
      </w:r>
      <w:proofErr w:type="spellStart"/>
      <w:r w:rsidR="008F447E">
        <w:rPr>
          <w:rStyle w:val="ref-lnk"/>
        </w:rPr>
        <w:t>securitsation</w:t>
      </w:r>
      <w:proofErr w:type="spellEnd"/>
      <w:r w:rsidR="008F447E">
        <w:rPr>
          <w:rStyle w:val="ref-lnk"/>
        </w:rPr>
        <w:t xml:space="preserve"> of populations and induce </w:t>
      </w:r>
      <w:r w:rsidR="006D1C3C">
        <w:rPr>
          <w:rStyle w:val="ref-lnk"/>
        </w:rPr>
        <w:t>response</w:t>
      </w:r>
      <w:r w:rsidR="00906CE0">
        <w:rPr>
          <w:rStyle w:val="ref-lnk"/>
        </w:rPr>
        <w:t>s</w:t>
      </w:r>
      <w:r w:rsidR="008F447E">
        <w:rPr>
          <w:rStyle w:val="ref-lnk"/>
        </w:rPr>
        <w:t xml:space="preserve"> that may not be </w:t>
      </w:r>
      <w:r w:rsidR="00906CE0">
        <w:rPr>
          <w:rStyle w:val="ref-lnk"/>
        </w:rPr>
        <w:t xml:space="preserve">supportive or </w:t>
      </w:r>
      <w:r w:rsidR="008F447E">
        <w:rPr>
          <w:rStyle w:val="ref-lnk"/>
        </w:rPr>
        <w:t>warranted</w:t>
      </w:r>
      <w:r w:rsidR="006D1C3C">
        <w:rPr>
          <w:rStyle w:val="ref-lnk"/>
        </w:rPr>
        <w:t xml:space="preserve">. </w:t>
      </w:r>
      <w:r w:rsidR="00B824FC">
        <w:rPr>
          <w:rStyle w:val="ref-lnk"/>
        </w:rPr>
        <w:t xml:space="preserve">Despite these issues, </w:t>
      </w:r>
      <w:r w:rsidR="00592AF4">
        <w:rPr>
          <w:rStyle w:val="ref-lnk"/>
        </w:rPr>
        <w:t>p</w:t>
      </w:r>
      <w:r w:rsidR="0022596C">
        <w:rPr>
          <w:rStyle w:val="ref-lnk"/>
        </w:rPr>
        <w:t xml:space="preserve">ublic health approaches to crime prevention </w:t>
      </w:r>
      <w:r w:rsidR="008F447E">
        <w:rPr>
          <w:rStyle w:val="ref-lnk"/>
        </w:rPr>
        <w:t>are</w:t>
      </w:r>
      <w:r w:rsidR="00794004">
        <w:rPr>
          <w:rStyle w:val="ref-lnk"/>
        </w:rPr>
        <w:t xml:space="preserve"> </w:t>
      </w:r>
      <w:r w:rsidR="008F447E">
        <w:rPr>
          <w:rStyle w:val="ref-lnk"/>
        </w:rPr>
        <w:t>gaining momentum at the level of policy implementation</w:t>
      </w:r>
      <w:r w:rsidR="0022596C">
        <w:rPr>
          <w:rStyle w:val="ref-lnk"/>
        </w:rPr>
        <w:t>, not only for the criminal justice system but also for health care and social work</w:t>
      </w:r>
      <w:r w:rsidR="005E26DB">
        <w:rPr>
          <w:rStyle w:val="ref-lnk"/>
        </w:rPr>
        <w:t xml:space="preserve">. Already well-established are Violence Reduction Units </w:t>
      </w:r>
      <w:r w:rsidR="008F447E">
        <w:rPr>
          <w:rStyle w:val="ref-lnk"/>
        </w:rPr>
        <w:t xml:space="preserve">which have a </w:t>
      </w:r>
      <w:r w:rsidR="005E26DB">
        <w:rPr>
          <w:rStyle w:val="ref-lnk"/>
        </w:rPr>
        <w:t xml:space="preserve">core aim </w:t>
      </w:r>
      <w:r w:rsidR="008F447E">
        <w:rPr>
          <w:rStyle w:val="ref-lnk"/>
        </w:rPr>
        <w:t>of</w:t>
      </w:r>
      <w:r w:rsidR="005E26DB">
        <w:rPr>
          <w:rStyle w:val="ref-lnk"/>
        </w:rPr>
        <w:t xml:space="preserve"> </w:t>
      </w:r>
      <w:r w:rsidR="008F447E">
        <w:rPr>
          <w:rStyle w:val="ref-lnk"/>
        </w:rPr>
        <w:t xml:space="preserve">deploying </w:t>
      </w:r>
      <w:r w:rsidR="005E26DB">
        <w:rPr>
          <w:rStyle w:val="ref-lnk"/>
        </w:rPr>
        <w:t xml:space="preserve">a public health approach to tackle serious violence and its root </w:t>
      </w:r>
      <w:proofErr w:type="gramStart"/>
      <w:r w:rsidR="005E26DB">
        <w:rPr>
          <w:rStyle w:val="ref-lnk"/>
        </w:rPr>
        <w:t>cause</w:t>
      </w:r>
      <w:r w:rsidR="008F447E">
        <w:rPr>
          <w:rStyle w:val="ref-lnk"/>
        </w:rPr>
        <w:t>s</w:t>
      </w:r>
      <w:r w:rsidR="009D6387">
        <w:rPr>
          <w:rStyle w:val="ref-lnk"/>
        </w:rPr>
        <w:t>,</w:t>
      </w:r>
      <w:r w:rsidR="00764F15">
        <w:rPr>
          <w:rStyle w:val="ref-lnk"/>
        </w:rPr>
        <w:t xml:space="preserve"> </w:t>
      </w:r>
      <w:r w:rsidR="005E26DB">
        <w:rPr>
          <w:rStyle w:val="ref-lnk"/>
        </w:rPr>
        <w:t>and</w:t>
      </w:r>
      <w:proofErr w:type="gramEnd"/>
      <w:r w:rsidR="005E26DB">
        <w:rPr>
          <w:rStyle w:val="ref-lnk"/>
        </w:rPr>
        <w:t xml:space="preserve"> work</w:t>
      </w:r>
      <w:r w:rsidR="008F447E">
        <w:rPr>
          <w:rStyle w:val="ref-lnk"/>
        </w:rPr>
        <w:t>ing</w:t>
      </w:r>
      <w:r w:rsidR="005E26DB">
        <w:rPr>
          <w:rStyle w:val="ref-lnk"/>
        </w:rPr>
        <w:t xml:space="preserve"> closely </w:t>
      </w:r>
      <w:r w:rsidR="00447695">
        <w:rPr>
          <w:rStyle w:val="ref-lnk"/>
        </w:rPr>
        <w:t xml:space="preserve">in </w:t>
      </w:r>
      <w:r w:rsidR="005E26DB">
        <w:rPr>
          <w:rStyle w:val="ref-lnk"/>
        </w:rPr>
        <w:t xml:space="preserve">partnership to develop a more </w:t>
      </w:r>
      <w:r w:rsidR="005E26DB" w:rsidRPr="00566E98">
        <w:rPr>
          <w:rStyle w:val="ref-lnk"/>
        </w:rPr>
        <w:t xml:space="preserve">prevention-focused, holistic and coordinated approach to addressing serious youth violence. </w:t>
      </w:r>
      <w:r w:rsidR="0023717F" w:rsidRPr="00566E98">
        <w:rPr>
          <w:rStyle w:val="ref-lnk"/>
        </w:rPr>
        <w:t xml:space="preserve">There is a need, therefore, </w:t>
      </w:r>
      <w:r w:rsidR="005E26DB" w:rsidRPr="00566E98">
        <w:rPr>
          <w:rStyle w:val="ref-lnk"/>
        </w:rPr>
        <w:t>to focus more closely on how such approaches are understood and operationalised in practice</w:t>
      </w:r>
      <w:r w:rsidR="008F447E">
        <w:rPr>
          <w:rStyle w:val="ref-lnk"/>
        </w:rPr>
        <w:t>,</w:t>
      </w:r>
      <w:r w:rsidR="005E26DB" w:rsidRPr="00566E98">
        <w:rPr>
          <w:rStyle w:val="ref-lnk"/>
        </w:rPr>
        <w:t xml:space="preserve"> </w:t>
      </w:r>
      <w:proofErr w:type="gramStart"/>
      <w:r w:rsidR="005E26DB" w:rsidRPr="00566E98">
        <w:rPr>
          <w:rStyle w:val="ref-lnk"/>
        </w:rPr>
        <w:t xml:space="preserve">taking </w:t>
      </w:r>
      <w:r w:rsidR="005E26DB" w:rsidRPr="00566E98">
        <w:rPr>
          <w:rStyle w:val="ref-lnk"/>
        </w:rPr>
        <w:lastRenderedPageBreak/>
        <w:t>into account</w:t>
      </w:r>
      <w:proofErr w:type="gramEnd"/>
      <w:r w:rsidR="005E26DB" w:rsidRPr="00566E98">
        <w:rPr>
          <w:rStyle w:val="ref-lnk"/>
        </w:rPr>
        <w:t xml:space="preserve"> the impact at the boundaries of traditional domains, such as criminal justice, social work and health care.</w:t>
      </w:r>
      <w:r w:rsidR="00566E98">
        <w:rPr>
          <w:rStyle w:val="ref-lnk"/>
        </w:rPr>
        <w:t xml:space="preserve"> </w:t>
      </w:r>
      <w:r w:rsidR="008F447E">
        <w:rPr>
          <w:rStyle w:val="ref-lnk"/>
        </w:rPr>
        <w:t xml:space="preserve">As </w:t>
      </w:r>
      <w:r w:rsidR="006302B2">
        <w:rPr>
          <w:rStyle w:val="ref-lnk"/>
        </w:rPr>
        <w:t>we have</w:t>
      </w:r>
      <w:r w:rsidR="008F447E">
        <w:rPr>
          <w:rStyle w:val="ref-lnk"/>
        </w:rPr>
        <w:t xml:space="preserve"> elucidated</w:t>
      </w:r>
      <w:r w:rsidR="006302B2">
        <w:rPr>
          <w:rStyle w:val="ref-lnk"/>
        </w:rPr>
        <w:t>,</w:t>
      </w:r>
      <w:r w:rsidR="00B17615">
        <w:rPr>
          <w:rStyle w:val="ref-lnk"/>
        </w:rPr>
        <w:t xml:space="preserve"> </w:t>
      </w:r>
      <w:r w:rsidR="008F447E">
        <w:rPr>
          <w:rStyle w:val="ref-lnk"/>
        </w:rPr>
        <w:t xml:space="preserve">although </w:t>
      </w:r>
      <w:r w:rsidR="00B17615">
        <w:rPr>
          <w:rStyle w:val="ref-lnk"/>
        </w:rPr>
        <w:t xml:space="preserve">there </w:t>
      </w:r>
      <w:r w:rsidR="006302B2">
        <w:rPr>
          <w:rStyle w:val="ref-lnk"/>
        </w:rPr>
        <w:t xml:space="preserve">may well be advantages to </w:t>
      </w:r>
      <w:r w:rsidR="007211A4">
        <w:rPr>
          <w:rStyle w:val="ref-lnk"/>
        </w:rPr>
        <w:t xml:space="preserve">reconceptualising </w:t>
      </w:r>
      <w:r w:rsidR="00BC1452">
        <w:rPr>
          <w:rStyle w:val="ref-lnk"/>
        </w:rPr>
        <w:t xml:space="preserve">the </w:t>
      </w:r>
      <w:r w:rsidR="006302B2">
        <w:rPr>
          <w:rStyle w:val="ref-lnk"/>
        </w:rPr>
        <w:t xml:space="preserve">complex social issues that straddle </w:t>
      </w:r>
      <w:r w:rsidR="007211A4">
        <w:rPr>
          <w:rStyle w:val="ref-lnk"/>
        </w:rPr>
        <w:t xml:space="preserve">these boundaries in health terms, </w:t>
      </w:r>
      <w:r w:rsidR="00BC1452">
        <w:rPr>
          <w:rStyle w:val="ref-lnk"/>
        </w:rPr>
        <w:t xml:space="preserve">to do so </w:t>
      </w:r>
      <w:r w:rsidR="008F447E">
        <w:rPr>
          <w:rStyle w:val="ref-lnk"/>
        </w:rPr>
        <w:t xml:space="preserve">unilaterally and </w:t>
      </w:r>
      <w:r w:rsidR="00C018A3">
        <w:rPr>
          <w:rStyle w:val="ref-lnk"/>
        </w:rPr>
        <w:t>uncritically</w:t>
      </w:r>
      <w:r w:rsidR="00276959">
        <w:rPr>
          <w:rStyle w:val="ref-lnk"/>
        </w:rPr>
        <w:t xml:space="preserve"> runs the risk of marginalising contributions made by </w:t>
      </w:r>
      <w:r w:rsidR="008F447E">
        <w:rPr>
          <w:rStyle w:val="ref-lnk"/>
        </w:rPr>
        <w:t xml:space="preserve">established </w:t>
      </w:r>
      <w:r w:rsidR="00276959">
        <w:rPr>
          <w:rStyle w:val="ref-lnk"/>
        </w:rPr>
        <w:t>fields</w:t>
      </w:r>
      <w:r w:rsidR="008F447E">
        <w:rPr>
          <w:rStyle w:val="ref-lnk"/>
        </w:rPr>
        <w:t xml:space="preserve"> of analysis which have traditionally informed practices,</w:t>
      </w:r>
      <w:r w:rsidR="00276959">
        <w:rPr>
          <w:rStyle w:val="ref-lnk"/>
        </w:rPr>
        <w:t xml:space="preserve"> such as criminology</w:t>
      </w:r>
      <w:r w:rsidR="008F447E">
        <w:rPr>
          <w:rStyle w:val="ref-lnk"/>
        </w:rPr>
        <w:t xml:space="preserve">, </w:t>
      </w:r>
      <w:proofErr w:type="gramStart"/>
      <w:r w:rsidR="00276959">
        <w:rPr>
          <w:rStyle w:val="ref-lnk"/>
        </w:rPr>
        <w:t>sociology</w:t>
      </w:r>
      <w:proofErr w:type="gramEnd"/>
      <w:r w:rsidR="008F447E">
        <w:rPr>
          <w:rStyle w:val="ref-lnk"/>
        </w:rPr>
        <w:t xml:space="preserve"> and social policy</w:t>
      </w:r>
      <w:r w:rsidR="00116AB7">
        <w:rPr>
          <w:rStyle w:val="ref-lnk"/>
        </w:rPr>
        <w:t xml:space="preserve">. As </w:t>
      </w:r>
      <w:r w:rsidR="00116AB7" w:rsidRPr="001C265B">
        <w:rPr>
          <w:rStyle w:val="ref-lnk"/>
        </w:rPr>
        <w:t xml:space="preserve">Reimann </w:t>
      </w:r>
      <w:r w:rsidR="00116AB7" w:rsidRPr="00CF2F2B">
        <w:rPr>
          <w:rStyle w:val="ref-lnk"/>
        </w:rPr>
        <w:t>(2019</w:t>
      </w:r>
      <w:r w:rsidR="00897720" w:rsidRPr="00CF2F2B">
        <w:rPr>
          <w:rStyle w:val="ref-lnk"/>
        </w:rPr>
        <w:t>:</w:t>
      </w:r>
      <w:r w:rsidR="001C265B" w:rsidRPr="00CF2F2B">
        <w:rPr>
          <w:rStyle w:val="ref-lnk"/>
        </w:rPr>
        <w:t>148</w:t>
      </w:r>
      <w:r w:rsidR="00116AB7" w:rsidRPr="00CF2F2B">
        <w:rPr>
          <w:rStyle w:val="ref-lnk"/>
        </w:rPr>
        <w:t>)</w:t>
      </w:r>
      <w:r w:rsidR="00116AB7">
        <w:rPr>
          <w:rStyle w:val="ref-lnk"/>
        </w:rPr>
        <w:t xml:space="preserve"> suggests, </w:t>
      </w:r>
      <w:r w:rsidR="00897720">
        <w:rPr>
          <w:rStyle w:val="ref-lnk"/>
        </w:rPr>
        <w:t xml:space="preserve">a public health approach may promote treatment models that become ‘disentangled from </w:t>
      </w:r>
      <w:r w:rsidR="00C018A3" w:rsidRPr="0064028D">
        <w:rPr>
          <w:rStyle w:val="ref-lnk"/>
        </w:rPr>
        <w:t>socioeconomic inequalities and explained by reference to individual pathology alone’</w:t>
      </w:r>
      <w:r w:rsidR="00362173" w:rsidRPr="0064028D">
        <w:rPr>
          <w:rStyle w:val="ref-lnk"/>
        </w:rPr>
        <w:t xml:space="preserve">. Thus, individual behaviour </w:t>
      </w:r>
      <w:r w:rsidR="00794004">
        <w:rPr>
          <w:rStyle w:val="ref-lnk"/>
        </w:rPr>
        <w:t xml:space="preserve">becomes </w:t>
      </w:r>
      <w:r w:rsidR="00362173" w:rsidRPr="0064028D">
        <w:rPr>
          <w:rStyle w:val="ref-lnk"/>
        </w:rPr>
        <w:t>a priority for change</w:t>
      </w:r>
      <w:r w:rsidR="00794004">
        <w:rPr>
          <w:rStyle w:val="ref-lnk"/>
        </w:rPr>
        <w:t xml:space="preserve">, </w:t>
      </w:r>
      <w:r w:rsidR="0035221B" w:rsidRPr="0064028D">
        <w:rPr>
          <w:rStyle w:val="ref-lnk"/>
        </w:rPr>
        <w:t>reducing broader structural factors th</w:t>
      </w:r>
      <w:r w:rsidR="000865FD">
        <w:rPr>
          <w:rStyle w:val="ref-lnk"/>
        </w:rPr>
        <w:t>at</w:t>
      </w:r>
      <w:r w:rsidR="0035221B" w:rsidRPr="0064028D">
        <w:rPr>
          <w:rStyle w:val="ref-lnk"/>
        </w:rPr>
        <w:t xml:space="preserve"> might be driving complex social issues</w:t>
      </w:r>
      <w:r w:rsidR="00794004">
        <w:rPr>
          <w:rStyle w:val="ref-lnk"/>
        </w:rPr>
        <w:t xml:space="preserve">, such as </w:t>
      </w:r>
      <w:r w:rsidR="00794004">
        <w:t xml:space="preserve">youth violence, radicalisation </w:t>
      </w:r>
      <w:r w:rsidR="00794004" w:rsidRPr="009422C2">
        <w:t xml:space="preserve">and </w:t>
      </w:r>
      <w:r w:rsidR="00794004">
        <w:rPr>
          <w:rStyle w:val="ref-lnk"/>
        </w:rPr>
        <w:t>CSE,</w:t>
      </w:r>
      <w:r w:rsidR="0035221B" w:rsidRPr="0064028D">
        <w:rPr>
          <w:rStyle w:val="ref-lnk"/>
        </w:rPr>
        <w:t xml:space="preserve"> to simply ‘modulating </w:t>
      </w:r>
      <w:proofErr w:type="gramStart"/>
      <w:r w:rsidR="0035221B" w:rsidRPr="0064028D">
        <w:rPr>
          <w:rStyle w:val="ref-lnk"/>
        </w:rPr>
        <w:t>factors’</w:t>
      </w:r>
      <w:proofErr w:type="gramEnd"/>
      <w:r w:rsidR="0014130F" w:rsidRPr="0064028D">
        <w:rPr>
          <w:rStyle w:val="ref-lnk"/>
        </w:rPr>
        <w:t xml:space="preserve">. </w:t>
      </w:r>
      <w:r w:rsidR="00490BF4">
        <w:rPr>
          <w:rStyle w:val="ref-lnk"/>
        </w:rPr>
        <w:t>A</w:t>
      </w:r>
      <w:r w:rsidR="0014130F" w:rsidRPr="0064028D">
        <w:rPr>
          <w:rStyle w:val="ref-lnk"/>
        </w:rPr>
        <w:t>n analysis of how public health approaches to crime prevention are being underst</w:t>
      </w:r>
      <w:r w:rsidR="00E35F44">
        <w:rPr>
          <w:rStyle w:val="ref-lnk"/>
        </w:rPr>
        <w:t>oo</w:t>
      </w:r>
      <w:r w:rsidR="0014130F" w:rsidRPr="0064028D">
        <w:rPr>
          <w:rStyle w:val="ref-lnk"/>
        </w:rPr>
        <w:t xml:space="preserve">d and operationalised, therefore, needs to </w:t>
      </w:r>
      <w:r w:rsidR="00490BF4">
        <w:rPr>
          <w:rStyle w:val="ref-lnk"/>
        </w:rPr>
        <w:t xml:space="preserve">also </w:t>
      </w:r>
      <w:r w:rsidR="00587A16" w:rsidRPr="0064028D">
        <w:rPr>
          <w:rStyle w:val="ref-lnk"/>
        </w:rPr>
        <w:t xml:space="preserve">consider how, if at all, </w:t>
      </w:r>
      <w:r w:rsidR="004D2020">
        <w:rPr>
          <w:rStyle w:val="ref-lnk"/>
        </w:rPr>
        <w:t xml:space="preserve">factors such as social inequalities </w:t>
      </w:r>
      <w:r w:rsidR="00587A16" w:rsidRPr="0064028D">
        <w:rPr>
          <w:rStyle w:val="ref-lnk"/>
        </w:rPr>
        <w:t xml:space="preserve">are being addressed. </w:t>
      </w:r>
    </w:p>
    <w:p w14:paraId="326517A5" w14:textId="77777777" w:rsidR="00794004" w:rsidRDefault="00794004" w:rsidP="004375C5">
      <w:pPr>
        <w:spacing w:line="480" w:lineRule="auto"/>
        <w:jc w:val="both"/>
      </w:pPr>
    </w:p>
    <w:p w14:paraId="420B28BE" w14:textId="1DDF6172" w:rsidR="009B1EC5" w:rsidRDefault="009B1EC5" w:rsidP="004375C5">
      <w:pPr>
        <w:spacing w:line="480" w:lineRule="auto"/>
        <w:rPr>
          <w:b/>
          <w:bCs/>
        </w:rPr>
      </w:pPr>
      <w:r>
        <w:rPr>
          <w:b/>
          <w:bCs/>
        </w:rPr>
        <w:t>References</w:t>
      </w:r>
    </w:p>
    <w:p w14:paraId="62C9AF40" w14:textId="57B2CF62" w:rsidR="006427E4" w:rsidRDefault="00015B38" w:rsidP="00544D4F">
      <w:pPr>
        <w:spacing w:line="480" w:lineRule="auto"/>
        <w:rPr>
          <w:color w:val="222222"/>
          <w:shd w:val="clear" w:color="auto" w:fill="FFFFFF"/>
        </w:rPr>
      </w:pPr>
      <w:proofErr w:type="spellStart"/>
      <w:r w:rsidRPr="00433949">
        <w:rPr>
          <w:color w:val="222222"/>
          <w:shd w:val="clear" w:color="auto" w:fill="FFFFFF"/>
        </w:rPr>
        <w:t>Alsan</w:t>
      </w:r>
      <w:proofErr w:type="spellEnd"/>
      <w:r w:rsidRPr="00433949">
        <w:rPr>
          <w:color w:val="222222"/>
          <w:shd w:val="clear" w:color="auto" w:fill="FFFFFF"/>
        </w:rPr>
        <w:t xml:space="preserve">, M., </w:t>
      </w:r>
      <w:proofErr w:type="spellStart"/>
      <w:r w:rsidRPr="00433949">
        <w:rPr>
          <w:color w:val="222222"/>
          <w:shd w:val="clear" w:color="auto" w:fill="FFFFFF"/>
        </w:rPr>
        <w:t>Braghieri</w:t>
      </w:r>
      <w:proofErr w:type="spellEnd"/>
      <w:r w:rsidRPr="00433949">
        <w:rPr>
          <w:color w:val="222222"/>
          <w:shd w:val="clear" w:color="auto" w:fill="FFFFFF"/>
        </w:rPr>
        <w:t xml:space="preserve">, L., </w:t>
      </w:r>
      <w:proofErr w:type="spellStart"/>
      <w:r w:rsidRPr="00433949">
        <w:rPr>
          <w:color w:val="222222"/>
          <w:shd w:val="clear" w:color="auto" w:fill="FFFFFF"/>
        </w:rPr>
        <w:t>Eichmeyer</w:t>
      </w:r>
      <w:proofErr w:type="spellEnd"/>
      <w:r w:rsidRPr="00433949">
        <w:rPr>
          <w:color w:val="222222"/>
          <w:shd w:val="clear" w:color="auto" w:fill="FFFFFF"/>
        </w:rPr>
        <w:t xml:space="preserve">, S., Kim, M. J., </w:t>
      </w:r>
      <w:proofErr w:type="spellStart"/>
      <w:r w:rsidRPr="00433949">
        <w:rPr>
          <w:color w:val="222222"/>
          <w:shd w:val="clear" w:color="auto" w:fill="FFFFFF"/>
        </w:rPr>
        <w:t>Stantcheva</w:t>
      </w:r>
      <w:proofErr w:type="spellEnd"/>
      <w:r w:rsidRPr="00433949">
        <w:rPr>
          <w:color w:val="222222"/>
          <w:shd w:val="clear" w:color="auto" w:fill="FFFFFF"/>
        </w:rPr>
        <w:t>, S., &amp; Yang, D. Y. (2020)</w:t>
      </w:r>
      <w:r w:rsidR="00764F15">
        <w:rPr>
          <w:rStyle w:val="apple-converted-space"/>
          <w:color w:val="222222"/>
          <w:shd w:val="clear" w:color="auto" w:fill="FFFFFF"/>
        </w:rPr>
        <w:t xml:space="preserve"> </w:t>
      </w:r>
      <w:r w:rsidRPr="00433949">
        <w:rPr>
          <w:i/>
          <w:iCs/>
          <w:color w:val="222222"/>
        </w:rPr>
        <w:t>Civil liberties in times of crisis</w:t>
      </w:r>
      <w:r w:rsidRPr="00433949">
        <w:rPr>
          <w:rStyle w:val="apple-converted-space"/>
          <w:color w:val="222222"/>
          <w:shd w:val="clear" w:color="auto" w:fill="FFFFFF"/>
        </w:rPr>
        <w:t> </w:t>
      </w:r>
      <w:r w:rsidRPr="00433949">
        <w:rPr>
          <w:color w:val="222222"/>
          <w:shd w:val="clear" w:color="auto" w:fill="FFFFFF"/>
        </w:rPr>
        <w:t xml:space="preserve">(No. w27972). National Bureau of Economic Research. Available at </w:t>
      </w:r>
      <w:hyperlink r:id="rId8" w:history="1">
        <w:r w:rsidR="005E6F60" w:rsidRPr="00433949">
          <w:rPr>
            <w:rStyle w:val="Hyperlink"/>
            <w:shd w:val="clear" w:color="auto" w:fill="FFFFFF"/>
          </w:rPr>
          <w:t>https://www.nber.org/system/files/working_papers/w27972/w27972.pdf</w:t>
        </w:r>
      </w:hyperlink>
      <w:r w:rsidR="005E6F60" w:rsidRPr="00433949">
        <w:rPr>
          <w:color w:val="222222"/>
          <w:shd w:val="clear" w:color="auto" w:fill="FFFFFF"/>
        </w:rPr>
        <w:t xml:space="preserve"> [accessed 20th January 2022]</w:t>
      </w:r>
    </w:p>
    <w:p w14:paraId="08633762" w14:textId="77777777" w:rsidR="00544D4F" w:rsidRPr="00433949" w:rsidRDefault="00544D4F" w:rsidP="00544D4F">
      <w:pPr>
        <w:spacing w:line="480" w:lineRule="auto"/>
        <w:rPr>
          <w:sz w:val="36"/>
          <w:szCs w:val="36"/>
        </w:rPr>
      </w:pPr>
    </w:p>
    <w:p w14:paraId="4A8F49E1" w14:textId="5D8BC01B" w:rsidR="004135B5" w:rsidRDefault="004135B5" w:rsidP="00544D4F">
      <w:pPr>
        <w:spacing w:line="480" w:lineRule="auto"/>
      </w:pPr>
      <w:r w:rsidRPr="007F572E">
        <w:rPr>
          <w:color w:val="222222"/>
          <w:shd w:val="clear" w:color="auto" w:fill="FFFFFF"/>
        </w:rPr>
        <w:t xml:space="preserve">Arceneaux, K., Bakker, B. N., </w:t>
      </w:r>
      <w:proofErr w:type="spellStart"/>
      <w:r w:rsidRPr="007F572E">
        <w:rPr>
          <w:color w:val="222222"/>
          <w:shd w:val="clear" w:color="auto" w:fill="FFFFFF"/>
        </w:rPr>
        <w:t>Hobolt</w:t>
      </w:r>
      <w:proofErr w:type="spellEnd"/>
      <w:r w:rsidRPr="007F572E">
        <w:rPr>
          <w:color w:val="222222"/>
          <w:shd w:val="clear" w:color="auto" w:fill="FFFFFF"/>
        </w:rPr>
        <w:t>, S.</w:t>
      </w:r>
      <w:r w:rsidR="00764F15">
        <w:rPr>
          <w:color w:val="222222"/>
          <w:shd w:val="clear" w:color="auto" w:fill="FFFFFF"/>
        </w:rPr>
        <w:t xml:space="preserve"> and</w:t>
      </w:r>
      <w:r w:rsidRPr="007F572E">
        <w:rPr>
          <w:color w:val="222222"/>
          <w:shd w:val="clear" w:color="auto" w:fill="FFFFFF"/>
        </w:rPr>
        <w:t xml:space="preserve"> De Vries, C. E. (2020) </w:t>
      </w:r>
      <w:r w:rsidR="007F572E">
        <w:rPr>
          <w:color w:val="222222"/>
          <w:shd w:val="clear" w:color="auto" w:fill="FFFFFF"/>
        </w:rPr>
        <w:t>‘</w:t>
      </w:r>
      <w:r w:rsidRPr="007F572E">
        <w:rPr>
          <w:color w:val="222222"/>
          <w:shd w:val="clear" w:color="auto" w:fill="FFFFFF"/>
        </w:rPr>
        <w:t xml:space="preserve">Is </w:t>
      </w:r>
      <w:r w:rsidR="00764F15">
        <w:rPr>
          <w:color w:val="222222"/>
          <w:shd w:val="clear" w:color="auto" w:fill="FFFFFF"/>
        </w:rPr>
        <w:t>C</w:t>
      </w:r>
      <w:r w:rsidRPr="007F572E">
        <w:rPr>
          <w:color w:val="222222"/>
          <w:shd w:val="clear" w:color="auto" w:fill="FFFFFF"/>
        </w:rPr>
        <w:t>ovid-19 a threat to liberal democracy?</w:t>
      </w:r>
      <w:r w:rsidR="007F572E">
        <w:rPr>
          <w:color w:val="222222"/>
          <w:shd w:val="clear" w:color="auto" w:fill="FFFFFF"/>
        </w:rPr>
        <w:t>’</w:t>
      </w:r>
      <w:r w:rsidRPr="007F572E">
        <w:rPr>
          <w:color w:val="222222"/>
          <w:shd w:val="clear" w:color="auto" w:fill="FFFFFF"/>
        </w:rPr>
        <w:t xml:space="preserve"> Available at </w:t>
      </w:r>
      <w:hyperlink r:id="rId9" w:history="1">
        <w:r w:rsidR="007F572E" w:rsidRPr="007F572E">
          <w:rPr>
            <w:rStyle w:val="Hyperlink"/>
            <w:shd w:val="clear" w:color="auto" w:fill="FCFCFC"/>
          </w:rPr>
          <w:t>https://doi.org/10.31234/osf.io/8e4pa</w:t>
        </w:r>
      </w:hyperlink>
      <w:r w:rsidR="007F572E" w:rsidRPr="007F572E">
        <w:t xml:space="preserve"> [accessed 20th January 2022]</w:t>
      </w:r>
    </w:p>
    <w:p w14:paraId="7759716E" w14:textId="72120C28" w:rsidR="009F28C9" w:rsidRDefault="009F28C9" w:rsidP="00544D4F">
      <w:pPr>
        <w:spacing w:line="480" w:lineRule="auto"/>
      </w:pPr>
    </w:p>
    <w:p w14:paraId="5AD5D3DB" w14:textId="5555A2E0" w:rsidR="00283976" w:rsidRDefault="009F28C9" w:rsidP="00544D4F">
      <w:pPr>
        <w:spacing w:line="480" w:lineRule="auto"/>
      </w:pPr>
      <w:r>
        <w:t xml:space="preserve">Amoore, L. and </w:t>
      </w:r>
      <w:r w:rsidR="008D3B62">
        <w:t>d</w:t>
      </w:r>
      <w:r>
        <w:t xml:space="preserve">e Goede, M. (2008) </w:t>
      </w:r>
      <w:r w:rsidR="001435A0">
        <w:rPr>
          <w:i/>
          <w:iCs/>
        </w:rPr>
        <w:t>Risk and the War on Terror</w:t>
      </w:r>
      <w:r w:rsidR="00764F15">
        <w:rPr>
          <w:i/>
          <w:iCs/>
        </w:rPr>
        <w:t>.</w:t>
      </w:r>
      <w:r w:rsidR="001435A0">
        <w:rPr>
          <w:i/>
          <w:iCs/>
        </w:rPr>
        <w:t xml:space="preserve"> </w:t>
      </w:r>
      <w:r w:rsidR="001435A0">
        <w:t>London: Routledge</w:t>
      </w:r>
    </w:p>
    <w:p w14:paraId="5E2B7FFC" w14:textId="51565EC4" w:rsidR="00544D4F" w:rsidRPr="009422C2" w:rsidRDefault="00283976" w:rsidP="00544D4F">
      <w:pPr>
        <w:pStyle w:val="NormalWeb"/>
        <w:spacing w:line="480" w:lineRule="auto"/>
      </w:pPr>
      <w:proofErr w:type="spellStart"/>
      <w:r w:rsidRPr="009422C2">
        <w:lastRenderedPageBreak/>
        <w:t>Bhui</w:t>
      </w:r>
      <w:proofErr w:type="spellEnd"/>
      <w:r w:rsidRPr="009422C2">
        <w:t xml:space="preserve">, K., Hicks, M., Lashley, M. and Jones, E. (2012) ‘A Public Health Approach to Understanding and Preventing Violent Radicalisation’, </w:t>
      </w:r>
      <w:r w:rsidRPr="009422C2">
        <w:rPr>
          <w:i/>
        </w:rPr>
        <w:t xml:space="preserve">BMC Medicine, </w:t>
      </w:r>
      <w:r w:rsidRPr="009422C2">
        <w:t xml:space="preserve">10:16. </w:t>
      </w:r>
    </w:p>
    <w:p w14:paraId="72A7196B" w14:textId="1B9F6C95" w:rsidR="00283976" w:rsidRDefault="009B1EC5" w:rsidP="00544D4F">
      <w:pPr>
        <w:pStyle w:val="NormalWeb"/>
        <w:spacing w:line="480" w:lineRule="auto"/>
      </w:pPr>
      <w:r>
        <w:t xml:space="preserve">Catch-22 (2019) </w:t>
      </w:r>
      <w:r w:rsidR="00AB3128" w:rsidRPr="00AB3128">
        <w:rPr>
          <w:i/>
          <w:iCs/>
        </w:rPr>
        <w:t>Tackling Crime</w:t>
      </w:r>
      <w:r w:rsidR="00AB3128">
        <w:rPr>
          <w:i/>
          <w:iCs/>
        </w:rPr>
        <w:t xml:space="preserve"> Together: A Public Health Approach</w:t>
      </w:r>
      <w:r w:rsidR="00B01EE7">
        <w:rPr>
          <w:i/>
          <w:iCs/>
        </w:rPr>
        <w:t xml:space="preserve">, </w:t>
      </w:r>
      <w:r w:rsidR="00B01EE7">
        <w:t xml:space="preserve">available at </w:t>
      </w:r>
      <w:hyperlink r:id="rId10" w:history="1">
        <w:r w:rsidR="00B01EE7" w:rsidRPr="00B40557">
          <w:rPr>
            <w:rStyle w:val="Hyperlink"/>
          </w:rPr>
          <w:t>https://cdn.catch-22.org.uk/wp-content/uploads/2019/07/Catch-22-Brochure-Tackling-Crime-Together-LR-Single.pdf</w:t>
        </w:r>
      </w:hyperlink>
      <w:r w:rsidR="00B01EE7">
        <w:t xml:space="preserve"> [accessed </w:t>
      </w:r>
      <w:r w:rsidR="006847C9">
        <w:t>20th January 2022]</w:t>
      </w:r>
    </w:p>
    <w:p w14:paraId="4E154A6C" w14:textId="797E548D" w:rsidR="00E44CD4" w:rsidRDefault="00E44CD4" w:rsidP="00544D4F">
      <w:pPr>
        <w:pStyle w:val="NormalWeb"/>
        <w:spacing w:line="480" w:lineRule="auto"/>
      </w:pPr>
      <w:r w:rsidRPr="00CF2F2B">
        <w:t xml:space="preserve">Caulfield, L. et al. (2021) </w:t>
      </w:r>
      <w:r w:rsidRPr="00CF2F2B">
        <w:rPr>
          <w:i/>
          <w:iCs/>
        </w:rPr>
        <w:t>West Midlands Violence Reduction Unit Evaluation: Phase Two Evaluation Report</w:t>
      </w:r>
      <w:r>
        <w:rPr>
          <w:i/>
          <w:iCs/>
        </w:rPr>
        <w:t>,</w:t>
      </w:r>
      <w:r w:rsidRPr="00CF2F2B">
        <w:t xml:space="preserve"> </w:t>
      </w:r>
      <w:r>
        <w:t>a</w:t>
      </w:r>
      <w:r w:rsidRPr="00CF2F2B">
        <w:t>vailable at: https://westmidlands</w:t>
      </w:r>
      <w:r>
        <w:t>-</w:t>
      </w:r>
      <w:r w:rsidRPr="00CF2F2B">
        <w:t>vrp.org/app/uploads/2021/12/WMVRU-Evaluation-Phase-Two-April-2021.pdf (accessed 14 July 2022</w:t>
      </w:r>
      <w:r>
        <w:t>)</w:t>
      </w:r>
      <w:r w:rsidRPr="00CF2F2B">
        <w:t xml:space="preserve"> </w:t>
      </w:r>
    </w:p>
    <w:p w14:paraId="286454C2" w14:textId="0E84FAA6" w:rsidR="00283976" w:rsidRPr="00283976" w:rsidRDefault="00283976" w:rsidP="00544D4F">
      <w:pPr>
        <w:spacing w:line="480" w:lineRule="auto"/>
      </w:pPr>
      <w:r>
        <w:t xml:space="preserve">Christmas, H. and Srivastava, J. (2019) </w:t>
      </w:r>
      <w:r>
        <w:rPr>
          <w:i/>
          <w:iCs/>
        </w:rPr>
        <w:t xml:space="preserve">Public Health Approaches to Policing: A Discussion Paper, </w:t>
      </w:r>
      <w:r>
        <w:t xml:space="preserve">available at </w:t>
      </w:r>
      <w:hyperlink r:id="rId11" w:history="1">
        <w:r w:rsidRPr="00572870">
          <w:rPr>
            <w:rStyle w:val="Hyperlink"/>
          </w:rPr>
          <w:t>https://assets.college.police.uk/s3fs-public/2021-02/public-health-approaches.pdf</w:t>
        </w:r>
      </w:hyperlink>
      <w:r>
        <w:t xml:space="preserve"> [accessed 31st January 2022]</w:t>
      </w:r>
    </w:p>
    <w:p w14:paraId="022C9356" w14:textId="7C63B4AC" w:rsidR="003E711B" w:rsidRDefault="003E711B" w:rsidP="00544D4F">
      <w:pPr>
        <w:spacing w:line="480" w:lineRule="auto"/>
      </w:pPr>
    </w:p>
    <w:p w14:paraId="18173208" w14:textId="7E7E8CC5" w:rsidR="008F4A09" w:rsidRPr="008F4A09" w:rsidRDefault="008F4A09" w:rsidP="00544D4F">
      <w:pPr>
        <w:spacing w:line="480" w:lineRule="auto"/>
      </w:pPr>
      <w:r>
        <w:t xml:space="preserve">College of Policing (2021) </w:t>
      </w:r>
      <w:r>
        <w:rPr>
          <w:i/>
          <w:iCs/>
        </w:rPr>
        <w:t xml:space="preserve">Policing and Health Collaboration: Landscape Review 2021, </w:t>
      </w:r>
      <w:r>
        <w:t xml:space="preserve">available at </w:t>
      </w:r>
      <w:hyperlink r:id="rId12" w:history="1">
        <w:r w:rsidRPr="00572870">
          <w:rPr>
            <w:rStyle w:val="Hyperlink"/>
          </w:rPr>
          <w:t>https://assets.college.police.uk/s3fs-public/2021-09/policing-and-health-collaboration-landscape-review-2021.pdf</w:t>
        </w:r>
      </w:hyperlink>
      <w:r>
        <w:t xml:space="preserve"> [accessed 31st January 2022]</w:t>
      </w:r>
      <w:r>
        <w:rPr>
          <w:i/>
          <w:iCs/>
        </w:rPr>
        <w:t xml:space="preserve"> </w:t>
      </w:r>
    </w:p>
    <w:p w14:paraId="2CE7018B" w14:textId="77777777" w:rsidR="008F4A09" w:rsidRDefault="008F4A09" w:rsidP="00544D4F">
      <w:pPr>
        <w:spacing w:line="480" w:lineRule="auto"/>
      </w:pPr>
    </w:p>
    <w:p w14:paraId="1DDC1D3A" w14:textId="57EB62F7" w:rsidR="00283976" w:rsidRDefault="00283976" w:rsidP="00544D4F">
      <w:pPr>
        <w:autoSpaceDE w:val="0"/>
        <w:autoSpaceDN w:val="0"/>
        <w:adjustRightInd w:val="0"/>
        <w:spacing w:line="480" w:lineRule="auto"/>
        <w:jc w:val="both"/>
        <w:rPr>
          <w:color w:val="000000"/>
        </w:rPr>
      </w:pPr>
      <w:r w:rsidRPr="009422C2">
        <w:rPr>
          <w:color w:val="000000"/>
        </w:rPr>
        <w:t xml:space="preserve">Cusick, L. (2006) ‘Widening the Harm Reduction Agenda: From Drug Use to Sex Work’, </w:t>
      </w:r>
      <w:r w:rsidRPr="009422C2">
        <w:rPr>
          <w:i/>
          <w:color w:val="000000"/>
        </w:rPr>
        <w:t xml:space="preserve">International Journal of Drug Policy, </w:t>
      </w:r>
      <w:r w:rsidRPr="009422C2">
        <w:rPr>
          <w:color w:val="000000"/>
        </w:rPr>
        <w:t>17(1): 3-11.</w:t>
      </w:r>
    </w:p>
    <w:p w14:paraId="7DD2509C" w14:textId="77777777" w:rsidR="00F10BDC" w:rsidRDefault="00F10BDC" w:rsidP="00544D4F">
      <w:pPr>
        <w:autoSpaceDE w:val="0"/>
        <w:autoSpaceDN w:val="0"/>
        <w:adjustRightInd w:val="0"/>
        <w:spacing w:line="480" w:lineRule="auto"/>
        <w:jc w:val="both"/>
        <w:rPr>
          <w:color w:val="000000"/>
        </w:rPr>
      </w:pPr>
    </w:p>
    <w:p w14:paraId="1DEF36AC" w14:textId="54D297D2" w:rsidR="00F10BDC" w:rsidRPr="00DF1F99" w:rsidRDefault="00F10BDC" w:rsidP="00544D4F">
      <w:pPr>
        <w:autoSpaceDE w:val="0"/>
        <w:autoSpaceDN w:val="0"/>
        <w:adjustRightInd w:val="0"/>
        <w:spacing w:line="480" w:lineRule="auto"/>
        <w:jc w:val="both"/>
        <w:rPr>
          <w:i/>
          <w:iCs/>
          <w:color w:val="000000"/>
        </w:rPr>
      </w:pPr>
      <w:r>
        <w:rPr>
          <w:color w:val="000000"/>
        </w:rPr>
        <w:t xml:space="preserve">Davies, P., Barlow, </w:t>
      </w:r>
      <w:r w:rsidR="000E133E">
        <w:rPr>
          <w:color w:val="000000"/>
        </w:rPr>
        <w:t xml:space="preserve">C. and Fish, R. (2023) ‘The Hard and Complex Work of Implementing New Multi-Agency Risk Assessment Approaches to Policing Domestic Abuse’, </w:t>
      </w:r>
      <w:r w:rsidR="000E133E">
        <w:rPr>
          <w:i/>
          <w:iCs/>
          <w:color w:val="000000"/>
        </w:rPr>
        <w:t>Crime Prevention and Community Safety</w:t>
      </w:r>
    </w:p>
    <w:p w14:paraId="38AF7E07" w14:textId="77777777" w:rsidR="008F4A09" w:rsidRDefault="008F4A09" w:rsidP="00544D4F">
      <w:pPr>
        <w:spacing w:line="480" w:lineRule="auto"/>
      </w:pPr>
    </w:p>
    <w:p w14:paraId="58A586BF" w14:textId="7B1C6CC7" w:rsidR="003E711B" w:rsidRDefault="003E711B" w:rsidP="00544D4F">
      <w:pPr>
        <w:spacing w:line="480" w:lineRule="auto"/>
        <w:rPr>
          <w:color w:val="000000"/>
          <w:shd w:val="clear" w:color="auto" w:fill="FFFFFF"/>
        </w:rPr>
      </w:pPr>
      <w:proofErr w:type="spellStart"/>
      <w:r>
        <w:rPr>
          <w:color w:val="000000"/>
          <w:shd w:val="clear" w:color="auto" w:fill="FFFFFF"/>
        </w:rPr>
        <w:lastRenderedPageBreak/>
        <w:t>Declich</w:t>
      </w:r>
      <w:proofErr w:type="spellEnd"/>
      <w:r>
        <w:rPr>
          <w:color w:val="000000"/>
          <w:shd w:val="clear" w:color="auto" w:fill="FFFFFF"/>
        </w:rPr>
        <w:t>, S. and Carter, A. (1994)</w:t>
      </w:r>
      <w:r>
        <w:rPr>
          <w:rStyle w:val="apple-converted-space"/>
          <w:color w:val="000000"/>
          <w:shd w:val="clear" w:color="auto" w:fill="FFFFFF"/>
        </w:rPr>
        <w:t> ‘</w:t>
      </w:r>
      <w:r>
        <w:rPr>
          <w:rStyle w:val="ref-title"/>
          <w:color w:val="000000"/>
        </w:rPr>
        <w:t>Public health surveillance: historical origins, methods, and evaluation’</w:t>
      </w:r>
      <w:r w:rsidR="00764F15">
        <w:rPr>
          <w:color w:val="000000"/>
          <w:shd w:val="clear" w:color="auto" w:fill="FFFFFF"/>
        </w:rPr>
        <w:t>,</w:t>
      </w:r>
      <w:r>
        <w:rPr>
          <w:rStyle w:val="apple-converted-space"/>
          <w:color w:val="000000"/>
          <w:shd w:val="clear" w:color="auto" w:fill="FFFFFF"/>
        </w:rPr>
        <w:t> </w:t>
      </w:r>
      <w:r>
        <w:rPr>
          <w:rStyle w:val="ref-journal"/>
          <w:i/>
          <w:iCs/>
          <w:color w:val="000000"/>
        </w:rPr>
        <w:t>Bull</w:t>
      </w:r>
      <w:r w:rsidR="007A51B8">
        <w:rPr>
          <w:rStyle w:val="ref-journal"/>
          <w:i/>
          <w:iCs/>
          <w:color w:val="000000"/>
        </w:rPr>
        <w:t>etin</w:t>
      </w:r>
      <w:r>
        <w:rPr>
          <w:rStyle w:val="ref-journal"/>
          <w:i/>
          <w:iCs/>
          <w:color w:val="000000"/>
        </w:rPr>
        <w:t xml:space="preserve"> World Health Organ</w:t>
      </w:r>
      <w:r w:rsidR="007A51B8">
        <w:rPr>
          <w:rStyle w:val="ref-journal"/>
          <w:i/>
          <w:iCs/>
          <w:color w:val="000000"/>
        </w:rPr>
        <w:t>isation</w:t>
      </w:r>
      <w:r w:rsidR="007A51B8">
        <w:rPr>
          <w:color w:val="000000"/>
          <w:shd w:val="clear" w:color="auto" w:fill="FFFFFF"/>
        </w:rPr>
        <w:t>,</w:t>
      </w:r>
      <w:r>
        <w:rPr>
          <w:color w:val="000000"/>
          <w:shd w:val="clear" w:color="auto" w:fill="FFFFFF"/>
        </w:rPr>
        <w:t xml:space="preserve"> </w:t>
      </w:r>
      <w:r>
        <w:rPr>
          <w:rStyle w:val="ref-vol"/>
          <w:color w:val="000000"/>
        </w:rPr>
        <w:t>72</w:t>
      </w:r>
      <w:r>
        <w:rPr>
          <w:color w:val="000000"/>
          <w:shd w:val="clear" w:color="auto" w:fill="FFFFFF"/>
        </w:rPr>
        <w:t>(</w:t>
      </w:r>
      <w:r>
        <w:rPr>
          <w:rStyle w:val="ref-iss"/>
          <w:color w:val="000000"/>
        </w:rPr>
        <w:t>2</w:t>
      </w:r>
      <w:r>
        <w:rPr>
          <w:color w:val="000000"/>
          <w:shd w:val="clear" w:color="auto" w:fill="FFFFFF"/>
        </w:rPr>
        <w:t>):</w:t>
      </w:r>
      <w:r w:rsidR="003023CA">
        <w:rPr>
          <w:color w:val="000000"/>
          <w:shd w:val="clear" w:color="auto" w:fill="FFFFFF"/>
        </w:rPr>
        <w:t xml:space="preserve"> </w:t>
      </w:r>
      <w:r>
        <w:rPr>
          <w:color w:val="000000"/>
          <w:shd w:val="clear" w:color="auto" w:fill="FFFFFF"/>
        </w:rPr>
        <w:t>285</w:t>
      </w:r>
      <w:r w:rsidR="003023CA">
        <w:rPr>
          <w:color w:val="000000"/>
          <w:shd w:val="clear" w:color="auto" w:fill="FFFFFF"/>
        </w:rPr>
        <w:t>-</w:t>
      </w:r>
      <w:r>
        <w:rPr>
          <w:color w:val="000000"/>
          <w:shd w:val="clear" w:color="auto" w:fill="FFFFFF"/>
        </w:rPr>
        <w:t>304</w:t>
      </w:r>
      <w:r w:rsidR="007A51B8">
        <w:rPr>
          <w:color w:val="000000"/>
          <w:shd w:val="clear" w:color="auto" w:fill="FFFFFF"/>
        </w:rPr>
        <w:t>.</w:t>
      </w:r>
    </w:p>
    <w:p w14:paraId="230B793A" w14:textId="77777777" w:rsidR="00283976" w:rsidRDefault="00283976" w:rsidP="00544D4F">
      <w:pPr>
        <w:spacing w:line="480" w:lineRule="auto"/>
      </w:pPr>
    </w:p>
    <w:p w14:paraId="3B7E6499" w14:textId="0D0A0774" w:rsidR="00283976" w:rsidRDefault="00283976" w:rsidP="00544D4F">
      <w:pPr>
        <w:autoSpaceDE w:val="0"/>
        <w:autoSpaceDN w:val="0"/>
        <w:adjustRightInd w:val="0"/>
        <w:spacing w:line="480" w:lineRule="auto"/>
        <w:jc w:val="both"/>
        <w:rPr>
          <w:color w:val="2A2A2A"/>
        </w:rPr>
      </w:pPr>
      <w:r w:rsidRPr="009422C2">
        <w:rPr>
          <w:color w:val="000000"/>
        </w:rPr>
        <w:t xml:space="preserve">Department for Education (2017) </w:t>
      </w:r>
      <w:r w:rsidRPr="009422C2">
        <w:rPr>
          <w:i/>
          <w:color w:val="000000"/>
        </w:rPr>
        <w:t xml:space="preserve">Child Sexual Exploitation: Definition and a guide for practitioners, local leaders and decision makers working to protect children from child sexual exploitation, </w:t>
      </w:r>
      <w:r w:rsidRPr="009422C2">
        <w:rPr>
          <w:color w:val="000000"/>
        </w:rPr>
        <w:t xml:space="preserve">available from </w:t>
      </w:r>
      <w:hyperlink r:id="rId13" w:history="1">
        <w:r w:rsidRPr="009422C2">
          <w:rPr>
            <w:rStyle w:val="Hyperlink"/>
          </w:rPr>
          <w:t>https://assets.publishing.service.gov.uk/government/uploads/system/uploads/attachment_data/file/591903/CSE_Guidance_Core_Document_13.02.2017.pdf</w:t>
        </w:r>
      </w:hyperlink>
      <w:r w:rsidRPr="009422C2">
        <w:rPr>
          <w:color w:val="000000"/>
        </w:rPr>
        <w:t xml:space="preserve"> [accessed 18th May 2018]</w:t>
      </w:r>
      <w:r>
        <w:rPr>
          <w:color w:val="2A2A2A"/>
        </w:rPr>
        <w:t>.</w:t>
      </w:r>
    </w:p>
    <w:p w14:paraId="54CCB66B" w14:textId="1C6D98BF" w:rsidR="00EC1863" w:rsidRDefault="00EC1863" w:rsidP="00544D4F">
      <w:pPr>
        <w:autoSpaceDE w:val="0"/>
        <w:autoSpaceDN w:val="0"/>
        <w:adjustRightInd w:val="0"/>
        <w:spacing w:line="480" w:lineRule="auto"/>
        <w:jc w:val="both"/>
        <w:rPr>
          <w:color w:val="2A2A2A"/>
        </w:rPr>
      </w:pPr>
    </w:p>
    <w:p w14:paraId="039D51FD" w14:textId="77DCEF7F" w:rsidR="00DA2F00" w:rsidRDefault="00C81BA6" w:rsidP="00544D4F">
      <w:pPr>
        <w:autoSpaceDE w:val="0"/>
        <w:autoSpaceDN w:val="0"/>
        <w:adjustRightInd w:val="0"/>
        <w:spacing w:line="480" w:lineRule="auto"/>
        <w:jc w:val="both"/>
        <w:rPr>
          <w:color w:val="2A2A2A"/>
        </w:rPr>
      </w:pPr>
      <w:proofErr w:type="spellStart"/>
      <w:r>
        <w:rPr>
          <w:color w:val="2A2A2A"/>
        </w:rPr>
        <w:t>Finkelhor</w:t>
      </w:r>
      <w:proofErr w:type="spellEnd"/>
      <w:r>
        <w:rPr>
          <w:color w:val="2A2A2A"/>
        </w:rPr>
        <w:t>, D. (2009)</w:t>
      </w:r>
      <w:r w:rsidR="00DA2F00">
        <w:rPr>
          <w:color w:val="2A2A2A"/>
        </w:rPr>
        <w:t xml:space="preserve"> ‘</w:t>
      </w:r>
      <w:r w:rsidR="00DA2F00" w:rsidRPr="00DA2F00">
        <w:t>The prevention of childhood sexual abuse</w:t>
      </w:r>
      <w:r w:rsidR="00DA2F00">
        <w:t xml:space="preserve">’. </w:t>
      </w:r>
      <w:r w:rsidR="00DA2F00" w:rsidRPr="00DF1F99">
        <w:rPr>
          <w:i/>
          <w:iCs/>
        </w:rPr>
        <w:t>Future Child</w:t>
      </w:r>
      <w:r w:rsidR="00DA2F00">
        <w:t xml:space="preserve"> 18:169-94</w:t>
      </w:r>
    </w:p>
    <w:p w14:paraId="74F054D9" w14:textId="77777777" w:rsidR="00C81BA6" w:rsidRDefault="00C81BA6" w:rsidP="00544D4F">
      <w:pPr>
        <w:spacing w:line="480" w:lineRule="auto"/>
        <w:textAlignment w:val="baseline"/>
      </w:pPr>
    </w:p>
    <w:p w14:paraId="33898D43" w14:textId="0DFE6EE1" w:rsidR="00EC1863" w:rsidRDefault="00EC1863" w:rsidP="00544D4F">
      <w:pPr>
        <w:spacing w:line="480" w:lineRule="auto"/>
        <w:textAlignment w:val="baseline"/>
      </w:pPr>
      <w:r w:rsidRPr="00352EFD">
        <w:t>Glaser,</w:t>
      </w:r>
      <w:r w:rsidRPr="00352EFD">
        <w:rPr>
          <w:rStyle w:val="apple-converted-space"/>
        </w:rPr>
        <w:t> </w:t>
      </w:r>
      <w:r w:rsidRPr="00352EFD">
        <w:t>B</w:t>
      </w:r>
      <w:r>
        <w:t>.</w:t>
      </w:r>
      <w:r w:rsidRPr="00352EFD">
        <w:rPr>
          <w:rStyle w:val="apple-converted-space"/>
        </w:rPr>
        <w:t> </w:t>
      </w:r>
      <w:r w:rsidRPr="00352EFD">
        <w:t>and</w:t>
      </w:r>
      <w:r w:rsidRPr="00352EFD">
        <w:rPr>
          <w:rStyle w:val="apple-converted-space"/>
        </w:rPr>
        <w:t> </w:t>
      </w:r>
      <w:r w:rsidRPr="00352EFD">
        <w:rPr>
          <w:bdr w:val="none" w:sz="0" w:space="0" w:color="auto" w:frame="1"/>
        </w:rPr>
        <w:t>Strauss</w:t>
      </w:r>
      <w:r w:rsidRPr="00352EFD">
        <w:rPr>
          <w:rStyle w:val="name"/>
          <w:bdr w:val="none" w:sz="0" w:space="0" w:color="auto" w:frame="1"/>
        </w:rPr>
        <w:t>,</w:t>
      </w:r>
      <w:r w:rsidRPr="00352EFD">
        <w:rPr>
          <w:rStyle w:val="apple-converted-space"/>
          <w:bdr w:val="none" w:sz="0" w:space="0" w:color="auto" w:frame="1"/>
        </w:rPr>
        <w:t> </w:t>
      </w:r>
      <w:r w:rsidRPr="00352EFD">
        <w:rPr>
          <w:bdr w:val="none" w:sz="0" w:space="0" w:color="auto" w:frame="1"/>
        </w:rPr>
        <w:t>A</w:t>
      </w:r>
      <w:r w:rsidRPr="00352EFD">
        <w:t>. (</w:t>
      </w:r>
      <w:r>
        <w:t>2017)</w:t>
      </w:r>
      <w:r w:rsidRPr="00352EFD">
        <w:rPr>
          <w:i/>
          <w:iCs/>
        </w:rPr>
        <w:t xml:space="preserve"> Discovery of Grounded Theory: Strategies for Qualitative Research</w:t>
      </w:r>
      <w:r w:rsidRPr="00352EFD">
        <w:t>.</w:t>
      </w:r>
      <w:r w:rsidRPr="00352EFD">
        <w:rPr>
          <w:rStyle w:val="apple-converted-space"/>
        </w:rPr>
        <w:t> </w:t>
      </w:r>
      <w:r>
        <w:rPr>
          <w:rStyle w:val="apple-converted-space"/>
        </w:rPr>
        <w:t xml:space="preserve">New York: </w:t>
      </w:r>
      <w:r w:rsidRPr="00352EFD">
        <w:t>Aldine Publishing Company.</w:t>
      </w:r>
    </w:p>
    <w:p w14:paraId="6D9E8626" w14:textId="36A866F2" w:rsidR="001C265B" w:rsidRDefault="001C265B" w:rsidP="00544D4F">
      <w:pPr>
        <w:spacing w:line="480" w:lineRule="auto"/>
        <w:textAlignment w:val="baseline"/>
      </w:pPr>
    </w:p>
    <w:p w14:paraId="75822E73" w14:textId="0C85F65F" w:rsidR="001C265B" w:rsidRPr="001C265B" w:rsidRDefault="001C265B" w:rsidP="00544D4F">
      <w:pPr>
        <w:spacing w:line="480" w:lineRule="auto"/>
        <w:textAlignment w:val="baseline"/>
        <w:rPr>
          <w:color w:val="000000"/>
        </w:rPr>
      </w:pPr>
      <w:r>
        <w:t xml:space="preserve">Goldson, B. and Muncie, J. (2015) </w:t>
      </w:r>
      <w:r>
        <w:rPr>
          <w:i/>
          <w:iCs/>
        </w:rPr>
        <w:t>Youth Crime and Justice</w:t>
      </w:r>
      <w:r w:rsidR="003023CA">
        <w:rPr>
          <w:i/>
          <w:iCs/>
        </w:rPr>
        <w:t xml:space="preserve">. </w:t>
      </w:r>
      <w:r>
        <w:t>London: Sage.</w:t>
      </w:r>
    </w:p>
    <w:p w14:paraId="1EC01BF7" w14:textId="4318CB38" w:rsidR="00A46394" w:rsidRDefault="003A1ED2" w:rsidP="00544D4F">
      <w:pPr>
        <w:spacing w:before="100" w:beforeAutospacing="1" w:after="100" w:afterAutospacing="1" w:line="480" w:lineRule="auto"/>
        <w:jc w:val="both"/>
        <w:rPr>
          <w:rStyle w:val="ref-lnk"/>
        </w:rPr>
      </w:pPr>
      <w:r>
        <w:rPr>
          <w:rStyle w:val="ref-lnk"/>
        </w:rPr>
        <w:t xml:space="preserve">Haggerty, </w:t>
      </w:r>
      <w:r w:rsidR="00785CBE">
        <w:rPr>
          <w:rStyle w:val="ref-lnk"/>
        </w:rPr>
        <w:t>K. (2006) ‘Tear Down the Walls: On Demolishing the Panoptic</w:t>
      </w:r>
      <w:r w:rsidR="003830DE">
        <w:rPr>
          <w:rStyle w:val="ref-lnk"/>
        </w:rPr>
        <w:t>o</w:t>
      </w:r>
      <w:r w:rsidR="00785CBE">
        <w:rPr>
          <w:rStyle w:val="ref-lnk"/>
        </w:rPr>
        <w:t>n’, in D. Lyon (ed.)</w:t>
      </w:r>
      <w:r w:rsidR="003830DE">
        <w:rPr>
          <w:rStyle w:val="ref-lnk"/>
        </w:rPr>
        <w:t xml:space="preserve">, </w:t>
      </w:r>
      <w:r w:rsidR="003830DE" w:rsidRPr="00596474">
        <w:rPr>
          <w:rStyle w:val="ref-lnk"/>
          <w:i/>
          <w:iCs/>
        </w:rPr>
        <w:t>Theorising Surveillance: The Panopticon and Beyond</w:t>
      </w:r>
      <w:r w:rsidR="00D75351" w:rsidRPr="00BF2A25">
        <w:rPr>
          <w:rStyle w:val="ref-lnk"/>
        </w:rPr>
        <w:t xml:space="preserve">. </w:t>
      </w:r>
      <w:r w:rsidR="00D75351">
        <w:rPr>
          <w:rStyle w:val="ref-lnk"/>
        </w:rPr>
        <w:t>Portland: Willan Publishing.</w:t>
      </w:r>
      <w:r w:rsidR="003830DE" w:rsidRPr="00BF2A25">
        <w:rPr>
          <w:rStyle w:val="ref-lnk"/>
        </w:rPr>
        <w:t xml:space="preserve"> </w:t>
      </w:r>
      <w:r w:rsidR="00785CBE">
        <w:rPr>
          <w:rStyle w:val="ref-lnk"/>
        </w:rPr>
        <w:t xml:space="preserve"> </w:t>
      </w:r>
    </w:p>
    <w:p w14:paraId="5CEEB797" w14:textId="0A495988" w:rsidR="00283976" w:rsidRDefault="00283976" w:rsidP="00544D4F">
      <w:pPr>
        <w:autoSpaceDE w:val="0"/>
        <w:autoSpaceDN w:val="0"/>
        <w:adjustRightInd w:val="0"/>
        <w:spacing w:line="480" w:lineRule="auto"/>
        <w:jc w:val="both"/>
        <w:rPr>
          <w:color w:val="000000"/>
        </w:rPr>
      </w:pPr>
      <w:r w:rsidRPr="009422C2">
        <w:rPr>
          <w:color w:val="000000"/>
        </w:rPr>
        <w:t xml:space="preserve">HM Government (2015) ‘PM Unveils Tough New Measures to Tackle Child Sexual Exploitation’, available from </w:t>
      </w:r>
      <w:hyperlink r:id="rId14" w:history="1">
        <w:r w:rsidRPr="009422C2">
          <w:rPr>
            <w:rStyle w:val="Hyperlink"/>
          </w:rPr>
          <w:t>https://www.gov.uk/government/news/pm-unveils-tough-new-measures-to-tackle-child-sexual-exploitation</w:t>
        </w:r>
      </w:hyperlink>
      <w:r w:rsidRPr="009422C2">
        <w:rPr>
          <w:color w:val="000000"/>
        </w:rPr>
        <w:t xml:space="preserve"> [accessed 18th May 2018]</w:t>
      </w:r>
      <w:r>
        <w:rPr>
          <w:color w:val="000000"/>
        </w:rPr>
        <w:t>.</w:t>
      </w:r>
    </w:p>
    <w:p w14:paraId="4F72FC6A" w14:textId="77777777" w:rsidR="00283976" w:rsidRPr="00544D4F" w:rsidRDefault="00283976" w:rsidP="00544D4F">
      <w:pPr>
        <w:autoSpaceDE w:val="0"/>
        <w:autoSpaceDN w:val="0"/>
        <w:adjustRightInd w:val="0"/>
        <w:spacing w:line="480" w:lineRule="auto"/>
        <w:jc w:val="both"/>
        <w:rPr>
          <w:rStyle w:val="ref-lnk"/>
          <w:color w:val="000000"/>
        </w:rPr>
      </w:pPr>
    </w:p>
    <w:p w14:paraId="39C69B2C" w14:textId="6DF8A8C4" w:rsidR="00283976" w:rsidRDefault="00283976" w:rsidP="00544D4F">
      <w:pPr>
        <w:autoSpaceDE w:val="0"/>
        <w:autoSpaceDN w:val="0"/>
        <w:adjustRightInd w:val="0"/>
        <w:spacing w:line="480" w:lineRule="auto"/>
        <w:jc w:val="both"/>
        <w:rPr>
          <w:color w:val="000000"/>
        </w:rPr>
      </w:pPr>
      <w:r w:rsidRPr="009422C2">
        <w:rPr>
          <w:color w:val="000000"/>
        </w:rPr>
        <w:t xml:space="preserve">Home Office and Javid, S. (2018) </w:t>
      </w:r>
      <w:r w:rsidRPr="009422C2">
        <w:rPr>
          <w:i/>
          <w:color w:val="000000"/>
        </w:rPr>
        <w:t>Home Office Announces New Measures to Tackle Serious Violence</w:t>
      </w:r>
      <w:r w:rsidR="003023CA">
        <w:rPr>
          <w:i/>
          <w:color w:val="000000"/>
        </w:rPr>
        <w:t>.</w:t>
      </w:r>
      <w:r w:rsidRPr="009422C2">
        <w:rPr>
          <w:i/>
          <w:color w:val="000000"/>
        </w:rPr>
        <w:t xml:space="preserve"> </w:t>
      </w:r>
      <w:r w:rsidR="003023CA">
        <w:rPr>
          <w:color w:val="000000"/>
        </w:rPr>
        <w:t>A</w:t>
      </w:r>
      <w:r w:rsidRPr="009422C2">
        <w:rPr>
          <w:color w:val="000000"/>
        </w:rPr>
        <w:t xml:space="preserve">vailable from </w:t>
      </w:r>
      <w:hyperlink r:id="rId15" w:history="1">
        <w:r w:rsidRPr="009422C2">
          <w:rPr>
            <w:rStyle w:val="Hyperlink"/>
          </w:rPr>
          <w:t>https://www.gov.uk/government/news/home-secretary-announces-new-measures-to-tackle-serious-violence</w:t>
        </w:r>
      </w:hyperlink>
      <w:r w:rsidRPr="009422C2">
        <w:rPr>
          <w:color w:val="000000"/>
        </w:rPr>
        <w:t xml:space="preserve"> [accessed 9th January 2019].</w:t>
      </w:r>
    </w:p>
    <w:p w14:paraId="7B9344FC" w14:textId="77777777" w:rsidR="008841B7" w:rsidRDefault="008841B7" w:rsidP="00544D4F">
      <w:pPr>
        <w:autoSpaceDE w:val="0"/>
        <w:autoSpaceDN w:val="0"/>
        <w:adjustRightInd w:val="0"/>
        <w:spacing w:line="480" w:lineRule="auto"/>
        <w:jc w:val="both"/>
        <w:rPr>
          <w:color w:val="000000"/>
        </w:rPr>
      </w:pPr>
    </w:p>
    <w:p w14:paraId="1ED2A2D5" w14:textId="4072340C" w:rsidR="008841B7" w:rsidRPr="00891BAA" w:rsidRDefault="008841B7" w:rsidP="00544D4F">
      <w:pPr>
        <w:autoSpaceDE w:val="0"/>
        <w:autoSpaceDN w:val="0"/>
        <w:adjustRightInd w:val="0"/>
        <w:spacing w:line="480" w:lineRule="auto"/>
        <w:jc w:val="both"/>
        <w:rPr>
          <w:color w:val="000000"/>
        </w:rPr>
      </w:pPr>
      <w:r>
        <w:rPr>
          <w:color w:val="000000"/>
        </w:rPr>
        <w:t xml:space="preserve">Hunter, </w:t>
      </w:r>
      <w:r w:rsidR="003C3CCE">
        <w:rPr>
          <w:color w:val="000000"/>
        </w:rPr>
        <w:t xml:space="preserve">D. and Perkins, N. (2012) ‘Partnership Working in Public Health: The Implications for Governance </w:t>
      </w:r>
      <w:r w:rsidR="00517377">
        <w:rPr>
          <w:color w:val="000000"/>
        </w:rPr>
        <w:t xml:space="preserve">of a Systems Approach’, </w:t>
      </w:r>
      <w:r w:rsidR="00517377">
        <w:rPr>
          <w:i/>
          <w:iCs/>
          <w:color w:val="000000"/>
        </w:rPr>
        <w:t>Journal of Health Services Research and Policy</w:t>
      </w:r>
      <w:r w:rsidR="00891BAA">
        <w:rPr>
          <w:i/>
          <w:iCs/>
          <w:color w:val="000000"/>
        </w:rPr>
        <w:t xml:space="preserve"> </w:t>
      </w:r>
      <w:r w:rsidR="00891BAA">
        <w:rPr>
          <w:color w:val="000000"/>
        </w:rPr>
        <w:t>17(2): 45-52.</w:t>
      </w:r>
    </w:p>
    <w:p w14:paraId="0D05EE91" w14:textId="77777777" w:rsidR="00283976" w:rsidRDefault="00283976" w:rsidP="00544D4F">
      <w:pPr>
        <w:autoSpaceDE w:val="0"/>
        <w:autoSpaceDN w:val="0"/>
        <w:adjustRightInd w:val="0"/>
        <w:spacing w:line="480" w:lineRule="auto"/>
        <w:jc w:val="both"/>
        <w:rPr>
          <w:color w:val="000000"/>
        </w:rPr>
      </w:pPr>
    </w:p>
    <w:p w14:paraId="2788E741" w14:textId="776F5439" w:rsidR="00283976" w:rsidRDefault="00283976" w:rsidP="00544D4F">
      <w:pPr>
        <w:autoSpaceDE w:val="0"/>
        <w:autoSpaceDN w:val="0"/>
        <w:adjustRightInd w:val="0"/>
        <w:spacing w:line="480" w:lineRule="auto"/>
        <w:jc w:val="both"/>
        <w:rPr>
          <w:color w:val="000000"/>
        </w:rPr>
      </w:pPr>
      <w:r w:rsidRPr="009422C2">
        <w:rPr>
          <w:color w:val="000000"/>
        </w:rPr>
        <w:t xml:space="preserve">Jay, A. (2014) </w:t>
      </w:r>
      <w:r w:rsidRPr="009422C2">
        <w:rPr>
          <w:i/>
          <w:color w:val="000000"/>
        </w:rPr>
        <w:t xml:space="preserve">Independent Inquiry into Child Sexual Exploitation in Rotherham, 1997-2013. </w:t>
      </w:r>
      <w:r w:rsidRPr="009422C2">
        <w:rPr>
          <w:color w:val="000000"/>
        </w:rPr>
        <w:t>Available from</w:t>
      </w:r>
    </w:p>
    <w:p w14:paraId="71FC239D" w14:textId="1AB76C40" w:rsidR="00283976" w:rsidRPr="009422C2" w:rsidRDefault="00000000" w:rsidP="00544D4F">
      <w:pPr>
        <w:autoSpaceDE w:val="0"/>
        <w:autoSpaceDN w:val="0"/>
        <w:adjustRightInd w:val="0"/>
        <w:spacing w:line="480" w:lineRule="auto"/>
        <w:jc w:val="both"/>
        <w:rPr>
          <w:color w:val="000000"/>
        </w:rPr>
      </w:pPr>
      <w:hyperlink r:id="rId16" w:history="1">
        <w:r w:rsidR="00283976" w:rsidRPr="00283976">
          <w:rPr>
            <w:rStyle w:val="Hyperlink"/>
          </w:rPr>
          <w:t>https://www.rotherham.gov.uk/downloads/file/1407/independent_inquiry_cse_in_rotherham</w:t>
        </w:r>
      </w:hyperlink>
      <w:r w:rsidR="00283976" w:rsidRPr="009422C2">
        <w:rPr>
          <w:color w:val="000000"/>
        </w:rPr>
        <w:t xml:space="preserve"> [accessed 11th January</w:t>
      </w:r>
      <w:r w:rsidR="00283976">
        <w:rPr>
          <w:color w:val="000000"/>
        </w:rPr>
        <w:t xml:space="preserve"> 2019</w:t>
      </w:r>
      <w:r w:rsidR="00283976" w:rsidRPr="009422C2">
        <w:rPr>
          <w:color w:val="000000"/>
        </w:rPr>
        <w:t>].</w:t>
      </w:r>
    </w:p>
    <w:p w14:paraId="585D37FF" w14:textId="00022A48" w:rsidR="00283976" w:rsidRDefault="008F4A09" w:rsidP="00544D4F">
      <w:pPr>
        <w:spacing w:before="100" w:beforeAutospacing="1" w:after="100" w:afterAutospacing="1" w:line="480" w:lineRule="auto"/>
        <w:jc w:val="both"/>
        <w:rPr>
          <w:rStyle w:val="ref-lnk"/>
        </w:rPr>
      </w:pPr>
      <w:r>
        <w:rPr>
          <w:rStyle w:val="ref-lnk"/>
        </w:rPr>
        <w:t>Kelly, P. (2001) ‘</w:t>
      </w:r>
      <w:r w:rsidRPr="00544D4F">
        <w:rPr>
          <w:rStyle w:val="ref-lnk"/>
        </w:rPr>
        <w:t xml:space="preserve">Youth at Risk: Processes of individualisation and </w:t>
      </w:r>
      <w:proofErr w:type="spellStart"/>
      <w:r w:rsidRPr="00544D4F">
        <w:rPr>
          <w:rStyle w:val="ref-lnk"/>
        </w:rPr>
        <w:t>responsibilisation</w:t>
      </w:r>
      <w:proofErr w:type="spellEnd"/>
      <w:r w:rsidRPr="00544D4F">
        <w:rPr>
          <w:rStyle w:val="ref-lnk"/>
        </w:rPr>
        <w:t xml:space="preserve"> in the risk society</w:t>
      </w:r>
      <w:r>
        <w:rPr>
          <w:rStyle w:val="ref-lnk"/>
        </w:rPr>
        <w:t>’</w:t>
      </w:r>
      <w:r w:rsidRPr="00544D4F">
        <w:rPr>
          <w:rStyle w:val="ref-lnk"/>
        </w:rPr>
        <w:t>, </w:t>
      </w:r>
      <w:r w:rsidRPr="00544D4F">
        <w:rPr>
          <w:rStyle w:val="ref-lnk"/>
          <w:i/>
          <w:iCs/>
        </w:rPr>
        <w:t>Discourse: Studies in the Cultural Politics of Education</w:t>
      </w:r>
      <w:r w:rsidRPr="00544D4F">
        <w:rPr>
          <w:rStyle w:val="ref-lnk"/>
        </w:rPr>
        <w:t> 22</w:t>
      </w:r>
      <w:r>
        <w:rPr>
          <w:rStyle w:val="ref-lnk"/>
        </w:rPr>
        <w:t>(</w:t>
      </w:r>
      <w:r w:rsidRPr="00544D4F">
        <w:rPr>
          <w:rStyle w:val="ref-lnk"/>
        </w:rPr>
        <w:t>1</w:t>
      </w:r>
      <w:r>
        <w:rPr>
          <w:rStyle w:val="ref-lnk"/>
        </w:rPr>
        <w:t>):</w:t>
      </w:r>
      <w:r w:rsidRPr="00544D4F">
        <w:rPr>
          <w:rStyle w:val="ref-lnk"/>
        </w:rPr>
        <w:t> 23-33</w:t>
      </w:r>
    </w:p>
    <w:p w14:paraId="366F3B30" w14:textId="7A36FA45" w:rsidR="00CA0F89" w:rsidRPr="00FF7923" w:rsidRDefault="00CA0F89" w:rsidP="00544D4F">
      <w:pPr>
        <w:spacing w:before="100" w:beforeAutospacing="1" w:after="100" w:afterAutospacing="1" w:line="480" w:lineRule="auto"/>
        <w:jc w:val="both"/>
      </w:pPr>
      <w:r>
        <w:t xml:space="preserve">Letourneau, E., Eaton, W., </w:t>
      </w:r>
      <w:r w:rsidR="00FE532A">
        <w:t>Bass, J., Berlin, F., Moore, S. (2014) ‘</w:t>
      </w:r>
      <w:r w:rsidR="003247D5">
        <w:t xml:space="preserve">The Need for a Comprehensive Public Health Approach to Child Sexual Abuse’, </w:t>
      </w:r>
      <w:r w:rsidR="003247D5">
        <w:rPr>
          <w:i/>
          <w:iCs/>
        </w:rPr>
        <w:t>Public Health Reports,</w:t>
      </w:r>
      <w:r w:rsidR="00FF7923">
        <w:rPr>
          <w:i/>
          <w:iCs/>
        </w:rPr>
        <w:t xml:space="preserve"> </w:t>
      </w:r>
      <w:r w:rsidR="00FF7923">
        <w:t>129: 222-</w:t>
      </w:r>
      <w:r w:rsidR="00880623">
        <w:t>228.</w:t>
      </w:r>
    </w:p>
    <w:p w14:paraId="0BFA4213" w14:textId="192BF3C1" w:rsidR="00283976" w:rsidRDefault="00283976" w:rsidP="00544D4F">
      <w:pPr>
        <w:spacing w:before="100" w:beforeAutospacing="1" w:after="100" w:afterAutospacing="1" w:line="480" w:lineRule="auto"/>
        <w:jc w:val="both"/>
        <w:rPr>
          <w:rStyle w:val="ref-lnk"/>
        </w:rPr>
      </w:pPr>
      <w:r w:rsidRPr="009422C2">
        <w:t xml:space="preserve">Levy, B. and </w:t>
      </w:r>
      <w:proofErr w:type="spellStart"/>
      <w:r w:rsidRPr="009422C2">
        <w:t>Sidel</w:t>
      </w:r>
      <w:proofErr w:type="spellEnd"/>
      <w:r w:rsidRPr="009422C2">
        <w:t>, V. (2007)</w:t>
      </w:r>
      <w:r w:rsidRPr="009422C2">
        <w:rPr>
          <w:color w:val="333333"/>
        </w:rPr>
        <w:t xml:space="preserve"> ‘Challenges that Terrorism Poses to Public Health’, in B. Levy and V. </w:t>
      </w:r>
      <w:proofErr w:type="spellStart"/>
      <w:r w:rsidRPr="009422C2">
        <w:rPr>
          <w:color w:val="333333"/>
        </w:rPr>
        <w:t>Sidel</w:t>
      </w:r>
      <w:proofErr w:type="spellEnd"/>
      <w:r>
        <w:rPr>
          <w:color w:val="333333"/>
        </w:rPr>
        <w:t xml:space="preserve"> (eds.)</w:t>
      </w:r>
      <w:r w:rsidRPr="009422C2">
        <w:rPr>
          <w:color w:val="333333"/>
        </w:rPr>
        <w:t xml:space="preserve"> </w:t>
      </w:r>
      <w:r w:rsidRPr="009422C2">
        <w:rPr>
          <w:i/>
          <w:color w:val="333333"/>
        </w:rPr>
        <w:t xml:space="preserve">Terrorism and Public Health: </w:t>
      </w:r>
      <w:proofErr w:type="gramStart"/>
      <w:r w:rsidRPr="009422C2">
        <w:rPr>
          <w:i/>
          <w:color w:val="333333"/>
        </w:rPr>
        <w:t>a</w:t>
      </w:r>
      <w:proofErr w:type="gramEnd"/>
      <w:r w:rsidRPr="009422C2">
        <w:rPr>
          <w:i/>
          <w:color w:val="333333"/>
        </w:rPr>
        <w:t xml:space="preserve"> Balanced Approach to Strengthening Systems and Protecting People.</w:t>
      </w:r>
      <w:r w:rsidRPr="009422C2">
        <w:rPr>
          <w:color w:val="333333"/>
        </w:rPr>
        <w:t xml:space="preserve"> New York, NY: Oxford University Press.</w:t>
      </w:r>
    </w:p>
    <w:p w14:paraId="181247B5" w14:textId="4632E4B7" w:rsidR="00A818FD" w:rsidRDefault="00A818FD" w:rsidP="00544D4F">
      <w:pPr>
        <w:spacing w:line="480" w:lineRule="auto"/>
        <w:rPr>
          <w:rStyle w:val="ref-lnk"/>
        </w:rPr>
      </w:pPr>
      <w:r w:rsidRPr="00BF2A25">
        <w:rPr>
          <w:rStyle w:val="ref-lnk"/>
        </w:rPr>
        <w:t xml:space="preserve">Lyon, D. (2006) </w:t>
      </w:r>
      <w:r w:rsidR="00BF2A25">
        <w:rPr>
          <w:rStyle w:val="ref-lnk"/>
        </w:rPr>
        <w:t>‘</w:t>
      </w:r>
      <w:r w:rsidRPr="00BF2A25">
        <w:rPr>
          <w:rStyle w:val="ref-lnk"/>
        </w:rPr>
        <w:t xml:space="preserve">The search for surveillance </w:t>
      </w:r>
      <w:proofErr w:type="gramStart"/>
      <w:r w:rsidRPr="00BF2A25">
        <w:rPr>
          <w:rStyle w:val="ref-lnk"/>
        </w:rPr>
        <w:t>theories</w:t>
      </w:r>
      <w:r w:rsidR="00BF2A25">
        <w:rPr>
          <w:rStyle w:val="ref-lnk"/>
        </w:rPr>
        <w:t>’</w:t>
      </w:r>
      <w:proofErr w:type="gramEnd"/>
      <w:r w:rsidRPr="00BF2A25">
        <w:rPr>
          <w:rStyle w:val="ref-lnk"/>
        </w:rPr>
        <w:t>. In D. Lyon (Ed.) </w:t>
      </w:r>
      <w:r w:rsidRPr="00BF2A25">
        <w:rPr>
          <w:rStyle w:val="ref-lnk"/>
          <w:i/>
          <w:iCs/>
        </w:rPr>
        <w:t>Theorising surveillance: The panopticon and beyond</w:t>
      </w:r>
      <w:r w:rsidRPr="00BF2A25">
        <w:rPr>
          <w:rStyle w:val="ref-lnk"/>
        </w:rPr>
        <w:t> (pp. 3–20). Portland: Willan Publishing.</w:t>
      </w:r>
    </w:p>
    <w:p w14:paraId="358D67D5" w14:textId="6B9C74C6" w:rsidR="002E4DFF" w:rsidRDefault="002E4DFF" w:rsidP="00544D4F">
      <w:pPr>
        <w:spacing w:line="480" w:lineRule="auto"/>
        <w:rPr>
          <w:rStyle w:val="ref-lnk"/>
        </w:rPr>
      </w:pPr>
    </w:p>
    <w:p w14:paraId="6C38C99C" w14:textId="5833D62F" w:rsidR="002E4DFF" w:rsidRPr="00544D4F" w:rsidRDefault="002E4DFF" w:rsidP="00544D4F">
      <w:pPr>
        <w:spacing w:line="480" w:lineRule="auto"/>
        <w:rPr>
          <w:rStyle w:val="ref-lnk"/>
          <w:color w:val="000000" w:themeColor="text1"/>
        </w:rPr>
      </w:pPr>
      <w:r w:rsidRPr="00544D4F">
        <w:rPr>
          <w:color w:val="000000" w:themeColor="text1"/>
          <w:shd w:val="clear" w:color="auto" w:fill="FFFFFF"/>
        </w:rPr>
        <w:t xml:space="preserve">Mariner, W (2007) ‘Mission Creep: Public Health Surveillance and Medical Privacy’ </w:t>
      </w:r>
      <w:r w:rsidRPr="00544D4F">
        <w:rPr>
          <w:i/>
          <w:iCs/>
          <w:color w:val="000000" w:themeColor="text1"/>
          <w:shd w:val="clear" w:color="auto" w:fill="FFFFFF"/>
        </w:rPr>
        <w:t>Boston University Law Review</w:t>
      </w:r>
      <w:r w:rsidRPr="00544D4F">
        <w:rPr>
          <w:color w:val="000000" w:themeColor="text1"/>
          <w:shd w:val="clear" w:color="auto" w:fill="FFFFFF"/>
        </w:rPr>
        <w:t>, 87(2): 347.</w:t>
      </w:r>
    </w:p>
    <w:p w14:paraId="24EF0FF8" w14:textId="77777777" w:rsidR="00A818FD" w:rsidRDefault="00A818FD" w:rsidP="00544D4F">
      <w:pPr>
        <w:spacing w:line="480" w:lineRule="auto"/>
        <w:rPr>
          <w:rStyle w:val="ref-lnk"/>
        </w:rPr>
      </w:pPr>
    </w:p>
    <w:p w14:paraId="6464FD50" w14:textId="37BBF216" w:rsidR="005539EF" w:rsidRDefault="00AB5FDF" w:rsidP="00544D4F">
      <w:pPr>
        <w:spacing w:before="100" w:beforeAutospacing="1" w:after="100" w:afterAutospacing="1" w:line="480" w:lineRule="auto"/>
        <w:rPr>
          <w:color w:val="000000" w:themeColor="text1"/>
          <w:shd w:val="clear" w:color="auto" w:fill="FFFFFF"/>
        </w:rPr>
      </w:pPr>
      <w:r w:rsidRPr="00596474">
        <w:rPr>
          <w:color w:val="000000" w:themeColor="text1"/>
          <w:shd w:val="clear" w:color="auto" w:fill="FFFFFF"/>
        </w:rPr>
        <w:lastRenderedPageBreak/>
        <w:t>McGarry</w:t>
      </w:r>
      <w:r w:rsidR="005C7244" w:rsidRPr="00596474">
        <w:rPr>
          <w:color w:val="000000" w:themeColor="text1"/>
          <w:shd w:val="clear" w:color="auto" w:fill="FFFFFF"/>
        </w:rPr>
        <w:t xml:space="preserve">, R. and </w:t>
      </w:r>
      <w:proofErr w:type="spellStart"/>
      <w:r w:rsidRPr="00596474">
        <w:rPr>
          <w:color w:val="000000" w:themeColor="text1"/>
          <w:shd w:val="clear" w:color="auto" w:fill="FFFFFF"/>
        </w:rPr>
        <w:t>Walklate</w:t>
      </w:r>
      <w:proofErr w:type="spellEnd"/>
      <w:r w:rsidRPr="00596474">
        <w:rPr>
          <w:color w:val="000000" w:themeColor="text1"/>
          <w:shd w:val="clear" w:color="auto" w:fill="FFFFFF"/>
        </w:rPr>
        <w:t>, </w:t>
      </w:r>
      <w:r w:rsidR="005C7244" w:rsidRPr="00596474">
        <w:rPr>
          <w:color w:val="000000" w:themeColor="text1"/>
          <w:shd w:val="clear" w:color="auto" w:fill="FFFFFF"/>
        </w:rPr>
        <w:t xml:space="preserve">S. (2015) </w:t>
      </w:r>
      <w:r w:rsidRPr="00596474">
        <w:rPr>
          <w:rStyle w:val="Emphasis"/>
          <w:color w:val="000000" w:themeColor="text1"/>
          <w:shd w:val="clear" w:color="auto" w:fill="FFFFFF"/>
        </w:rPr>
        <w:t>Victims</w:t>
      </w:r>
      <w:r w:rsidRPr="00596474">
        <w:rPr>
          <w:i/>
          <w:iCs/>
          <w:color w:val="000000" w:themeColor="text1"/>
          <w:shd w:val="clear" w:color="auto" w:fill="FFFFFF"/>
        </w:rPr>
        <w:t>: </w:t>
      </w:r>
      <w:r w:rsidRPr="00596474">
        <w:rPr>
          <w:rStyle w:val="Emphasis"/>
          <w:color w:val="000000" w:themeColor="text1"/>
          <w:shd w:val="clear" w:color="auto" w:fill="FFFFFF"/>
        </w:rPr>
        <w:t>Trauma</w:t>
      </w:r>
      <w:r w:rsidRPr="00596474">
        <w:rPr>
          <w:i/>
          <w:iCs/>
          <w:color w:val="000000" w:themeColor="text1"/>
          <w:shd w:val="clear" w:color="auto" w:fill="FFFFFF"/>
        </w:rPr>
        <w:t>, </w:t>
      </w:r>
      <w:proofErr w:type="gramStart"/>
      <w:r w:rsidRPr="00596474">
        <w:rPr>
          <w:rStyle w:val="Emphasis"/>
          <w:color w:val="000000" w:themeColor="text1"/>
          <w:shd w:val="clear" w:color="auto" w:fill="FFFFFF"/>
        </w:rPr>
        <w:t>Testimony</w:t>
      </w:r>
      <w:proofErr w:type="gramEnd"/>
      <w:r w:rsidRPr="00596474">
        <w:rPr>
          <w:i/>
          <w:iCs/>
          <w:color w:val="000000" w:themeColor="text1"/>
          <w:shd w:val="clear" w:color="auto" w:fill="FFFFFF"/>
        </w:rPr>
        <w:t> and </w:t>
      </w:r>
      <w:r w:rsidRPr="00596474">
        <w:rPr>
          <w:rStyle w:val="Emphasis"/>
          <w:color w:val="000000" w:themeColor="text1"/>
          <w:shd w:val="clear" w:color="auto" w:fill="FFFFFF"/>
        </w:rPr>
        <w:t>Justice</w:t>
      </w:r>
      <w:r w:rsidR="005C7244" w:rsidRPr="00596474">
        <w:rPr>
          <w:color w:val="000000" w:themeColor="text1"/>
          <w:shd w:val="clear" w:color="auto" w:fill="FFFFFF"/>
        </w:rPr>
        <w:t>.</w:t>
      </w:r>
      <w:r w:rsidRPr="00596474">
        <w:rPr>
          <w:color w:val="000000" w:themeColor="text1"/>
          <w:shd w:val="clear" w:color="auto" w:fill="FFFFFF"/>
        </w:rPr>
        <w:t xml:space="preserve"> Routledge: Abingdon</w:t>
      </w:r>
      <w:r w:rsidR="005C7244" w:rsidRPr="00596474">
        <w:rPr>
          <w:color w:val="000000" w:themeColor="text1"/>
          <w:shd w:val="clear" w:color="auto" w:fill="FFFFFF"/>
        </w:rPr>
        <w:t>.</w:t>
      </w:r>
    </w:p>
    <w:p w14:paraId="4B8DE6A4" w14:textId="1909C085" w:rsidR="00906CE0" w:rsidRPr="003023CA" w:rsidRDefault="00906CE0" w:rsidP="00DF1F99">
      <w:pPr>
        <w:autoSpaceDE w:val="0"/>
        <w:autoSpaceDN w:val="0"/>
        <w:adjustRightInd w:val="0"/>
        <w:spacing w:line="480" w:lineRule="auto"/>
        <w:rPr>
          <w:color w:val="000000" w:themeColor="text1"/>
        </w:rPr>
      </w:pPr>
      <w:r>
        <w:rPr>
          <w:rStyle w:val="ref-lnk"/>
        </w:rPr>
        <w:t xml:space="preserve">Moore, M. (1995) ‘Public Health and Criminal Justice Approaches to Prevention’, </w:t>
      </w:r>
      <w:r w:rsidRPr="00BF2A25">
        <w:rPr>
          <w:rStyle w:val="ref-lnk"/>
          <w:i/>
          <w:iCs/>
        </w:rPr>
        <w:t>Crime and Justice: Review of Research</w:t>
      </w:r>
      <w:r w:rsidRPr="00BF2A25">
        <w:rPr>
          <w:rStyle w:val="ref-lnk"/>
        </w:rPr>
        <w:t>, 19: 237-262.</w:t>
      </w:r>
    </w:p>
    <w:p w14:paraId="0C9F1CCA" w14:textId="77777777" w:rsidR="0030563D" w:rsidRPr="008B51D0" w:rsidRDefault="0030563D" w:rsidP="00CF2F2B">
      <w:pPr>
        <w:pStyle w:val="Heading1"/>
        <w:spacing w:after="120" w:line="480" w:lineRule="auto"/>
        <w:jc w:val="both"/>
        <w:rPr>
          <w:rFonts w:ascii="Times New Roman" w:hAnsi="Times New Roman"/>
          <w:b w:val="0"/>
          <w:sz w:val="24"/>
          <w:szCs w:val="24"/>
        </w:rPr>
      </w:pPr>
      <w:r w:rsidRPr="008B51D0">
        <w:rPr>
          <w:rFonts w:ascii="Times New Roman" w:hAnsi="Times New Roman"/>
          <w:b w:val="0"/>
          <w:sz w:val="24"/>
          <w:szCs w:val="24"/>
        </w:rPr>
        <w:t xml:space="preserve">Mythen, G. and </w:t>
      </w:r>
      <w:proofErr w:type="spellStart"/>
      <w:r w:rsidRPr="008B51D0">
        <w:rPr>
          <w:rFonts w:ascii="Times New Roman" w:hAnsi="Times New Roman"/>
          <w:b w:val="0"/>
          <w:sz w:val="24"/>
          <w:szCs w:val="24"/>
        </w:rPr>
        <w:t>Walklate</w:t>
      </w:r>
      <w:proofErr w:type="spellEnd"/>
      <w:r w:rsidRPr="008B51D0">
        <w:rPr>
          <w:rFonts w:ascii="Times New Roman" w:hAnsi="Times New Roman"/>
          <w:b w:val="0"/>
          <w:sz w:val="24"/>
          <w:szCs w:val="24"/>
        </w:rPr>
        <w:t xml:space="preserve">, S. (2010) ‘Pre-crime, Regulation, and Counter-terrorism: Interrogating Anticipatory Risk’, </w:t>
      </w:r>
      <w:r w:rsidRPr="008B51D0">
        <w:rPr>
          <w:rFonts w:ascii="Times New Roman" w:hAnsi="Times New Roman"/>
          <w:b w:val="0"/>
          <w:i/>
          <w:sz w:val="24"/>
          <w:szCs w:val="24"/>
        </w:rPr>
        <w:t>Criminal Justice Matters</w:t>
      </w:r>
      <w:r>
        <w:rPr>
          <w:rFonts w:ascii="Times New Roman" w:hAnsi="Times New Roman"/>
          <w:b w:val="0"/>
          <w:sz w:val="24"/>
          <w:szCs w:val="24"/>
        </w:rPr>
        <w:t>, 81</w:t>
      </w:r>
      <w:r w:rsidRPr="008B51D0">
        <w:rPr>
          <w:rFonts w:ascii="Times New Roman" w:hAnsi="Times New Roman"/>
          <w:b w:val="0"/>
          <w:sz w:val="24"/>
          <w:szCs w:val="24"/>
        </w:rPr>
        <w:t>(1): 34-36.</w:t>
      </w:r>
    </w:p>
    <w:p w14:paraId="00D8E22B" w14:textId="77777777" w:rsidR="00906CE0" w:rsidRPr="00BF2A25" w:rsidRDefault="00906CE0" w:rsidP="00906CE0">
      <w:pPr>
        <w:pStyle w:val="NormalWeb"/>
        <w:spacing w:line="480" w:lineRule="auto"/>
        <w:rPr>
          <w:rStyle w:val="ref-lnk"/>
        </w:rPr>
      </w:pPr>
      <w:r w:rsidRPr="00CF2F2B">
        <w:rPr>
          <w:rStyle w:val="ref-lnk"/>
        </w:rPr>
        <w:t>National Institute for Health and Care Research (2021), 21/605 Public Health Interventions led by or Involving the Police</w:t>
      </w:r>
      <w:r>
        <w:rPr>
          <w:rStyle w:val="ref-lnk"/>
        </w:rPr>
        <w:t>, a</w:t>
      </w:r>
      <w:r w:rsidRPr="00CF2F2B">
        <w:rPr>
          <w:rStyle w:val="ref-lnk"/>
        </w:rPr>
        <w:t xml:space="preserve">vailable at https://www.nihr.ac.uk/documents/21605-public-health- interventions-led-by-or-involving-the-police/25990 </w:t>
      </w:r>
      <w:r>
        <w:rPr>
          <w:rStyle w:val="ref-lnk"/>
        </w:rPr>
        <w:t>[</w:t>
      </w:r>
      <w:r w:rsidRPr="00CF2F2B">
        <w:rPr>
          <w:rStyle w:val="ref-lnk"/>
        </w:rPr>
        <w:t>accessed 14 June 2022</w:t>
      </w:r>
      <w:r>
        <w:rPr>
          <w:rStyle w:val="ref-lnk"/>
        </w:rPr>
        <w:t>]</w:t>
      </w:r>
      <w:r w:rsidRPr="00CF2F2B">
        <w:rPr>
          <w:rStyle w:val="ref-lnk"/>
        </w:rPr>
        <w:t xml:space="preserve"> </w:t>
      </w:r>
    </w:p>
    <w:p w14:paraId="586A8940" w14:textId="43D58177" w:rsidR="00731B85" w:rsidRPr="00BF2A25" w:rsidRDefault="00283976" w:rsidP="00CF2F2B">
      <w:pPr>
        <w:spacing w:before="100" w:beforeAutospacing="1" w:after="100" w:afterAutospacing="1" w:line="480" w:lineRule="auto"/>
        <w:rPr>
          <w:rStyle w:val="ref-lnk"/>
        </w:rPr>
      </w:pPr>
      <w:r w:rsidRPr="009422C2">
        <w:t>Newcombe, R. (1992)</w:t>
      </w:r>
      <w:r w:rsidR="003023CA">
        <w:t xml:space="preserve"> ‘</w:t>
      </w:r>
      <w:r w:rsidRPr="009422C2">
        <w:t>The Reduction of Drug Related Harm: A Conceptual Framework for Theory, Practice and Re</w:t>
      </w:r>
      <w:r>
        <w:t>search</w:t>
      </w:r>
      <w:r w:rsidR="003023CA">
        <w:t>’</w:t>
      </w:r>
      <w:r>
        <w:t>. In P. O’Hare, et al. (e</w:t>
      </w:r>
      <w:r w:rsidRPr="009422C2">
        <w:t xml:space="preserve">ds.), </w:t>
      </w:r>
      <w:r w:rsidRPr="009422C2">
        <w:rPr>
          <w:i/>
          <w:iCs/>
        </w:rPr>
        <w:t>The reduction of drug related harm</w:t>
      </w:r>
      <w:r w:rsidRPr="009422C2">
        <w:t>. London: Routledge.</w:t>
      </w:r>
    </w:p>
    <w:p w14:paraId="52D5ED76" w14:textId="05114194" w:rsidR="00976BED" w:rsidRDefault="00D570EA" w:rsidP="00544D4F">
      <w:pPr>
        <w:spacing w:line="480" w:lineRule="auto"/>
        <w:rPr>
          <w:rStyle w:val="ref-lnk"/>
        </w:rPr>
      </w:pPr>
      <w:r w:rsidRPr="00BF2A25">
        <w:rPr>
          <w:rStyle w:val="ref-lnk"/>
        </w:rPr>
        <w:t xml:space="preserve">Nsubuga, P., White, M., Thacker, S., </w:t>
      </w:r>
      <w:r w:rsidR="006B7DE7" w:rsidRPr="00BF2A25">
        <w:rPr>
          <w:rStyle w:val="ref-lnk"/>
        </w:rPr>
        <w:t>et al. (2006) ‘</w:t>
      </w:r>
      <w:r w:rsidRPr="00BF2A25">
        <w:rPr>
          <w:rStyle w:val="ref-lnk"/>
        </w:rPr>
        <w:t>Public Health Surveillance: A Tool for Targeting and Monitoring Interventions</w:t>
      </w:r>
      <w:r w:rsidR="006B7DE7" w:rsidRPr="00BF2A25">
        <w:rPr>
          <w:rStyle w:val="ref-lnk"/>
        </w:rPr>
        <w:t>’,</w:t>
      </w:r>
      <w:r w:rsidRPr="00BF2A25">
        <w:rPr>
          <w:rStyle w:val="ref-lnk"/>
        </w:rPr>
        <w:t xml:space="preserve"> </w:t>
      </w:r>
      <w:r w:rsidR="006B7DE7" w:rsidRPr="00BF2A25">
        <w:rPr>
          <w:rStyle w:val="ref-lnk"/>
        </w:rPr>
        <w:t>i</w:t>
      </w:r>
      <w:r w:rsidRPr="00BF2A25">
        <w:rPr>
          <w:rStyle w:val="ref-lnk"/>
        </w:rPr>
        <w:t xml:space="preserve">n </w:t>
      </w:r>
      <w:r w:rsidR="006B7DE7" w:rsidRPr="00BF2A25">
        <w:rPr>
          <w:rStyle w:val="ref-lnk"/>
        </w:rPr>
        <w:t xml:space="preserve">D. </w:t>
      </w:r>
      <w:r w:rsidRPr="00BF2A25">
        <w:rPr>
          <w:rStyle w:val="ref-lnk"/>
        </w:rPr>
        <w:t>Jamison</w:t>
      </w:r>
      <w:r w:rsidR="003023CA">
        <w:rPr>
          <w:rStyle w:val="ref-lnk"/>
        </w:rPr>
        <w:t xml:space="preserve"> </w:t>
      </w:r>
      <w:r w:rsidRPr="00BF2A25">
        <w:rPr>
          <w:rStyle w:val="ref-lnk"/>
        </w:rPr>
        <w:t xml:space="preserve">et al., </w:t>
      </w:r>
      <w:r w:rsidR="006B7DE7" w:rsidRPr="00BF2A25">
        <w:rPr>
          <w:rStyle w:val="ref-lnk"/>
        </w:rPr>
        <w:t>(</w:t>
      </w:r>
      <w:r w:rsidRPr="00BF2A25">
        <w:rPr>
          <w:rStyle w:val="ref-lnk"/>
        </w:rPr>
        <w:t>eds</w:t>
      </w:r>
      <w:r w:rsidR="006B7DE7" w:rsidRPr="00BF2A25">
        <w:rPr>
          <w:rStyle w:val="ref-lnk"/>
        </w:rPr>
        <w:t>)</w:t>
      </w:r>
      <w:r w:rsidRPr="00BF2A25">
        <w:rPr>
          <w:rStyle w:val="ref-lnk"/>
        </w:rPr>
        <w:t xml:space="preserve">. </w:t>
      </w:r>
      <w:r w:rsidRPr="00BF2A25">
        <w:rPr>
          <w:rStyle w:val="ref-lnk"/>
          <w:i/>
          <w:iCs/>
        </w:rPr>
        <w:t>Disease Control Priorities in Developing Countries</w:t>
      </w:r>
      <w:r w:rsidRPr="00BF2A25">
        <w:rPr>
          <w:rStyle w:val="ref-lnk"/>
        </w:rPr>
        <w:t xml:space="preserve">. </w:t>
      </w:r>
      <w:r w:rsidR="00BF2A25" w:rsidRPr="00BF2A25">
        <w:rPr>
          <w:rStyle w:val="ref-lnk"/>
        </w:rPr>
        <w:t>New York</w:t>
      </w:r>
      <w:r w:rsidRPr="00BF2A25">
        <w:rPr>
          <w:rStyle w:val="ref-lnk"/>
        </w:rPr>
        <w:t xml:space="preserve">: </w:t>
      </w:r>
      <w:r w:rsidR="00BF2A25" w:rsidRPr="00BF2A25">
        <w:rPr>
          <w:rStyle w:val="ref-lnk"/>
        </w:rPr>
        <w:t>Oxford University Press.</w:t>
      </w:r>
    </w:p>
    <w:p w14:paraId="018FF65C" w14:textId="2FB69B06" w:rsidR="00B732A7" w:rsidRPr="00B922FE" w:rsidRDefault="00B732A7" w:rsidP="00544D4F">
      <w:pPr>
        <w:autoSpaceDE w:val="0"/>
        <w:autoSpaceDN w:val="0"/>
        <w:adjustRightInd w:val="0"/>
        <w:spacing w:line="480" w:lineRule="auto"/>
        <w:rPr>
          <w:rFonts w:eastAsiaTheme="minorHAnsi"/>
          <w:lang w:eastAsia="en-US"/>
        </w:rPr>
      </w:pPr>
      <w:r>
        <w:rPr>
          <w:rFonts w:eastAsiaTheme="minorHAnsi"/>
          <w:lang w:eastAsia="en-US"/>
        </w:rPr>
        <w:t xml:space="preserve">NPCC (2018) </w:t>
      </w:r>
      <w:r w:rsidR="00C407A9">
        <w:rPr>
          <w:rFonts w:eastAsiaTheme="minorHAnsi"/>
          <w:i/>
          <w:iCs/>
          <w:lang w:eastAsia="en-US"/>
        </w:rPr>
        <w:t>Policing, Health and Social Care Consensus: Working Together to Protect and Prevent Harm</w:t>
      </w:r>
      <w:r w:rsidR="00B922FE">
        <w:rPr>
          <w:rFonts w:eastAsiaTheme="minorHAnsi"/>
          <w:i/>
          <w:iCs/>
          <w:lang w:eastAsia="en-US"/>
        </w:rPr>
        <w:t xml:space="preserve"> to Vulnerable People, </w:t>
      </w:r>
      <w:r w:rsidR="00B922FE">
        <w:rPr>
          <w:rFonts w:eastAsiaTheme="minorHAnsi"/>
          <w:lang w:eastAsia="en-US"/>
        </w:rPr>
        <w:t xml:space="preserve">available at </w:t>
      </w:r>
      <w:hyperlink r:id="rId17" w:history="1">
        <w:r w:rsidR="00B922FE" w:rsidRPr="00B40557">
          <w:rPr>
            <w:rStyle w:val="Hyperlink"/>
            <w:rFonts w:eastAsiaTheme="minorHAnsi"/>
            <w:lang w:eastAsia="en-US"/>
          </w:rPr>
          <w:t>https://www.npcc.police.uk/Publication/NEW%20Policing%20Health%20and%20Social%20Care%20consensus%202018.pdf</w:t>
        </w:r>
      </w:hyperlink>
      <w:r w:rsidR="00B922FE">
        <w:rPr>
          <w:rFonts w:eastAsiaTheme="minorHAnsi"/>
          <w:lang w:eastAsia="en-US"/>
        </w:rPr>
        <w:t xml:space="preserve"> [accessed 20</w:t>
      </w:r>
      <w:r w:rsidR="00B922FE" w:rsidRPr="00B922FE">
        <w:rPr>
          <w:rFonts w:eastAsiaTheme="minorHAnsi"/>
          <w:vertAlign w:val="superscript"/>
          <w:lang w:eastAsia="en-US"/>
        </w:rPr>
        <w:t>th</w:t>
      </w:r>
      <w:r w:rsidR="00B922FE">
        <w:rPr>
          <w:rFonts w:eastAsiaTheme="minorHAnsi"/>
          <w:lang w:eastAsia="en-US"/>
        </w:rPr>
        <w:t xml:space="preserve"> January 2022].</w:t>
      </w:r>
    </w:p>
    <w:p w14:paraId="241F71EB" w14:textId="656213B8" w:rsidR="001029A8" w:rsidRDefault="001029A8" w:rsidP="00544D4F">
      <w:pPr>
        <w:autoSpaceDE w:val="0"/>
        <w:autoSpaceDN w:val="0"/>
        <w:adjustRightInd w:val="0"/>
        <w:spacing w:line="480" w:lineRule="auto"/>
        <w:rPr>
          <w:rFonts w:eastAsiaTheme="minorHAnsi"/>
          <w:lang w:eastAsia="en-US"/>
        </w:rPr>
      </w:pPr>
    </w:p>
    <w:p w14:paraId="7E9B6164" w14:textId="2B13B633" w:rsidR="001029A8" w:rsidRDefault="001029A8" w:rsidP="00544D4F">
      <w:pPr>
        <w:autoSpaceDE w:val="0"/>
        <w:autoSpaceDN w:val="0"/>
        <w:adjustRightInd w:val="0"/>
        <w:spacing w:line="480" w:lineRule="auto"/>
        <w:rPr>
          <w:rFonts w:eastAsiaTheme="minorHAnsi"/>
          <w:lang w:eastAsia="en-US"/>
        </w:rPr>
      </w:pPr>
      <w:r>
        <w:rPr>
          <w:rFonts w:eastAsiaTheme="minorHAnsi"/>
          <w:lang w:eastAsia="en-US"/>
        </w:rPr>
        <w:t>Office for National Statistics (2019)</w:t>
      </w:r>
      <w:r w:rsidR="00F87205">
        <w:rPr>
          <w:rFonts w:eastAsiaTheme="minorHAnsi"/>
          <w:lang w:eastAsia="en-US"/>
        </w:rPr>
        <w:t xml:space="preserve"> </w:t>
      </w:r>
      <w:r w:rsidR="00F87205">
        <w:rPr>
          <w:rFonts w:eastAsiaTheme="minorHAnsi"/>
          <w:i/>
          <w:iCs/>
          <w:lang w:eastAsia="en-US"/>
        </w:rPr>
        <w:t xml:space="preserve">Crime in England and Wales: Year Ending June 2019, </w:t>
      </w:r>
      <w:r w:rsidR="00311383">
        <w:rPr>
          <w:rFonts w:eastAsiaTheme="minorHAnsi"/>
          <w:lang w:eastAsia="en-US"/>
        </w:rPr>
        <w:t xml:space="preserve">available at </w:t>
      </w:r>
      <w:hyperlink r:id="rId18" w:history="1">
        <w:r w:rsidR="00311383" w:rsidRPr="00B40557">
          <w:rPr>
            <w:rStyle w:val="Hyperlink"/>
            <w:rFonts w:eastAsiaTheme="minorHAnsi"/>
            <w:lang w:eastAsia="en-US"/>
          </w:rPr>
          <w:t>https://www.ons.gov.uk/peoplepopulationandcommunity/crimeandjustice/bulletins/crimeinenglandandwales/yearendingseptember2019</w:t>
        </w:r>
      </w:hyperlink>
      <w:r w:rsidR="00311383">
        <w:rPr>
          <w:rFonts w:eastAsiaTheme="minorHAnsi"/>
          <w:lang w:eastAsia="en-US"/>
        </w:rPr>
        <w:t xml:space="preserve"> [accessed 20th January 2022].</w:t>
      </w:r>
    </w:p>
    <w:p w14:paraId="301C35E2" w14:textId="3FDE9017" w:rsidR="008F4A09" w:rsidRDefault="008F4A09" w:rsidP="00544D4F">
      <w:pPr>
        <w:autoSpaceDE w:val="0"/>
        <w:autoSpaceDN w:val="0"/>
        <w:adjustRightInd w:val="0"/>
        <w:spacing w:line="480" w:lineRule="auto"/>
        <w:rPr>
          <w:rFonts w:eastAsiaTheme="minorHAnsi"/>
          <w:lang w:eastAsia="en-US"/>
        </w:rPr>
      </w:pPr>
    </w:p>
    <w:p w14:paraId="61E2030C" w14:textId="020D7DDF" w:rsidR="00283976" w:rsidRDefault="008F4A09" w:rsidP="00544D4F">
      <w:pPr>
        <w:autoSpaceDE w:val="0"/>
        <w:autoSpaceDN w:val="0"/>
        <w:adjustRightInd w:val="0"/>
        <w:spacing w:line="480" w:lineRule="auto"/>
        <w:rPr>
          <w:rStyle w:val="pagerange"/>
          <w:color w:val="333333"/>
        </w:rPr>
      </w:pPr>
      <w:r w:rsidRPr="00544D4F">
        <w:rPr>
          <w:rStyle w:val="authors"/>
          <w:color w:val="333333"/>
        </w:rPr>
        <w:t>O</w:t>
      </w:r>
      <w:r w:rsidR="003023CA">
        <w:rPr>
          <w:rStyle w:val="authors"/>
          <w:color w:val="333333"/>
        </w:rPr>
        <w:t>’</w:t>
      </w:r>
      <w:r w:rsidRPr="00544D4F">
        <w:rPr>
          <w:rStyle w:val="authors"/>
          <w:color w:val="333333"/>
        </w:rPr>
        <w:t>Malley</w:t>
      </w:r>
      <w:r>
        <w:rPr>
          <w:rStyle w:val="authors"/>
          <w:color w:val="333333"/>
        </w:rPr>
        <w:t>, P.</w:t>
      </w:r>
      <w:r w:rsidRPr="00544D4F">
        <w:rPr>
          <w:rStyle w:val="apple-converted-space"/>
          <w:color w:val="333333"/>
          <w:shd w:val="clear" w:color="auto" w:fill="FFFFFF"/>
        </w:rPr>
        <w:t> </w:t>
      </w:r>
      <w:r w:rsidRPr="00544D4F">
        <w:rPr>
          <w:rStyle w:val="Date1"/>
          <w:color w:val="333333"/>
        </w:rPr>
        <w:t>(1992)</w:t>
      </w:r>
      <w:r w:rsidRPr="00544D4F">
        <w:rPr>
          <w:rStyle w:val="apple-converted-space"/>
          <w:color w:val="333333"/>
          <w:shd w:val="clear" w:color="auto" w:fill="FFFFFF"/>
        </w:rPr>
        <w:t> </w:t>
      </w:r>
      <w:r>
        <w:rPr>
          <w:rStyle w:val="apple-converted-space"/>
          <w:color w:val="333333"/>
          <w:shd w:val="clear" w:color="auto" w:fill="FFFFFF"/>
        </w:rPr>
        <w:t>‘</w:t>
      </w:r>
      <w:r w:rsidRPr="00544D4F">
        <w:rPr>
          <w:rStyle w:val="arttitle"/>
          <w:color w:val="333333"/>
        </w:rPr>
        <w:t xml:space="preserve">Risk, </w:t>
      </w:r>
      <w:r>
        <w:rPr>
          <w:rStyle w:val="arttitle"/>
          <w:color w:val="333333"/>
        </w:rPr>
        <w:t>P</w:t>
      </w:r>
      <w:r w:rsidRPr="00544D4F">
        <w:rPr>
          <w:rStyle w:val="arttitle"/>
          <w:color w:val="333333"/>
        </w:rPr>
        <w:t xml:space="preserve">ower and </w:t>
      </w:r>
      <w:r>
        <w:rPr>
          <w:rStyle w:val="arttitle"/>
          <w:color w:val="333333"/>
        </w:rPr>
        <w:t>C</w:t>
      </w:r>
      <w:r w:rsidRPr="00544D4F">
        <w:rPr>
          <w:rStyle w:val="arttitle"/>
          <w:color w:val="333333"/>
        </w:rPr>
        <w:t xml:space="preserve">rime </w:t>
      </w:r>
      <w:r>
        <w:rPr>
          <w:rStyle w:val="arttitle"/>
          <w:color w:val="333333"/>
        </w:rPr>
        <w:t>P</w:t>
      </w:r>
      <w:r w:rsidRPr="00544D4F">
        <w:rPr>
          <w:rStyle w:val="arttitle"/>
          <w:color w:val="333333"/>
        </w:rPr>
        <w:t>revention</w:t>
      </w:r>
      <w:r>
        <w:rPr>
          <w:rStyle w:val="arttitle"/>
          <w:color w:val="333333"/>
        </w:rPr>
        <w:t>’</w:t>
      </w:r>
      <w:r w:rsidRPr="00544D4F">
        <w:rPr>
          <w:rStyle w:val="arttitle"/>
          <w:color w:val="333333"/>
        </w:rPr>
        <w:t>,</w:t>
      </w:r>
      <w:r w:rsidRPr="00544D4F">
        <w:rPr>
          <w:rStyle w:val="apple-converted-space"/>
          <w:color w:val="333333"/>
          <w:shd w:val="clear" w:color="auto" w:fill="FFFFFF"/>
        </w:rPr>
        <w:t> </w:t>
      </w:r>
      <w:r w:rsidRPr="00544D4F">
        <w:rPr>
          <w:rStyle w:val="serialtitle"/>
          <w:i/>
          <w:iCs/>
          <w:color w:val="333333"/>
        </w:rPr>
        <w:t>Economy and Society</w:t>
      </w:r>
      <w:r w:rsidRPr="00544D4F">
        <w:rPr>
          <w:rStyle w:val="serialtitle"/>
          <w:color w:val="333333"/>
        </w:rPr>
        <w:t>,</w:t>
      </w:r>
      <w:r w:rsidRPr="00544D4F">
        <w:rPr>
          <w:rStyle w:val="apple-converted-space"/>
          <w:color w:val="333333"/>
          <w:shd w:val="clear" w:color="auto" w:fill="FFFFFF"/>
        </w:rPr>
        <w:t> </w:t>
      </w:r>
      <w:r w:rsidRPr="00544D4F">
        <w:rPr>
          <w:rStyle w:val="volumeissue"/>
          <w:color w:val="333333"/>
        </w:rPr>
        <w:t>21</w:t>
      </w:r>
      <w:r>
        <w:rPr>
          <w:rStyle w:val="volumeissue"/>
          <w:color w:val="333333"/>
        </w:rPr>
        <w:t>(</w:t>
      </w:r>
      <w:r w:rsidRPr="00544D4F">
        <w:rPr>
          <w:rStyle w:val="volumeissue"/>
          <w:color w:val="333333"/>
        </w:rPr>
        <w:t>3</w:t>
      </w:r>
      <w:r>
        <w:rPr>
          <w:rStyle w:val="volumeissue"/>
          <w:color w:val="333333"/>
        </w:rPr>
        <w:t>):</w:t>
      </w:r>
      <w:r w:rsidRPr="00544D4F">
        <w:rPr>
          <w:rStyle w:val="apple-converted-space"/>
          <w:color w:val="333333"/>
          <w:shd w:val="clear" w:color="auto" w:fill="FFFFFF"/>
        </w:rPr>
        <w:t> </w:t>
      </w:r>
      <w:r w:rsidRPr="00544D4F">
        <w:rPr>
          <w:rStyle w:val="pagerange"/>
          <w:color w:val="333333"/>
        </w:rPr>
        <w:t>252-275</w:t>
      </w:r>
      <w:r>
        <w:rPr>
          <w:rStyle w:val="pagerange"/>
          <w:color w:val="333333"/>
        </w:rPr>
        <w:t>.</w:t>
      </w:r>
    </w:p>
    <w:p w14:paraId="6D3CC58A" w14:textId="7A4374ED" w:rsidR="007777EC" w:rsidRDefault="007777EC" w:rsidP="00544D4F">
      <w:pPr>
        <w:autoSpaceDE w:val="0"/>
        <w:autoSpaceDN w:val="0"/>
        <w:adjustRightInd w:val="0"/>
        <w:spacing w:line="480" w:lineRule="auto"/>
        <w:rPr>
          <w:rFonts w:eastAsiaTheme="minorHAnsi"/>
          <w:lang w:eastAsia="en-US"/>
        </w:rPr>
      </w:pPr>
      <w:r>
        <w:rPr>
          <w:rStyle w:val="pagerange"/>
          <w:color w:val="333333"/>
        </w:rPr>
        <w:t xml:space="preserve">Plummer, </w:t>
      </w:r>
      <w:r w:rsidR="00CA3ED1">
        <w:t xml:space="preserve">C. (2001) ‘Prevention of child sexual abuse: a survey of 87 programs’ </w:t>
      </w:r>
      <w:r w:rsidR="00CA3ED1" w:rsidRPr="00DF1F99">
        <w:rPr>
          <w:i/>
          <w:iCs/>
        </w:rPr>
        <w:t xml:space="preserve">Violence </w:t>
      </w:r>
      <w:proofErr w:type="spellStart"/>
      <w:r w:rsidR="00CA3ED1" w:rsidRPr="00DF1F99">
        <w:rPr>
          <w:i/>
          <w:iCs/>
        </w:rPr>
        <w:t>Vict</w:t>
      </w:r>
      <w:proofErr w:type="spellEnd"/>
      <w:r w:rsidR="00CA3ED1">
        <w:t xml:space="preserve"> 16:575-88.</w:t>
      </w:r>
    </w:p>
    <w:p w14:paraId="2414EFC5" w14:textId="2114B111" w:rsidR="00283976" w:rsidRDefault="00283976" w:rsidP="00544D4F">
      <w:pPr>
        <w:spacing w:before="100" w:beforeAutospacing="1" w:after="100" w:afterAutospacing="1" w:line="480" w:lineRule="auto"/>
      </w:pPr>
      <w:r w:rsidRPr="009422C2">
        <w:t xml:space="preserve">Public Health England (2017) </w:t>
      </w:r>
      <w:r w:rsidRPr="009422C2">
        <w:rPr>
          <w:i/>
        </w:rPr>
        <w:t xml:space="preserve">Child Sexual Exploitation: How Public Health can Support Prevention and Intervention, </w:t>
      </w:r>
      <w:r w:rsidRPr="009422C2">
        <w:t>London: Public Health England.</w:t>
      </w:r>
    </w:p>
    <w:p w14:paraId="50E7DC71" w14:textId="3EAF920F" w:rsidR="00976BED" w:rsidRDefault="00976BED" w:rsidP="00CF2F2B">
      <w:pPr>
        <w:pStyle w:val="NormalWeb"/>
        <w:spacing w:line="480" w:lineRule="auto"/>
      </w:pPr>
      <w:r w:rsidRPr="00CF2F2B">
        <w:t xml:space="preserve">Public Health England (2019a) </w:t>
      </w:r>
      <w:r w:rsidRPr="00CF2F2B">
        <w:rPr>
          <w:i/>
          <w:iCs/>
        </w:rPr>
        <w:t>Child sexual exploitation: How public health can support prevention and intervention</w:t>
      </w:r>
      <w:r w:rsidRPr="00CF2F2B">
        <w:t xml:space="preserve">, </w:t>
      </w:r>
      <w:r>
        <w:t>a</w:t>
      </w:r>
      <w:r w:rsidRPr="00CF2F2B">
        <w:t xml:space="preserve">vailable at: https://assets.publishing.service.gov.uk/government/uploads/system/uploads/attachment_data/file /793351/Child_sexual_exploitation_how_public_health_can_support_prevention_and_intervention. pdf </w:t>
      </w:r>
      <w:r>
        <w:t>[</w:t>
      </w:r>
      <w:r w:rsidRPr="00CF2F2B">
        <w:t>accessed 14 June 2022</w:t>
      </w:r>
      <w:r>
        <w:t>]</w:t>
      </w:r>
      <w:r w:rsidRPr="00CF2F2B">
        <w:t xml:space="preserve"> </w:t>
      </w:r>
    </w:p>
    <w:p w14:paraId="75B040EB" w14:textId="50EF5F8A" w:rsidR="00976BED" w:rsidRDefault="00976BED" w:rsidP="00CF2F2B">
      <w:pPr>
        <w:pStyle w:val="NormalWeb"/>
        <w:spacing w:line="480" w:lineRule="auto"/>
      </w:pPr>
      <w:r w:rsidRPr="00CF2F2B">
        <w:t xml:space="preserve">Public Health England (2019b) </w:t>
      </w:r>
      <w:r w:rsidRPr="00CF2F2B">
        <w:rPr>
          <w:i/>
          <w:iCs/>
        </w:rPr>
        <w:t>Collaborative approaches to preventing offending and re-offending in children</w:t>
      </w:r>
      <w:r>
        <w:t>, a</w:t>
      </w:r>
      <w:r w:rsidRPr="00CF2F2B">
        <w:t xml:space="preserve">vailable at: https://assets.publishing.service.gov.uk/government/uploads/system/uploads/attachment_data/file /828228/CAPRICORN_resource.pdf </w:t>
      </w:r>
      <w:r>
        <w:t>[</w:t>
      </w:r>
      <w:r w:rsidRPr="00CF2F2B">
        <w:t>accessed 14 June 2022</w:t>
      </w:r>
      <w:r>
        <w:t>]</w:t>
      </w:r>
      <w:r w:rsidRPr="00CF2F2B">
        <w:t xml:space="preserve"> </w:t>
      </w:r>
    </w:p>
    <w:p w14:paraId="27F605F2" w14:textId="5B825F6C" w:rsidR="00E44CD4" w:rsidRPr="009422C2" w:rsidRDefault="00E44CD4" w:rsidP="00CF2F2B">
      <w:pPr>
        <w:pStyle w:val="NormalWeb"/>
        <w:spacing w:line="480" w:lineRule="auto"/>
      </w:pPr>
      <w:proofErr w:type="spellStart"/>
      <w:r w:rsidRPr="00CF2F2B">
        <w:t>Quigg</w:t>
      </w:r>
      <w:proofErr w:type="spellEnd"/>
      <w:r w:rsidRPr="00CF2F2B">
        <w:t>, Z.</w:t>
      </w:r>
      <w:r>
        <w:t xml:space="preserve">, Timpson, H., Millings, M., Butler, N., </w:t>
      </w:r>
      <w:proofErr w:type="spellStart"/>
      <w:r>
        <w:t>Lightowlers</w:t>
      </w:r>
      <w:proofErr w:type="spellEnd"/>
      <w:r>
        <w:t>, C., Ashton, S., Hough, J. and ates, R.</w:t>
      </w:r>
      <w:r w:rsidRPr="00CF2F2B">
        <w:t xml:space="preserve"> (2021), </w:t>
      </w:r>
      <w:r w:rsidRPr="00CF2F2B">
        <w:rPr>
          <w:i/>
          <w:iCs/>
        </w:rPr>
        <w:t>Merseyside Violence Reduction Partnership 2020-21: Whole System Evaluation Report. Liverpool: Merseyside Violence Reduction Partnership</w:t>
      </w:r>
      <w:r>
        <w:t>,</w:t>
      </w:r>
      <w:r w:rsidRPr="00CF2F2B">
        <w:t xml:space="preserve"> </w:t>
      </w:r>
      <w:r>
        <w:t>a</w:t>
      </w:r>
      <w:r w:rsidRPr="00CF2F2B">
        <w:t xml:space="preserve">vailable at: </w:t>
      </w:r>
      <w:r w:rsidRPr="00CF2F2B">
        <w:lastRenderedPageBreak/>
        <w:t>https://www.merseysidevrp.com/media/1341/merseyside-vrp-202021-whole-system-evaluation- report-may-2021-finalx.pdf</w:t>
      </w:r>
      <w:r>
        <w:t xml:space="preserve"> [</w:t>
      </w:r>
      <w:r w:rsidRPr="00CF2F2B">
        <w:t>accessed 14 July 2022</w:t>
      </w:r>
      <w:r>
        <w:t>]</w:t>
      </w:r>
      <w:r w:rsidRPr="00CF2F2B">
        <w:t xml:space="preserve"> </w:t>
      </w:r>
    </w:p>
    <w:p w14:paraId="4F29A636" w14:textId="5AA282D7" w:rsidR="00283976" w:rsidRDefault="00BC0860" w:rsidP="00544D4F">
      <w:pPr>
        <w:spacing w:line="480" w:lineRule="auto"/>
        <w:textAlignment w:val="baseline"/>
        <w:rPr>
          <w:rFonts w:eastAsiaTheme="minorHAnsi"/>
          <w:lang w:eastAsia="en-US"/>
        </w:rPr>
      </w:pPr>
      <w:r w:rsidRPr="00352EFD">
        <w:t>Ralph</w:t>
      </w:r>
      <w:r w:rsidRPr="00352EFD">
        <w:rPr>
          <w:shd w:val="clear" w:color="auto" w:fill="FFFFFF"/>
        </w:rPr>
        <w:t>,</w:t>
      </w:r>
      <w:r w:rsidRPr="00352EFD">
        <w:rPr>
          <w:rStyle w:val="apple-converted-space"/>
          <w:shd w:val="clear" w:color="auto" w:fill="FFFFFF"/>
        </w:rPr>
        <w:t> </w:t>
      </w:r>
      <w:r w:rsidRPr="00352EFD">
        <w:t>N.</w:t>
      </w:r>
      <w:r w:rsidRPr="00352EFD">
        <w:rPr>
          <w:shd w:val="clear" w:color="auto" w:fill="FFFFFF"/>
        </w:rPr>
        <w:t>,</w:t>
      </w:r>
      <w:r w:rsidRPr="00352EFD">
        <w:rPr>
          <w:rStyle w:val="apple-converted-space"/>
          <w:shd w:val="clear" w:color="auto" w:fill="FFFFFF"/>
        </w:rPr>
        <w:t> </w:t>
      </w:r>
      <w:proofErr w:type="gramStart"/>
      <w:r w:rsidRPr="00352EFD">
        <w:rPr>
          <w:bdr w:val="none" w:sz="0" w:space="0" w:color="auto" w:frame="1"/>
        </w:rPr>
        <w:t>Birks</w:t>
      </w:r>
      <w:r w:rsidRPr="00352EFD">
        <w:rPr>
          <w:rStyle w:val="name"/>
          <w:bdr w:val="none" w:sz="0" w:space="0" w:color="auto" w:frame="1"/>
        </w:rPr>
        <w:t>,</w:t>
      </w:r>
      <w:r w:rsidRPr="00352EFD">
        <w:rPr>
          <w:rStyle w:val="apple-converted-space"/>
          <w:bdr w:val="none" w:sz="0" w:space="0" w:color="auto" w:frame="1"/>
        </w:rPr>
        <w:t>  </w:t>
      </w:r>
      <w:r w:rsidRPr="00352EFD">
        <w:rPr>
          <w:bdr w:val="none" w:sz="0" w:space="0" w:color="auto" w:frame="1"/>
        </w:rPr>
        <w:t>M.</w:t>
      </w:r>
      <w:proofErr w:type="gramEnd"/>
      <w:r w:rsidRPr="00352EFD">
        <w:rPr>
          <w:rStyle w:val="apple-converted-space"/>
          <w:shd w:val="clear" w:color="auto" w:fill="FFFFFF"/>
        </w:rPr>
        <w:t> </w:t>
      </w:r>
      <w:r w:rsidRPr="00352EFD">
        <w:rPr>
          <w:shd w:val="clear" w:color="auto" w:fill="FFFFFF"/>
        </w:rPr>
        <w:t>and</w:t>
      </w:r>
      <w:r w:rsidRPr="00352EFD">
        <w:rPr>
          <w:rStyle w:val="apple-converted-space"/>
          <w:shd w:val="clear" w:color="auto" w:fill="FFFFFF"/>
        </w:rPr>
        <w:t> </w:t>
      </w:r>
      <w:r w:rsidRPr="00352EFD">
        <w:rPr>
          <w:bdr w:val="none" w:sz="0" w:space="0" w:color="auto" w:frame="1"/>
        </w:rPr>
        <w:t>Chapman</w:t>
      </w:r>
      <w:r w:rsidRPr="00352EFD">
        <w:rPr>
          <w:rStyle w:val="name"/>
          <w:bdr w:val="none" w:sz="0" w:space="0" w:color="auto" w:frame="1"/>
        </w:rPr>
        <w:t>,</w:t>
      </w:r>
      <w:r w:rsidRPr="00352EFD">
        <w:rPr>
          <w:rStyle w:val="apple-converted-space"/>
          <w:bdr w:val="none" w:sz="0" w:space="0" w:color="auto" w:frame="1"/>
        </w:rPr>
        <w:t>  </w:t>
      </w:r>
      <w:r w:rsidRPr="00352EFD">
        <w:rPr>
          <w:bdr w:val="none" w:sz="0" w:space="0" w:color="auto" w:frame="1"/>
        </w:rPr>
        <w:t>Y</w:t>
      </w:r>
      <w:r w:rsidRPr="00352EFD">
        <w:rPr>
          <w:shd w:val="clear" w:color="auto" w:fill="FFFFFF"/>
        </w:rPr>
        <w:t>. (</w:t>
      </w:r>
      <w:r w:rsidRPr="00352EFD">
        <w:t>2015</w:t>
      </w:r>
      <w:r w:rsidRPr="00352EFD">
        <w:rPr>
          <w:shd w:val="clear" w:color="auto" w:fill="FFFFFF"/>
        </w:rPr>
        <w:t>)</w:t>
      </w:r>
      <w:r w:rsidRPr="00352EFD">
        <w:rPr>
          <w:rStyle w:val="apple-converted-space"/>
          <w:shd w:val="clear" w:color="auto" w:fill="FFFFFF"/>
        </w:rPr>
        <w:t> </w:t>
      </w:r>
      <w:r w:rsidRPr="00352EFD">
        <w:t>‘The Methodological Dynamism of Grounded Theory’</w:t>
      </w:r>
      <w:r w:rsidRPr="00352EFD">
        <w:rPr>
          <w:shd w:val="clear" w:color="auto" w:fill="FFFFFF"/>
        </w:rPr>
        <w:t>,</w:t>
      </w:r>
      <w:r w:rsidRPr="00352EFD">
        <w:rPr>
          <w:rStyle w:val="apple-converted-space"/>
          <w:shd w:val="clear" w:color="auto" w:fill="FFFFFF"/>
        </w:rPr>
        <w:t> </w:t>
      </w:r>
      <w:r w:rsidRPr="00352EFD">
        <w:rPr>
          <w:i/>
          <w:iCs/>
        </w:rPr>
        <w:t>International Journal of Qualitative Methods</w:t>
      </w:r>
      <w:r w:rsidRPr="00352EFD">
        <w:rPr>
          <w:shd w:val="clear" w:color="auto" w:fill="FFFFFF"/>
        </w:rPr>
        <w:t>,</w:t>
      </w:r>
      <w:r w:rsidRPr="00352EFD">
        <w:rPr>
          <w:rStyle w:val="apple-converted-space"/>
          <w:shd w:val="clear" w:color="auto" w:fill="FFFFFF"/>
        </w:rPr>
        <w:t> </w:t>
      </w:r>
      <w:r w:rsidRPr="00352EFD">
        <w:t>14</w:t>
      </w:r>
      <w:r>
        <w:t>(1)</w:t>
      </w:r>
      <w:r w:rsidRPr="00352EFD">
        <w:rPr>
          <w:shd w:val="clear" w:color="auto" w:fill="FFFFFF"/>
        </w:rPr>
        <w:t>:</w:t>
      </w:r>
      <w:r w:rsidRPr="00352EFD">
        <w:rPr>
          <w:rStyle w:val="apple-converted-space"/>
          <w:shd w:val="clear" w:color="auto" w:fill="FFFFFF"/>
        </w:rPr>
        <w:t> </w:t>
      </w:r>
      <w:r w:rsidRPr="00352EFD">
        <w:t>1</w:t>
      </w:r>
      <w:r>
        <w:rPr>
          <w:shd w:val="clear" w:color="auto" w:fill="FFFFFF"/>
        </w:rPr>
        <w:t>-</w:t>
      </w:r>
      <w:r w:rsidRPr="00352EFD">
        <w:t>6</w:t>
      </w:r>
      <w:r w:rsidRPr="00352EFD">
        <w:rPr>
          <w:shd w:val="clear" w:color="auto" w:fill="FFFFFF"/>
        </w:rPr>
        <w:t>.</w:t>
      </w:r>
    </w:p>
    <w:p w14:paraId="41182FB9" w14:textId="57EB927D" w:rsidR="00976632" w:rsidRDefault="00976632" w:rsidP="00544D4F">
      <w:pPr>
        <w:autoSpaceDE w:val="0"/>
        <w:autoSpaceDN w:val="0"/>
        <w:adjustRightInd w:val="0"/>
        <w:spacing w:line="480" w:lineRule="auto"/>
        <w:rPr>
          <w:rFonts w:eastAsiaTheme="minorHAnsi"/>
          <w:lang w:eastAsia="en-US"/>
        </w:rPr>
      </w:pPr>
    </w:p>
    <w:p w14:paraId="4FCD9869" w14:textId="3C535EBF" w:rsidR="00544D4F" w:rsidRDefault="00976632" w:rsidP="00544D4F">
      <w:pPr>
        <w:autoSpaceDE w:val="0"/>
        <w:autoSpaceDN w:val="0"/>
        <w:adjustRightInd w:val="0"/>
        <w:spacing w:line="480" w:lineRule="auto"/>
        <w:jc w:val="both"/>
        <w:rPr>
          <w:rFonts w:eastAsiaTheme="minorHAnsi"/>
          <w:lang w:eastAsia="en-US"/>
        </w:rPr>
      </w:pPr>
      <w:r>
        <w:rPr>
          <w:rFonts w:eastAsiaTheme="minorHAnsi"/>
          <w:lang w:eastAsia="en-US"/>
        </w:rPr>
        <w:t xml:space="preserve">Ratcliffe, J. (2016) </w:t>
      </w:r>
      <w:r w:rsidR="001028FE">
        <w:rPr>
          <w:rFonts w:eastAsiaTheme="minorHAnsi"/>
          <w:i/>
          <w:iCs/>
          <w:lang w:eastAsia="en-US"/>
        </w:rPr>
        <w:t xml:space="preserve">Intelligence-Led Policing, </w:t>
      </w:r>
      <w:r w:rsidR="001028FE">
        <w:rPr>
          <w:rFonts w:eastAsiaTheme="minorHAnsi"/>
          <w:lang w:eastAsia="en-US"/>
        </w:rPr>
        <w:t>London: Routledge.</w:t>
      </w:r>
    </w:p>
    <w:p w14:paraId="1BF95263" w14:textId="2782601B" w:rsidR="008F4A09" w:rsidRDefault="00544D4F" w:rsidP="00544D4F">
      <w:pPr>
        <w:pStyle w:val="NormalWeb"/>
        <w:spacing w:line="480" w:lineRule="auto"/>
        <w:rPr>
          <w:rFonts w:eastAsiaTheme="minorHAnsi"/>
          <w:lang w:eastAsia="en-US"/>
        </w:rPr>
      </w:pPr>
      <w:r w:rsidRPr="00544D4F">
        <w:t>Riemann, M. (</w:t>
      </w:r>
      <w:r w:rsidRPr="00544D4F">
        <w:rPr>
          <w:color w:val="00007F"/>
        </w:rPr>
        <w:t>2019</w:t>
      </w:r>
      <w:r w:rsidRPr="00544D4F">
        <w:t>)</w:t>
      </w:r>
      <w:r w:rsidR="003023CA">
        <w:t xml:space="preserve"> </w:t>
      </w:r>
      <w:r>
        <w:t>‘</w:t>
      </w:r>
      <w:r w:rsidRPr="00544D4F">
        <w:t>Problematizing the medicalization of violence: A critical discourse analysis of the ‘cure violence’</w:t>
      </w:r>
      <w:r>
        <w:t xml:space="preserve"> </w:t>
      </w:r>
      <w:r w:rsidRPr="00544D4F">
        <w:t>initiative</w:t>
      </w:r>
      <w:r>
        <w:t>’</w:t>
      </w:r>
      <w:r w:rsidRPr="00544D4F">
        <w:t xml:space="preserve">. </w:t>
      </w:r>
      <w:r w:rsidRPr="00544D4F">
        <w:rPr>
          <w:i/>
          <w:iCs/>
        </w:rPr>
        <w:t>Critical Public Health</w:t>
      </w:r>
      <w:r w:rsidRPr="00544D4F">
        <w:t xml:space="preserve">, 29(2), 146–155. </w:t>
      </w:r>
    </w:p>
    <w:p w14:paraId="0628C030" w14:textId="2E418B36" w:rsidR="008F4A09" w:rsidRDefault="008F4A09" w:rsidP="00544D4F">
      <w:pPr>
        <w:autoSpaceDE w:val="0"/>
        <w:autoSpaceDN w:val="0"/>
        <w:adjustRightInd w:val="0"/>
        <w:spacing w:line="480" w:lineRule="auto"/>
        <w:jc w:val="both"/>
        <w:rPr>
          <w:rStyle w:val="apple-converted-space"/>
          <w:color w:val="000000"/>
          <w:spacing w:val="-5"/>
        </w:rPr>
      </w:pPr>
      <w:r w:rsidRPr="00544D4F">
        <w:rPr>
          <w:color w:val="000000"/>
          <w:spacing w:val="-5"/>
        </w:rPr>
        <w:t xml:space="preserve">Rose, N. </w:t>
      </w:r>
      <w:r>
        <w:rPr>
          <w:color w:val="000000"/>
          <w:spacing w:val="-5"/>
        </w:rPr>
        <w:t>and</w:t>
      </w:r>
      <w:r w:rsidRPr="00544D4F">
        <w:rPr>
          <w:color w:val="000000"/>
          <w:spacing w:val="-5"/>
        </w:rPr>
        <w:t xml:space="preserve"> Miller, P. (1992) </w:t>
      </w:r>
      <w:r>
        <w:rPr>
          <w:color w:val="000000"/>
          <w:spacing w:val="-5"/>
        </w:rPr>
        <w:t>‘</w:t>
      </w:r>
      <w:r w:rsidRPr="00544D4F">
        <w:rPr>
          <w:color w:val="000000"/>
          <w:spacing w:val="-5"/>
        </w:rPr>
        <w:t>Political Power beyond the State: Problematics of Government</w:t>
      </w:r>
      <w:r>
        <w:rPr>
          <w:color w:val="000000"/>
          <w:spacing w:val="-5"/>
        </w:rPr>
        <w:t>’</w:t>
      </w:r>
      <w:r w:rsidRPr="00544D4F">
        <w:rPr>
          <w:color w:val="000000"/>
          <w:spacing w:val="-5"/>
        </w:rPr>
        <w:t>.</w:t>
      </w:r>
      <w:r w:rsidRPr="00544D4F">
        <w:rPr>
          <w:rStyle w:val="apple-converted-space"/>
          <w:color w:val="000000"/>
          <w:spacing w:val="-5"/>
        </w:rPr>
        <w:t> </w:t>
      </w:r>
      <w:r w:rsidRPr="00544D4F">
        <w:rPr>
          <w:i/>
          <w:iCs/>
          <w:color w:val="000000"/>
          <w:spacing w:val="-5"/>
        </w:rPr>
        <w:t>The British Journal of Sociology</w:t>
      </w:r>
      <w:r>
        <w:rPr>
          <w:color w:val="000000"/>
          <w:spacing w:val="-5"/>
        </w:rPr>
        <w:t>,</w:t>
      </w:r>
      <w:r w:rsidRPr="00544D4F">
        <w:rPr>
          <w:rStyle w:val="apple-converted-space"/>
          <w:color w:val="000000"/>
          <w:spacing w:val="-5"/>
        </w:rPr>
        <w:t> </w:t>
      </w:r>
      <w:r w:rsidRPr="00544D4F">
        <w:rPr>
          <w:color w:val="000000"/>
          <w:spacing w:val="-5"/>
        </w:rPr>
        <w:t>43(2)</w:t>
      </w:r>
      <w:r>
        <w:rPr>
          <w:color w:val="000000"/>
          <w:spacing w:val="-5"/>
        </w:rPr>
        <w:t>:</w:t>
      </w:r>
      <w:r w:rsidRPr="00544D4F">
        <w:rPr>
          <w:color w:val="000000"/>
          <w:spacing w:val="-5"/>
        </w:rPr>
        <w:t xml:space="preserve"> 173–205.</w:t>
      </w:r>
      <w:r w:rsidRPr="00544D4F">
        <w:rPr>
          <w:rStyle w:val="apple-converted-space"/>
          <w:color w:val="000000"/>
          <w:spacing w:val="-5"/>
        </w:rPr>
        <w:t> </w:t>
      </w:r>
    </w:p>
    <w:p w14:paraId="463E568E" w14:textId="122B55F5" w:rsidR="008F4A09" w:rsidRDefault="008F4A09" w:rsidP="00544D4F">
      <w:pPr>
        <w:autoSpaceDE w:val="0"/>
        <w:autoSpaceDN w:val="0"/>
        <w:adjustRightInd w:val="0"/>
        <w:spacing w:line="480" w:lineRule="auto"/>
        <w:jc w:val="both"/>
        <w:rPr>
          <w:rStyle w:val="apple-converted-space"/>
          <w:color w:val="000000"/>
          <w:spacing w:val="-5"/>
        </w:rPr>
      </w:pPr>
    </w:p>
    <w:p w14:paraId="3202D4D1" w14:textId="66F93894" w:rsidR="00283976" w:rsidRDefault="008F4A09" w:rsidP="00544D4F">
      <w:pPr>
        <w:autoSpaceDE w:val="0"/>
        <w:autoSpaceDN w:val="0"/>
        <w:adjustRightInd w:val="0"/>
        <w:spacing w:line="480" w:lineRule="auto"/>
        <w:jc w:val="both"/>
        <w:rPr>
          <w:rFonts w:eastAsiaTheme="minorHAnsi"/>
          <w:lang w:eastAsia="en-US"/>
        </w:rPr>
      </w:pPr>
      <w:r>
        <w:rPr>
          <w:rStyle w:val="apple-converted-space"/>
          <w:color w:val="000000"/>
          <w:spacing w:val="-5"/>
        </w:rPr>
        <w:t xml:space="preserve">Rose, N. (1999) </w:t>
      </w:r>
      <w:r>
        <w:rPr>
          <w:rStyle w:val="apple-converted-space"/>
          <w:i/>
          <w:iCs/>
          <w:color w:val="000000"/>
          <w:spacing w:val="-5"/>
        </w:rPr>
        <w:t>Powers of Freedo</w:t>
      </w:r>
      <w:r w:rsidR="005C7244">
        <w:rPr>
          <w:rStyle w:val="apple-converted-space"/>
          <w:i/>
          <w:iCs/>
          <w:color w:val="000000"/>
          <w:spacing w:val="-5"/>
        </w:rPr>
        <w:t>m</w:t>
      </w:r>
      <w:r>
        <w:rPr>
          <w:rStyle w:val="apple-converted-space"/>
          <w:i/>
          <w:iCs/>
          <w:color w:val="000000"/>
          <w:spacing w:val="-5"/>
        </w:rPr>
        <w:t>: Reframing Political Thought</w:t>
      </w:r>
      <w:r w:rsidR="00EC1863">
        <w:rPr>
          <w:rStyle w:val="apple-converted-space"/>
          <w:i/>
          <w:iCs/>
          <w:color w:val="000000"/>
          <w:spacing w:val="-5"/>
        </w:rPr>
        <w:t xml:space="preserve">. </w:t>
      </w:r>
      <w:r w:rsidR="00EC1863">
        <w:rPr>
          <w:rStyle w:val="apple-converted-space"/>
          <w:color w:val="000000"/>
          <w:spacing w:val="-5"/>
        </w:rPr>
        <w:t>Cambridge: Cambridge University Press.</w:t>
      </w:r>
    </w:p>
    <w:p w14:paraId="170147A6" w14:textId="23865170" w:rsidR="00283976" w:rsidRPr="00544D4F" w:rsidRDefault="00283976" w:rsidP="00544D4F">
      <w:pPr>
        <w:spacing w:before="100" w:beforeAutospacing="1" w:after="100" w:afterAutospacing="1" w:line="480" w:lineRule="auto"/>
      </w:pPr>
      <w:r w:rsidRPr="009422C2">
        <w:t xml:space="preserve">Stevens, A. and Hughes, C. (2010) ‘What We Can Learn from the Portuguese Decriminalisation of Illicit Drugs’, </w:t>
      </w:r>
      <w:r w:rsidRPr="009422C2">
        <w:rPr>
          <w:i/>
        </w:rPr>
        <w:t xml:space="preserve">British Journal of Criminology, </w:t>
      </w:r>
      <w:r w:rsidRPr="009422C2">
        <w:t>50(6): 999-1022.</w:t>
      </w:r>
    </w:p>
    <w:p w14:paraId="74988724" w14:textId="55D4FB00" w:rsidR="00283976" w:rsidRPr="009422C2" w:rsidRDefault="00283976" w:rsidP="00544D4F">
      <w:pPr>
        <w:spacing w:before="100" w:beforeAutospacing="1" w:after="100" w:afterAutospacing="1" w:line="480" w:lineRule="auto"/>
      </w:pPr>
      <w:r w:rsidRPr="009422C2">
        <w:t xml:space="preserve">Stimson, G. V. (1992) </w:t>
      </w:r>
      <w:r w:rsidR="00906CE0">
        <w:t>‘</w:t>
      </w:r>
      <w:r w:rsidRPr="009422C2">
        <w:t>Public Health and Health Behaviour in the Prevention of HIV In</w:t>
      </w:r>
      <w:r>
        <w:t>fection</w:t>
      </w:r>
      <w:r w:rsidR="00906CE0">
        <w:t>’.</w:t>
      </w:r>
      <w:r>
        <w:t xml:space="preserve"> In P. O’Hare, et al. (e</w:t>
      </w:r>
      <w:r w:rsidRPr="009422C2">
        <w:t xml:space="preserve">ds.) </w:t>
      </w:r>
      <w:r w:rsidRPr="009422C2">
        <w:rPr>
          <w:i/>
          <w:iCs/>
        </w:rPr>
        <w:t>The Reduction of Drug Related Harm</w:t>
      </w:r>
      <w:r w:rsidRPr="009422C2">
        <w:t>. London: Routledge.</w:t>
      </w:r>
    </w:p>
    <w:p w14:paraId="1A855CCD" w14:textId="7B453749" w:rsidR="00283976" w:rsidRDefault="00283976" w:rsidP="00544D4F">
      <w:pPr>
        <w:spacing w:line="480" w:lineRule="auto"/>
        <w:rPr>
          <w:color w:val="222222"/>
          <w:shd w:val="clear" w:color="auto" w:fill="FFFFFF"/>
        </w:rPr>
      </w:pPr>
      <w:r w:rsidRPr="009422C2">
        <w:rPr>
          <w:color w:val="222222"/>
          <w:shd w:val="clear" w:color="auto" w:fill="FFFFFF"/>
        </w:rPr>
        <w:t>Stimson, G. (1995)</w:t>
      </w:r>
      <w:r w:rsidR="00906CE0">
        <w:rPr>
          <w:color w:val="222222"/>
          <w:shd w:val="clear" w:color="auto" w:fill="FFFFFF"/>
        </w:rPr>
        <w:t>,</w:t>
      </w:r>
      <w:r w:rsidRPr="009422C2">
        <w:rPr>
          <w:color w:val="222222"/>
          <w:shd w:val="clear" w:color="auto" w:fill="FFFFFF"/>
        </w:rPr>
        <w:t xml:space="preserve"> ‘AIDS and Injecting Drug Use in the United Kingdom, 1988-1993: The Policy Response and the Prevention of the Epidemic’. </w:t>
      </w:r>
      <w:r w:rsidRPr="009422C2">
        <w:rPr>
          <w:i/>
          <w:iCs/>
          <w:color w:val="222222"/>
        </w:rPr>
        <w:t>Social Science and Medicine</w:t>
      </w:r>
      <w:r w:rsidRPr="009422C2">
        <w:rPr>
          <w:color w:val="222222"/>
          <w:shd w:val="clear" w:color="auto" w:fill="FFFFFF"/>
        </w:rPr>
        <w:t>. 41, 5: 699-716.</w:t>
      </w:r>
    </w:p>
    <w:p w14:paraId="78EB17A8" w14:textId="77777777" w:rsidR="00544D4F" w:rsidRPr="009422C2" w:rsidRDefault="00544D4F" w:rsidP="00544D4F">
      <w:pPr>
        <w:spacing w:line="480" w:lineRule="auto"/>
      </w:pPr>
    </w:p>
    <w:p w14:paraId="463C04EA" w14:textId="77777777" w:rsidR="00EC1863" w:rsidRPr="00352EFD" w:rsidRDefault="00EC1863" w:rsidP="00544D4F">
      <w:pPr>
        <w:spacing w:line="480" w:lineRule="auto"/>
        <w:textAlignment w:val="baseline"/>
      </w:pPr>
      <w:r w:rsidRPr="00352EFD">
        <w:lastRenderedPageBreak/>
        <w:t>Strauss,</w:t>
      </w:r>
      <w:r w:rsidRPr="00352EFD">
        <w:rPr>
          <w:rStyle w:val="apple-converted-space"/>
        </w:rPr>
        <w:t> </w:t>
      </w:r>
      <w:r w:rsidRPr="00352EFD">
        <w:t>A.</w:t>
      </w:r>
      <w:r w:rsidRPr="00352EFD">
        <w:rPr>
          <w:rStyle w:val="apple-converted-space"/>
        </w:rPr>
        <w:t> </w:t>
      </w:r>
      <w:r w:rsidRPr="00352EFD">
        <w:t>and</w:t>
      </w:r>
      <w:r w:rsidRPr="00352EFD">
        <w:rPr>
          <w:rStyle w:val="apple-converted-space"/>
        </w:rPr>
        <w:t> </w:t>
      </w:r>
      <w:r w:rsidRPr="00352EFD">
        <w:rPr>
          <w:bdr w:val="none" w:sz="0" w:space="0" w:color="auto" w:frame="1"/>
        </w:rPr>
        <w:t>Corbin</w:t>
      </w:r>
      <w:r w:rsidRPr="00352EFD">
        <w:rPr>
          <w:rStyle w:val="name"/>
          <w:bdr w:val="none" w:sz="0" w:space="0" w:color="auto" w:frame="1"/>
        </w:rPr>
        <w:t>,</w:t>
      </w:r>
      <w:r w:rsidRPr="00352EFD">
        <w:rPr>
          <w:rStyle w:val="apple-converted-space"/>
          <w:bdr w:val="none" w:sz="0" w:space="0" w:color="auto" w:frame="1"/>
        </w:rPr>
        <w:t> </w:t>
      </w:r>
      <w:r w:rsidRPr="00352EFD">
        <w:rPr>
          <w:bdr w:val="none" w:sz="0" w:space="0" w:color="auto" w:frame="1"/>
        </w:rPr>
        <w:t>J. M</w:t>
      </w:r>
      <w:r w:rsidRPr="00352EFD">
        <w:t>. (1990)</w:t>
      </w:r>
      <w:r w:rsidRPr="00352EFD">
        <w:rPr>
          <w:rStyle w:val="apple-converted-space"/>
        </w:rPr>
        <w:t> </w:t>
      </w:r>
      <w:r w:rsidRPr="00352EFD">
        <w:rPr>
          <w:rStyle w:val="Emphasis"/>
          <w:bdr w:val="none" w:sz="0" w:space="0" w:color="auto" w:frame="1"/>
        </w:rPr>
        <w:t>Basics of Qualitative Research: Grounded Theory Procedures and Techniques</w:t>
      </w:r>
      <w:r w:rsidRPr="00352EFD">
        <w:t>.</w:t>
      </w:r>
      <w:r w:rsidRPr="00352EFD">
        <w:rPr>
          <w:rStyle w:val="apple-converted-space"/>
        </w:rPr>
        <w:t> </w:t>
      </w:r>
      <w:r>
        <w:rPr>
          <w:rStyle w:val="apple-converted-space"/>
        </w:rPr>
        <w:t xml:space="preserve">London: </w:t>
      </w:r>
      <w:r w:rsidRPr="00352EFD">
        <w:t>Sage</w:t>
      </w:r>
      <w:r>
        <w:t>.</w:t>
      </w:r>
    </w:p>
    <w:p w14:paraId="77D4C1F1" w14:textId="77777777" w:rsidR="00C66D54" w:rsidRPr="00C66D54" w:rsidRDefault="00C66D54" w:rsidP="00544D4F">
      <w:pPr>
        <w:autoSpaceDE w:val="0"/>
        <w:autoSpaceDN w:val="0"/>
        <w:adjustRightInd w:val="0"/>
        <w:spacing w:line="480" w:lineRule="auto"/>
        <w:rPr>
          <w:rStyle w:val="ref-lnk"/>
          <w:rFonts w:eastAsiaTheme="minorHAnsi"/>
          <w:lang w:eastAsia="en-US"/>
        </w:rPr>
      </w:pPr>
    </w:p>
    <w:p w14:paraId="6AD0E6CC" w14:textId="543194C4" w:rsidR="00F57DAD" w:rsidRDefault="00F57DAD" w:rsidP="00544D4F">
      <w:pPr>
        <w:autoSpaceDE w:val="0"/>
        <w:autoSpaceDN w:val="0"/>
        <w:adjustRightInd w:val="0"/>
        <w:spacing w:line="480" w:lineRule="auto"/>
        <w:rPr>
          <w:rFonts w:eastAsiaTheme="minorHAnsi"/>
          <w:lang w:eastAsia="en-US"/>
        </w:rPr>
      </w:pPr>
      <w:proofErr w:type="spellStart"/>
      <w:r w:rsidRPr="00F57DAD">
        <w:rPr>
          <w:rFonts w:eastAsiaTheme="minorHAnsi"/>
          <w:lang w:eastAsia="en-US"/>
        </w:rPr>
        <w:t>Tonry</w:t>
      </w:r>
      <w:proofErr w:type="spellEnd"/>
      <w:r w:rsidRPr="00F57DAD">
        <w:rPr>
          <w:rFonts w:eastAsiaTheme="minorHAnsi"/>
          <w:lang w:eastAsia="en-US"/>
        </w:rPr>
        <w:t>, M.</w:t>
      </w:r>
      <w:r w:rsidR="005C7244">
        <w:rPr>
          <w:rFonts w:eastAsiaTheme="minorHAnsi"/>
          <w:lang w:eastAsia="en-US"/>
        </w:rPr>
        <w:t xml:space="preserve"> and</w:t>
      </w:r>
      <w:r w:rsidRPr="00F57DAD">
        <w:rPr>
          <w:rFonts w:eastAsiaTheme="minorHAnsi"/>
          <w:lang w:eastAsia="en-US"/>
        </w:rPr>
        <w:t xml:space="preserve"> Farrington, D. P. (1995) ‘Strategic Approaches to Crime Prevention’. </w:t>
      </w:r>
      <w:r w:rsidRPr="00F57DAD">
        <w:rPr>
          <w:rFonts w:eastAsiaTheme="minorHAnsi"/>
          <w:i/>
          <w:iCs/>
          <w:lang w:eastAsia="en-US"/>
        </w:rPr>
        <w:t>Crime and Justice: Review of Research,</w:t>
      </w:r>
      <w:r w:rsidRPr="00F57DAD">
        <w:rPr>
          <w:rFonts w:eastAsiaTheme="minorHAnsi"/>
          <w:lang w:eastAsia="en-US"/>
        </w:rPr>
        <w:t xml:space="preserve"> 19: 1-20.</w:t>
      </w:r>
    </w:p>
    <w:p w14:paraId="6DA6F222" w14:textId="38A3E303" w:rsidR="00C66D54" w:rsidRDefault="00C66D54" w:rsidP="00544D4F">
      <w:pPr>
        <w:autoSpaceDE w:val="0"/>
        <w:autoSpaceDN w:val="0"/>
        <w:adjustRightInd w:val="0"/>
        <w:spacing w:line="480" w:lineRule="auto"/>
        <w:rPr>
          <w:rFonts w:eastAsiaTheme="minorHAnsi"/>
          <w:lang w:eastAsia="en-US"/>
        </w:rPr>
      </w:pPr>
    </w:p>
    <w:p w14:paraId="0248A9DC" w14:textId="2FF4E123" w:rsidR="00C66D54" w:rsidRDefault="00C66D54" w:rsidP="00544D4F">
      <w:pPr>
        <w:autoSpaceDE w:val="0"/>
        <w:autoSpaceDN w:val="0"/>
        <w:adjustRightInd w:val="0"/>
        <w:spacing w:line="480" w:lineRule="auto"/>
        <w:rPr>
          <w:rFonts w:eastAsiaTheme="minorHAnsi"/>
          <w:lang w:eastAsia="en-US"/>
        </w:rPr>
      </w:pPr>
      <w:r>
        <w:rPr>
          <w:rFonts w:eastAsiaTheme="minorHAnsi"/>
          <w:lang w:eastAsia="en-US"/>
        </w:rPr>
        <w:t>Van Dijk</w:t>
      </w:r>
      <w:r w:rsidR="00462FED">
        <w:rPr>
          <w:rFonts w:eastAsiaTheme="minorHAnsi"/>
          <w:lang w:eastAsia="en-US"/>
        </w:rPr>
        <w:t xml:space="preserve">, A., Herrington, V., </w:t>
      </w:r>
      <w:r w:rsidR="00FF7D69">
        <w:rPr>
          <w:rFonts w:eastAsiaTheme="minorHAnsi"/>
          <w:lang w:eastAsia="en-US"/>
        </w:rPr>
        <w:t xml:space="preserve">Crofts, N., </w:t>
      </w:r>
      <w:proofErr w:type="spellStart"/>
      <w:r w:rsidR="00FF7D69">
        <w:rPr>
          <w:rFonts w:eastAsiaTheme="minorHAnsi"/>
          <w:lang w:eastAsia="en-US"/>
        </w:rPr>
        <w:t>Brevnig</w:t>
      </w:r>
      <w:proofErr w:type="spellEnd"/>
      <w:r w:rsidR="00FF7D69">
        <w:rPr>
          <w:rFonts w:eastAsiaTheme="minorHAnsi"/>
          <w:lang w:eastAsia="en-US"/>
        </w:rPr>
        <w:t>, R., Burris, S., Sullivan, H., Middleton, J., Sherman, S.</w:t>
      </w:r>
      <w:r w:rsidR="006A37EE">
        <w:rPr>
          <w:rFonts w:eastAsiaTheme="minorHAnsi"/>
          <w:lang w:eastAsia="en-US"/>
        </w:rPr>
        <w:t xml:space="preserve"> and Thomson, N. (2019) ‘Law Enforcement and Public Health: Recognition and Enhancement of Joined</w:t>
      </w:r>
      <w:r w:rsidR="00E815D6">
        <w:rPr>
          <w:rFonts w:eastAsiaTheme="minorHAnsi"/>
          <w:lang w:eastAsia="en-US"/>
        </w:rPr>
        <w:t>-</w:t>
      </w:r>
      <w:r w:rsidR="006A37EE">
        <w:rPr>
          <w:rFonts w:eastAsiaTheme="minorHAnsi"/>
          <w:lang w:eastAsia="en-US"/>
        </w:rPr>
        <w:t xml:space="preserve">Up Solutions’, </w:t>
      </w:r>
      <w:r w:rsidR="006A37EE">
        <w:rPr>
          <w:rFonts w:eastAsiaTheme="minorHAnsi"/>
          <w:i/>
          <w:iCs/>
          <w:lang w:eastAsia="en-US"/>
        </w:rPr>
        <w:t xml:space="preserve">The Lancet, </w:t>
      </w:r>
      <w:r w:rsidR="00E815D6">
        <w:rPr>
          <w:rFonts w:eastAsiaTheme="minorHAnsi"/>
          <w:lang w:eastAsia="en-US"/>
        </w:rPr>
        <w:t>393: 287-294.</w:t>
      </w:r>
    </w:p>
    <w:p w14:paraId="658E3366" w14:textId="77777777" w:rsidR="002C36FA" w:rsidRDefault="002C36FA" w:rsidP="00544D4F">
      <w:pPr>
        <w:autoSpaceDE w:val="0"/>
        <w:autoSpaceDN w:val="0"/>
        <w:adjustRightInd w:val="0"/>
        <w:spacing w:line="480" w:lineRule="auto"/>
        <w:rPr>
          <w:rFonts w:eastAsiaTheme="minorHAnsi"/>
          <w:lang w:eastAsia="en-US"/>
        </w:rPr>
      </w:pPr>
    </w:p>
    <w:p w14:paraId="1933F1DC" w14:textId="66AE2203" w:rsidR="002C36FA" w:rsidRDefault="002C36FA" w:rsidP="00544D4F">
      <w:pPr>
        <w:autoSpaceDE w:val="0"/>
        <w:autoSpaceDN w:val="0"/>
        <w:adjustRightInd w:val="0"/>
        <w:spacing w:line="480" w:lineRule="auto"/>
        <w:rPr>
          <w:rFonts w:eastAsiaTheme="minorHAnsi"/>
          <w:lang w:eastAsia="en-US"/>
        </w:rPr>
      </w:pPr>
      <w:r w:rsidRPr="00DF1F99">
        <w:rPr>
          <w:rFonts w:eastAsiaTheme="minorHAnsi"/>
          <w:lang w:eastAsia="en-US"/>
        </w:rPr>
        <w:t xml:space="preserve">Weston, S., </w:t>
      </w:r>
      <w:r w:rsidR="00906CE0">
        <w:rPr>
          <w:rFonts w:eastAsiaTheme="minorHAnsi"/>
          <w:lang w:eastAsia="en-US"/>
        </w:rPr>
        <w:t>(</w:t>
      </w:r>
      <w:r w:rsidRPr="00DF1F99">
        <w:rPr>
          <w:rFonts w:eastAsiaTheme="minorHAnsi"/>
          <w:lang w:eastAsia="en-US"/>
        </w:rPr>
        <w:t>2014</w:t>
      </w:r>
      <w:r w:rsidR="00906CE0">
        <w:rPr>
          <w:rFonts w:eastAsiaTheme="minorHAnsi"/>
          <w:lang w:eastAsia="en-US"/>
        </w:rPr>
        <w:t>)</w:t>
      </w:r>
      <w:r w:rsidRPr="00DF1F99">
        <w:rPr>
          <w:rFonts w:eastAsiaTheme="minorHAnsi"/>
          <w:lang w:eastAsia="en-US"/>
        </w:rPr>
        <w:t xml:space="preserve"> </w:t>
      </w:r>
      <w:r>
        <w:rPr>
          <w:rFonts w:eastAsiaTheme="minorHAnsi"/>
          <w:lang w:eastAsia="en-US"/>
        </w:rPr>
        <w:t>‘</w:t>
      </w:r>
      <w:r w:rsidRPr="002C36FA">
        <w:rPr>
          <w:rFonts w:eastAsiaTheme="minorHAnsi"/>
          <w:lang w:eastAsia="en-US"/>
        </w:rPr>
        <w:t xml:space="preserve">The Origins </w:t>
      </w:r>
      <w:r>
        <w:rPr>
          <w:rFonts w:eastAsiaTheme="minorHAnsi"/>
          <w:lang w:eastAsia="en-US"/>
        </w:rPr>
        <w:t>o</w:t>
      </w:r>
      <w:r w:rsidRPr="002C36FA">
        <w:rPr>
          <w:rFonts w:eastAsiaTheme="minorHAnsi"/>
          <w:lang w:eastAsia="en-US"/>
        </w:rPr>
        <w:t xml:space="preserve">f Conflict </w:t>
      </w:r>
      <w:r>
        <w:rPr>
          <w:rFonts w:eastAsiaTheme="minorHAnsi"/>
          <w:lang w:eastAsia="en-US"/>
        </w:rPr>
        <w:t>i</w:t>
      </w:r>
      <w:r w:rsidRPr="002C36FA">
        <w:rPr>
          <w:rFonts w:eastAsiaTheme="minorHAnsi"/>
          <w:lang w:eastAsia="en-US"/>
        </w:rPr>
        <w:t xml:space="preserve">n Dependent Drug Treatment: Lessons </w:t>
      </w:r>
      <w:r>
        <w:rPr>
          <w:rFonts w:eastAsiaTheme="minorHAnsi"/>
          <w:lang w:eastAsia="en-US"/>
        </w:rPr>
        <w:t>f</w:t>
      </w:r>
      <w:r w:rsidRPr="002C36FA">
        <w:rPr>
          <w:rFonts w:eastAsiaTheme="minorHAnsi"/>
          <w:lang w:eastAsia="en-US"/>
        </w:rPr>
        <w:t>or Partnership Working</w:t>
      </w:r>
      <w:r>
        <w:rPr>
          <w:rFonts w:eastAsiaTheme="minorHAnsi"/>
          <w:lang w:eastAsia="en-US"/>
        </w:rPr>
        <w:t>’</w:t>
      </w:r>
      <w:r w:rsidRPr="00DF1F99">
        <w:rPr>
          <w:rFonts w:eastAsiaTheme="minorHAnsi"/>
          <w:lang w:eastAsia="en-US"/>
        </w:rPr>
        <w:t>. </w:t>
      </w:r>
      <w:r w:rsidRPr="00DF1F99">
        <w:rPr>
          <w:rFonts w:eastAsiaTheme="minorHAnsi"/>
          <w:i/>
          <w:iCs/>
          <w:lang w:eastAsia="en-US"/>
        </w:rPr>
        <w:t>British Journal of Community Justice</w:t>
      </w:r>
      <w:r w:rsidRPr="00DF1F99">
        <w:rPr>
          <w:rFonts w:eastAsiaTheme="minorHAnsi"/>
          <w:lang w:eastAsia="en-US"/>
        </w:rPr>
        <w:t>, 12(1)</w:t>
      </w:r>
      <w:r w:rsidR="00FD6CB7">
        <w:rPr>
          <w:rFonts w:eastAsiaTheme="minorHAnsi"/>
          <w:lang w:eastAsia="en-US"/>
        </w:rPr>
        <w:t>: 9-26.</w:t>
      </w:r>
    </w:p>
    <w:p w14:paraId="4DD5F923" w14:textId="77777777" w:rsidR="00351ECC" w:rsidRDefault="00351ECC" w:rsidP="00544D4F">
      <w:pPr>
        <w:autoSpaceDE w:val="0"/>
        <w:autoSpaceDN w:val="0"/>
        <w:adjustRightInd w:val="0"/>
        <w:spacing w:line="480" w:lineRule="auto"/>
        <w:rPr>
          <w:rFonts w:eastAsiaTheme="minorHAnsi"/>
          <w:lang w:eastAsia="en-US"/>
        </w:rPr>
      </w:pPr>
    </w:p>
    <w:p w14:paraId="1B0251F0" w14:textId="5A5C30EC" w:rsidR="00351ECC" w:rsidRPr="00DF1F99" w:rsidRDefault="00351ECC" w:rsidP="00544D4F">
      <w:pPr>
        <w:autoSpaceDE w:val="0"/>
        <w:autoSpaceDN w:val="0"/>
        <w:adjustRightInd w:val="0"/>
        <w:spacing w:line="480" w:lineRule="auto"/>
        <w:rPr>
          <w:rFonts w:eastAsiaTheme="minorHAnsi"/>
        </w:rPr>
      </w:pPr>
      <w:r w:rsidRPr="00DF1F99">
        <w:rPr>
          <w:rFonts w:eastAsiaTheme="minorHAnsi"/>
          <w:lang w:eastAsia="en-US"/>
        </w:rPr>
        <w:t>Weston,</w:t>
      </w:r>
      <w:r>
        <w:rPr>
          <w:rFonts w:eastAsiaTheme="minorHAnsi"/>
          <w:lang w:eastAsia="en-US"/>
        </w:rPr>
        <w:t xml:space="preserve"> S.,</w:t>
      </w:r>
      <w:r w:rsidR="00614D15">
        <w:rPr>
          <w:rFonts w:eastAsiaTheme="minorHAnsi"/>
          <w:lang w:eastAsia="en-US"/>
        </w:rPr>
        <w:t xml:space="preserve"> and</w:t>
      </w:r>
      <w:r w:rsidRPr="00DF1F99">
        <w:rPr>
          <w:rFonts w:eastAsiaTheme="minorHAnsi"/>
          <w:lang w:eastAsia="en-US"/>
        </w:rPr>
        <w:t xml:space="preserve"> Mythen, </w:t>
      </w:r>
      <w:r w:rsidR="00614D15">
        <w:rPr>
          <w:rFonts w:eastAsiaTheme="minorHAnsi"/>
          <w:lang w:eastAsia="en-US"/>
        </w:rPr>
        <w:t>G. (2020) ‘</w:t>
      </w:r>
      <w:r w:rsidRPr="00DF1F99">
        <w:rPr>
          <w:rFonts w:eastAsiaTheme="minorHAnsi"/>
          <w:lang w:eastAsia="en-US"/>
        </w:rPr>
        <w:t>Working with and Negotiating ‘Risk’: Examining the Effects of Awareness Raising Interventions Designed to Prevent Child Sexual Exploitation</w:t>
      </w:r>
      <w:r w:rsidR="00614D15">
        <w:rPr>
          <w:rFonts w:eastAsiaTheme="minorHAnsi"/>
          <w:lang w:eastAsia="en-US"/>
        </w:rPr>
        <w:t>’</w:t>
      </w:r>
      <w:r w:rsidRPr="00DF1F99">
        <w:rPr>
          <w:rFonts w:eastAsiaTheme="minorHAnsi"/>
          <w:lang w:eastAsia="en-US"/>
        </w:rPr>
        <w:t>, The British Journal of Criminology, 60</w:t>
      </w:r>
      <w:r w:rsidR="00614D15">
        <w:rPr>
          <w:rFonts w:eastAsiaTheme="minorHAnsi"/>
          <w:lang w:eastAsia="en-US"/>
        </w:rPr>
        <w:t>(</w:t>
      </w:r>
      <w:r w:rsidRPr="00DF1F99">
        <w:rPr>
          <w:rFonts w:eastAsiaTheme="minorHAnsi"/>
          <w:lang w:eastAsia="en-US"/>
        </w:rPr>
        <w:t>2</w:t>
      </w:r>
      <w:r w:rsidR="00614D15">
        <w:rPr>
          <w:rFonts w:eastAsiaTheme="minorHAnsi"/>
          <w:lang w:eastAsia="en-US"/>
        </w:rPr>
        <w:t xml:space="preserve">): </w:t>
      </w:r>
      <w:r w:rsidRPr="00DF1F99">
        <w:rPr>
          <w:rFonts w:eastAsiaTheme="minorHAnsi"/>
          <w:lang w:eastAsia="en-US"/>
        </w:rPr>
        <w:t>323–</w:t>
      </w:r>
      <w:r w:rsidR="00906CE0">
        <w:rPr>
          <w:rFonts w:eastAsiaTheme="minorHAnsi"/>
          <w:lang w:eastAsia="en-US"/>
        </w:rPr>
        <w:t>3</w:t>
      </w:r>
      <w:r w:rsidRPr="00DF1F99">
        <w:rPr>
          <w:rFonts w:eastAsiaTheme="minorHAnsi"/>
          <w:lang w:eastAsia="en-US"/>
        </w:rPr>
        <w:t>34</w:t>
      </w:r>
    </w:p>
    <w:p w14:paraId="4AFD915F" w14:textId="77777777" w:rsidR="00A46394" w:rsidRPr="00285B16" w:rsidRDefault="00A46394" w:rsidP="00A46394">
      <w:pPr>
        <w:rPr>
          <w:b/>
          <w:bCs/>
        </w:rPr>
      </w:pPr>
    </w:p>
    <w:p w14:paraId="5EFED3C5" w14:textId="2F288AFB" w:rsidR="008838B1" w:rsidRDefault="008838B1"/>
    <w:sectPr w:rsidR="008838B1" w:rsidSect="00B02704">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15672" w14:textId="77777777" w:rsidR="00FC4B7B" w:rsidRDefault="00FC4B7B" w:rsidP="00FE344D">
      <w:r>
        <w:separator/>
      </w:r>
    </w:p>
  </w:endnote>
  <w:endnote w:type="continuationSeparator" w:id="0">
    <w:p w14:paraId="097F795C" w14:textId="77777777" w:rsidR="00FC4B7B" w:rsidRDefault="00FC4B7B" w:rsidP="00FE3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9C276" w14:textId="77777777" w:rsidR="00FC4B7B" w:rsidRDefault="00FC4B7B" w:rsidP="00FE344D">
      <w:r>
        <w:separator/>
      </w:r>
    </w:p>
  </w:footnote>
  <w:footnote w:type="continuationSeparator" w:id="0">
    <w:p w14:paraId="4DC393A1" w14:textId="77777777" w:rsidR="00FC4B7B" w:rsidRDefault="00FC4B7B" w:rsidP="00FE344D">
      <w:r>
        <w:continuationSeparator/>
      </w:r>
    </w:p>
  </w:footnote>
  <w:footnote w:id="1">
    <w:p w14:paraId="2AD8CCD9" w14:textId="565246EF" w:rsidR="00CD5C1B" w:rsidRDefault="00CD5C1B">
      <w:pPr>
        <w:pStyle w:val="FootnoteText"/>
      </w:pPr>
      <w:r>
        <w:rPr>
          <w:rStyle w:val="FootnoteReference"/>
        </w:rPr>
        <w:footnoteRef/>
      </w:r>
      <w:r>
        <w:t xml:space="preserve"> </w:t>
      </w:r>
      <w:r w:rsidR="002C611E">
        <w:t>Samantha Weston, University of Birmingham, s.k.weston@bham.ac.uk</w:t>
      </w:r>
    </w:p>
  </w:footnote>
  <w:footnote w:id="2">
    <w:p w14:paraId="1B5E8B80" w14:textId="548EAC8C" w:rsidR="001D7560" w:rsidRDefault="001D7560">
      <w:pPr>
        <w:pStyle w:val="FootnoteText"/>
      </w:pPr>
      <w:r>
        <w:rPr>
          <w:rStyle w:val="FootnoteReference"/>
        </w:rPr>
        <w:footnoteRef/>
      </w:r>
      <w:r>
        <w:t xml:space="preserve"> Gabe Mythen, University of Liverpool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A5463"/>
    <w:multiLevelType w:val="multilevel"/>
    <w:tmpl w:val="55062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4261DC"/>
    <w:multiLevelType w:val="multilevel"/>
    <w:tmpl w:val="F1F4A5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CD0A0D"/>
    <w:multiLevelType w:val="hybridMultilevel"/>
    <w:tmpl w:val="AD1CC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08056E"/>
    <w:multiLevelType w:val="multilevel"/>
    <w:tmpl w:val="0512F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C56DFE"/>
    <w:multiLevelType w:val="hybridMultilevel"/>
    <w:tmpl w:val="E80CC3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8A52FE"/>
    <w:multiLevelType w:val="hybridMultilevel"/>
    <w:tmpl w:val="5C661ECC"/>
    <w:lvl w:ilvl="0" w:tplc="08090001">
      <w:start w:val="1"/>
      <w:numFmt w:val="bullet"/>
      <w:lvlText w:val=""/>
      <w:lvlJc w:val="left"/>
      <w:pPr>
        <w:ind w:left="720" w:hanging="360"/>
      </w:pPr>
      <w:rPr>
        <w:rFonts w:ascii="Symbol" w:hAnsi="Symbol" w:hint="default"/>
        <w:b w:val="0"/>
        <w:color w:val="auto"/>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3E8E0C5B"/>
    <w:multiLevelType w:val="hybridMultilevel"/>
    <w:tmpl w:val="C1544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447ED0"/>
    <w:multiLevelType w:val="multilevel"/>
    <w:tmpl w:val="AC76D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5620C8"/>
    <w:multiLevelType w:val="hybridMultilevel"/>
    <w:tmpl w:val="AC166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1E5A9E"/>
    <w:multiLevelType w:val="hybridMultilevel"/>
    <w:tmpl w:val="2F7C2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40461380">
    <w:abstractNumId w:val="4"/>
  </w:num>
  <w:num w:numId="2" w16cid:durableId="1701081482">
    <w:abstractNumId w:val="6"/>
  </w:num>
  <w:num w:numId="3" w16cid:durableId="1171991613">
    <w:abstractNumId w:val="8"/>
  </w:num>
  <w:num w:numId="4" w16cid:durableId="1630160594">
    <w:abstractNumId w:val="3"/>
  </w:num>
  <w:num w:numId="5" w16cid:durableId="1352998693">
    <w:abstractNumId w:val="7"/>
  </w:num>
  <w:num w:numId="6" w16cid:durableId="1445542734">
    <w:abstractNumId w:val="0"/>
  </w:num>
  <w:num w:numId="7" w16cid:durableId="1836265266">
    <w:abstractNumId w:val="9"/>
  </w:num>
  <w:num w:numId="8" w16cid:durableId="95558371">
    <w:abstractNumId w:val="2"/>
  </w:num>
  <w:num w:numId="9" w16cid:durableId="1558007158">
    <w:abstractNumId w:val="1"/>
  </w:num>
  <w:num w:numId="10" w16cid:durableId="93467510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394"/>
    <w:rsid w:val="000009FB"/>
    <w:rsid w:val="00001283"/>
    <w:rsid w:val="00001297"/>
    <w:rsid w:val="00001583"/>
    <w:rsid w:val="00001E4B"/>
    <w:rsid w:val="00001E7B"/>
    <w:rsid w:val="00002001"/>
    <w:rsid w:val="000030C8"/>
    <w:rsid w:val="00003523"/>
    <w:rsid w:val="000036B7"/>
    <w:rsid w:val="00003D2D"/>
    <w:rsid w:val="00011F11"/>
    <w:rsid w:val="00012401"/>
    <w:rsid w:val="00015B38"/>
    <w:rsid w:val="00020303"/>
    <w:rsid w:val="00023DB7"/>
    <w:rsid w:val="0002455D"/>
    <w:rsid w:val="00025F5D"/>
    <w:rsid w:val="00026515"/>
    <w:rsid w:val="00026BEF"/>
    <w:rsid w:val="00031707"/>
    <w:rsid w:val="0003319D"/>
    <w:rsid w:val="00036FBF"/>
    <w:rsid w:val="00037700"/>
    <w:rsid w:val="000402AA"/>
    <w:rsid w:val="000421FF"/>
    <w:rsid w:val="000439FA"/>
    <w:rsid w:val="00045010"/>
    <w:rsid w:val="000458C7"/>
    <w:rsid w:val="000458DA"/>
    <w:rsid w:val="00050993"/>
    <w:rsid w:val="00050BA0"/>
    <w:rsid w:val="00053B97"/>
    <w:rsid w:val="00055A91"/>
    <w:rsid w:val="000560BE"/>
    <w:rsid w:val="0006022B"/>
    <w:rsid w:val="00061A48"/>
    <w:rsid w:val="0006276D"/>
    <w:rsid w:val="00065F99"/>
    <w:rsid w:val="00066857"/>
    <w:rsid w:val="00072522"/>
    <w:rsid w:val="00072B0F"/>
    <w:rsid w:val="000733FB"/>
    <w:rsid w:val="00075303"/>
    <w:rsid w:val="000753E0"/>
    <w:rsid w:val="00075EA6"/>
    <w:rsid w:val="00076C76"/>
    <w:rsid w:val="0007741D"/>
    <w:rsid w:val="00080C89"/>
    <w:rsid w:val="000826CB"/>
    <w:rsid w:val="0008322F"/>
    <w:rsid w:val="0008324E"/>
    <w:rsid w:val="00083D6F"/>
    <w:rsid w:val="0008412F"/>
    <w:rsid w:val="00086547"/>
    <w:rsid w:val="000865FD"/>
    <w:rsid w:val="000873E2"/>
    <w:rsid w:val="00090001"/>
    <w:rsid w:val="0009218F"/>
    <w:rsid w:val="00093635"/>
    <w:rsid w:val="0009607F"/>
    <w:rsid w:val="00097FE0"/>
    <w:rsid w:val="000A03EF"/>
    <w:rsid w:val="000A2BEC"/>
    <w:rsid w:val="000A4CED"/>
    <w:rsid w:val="000A57AC"/>
    <w:rsid w:val="000A5943"/>
    <w:rsid w:val="000A5FE1"/>
    <w:rsid w:val="000A65D7"/>
    <w:rsid w:val="000A7859"/>
    <w:rsid w:val="000B1274"/>
    <w:rsid w:val="000B2E6F"/>
    <w:rsid w:val="000B4879"/>
    <w:rsid w:val="000B7C3A"/>
    <w:rsid w:val="000C03D7"/>
    <w:rsid w:val="000C05D6"/>
    <w:rsid w:val="000C1446"/>
    <w:rsid w:val="000C19A7"/>
    <w:rsid w:val="000C22AC"/>
    <w:rsid w:val="000C50F8"/>
    <w:rsid w:val="000C6F82"/>
    <w:rsid w:val="000D0A51"/>
    <w:rsid w:val="000D1162"/>
    <w:rsid w:val="000D1288"/>
    <w:rsid w:val="000D4129"/>
    <w:rsid w:val="000D4ABA"/>
    <w:rsid w:val="000D4B56"/>
    <w:rsid w:val="000D688A"/>
    <w:rsid w:val="000E0C87"/>
    <w:rsid w:val="000E133E"/>
    <w:rsid w:val="000E2374"/>
    <w:rsid w:val="000E2E60"/>
    <w:rsid w:val="000E3DFB"/>
    <w:rsid w:val="000E3E2F"/>
    <w:rsid w:val="000F0217"/>
    <w:rsid w:val="000F0AB1"/>
    <w:rsid w:val="000F3119"/>
    <w:rsid w:val="000F318C"/>
    <w:rsid w:val="000F3329"/>
    <w:rsid w:val="000F7309"/>
    <w:rsid w:val="000F7A7A"/>
    <w:rsid w:val="0010051F"/>
    <w:rsid w:val="0010268C"/>
    <w:rsid w:val="001028FE"/>
    <w:rsid w:val="001029A8"/>
    <w:rsid w:val="00102E9C"/>
    <w:rsid w:val="001056FD"/>
    <w:rsid w:val="001063B1"/>
    <w:rsid w:val="0010732C"/>
    <w:rsid w:val="00107725"/>
    <w:rsid w:val="0011132B"/>
    <w:rsid w:val="00113DB2"/>
    <w:rsid w:val="00115C10"/>
    <w:rsid w:val="00115CF8"/>
    <w:rsid w:val="00116583"/>
    <w:rsid w:val="00116AB7"/>
    <w:rsid w:val="00117DF7"/>
    <w:rsid w:val="001211F3"/>
    <w:rsid w:val="00122B8A"/>
    <w:rsid w:val="00124077"/>
    <w:rsid w:val="0012466F"/>
    <w:rsid w:val="001247DE"/>
    <w:rsid w:val="00126171"/>
    <w:rsid w:val="001265E5"/>
    <w:rsid w:val="00126609"/>
    <w:rsid w:val="00127141"/>
    <w:rsid w:val="00131563"/>
    <w:rsid w:val="001316CA"/>
    <w:rsid w:val="001323AE"/>
    <w:rsid w:val="001326E5"/>
    <w:rsid w:val="0013296C"/>
    <w:rsid w:val="00133AED"/>
    <w:rsid w:val="001344F6"/>
    <w:rsid w:val="001375FD"/>
    <w:rsid w:val="00137829"/>
    <w:rsid w:val="00140326"/>
    <w:rsid w:val="0014130F"/>
    <w:rsid w:val="00141F3B"/>
    <w:rsid w:val="00142305"/>
    <w:rsid w:val="001435A0"/>
    <w:rsid w:val="001435C6"/>
    <w:rsid w:val="001456C9"/>
    <w:rsid w:val="00145AE7"/>
    <w:rsid w:val="001465EF"/>
    <w:rsid w:val="0015092C"/>
    <w:rsid w:val="00152E9E"/>
    <w:rsid w:val="001531DF"/>
    <w:rsid w:val="0015344A"/>
    <w:rsid w:val="00153782"/>
    <w:rsid w:val="00153F9E"/>
    <w:rsid w:val="00156C64"/>
    <w:rsid w:val="00161237"/>
    <w:rsid w:val="001654CB"/>
    <w:rsid w:val="00165E2F"/>
    <w:rsid w:val="0016646B"/>
    <w:rsid w:val="00166F4A"/>
    <w:rsid w:val="001673E7"/>
    <w:rsid w:val="00167961"/>
    <w:rsid w:val="0017051E"/>
    <w:rsid w:val="001720E8"/>
    <w:rsid w:val="00173408"/>
    <w:rsid w:val="00174470"/>
    <w:rsid w:val="00174A40"/>
    <w:rsid w:val="00174BAB"/>
    <w:rsid w:val="00174DD7"/>
    <w:rsid w:val="00175F62"/>
    <w:rsid w:val="00180A39"/>
    <w:rsid w:val="00180BE2"/>
    <w:rsid w:val="00182539"/>
    <w:rsid w:val="00182CD0"/>
    <w:rsid w:val="00183DAF"/>
    <w:rsid w:val="00184870"/>
    <w:rsid w:val="00184A36"/>
    <w:rsid w:val="001853EC"/>
    <w:rsid w:val="00186E79"/>
    <w:rsid w:val="00191323"/>
    <w:rsid w:val="00192283"/>
    <w:rsid w:val="00192345"/>
    <w:rsid w:val="00193E66"/>
    <w:rsid w:val="00195ABA"/>
    <w:rsid w:val="00195E2C"/>
    <w:rsid w:val="0019636B"/>
    <w:rsid w:val="001969BA"/>
    <w:rsid w:val="001A0F41"/>
    <w:rsid w:val="001A1AC1"/>
    <w:rsid w:val="001A4CDA"/>
    <w:rsid w:val="001A4F18"/>
    <w:rsid w:val="001A5833"/>
    <w:rsid w:val="001A7757"/>
    <w:rsid w:val="001B15F6"/>
    <w:rsid w:val="001B189A"/>
    <w:rsid w:val="001B246B"/>
    <w:rsid w:val="001B27B0"/>
    <w:rsid w:val="001B4C41"/>
    <w:rsid w:val="001B55FB"/>
    <w:rsid w:val="001C0FE5"/>
    <w:rsid w:val="001C11E8"/>
    <w:rsid w:val="001C1303"/>
    <w:rsid w:val="001C14CF"/>
    <w:rsid w:val="001C1E9A"/>
    <w:rsid w:val="001C265B"/>
    <w:rsid w:val="001C28BB"/>
    <w:rsid w:val="001C434D"/>
    <w:rsid w:val="001C5E8F"/>
    <w:rsid w:val="001C602B"/>
    <w:rsid w:val="001C6123"/>
    <w:rsid w:val="001C7A66"/>
    <w:rsid w:val="001D161A"/>
    <w:rsid w:val="001D4074"/>
    <w:rsid w:val="001D4721"/>
    <w:rsid w:val="001D478D"/>
    <w:rsid w:val="001D4811"/>
    <w:rsid w:val="001D567C"/>
    <w:rsid w:val="001D5C94"/>
    <w:rsid w:val="001D7560"/>
    <w:rsid w:val="001D7EC0"/>
    <w:rsid w:val="001E137A"/>
    <w:rsid w:val="001E2405"/>
    <w:rsid w:val="001E26FC"/>
    <w:rsid w:val="001E35B9"/>
    <w:rsid w:val="001E3E6E"/>
    <w:rsid w:val="001E41FA"/>
    <w:rsid w:val="001E4256"/>
    <w:rsid w:val="001E695C"/>
    <w:rsid w:val="001F36B6"/>
    <w:rsid w:val="001F56D2"/>
    <w:rsid w:val="001F6D70"/>
    <w:rsid w:val="001F7B10"/>
    <w:rsid w:val="001F7DBC"/>
    <w:rsid w:val="001F7F7A"/>
    <w:rsid w:val="00200071"/>
    <w:rsid w:val="00200172"/>
    <w:rsid w:val="002001FE"/>
    <w:rsid w:val="00200A7C"/>
    <w:rsid w:val="00201A74"/>
    <w:rsid w:val="00201D39"/>
    <w:rsid w:val="00203F9D"/>
    <w:rsid w:val="0020406A"/>
    <w:rsid w:val="00205555"/>
    <w:rsid w:val="002057FB"/>
    <w:rsid w:val="0020583E"/>
    <w:rsid w:val="002070CF"/>
    <w:rsid w:val="00210F5E"/>
    <w:rsid w:val="00211E59"/>
    <w:rsid w:val="00211FC1"/>
    <w:rsid w:val="00212C65"/>
    <w:rsid w:val="00216230"/>
    <w:rsid w:val="0021662E"/>
    <w:rsid w:val="002172D0"/>
    <w:rsid w:val="00217F99"/>
    <w:rsid w:val="0022148B"/>
    <w:rsid w:val="00222C16"/>
    <w:rsid w:val="0022300D"/>
    <w:rsid w:val="0022596C"/>
    <w:rsid w:val="00225F98"/>
    <w:rsid w:val="00225FED"/>
    <w:rsid w:val="00227905"/>
    <w:rsid w:val="00227CD1"/>
    <w:rsid w:val="002324CE"/>
    <w:rsid w:val="00235E6F"/>
    <w:rsid w:val="00236964"/>
    <w:rsid w:val="0023717F"/>
    <w:rsid w:val="002372C4"/>
    <w:rsid w:val="00237B0C"/>
    <w:rsid w:val="00237FF7"/>
    <w:rsid w:val="00241FEE"/>
    <w:rsid w:val="002424EA"/>
    <w:rsid w:val="00244ACF"/>
    <w:rsid w:val="00245134"/>
    <w:rsid w:val="00245789"/>
    <w:rsid w:val="00246AEB"/>
    <w:rsid w:val="00247978"/>
    <w:rsid w:val="00247B5E"/>
    <w:rsid w:val="0025064B"/>
    <w:rsid w:val="00251436"/>
    <w:rsid w:val="0025237F"/>
    <w:rsid w:val="00252498"/>
    <w:rsid w:val="0025347E"/>
    <w:rsid w:val="00255984"/>
    <w:rsid w:val="0026141A"/>
    <w:rsid w:val="00262060"/>
    <w:rsid w:val="002659B1"/>
    <w:rsid w:val="002667CC"/>
    <w:rsid w:val="00267500"/>
    <w:rsid w:val="00267B98"/>
    <w:rsid w:val="00270393"/>
    <w:rsid w:val="002704D3"/>
    <w:rsid w:val="00270C33"/>
    <w:rsid w:val="0027121D"/>
    <w:rsid w:val="0027310A"/>
    <w:rsid w:val="002749EC"/>
    <w:rsid w:val="0027533B"/>
    <w:rsid w:val="0027636D"/>
    <w:rsid w:val="00276959"/>
    <w:rsid w:val="00280975"/>
    <w:rsid w:val="002824AF"/>
    <w:rsid w:val="00283976"/>
    <w:rsid w:val="00284C4C"/>
    <w:rsid w:val="002851A7"/>
    <w:rsid w:val="002902C5"/>
    <w:rsid w:val="0029079F"/>
    <w:rsid w:val="0029284A"/>
    <w:rsid w:val="00295CFC"/>
    <w:rsid w:val="00296EE3"/>
    <w:rsid w:val="002974AA"/>
    <w:rsid w:val="002A313A"/>
    <w:rsid w:val="002A3CE1"/>
    <w:rsid w:val="002A487E"/>
    <w:rsid w:val="002A59F5"/>
    <w:rsid w:val="002A6F2C"/>
    <w:rsid w:val="002B1425"/>
    <w:rsid w:val="002B2404"/>
    <w:rsid w:val="002B3703"/>
    <w:rsid w:val="002B5461"/>
    <w:rsid w:val="002B6F11"/>
    <w:rsid w:val="002C019C"/>
    <w:rsid w:val="002C24BB"/>
    <w:rsid w:val="002C36FA"/>
    <w:rsid w:val="002C416D"/>
    <w:rsid w:val="002C5034"/>
    <w:rsid w:val="002C5246"/>
    <w:rsid w:val="002C5817"/>
    <w:rsid w:val="002C611E"/>
    <w:rsid w:val="002D0B26"/>
    <w:rsid w:val="002D2401"/>
    <w:rsid w:val="002D2D15"/>
    <w:rsid w:val="002D5562"/>
    <w:rsid w:val="002E180C"/>
    <w:rsid w:val="002E4752"/>
    <w:rsid w:val="002E4DFF"/>
    <w:rsid w:val="002E5301"/>
    <w:rsid w:val="002E5652"/>
    <w:rsid w:val="002E5C39"/>
    <w:rsid w:val="002F012F"/>
    <w:rsid w:val="002F167A"/>
    <w:rsid w:val="002F1BC8"/>
    <w:rsid w:val="002F35C3"/>
    <w:rsid w:val="002F3A94"/>
    <w:rsid w:val="002F3DC9"/>
    <w:rsid w:val="002F660B"/>
    <w:rsid w:val="003000CA"/>
    <w:rsid w:val="00300EB9"/>
    <w:rsid w:val="003017D2"/>
    <w:rsid w:val="003023CA"/>
    <w:rsid w:val="00302748"/>
    <w:rsid w:val="003029AA"/>
    <w:rsid w:val="00302A35"/>
    <w:rsid w:val="00302EE3"/>
    <w:rsid w:val="00303345"/>
    <w:rsid w:val="00303CE6"/>
    <w:rsid w:val="0030563D"/>
    <w:rsid w:val="00305D2E"/>
    <w:rsid w:val="00306252"/>
    <w:rsid w:val="00311383"/>
    <w:rsid w:val="003122F6"/>
    <w:rsid w:val="00312486"/>
    <w:rsid w:val="00312E46"/>
    <w:rsid w:val="003134E9"/>
    <w:rsid w:val="003148B1"/>
    <w:rsid w:val="0031641F"/>
    <w:rsid w:val="00317F84"/>
    <w:rsid w:val="00320B48"/>
    <w:rsid w:val="003213BA"/>
    <w:rsid w:val="00321BA9"/>
    <w:rsid w:val="00322ABE"/>
    <w:rsid w:val="0032310B"/>
    <w:rsid w:val="003233D7"/>
    <w:rsid w:val="00323A21"/>
    <w:rsid w:val="00323E6E"/>
    <w:rsid w:val="003247D5"/>
    <w:rsid w:val="003257E1"/>
    <w:rsid w:val="00327C07"/>
    <w:rsid w:val="003301A6"/>
    <w:rsid w:val="003314FE"/>
    <w:rsid w:val="00331584"/>
    <w:rsid w:val="00333B8D"/>
    <w:rsid w:val="00334602"/>
    <w:rsid w:val="00335822"/>
    <w:rsid w:val="003408A3"/>
    <w:rsid w:val="003426C0"/>
    <w:rsid w:val="00342AA1"/>
    <w:rsid w:val="003444F3"/>
    <w:rsid w:val="00344C5A"/>
    <w:rsid w:val="00344CFB"/>
    <w:rsid w:val="003459A1"/>
    <w:rsid w:val="00346459"/>
    <w:rsid w:val="003472E1"/>
    <w:rsid w:val="0035145A"/>
    <w:rsid w:val="00351C16"/>
    <w:rsid w:val="00351ECC"/>
    <w:rsid w:val="0035221B"/>
    <w:rsid w:val="0035266C"/>
    <w:rsid w:val="00352FF2"/>
    <w:rsid w:val="003530BD"/>
    <w:rsid w:val="00353A08"/>
    <w:rsid w:val="00353F3A"/>
    <w:rsid w:val="003542BF"/>
    <w:rsid w:val="003549B9"/>
    <w:rsid w:val="00354A5E"/>
    <w:rsid w:val="0035529F"/>
    <w:rsid w:val="00355BF6"/>
    <w:rsid w:val="003562CC"/>
    <w:rsid w:val="00356419"/>
    <w:rsid w:val="00356D55"/>
    <w:rsid w:val="00356FB1"/>
    <w:rsid w:val="003610FB"/>
    <w:rsid w:val="00361F84"/>
    <w:rsid w:val="00362173"/>
    <w:rsid w:val="003638CD"/>
    <w:rsid w:val="00363BA8"/>
    <w:rsid w:val="00364301"/>
    <w:rsid w:val="00364768"/>
    <w:rsid w:val="00364862"/>
    <w:rsid w:val="00365242"/>
    <w:rsid w:val="0036583F"/>
    <w:rsid w:val="003663B6"/>
    <w:rsid w:val="00367094"/>
    <w:rsid w:val="00367B68"/>
    <w:rsid w:val="003742C3"/>
    <w:rsid w:val="00374516"/>
    <w:rsid w:val="00374635"/>
    <w:rsid w:val="0037471C"/>
    <w:rsid w:val="0037493C"/>
    <w:rsid w:val="00375447"/>
    <w:rsid w:val="00375ABA"/>
    <w:rsid w:val="0037745D"/>
    <w:rsid w:val="0038122D"/>
    <w:rsid w:val="003826CF"/>
    <w:rsid w:val="003830DE"/>
    <w:rsid w:val="00383151"/>
    <w:rsid w:val="003834DA"/>
    <w:rsid w:val="0039064C"/>
    <w:rsid w:val="003914AE"/>
    <w:rsid w:val="00391EC3"/>
    <w:rsid w:val="00392531"/>
    <w:rsid w:val="0039391F"/>
    <w:rsid w:val="0039717B"/>
    <w:rsid w:val="00397B4F"/>
    <w:rsid w:val="003A1492"/>
    <w:rsid w:val="003A1ED2"/>
    <w:rsid w:val="003A2BBB"/>
    <w:rsid w:val="003A2EE9"/>
    <w:rsid w:val="003A491B"/>
    <w:rsid w:val="003A78E0"/>
    <w:rsid w:val="003B0AE2"/>
    <w:rsid w:val="003B1BDF"/>
    <w:rsid w:val="003B2934"/>
    <w:rsid w:val="003B2D15"/>
    <w:rsid w:val="003B2E34"/>
    <w:rsid w:val="003B3544"/>
    <w:rsid w:val="003B42AB"/>
    <w:rsid w:val="003B4CAB"/>
    <w:rsid w:val="003B64D2"/>
    <w:rsid w:val="003C000C"/>
    <w:rsid w:val="003C01A5"/>
    <w:rsid w:val="003C09DE"/>
    <w:rsid w:val="003C3B64"/>
    <w:rsid w:val="003C3CCE"/>
    <w:rsid w:val="003C4807"/>
    <w:rsid w:val="003C54AC"/>
    <w:rsid w:val="003C5DA6"/>
    <w:rsid w:val="003C724A"/>
    <w:rsid w:val="003C7561"/>
    <w:rsid w:val="003D08E9"/>
    <w:rsid w:val="003D11EB"/>
    <w:rsid w:val="003D2847"/>
    <w:rsid w:val="003D36E0"/>
    <w:rsid w:val="003D4940"/>
    <w:rsid w:val="003E037A"/>
    <w:rsid w:val="003E08D3"/>
    <w:rsid w:val="003E23AB"/>
    <w:rsid w:val="003E4037"/>
    <w:rsid w:val="003E4823"/>
    <w:rsid w:val="003E6174"/>
    <w:rsid w:val="003E711B"/>
    <w:rsid w:val="003E72A2"/>
    <w:rsid w:val="003F1618"/>
    <w:rsid w:val="003F53CF"/>
    <w:rsid w:val="003F5482"/>
    <w:rsid w:val="003F5AEF"/>
    <w:rsid w:val="004014F3"/>
    <w:rsid w:val="00403D13"/>
    <w:rsid w:val="00405CEE"/>
    <w:rsid w:val="004064A6"/>
    <w:rsid w:val="00407500"/>
    <w:rsid w:val="0041083A"/>
    <w:rsid w:val="0041132A"/>
    <w:rsid w:val="00411A39"/>
    <w:rsid w:val="00412D8F"/>
    <w:rsid w:val="004135B5"/>
    <w:rsid w:val="00414434"/>
    <w:rsid w:val="004163CF"/>
    <w:rsid w:val="0042011E"/>
    <w:rsid w:val="00420BBA"/>
    <w:rsid w:val="00420C6D"/>
    <w:rsid w:val="00422524"/>
    <w:rsid w:val="00422BFB"/>
    <w:rsid w:val="004239B7"/>
    <w:rsid w:val="00426485"/>
    <w:rsid w:val="00432940"/>
    <w:rsid w:val="00432995"/>
    <w:rsid w:val="00432F59"/>
    <w:rsid w:val="0043366E"/>
    <w:rsid w:val="004337EE"/>
    <w:rsid w:val="00433949"/>
    <w:rsid w:val="00435179"/>
    <w:rsid w:val="004368B8"/>
    <w:rsid w:val="00436B62"/>
    <w:rsid w:val="00436FFC"/>
    <w:rsid w:val="004375C5"/>
    <w:rsid w:val="00437B7C"/>
    <w:rsid w:val="004404B3"/>
    <w:rsid w:val="00441E5B"/>
    <w:rsid w:val="00442529"/>
    <w:rsid w:val="00443098"/>
    <w:rsid w:val="00444B4B"/>
    <w:rsid w:val="00444CA3"/>
    <w:rsid w:val="00447685"/>
    <w:rsid w:val="00447695"/>
    <w:rsid w:val="004505C0"/>
    <w:rsid w:val="004511E7"/>
    <w:rsid w:val="004526E0"/>
    <w:rsid w:val="004533BD"/>
    <w:rsid w:val="004534A0"/>
    <w:rsid w:val="00453547"/>
    <w:rsid w:val="00453BD8"/>
    <w:rsid w:val="004568B4"/>
    <w:rsid w:val="00457069"/>
    <w:rsid w:val="00460BF0"/>
    <w:rsid w:val="004626AA"/>
    <w:rsid w:val="0046273A"/>
    <w:rsid w:val="00462FED"/>
    <w:rsid w:val="0046555D"/>
    <w:rsid w:val="00465BCA"/>
    <w:rsid w:val="00465FFD"/>
    <w:rsid w:val="00466857"/>
    <w:rsid w:val="00467063"/>
    <w:rsid w:val="004701DA"/>
    <w:rsid w:val="00472663"/>
    <w:rsid w:val="00472D78"/>
    <w:rsid w:val="00473A7A"/>
    <w:rsid w:val="00474487"/>
    <w:rsid w:val="00474824"/>
    <w:rsid w:val="00474DDD"/>
    <w:rsid w:val="004804E0"/>
    <w:rsid w:val="00481AB8"/>
    <w:rsid w:val="00483862"/>
    <w:rsid w:val="00484B74"/>
    <w:rsid w:val="00486F04"/>
    <w:rsid w:val="00487E31"/>
    <w:rsid w:val="00490BF4"/>
    <w:rsid w:val="00490FAE"/>
    <w:rsid w:val="00492839"/>
    <w:rsid w:val="00492947"/>
    <w:rsid w:val="004937D8"/>
    <w:rsid w:val="004963D8"/>
    <w:rsid w:val="004973BE"/>
    <w:rsid w:val="00497B71"/>
    <w:rsid w:val="004A02E1"/>
    <w:rsid w:val="004A124C"/>
    <w:rsid w:val="004A2BB4"/>
    <w:rsid w:val="004A4EE4"/>
    <w:rsid w:val="004A5168"/>
    <w:rsid w:val="004A5AE6"/>
    <w:rsid w:val="004B086A"/>
    <w:rsid w:val="004B0D5E"/>
    <w:rsid w:val="004B31C5"/>
    <w:rsid w:val="004B39CE"/>
    <w:rsid w:val="004B3FFC"/>
    <w:rsid w:val="004B48FB"/>
    <w:rsid w:val="004B574C"/>
    <w:rsid w:val="004B63D2"/>
    <w:rsid w:val="004B66A2"/>
    <w:rsid w:val="004C009F"/>
    <w:rsid w:val="004C128E"/>
    <w:rsid w:val="004C2D87"/>
    <w:rsid w:val="004C31A3"/>
    <w:rsid w:val="004C33DE"/>
    <w:rsid w:val="004C3431"/>
    <w:rsid w:val="004C3A8D"/>
    <w:rsid w:val="004C3E85"/>
    <w:rsid w:val="004C5254"/>
    <w:rsid w:val="004C6768"/>
    <w:rsid w:val="004C6857"/>
    <w:rsid w:val="004C7D6A"/>
    <w:rsid w:val="004C7DD2"/>
    <w:rsid w:val="004D0ABA"/>
    <w:rsid w:val="004D1BC0"/>
    <w:rsid w:val="004D1F40"/>
    <w:rsid w:val="004D2020"/>
    <w:rsid w:val="004D2F3A"/>
    <w:rsid w:val="004D3365"/>
    <w:rsid w:val="004D3ACC"/>
    <w:rsid w:val="004D4A93"/>
    <w:rsid w:val="004D5E30"/>
    <w:rsid w:val="004D64D0"/>
    <w:rsid w:val="004E05D6"/>
    <w:rsid w:val="004E0DEE"/>
    <w:rsid w:val="004E1FF2"/>
    <w:rsid w:val="004E3F9E"/>
    <w:rsid w:val="004E4BE0"/>
    <w:rsid w:val="004E5262"/>
    <w:rsid w:val="004E5C7C"/>
    <w:rsid w:val="004F3094"/>
    <w:rsid w:val="004F677F"/>
    <w:rsid w:val="004F6D1D"/>
    <w:rsid w:val="004F71D3"/>
    <w:rsid w:val="0050022E"/>
    <w:rsid w:val="0050269C"/>
    <w:rsid w:val="00505FD1"/>
    <w:rsid w:val="005065FC"/>
    <w:rsid w:val="00506B70"/>
    <w:rsid w:val="005122A0"/>
    <w:rsid w:val="00512BED"/>
    <w:rsid w:val="00512FE1"/>
    <w:rsid w:val="005131E4"/>
    <w:rsid w:val="00517377"/>
    <w:rsid w:val="0052075B"/>
    <w:rsid w:val="00521666"/>
    <w:rsid w:val="005218C4"/>
    <w:rsid w:val="0052673E"/>
    <w:rsid w:val="00534133"/>
    <w:rsid w:val="005342AD"/>
    <w:rsid w:val="00537C90"/>
    <w:rsid w:val="00541800"/>
    <w:rsid w:val="00544D4F"/>
    <w:rsid w:val="0054541C"/>
    <w:rsid w:val="0054554B"/>
    <w:rsid w:val="00545BA1"/>
    <w:rsid w:val="00546B50"/>
    <w:rsid w:val="00546BE9"/>
    <w:rsid w:val="005508A0"/>
    <w:rsid w:val="00550B25"/>
    <w:rsid w:val="00552441"/>
    <w:rsid w:val="005530A1"/>
    <w:rsid w:val="005539EF"/>
    <w:rsid w:val="00553AF2"/>
    <w:rsid w:val="0055473A"/>
    <w:rsid w:val="00557039"/>
    <w:rsid w:val="005570CD"/>
    <w:rsid w:val="005610A9"/>
    <w:rsid w:val="005620EE"/>
    <w:rsid w:val="005654FE"/>
    <w:rsid w:val="00566802"/>
    <w:rsid w:val="00566855"/>
    <w:rsid w:val="00566E98"/>
    <w:rsid w:val="00567B52"/>
    <w:rsid w:val="00567E5C"/>
    <w:rsid w:val="0057158D"/>
    <w:rsid w:val="00571F8A"/>
    <w:rsid w:val="0057257A"/>
    <w:rsid w:val="00572E95"/>
    <w:rsid w:val="00573920"/>
    <w:rsid w:val="0057458A"/>
    <w:rsid w:val="005767A3"/>
    <w:rsid w:val="005772B3"/>
    <w:rsid w:val="005800DE"/>
    <w:rsid w:val="005814E0"/>
    <w:rsid w:val="00583334"/>
    <w:rsid w:val="00583E82"/>
    <w:rsid w:val="00583F68"/>
    <w:rsid w:val="00585495"/>
    <w:rsid w:val="005865E8"/>
    <w:rsid w:val="0058697F"/>
    <w:rsid w:val="00586AA8"/>
    <w:rsid w:val="00586F45"/>
    <w:rsid w:val="00587757"/>
    <w:rsid w:val="00587A16"/>
    <w:rsid w:val="00590985"/>
    <w:rsid w:val="00592AF4"/>
    <w:rsid w:val="00592B4C"/>
    <w:rsid w:val="00592ED4"/>
    <w:rsid w:val="00592F1E"/>
    <w:rsid w:val="00595830"/>
    <w:rsid w:val="0059590E"/>
    <w:rsid w:val="00595A51"/>
    <w:rsid w:val="00596474"/>
    <w:rsid w:val="00596C20"/>
    <w:rsid w:val="00597E4C"/>
    <w:rsid w:val="005A01C6"/>
    <w:rsid w:val="005A0434"/>
    <w:rsid w:val="005A05EE"/>
    <w:rsid w:val="005A0A76"/>
    <w:rsid w:val="005A4530"/>
    <w:rsid w:val="005A45E9"/>
    <w:rsid w:val="005A6461"/>
    <w:rsid w:val="005A68C7"/>
    <w:rsid w:val="005A6FD6"/>
    <w:rsid w:val="005B1EB4"/>
    <w:rsid w:val="005B2961"/>
    <w:rsid w:val="005B3774"/>
    <w:rsid w:val="005B3F2E"/>
    <w:rsid w:val="005B4379"/>
    <w:rsid w:val="005B5378"/>
    <w:rsid w:val="005B539E"/>
    <w:rsid w:val="005B6A31"/>
    <w:rsid w:val="005B6C4E"/>
    <w:rsid w:val="005C1749"/>
    <w:rsid w:val="005C24C3"/>
    <w:rsid w:val="005C2C83"/>
    <w:rsid w:val="005C6E93"/>
    <w:rsid w:val="005C7244"/>
    <w:rsid w:val="005C75BE"/>
    <w:rsid w:val="005D136A"/>
    <w:rsid w:val="005D153A"/>
    <w:rsid w:val="005D2D40"/>
    <w:rsid w:val="005D2F7F"/>
    <w:rsid w:val="005D31A2"/>
    <w:rsid w:val="005D3E4A"/>
    <w:rsid w:val="005D4C88"/>
    <w:rsid w:val="005D53BD"/>
    <w:rsid w:val="005D542F"/>
    <w:rsid w:val="005D5C9D"/>
    <w:rsid w:val="005D66C7"/>
    <w:rsid w:val="005D696D"/>
    <w:rsid w:val="005D7509"/>
    <w:rsid w:val="005D7BAA"/>
    <w:rsid w:val="005E1D84"/>
    <w:rsid w:val="005E26DB"/>
    <w:rsid w:val="005E6F60"/>
    <w:rsid w:val="005E71ED"/>
    <w:rsid w:val="005F038F"/>
    <w:rsid w:val="005F0A0C"/>
    <w:rsid w:val="005F0C00"/>
    <w:rsid w:val="005F38B9"/>
    <w:rsid w:val="005F3959"/>
    <w:rsid w:val="005F4E1F"/>
    <w:rsid w:val="005F5682"/>
    <w:rsid w:val="00600555"/>
    <w:rsid w:val="00600EB6"/>
    <w:rsid w:val="006013A4"/>
    <w:rsid w:val="0060155B"/>
    <w:rsid w:val="00601FAB"/>
    <w:rsid w:val="00602FB0"/>
    <w:rsid w:val="00603608"/>
    <w:rsid w:val="00603E85"/>
    <w:rsid w:val="006040CB"/>
    <w:rsid w:val="00604503"/>
    <w:rsid w:val="00604D79"/>
    <w:rsid w:val="00605C2C"/>
    <w:rsid w:val="00607817"/>
    <w:rsid w:val="00612F20"/>
    <w:rsid w:val="00614D15"/>
    <w:rsid w:val="00614DF3"/>
    <w:rsid w:val="00615961"/>
    <w:rsid w:val="00615EF4"/>
    <w:rsid w:val="00616557"/>
    <w:rsid w:val="00617114"/>
    <w:rsid w:val="00617C0F"/>
    <w:rsid w:val="00621502"/>
    <w:rsid w:val="00621D3F"/>
    <w:rsid w:val="00621F1F"/>
    <w:rsid w:val="00622F8E"/>
    <w:rsid w:val="00623FAA"/>
    <w:rsid w:val="006278E9"/>
    <w:rsid w:val="006302B2"/>
    <w:rsid w:val="006304A1"/>
    <w:rsid w:val="00630509"/>
    <w:rsid w:val="00630947"/>
    <w:rsid w:val="00631176"/>
    <w:rsid w:val="0063244C"/>
    <w:rsid w:val="00633E05"/>
    <w:rsid w:val="00634CF2"/>
    <w:rsid w:val="00635E00"/>
    <w:rsid w:val="006368F5"/>
    <w:rsid w:val="0064028D"/>
    <w:rsid w:val="0064084B"/>
    <w:rsid w:val="00641736"/>
    <w:rsid w:val="006427E4"/>
    <w:rsid w:val="006428A7"/>
    <w:rsid w:val="006428AC"/>
    <w:rsid w:val="00645237"/>
    <w:rsid w:val="00647C0B"/>
    <w:rsid w:val="00650688"/>
    <w:rsid w:val="0065129B"/>
    <w:rsid w:val="00651623"/>
    <w:rsid w:val="00651C5A"/>
    <w:rsid w:val="00652DF2"/>
    <w:rsid w:val="00653036"/>
    <w:rsid w:val="00653813"/>
    <w:rsid w:val="006539AA"/>
    <w:rsid w:val="00660496"/>
    <w:rsid w:val="00660ED5"/>
    <w:rsid w:val="006611BF"/>
    <w:rsid w:val="006626E3"/>
    <w:rsid w:val="006655D6"/>
    <w:rsid w:val="00666201"/>
    <w:rsid w:val="00667225"/>
    <w:rsid w:val="00671F79"/>
    <w:rsid w:val="0067353A"/>
    <w:rsid w:val="0067356D"/>
    <w:rsid w:val="00674861"/>
    <w:rsid w:val="00674DD1"/>
    <w:rsid w:val="006756C7"/>
    <w:rsid w:val="00675D55"/>
    <w:rsid w:val="0067604C"/>
    <w:rsid w:val="00680FA6"/>
    <w:rsid w:val="006810A8"/>
    <w:rsid w:val="00682501"/>
    <w:rsid w:val="006826B1"/>
    <w:rsid w:val="006847C9"/>
    <w:rsid w:val="0068504E"/>
    <w:rsid w:val="0068616E"/>
    <w:rsid w:val="00687056"/>
    <w:rsid w:val="00687206"/>
    <w:rsid w:val="00687FD0"/>
    <w:rsid w:val="0069075D"/>
    <w:rsid w:val="0069089B"/>
    <w:rsid w:val="00691469"/>
    <w:rsid w:val="00691A89"/>
    <w:rsid w:val="006920C9"/>
    <w:rsid w:val="0069637B"/>
    <w:rsid w:val="00696C42"/>
    <w:rsid w:val="006A04B9"/>
    <w:rsid w:val="006A0721"/>
    <w:rsid w:val="006A1950"/>
    <w:rsid w:val="006A21AE"/>
    <w:rsid w:val="006A37EE"/>
    <w:rsid w:val="006A41D1"/>
    <w:rsid w:val="006A4E0C"/>
    <w:rsid w:val="006A6A27"/>
    <w:rsid w:val="006A6CA5"/>
    <w:rsid w:val="006A7664"/>
    <w:rsid w:val="006A7902"/>
    <w:rsid w:val="006B0F8E"/>
    <w:rsid w:val="006B1CC4"/>
    <w:rsid w:val="006B1CD6"/>
    <w:rsid w:val="006B212D"/>
    <w:rsid w:val="006B288E"/>
    <w:rsid w:val="006B2CC6"/>
    <w:rsid w:val="006B2E31"/>
    <w:rsid w:val="006B3FED"/>
    <w:rsid w:val="006B4402"/>
    <w:rsid w:val="006B4865"/>
    <w:rsid w:val="006B4924"/>
    <w:rsid w:val="006B6E54"/>
    <w:rsid w:val="006B7DB8"/>
    <w:rsid w:val="006B7DE7"/>
    <w:rsid w:val="006C042A"/>
    <w:rsid w:val="006C12B8"/>
    <w:rsid w:val="006C1F40"/>
    <w:rsid w:val="006C1F92"/>
    <w:rsid w:val="006C2201"/>
    <w:rsid w:val="006C2B79"/>
    <w:rsid w:val="006C469A"/>
    <w:rsid w:val="006D0632"/>
    <w:rsid w:val="006D1235"/>
    <w:rsid w:val="006D1BBD"/>
    <w:rsid w:val="006D1C3C"/>
    <w:rsid w:val="006D3ECE"/>
    <w:rsid w:val="006D48BD"/>
    <w:rsid w:val="006D4E80"/>
    <w:rsid w:val="006D5802"/>
    <w:rsid w:val="006D5856"/>
    <w:rsid w:val="006D5D46"/>
    <w:rsid w:val="006D7077"/>
    <w:rsid w:val="006D74D6"/>
    <w:rsid w:val="006E0662"/>
    <w:rsid w:val="006E48A8"/>
    <w:rsid w:val="006E5B14"/>
    <w:rsid w:val="006E6AD9"/>
    <w:rsid w:val="006E6C61"/>
    <w:rsid w:val="006E6D61"/>
    <w:rsid w:val="006F0A69"/>
    <w:rsid w:val="006F0E9C"/>
    <w:rsid w:val="006F1C29"/>
    <w:rsid w:val="006F209D"/>
    <w:rsid w:val="006F2C4C"/>
    <w:rsid w:val="006F3EFE"/>
    <w:rsid w:val="006F4CEA"/>
    <w:rsid w:val="006F53EF"/>
    <w:rsid w:val="0070083F"/>
    <w:rsid w:val="00703070"/>
    <w:rsid w:val="007035F9"/>
    <w:rsid w:val="00703DC8"/>
    <w:rsid w:val="00704D8C"/>
    <w:rsid w:val="007063D2"/>
    <w:rsid w:val="00706D34"/>
    <w:rsid w:val="00707914"/>
    <w:rsid w:val="00707FB3"/>
    <w:rsid w:val="00710169"/>
    <w:rsid w:val="0071048C"/>
    <w:rsid w:val="00710578"/>
    <w:rsid w:val="00710C14"/>
    <w:rsid w:val="007124D1"/>
    <w:rsid w:val="00717B10"/>
    <w:rsid w:val="00720E72"/>
    <w:rsid w:val="007210CF"/>
    <w:rsid w:val="007211A4"/>
    <w:rsid w:val="007221E0"/>
    <w:rsid w:val="00722CEA"/>
    <w:rsid w:val="007239B3"/>
    <w:rsid w:val="00723D21"/>
    <w:rsid w:val="00724109"/>
    <w:rsid w:val="00724F59"/>
    <w:rsid w:val="0072530F"/>
    <w:rsid w:val="007261BB"/>
    <w:rsid w:val="00726841"/>
    <w:rsid w:val="00730149"/>
    <w:rsid w:val="00730DD1"/>
    <w:rsid w:val="00731A9F"/>
    <w:rsid w:val="00731B85"/>
    <w:rsid w:val="0073246E"/>
    <w:rsid w:val="00732FAD"/>
    <w:rsid w:val="007332BA"/>
    <w:rsid w:val="0073381C"/>
    <w:rsid w:val="00733D7D"/>
    <w:rsid w:val="00737D39"/>
    <w:rsid w:val="0074055F"/>
    <w:rsid w:val="00740BBA"/>
    <w:rsid w:val="00743115"/>
    <w:rsid w:val="0074363C"/>
    <w:rsid w:val="007462AD"/>
    <w:rsid w:val="007517F1"/>
    <w:rsid w:val="0075251C"/>
    <w:rsid w:val="00754833"/>
    <w:rsid w:val="00755A5D"/>
    <w:rsid w:val="0075633F"/>
    <w:rsid w:val="0076135C"/>
    <w:rsid w:val="00763735"/>
    <w:rsid w:val="007637B1"/>
    <w:rsid w:val="0076386F"/>
    <w:rsid w:val="00763D77"/>
    <w:rsid w:val="00764F15"/>
    <w:rsid w:val="00770B41"/>
    <w:rsid w:val="00771D71"/>
    <w:rsid w:val="00773037"/>
    <w:rsid w:val="0077305C"/>
    <w:rsid w:val="007777EC"/>
    <w:rsid w:val="00777E38"/>
    <w:rsid w:val="007808BA"/>
    <w:rsid w:val="00780E4D"/>
    <w:rsid w:val="00781683"/>
    <w:rsid w:val="00781A85"/>
    <w:rsid w:val="00783E4A"/>
    <w:rsid w:val="00785CBE"/>
    <w:rsid w:val="0078739B"/>
    <w:rsid w:val="007906E5"/>
    <w:rsid w:val="00792984"/>
    <w:rsid w:val="00793C1D"/>
    <w:rsid w:val="00794004"/>
    <w:rsid w:val="007948A2"/>
    <w:rsid w:val="00795A6A"/>
    <w:rsid w:val="007966B8"/>
    <w:rsid w:val="007A229F"/>
    <w:rsid w:val="007A51B8"/>
    <w:rsid w:val="007A540A"/>
    <w:rsid w:val="007A6067"/>
    <w:rsid w:val="007A77EA"/>
    <w:rsid w:val="007B0C69"/>
    <w:rsid w:val="007B0F4C"/>
    <w:rsid w:val="007B234B"/>
    <w:rsid w:val="007B2E16"/>
    <w:rsid w:val="007B2EEC"/>
    <w:rsid w:val="007B3F5D"/>
    <w:rsid w:val="007B47E4"/>
    <w:rsid w:val="007B659B"/>
    <w:rsid w:val="007B6FF3"/>
    <w:rsid w:val="007C0A8D"/>
    <w:rsid w:val="007C1143"/>
    <w:rsid w:val="007C3936"/>
    <w:rsid w:val="007C395B"/>
    <w:rsid w:val="007C4A1C"/>
    <w:rsid w:val="007C5F20"/>
    <w:rsid w:val="007C6E0E"/>
    <w:rsid w:val="007D053D"/>
    <w:rsid w:val="007D1631"/>
    <w:rsid w:val="007D16B3"/>
    <w:rsid w:val="007D3E5D"/>
    <w:rsid w:val="007D4A36"/>
    <w:rsid w:val="007D4B5D"/>
    <w:rsid w:val="007D57C2"/>
    <w:rsid w:val="007D60A3"/>
    <w:rsid w:val="007D64D0"/>
    <w:rsid w:val="007D676A"/>
    <w:rsid w:val="007D6BD1"/>
    <w:rsid w:val="007D79A4"/>
    <w:rsid w:val="007D79A6"/>
    <w:rsid w:val="007D7F7B"/>
    <w:rsid w:val="007E15CD"/>
    <w:rsid w:val="007E2455"/>
    <w:rsid w:val="007E357F"/>
    <w:rsid w:val="007E4066"/>
    <w:rsid w:val="007E4BD9"/>
    <w:rsid w:val="007E4E95"/>
    <w:rsid w:val="007E6FC4"/>
    <w:rsid w:val="007F2B87"/>
    <w:rsid w:val="007F34CD"/>
    <w:rsid w:val="007F38F9"/>
    <w:rsid w:val="007F572E"/>
    <w:rsid w:val="007F5BBA"/>
    <w:rsid w:val="007F7250"/>
    <w:rsid w:val="007F7806"/>
    <w:rsid w:val="007F7A53"/>
    <w:rsid w:val="00800C8D"/>
    <w:rsid w:val="00803239"/>
    <w:rsid w:val="00805B91"/>
    <w:rsid w:val="008102EF"/>
    <w:rsid w:val="0081103C"/>
    <w:rsid w:val="00811184"/>
    <w:rsid w:val="008131C9"/>
    <w:rsid w:val="008137B2"/>
    <w:rsid w:val="00814B85"/>
    <w:rsid w:val="0081531C"/>
    <w:rsid w:val="008157DA"/>
    <w:rsid w:val="00817086"/>
    <w:rsid w:val="008207A9"/>
    <w:rsid w:val="00821A65"/>
    <w:rsid w:val="00822C39"/>
    <w:rsid w:val="00826485"/>
    <w:rsid w:val="008264CD"/>
    <w:rsid w:val="00826D61"/>
    <w:rsid w:val="00827995"/>
    <w:rsid w:val="00837160"/>
    <w:rsid w:val="008376FD"/>
    <w:rsid w:val="00840EFA"/>
    <w:rsid w:val="00842D57"/>
    <w:rsid w:val="00843177"/>
    <w:rsid w:val="00845915"/>
    <w:rsid w:val="008461A0"/>
    <w:rsid w:val="008461D8"/>
    <w:rsid w:val="0085062B"/>
    <w:rsid w:val="00851E06"/>
    <w:rsid w:val="0085458D"/>
    <w:rsid w:val="00855B4C"/>
    <w:rsid w:val="008560C9"/>
    <w:rsid w:val="00856156"/>
    <w:rsid w:val="0085663B"/>
    <w:rsid w:val="00860DDF"/>
    <w:rsid w:val="00861B6A"/>
    <w:rsid w:val="00863BE8"/>
    <w:rsid w:val="00863E2C"/>
    <w:rsid w:val="00864DDC"/>
    <w:rsid w:val="00864F96"/>
    <w:rsid w:val="00866218"/>
    <w:rsid w:val="008674FD"/>
    <w:rsid w:val="0087050C"/>
    <w:rsid w:val="0087210B"/>
    <w:rsid w:val="0087283C"/>
    <w:rsid w:val="00873E97"/>
    <w:rsid w:val="00876418"/>
    <w:rsid w:val="00877314"/>
    <w:rsid w:val="00880623"/>
    <w:rsid w:val="00881F61"/>
    <w:rsid w:val="00882A1D"/>
    <w:rsid w:val="008838B1"/>
    <w:rsid w:val="008841B7"/>
    <w:rsid w:val="0088459B"/>
    <w:rsid w:val="00887B54"/>
    <w:rsid w:val="00891BAA"/>
    <w:rsid w:val="00892EAC"/>
    <w:rsid w:val="00894B44"/>
    <w:rsid w:val="0089601E"/>
    <w:rsid w:val="00896FA9"/>
    <w:rsid w:val="008976D7"/>
    <w:rsid w:val="00897720"/>
    <w:rsid w:val="008A3682"/>
    <w:rsid w:val="008A5F7B"/>
    <w:rsid w:val="008A7D90"/>
    <w:rsid w:val="008B4186"/>
    <w:rsid w:val="008B556D"/>
    <w:rsid w:val="008B63DE"/>
    <w:rsid w:val="008C1E2E"/>
    <w:rsid w:val="008C35E8"/>
    <w:rsid w:val="008C42C2"/>
    <w:rsid w:val="008C5DAE"/>
    <w:rsid w:val="008C7678"/>
    <w:rsid w:val="008C79DE"/>
    <w:rsid w:val="008C7B0B"/>
    <w:rsid w:val="008D014F"/>
    <w:rsid w:val="008D213A"/>
    <w:rsid w:val="008D3710"/>
    <w:rsid w:val="008D3B62"/>
    <w:rsid w:val="008D5834"/>
    <w:rsid w:val="008D7331"/>
    <w:rsid w:val="008D768A"/>
    <w:rsid w:val="008E11A5"/>
    <w:rsid w:val="008E5825"/>
    <w:rsid w:val="008E59B5"/>
    <w:rsid w:val="008E6C85"/>
    <w:rsid w:val="008F023E"/>
    <w:rsid w:val="008F0546"/>
    <w:rsid w:val="008F2301"/>
    <w:rsid w:val="008F2D84"/>
    <w:rsid w:val="008F447E"/>
    <w:rsid w:val="008F47AC"/>
    <w:rsid w:val="008F4A09"/>
    <w:rsid w:val="008F4F51"/>
    <w:rsid w:val="00900663"/>
    <w:rsid w:val="009008FB"/>
    <w:rsid w:val="00901465"/>
    <w:rsid w:val="009018F0"/>
    <w:rsid w:val="00901AD1"/>
    <w:rsid w:val="00902354"/>
    <w:rsid w:val="00903CED"/>
    <w:rsid w:val="00903E04"/>
    <w:rsid w:val="009042C0"/>
    <w:rsid w:val="00906CE0"/>
    <w:rsid w:val="009077B2"/>
    <w:rsid w:val="00910319"/>
    <w:rsid w:val="00910931"/>
    <w:rsid w:val="00911039"/>
    <w:rsid w:val="0091206D"/>
    <w:rsid w:val="0091519D"/>
    <w:rsid w:val="00915C2C"/>
    <w:rsid w:val="00916FC2"/>
    <w:rsid w:val="00917E89"/>
    <w:rsid w:val="00920B51"/>
    <w:rsid w:val="00921333"/>
    <w:rsid w:val="0092153D"/>
    <w:rsid w:val="00921C60"/>
    <w:rsid w:val="00922250"/>
    <w:rsid w:val="009230BD"/>
    <w:rsid w:val="00923C46"/>
    <w:rsid w:val="00924CF5"/>
    <w:rsid w:val="00924F60"/>
    <w:rsid w:val="0092590A"/>
    <w:rsid w:val="009274FF"/>
    <w:rsid w:val="009303C8"/>
    <w:rsid w:val="0093143A"/>
    <w:rsid w:val="00931ED1"/>
    <w:rsid w:val="00934E69"/>
    <w:rsid w:val="00935357"/>
    <w:rsid w:val="0093592C"/>
    <w:rsid w:val="00937409"/>
    <w:rsid w:val="009404A1"/>
    <w:rsid w:val="009408CE"/>
    <w:rsid w:val="00942444"/>
    <w:rsid w:val="00943700"/>
    <w:rsid w:val="009439FD"/>
    <w:rsid w:val="0094591D"/>
    <w:rsid w:val="00950E4F"/>
    <w:rsid w:val="00952B7D"/>
    <w:rsid w:val="00957734"/>
    <w:rsid w:val="009604CE"/>
    <w:rsid w:val="009610DE"/>
    <w:rsid w:val="00962F4A"/>
    <w:rsid w:val="0096419B"/>
    <w:rsid w:val="009651C3"/>
    <w:rsid w:val="009654A1"/>
    <w:rsid w:val="00965728"/>
    <w:rsid w:val="00972AB5"/>
    <w:rsid w:val="00973202"/>
    <w:rsid w:val="00974939"/>
    <w:rsid w:val="00974D1B"/>
    <w:rsid w:val="00975D9C"/>
    <w:rsid w:val="00975EDD"/>
    <w:rsid w:val="00976130"/>
    <w:rsid w:val="00976632"/>
    <w:rsid w:val="0097668B"/>
    <w:rsid w:val="00976BED"/>
    <w:rsid w:val="00977D65"/>
    <w:rsid w:val="0098001C"/>
    <w:rsid w:val="0098032E"/>
    <w:rsid w:val="00982EEF"/>
    <w:rsid w:val="00984203"/>
    <w:rsid w:val="0098466F"/>
    <w:rsid w:val="00984CA7"/>
    <w:rsid w:val="00985EF6"/>
    <w:rsid w:val="00986885"/>
    <w:rsid w:val="00990108"/>
    <w:rsid w:val="00990F56"/>
    <w:rsid w:val="009918FA"/>
    <w:rsid w:val="009926FA"/>
    <w:rsid w:val="00993F65"/>
    <w:rsid w:val="00994642"/>
    <w:rsid w:val="009946EF"/>
    <w:rsid w:val="00994FD9"/>
    <w:rsid w:val="009A0D70"/>
    <w:rsid w:val="009A240B"/>
    <w:rsid w:val="009A2608"/>
    <w:rsid w:val="009A2C60"/>
    <w:rsid w:val="009A323D"/>
    <w:rsid w:val="009A3EF6"/>
    <w:rsid w:val="009A6AB5"/>
    <w:rsid w:val="009A6DBB"/>
    <w:rsid w:val="009A7C43"/>
    <w:rsid w:val="009B081C"/>
    <w:rsid w:val="009B0E03"/>
    <w:rsid w:val="009B10FB"/>
    <w:rsid w:val="009B1EC5"/>
    <w:rsid w:val="009B2E28"/>
    <w:rsid w:val="009B3324"/>
    <w:rsid w:val="009B363B"/>
    <w:rsid w:val="009B719E"/>
    <w:rsid w:val="009B71D4"/>
    <w:rsid w:val="009B7E2A"/>
    <w:rsid w:val="009C090F"/>
    <w:rsid w:val="009C0AA7"/>
    <w:rsid w:val="009C1788"/>
    <w:rsid w:val="009C1A9D"/>
    <w:rsid w:val="009C3839"/>
    <w:rsid w:val="009C4788"/>
    <w:rsid w:val="009C5524"/>
    <w:rsid w:val="009C5809"/>
    <w:rsid w:val="009C5DFD"/>
    <w:rsid w:val="009C6751"/>
    <w:rsid w:val="009C6BB1"/>
    <w:rsid w:val="009D0D0E"/>
    <w:rsid w:val="009D0FBD"/>
    <w:rsid w:val="009D241A"/>
    <w:rsid w:val="009D2706"/>
    <w:rsid w:val="009D3117"/>
    <w:rsid w:val="009D4C25"/>
    <w:rsid w:val="009D4D41"/>
    <w:rsid w:val="009D6387"/>
    <w:rsid w:val="009E05E5"/>
    <w:rsid w:val="009E068C"/>
    <w:rsid w:val="009E0F84"/>
    <w:rsid w:val="009E16FD"/>
    <w:rsid w:val="009E242A"/>
    <w:rsid w:val="009E37D3"/>
    <w:rsid w:val="009E4A00"/>
    <w:rsid w:val="009E68A5"/>
    <w:rsid w:val="009E7A70"/>
    <w:rsid w:val="009E7F55"/>
    <w:rsid w:val="009F06B1"/>
    <w:rsid w:val="009F0ECA"/>
    <w:rsid w:val="009F1BCC"/>
    <w:rsid w:val="009F28C9"/>
    <w:rsid w:val="009F3D27"/>
    <w:rsid w:val="009F4481"/>
    <w:rsid w:val="009F64A7"/>
    <w:rsid w:val="009F6561"/>
    <w:rsid w:val="009F70D6"/>
    <w:rsid w:val="00A01D86"/>
    <w:rsid w:val="00A024FB"/>
    <w:rsid w:val="00A031E2"/>
    <w:rsid w:val="00A0375B"/>
    <w:rsid w:val="00A03DBF"/>
    <w:rsid w:val="00A11DFD"/>
    <w:rsid w:val="00A14973"/>
    <w:rsid w:val="00A156F5"/>
    <w:rsid w:val="00A16462"/>
    <w:rsid w:val="00A1672A"/>
    <w:rsid w:val="00A20B08"/>
    <w:rsid w:val="00A21D3E"/>
    <w:rsid w:val="00A22078"/>
    <w:rsid w:val="00A2234A"/>
    <w:rsid w:val="00A233D2"/>
    <w:rsid w:val="00A23929"/>
    <w:rsid w:val="00A23B5C"/>
    <w:rsid w:val="00A2421C"/>
    <w:rsid w:val="00A25394"/>
    <w:rsid w:val="00A27BB5"/>
    <w:rsid w:val="00A30483"/>
    <w:rsid w:val="00A308D8"/>
    <w:rsid w:val="00A34349"/>
    <w:rsid w:val="00A346DE"/>
    <w:rsid w:val="00A34A14"/>
    <w:rsid w:val="00A354B0"/>
    <w:rsid w:val="00A35C43"/>
    <w:rsid w:val="00A37878"/>
    <w:rsid w:val="00A37AF2"/>
    <w:rsid w:val="00A426EB"/>
    <w:rsid w:val="00A42AA9"/>
    <w:rsid w:val="00A42DC6"/>
    <w:rsid w:val="00A43831"/>
    <w:rsid w:val="00A44A3F"/>
    <w:rsid w:val="00A44BB1"/>
    <w:rsid w:val="00A46351"/>
    <w:rsid w:val="00A46394"/>
    <w:rsid w:val="00A4681A"/>
    <w:rsid w:val="00A46A7D"/>
    <w:rsid w:val="00A50808"/>
    <w:rsid w:val="00A50AF8"/>
    <w:rsid w:val="00A51D08"/>
    <w:rsid w:val="00A52193"/>
    <w:rsid w:val="00A52496"/>
    <w:rsid w:val="00A5249D"/>
    <w:rsid w:val="00A52D6C"/>
    <w:rsid w:val="00A52DA2"/>
    <w:rsid w:val="00A52DBA"/>
    <w:rsid w:val="00A53508"/>
    <w:rsid w:val="00A53B9C"/>
    <w:rsid w:val="00A54041"/>
    <w:rsid w:val="00A54806"/>
    <w:rsid w:val="00A54A8A"/>
    <w:rsid w:val="00A553DA"/>
    <w:rsid w:val="00A55403"/>
    <w:rsid w:val="00A55F2D"/>
    <w:rsid w:val="00A61A84"/>
    <w:rsid w:val="00A62801"/>
    <w:rsid w:val="00A65AC7"/>
    <w:rsid w:val="00A66A90"/>
    <w:rsid w:val="00A67063"/>
    <w:rsid w:val="00A706C4"/>
    <w:rsid w:val="00A73F2A"/>
    <w:rsid w:val="00A80F3F"/>
    <w:rsid w:val="00A818FD"/>
    <w:rsid w:val="00A8493A"/>
    <w:rsid w:val="00A84C93"/>
    <w:rsid w:val="00A86033"/>
    <w:rsid w:val="00A862D0"/>
    <w:rsid w:val="00A867E7"/>
    <w:rsid w:val="00A923D6"/>
    <w:rsid w:val="00A93AAA"/>
    <w:rsid w:val="00A951D9"/>
    <w:rsid w:val="00AA2069"/>
    <w:rsid w:val="00AA4E64"/>
    <w:rsid w:val="00AA57C7"/>
    <w:rsid w:val="00AA61A4"/>
    <w:rsid w:val="00AA64B8"/>
    <w:rsid w:val="00AA6557"/>
    <w:rsid w:val="00AA6A5A"/>
    <w:rsid w:val="00AA6EE8"/>
    <w:rsid w:val="00AA7722"/>
    <w:rsid w:val="00AB1EB5"/>
    <w:rsid w:val="00AB1EE7"/>
    <w:rsid w:val="00AB2DE7"/>
    <w:rsid w:val="00AB3128"/>
    <w:rsid w:val="00AB5FDF"/>
    <w:rsid w:val="00AB7C7F"/>
    <w:rsid w:val="00AC0B23"/>
    <w:rsid w:val="00AC1FFA"/>
    <w:rsid w:val="00AC327F"/>
    <w:rsid w:val="00AC35E2"/>
    <w:rsid w:val="00AC4FFB"/>
    <w:rsid w:val="00AC53B4"/>
    <w:rsid w:val="00AC6694"/>
    <w:rsid w:val="00AD01BB"/>
    <w:rsid w:val="00AD0643"/>
    <w:rsid w:val="00AD2537"/>
    <w:rsid w:val="00AD2B55"/>
    <w:rsid w:val="00AD3B5B"/>
    <w:rsid w:val="00AD456D"/>
    <w:rsid w:val="00AD500C"/>
    <w:rsid w:val="00AE0C06"/>
    <w:rsid w:val="00AE1E1C"/>
    <w:rsid w:val="00AE2515"/>
    <w:rsid w:val="00AE2A2E"/>
    <w:rsid w:val="00AE3763"/>
    <w:rsid w:val="00AE49BA"/>
    <w:rsid w:val="00AE4F56"/>
    <w:rsid w:val="00AE571D"/>
    <w:rsid w:val="00AE6E88"/>
    <w:rsid w:val="00AF2F9E"/>
    <w:rsid w:val="00AF3053"/>
    <w:rsid w:val="00AF3FA8"/>
    <w:rsid w:val="00AF4585"/>
    <w:rsid w:val="00AF4FF3"/>
    <w:rsid w:val="00AF5F8D"/>
    <w:rsid w:val="00AF674D"/>
    <w:rsid w:val="00AF7528"/>
    <w:rsid w:val="00B0138C"/>
    <w:rsid w:val="00B01EE7"/>
    <w:rsid w:val="00B03657"/>
    <w:rsid w:val="00B03708"/>
    <w:rsid w:val="00B04315"/>
    <w:rsid w:val="00B04B83"/>
    <w:rsid w:val="00B050E7"/>
    <w:rsid w:val="00B05AB5"/>
    <w:rsid w:val="00B06360"/>
    <w:rsid w:val="00B06C40"/>
    <w:rsid w:val="00B07F46"/>
    <w:rsid w:val="00B10115"/>
    <w:rsid w:val="00B10DDE"/>
    <w:rsid w:val="00B12A41"/>
    <w:rsid w:val="00B15730"/>
    <w:rsid w:val="00B16593"/>
    <w:rsid w:val="00B17615"/>
    <w:rsid w:val="00B1791E"/>
    <w:rsid w:val="00B20CAA"/>
    <w:rsid w:val="00B21583"/>
    <w:rsid w:val="00B23445"/>
    <w:rsid w:val="00B240B8"/>
    <w:rsid w:val="00B2567F"/>
    <w:rsid w:val="00B27EF3"/>
    <w:rsid w:val="00B30B5F"/>
    <w:rsid w:val="00B31FB3"/>
    <w:rsid w:val="00B32B02"/>
    <w:rsid w:val="00B32B82"/>
    <w:rsid w:val="00B34BA9"/>
    <w:rsid w:val="00B36085"/>
    <w:rsid w:val="00B362D9"/>
    <w:rsid w:val="00B377C3"/>
    <w:rsid w:val="00B37A33"/>
    <w:rsid w:val="00B37BF6"/>
    <w:rsid w:val="00B413CE"/>
    <w:rsid w:val="00B4162D"/>
    <w:rsid w:val="00B43D84"/>
    <w:rsid w:val="00B458EF"/>
    <w:rsid w:val="00B467D7"/>
    <w:rsid w:val="00B4696B"/>
    <w:rsid w:val="00B54235"/>
    <w:rsid w:val="00B55566"/>
    <w:rsid w:val="00B5568D"/>
    <w:rsid w:val="00B55C2E"/>
    <w:rsid w:val="00B607BA"/>
    <w:rsid w:val="00B61B21"/>
    <w:rsid w:val="00B631E7"/>
    <w:rsid w:val="00B632C7"/>
    <w:rsid w:val="00B639E3"/>
    <w:rsid w:val="00B6512E"/>
    <w:rsid w:val="00B67E0C"/>
    <w:rsid w:val="00B701BC"/>
    <w:rsid w:val="00B70556"/>
    <w:rsid w:val="00B70D60"/>
    <w:rsid w:val="00B7262C"/>
    <w:rsid w:val="00B732A7"/>
    <w:rsid w:val="00B74D63"/>
    <w:rsid w:val="00B763F9"/>
    <w:rsid w:val="00B766F9"/>
    <w:rsid w:val="00B80FCF"/>
    <w:rsid w:val="00B811C7"/>
    <w:rsid w:val="00B824FC"/>
    <w:rsid w:val="00B82E7F"/>
    <w:rsid w:val="00B83550"/>
    <w:rsid w:val="00B83C0B"/>
    <w:rsid w:val="00B83EDE"/>
    <w:rsid w:val="00B852E8"/>
    <w:rsid w:val="00B86E03"/>
    <w:rsid w:val="00B87571"/>
    <w:rsid w:val="00B91ED5"/>
    <w:rsid w:val="00B922FE"/>
    <w:rsid w:val="00B927E8"/>
    <w:rsid w:val="00B938DC"/>
    <w:rsid w:val="00B944F9"/>
    <w:rsid w:val="00B94C81"/>
    <w:rsid w:val="00B953EB"/>
    <w:rsid w:val="00B972F0"/>
    <w:rsid w:val="00BA1C1B"/>
    <w:rsid w:val="00BA2AA8"/>
    <w:rsid w:val="00BA2DB3"/>
    <w:rsid w:val="00BA39F0"/>
    <w:rsid w:val="00BA579B"/>
    <w:rsid w:val="00BB150A"/>
    <w:rsid w:val="00BB2E0C"/>
    <w:rsid w:val="00BB30B8"/>
    <w:rsid w:val="00BB3502"/>
    <w:rsid w:val="00BB636D"/>
    <w:rsid w:val="00BB67B6"/>
    <w:rsid w:val="00BC01B5"/>
    <w:rsid w:val="00BC026E"/>
    <w:rsid w:val="00BC063F"/>
    <w:rsid w:val="00BC0860"/>
    <w:rsid w:val="00BC13A4"/>
    <w:rsid w:val="00BC1452"/>
    <w:rsid w:val="00BC4C66"/>
    <w:rsid w:val="00BC5300"/>
    <w:rsid w:val="00BC7700"/>
    <w:rsid w:val="00BD1FDE"/>
    <w:rsid w:val="00BD473B"/>
    <w:rsid w:val="00BD474A"/>
    <w:rsid w:val="00BD5C7A"/>
    <w:rsid w:val="00BD6058"/>
    <w:rsid w:val="00BE00AB"/>
    <w:rsid w:val="00BE3558"/>
    <w:rsid w:val="00BE41A3"/>
    <w:rsid w:val="00BE4913"/>
    <w:rsid w:val="00BE4DE6"/>
    <w:rsid w:val="00BE6301"/>
    <w:rsid w:val="00BE724C"/>
    <w:rsid w:val="00BE782C"/>
    <w:rsid w:val="00BF0E9E"/>
    <w:rsid w:val="00BF0FDC"/>
    <w:rsid w:val="00BF2A25"/>
    <w:rsid w:val="00BF42E2"/>
    <w:rsid w:val="00BF454A"/>
    <w:rsid w:val="00BF6F21"/>
    <w:rsid w:val="00BF7C81"/>
    <w:rsid w:val="00BF7DB0"/>
    <w:rsid w:val="00C00860"/>
    <w:rsid w:val="00C013B3"/>
    <w:rsid w:val="00C018A3"/>
    <w:rsid w:val="00C019A1"/>
    <w:rsid w:val="00C025B1"/>
    <w:rsid w:val="00C06332"/>
    <w:rsid w:val="00C12539"/>
    <w:rsid w:val="00C1289D"/>
    <w:rsid w:val="00C12C81"/>
    <w:rsid w:val="00C130D8"/>
    <w:rsid w:val="00C14E6A"/>
    <w:rsid w:val="00C15048"/>
    <w:rsid w:val="00C152AE"/>
    <w:rsid w:val="00C15617"/>
    <w:rsid w:val="00C165C7"/>
    <w:rsid w:val="00C206FA"/>
    <w:rsid w:val="00C20996"/>
    <w:rsid w:val="00C2116D"/>
    <w:rsid w:val="00C225FE"/>
    <w:rsid w:val="00C2276B"/>
    <w:rsid w:val="00C24A55"/>
    <w:rsid w:val="00C26920"/>
    <w:rsid w:val="00C26DB9"/>
    <w:rsid w:val="00C27598"/>
    <w:rsid w:val="00C27BA9"/>
    <w:rsid w:val="00C3027C"/>
    <w:rsid w:val="00C30943"/>
    <w:rsid w:val="00C30AA2"/>
    <w:rsid w:val="00C31473"/>
    <w:rsid w:val="00C34A17"/>
    <w:rsid w:val="00C359B7"/>
    <w:rsid w:val="00C36293"/>
    <w:rsid w:val="00C37238"/>
    <w:rsid w:val="00C37B55"/>
    <w:rsid w:val="00C407A9"/>
    <w:rsid w:val="00C44503"/>
    <w:rsid w:val="00C44E19"/>
    <w:rsid w:val="00C45AE1"/>
    <w:rsid w:val="00C45E46"/>
    <w:rsid w:val="00C460C6"/>
    <w:rsid w:val="00C47877"/>
    <w:rsid w:val="00C5042E"/>
    <w:rsid w:val="00C52CA9"/>
    <w:rsid w:val="00C52F71"/>
    <w:rsid w:val="00C54E6A"/>
    <w:rsid w:val="00C55703"/>
    <w:rsid w:val="00C5627F"/>
    <w:rsid w:val="00C56864"/>
    <w:rsid w:val="00C56C88"/>
    <w:rsid w:val="00C56F01"/>
    <w:rsid w:val="00C57725"/>
    <w:rsid w:val="00C6053A"/>
    <w:rsid w:val="00C60555"/>
    <w:rsid w:val="00C60802"/>
    <w:rsid w:val="00C63048"/>
    <w:rsid w:val="00C63559"/>
    <w:rsid w:val="00C66417"/>
    <w:rsid w:val="00C66A1C"/>
    <w:rsid w:val="00C66D54"/>
    <w:rsid w:val="00C74DB4"/>
    <w:rsid w:val="00C76672"/>
    <w:rsid w:val="00C77A11"/>
    <w:rsid w:val="00C77D4E"/>
    <w:rsid w:val="00C81BA6"/>
    <w:rsid w:val="00C8202B"/>
    <w:rsid w:val="00C8211F"/>
    <w:rsid w:val="00C86271"/>
    <w:rsid w:val="00C8695B"/>
    <w:rsid w:val="00C871F7"/>
    <w:rsid w:val="00C907FC"/>
    <w:rsid w:val="00C90F04"/>
    <w:rsid w:val="00C91252"/>
    <w:rsid w:val="00C95A9A"/>
    <w:rsid w:val="00C965AD"/>
    <w:rsid w:val="00CA0F89"/>
    <w:rsid w:val="00CA2326"/>
    <w:rsid w:val="00CA2823"/>
    <w:rsid w:val="00CA3ED1"/>
    <w:rsid w:val="00CA47C6"/>
    <w:rsid w:val="00CA4D29"/>
    <w:rsid w:val="00CA4D42"/>
    <w:rsid w:val="00CA7429"/>
    <w:rsid w:val="00CB1EBF"/>
    <w:rsid w:val="00CB3920"/>
    <w:rsid w:val="00CB4514"/>
    <w:rsid w:val="00CB4520"/>
    <w:rsid w:val="00CB511F"/>
    <w:rsid w:val="00CB719B"/>
    <w:rsid w:val="00CB7DA8"/>
    <w:rsid w:val="00CC03E8"/>
    <w:rsid w:val="00CC08EC"/>
    <w:rsid w:val="00CC0E1D"/>
    <w:rsid w:val="00CC1266"/>
    <w:rsid w:val="00CC20B5"/>
    <w:rsid w:val="00CC29F9"/>
    <w:rsid w:val="00CC3058"/>
    <w:rsid w:val="00CC5466"/>
    <w:rsid w:val="00CD2519"/>
    <w:rsid w:val="00CD522E"/>
    <w:rsid w:val="00CD588A"/>
    <w:rsid w:val="00CD5C1B"/>
    <w:rsid w:val="00CE1137"/>
    <w:rsid w:val="00CE2A23"/>
    <w:rsid w:val="00CE3282"/>
    <w:rsid w:val="00CE499E"/>
    <w:rsid w:val="00CE5304"/>
    <w:rsid w:val="00CE5682"/>
    <w:rsid w:val="00CE5C34"/>
    <w:rsid w:val="00CE5D66"/>
    <w:rsid w:val="00CE7802"/>
    <w:rsid w:val="00CF0AC0"/>
    <w:rsid w:val="00CF0E19"/>
    <w:rsid w:val="00CF11EF"/>
    <w:rsid w:val="00CF12B4"/>
    <w:rsid w:val="00CF2F2B"/>
    <w:rsid w:val="00CF33B6"/>
    <w:rsid w:val="00CF48AF"/>
    <w:rsid w:val="00CF4C00"/>
    <w:rsid w:val="00CF594A"/>
    <w:rsid w:val="00CF62ED"/>
    <w:rsid w:val="00CF6B93"/>
    <w:rsid w:val="00CF765C"/>
    <w:rsid w:val="00CF7B45"/>
    <w:rsid w:val="00CF7B48"/>
    <w:rsid w:val="00D0017B"/>
    <w:rsid w:val="00D00EEC"/>
    <w:rsid w:val="00D01325"/>
    <w:rsid w:val="00D02C82"/>
    <w:rsid w:val="00D03C4B"/>
    <w:rsid w:val="00D06ADE"/>
    <w:rsid w:val="00D0713B"/>
    <w:rsid w:val="00D1017C"/>
    <w:rsid w:val="00D11857"/>
    <w:rsid w:val="00D11F83"/>
    <w:rsid w:val="00D152F3"/>
    <w:rsid w:val="00D157C9"/>
    <w:rsid w:val="00D1637C"/>
    <w:rsid w:val="00D20190"/>
    <w:rsid w:val="00D206A3"/>
    <w:rsid w:val="00D211C3"/>
    <w:rsid w:val="00D216E2"/>
    <w:rsid w:val="00D21DA6"/>
    <w:rsid w:val="00D2483A"/>
    <w:rsid w:val="00D2744C"/>
    <w:rsid w:val="00D27EAF"/>
    <w:rsid w:val="00D27F9B"/>
    <w:rsid w:val="00D30781"/>
    <w:rsid w:val="00D31B1A"/>
    <w:rsid w:val="00D324A4"/>
    <w:rsid w:val="00D329AE"/>
    <w:rsid w:val="00D34C71"/>
    <w:rsid w:val="00D35616"/>
    <w:rsid w:val="00D357EC"/>
    <w:rsid w:val="00D35F1A"/>
    <w:rsid w:val="00D3656A"/>
    <w:rsid w:val="00D37494"/>
    <w:rsid w:val="00D37FB1"/>
    <w:rsid w:val="00D40287"/>
    <w:rsid w:val="00D41053"/>
    <w:rsid w:val="00D42156"/>
    <w:rsid w:val="00D42277"/>
    <w:rsid w:val="00D43F07"/>
    <w:rsid w:val="00D461B2"/>
    <w:rsid w:val="00D464CB"/>
    <w:rsid w:val="00D4654C"/>
    <w:rsid w:val="00D506A8"/>
    <w:rsid w:val="00D52CF2"/>
    <w:rsid w:val="00D53B82"/>
    <w:rsid w:val="00D54E90"/>
    <w:rsid w:val="00D570EA"/>
    <w:rsid w:val="00D6049F"/>
    <w:rsid w:val="00D6069A"/>
    <w:rsid w:val="00D61903"/>
    <w:rsid w:val="00D62209"/>
    <w:rsid w:val="00D67098"/>
    <w:rsid w:val="00D674DA"/>
    <w:rsid w:val="00D67D83"/>
    <w:rsid w:val="00D67EE4"/>
    <w:rsid w:val="00D70CCE"/>
    <w:rsid w:val="00D7396F"/>
    <w:rsid w:val="00D7470C"/>
    <w:rsid w:val="00D75351"/>
    <w:rsid w:val="00D75C64"/>
    <w:rsid w:val="00D7633E"/>
    <w:rsid w:val="00D77F5E"/>
    <w:rsid w:val="00D809BD"/>
    <w:rsid w:val="00D80FA8"/>
    <w:rsid w:val="00D81A34"/>
    <w:rsid w:val="00D829FA"/>
    <w:rsid w:val="00D82C97"/>
    <w:rsid w:val="00D832ED"/>
    <w:rsid w:val="00D83B51"/>
    <w:rsid w:val="00D8444C"/>
    <w:rsid w:val="00D8609F"/>
    <w:rsid w:val="00D87B11"/>
    <w:rsid w:val="00D915F6"/>
    <w:rsid w:val="00D917D4"/>
    <w:rsid w:val="00D94D30"/>
    <w:rsid w:val="00D952A3"/>
    <w:rsid w:val="00D95DB5"/>
    <w:rsid w:val="00D95FDD"/>
    <w:rsid w:val="00D963FB"/>
    <w:rsid w:val="00D976BB"/>
    <w:rsid w:val="00DA0AB4"/>
    <w:rsid w:val="00DA268A"/>
    <w:rsid w:val="00DA2870"/>
    <w:rsid w:val="00DA2F00"/>
    <w:rsid w:val="00DA4759"/>
    <w:rsid w:val="00DA6707"/>
    <w:rsid w:val="00DA6F70"/>
    <w:rsid w:val="00DA7D56"/>
    <w:rsid w:val="00DB1B93"/>
    <w:rsid w:val="00DB1E9F"/>
    <w:rsid w:val="00DB2169"/>
    <w:rsid w:val="00DB2739"/>
    <w:rsid w:val="00DB3851"/>
    <w:rsid w:val="00DB3D04"/>
    <w:rsid w:val="00DB446A"/>
    <w:rsid w:val="00DB58FC"/>
    <w:rsid w:val="00DB784A"/>
    <w:rsid w:val="00DC0A3F"/>
    <w:rsid w:val="00DC38B7"/>
    <w:rsid w:val="00DC70B6"/>
    <w:rsid w:val="00DC7C93"/>
    <w:rsid w:val="00DD1462"/>
    <w:rsid w:val="00DD26BA"/>
    <w:rsid w:val="00DD298A"/>
    <w:rsid w:val="00DD3BAB"/>
    <w:rsid w:val="00DD40E9"/>
    <w:rsid w:val="00DD6706"/>
    <w:rsid w:val="00DE0E63"/>
    <w:rsid w:val="00DE35B1"/>
    <w:rsid w:val="00DE3A7D"/>
    <w:rsid w:val="00DE488D"/>
    <w:rsid w:val="00DE4F8B"/>
    <w:rsid w:val="00DE5C71"/>
    <w:rsid w:val="00DE5F3B"/>
    <w:rsid w:val="00DE7A94"/>
    <w:rsid w:val="00DE7EDE"/>
    <w:rsid w:val="00DF1F99"/>
    <w:rsid w:val="00DF45EF"/>
    <w:rsid w:val="00DF559F"/>
    <w:rsid w:val="00DF7940"/>
    <w:rsid w:val="00E00FF5"/>
    <w:rsid w:val="00E014C7"/>
    <w:rsid w:val="00E04139"/>
    <w:rsid w:val="00E042B8"/>
    <w:rsid w:val="00E111A9"/>
    <w:rsid w:val="00E11FEC"/>
    <w:rsid w:val="00E12CBF"/>
    <w:rsid w:val="00E13832"/>
    <w:rsid w:val="00E15677"/>
    <w:rsid w:val="00E16370"/>
    <w:rsid w:val="00E16773"/>
    <w:rsid w:val="00E20383"/>
    <w:rsid w:val="00E20A07"/>
    <w:rsid w:val="00E21EC8"/>
    <w:rsid w:val="00E24A9B"/>
    <w:rsid w:val="00E27399"/>
    <w:rsid w:val="00E27F75"/>
    <w:rsid w:val="00E30257"/>
    <w:rsid w:val="00E32B33"/>
    <w:rsid w:val="00E34494"/>
    <w:rsid w:val="00E35AE6"/>
    <w:rsid w:val="00E35F44"/>
    <w:rsid w:val="00E40A05"/>
    <w:rsid w:val="00E4347B"/>
    <w:rsid w:val="00E44CD4"/>
    <w:rsid w:val="00E4795C"/>
    <w:rsid w:val="00E5057F"/>
    <w:rsid w:val="00E543E3"/>
    <w:rsid w:val="00E54DB5"/>
    <w:rsid w:val="00E56796"/>
    <w:rsid w:val="00E56CE5"/>
    <w:rsid w:val="00E56F2C"/>
    <w:rsid w:val="00E57BFE"/>
    <w:rsid w:val="00E60125"/>
    <w:rsid w:val="00E601DA"/>
    <w:rsid w:val="00E6045C"/>
    <w:rsid w:val="00E6290B"/>
    <w:rsid w:val="00E62E76"/>
    <w:rsid w:val="00E6423B"/>
    <w:rsid w:val="00E64868"/>
    <w:rsid w:val="00E672CA"/>
    <w:rsid w:val="00E6739C"/>
    <w:rsid w:val="00E71577"/>
    <w:rsid w:val="00E71A7A"/>
    <w:rsid w:val="00E71DEE"/>
    <w:rsid w:val="00E7546E"/>
    <w:rsid w:val="00E80528"/>
    <w:rsid w:val="00E815D6"/>
    <w:rsid w:val="00E83E57"/>
    <w:rsid w:val="00E854E6"/>
    <w:rsid w:val="00E862C4"/>
    <w:rsid w:val="00E879D7"/>
    <w:rsid w:val="00E91242"/>
    <w:rsid w:val="00E92739"/>
    <w:rsid w:val="00E92B8B"/>
    <w:rsid w:val="00E93292"/>
    <w:rsid w:val="00E93E08"/>
    <w:rsid w:val="00E94290"/>
    <w:rsid w:val="00E95767"/>
    <w:rsid w:val="00EA3784"/>
    <w:rsid w:val="00EA5D1A"/>
    <w:rsid w:val="00EA6449"/>
    <w:rsid w:val="00EA7DB5"/>
    <w:rsid w:val="00EA7E3C"/>
    <w:rsid w:val="00EB09FB"/>
    <w:rsid w:val="00EB0AB9"/>
    <w:rsid w:val="00EB0FA4"/>
    <w:rsid w:val="00EB2F90"/>
    <w:rsid w:val="00EB33FF"/>
    <w:rsid w:val="00EB3A1D"/>
    <w:rsid w:val="00EB52D9"/>
    <w:rsid w:val="00EB5C4F"/>
    <w:rsid w:val="00EB6880"/>
    <w:rsid w:val="00EB7242"/>
    <w:rsid w:val="00EC0C92"/>
    <w:rsid w:val="00EC0EA3"/>
    <w:rsid w:val="00EC1863"/>
    <w:rsid w:val="00EC18FE"/>
    <w:rsid w:val="00EC364D"/>
    <w:rsid w:val="00EC378B"/>
    <w:rsid w:val="00EC478E"/>
    <w:rsid w:val="00EC51BA"/>
    <w:rsid w:val="00EC583E"/>
    <w:rsid w:val="00ED0959"/>
    <w:rsid w:val="00ED0FE4"/>
    <w:rsid w:val="00ED2F1E"/>
    <w:rsid w:val="00ED309E"/>
    <w:rsid w:val="00ED37FA"/>
    <w:rsid w:val="00ED4C04"/>
    <w:rsid w:val="00ED541B"/>
    <w:rsid w:val="00ED6A1E"/>
    <w:rsid w:val="00ED6FC7"/>
    <w:rsid w:val="00ED75AA"/>
    <w:rsid w:val="00ED7C97"/>
    <w:rsid w:val="00EE642E"/>
    <w:rsid w:val="00EF0613"/>
    <w:rsid w:val="00EF0BD1"/>
    <w:rsid w:val="00EF141D"/>
    <w:rsid w:val="00EF393D"/>
    <w:rsid w:val="00EF42C5"/>
    <w:rsid w:val="00EF5838"/>
    <w:rsid w:val="00F002B5"/>
    <w:rsid w:val="00F01238"/>
    <w:rsid w:val="00F0390C"/>
    <w:rsid w:val="00F043FE"/>
    <w:rsid w:val="00F0506E"/>
    <w:rsid w:val="00F100F9"/>
    <w:rsid w:val="00F10BDC"/>
    <w:rsid w:val="00F1190B"/>
    <w:rsid w:val="00F11DE7"/>
    <w:rsid w:val="00F12CC2"/>
    <w:rsid w:val="00F135AC"/>
    <w:rsid w:val="00F15603"/>
    <w:rsid w:val="00F162A7"/>
    <w:rsid w:val="00F1692E"/>
    <w:rsid w:val="00F21887"/>
    <w:rsid w:val="00F21C36"/>
    <w:rsid w:val="00F23837"/>
    <w:rsid w:val="00F23FE8"/>
    <w:rsid w:val="00F252A1"/>
    <w:rsid w:val="00F269DC"/>
    <w:rsid w:val="00F30A2F"/>
    <w:rsid w:val="00F317FF"/>
    <w:rsid w:val="00F32454"/>
    <w:rsid w:val="00F327D7"/>
    <w:rsid w:val="00F328FF"/>
    <w:rsid w:val="00F336ED"/>
    <w:rsid w:val="00F339A0"/>
    <w:rsid w:val="00F34402"/>
    <w:rsid w:val="00F3493E"/>
    <w:rsid w:val="00F35896"/>
    <w:rsid w:val="00F35FFA"/>
    <w:rsid w:val="00F37D1B"/>
    <w:rsid w:val="00F40E1B"/>
    <w:rsid w:val="00F42268"/>
    <w:rsid w:val="00F4240C"/>
    <w:rsid w:val="00F43925"/>
    <w:rsid w:val="00F44341"/>
    <w:rsid w:val="00F45051"/>
    <w:rsid w:val="00F45353"/>
    <w:rsid w:val="00F45801"/>
    <w:rsid w:val="00F45939"/>
    <w:rsid w:val="00F46DD7"/>
    <w:rsid w:val="00F47317"/>
    <w:rsid w:val="00F47838"/>
    <w:rsid w:val="00F50C71"/>
    <w:rsid w:val="00F516CB"/>
    <w:rsid w:val="00F517E8"/>
    <w:rsid w:val="00F52326"/>
    <w:rsid w:val="00F524AA"/>
    <w:rsid w:val="00F52D7E"/>
    <w:rsid w:val="00F53BE0"/>
    <w:rsid w:val="00F562C2"/>
    <w:rsid w:val="00F573F7"/>
    <w:rsid w:val="00F57DAD"/>
    <w:rsid w:val="00F60A8C"/>
    <w:rsid w:val="00F650C9"/>
    <w:rsid w:val="00F653AE"/>
    <w:rsid w:val="00F66FB9"/>
    <w:rsid w:val="00F72248"/>
    <w:rsid w:val="00F7572B"/>
    <w:rsid w:val="00F77B52"/>
    <w:rsid w:val="00F80557"/>
    <w:rsid w:val="00F82082"/>
    <w:rsid w:val="00F82D22"/>
    <w:rsid w:val="00F8368B"/>
    <w:rsid w:val="00F852DC"/>
    <w:rsid w:val="00F85696"/>
    <w:rsid w:val="00F86798"/>
    <w:rsid w:val="00F86FE1"/>
    <w:rsid w:val="00F87205"/>
    <w:rsid w:val="00F87617"/>
    <w:rsid w:val="00F91157"/>
    <w:rsid w:val="00F95605"/>
    <w:rsid w:val="00F966E9"/>
    <w:rsid w:val="00FA2CAA"/>
    <w:rsid w:val="00FA34E0"/>
    <w:rsid w:val="00FA5D36"/>
    <w:rsid w:val="00FA7452"/>
    <w:rsid w:val="00FA7456"/>
    <w:rsid w:val="00FA74ED"/>
    <w:rsid w:val="00FA7503"/>
    <w:rsid w:val="00FA777B"/>
    <w:rsid w:val="00FB143F"/>
    <w:rsid w:val="00FB14F2"/>
    <w:rsid w:val="00FB31DF"/>
    <w:rsid w:val="00FB501F"/>
    <w:rsid w:val="00FC0787"/>
    <w:rsid w:val="00FC0A66"/>
    <w:rsid w:val="00FC27EA"/>
    <w:rsid w:val="00FC2974"/>
    <w:rsid w:val="00FC3B1D"/>
    <w:rsid w:val="00FC4380"/>
    <w:rsid w:val="00FC4B7B"/>
    <w:rsid w:val="00FD02A1"/>
    <w:rsid w:val="00FD193E"/>
    <w:rsid w:val="00FD3F9D"/>
    <w:rsid w:val="00FD48D4"/>
    <w:rsid w:val="00FD6295"/>
    <w:rsid w:val="00FD699C"/>
    <w:rsid w:val="00FD6CB7"/>
    <w:rsid w:val="00FD711C"/>
    <w:rsid w:val="00FD7628"/>
    <w:rsid w:val="00FD7D0C"/>
    <w:rsid w:val="00FE13CE"/>
    <w:rsid w:val="00FE344D"/>
    <w:rsid w:val="00FE4F0D"/>
    <w:rsid w:val="00FE532A"/>
    <w:rsid w:val="00FE640B"/>
    <w:rsid w:val="00FE7D51"/>
    <w:rsid w:val="00FF3508"/>
    <w:rsid w:val="00FF3F5A"/>
    <w:rsid w:val="00FF40BD"/>
    <w:rsid w:val="00FF5B43"/>
    <w:rsid w:val="00FF624F"/>
    <w:rsid w:val="00FF727D"/>
    <w:rsid w:val="00FF7923"/>
    <w:rsid w:val="00FF7D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DA1FB"/>
  <w15:chartTrackingRefBased/>
  <w15:docId w15:val="{38034343-5AFC-9E48-B61D-1361F6C28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265B"/>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30563D"/>
    <w:pPr>
      <w:keepNext/>
      <w:tabs>
        <w:tab w:val="left" w:pos="5685"/>
      </w:tabs>
      <w:spacing w:before="240" w:after="60" w:line="276" w:lineRule="auto"/>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46394"/>
    <w:pPr>
      <w:spacing w:before="100" w:beforeAutospacing="1" w:after="100" w:afterAutospacing="1"/>
    </w:pPr>
  </w:style>
  <w:style w:type="character" w:styleId="CommentReference">
    <w:name w:val="annotation reference"/>
    <w:basedOn w:val="DefaultParagraphFont"/>
    <w:uiPriority w:val="99"/>
    <w:semiHidden/>
    <w:unhideWhenUsed/>
    <w:rsid w:val="00A46394"/>
    <w:rPr>
      <w:sz w:val="16"/>
      <w:szCs w:val="16"/>
    </w:rPr>
  </w:style>
  <w:style w:type="paragraph" w:styleId="CommentText">
    <w:name w:val="annotation text"/>
    <w:basedOn w:val="Normal"/>
    <w:link w:val="CommentTextChar"/>
    <w:uiPriority w:val="99"/>
    <w:unhideWhenUsed/>
    <w:rsid w:val="00A46394"/>
    <w:rPr>
      <w:sz w:val="20"/>
      <w:szCs w:val="20"/>
    </w:rPr>
  </w:style>
  <w:style w:type="character" w:customStyle="1" w:styleId="CommentTextChar">
    <w:name w:val="Comment Text Char"/>
    <w:basedOn w:val="DefaultParagraphFont"/>
    <w:link w:val="CommentText"/>
    <w:uiPriority w:val="99"/>
    <w:rsid w:val="00A46394"/>
    <w:rPr>
      <w:rFonts w:ascii="Times New Roman" w:eastAsia="Times New Roman" w:hAnsi="Times New Roman" w:cs="Times New Roman"/>
      <w:sz w:val="20"/>
      <w:szCs w:val="20"/>
      <w:lang w:eastAsia="en-GB"/>
    </w:rPr>
  </w:style>
  <w:style w:type="character" w:customStyle="1" w:styleId="ref-lnk">
    <w:name w:val="ref-lnk"/>
    <w:basedOn w:val="DefaultParagraphFont"/>
    <w:rsid w:val="00A46394"/>
  </w:style>
  <w:style w:type="paragraph" w:styleId="ListParagraph">
    <w:name w:val="List Paragraph"/>
    <w:basedOn w:val="Normal"/>
    <w:uiPriority w:val="34"/>
    <w:qFormat/>
    <w:rsid w:val="00DB2169"/>
    <w:pPr>
      <w:ind w:left="720"/>
      <w:contextualSpacing/>
    </w:pPr>
  </w:style>
  <w:style w:type="character" w:customStyle="1" w:styleId="apple-converted-space">
    <w:name w:val="apple-converted-space"/>
    <w:basedOn w:val="DefaultParagraphFont"/>
    <w:rsid w:val="001063B1"/>
  </w:style>
  <w:style w:type="character" w:customStyle="1" w:styleId="hi-italic">
    <w:name w:val="hi-italic"/>
    <w:basedOn w:val="DefaultParagraphFont"/>
    <w:rsid w:val="001063B1"/>
  </w:style>
  <w:style w:type="character" w:styleId="Hyperlink">
    <w:name w:val="Hyperlink"/>
    <w:basedOn w:val="DefaultParagraphFont"/>
    <w:uiPriority w:val="99"/>
    <w:unhideWhenUsed/>
    <w:rsid w:val="00E56CE5"/>
    <w:rPr>
      <w:color w:val="0000FF"/>
      <w:u w:val="single"/>
    </w:rPr>
  </w:style>
  <w:style w:type="character" w:customStyle="1" w:styleId="u-visually-hidden">
    <w:name w:val="u-visually-hidden"/>
    <w:basedOn w:val="DefaultParagraphFont"/>
    <w:rsid w:val="00EA7DB5"/>
  </w:style>
  <w:style w:type="paragraph" w:styleId="CommentSubject">
    <w:name w:val="annotation subject"/>
    <w:basedOn w:val="CommentText"/>
    <w:next w:val="CommentText"/>
    <w:link w:val="CommentSubjectChar"/>
    <w:uiPriority w:val="99"/>
    <w:semiHidden/>
    <w:unhideWhenUsed/>
    <w:rsid w:val="00EA7DB5"/>
    <w:rPr>
      <w:b/>
      <w:bCs/>
    </w:rPr>
  </w:style>
  <w:style w:type="character" w:customStyle="1" w:styleId="CommentSubjectChar">
    <w:name w:val="Comment Subject Char"/>
    <w:basedOn w:val="CommentTextChar"/>
    <w:link w:val="CommentSubject"/>
    <w:uiPriority w:val="99"/>
    <w:semiHidden/>
    <w:rsid w:val="00EA7DB5"/>
    <w:rPr>
      <w:rFonts w:ascii="Times New Roman" w:eastAsia="Times New Roman" w:hAnsi="Times New Roman" w:cs="Times New Roman"/>
      <w:b/>
      <w:bCs/>
      <w:sz w:val="20"/>
      <w:szCs w:val="20"/>
      <w:lang w:eastAsia="en-GB"/>
    </w:rPr>
  </w:style>
  <w:style w:type="character" w:styleId="UnresolvedMention">
    <w:name w:val="Unresolved Mention"/>
    <w:basedOn w:val="DefaultParagraphFont"/>
    <w:uiPriority w:val="99"/>
    <w:semiHidden/>
    <w:unhideWhenUsed/>
    <w:rsid w:val="00B01EE7"/>
    <w:rPr>
      <w:color w:val="605E5C"/>
      <w:shd w:val="clear" w:color="auto" w:fill="E1DFDD"/>
    </w:rPr>
  </w:style>
  <w:style w:type="character" w:styleId="Strong">
    <w:name w:val="Strong"/>
    <w:basedOn w:val="DefaultParagraphFont"/>
    <w:uiPriority w:val="22"/>
    <w:qFormat/>
    <w:rsid w:val="009439FD"/>
    <w:rPr>
      <w:b/>
      <w:bCs/>
    </w:rPr>
  </w:style>
  <w:style w:type="character" w:customStyle="1" w:styleId="ref-title">
    <w:name w:val="ref-title"/>
    <w:basedOn w:val="DefaultParagraphFont"/>
    <w:rsid w:val="003E711B"/>
  </w:style>
  <w:style w:type="character" w:customStyle="1" w:styleId="ref-journal">
    <w:name w:val="ref-journal"/>
    <w:basedOn w:val="DefaultParagraphFont"/>
    <w:rsid w:val="003E711B"/>
  </w:style>
  <w:style w:type="character" w:customStyle="1" w:styleId="ref-vol">
    <w:name w:val="ref-vol"/>
    <w:basedOn w:val="DefaultParagraphFont"/>
    <w:rsid w:val="003E711B"/>
  </w:style>
  <w:style w:type="character" w:customStyle="1" w:styleId="ref-iss">
    <w:name w:val="ref-iss"/>
    <w:basedOn w:val="DefaultParagraphFont"/>
    <w:rsid w:val="003E711B"/>
  </w:style>
  <w:style w:type="character" w:styleId="FollowedHyperlink">
    <w:name w:val="FollowedHyperlink"/>
    <w:basedOn w:val="DefaultParagraphFont"/>
    <w:uiPriority w:val="99"/>
    <w:semiHidden/>
    <w:unhideWhenUsed/>
    <w:rsid w:val="00A818FD"/>
    <w:rPr>
      <w:color w:val="954F72" w:themeColor="followedHyperlink"/>
      <w:u w:val="single"/>
    </w:rPr>
  </w:style>
  <w:style w:type="character" w:customStyle="1" w:styleId="bkciteavail">
    <w:name w:val="bk_cite_avail"/>
    <w:basedOn w:val="DefaultParagraphFont"/>
    <w:rsid w:val="00D570EA"/>
  </w:style>
  <w:style w:type="paragraph" w:styleId="Revision">
    <w:name w:val="Revision"/>
    <w:hidden/>
    <w:uiPriority w:val="99"/>
    <w:semiHidden/>
    <w:rsid w:val="004375C5"/>
    <w:rPr>
      <w:rFonts w:ascii="Times New Roman" w:eastAsia="Times New Roman" w:hAnsi="Times New Roman" w:cs="Times New Roman"/>
      <w:lang w:eastAsia="en-GB"/>
    </w:rPr>
  </w:style>
  <w:style w:type="character" w:customStyle="1" w:styleId="arttitle">
    <w:name w:val="art_title"/>
    <w:basedOn w:val="DefaultParagraphFont"/>
    <w:rsid w:val="008F4A09"/>
  </w:style>
  <w:style w:type="character" w:customStyle="1" w:styleId="serialtitle">
    <w:name w:val="serial_title"/>
    <w:basedOn w:val="DefaultParagraphFont"/>
    <w:rsid w:val="008F4A09"/>
  </w:style>
  <w:style w:type="character" w:customStyle="1" w:styleId="volumeissue">
    <w:name w:val="volume_issue"/>
    <w:basedOn w:val="DefaultParagraphFont"/>
    <w:rsid w:val="008F4A09"/>
  </w:style>
  <w:style w:type="character" w:customStyle="1" w:styleId="pagerange">
    <w:name w:val="page_range"/>
    <w:basedOn w:val="DefaultParagraphFont"/>
    <w:rsid w:val="008F4A09"/>
  </w:style>
  <w:style w:type="character" w:customStyle="1" w:styleId="authors">
    <w:name w:val="authors"/>
    <w:basedOn w:val="DefaultParagraphFont"/>
    <w:rsid w:val="008F4A09"/>
  </w:style>
  <w:style w:type="character" w:customStyle="1" w:styleId="Date1">
    <w:name w:val="Date1"/>
    <w:basedOn w:val="DefaultParagraphFont"/>
    <w:rsid w:val="008F4A09"/>
  </w:style>
  <w:style w:type="character" w:customStyle="1" w:styleId="name">
    <w:name w:val="name"/>
    <w:basedOn w:val="DefaultParagraphFont"/>
    <w:rsid w:val="00EC1863"/>
  </w:style>
  <w:style w:type="character" w:styleId="Emphasis">
    <w:name w:val="Emphasis"/>
    <w:basedOn w:val="DefaultParagraphFont"/>
    <w:uiPriority w:val="20"/>
    <w:qFormat/>
    <w:rsid w:val="00EC1863"/>
    <w:rPr>
      <w:i/>
      <w:iCs/>
    </w:rPr>
  </w:style>
  <w:style w:type="character" w:customStyle="1" w:styleId="Heading1Char">
    <w:name w:val="Heading 1 Char"/>
    <w:basedOn w:val="DefaultParagraphFont"/>
    <w:link w:val="Heading1"/>
    <w:uiPriority w:val="9"/>
    <w:rsid w:val="0030563D"/>
    <w:rPr>
      <w:rFonts w:ascii="Cambria" w:eastAsia="Times New Roman" w:hAnsi="Cambria" w:cs="Times New Roman"/>
      <w:b/>
      <w:bCs/>
      <w:kern w:val="32"/>
      <w:sz w:val="32"/>
      <w:szCs w:val="32"/>
      <w:lang w:val="x-none" w:eastAsia="x-none"/>
    </w:rPr>
  </w:style>
  <w:style w:type="paragraph" w:styleId="Header">
    <w:name w:val="header"/>
    <w:basedOn w:val="Normal"/>
    <w:link w:val="HeaderChar"/>
    <w:uiPriority w:val="99"/>
    <w:unhideWhenUsed/>
    <w:rsid w:val="00FE344D"/>
    <w:pPr>
      <w:tabs>
        <w:tab w:val="center" w:pos="4513"/>
        <w:tab w:val="right" w:pos="9026"/>
      </w:tabs>
    </w:pPr>
  </w:style>
  <w:style w:type="character" w:customStyle="1" w:styleId="HeaderChar">
    <w:name w:val="Header Char"/>
    <w:basedOn w:val="DefaultParagraphFont"/>
    <w:link w:val="Header"/>
    <w:uiPriority w:val="99"/>
    <w:rsid w:val="00FE344D"/>
    <w:rPr>
      <w:rFonts w:ascii="Times New Roman" w:eastAsia="Times New Roman" w:hAnsi="Times New Roman" w:cs="Times New Roman"/>
      <w:lang w:eastAsia="en-GB"/>
    </w:rPr>
  </w:style>
  <w:style w:type="paragraph" w:styleId="Footer">
    <w:name w:val="footer"/>
    <w:basedOn w:val="Normal"/>
    <w:link w:val="FooterChar"/>
    <w:uiPriority w:val="99"/>
    <w:unhideWhenUsed/>
    <w:rsid w:val="00FE344D"/>
    <w:pPr>
      <w:tabs>
        <w:tab w:val="center" w:pos="4513"/>
        <w:tab w:val="right" w:pos="9026"/>
      </w:tabs>
    </w:pPr>
  </w:style>
  <w:style w:type="character" w:customStyle="1" w:styleId="FooterChar">
    <w:name w:val="Footer Char"/>
    <w:basedOn w:val="DefaultParagraphFont"/>
    <w:link w:val="Footer"/>
    <w:uiPriority w:val="99"/>
    <w:rsid w:val="00FE344D"/>
    <w:rPr>
      <w:rFonts w:ascii="Times New Roman" w:eastAsia="Times New Roman" w:hAnsi="Times New Roman" w:cs="Times New Roman"/>
      <w:lang w:eastAsia="en-GB"/>
    </w:rPr>
  </w:style>
  <w:style w:type="paragraph" w:styleId="FootnoteText">
    <w:name w:val="footnote text"/>
    <w:basedOn w:val="Normal"/>
    <w:link w:val="FootnoteTextChar"/>
    <w:uiPriority w:val="99"/>
    <w:semiHidden/>
    <w:unhideWhenUsed/>
    <w:rsid w:val="00CD5C1B"/>
    <w:rPr>
      <w:sz w:val="20"/>
      <w:szCs w:val="20"/>
    </w:rPr>
  </w:style>
  <w:style w:type="character" w:customStyle="1" w:styleId="FootnoteTextChar">
    <w:name w:val="Footnote Text Char"/>
    <w:basedOn w:val="DefaultParagraphFont"/>
    <w:link w:val="FootnoteText"/>
    <w:uiPriority w:val="99"/>
    <w:semiHidden/>
    <w:rsid w:val="00CD5C1B"/>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CD5C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03685">
      <w:bodyDiv w:val="1"/>
      <w:marLeft w:val="0"/>
      <w:marRight w:val="0"/>
      <w:marTop w:val="0"/>
      <w:marBottom w:val="0"/>
      <w:divBdr>
        <w:top w:val="none" w:sz="0" w:space="0" w:color="auto"/>
        <w:left w:val="none" w:sz="0" w:space="0" w:color="auto"/>
        <w:bottom w:val="none" w:sz="0" w:space="0" w:color="auto"/>
        <w:right w:val="none" w:sz="0" w:space="0" w:color="auto"/>
      </w:divBdr>
      <w:divsChild>
        <w:div w:id="424305111">
          <w:marLeft w:val="0"/>
          <w:marRight w:val="0"/>
          <w:marTop w:val="0"/>
          <w:marBottom w:val="0"/>
          <w:divBdr>
            <w:top w:val="none" w:sz="0" w:space="0" w:color="auto"/>
            <w:left w:val="none" w:sz="0" w:space="0" w:color="auto"/>
            <w:bottom w:val="none" w:sz="0" w:space="0" w:color="auto"/>
            <w:right w:val="none" w:sz="0" w:space="0" w:color="auto"/>
          </w:divBdr>
          <w:divsChild>
            <w:div w:id="862472671">
              <w:marLeft w:val="0"/>
              <w:marRight w:val="0"/>
              <w:marTop w:val="0"/>
              <w:marBottom w:val="0"/>
              <w:divBdr>
                <w:top w:val="none" w:sz="0" w:space="0" w:color="auto"/>
                <w:left w:val="none" w:sz="0" w:space="0" w:color="auto"/>
                <w:bottom w:val="none" w:sz="0" w:space="0" w:color="auto"/>
                <w:right w:val="none" w:sz="0" w:space="0" w:color="auto"/>
              </w:divBdr>
              <w:divsChild>
                <w:div w:id="21424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49542">
      <w:bodyDiv w:val="1"/>
      <w:marLeft w:val="0"/>
      <w:marRight w:val="0"/>
      <w:marTop w:val="0"/>
      <w:marBottom w:val="0"/>
      <w:divBdr>
        <w:top w:val="none" w:sz="0" w:space="0" w:color="auto"/>
        <w:left w:val="none" w:sz="0" w:space="0" w:color="auto"/>
        <w:bottom w:val="none" w:sz="0" w:space="0" w:color="auto"/>
        <w:right w:val="none" w:sz="0" w:space="0" w:color="auto"/>
      </w:divBdr>
    </w:div>
    <w:div w:id="211357073">
      <w:bodyDiv w:val="1"/>
      <w:marLeft w:val="0"/>
      <w:marRight w:val="0"/>
      <w:marTop w:val="0"/>
      <w:marBottom w:val="0"/>
      <w:divBdr>
        <w:top w:val="none" w:sz="0" w:space="0" w:color="auto"/>
        <w:left w:val="none" w:sz="0" w:space="0" w:color="auto"/>
        <w:bottom w:val="none" w:sz="0" w:space="0" w:color="auto"/>
        <w:right w:val="none" w:sz="0" w:space="0" w:color="auto"/>
      </w:divBdr>
    </w:div>
    <w:div w:id="294943817">
      <w:bodyDiv w:val="1"/>
      <w:marLeft w:val="0"/>
      <w:marRight w:val="0"/>
      <w:marTop w:val="0"/>
      <w:marBottom w:val="0"/>
      <w:divBdr>
        <w:top w:val="none" w:sz="0" w:space="0" w:color="auto"/>
        <w:left w:val="none" w:sz="0" w:space="0" w:color="auto"/>
        <w:bottom w:val="none" w:sz="0" w:space="0" w:color="auto"/>
        <w:right w:val="none" w:sz="0" w:space="0" w:color="auto"/>
      </w:divBdr>
    </w:div>
    <w:div w:id="332152084">
      <w:bodyDiv w:val="1"/>
      <w:marLeft w:val="0"/>
      <w:marRight w:val="0"/>
      <w:marTop w:val="0"/>
      <w:marBottom w:val="0"/>
      <w:divBdr>
        <w:top w:val="none" w:sz="0" w:space="0" w:color="auto"/>
        <w:left w:val="none" w:sz="0" w:space="0" w:color="auto"/>
        <w:bottom w:val="none" w:sz="0" w:space="0" w:color="auto"/>
        <w:right w:val="none" w:sz="0" w:space="0" w:color="auto"/>
      </w:divBdr>
    </w:div>
    <w:div w:id="346909579">
      <w:bodyDiv w:val="1"/>
      <w:marLeft w:val="0"/>
      <w:marRight w:val="0"/>
      <w:marTop w:val="0"/>
      <w:marBottom w:val="0"/>
      <w:divBdr>
        <w:top w:val="none" w:sz="0" w:space="0" w:color="auto"/>
        <w:left w:val="none" w:sz="0" w:space="0" w:color="auto"/>
        <w:bottom w:val="none" w:sz="0" w:space="0" w:color="auto"/>
        <w:right w:val="none" w:sz="0" w:space="0" w:color="auto"/>
      </w:divBdr>
      <w:divsChild>
        <w:div w:id="1179856506">
          <w:marLeft w:val="0"/>
          <w:marRight w:val="0"/>
          <w:marTop w:val="0"/>
          <w:marBottom w:val="0"/>
          <w:divBdr>
            <w:top w:val="none" w:sz="0" w:space="0" w:color="auto"/>
            <w:left w:val="none" w:sz="0" w:space="0" w:color="auto"/>
            <w:bottom w:val="none" w:sz="0" w:space="0" w:color="auto"/>
            <w:right w:val="none" w:sz="0" w:space="0" w:color="auto"/>
          </w:divBdr>
          <w:divsChild>
            <w:div w:id="2143305904">
              <w:marLeft w:val="0"/>
              <w:marRight w:val="0"/>
              <w:marTop w:val="0"/>
              <w:marBottom w:val="0"/>
              <w:divBdr>
                <w:top w:val="none" w:sz="0" w:space="0" w:color="auto"/>
                <w:left w:val="none" w:sz="0" w:space="0" w:color="auto"/>
                <w:bottom w:val="none" w:sz="0" w:space="0" w:color="auto"/>
                <w:right w:val="none" w:sz="0" w:space="0" w:color="auto"/>
              </w:divBdr>
              <w:divsChild>
                <w:div w:id="173731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848241">
      <w:bodyDiv w:val="1"/>
      <w:marLeft w:val="0"/>
      <w:marRight w:val="0"/>
      <w:marTop w:val="0"/>
      <w:marBottom w:val="0"/>
      <w:divBdr>
        <w:top w:val="none" w:sz="0" w:space="0" w:color="auto"/>
        <w:left w:val="none" w:sz="0" w:space="0" w:color="auto"/>
        <w:bottom w:val="none" w:sz="0" w:space="0" w:color="auto"/>
        <w:right w:val="none" w:sz="0" w:space="0" w:color="auto"/>
      </w:divBdr>
    </w:div>
    <w:div w:id="570238222">
      <w:bodyDiv w:val="1"/>
      <w:marLeft w:val="0"/>
      <w:marRight w:val="0"/>
      <w:marTop w:val="0"/>
      <w:marBottom w:val="0"/>
      <w:divBdr>
        <w:top w:val="none" w:sz="0" w:space="0" w:color="auto"/>
        <w:left w:val="none" w:sz="0" w:space="0" w:color="auto"/>
        <w:bottom w:val="none" w:sz="0" w:space="0" w:color="auto"/>
        <w:right w:val="none" w:sz="0" w:space="0" w:color="auto"/>
      </w:divBdr>
      <w:divsChild>
        <w:div w:id="681013203">
          <w:marLeft w:val="0"/>
          <w:marRight w:val="0"/>
          <w:marTop w:val="0"/>
          <w:marBottom w:val="0"/>
          <w:divBdr>
            <w:top w:val="none" w:sz="0" w:space="0" w:color="auto"/>
            <w:left w:val="none" w:sz="0" w:space="0" w:color="auto"/>
            <w:bottom w:val="none" w:sz="0" w:space="0" w:color="auto"/>
            <w:right w:val="none" w:sz="0" w:space="0" w:color="auto"/>
          </w:divBdr>
          <w:divsChild>
            <w:div w:id="2097556564">
              <w:marLeft w:val="0"/>
              <w:marRight w:val="0"/>
              <w:marTop w:val="0"/>
              <w:marBottom w:val="0"/>
              <w:divBdr>
                <w:top w:val="none" w:sz="0" w:space="0" w:color="auto"/>
                <w:left w:val="none" w:sz="0" w:space="0" w:color="auto"/>
                <w:bottom w:val="none" w:sz="0" w:space="0" w:color="auto"/>
                <w:right w:val="none" w:sz="0" w:space="0" w:color="auto"/>
              </w:divBdr>
              <w:divsChild>
                <w:div w:id="114269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493934">
      <w:bodyDiv w:val="1"/>
      <w:marLeft w:val="0"/>
      <w:marRight w:val="0"/>
      <w:marTop w:val="0"/>
      <w:marBottom w:val="0"/>
      <w:divBdr>
        <w:top w:val="none" w:sz="0" w:space="0" w:color="auto"/>
        <w:left w:val="none" w:sz="0" w:space="0" w:color="auto"/>
        <w:bottom w:val="none" w:sz="0" w:space="0" w:color="auto"/>
        <w:right w:val="none" w:sz="0" w:space="0" w:color="auto"/>
      </w:divBdr>
      <w:divsChild>
        <w:div w:id="792286208">
          <w:marLeft w:val="0"/>
          <w:marRight w:val="0"/>
          <w:marTop w:val="0"/>
          <w:marBottom w:val="0"/>
          <w:divBdr>
            <w:top w:val="none" w:sz="0" w:space="0" w:color="auto"/>
            <w:left w:val="none" w:sz="0" w:space="0" w:color="auto"/>
            <w:bottom w:val="none" w:sz="0" w:space="0" w:color="auto"/>
            <w:right w:val="none" w:sz="0" w:space="0" w:color="auto"/>
          </w:divBdr>
          <w:divsChild>
            <w:div w:id="841703198">
              <w:marLeft w:val="0"/>
              <w:marRight w:val="0"/>
              <w:marTop w:val="0"/>
              <w:marBottom w:val="0"/>
              <w:divBdr>
                <w:top w:val="none" w:sz="0" w:space="0" w:color="auto"/>
                <w:left w:val="none" w:sz="0" w:space="0" w:color="auto"/>
                <w:bottom w:val="none" w:sz="0" w:space="0" w:color="auto"/>
                <w:right w:val="none" w:sz="0" w:space="0" w:color="auto"/>
              </w:divBdr>
              <w:divsChild>
                <w:div w:id="87616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147738">
      <w:bodyDiv w:val="1"/>
      <w:marLeft w:val="0"/>
      <w:marRight w:val="0"/>
      <w:marTop w:val="0"/>
      <w:marBottom w:val="0"/>
      <w:divBdr>
        <w:top w:val="none" w:sz="0" w:space="0" w:color="auto"/>
        <w:left w:val="none" w:sz="0" w:space="0" w:color="auto"/>
        <w:bottom w:val="none" w:sz="0" w:space="0" w:color="auto"/>
        <w:right w:val="none" w:sz="0" w:space="0" w:color="auto"/>
      </w:divBdr>
    </w:div>
    <w:div w:id="652220952">
      <w:bodyDiv w:val="1"/>
      <w:marLeft w:val="0"/>
      <w:marRight w:val="0"/>
      <w:marTop w:val="0"/>
      <w:marBottom w:val="0"/>
      <w:divBdr>
        <w:top w:val="none" w:sz="0" w:space="0" w:color="auto"/>
        <w:left w:val="none" w:sz="0" w:space="0" w:color="auto"/>
        <w:bottom w:val="none" w:sz="0" w:space="0" w:color="auto"/>
        <w:right w:val="none" w:sz="0" w:space="0" w:color="auto"/>
      </w:divBdr>
    </w:div>
    <w:div w:id="669409783">
      <w:bodyDiv w:val="1"/>
      <w:marLeft w:val="0"/>
      <w:marRight w:val="0"/>
      <w:marTop w:val="0"/>
      <w:marBottom w:val="0"/>
      <w:divBdr>
        <w:top w:val="none" w:sz="0" w:space="0" w:color="auto"/>
        <w:left w:val="none" w:sz="0" w:space="0" w:color="auto"/>
        <w:bottom w:val="none" w:sz="0" w:space="0" w:color="auto"/>
        <w:right w:val="none" w:sz="0" w:space="0" w:color="auto"/>
      </w:divBdr>
    </w:div>
    <w:div w:id="829980137">
      <w:bodyDiv w:val="1"/>
      <w:marLeft w:val="0"/>
      <w:marRight w:val="0"/>
      <w:marTop w:val="0"/>
      <w:marBottom w:val="0"/>
      <w:divBdr>
        <w:top w:val="none" w:sz="0" w:space="0" w:color="auto"/>
        <w:left w:val="none" w:sz="0" w:space="0" w:color="auto"/>
        <w:bottom w:val="none" w:sz="0" w:space="0" w:color="auto"/>
        <w:right w:val="none" w:sz="0" w:space="0" w:color="auto"/>
      </w:divBdr>
    </w:div>
    <w:div w:id="919220858">
      <w:bodyDiv w:val="1"/>
      <w:marLeft w:val="0"/>
      <w:marRight w:val="0"/>
      <w:marTop w:val="0"/>
      <w:marBottom w:val="0"/>
      <w:divBdr>
        <w:top w:val="none" w:sz="0" w:space="0" w:color="auto"/>
        <w:left w:val="none" w:sz="0" w:space="0" w:color="auto"/>
        <w:bottom w:val="none" w:sz="0" w:space="0" w:color="auto"/>
        <w:right w:val="none" w:sz="0" w:space="0" w:color="auto"/>
      </w:divBdr>
    </w:div>
    <w:div w:id="1018124518">
      <w:bodyDiv w:val="1"/>
      <w:marLeft w:val="0"/>
      <w:marRight w:val="0"/>
      <w:marTop w:val="0"/>
      <w:marBottom w:val="0"/>
      <w:divBdr>
        <w:top w:val="none" w:sz="0" w:space="0" w:color="auto"/>
        <w:left w:val="none" w:sz="0" w:space="0" w:color="auto"/>
        <w:bottom w:val="none" w:sz="0" w:space="0" w:color="auto"/>
        <w:right w:val="none" w:sz="0" w:space="0" w:color="auto"/>
      </w:divBdr>
      <w:divsChild>
        <w:div w:id="1752118564">
          <w:marLeft w:val="0"/>
          <w:marRight w:val="0"/>
          <w:marTop w:val="0"/>
          <w:marBottom w:val="0"/>
          <w:divBdr>
            <w:top w:val="none" w:sz="0" w:space="0" w:color="auto"/>
            <w:left w:val="none" w:sz="0" w:space="0" w:color="auto"/>
            <w:bottom w:val="none" w:sz="0" w:space="0" w:color="auto"/>
            <w:right w:val="none" w:sz="0" w:space="0" w:color="auto"/>
          </w:divBdr>
          <w:divsChild>
            <w:div w:id="1405377772">
              <w:marLeft w:val="0"/>
              <w:marRight w:val="0"/>
              <w:marTop w:val="0"/>
              <w:marBottom w:val="0"/>
              <w:divBdr>
                <w:top w:val="none" w:sz="0" w:space="0" w:color="auto"/>
                <w:left w:val="none" w:sz="0" w:space="0" w:color="auto"/>
                <w:bottom w:val="none" w:sz="0" w:space="0" w:color="auto"/>
                <w:right w:val="none" w:sz="0" w:space="0" w:color="auto"/>
              </w:divBdr>
              <w:divsChild>
                <w:div w:id="100729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413504">
      <w:bodyDiv w:val="1"/>
      <w:marLeft w:val="0"/>
      <w:marRight w:val="0"/>
      <w:marTop w:val="0"/>
      <w:marBottom w:val="0"/>
      <w:divBdr>
        <w:top w:val="none" w:sz="0" w:space="0" w:color="auto"/>
        <w:left w:val="none" w:sz="0" w:space="0" w:color="auto"/>
        <w:bottom w:val="none" w:sz="0" w:space="0" w:color="auto"/>
        <w:right w:val="none" w:sz="0" w:space="0" w:color="auto"/>
      </w:divBdr>
      <w:divsChild>
        <w:div w:id="2055688222">
          <w:marLeft w:val="0"/>
          <w:marRight w:val="0"/>
          <w:marTop w:val="0"/>
          <w:marBottom w:val="0"/>
          <w:divBdr>
            <w:top w:val="none" w:sz="0" w:space="0" w:color="auto"/>
            <w:left w:val="none" w:sz="0" w:space="0" w:color="auto"/>
            <w:bottom w:val="none" w:sz="0" w:space="0" w:color="auto"/>
            <w:right w:val="none" w:sz="0" w:space="0" w:color="auto"/>
          </w:divBdr>
          <w:divsChild>
            <w:div w:id="1077216493">
              <w:marLeft w:val="0"/>
              <w:marRight w:val="0"/>
              <w:marTop w:val="0"/>
              <w:marBottom w:val="0"/>
              <w:divBdr>
                <w:top w:val="none" w:sz="0" w:space="0" w:color="auto"/>
                <w:left w:val="none" w:sz="0" w:space="0" w:color="auto"/>
                <w:bottom w:val="none" w:sz="0" w:space="0" w:color="auto"/>
                <w:right w:val="none" w:sz="0" w:space="0" w:color="auto"/>
              </w:divBdr>
              <w:divsChild>
                <w:div w:id="88101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912681">
      <w:bodyDiv w:val="1"/>
      <w:marLeft w:val="0"/>
      <w:marRight w:val="0"/>
      <w:marTop w:val="0"/>
      <w:marBottom w:val="0"/>
      <w:divBdr>
        <w:top w:val="none" w:sz="0" w:space="0" w:color="auto"/>
        <w:left w:val="none" w:sz="0" w:space="0" w:color="auto"/>
        <w:bottom w:val="none" w:sz="0" w:space="0" w:color="auto"/>
        <w:right w:val="none" w:sz="0" w:space="0" w:color="auto"/>
      </w:divBdr>
    </w:div>
    <w:div w:id="1158886468">
      <w:bodyDiv w:val="1"/>
      <w:marLeft w:val="0"/>
      <w:marRight w:val="0"/>
      <w:marTop w:val="0"/>
      <w:marBottom w:val="0"/>
      <w:divBdr>
        <w:top w:val="none" w:sz="0" w:space="0" w:color="auto"/>
        <w:left w:val="none" w:sz="0" w:space="0" w:color="auto"/>
        <w:bottom w:val="none" w:sz="0" w:space="0" w:color="auto"/>
        <w:right w:val="none" w:sz="0" w:space="0" w:color="auto"/>
      </w:divBdr>
    </w:div>
    <w:div w:id="1187672037">
      <w:bodyDiv w:val="1"/>
      <w:marLeft w:val="0"/>
      <w:marRight w:val="0"/>
      <w:marTop w:val="0"/>
      <w:marBottom w:val="0"/>
      <w:divBdr>
        <w:top w:val="none" w:sz="0" w:space="0" w:color="auto"/>
        <w:left w:val="none" w:sz="0" w:space="0" w:color="auto"/>
        <w:bottom w:val="none" w:sz="0" w:space="0" w:color="auto"/>
        <w:right w:val="none" w:sz="0" w:space="0" w:color="auto"/>
      </w:divBdr>
    </w:div>
    <w:div w:id="1207916307">
      <w:bodyDiv w:val="1"/>
      <w:marLeft w:val="0"/>
      <w:marRight w:val="0"/>
      <w:marTop w:val="0"/>
      <w:marBottom w:val="0"/>
      <w:divBdr>
        <w:top w:val="none" w:sz="0" w:space="0" w:color="auto"/>
        <w:left w:val="none" w:sz="0" w:space="0" w:color="auto"/>
        <w:bottom w:val="none" w:sz="0" w:space="0" w:color="auto"/>
        <w:right w:val="none" w:sz="0" w:space="0" w:color="auto"/>
      </w:divBdr>
    </w:div>
    <w:div w:id="1234051252">
      <w:bodyDiv w:val="1"/>
      <w:marLeft w:val="0"/>
      <w:marRight w:val="0"/>
      <w:marTop w:val="0"/>
      <w:marBottom w:val="0"/>
      <w:divBdr>
        <w:top w:val="none" w:sz="0" w:space="0" w:color="auto"/>
        <w:left w:val="none" w:sz="0" w:space="0" w:color="auto"/>
        <w:bottom w:val="none" w:sz="0" w:space="0" w:color="auto"/>
        <w:right w:val="none" w:sz="0" w:space="0" w:color="auto"/>
      </w:divBdr>
    </w:div>
    <w:div w:id="1327594245">
      <w:bodyDiv w:val="1"/>
      <w:marLeft w:val="0"/>
      <w:marRight w:val="0"/>
      <w:marTop w:val="0"/>
      <w:marBottom w:val="0"/>
      <w:divBdr>
        <w:top w:val="none" w:sz="0" w:space="0" w:color="auto"/>
        <w:left w:val="none" w:sz="0" w:space="0" w:color="auto"/>
        <w:bottom w:val="none" w:sz="0" w:space="0" w:color="auto"/>
        <w:right w:val="none" w:sz="0" w:space="0" w:color="auto"/>
      </w:divBdr>
    </w:div>
    <w:div w:id="1423531031">
      <w:bodyDiv w:val="1"/>
      <w:marLeft w:val="0"/>
      <w:marRight w:val="0"/>
      <w:marTop w:val="0"/>
      <w:marBottom w:val="0"/>
      <w:divBdr>
        <w:top w:val="none" w:sz="0" w:space="0" w:color="auto"/>
        <w:left w:val="none" w:sz="0" w:space="0" w:color="auto"/>
        <w:bottom w:val="none" w:sz="0" w:space="0" w:color="auto"/>
        <w:right w:val="none" w:sz="0" w:space="0" w:color="auto"/>
      </w:divBdr>
    </w:div>
    <w:div w:id="1453011605">
      <w:bodyDiv w:val="1"/>
      <w:marLeft w:val="0"/>
      <w:marRight w:val="0"/>
      <w:marTop w:val="0"/>
      <w:marBottom w:val="0"/>
      <w:divBdr>
        <w:top w:val="none" w:sz="0" w:space="0" w:color="auto"/>
        <w:left w:val="none" w:sz="0" w:space="0" w:color="auto"/>
        <w:bottom w:val="none" w:sz="0" w:space="0" w:color="auto"/>
        <w:right w:val="none" w:sz="0" w:space="0" w:color="auto"/>
      </w:divBdr>
      <w:divsChild>
        <w:div w:id="219902743">
          <w:marLeft w:val="0"/>
          <w:marRight w:val="0"/>
          <w:marTop w:val="0"/>
          <w:marBottom w:val="0"/>
          <w:divBdr>
            <w:top w:val="none" w:sz="0" w:space="0" w:color="auto"/>
            <w:left w:val="none" w:sz="0" w:space="0" w:color="auto"/>
            <w:bottom w:val="none" w:sz="0" w:space="0" w:color="auto"/>
            <w:right w:val="none" w:sz="0" w:space="0" w:color="auto"/>
          </w:divBdr>
          <w:divsChild>
            <w:div w:id="1216627410">
              <w:marLeft w:val="0"/>
              <w:marRight w:val="0"/>
              <w:marTop w:val="0"/>
              <w:marBottom w:val="0"/>
              <w:divBdr>
                <w:top w:val="none" w:sz="0" w:space="0" w:color="auto"/>
                <w:left w:val="none" w:sz="0" w:space="0" w:color="auto"/>
                <w:bottom w:val="none" w:sz="0" w:space="0" w:color="auto"/>
                <w:right w:val="none" w:sz="0" w:space="0" w:color="auto"/>
              </w:divBdr>
              <w:divsChild>
                <w:div w:id="51815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931471">
      <w:bodyDiv w:val="1"/>
      <w:marLeft w:val="0"/>
      <w:marRight w:val="0"/>
      <w:marTop w:val="0"/>
      <w:marBottom w:val="0"/>
      <w:divBdr>
        <w:top w:val="none" w:sz="0" w:space="0" w:color="auto"/>
        <w:left w:val="none" w:sz="0" w:space="0" w:color="auto"/>
        <w:bottom w:val="none" w:sz="0" w:space="0" w:color="auto"/>
        <w:right w:val="none" w:sz="0" w:space="0" w:color="auto"/>
      </w:divBdr>
    </w:div>
    <w:div w:id="1480147062">
      <w:bodyDiv w:val="1"/>
      <w:marLeft w:val="0"/>
      <w:marRight w:val="0"/>
      <w:marTop w:val="0"/>
      <w:marBottom w:val="0"/>
      <w:divBdr>
        <w:top w:val="none" w:sz="0" w:space="0" w:color="auto"/>
        <w:left w:val="none" w:sz="0" w:space="0" w:color="auto"/>
        <w:bottom w:val="none" w:sz="0" w:space="0" w:color="auto"/>
        <w:right w:val="none" w:sz="0" w:space="0" w:color="auto"/>
      </w:divBdr>
    </w:div>
    <w:div w:id="1503231851">
      <w:bodyDiv w:val="1"/>
      <w:marLeft w:val="0"/>
      <w:marRight w:val="0"/>
      <w:marTop w:val="0"/>
      <w:marBottom w:val="0"/>
      <w:divBdr>
        <w:top w:val="none" w:sz="0" w:space="0" w:color="auto"/>
        <w:left w:val="none" w:sz="0" w:space="0" w:color="auto"/>
        <w:bottom w:val="none" w:sz="0" w:space="0" w:color="auto"/>
        <w:right w:val="none" w:sz="0" w:space="0" w:color="auto"/>
      </w:divBdr>
      <w:divsChild>
        <w:div w:id="569270204">
          <w:marLeft w:val="0"/>
          <w:marRight w:val="0"/>
          <w:marTop w:val="0"/>
          <w:marBottom w:val="0"/>
          <w:divBdr>
            <w:top w:val="none" w:sz="0" w:space="0" w:color="auto"/>
            <w:left w:val="none" w:sz="0" w:space="0" w:color="auto"/>
            <w:bottom w:val="none" w:sz="0" w:space="0" w:color="auto"/>
            <w:right w:val="none" w:sz="0" w:space="0" w:color="auto"/>
          </w:divBdr>
          <w:divsChild>
            <w:div w:id="1492256265">
              <w:marLeft w:val="0"/>
              <w:marRight w:val="0"/>
              <w:marTop w:val="0"/>
              <w:marBottom w:val="0"/>
              <w:divBdr>
                <w:top w:val="none" w:sz="0" w:space="0" w:color="auto"/>
                <w:left w:val="none" w:sz="0" w:space="0" w:color="auto"/>
                <w:bottom w:val="none" w:sz="0" w:space="0" w:color="auto"/>
                <w:right w:val="none" w:sz="0" w:space="0" w:color="auto"/>
              </w:divBdr>
              <w:divsChild>
                <w:div w:id="134894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133675">
      <w:bodyDiv w:val="1"/>
      <w:marLeft w:val="0"/>
      <w:marRight w:val="0"/>
      <w:marTop w:val="0"/>
      <w:marBottom w:val="0"/>
      <w:divBdr>
        <w:top w:val="none" w:sz="0" w:space="0" w:color="auto"/>
        <w:left w:val="none" w:sz="0" w:space="0" w:color="auto"/>
        <w:bottom w:val="none" w:sz="0" w:space="0" w:color="auto"/>
        <w:right w:val="none" w:sz="0" w:space="0" w:color="auto"/>
      </w:divBdr>
    </w:div>
    <w:div w:id="1682588661">
      <w:bodyDiv w:val="1"/>
      <w:marLeft w:val="0"/>
      <w:marRight w:val="0"/>
      <w:marTop w:val="0"/>
      <w:marBottom w:val="0"/>
      <w:divBdr>
        <w:top w:val="none" w:sz="0" w:space="0" w:color="auto"/>
        <w:left w:val="none" w:sz="0" w:space="0" w:color="auto"/>
        <w:bottom w:val="none" w:sz="0" w:space="0" w:color="auto"/>
        <w:right w:val="none" w:sz="0" w:space="0" w:color="auto"/>
      </w:divBdr>
    </w:div>
    <w:div w:id="1819568787">
      <w:bodyDiv w:val="1"/>
      <w:marLeft w:val="0"/>
      <w:marRight w:val="0"/>
      <w:marTop w:val="0"/>
      <w:marBottom w:val="0"/>
      <w:divBdr>
        <w:top w:val="none" w:sz="0" w:space="0" w:color="auto"/>
        <w:left w:val="none" w:sz="0" w:space="0" w:color="auto"/>
        <w:bottom w:val="none" w:sz="0" w:space="0" w:color="auto"/>
        <w:right w:val="none" w:sz="0" w:space="0" w:color="auto"/>
      </w:divBdr>
      <w:divsChild>
        <w:div w:id="2122217717">
          <w:marLeft w:val="0"/>
          <w:marRight w:val="0"/>
          <w:marTop w:val="0"/>
          <w:marBottom w:val="0"/>
          <w:divBdr>
            <w:top w:val="none" w:sz="0" w:space="0" w:color="auto"/>
            <w:left w:val="none" w:sz="0" w:space="0" w:color="auto"/>
            <w:bottom w:val="none" w:sz="0" w:space="0" w:color="auto"/>
            <w:right w:val="none" w:sz="0" w:space="0" w:color="auto"/>
          </w:divBdr>
          <w:divsChild>
            <w:div w:id="306013564">
              <w:marLeft w:val="0"/>
              <w:marRight w:val="0"/>
              <w:marTop w:val="0"/>
              <w:marBottom w:val="0"/>
              <w:divBdr>
                <w:top w:val="none" w:sz="0" w:space="0" w:color="auto"/>
                <w:left w:val="none" w:sz="0" w:space="0" w:color="auto"/>
                <w:bottom w:val="none" w:sz="0" w:space="0" w:color="auto"/>
                <w:right w:val="none" w:sz="0" w:space="0" w:color="auto"/>
              </w:divBdr>
              <w:divsChild>
                <w:div w:id="82420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084775">
      <w:bodyDiv w:val="1"/>
      <w:marLeft w:val="0"/>
      <w:marRight w:val="0"/>
      <w:marTop w:val="0"/>
      <w:marBottom w:val="0"/>
      <w:divBdr>
        <w:top w:val="none" w:sz="0" w:space="0" w:color="auto"/>
        <w:left w:val="none" w:sz="0" w:space="0" w:color="auto"/>
        <w:bottom w:val="none" w:sz="0" w:space="0" w:color="auto"/>
        <w:right w:val="none" w:sz="0" w:space="0" w:color="auto"/>
      </w:divBdr>
      <w:divsChild>
        <w:div w:id="1086417527">
          <w:marLeft w:val="0"/>
          <w:marRight w:val="0"/>
          <w:marTop w:val="0"/>
          <w:marBottom w:val="0"/>
          <w:divBdr>
            <w:top w:val="none" w:sz="0" w:space="0" w:color="auto"/>
            <w:left w:val="none" w:sz="0" w:space="0" w:color="auto"/>
            <w:bottom w:val="none" w:sz="0" w:space="0" w:color="auto"/>
            <w:right w:val="none" w:sz="0" w:space="0" w:color="auto"/>
          </w:divBdr>
          <w:divsChild>
            <w:div w:id="2048066655">
              <w:marLeft w:val="0"/>
              <w:marRight w:val="0"/>
              <w:marTop w:val="0"/>
              <w:marBottom w:val="0"/>
              <w:divBdr>
                <w:top w:val="none" w:sz="0" w:space="0" w:color="auto"/>
                <w:left w:val="none" w:sz="0" w:space="0" w:color="auto"/>
                <w:bottom w:val="none" w:sz="0" w:space="0" w:color="auto"/>
                <w:right w:val="none" w:sz="0" w:space="0" w:color="auto"/>
              </w:divBdr>
              <w:divsChild>
                <w:div w:id="161042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379309">
      <w:bodyDiv w:val="1"/>
      <w:marLeft w:val="0"/>
      <w:marRight w:val="0"/>
      <w:marTop w:val="0"/>
      <w:marBottom w:val="0"/>
      <w:divBdr>
        <w:top w:val="none" w:sz="0" w:space="0" w:color="auto"/>
        <w:left w:val="none" w:sz="0" w:space="0" w:color="auto"/>
        <w:bottom w:val="none" w:sz="0" w:space="0" w:color="auto"/>
        <w:right w:val="none" w:sz="0" w:space="0" w:color="auto"/>
      </w:divBdr>
    </w:div>
    <w:div w:id="2012217951">
      <w:bodyDiv w:val="1"/>
      <w:marLeft w:val="0"/>
      <w:marRight w:val="0"/>
      <w:marTop w:val="0"/>
      <w:marBottom w:val="0"/>
      <w:divBdr>
        <w:top w:val="none" w:sz="0" w:space="0" w:color="auto"/>
        <w:left w:val="none" w:sz="0" w:space="0" w:color="auto"/>
        <w:bottom w:val="none" w:sz="0" w:space="0" w:color="auto"/>
        <w:right w:val="none" w:sz="0" w:space="0" w:color="auto"/>
      </w:divBdr>
      <w:divsChild>
        <w:div w:id="1275986227">
          <w:marLeft w:val="0"/>
          <w:marRight w:val="0"/>
          <w:marTop w:val="0"/>
          <w:marBottom w:val="0"/>
          <w:divBdr>
            <w:top w:val="none" w:sz="0" w:space="0" w:color="auto"/>
            <w:left w:val="none" w:sz="0" w:space="0" w:color="auto"/>
            <w:bottom w:val="none" w:sz="0" w:space="0" w:color="auto"/>
            <w:right w:val="none" w:sz="0" w:space="0" w:color="auto"/>
          </w:divBdr>
          <w:divsChild>
            <w:div w:id="382413442">
              <w:marLeft w:val="0"/>
              <w:marRight w:val="0"/>
              <w:marTop w:val="0"/>
              <w:marBottom w:val="0"/>
              <w:divBdr>
                <w:top w:val="none" w:sz="0" w:space="0" w:color="auto"/>
                <w:left w:val="none" w:sz="0" w:space="0" w:color="auto"/>
                <w:bottom w:val="none" w:sz="0" w:space="0" w:color="auto"/>
                <w:right w:val="none" w:sz="0" w:space="0" w:color="auto"/>
              </w:divBdr>
              <w:divsChild>
                <w:div w:id="210935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ber.org/system/files/working_papers/w27972/w27972.pdf" TargetMode="External"/><Relationship Id="rId13" Type="http://schemas.openxmlformats.org/officeDocument/2006/relationships/hyperlink" Target="https://assets.publishing.service.gov.uk/government/uploads/system/uploads/attachment_data/file/591903/CSE_Guidance_Core_Document_13.02.2017.pdf" TargetMode="External"/><Relationship Id="rId18" Type="http://schemas.openxmlformats.org/officeDocument/2006/relationships/hyperlink" Target="https://www.ons.gov.uk/peoplepopulationandcommunity/crimeandjustice/bulletins/crimeinenglandandwales/yearendingseptember20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ssets.college.police.uk/s3fs-public/2021-09/policing-and-health-collaboration-landscape-review-2021.pdf" TargetMode="External"/><Relationship Id="rId17" Type="http://schemas.openxmlformats.org/officeDocument/2006/relationships/hyperlink" Target="https://www.npcc.police.uk/Publication/NEW%20Policing%20Health%20and%20Social%20Care%20consensus%202018.pdf" TargetMode="External"/><Relationship Id="rId2" Type="http://schemas.openxmlformats.org/officeDocument/2006/relationships/numbering" Target="numbering.xml"/><Relationship Id="rId16" Type="http://schemas.openxmlformats.org/officeDocument/2006/relationships/hyperlink" Target="https://www.rotherham.gov.uk/downloads/file/1407/independent_inquiry_cse_in_rotherha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sets.college.police.uk/s3fs-public/2021-02/public-health-approaches.pdf" TargetMode="External"/><Relationship Id="rId5" Type="http://schemas.openxmlformats.org/officeDocument/2006/relationships/webSettings" Target="webSettings.xml"/><Relationship Id="rId15" Type="http://schemas.openxmlformats.org/officeDocument/2006/relationships/hyperlink" Target="https://www.gov.uk/government/news/home-secretary-announces-new-measures-to-tackle-serious-violence" TargetMode="External"/><Relationship Id="rId10" Type="http://schemas.openxmlformats.org/officeDocument/2006/relationships/hyperlink" Target="https://cdn.catch-22.org.uk/wp-content/uploads/2019/07/Catch-22-Brochure-Tackling-Crime-Together-LR-Single.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i.org/10.31234/osf.io/8e4pa" TargetMode="External"/><Relationship Id="rId14" Type="http://schemas.openxmlformats.org/officeDocument/2006/relationships/hyperlink" Target="https://www.gov.uk/government/news/pm-unveils-tough-new-measures-to-tackle-child-sexual-exploi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2AA978-FB6A-4E4B-9FEB-B38A01591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7883</Words>
  <Characters>44934</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Mythen, Gabe</dc:creator>
  <cp:keywords/>
  <dc:description/>
  <cp:lastModifiedBy>Mythen, Gabe</cp:lastModifiedBy>
  <cp:revision>2</cp:revision>
  <dcterms:created xsi:type="dcterms:W3CDTF">2023-06-28T13:34:00Z</dcterms:created>
  <dcterms:modified xsi:type="dcterms:W3CDTF">2023-06-28T13:34:00Z</dcterms:modified>
</cp:coreProperties>
</file>