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14C0" w14:textId="2BB23567" w:rsidR="007E2637" w:rsidRPr="00B46D18" w:rsidRDefault="002024CD" w:rsidP="004141E7">
      <w:pPr>
        <w:spacing w:after="0" w:line="480" w:lineRule="auto"/>
        <w:contextualSpacing/>
        <w:jc w:val="both"/>
        <w:rPr>
          <w:rFonts w:ascii="Times New Roman" w:hAnsi="Times New Roman" w:cs="Times New Roman"/>
          <w:b/>
          <w:sz w:val="36"/>
          <w:szCs w:val="36"/>
          <w:lang w:val="en-GB"/>
        </w:rPr>
      </w:pPr>
      <w:r w:rsidRPr="00B46D18">
        <w:rPr>
          <w:rFonts w:ascii="Times New Roman" w:hAnsi="Times New Roman" w:cs="Times New Roman"/>
          <w:b/>
          <w:sz w:val="36"/>
          <w:szCs w:val="36"/>
          <w:lang w:val="en-GB"/>
        </w:rPr>
        <w:t>Chapter One</w:t>
      </w:r>
    </w:p>
    <w:p w14:paraId="6EB78D67" w14:textId="77777777" w:rsidR="004141E7" w:rsidRPr="00B46D18" w:rsidRDefault="004141E7" w:rsidP="004141E7">
      <w:pPr>
        <w:spacing w:after="0" w:line="480" w:lineRule="auto"/>
        <w:contextualSpacing/>
        <w:jc w:val="both"/>
        <w:rPr>
          <w:rFonts w:ascii="Times New Roman" w:hAnsi="Times New Roman" w:cs="Times New Roman"/>
          <w:b/>
          <w:sz w:val="36"/>
          <w:szCs w:val="36"/>
          <w:lang w:val="en-GB"/>
        </w:rPr>
      </w:pPr>
    </w:p>
    <w:p w14:paraId="788EC963" w14:textId="149B9166" w:rsidR="00392367" w:rsidRPr="00B46D18" w:rsidRDefault="002024CD" w:rsidP="004141E7">
      <w:pPr>
        <w:spacing w:after="0" w:line="480" w:lineRule="auto"/>
        <w:contextualSpacing/>
        <w:jc w:val="both"/>
        <w:rPr>
          <w:rFonts w:ascii="Times New Roman" w:hAnsi="Times New Roman" w:cs="Times New Roman"/>
          <w:b/>
          <w:sz w:val="36"/>
          <w:szCs w:val="36"/>
          <w:lang w:val="en-GB"/>
        </w:rPr>
      </w:pPr>
      <w:r w:rsidRPr="00B46D18">
        <w:rPr>
          <w:rFonts w:ascii="Times New Roman" w:hAnsi="Times New Roman" w:cs="Times New Roman"/>
          <w:b/>
          <w:sz w:val="36"/>
          <w:szCs w:val="36"/>
          <w:lang w:val="en-GB"/>
        </w:rPr>
        <w:t>The Heath Premiership:</w:t>
      </w:r>
      <w:r w:rsidR="00304401" w:rsidRPr="00B46D18">
        <w:rPr>
          <w:rFonts w:ascii="Times New Roman" w:hAnsi="Times New Roman" w:cs="Times New Roman"/>
          <w:b/>
          <w:sz w:val="36"/>
          <w:szCs w:val="36"/>
          <w:lang w:val="en-GB"/>
        </w:rPr>
        <w:t xml:space="preserve"> </w:t>
      </w:r>
      <w:r w:rsidRPr="00B46D18">
        <w:rPr>
          <w:rFonts w:ascii="Times New Roman" w:hAnsi="Times New Roman" w:cs="Times New Roman"/>
          <w:b/>
          <w:sz w:val="36"/>
          <w:szCs w:val="36"/>
          <w:lang w:val="en-GB"/>
        </w:rPr>
        <w:t xml:space="preserve">Existing Academic Perspectives </w:t>
      </w:r>
    </w:p>
    <w:p w14:paraId="065C617F" w14:textId="77777777" w:rsidR="0022456C" w:rsidRPr="00B46D18" w:rsidRDefault="0022456C" w:rsidP="004141E7">
      <w:pPr>
        <w:spacing w:after="0" w:line="480" w:lineRule="auto"/>
        <w:contextualSpacing/>
        <w:jc w:val="both"/>
        <w:rPr>
          <w:rFonts w:ascii="Times New Roman" w:hAnsi="Times New Roman" w:cs="Times New Roman"/>
          <w:b/>
          <w:sz w:val="24"/>
          <w:szCs w:val="24"/>
          <w:lang w:val="en-GB"/>
        </w:rPr>
      </w:pPr>
    </w:p>
    <w:p w14:paraId="2B035AE4" w14:textId="4BF056BB" w:rsidR="00392367" w:rsidRPr="00B46D18" w:rsidRDefault="00392367" w:rsidP="004141E7">
      <w:pPr>
        <w:spacing w:after="0" w:line="480" w:lineRule="auto"/>
        <w:contextualSpacing/>
        <w:jc w:val="both"/>
        <w:rPr>
          <w:rFonts w:ascii="Times New Roman" w:hAnsi="Times New Roman" w:cs="Times New Roman"/>
          <w:bCs/>
          <w:i/>
          <w:iCs/>
          <w:sz w:val="24"/>
          <w:szCs w:val="24"/>
          <w:lang w:val="en-GB"/>
        </w:rPr>
      </w:pPr>
      <w:r w:rsidRPr="00B46D18">
        <w:rPr>
          <w:rFonts w:ascii="Times New Roman" w:hAnsi="Times New Roman" w:cs="Times New Roman"/>
          <w:bCs/>
          <w:i/>
          <w:iCs/>
          <w:sz w:val="24"/>
          <w:szCs w:val="24"/>
          <w:lang w:val="en-GB"/>
        </w:rPr>
        <w:t xml:space="preserve">Andrew Roe-Crines </w:t>
      </w:r>
      <w:r w:rsidR="00A67713" w:rsidRPr="00B46D18">
        <w:rPr>
          <w:rFonts w:ascii="Times New Roman" w:hAnsi="Times New Roman" w:cs="Times New Roman"/>
          <w:bCs/>
          <w:i/>
          <w:iCs/>
          <w:sz w:val="24"/>
          <w:szCs w:val="24"/>
          <w:lang w:val="en-GB"/>
        </w:rPr>
        <w:t>and Timothy Heppell</w:t>
      </w:r>
    </w:p>
    <w:p w14:paraId="35B5ABA9" w14:textId="15873263" w:rsidR="0022456C" w:rsidRPr="00B46D18" w:rsidRDefault="0022456C" w:rsidP="004141E7">
      <w:pPr>
        <w:spacing w:after="0" w:line="480" w:lineRule="auto"/>
        <w:contextualSpacing/>
        <w:jc w:val="both"/>
        <w:rPr>
          <w:rFonts w:ascii="Times New Roman" w:hAnsi="Times New Roman" w:cs="Times New Roman"/>
          <w:bCs/>
          <w:i/>
          <w:iCs/>
          <w:sz w:val="24"/>
          <w:szCs w:val="24"/>
          <w:lang w:val="en-GB"/>
        </w:rPr>
      </w:pPr>
    </w:p>
    <w:p w14:paraId="28355D3A" w14:textId="60D4B784" w:rsidR="00F82084" w:rsidRPr="00B46D18" w:rsidRDefault="00682892"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ab/>
        <w:t>In post-war British politics</w:t>
      </w:r>
      <w:r w:rsidR="004141E7" w:rsidRPr="00B46D18">
        <w:rPr>
          <w:rFonts w:ascii="Times New Roman" w:hAnsi="Times New Roman" w:cs="Times New Roman"/>
          <w:bCs/>
          <w:sz w:val="24"/>
          <w:szCs w:val="24"/>
          <w:lang w:val="en-GB"/>
        </w:rPr>
        <w:t>,</w:t>
      </w:r>
      <w:r w:rsidRPr="00B46D18">
        <w:rPr>
          <w:rFonts w:ascii="Times New Roman" w:hAnsi="Times New Roman" w:cs="Times New Roman"/>
          <w:bCs/>
          <w:sz w:val="24"/>
          <w:szCs w:val="24"/>
          <w:lang w:val="en-GB"/>
        </w:rPr>
        <w:t xml:space="preserve"> there have been four periods o</w:t>
      </w:r>
      <w:r w:rsidR="004141E7" w:rsidRPr="00B46D18">
        <w:rPr>
          <w:rFonts w:ascii="Times New Roman" w:hAnsi="Times New Roman" w:cs="Times New Roman"/>
          <w:bCs/>
          <w:sz w:val="24"/>
          <w:szCs w:val="24"/>
          <w:lang w:val="en-GB"/>
        </w:rPr>
        <w:t>f Labour Party governance –</w:t>
      </w:r>
      <w:r w:rsidRPr="00B46D18">
        <w:rPr>
          <w:rFonts w:ascii="Times New Roman" w:hAnsi="Times New Roman" w:cs="Times New Roman"/>
          <w:bCs/>
          <w:sz w:val="24"/>
          <w:szCs w:val="24"/>
          <w:lang w:val="en-GB"/>
        </w:rPr>
        <w:t xml:space="preserve"> 1945 to 1951 under the leadership of Clement Attlee; 1964 to 1970 under the leadership of Harold Wilson; 1974 to 1979 under the leadership of Wilson again and then James Callaghan; and the 1997 to 2010 period under the leadership of Tony Blair and Gordon Brown. There have also been four periods of Conservative governance</w:t>
      </w:r>
      <w:r w:rsidR="004141E7" w:rsidRPr="00B46D18">
        <w:rPr>
          <w:rFonts w:ascii="Times New Roman" w:hAnsi="Times New Roman" w:cs="Times New Roman"/>
          <w:bCs/>
          <w:sz w:val="24"/>
          <w:szCs w:val="24"/>
          <w:lang w:val="en-GB"/>
        </w:rPr>
        <w:t>,</w:t>
      </w:r>
      <w:r w:rsidRPr="00B46D18">
        <w:rPr>
          <w:rFonts w:ascii="Times New Roman" w:hAnsi="Times New Roman" w:cs="Times New Roman"/>
          <w:bCs/>
          <w:sz w:val="24"/>
          <w:szCs w:val="24"/>
          <w:lang w:val="en-GB"/>
        </w:rPr>
        <w:t xml:space="preserve"> and three of those periods hav</w:t>
      </w:r>
      <w:r w:rsidR="004141E7" w:rsidRPr="00B46D18">
        <w:rPr>
          <w:rFonts w:ascii="Times New Roman" w:hAnsi="Times New Roman" w:cs="Times New Roman"/>
          <w:bCs/>
          <w:sz w:val="24"/>
          <w:szCs w:val="24"/>
          <w:lang w:val="en-GB"/>
        </w:rPr>
        <w:t xml:space="preserve">e lasted a decade or more: </w:t>
      </w:r>
      <w:r w:rsidRPr="00B46D18">
        <w:rPr>
          <w:rFonts w:ascii="Times New Roman" w:hAnsi="Times New Roman" w:cs="Times New Roman"/>
          <w:bCs/>
          <w:sz w:val="24"/>
          <w:szCs w:val="24"/>
          <w:lang w:val="en-GB"/>
        </w:rPr>
        <w:t>1951 to 1964 under the leadership of Winston Churchill; Ant</w:t>
      </w:r>
      <w:r w:rsidR="002024CD" w:rsidRPr="00B46D18">
        <w:rPr>
          <w:rFonts w:ascii="Times New Roman" w:hAnsi="Times New Roman" w:cs="Times New Roman"/>
          <w:bCs/>
          <w:sz w:val="24"/>
          <w:szCs w:val="24"/>
          <w:lang w:val="en-GB"/>
        </w:rPr>
        <w:t>h</w:t>
      </w:r>
      <w:r w:rsidRPr="00B46D18">
        <w:rPr>
          <w:rFonts w:ascii="Times New Roman" w:hAnsi="Times New Roman" w:cs="Times New Roman"/>
          <w:bCs/>
          <w:sz w:val="24"/>
          <w:szCs w:val="24"/>
          <w:lang w:val="en-GB"/>
        </w:rPr>
        <w:t>ony Eden, Harold Macmillan and Alec Douglas-Home; 1979 to 1997 under the leadership of Margaret Thatcher and John Major</w:t>
      </w:r>
      <w:r w:rsidR="00E61EF5" w:rsidRPr="00B46D18">
        <w:rPr>
          <w:rFonts w:ascii="Times New Roman" w:hAnsi="Times New Roman" w:cs="Times New Roman"/>
          <w:bCs/>
          <w:sz w:val="24"/>
          <w:szCs w:val="24"/>
          <w:lang w:val="en-GB"/>
        </w:rPr>
        <w:t>; and the period since 2010 under the leadership of David Cameron, Theresa May and Boris Johnson. The f</w:t>
      </w:r>
      <w:r w:rsidR="002024CD" w:rsidRPr="00B46D18">
        <w:rPr>
          <w:rFonts w:ascii="Times New Roman" w:hAnsi="Times New Roman" w:cs="Times New Roman"/>
          <w:bCs/>
          <w:sz w:val="24"/>
          <w:szCs w:val="24"/>
          <w:lang w:val="en-GB"/>
        </w:rPr>
        <w:t>ourth</w:t>
      </w:r>
      <w:r w:rsidR="00E61EF5" w:rsidRPr="00B46D18">
        <w:rPr>
          <w:rFonts w:ascii="Times New Roman" w:hAnsi="Times New Roman" w:cs="Times New Roman"/>
          <w:bCs/>
          <w:sz w:val="24"/>
          <w:szCs w:val="24"/>
          <w:lang w:val="en-GB"/>
        </w:rPr>
        <w:t xml:space="preserve"> period of Conservative governance was the 1970 to 1974 </w:t>
      </w:r>
      <w:r w:rsidR="002024CD" w:rsidRPr="00B46D18">
        <w:rPr>
          <w:rFonts w:ascii="Times New Roman" w:hAnsi="Times New Roman" w:cs="Times New Roman"/>
          <w:bCs/>
          <w:sz w:val="24"/>
          <w:szCs w:val="24"/>
          <w:lang w:val="en-GB"/>
        </w:rPr>
        <w:t>premiership</w:t>
      </w:r>
      <w:r w:rsidR="00E61EF5" w:rsidRPr="00B46D18">
        <w:rPr>
          <w:rFonts w:ascii="Times New Roman" w:hAnsi="Times New Roman" w:cs="Times New Roman"/>
          <w:bCs/>
          <w:sz w:val="24"/>
          <w:szCs w:val="24"/>
          <w:lang w:val="en-GB"/>
        </w:rPr>
        <w:t xml:space="preserve"> led by Edward Heath and it hold</w:t>
      </w:r>
      <w:r w:rsidR="002024CD" w:rsidRPr="00B46D18">
        <w:rPr>
          <w:rFonts w:ascii="Times New Roman" w:hAnsi="Times New Roman" w:cs="Times New Roman"/>
          <w:bCs/>
          <w:sz w:val="24"/>
          <w:szCs w:val="24"/>
          <w:lang w:val="en-GB"/>
        </w:rPr>
        <w:t>s</w:t>
      </w:r>
      <w:r w:rsidR="00E61EF5" w:rsidRPr="00B46D18">
        <w:rPr>
          <w:rFonts w:ascii="Times New Roman" w:hAnsi="Times New Roman" w:cs="Times New Roman"/>
          <w:bCs/>
          <w:sz w:val="24"/>
          <w:szCs w:val="24"/>
          <w:lang w:val="en-GB"/>
        </w:rPr>
        <w:t xml:space="preserve"> an</w:t>
      </w:r>
      <w:r w:rsidR="004141E7" w:rsidRPr="00B46D18">
        <w:rPr>
          <w:rFonts w:ascii="Times New Roman" w:hAnsi="Times New Roman" w:cs="Times New Roman"/>
          <w:bCs/>
          <w:sz w:val="24"/>
          <w:szCs w:val="24"/>
          <w:lang w:val="en-GB"/>
        </w:rPr>
        <w:t xml:space="preserve"> unwarranted distinction – </w:t>
      </w:r>
      <w:r w:rsidR="00E61EF5" w:rsidRPr="00B46D18">
        <w:rPr>
          <w:rFonts w:ascii="Times New Roman" w:hAnsi="Times New Roman" w:cs="Times New Roman"/>
          <w:bCs/>
          <w:sz w:val="24"/>
          <w:szCs w:val="24"/>
          <w:lang w:val="en-GB"/>
        </w:rPr>
        <w:t xml:space="preserve">it is the only post-war </w:t>
      </w:r>
      <w:r w:rsidR="002024CD" w:rsidRPr="00B46D18">
        <w:rPr>
          <w:rFonts w:ascii="Times New Roman" w:hAnsi="Times New Roman" w:cs="Times New Roman"/>
          <w:bCs/>
          <w:sz w:val="24"/>
          <w:szCs w:val="24"/>
          <w:lang w:val="en-GB"/>
        </w:rPr>
        <w:t>premiership</w:t>
      </w:r>
      <w:r w:rsidR="00E61EF5" w:rsidRPr="00B46D18">
        <w:rPr>
          <w:rFonts w:ascii="Times New Roman" w:hAnsi="Times New Roman" w:cs="Times New Roman"/>
          <w:bCs/>
          <w:sz w:val="24"/>
          <w:szCs w:val="24"/>
          <w:lang w:val="en-GB"/>
        </w:rPr>
        <w:t xml:space="preserve"> to be removed by the voters at the first opportunity</w:t>
      </w:r>
      <w:r w:rsidR="002024CD" w:rsidRPr="00B46D18">
        <w:rPr>
          <w:rFonts w:ascii="Times New Roman" w:hAnsi="Times New Roman" w:cs="Times New Roman"/>
          <w:bCs/>
          <w:sz w:val="24"/>
          <w:szCs w:val="24"/>
          <w:lang w:val="en-GB"/>
        </w:rPr>
        <w:t>.</w:t>
      </w:r>
    </w:p>
    <w:p w14:paraId="5BE4B07B" w14:textId="6405410D" w:rsidR="001850AF" w:rsidRPr="00B46D18" w:rsidRDefault="002024CD"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A</w:t>
      </w:r>
      <w:r w:rsidR="00E61EF5" w:rsidRPr="00B46D18">
        <w:rPr>
          <w:rFonts w:ascii="Times New Roman" w:hAnsi="Times New Roman" w:cs="Times New Roman"/>
          <w:bCs/>
          <w:sz w:val="24"/>
          <w:szCs w:val="24"/>
          <w:lang w:val="en-GB"/>
        </w:rPr>
        <w:t>ll of the aforementioned eras involved some form of re-election</w:t>
      </w:r>
      <w:r w:rsidR="008C52FC" w:rsidRPr="00B46D18">
        <w:rPr>
          <w:rFonts w:ascii="Times New Roman" w:hAnsi="Times New Roman" w:cs="Times New Roman"/>
          <w:bCs/>
          <w:sz w:val="24"/>
          <w:szCs w:val="24"/>
          <w:lang w:val="en-GB"/>
        </w:rPr>
        <w:t xml:space="preserve"> for the governing party</w:t>
      </w:r>
      <w:r w:rsidR="00031726" w:rsidRPr="00B46D18">
        <w:rPr>
          <w:rFonts w:ascii="Times New Roman" w:hAnsi="Times New Roman" w:cs="Times New Roman"/>
          <w:bCs/>
          <w:sz w:val="24"/>
          <w:szCs w:val="24"/>
          <w:lang w:val="en-GB"/>
        </w:rPr>
        <w:t xml:space="preserve">. </w:t>
      </w:r>
      <w:r w:rsidR="00E61EF5" w:rsidRPr="00B46D18">
        <w:rPr>
          <w:rFonts w:ascii="Times New Roman" w:hAnsi="Times New Roman" w:cs="Times New Roman"/>
          <w:bCs/>
          <w:sz w:val="24"/>
          <w:szCs w:val="24"/>
          <w:lang w:val="en-GB"/>
        </w:rPr>
        <w:t xml:space="preserve">The Attlee </w:t>
      </w:r>
      <w:r w:rsidRPr="00B46D18">
        <w:rPr>
          <w:rFonts w:ascii="Times New Roman" w:hAnsi="Times New Roman" w:cs="Times New Roman"/>
          <w:bCs/>
          <w:sz w:val="24"/>
          <w:szCs w:val="24"/>
          <w:lang w:val="en-GB"/>
        </w:rPr>
        <w:t>premiership</w:t>
      </w:r>
      <w:r w:rsidR="00E61EF5" w:rsidRPr="00B46D18">
        <w:rPr>
          <w:rFonts w:ascii="Times New Roman" w:hAnsi="Times New Roman" w:cs="Times New Roman"/>
          <w:bCs/>
          <w:sz w:val="24"/>
          <w:szCs w:val="24"/>
          <w:lang w:val="en-GB"/>
        </w:rPr>
        <w:t xml:space="preserve"> that entered office in 1945 (majority 145) did secure re-election in 1950 (majority six) before losing office in 1951; the Wilson </w:t>
      </w:r>
      <w:r w:rsidRPr="00B46D18">
        <w:rPr>
          <w:rFonts w:ascii="Times New Roman" w:hAnsi="Times New Roman" w:cs="Times New Roman"/>
          <w:bCs/>
          <w:sz w:val="24"/>
          <w:szCs w:val="24"/>
          <w:lang w:val="en-GB"/>
        </w:rPr>
        <w:t>premiership</w:t>
      </w:r>
      <w:r w:rsidR="00E61EF5" w:rsidRPr="00B46D18">
        <w:rPr>
          <w:rFonts w:ascii="Times New Roman" w:hAnsi="Times New Roman" w:cs="Times New Roman"/>
          <w:bCs/>
          <w:sz w:val="24"/>
          <w:szCs w:val="24"/>
          <w:lang w:val="en-GB"/>
        </w:rPr>
        <w:t xml:space="preserve"> of 1964 (majority four) secured re-election in 1966 (majority 99) before being defeated in 1970; and the second Wilson era entered office as a minority </w:t>
      </w:r>
      <w:r w:rsidRPr="00B46D18">
        <w:rPr>
          <w:rFonts w:ascii="Times New Roman" w:hAnsi="Times New Roman" w:cs="Times New Roman"/>
          <w:bCs/>
          <w:sz w:val="24"/>
          <w:szCs w:val="24"/>
          <w:lang w:val="en-GB"/>
        </w:rPr>
        <w:t>premiership</w:t>
      </w:r>
      <w:r w:rsidR="00E61EF5" w:rsidRPr="00B46D18">
        <w:rPr>
          <w:rFonts w:ascii="Times New Roman" w:hAnsi="Times New Roman" w:cs="Times New Roman"/>
          <w:bCs/>
          <w:sz w:val="24"/>
          <w:szCs w:val="24"/>
          <w:lang w:val="en-GB"/>
        </w:rPr>
        <w:t xml:space="preserve"> in March 1974 and secured a small majority (of three) at the General Election of October 1974. </w:t>
      </w:r>
      <w:r w:rsidR="00031726" w:rsidRPr="00B46D18">
        <w:rPr>
          <w:rFonts w:ascii="Times New Roman" w:hAnsi="Times New Roman" w:cs="Times New Roman"/>
          <w:bCs/>
          <w:sz w:val="24"/>
          <w:szCs w:val="24"/>
          <w:lang w:val="en-GB"/>
        </w:rPr>
        <w:t>The Blair era would involve three successive election victories involving majorities of 179 (in 1997); 167 (in 2001) and 66 (in 2005). The three long serving eras of Conse</w:t>
      </w:r>
      <w:r w:rsidR="00D401CC">
        <w:rPr>
          <w:rFonts w:ascii="Times New Roman" w:hAnsi="Times New Roman" w:cs="Times New Roman"/>
          <w:bCs/>
          <w:sz w:val="24"/>
          <w:szCs w:val="24"/>
          <w:lang w:val="en-GB"/>
        </w:rPr>
        <w:t>rvative governance involved the party</w:t>
      </w:r>
      <w:r w:rsidR="00031726" w:rsidRPr="00B46D18">
        <w:rPr>
          <w:rFonts w:ascii="Times New Roman" w:hAnsi="Times New Roman" w:cs="Times New Roman"/>
          <w:bCs/>
          <w:sz w:val="24"/>
          <w:szCs w:val="24"/>
          <w:lang w:val="en-GB"/>
        </w:rPr>
        <w:t xml:space="preserve"> securing stronger parliamentary performances when seeking their first re-election. They re-entered office in 1951 with a parliamentary majority of 17 and their majority increased to 59 in 1955 (and increased again to 100 in 1959). </w:t>
      </w:r>
      <w:r w:rsidR="001850AF" w:rsidRPr="00B46D18">
        <w:rPr>
          <w:rFonts w:ascii="Times New Roman" w:hAnsi="Times New Roman" w:cs="Times New Roman"/>
          <w:bCs/>
          <w:sz w:val="24"/>
          <w:szCs w:val="24"/>
          <w:lang w:val="en-GB"/>
        </w:rPr>
        <w:t xml:space="preserve">The victory that the Conservatives secured at the General Election of 1979, with a majority of 44, was followed by three further victories – in 1983 with a majority of 144; in 1987 with a majority of 102; and then a majority of 21 in 1992. Their return to office in 2010 </w:t>
      </w:r>
      <w:r w:rsidR="001850AF" w:rsidRPr="00B46D18">
        <w:rPr>
          <w:rFonts w:ascii="Times New Roman" w:hAnsi="Times New Roman" w:cs="Times New Roman"/>
          <w:bCs/>
          <w:sz w:val="24"/>
          <w:szCs w:val="24"/>
          <w:lang w:val="en-GB"/>
        </w:rPr>
        <w:lastRenderedPageBreak/>
        <w:t>as a coalit</w:t>
      </w:r>
      <w:r w:rsidR="00D401CC">
        <w:rPr>
          <w:rFonts w:ascii="Times New Roman" w:hAnsi="Times New Roman" w:cs="Times New Roman"/>
          <w:bCs/>
          <w:sz w:val="24"/>
          <w:szCs w:val="24"/>
          <w:lang w:val="en-GB"/>
        </w:rPr>
        <w:t xml:space="preserve">ion with the Liberal Democrats </w:t>
      </w:r>
      <w:r w:rsidR="001850AF" w:rsidRPr="00B46D18">
        <w:rPr>
          <w:rFonts w:ascii="Times New Roman" w:hAnsi="Times New Roman" w:cs="Times New Roman"/>
          <w:bCs/>
          <w:sz w:val="24"/>
          <w:szCs w:val="24"/>
          <w:lang w:val="en-GB"/>
        </w:rPr>
        <w:t xml:space="preserve">was followed by three further General Elections in the next decade, all of which resulted in the Conservatives holding onto power – in 2015 they secured a majority of 12 under Cameron; in 2017 they failed to secure a majority but held onto office as a minority </w:t>
      </w:r>
      <w:r w:rsidRPr="00B46D18">
        <w:rPr>
          <w:rFonts w:ascii="Times New Roman" w:hAnsi="Times New Roman" w:cs="Times New Roman"/>
          <w:bCs/>
          <w:sz w:val="24"/>
          <w:szCs w:val="24"/>
          <w:lang w:val="en-GB"/>
        </w:rPr>
        <w:t>premiership</w:t>
      </w:r>
      <w:r w:rsidR="00D401CC">
        <w:rPr>
          <w:rFonts w:ascii="Times New Roman" w:hAnsi="Times New Roman" w:cs="Times New Roman"/>
          <w:bCs/>
          <w:sz w:val="24"/>
          <w:szCs w:val="24"/>
          <w:lang w:val="en-GB"/>
        </w:rPr>
        <w:t xml:space="preserve"> (under May); and finally they held a </w:t>
      </w:r>
      <w:r w:rsidR="001850AF" w:rsidRPr="007C437A">
        <w:rPr>
          <w:rFonts w:ascii="Times New Roman" w:hAnsi="Times New Roman" w:cs="Times New Roman"/>
          <w:bCs/>
          <w:sz w:val="24"/>
          <w:szCs w:val="24"/>
          <w:lang w:val="en-GB"/>
        </w:rPr>
        <w:t>majority of 80 under the leadership of Johnson in late 2019</w:t>
      </w:r>
      <w:r w:rsidR="00F82084" w:rsidRPr="007C437A">
        <w:rPr>
          <w:rFonts w:ascii="Times New Roman" w:hAnsi="Times New Roman" w:cs="Times New Roman"/>
          <w:bCs/>
          <w:sz w:val="24"/>
          <w:szCs w:val="24"/>
          <w:lang w:val="en-GB"/>
        </w:rPr>
        <w:t xml:space="preserve"> </w:t>
      </w:r>
      <w:r w:rsidR="00DB00A4" w:rsidRPr="007C437A">
        <w:rPr>
          <w:rFonts w:ascii="Times New Roman" w:hAnsi="Times New Roman" w:cs="Times New Roman"/>
          <w:bCs/>
          <w:sz w:val="24"/>
          <w:szCs w:val="24"/>
          <w:lang w:val="en-GB"/>
        </w:rPr>
        <w:t>(</w:t>
      </w:r>
      <w:r w:rsidR="00F82084" w:rsidRPr="007C437A">
        <w:rPr>
          <w:rFonts w:ascii="Times New Roman" w:hAnsi="Times New Roman" w:cs="Times New Roman"/>
          <w:bCs/>
          <w:sz w:val="24"/>
          <w:szCs w:val="24"/>
          <w:lang w:val="en-GB"/>
        </w:rPr>
        <w:t xml:space="preserve">see </w:t>
      </w:r>
      <w:r w:rsidR="00F82084" w:rsidRPr="007C437A">
        <w:rPr>
          <w:rFonts w:ascii="Times New Roman" w:hAnsi="Times New Roman" w:cs="Times New Roman"/>
          <w:iCs/>
          <w:sz w:val="24"/>
          <w:szCs w:val="24"/>
          <w:lang w:val="en-GB"/>
        </w:rPr>
        <w:t>Cowley and Kavanagh, 2018 and Ford and Jennings, 2020</w:t>
      </w:r>
      <w:r w:rsidR="00DB00A4" w:rsidRPr="007C437A">
        <w:rPr>
          <w:rFonts w:ascii="Times New Roman" w:hAnsi="Times New Roman" w:cs="Times New Roman"/>
          <w:iCs/>
          <w:sz w:val="24"/>
          <w:szCs w:val="24"/>
          <w:lang w:val="en-GB"/>
        </w:rPr>
        <w:t>)</w:t>
      </w:r>
      <w:r w:rsidR="00F82084" w:rsidRPr="007C437A">
        <w:rPr>
          <w:rFonts w:ascii="Times New Roman" w:hAnsi="Times New Roman" w:cs="Times New Roman"/>
          <w:bCs/>
          <w:sz w:val="24"/>
          <w:szCs w:val="24"/>
          <w:lang w:val="en-GB"/>
        </w:rPr>
        <w:t>.</w:t>
      </w:r>
    </w:p>
    <w:p w14:paraId="0D075965" w14:textId="3589378E" w:rsidR="00904860" w:rsidRPr="00B46D18" w:rsidRDefault="008C52FC"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What must have been distressing for Heath personally was the performance of the Conservatives whil</w:t>
      </w:r>
      <w:r w:rsidR="00DB00A4" w:rsidRPr="00B46D18">
        <w:rPr>
          <w:rFonts w:ascii="Times New Roman" w:hAnsi="Times New Roman" w:cs="Times New Roman"/>
          <w:bCs/>
          <w:sz w:val="24"/>
          <w:szCs w:val="24"/>
          <w:lang w:val="en-GB"/>
        </w:rPr>
        <w:t>e</w:t>
      </w:r>
      <w:r w:rsidRPr="00B46D18">
        <w:rPr>
          <w:rFonts w:ascii="Times New Roman" w:hAnsi="Times New Roman" w:cs="Times New Roman"/>
          <w:bCs/>
          <w:sz w:val="24"/>
          <w:szCs w:val="24"/>
          <w:lang w:val="en-GB"/>
        </w:rPr>
        <w:t xml:space="preserve"> he was their party leade</w:t>
      </w:r>
      <w:r w:rsidR="00F82084" w:rsidRPr="00B46D18">
        <w:rPr>
          <w:rFonts w:ascii="Times New Roman" w:hAnsi="Times New Roman" w:cs="Times New Roman"/>
          <w:bCs/>
          <w:sz w:val="24"/>
          <w:szCs w:val="24"/>
          <w:lang w:val="en-GB"/>
        </w:rPr>
        <w:t>r</w:t>
      </w:r>
      <w:r w:rsidR="00D401CC">
        <w:rPr>
          <w:rFonts w:ascii="Times New Roman" w:hAnsi="Times New Roman" w:cs="Times New Roman"/>
          <w:bCs/>
          <w:sz w:val="24"/>
          <w:szCs w:val="24"/>
          <w:lang w:val="en-GB"/>
        </w:rPr>
        <w:t>,</w:t>
      </w:r>
      <w:r w:rsidR="00F82084" w:rsidRPr="00B46D18">
        <w:rPr>
          <w:rFonts w:ascii="Times New Roman" w:hAnsi="Times New Roman" w:cs="Times New Roman"/>
          <w:bCs/>
          <w:sz w:val="24"/>
          <w:szCs w:val="24"/>
          <w:lang w:val="en-GB"/>
        </w:rPr>
        <w:t xml:space="preserve"> relative to their performances </w:t>
      </w:r>
      <w:r w:rsidR="00D401CC">
        <w:rPr>
          <w:rFonts w:ascii="Times New Roman" w:hAnsi="Times New Roman" w:cs="Times New Roman"/>
          <w:bCs/>
          <w:sz w:val="24"/>
          <w:szCs w:val="24"/>
          <w:lang w:val="en-GB"/>
        </w:rPr>
        <w:t>before and after</w:t>
      </w:r>
      <w:r w:rsidR="00F82084" w:rsidRPr="00B46D18">
        <w:rPr>
          <w:rFonts w:ascii="Times New Roman" w:hAnsi="Times New Roman" w:cs="Times New Roman"/>
          <w:bCs/>
          <w:sz w:val="24"/>
          <w:szCs w:val="24"/>
          <w:lang w:val="en-GB"/>
        </w:rPr>
        <w:t xml:space="preserve"> his party leadership tenure.</w:t>
      </w:r>
      <w:r w:rsidRPr="00B46D18">
        <w:rPr>
          <w:rFonts w:ascii="Times New Roman" w:hAnsi="Times New Roman" w:cs="Times New Roman"/>
          <w:bCs/>
          <w:sz w:val="24"/>
          <w:szCs w:val="24"/>
          <w:lang w:val="en-GB"/>
        </w:rPr>
        <w:t xml:space="preserve"> As table </w:t>
      </w:r>
      <w:r w:rsidR="00DB00A4" w:rsidRPr="00B46D18">
        <w:rPr>
          <w:rFonts w:ascii="Times New Roman" w:hAnsi="Times New Roman" w:cs="Times New Roman"/>
          <w:bCs/>
          <w:sz w:val="24"/>
          <w:szCs w:val="24"/>
          <w:lang w:val="en-GB"/>
        </w:rPr>
        <w:t>1.1</w:t>
      </w:r>
      <w:r w:rsidRPr="00B46D18">
        <w:rPr>
          <w:rFonts w:ascii="Times New Roman" w:hAnsi="Times New Roman" w:cs="Times New Roman"/>
          <w:bCs/>
          <w:sz w:val="24"/>
          <w:szCs w:val="24"/>
          <w:lang w:val="en-GB"/>
        </w:rPr>
        <w:t xml:space="preserve"> demonstrates, </w:t>
      </w:r>
      <w:r w:rsidR="00904860" w:rsidRPr="00B46D18">
        <w:rPr>
          <w:rFonts w:ascii="Times New Roman" w:hAnsi="Times New Roman" w:cs="Times New Roman"/>
          <w:bCs/>
          <w:sz w:val="24"/>
          <w:szCs w:val="24"/>
          <w:lang w:val="en-GB"/>
        </w:rPr>
        <w:t>he led the Conservatives into four successive General Elections between March 1966 and October 1974</w:t>
      </w:r>
      <w:r w:rsidR="007978B7" w:rsidRPr="00B46D18">
        <w:rPr>
          <w:rFonts w:ascii="Times New Roman" w:hAnsi="Times New Roman" w:cs="Times New Roman"/>
          <w:bCs/>
          <w:sz w:val="24"/>
          <w:szCs w:val="24"/>
          <w:lang w:val="en-GB"/>
        </w:rPr>
        <w:t>,</w:t>
      </w:r>
      <w:r w:rsidR="00904860" w:rsidRPr="00B46D18">
        <w:rPr>
          <w:rFonts w:ascii="Times New Roman" w:hAnsi="Times New Roman" w:cs="Times New Roman"/>
          <w:bCs/>
          <w:sz w:val="24"/>
          <w:szCs w:val="24"/>
          <w:lang w:val="en-GB"/>
        </w:rPr>
        <w:t xml:space="preserve"> and he led them to three defeats alongside one victory at the General Election of June 1970. The four General Elections prior to him being leader of the Conservative Party (1951 to 1964) involved them winning three out of four; and the four General Elections after he was leader of the Conservative Party involved them winning all four (1979 to 1992). The 1951 to 1959 era saw the Conservative vote base oscillate between 13.1 to 13.7 million</w:t>
      </w:r>
      <w:r w:rsidR="00F82084" w:rsidRPr="00B46D18">
        <w:rPr>
          <w:rFonts w:ascii="Times New Roman" w:hAnsi="Times New Roman" w:cs="Times New Roman"/>
          <w:bCs/>
          <w:sz w:val="24"/>
          <w:szCs w:val="24"/>
          <w:lang w:val="en-GB"/>
        </w:rPr>
        <w:t>. B</w:t>
      </w:r>
      <w:r w:rsidR="00904860" w:rsidRPr="00B46D18">
        <w:rPr>
          <w:rFonts w:ascii="Times New Roman" w:hAnsi="Times New Roman" w:cs="Times New Roman"/>
          <w:bCs/>
          <w:sz w:val="24"/>
          <w:szCs w:val="24"/>
          <w:lang w:val="en-GB"/>
        </w:rPr>
        <w:t>etween 1979 and 1992</w:t>
      </w:r>
      <w:r w:rsidR="00D401CC">
        <w:rPr>
          <w:rFonts w:ascii="Times New Roman" w:hAnsi="Times New Roman" w:cs="Times New Roman"/>
          <w:bCs/>
          <w:sz w:val="24"/>
          <w:szCs w:val="24"/>
          <w:lang w:val="en-GB"/>
        </w:rPr>
        <w:t>,</w:t>
      </w:r>
      <w:r w:rsidR="00904860" w:rsidRPr="00B46D18">
        <w:rPr>
          <w:rFonts w:ascii="Times New Roman" w:hAnsi="Times New Roman" w:cs="Times New Roman"/>
          <w:bCs/>
          <w:sz w:val="24"/>
          <w:szCs w:val="24"/>
          <w:lang w:val="en-GB"/>
        </w:rPr>
        <w:t xml:space="preserve"> their vote base peaked at 14.0 million (in 1992) and was at its lowest in 1983 on 13.0 million, when ironically they secured a landslide parliamentary majority of 144 caused by the nature of the fragmentation of the Labour (27 percent) and SDP/Liberal Alliance vote (25 percent) (Butler and Kavanagh, 1984). When the Conservatives lost power at the General Election of 1964</w:t>
      </w:r>
      <w:r w:rsidR="00D401CC">
        <w:rPr>
          <w:rFonts w:ascii="Times New Roman" w:hAnsi="Times New Roman" w:cs="Times New Roman"/>
          <w:bCs/>
          <w:sz w:val="24"/>
          <w:szCs w:val="24"/>
          <w:lang w:val="en-GB"/>
        </w:rPr>
        <w:t>,</w:t>
      </w:r>
      <w:r w:rsidR="00904860" w:rsidRPr="00B46D18">
        <w:rPr>
          <w:rFonts w:ascii="Times New Roman" w:hAnsi="Times New Roman" w:cs="Times New Roman"/>
          <w:bCs/>
          <w:sz w:val="24"/>
          <w:szCs w:val="24"/>
          <w:lang w:val="en-GB"/>
        </w:rPr>
        <w:t xml:space="preserve"> their vote fell to 12.0 million (down by 1.7 million from the 13.7 million secured five years earlier)</w:t>
      </w:r>
      <w:r w:rsidR="00D401CC">
        <w:rPr>
          <w:rFonts w:ascii="Times New Roman" w:hAnsi="Times New Roman" w:cs="Times New Roman"/>
          <w:bCs/>
          <w:sz w:val="24"/>
          <w:szCs w:val="24"/>
          <w:lang w:val="en-GB"/>
        </w:rPr>
        <w:t>,</w:t>
      </w:r>
      <w:r w:rsidR="00904860" w:rsidRPr="00B46D18">
        <w:rPr>
          <w:rFonts w:ascii="Times New Roman" w:hAnsi="Times New Roman" w:cs="Times New Roman"/>
          <w:bCs/>
          <w:sz w:val="24"/>
          <w:szCs w:val="24"/>
          <w:lang w:val="en-GB"/>
        </w:rPr>
        <w:t xml:space="preserve"> but that decline did occur at the end of a thirteen-year period in office. Their vote base when losing office in 1964 (at 12.0 million) was larger than the vote base that the Conservatives secured in February 1974 after only three and half years in office – 11.8 million – and the vote share in 1964 </w:t>
      </w:r>
      <w:r w:rsidR="005536A0" w:rsidRPr="00B46D18">
        <w:rPr>
          <w:rFonts w:ascii="Times New Roman" w:hAnsi="Times New Roman" w:cs="Times New Roman"/>
          <w:bCs/>
          <w:sz w:val="24"/>
          <w:szCs w:val="24"/>
          <w:lang w:val="en-GB"/>
        </w:rPr>
        <w:t xml:space="preserve">was significantly larger (at 43.4 percent) than the vote share in February 1974 (at 37.9 percent). That the electorate was </w:t>
      </w:r>
      <w:r w:rsidR="00D401CC" w:rsidRPr="00B46D18">
        <w:rPr>
          <w:rFonts w:ascii="Times New Roman" w:hAnsi="Times New Roman" w:cs="Times New Roman"/>
          <w:bCs/>
          <w:sz w:val="24"/>
          <w:szCs w:val="24"/>
          <w:lang w:val="en-GB"/>
        </w:rPr>
        <w:t>sceptical</w:t>
      </w:r>
      <w:r w:rsidR="005536A0" w:rsidRPr="00B46D18">
        <w:rPr>
          <w:rFonts w:ascii="Times New Roman" w:hAnsi="Times New Roman" w:cs="Times New Roman"/>
          <w:bCs/>
          <w:sz w:val="24"/>
          <w:szCs w:val="24"/>
          <w:lang w:val="en-GB"/>
        </w:rPr>
        <w:t xml:space="preserve"> of the merits of the Heath premiership was confirmed by their performance in the second General Election of 1974, when their vote share fell further (to 35.8 percent) </w:t>
      </w:r>
      <w:r w:rsidR="005536A0" w:rsidRPr="00E068C0">
        <w:rPr>
          <w:rFonts w:ascii="Times New Roman" w:hAnsi="Times New Roman" w:cs="Times New Roman"/>
          <w:bCs/>
          <w:sz w:val="24"/>
          <w:szCs w:val="24"/>
          <w:lang w:val="en-GB"/>
        </w:rPr>
        <w:t>at a vote base of 10.4 million (Butler and Kavanagh, 1974, 1975). Between the General Election of 1970 and</w:t>
      </w:r>
      <w:r w:rsidR="005536A0" w:rsidRPr="00B46D18">
        <w:rPr>
          <w:rFonts w:ascii="Times New Roman" w:hAnsi="Times New Roman" w:cs="Times New Roman"/>
          <w:bCs/>
          <w:sz w:val="24"/>
          <w:szCs w:val="24"/>
          <w:lang w:val="en-GB"/>
        </w:rPr>
        <w:t xml:space="preserve"> October 1974, the Conservatives lost 2.7 million votes and a vote share reduction of 10.6 percent</w:t>
      </w:r>
      <w:r w:rsidR="00D401CC">
        <w:rPr>
          <w:rFonts w:ascii="Times New Roman" w:hAnsi="Times New Roman" w:cs="Times New Roman"/>
          <w:bCs/>
          <w:sz w:val="24"/>
          <w:szCs w:val="24"/>
          <w:lang w:val="en-GB"/>
        </w:rPr>
        <w:t>. That was the Heath effect and,</w:t>
      </w:r>
      <w:r w:rsidR="005536A0" w:rsidRPr="00B46D18">
        <w:rPr>
          <w:rFonts w:ascii="Times New Roman" w:hAnsi="Times New Roman" w:cs="Times New Roman"/>
          <w:bCs/>
          <w:sz w:val="24"/>
          <w:szCs w:val="24"/>
          <w:lang w:val="en-GB"/>
        </w:rPr>
        <w:t xml:space="preserve"> much to his chagrin</w:t>
      </w:r>
      <w:r w:rsidR="00D401CC">
        <w:rPr>
          <w:rFonts w:ascii="Times New Roman" w:hAnsi="Times New Roman" w:cs="Times New Roman"/>
          <w:bCs/>
          <w:sz w:val="24"/>
          <w:szCs w:val="24"/>
          <w:lang w:val="en-GB"/>
        </w:rPr>
        <w:t>,</w:t>
      </w:r>
      <w:r w:rsidR="005536A0" w:rsidRPr="00B46D18">
        <w:rPr>
          <w:rFonts w:ascii="Times New Roman" w:hAnsi="Times New Roman" w:cs="Times New Roman"/>
          <w:bCs/>
          <w:sz w:val="24"/>
          <w:szCs w:val="24"/>
          <w:lang w:val="en-GB"/>
        </w:rPr>
        <w:t xml:space="preserve"> the Thatcher effect was just as pronounced but i</w:t>
      </w:r>
      <w:r w:rsidR="00D401CC">
        <w:rPr>
          <w:rFonts w:ascii="Times New Roman" w:hAnsi="Times New Roman" w:cs="Times New Roman"/>
          <w:bCs/>
          <w:sz w:val="24"/>
          <w:szCs w:val="24"/>
          <w:lang w:val="en-GB"/>
        </w:rPr>
        <w:t>n the opposite direction. B</w:t>
      </w:r>
      <w:r w:rsidR="005536A0" w:rsidRPr="00B46D18">
        <w:rPr>
          <w:rFonts w:ascii="Times New Roman" w:hAnsi="Times New Roman" w:cs="Times New Roman"/>
          <w:bCs/>
          <w:sz w:val="24"/>
          <w:szCs w:val="24"/>
          <w:lang w:val="en-GB"/>
        </w:rPr>
        <w:t>etween the October 1974 and May 1979 General Elections</w:t>
      </w:r>
      <w:r w:rsidR="00D401CC">
        <w:rPr>
          <w:rFonts w:ascii="Times New Roman" w:hAnsi="Times New Roman" w:cs="Times New Roman"/>
          <w:bCs/>
          <w:sz w:val="24"/>
          <w:szCs w:val="24"/>
          <w:lang w:val="en-GB"/>
        </w:rPr>
        <w:t>,</w:t>
      </w:r>
      <w:r w:rsidR="005536A0" w:rsidRPr="00B46D18">
        <w:rPr>
          <w:rFonts w:ascii="Times New Roman" w:hAnsi="Times New Roman" w:cs="Times New Roman"/>
          <w:bCs/>
          <w:sz w:val="24"/>
          <w:szCs w:val="24"/>
          <w:lang w:val="en-GB"/>
        </w:rPr>
        <w:t xml:space="preserve"> the Conservatives gained 3.2 million votes and </w:t>
      </w:r>
      <w:r w:rsidR="005536A0" w:rsidRPr="00E068C0">
        <w:rPr>
          <w:rFonts w:ascii="Times New Roman" w:hAnsi="Times New Roman" w:cs="Times New Roman"/>
          <w:bCs/>
          <w:sz w:val="24"/>
          <w:szCs w:val="24"/>
          <w:lang w:val="en-GB"/>
        </w:rPr>
        <w:t>increased their vote share by 7.9 percent (Butler and Kavanagh, 1980). That the Heath era seems a</w:t>
      </w:r>
      <w:r w:rsidR="001121D3" w:rsidRPr="00E068C0">
        <w:rPr>
          <w:rFonts w:ascii="Times New Roman" w:hAnsi="Times New Roman" w:cs="Times New Roman"/>
          <w:bCs/>
          <w:sz w:val="24"/>
          <w:szCs w:val="24"/>
          <w:lang w:val="en-GB"/>
        </w:rPr>
        <w:t xml:space="preserve"> failed era</w:t>
      </w:r>
      <w:r w:rsidR="005536A0" w:rsidRPr="00E068C0">
        <w:rPr>
          <w:rFonts w:ascii="Times New Roman" w:hAnsi="Times New Roman" w:cs="Times New Roman"/>
          <w:bCs/>
          <w:sz w:val="24"/>
          <w:szCs w:val="24"/>
          <w:lang w:val="en-GB"/>
        </w:rPr>
        <w:t xml:space="preserve"> for</w:t>
      </w:r>
      <w:r w:rsidR="005536A0" w:rsidRPr="00B46D18">
        <w:rPr>
          <w:rFonts w:ascii="Times New Roman" w:hAnsi="Times New Roman" w:cs="Times New Roman"/>
          <w:bCs/>
          <w:sz w:val="24"/>
          <w:szCs w:val="24"/>
          <w:lang w:val="en-GB"/>
        </w:rPr>
        <w:t xml:space="preserve"> </w:t>
      </w:r>
      <w:r w:rsidR="005536A0" w:rsidRPr="00B46D18">
        <w:rPr>
          <w:rFonts w:ascii="Times New Roman" w:hAnsi="Times New Roman" w:cs="Times New Roman"/>
          <w:bCs/>
          <w:sz w:val="24"/>
          <w:szCs w:val="24"/>
          <w:lang w:val="en-GB"/>
        </w:rPr>
        <w:lastRenderedPageBreak/>
        <w:t>the Conservatives – the so-called self-proclaimed party of government – is evident from the fact that the General Election victory of 2019 was their eight</w:t>
      </w:r>
      <w:r w:rsidR="00D401CC">
        <w:rPr>
          <w:rFonts w:ascii="Times New Roman" w:hAnsi="Times New Roman" w:cs="Times New Roman"/>
          <w:bCs/>
          <w:sz w:val="24"/>
          <w:szCs w:val="24"/>
          <w:lang w:val="en-GB"/>
        </w:rPr>
        <w:t>h General Election victory</w:t>
      </w:r>
      <w:r w:rsidR="005536A0" w:rsidRPr="00B46D18">
        <w:rPr>
          <w:rFonts w:ascii="Times New Roman" w:hAnsi="Times New Roman" w:cs="Times New Roman"/>
          <w:bCs/>
          <w:sz w:val="24"/>
          <w:szCs w:val="24"/>
          <w:lang w:val="en-GB"/>
        </w:rPr>
        <w:t xml:space="preserve"> out of eleven General Elections</w:t>
      </w:r>
      <w:r w:rsidR="00F82084" w:rsidRPr="00B46D18">
        <w:rPr>
          <w:rFonts w:ascii="Times New Roman" w:hAnsi="Times New Roman" w:cs="Times New Roman"/>
          <w:bCs/>
          <w:sz w:val="24"/>
          <w:szCs w:val="24"/>
          <w:lang w:val="en-GB"/>
        </w:rPr>
        <w:t xml:space="preserve"> since his era. </w:t>
      </w:r>
    </w:p>
    <w:p w14:paraId="7A9A6935" w14:textId="77777777" w:rsidR="00F82084" w:rsidRPr="00B46D18" w:rsidRDefault="00F82084" w:rsidP="004141E7">
      <w:pPr>
        <w:spacing w:after="0" w:line="480" w:lineRule="auto"/>
        <w:jc w:val="both"/>
        <w:rPr>
          <w:rFonts w:ascii="Times New Roman" w:hAnsi="Times New Roman" w:cs="Times New Roman"/>
          <w:b/>
          <w:sz w:val="24"/>
          <w:szCs w:val="24"/>
          <w:lang w:val="en-GB"/>
        </w:rPr>
      </w:pPr>
    </w:p>
    <w:p w14:paraId="2751B1E6" w14:textId="0C701215" w:rsidR="00D4046B" w:rsidRPr="00B46D18" w:rsidRDefault="00D4046B" w:rsidP="004141E7">
      <w:pPr>
        <w:spacing w:after="0" w:line="480" w:lineRule="auto"/>
        <w:jc w:val="both"/>
        <w:rPr>
          <w:rFonts w:ascii="Times New Roman" w:hAnsi="Times New Roman" w:cs="Times New Roman"/>
          <w:b/>
          <w:sz w:val="24"/>
          <w:szCs w:val="24"/>
          <w:lang w:val="en-GB"/>
        </w:rPr>
      </w:pPr>
      <w:r w:rsidRPr="00B46D18">
        <w:rPr>
          <w:rFonts w:ascii="Times New Roman" w:hAnsi="Times New Roman" w:cs="Times New Roman"/>
          <w:b/>
          <w:sz w:val="24"/>
          <w:szCs w:val="24"/>
          <w:lang w:val="en-GB"/>
        </w:rPr>
        <w:t xml:space="preserve">Table </w:t>
      </w:r>
      <w:r w:rsidR="004141E7" w:rsidRPr="00B46D18">
        <w:rPr>
          <w:rFonts w:ascii="Times New Roman" w:hAnsi="Times New Roman" w:cs="Times New Roman"/>
          <w:b/>
          <w:sz w:val="24"/>
          <w:szCs w:val="24"/>
          <w:lang w:val="en-GB"/>
        </w:rPr>
        <w:t>1.1</w:t>
      </w:r>
      <w:r w:rsidRPr="00B46D18">
        <w:rPr>
          <w:rFonts w:ascii="Times New Roman" w:hAnsi="Times New Roman" w:cs="Times New Roman"/>
          <w:b/>
          <w:sz w:val="24"/>
          <w:szCs w:val="24"/>
          <w:lang w:val="en-GB"/>
        </w:rPr>
        <w:t>:</w:t>
      </w:r>
    </w:p>
    <w:p w14:paraId="0422836C" w14:textId="77777777" w:rsidR="00D4046B" w:rsidRPr="00B46D18" w:rsidRDefault="00D4046B" w:rsidP="004141E7">
      <w:pPr>
        <w:spacing w:after="0" w:line="480" w:lineRule="auto"/>
        <w:jc w:val="both"/>
        <w:rPr>
          <w:rFonts w:ascii="Times New Roman" w:hAnsi="Times New Roman" w:cs="Times New Roman"/>
          <w:b/>
          <w:sz w:val="24"/>
          <w:szCs w:val="24"/>
          <w:lang w:val="en-GB"/>
        </w:rPr>
      </w:pPr>
    </w:p>
    <w:p w14:paraId="3B1888EC" w14:textId="3B42A905" w:rsidR="00D4046B" w:rsidRPr="00B46D18" w:rsidRDefault="00D4046B" w:rsidP="004141E7">
      <w:pPr>
        <w:spacing w:after="0" w:line="480" w:lineRule="auto"/>
        <w:jc w:val="both"/>
        <w:rPr>
          <w:rFonts w:ascii="Times New Roman" w:hAnsi="Times New Roman" w:cs="Times New Roman"/>
          <w:b/>
          <w:sz w:val="24"/>
          <w:szCs w:val="24"/>
          <w:lang w:val="en-GB"/>
        </w:rPr>
      </w:pPr>
      <w:r w:rsidRPr="00B46D18">
        <w:rPr>
          <w:rFonts w:ascii="Times New Roman" w:hAnsi="Times New Roman" w:cs="Times New Roman"/>
          <w:b/>
          <w:sz w:val="24"/>
          <w:szCs w:val="24"/>
          <w:lang w:val="en-GB"/>
        </w:rPr>
        <w:t xml:space="preserve">The Electoral Record of the Conservative Party </w:t>
      </w:r>
      <w:r w:rsidR="008C52FC" w:rsidRPr="00B46D18">
        <w:rPr>
          <w:rFonts w:ascii="Times New Roman" w:hAnsi="Times New Roman" w:cs="Times New Roman"/>
          <w:b/>
          <w:sz w:val="24"/>
          <w:szCs w:val="24"/>
          <w:lang w:val="en-GB"/>
        </w:rPr>
        <w:t>1945-2019</w:t>
      </w:r>
    </w:p>
    <w:p w14:paraId="13436552" w14:textId="77777777" w:rsidR="00D4046B" w:rsidRPr="00B46D18" w:rsidRDefault="00D4046B" w:rsidP="004141E7">
      <w:pPr>
        <w:spacing w:after="0" w:line="48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______________</w:t>
      </w:r>
      <w:r w:rsidRPr="00B46D18">
        <w:rPr>
          <w:rFonts w:ascii="Times New Roman" w:hAnsi="Times New Roman" w:cs="Times New Roman"/>
          <w:sz w:val="24"/>
          <w:szCs w:val="24"/>
          <w:lang w:val="en-GB"/>
        </w:rPr>
        <w:softHyphen/>
        <w:t>_____________________________________________________________</w:t>
      </w:r>
    </w:p>
    <w:p w14:paraId="1B92AE31" w14:textId="77777777" w:rsidR="00D4046B" w:rsidRPr="00B46D18" w:rsidRDefault="00D4046B" w:rsidP="004141E7">
      <w:pPr>
        <w:spacing w:after="0" w:line="240" w:lineRule="auto"/>
        <w:jc w:val="both"/>
        <w:rPr>
          <w:rFonts w:ascii="Times New Roman" w:hAnsi="Times New Roman" w:cs="Times New Roman"/>
          <w:sz w:val="24"/>
          <w:szCs w:val="24"/>
          <w:lang w:val="en-GB"/>
        </w:rPr>
      </w:pPr>
    </w:p>
    <w:p w14:paraId="65315881" w14:textId="77777777" w:rsidR="00D4046B" w:rsidRPr="00B46D18" w:rsidRDefault="00D4046B" w:rsidP="004141E7">
      <w:pPr>
        <w:pBdr>
          <w:bottom w:val="single" w:sz="12" w:space="1" w:color="auto"/>
        </w:pBd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Election</w:t>
      </w:r>
      <w:r w:rsidRPr="00B46D18">
        <w:rPr>
          <w:rFonts w:ascii="Times New Roman" w:hAnsi="Times New Roman" w:cs="Times New Roman"/>
          <w:sz w:val="24"/>
          <w:szCs w:val="24"/>
          <w:lang w:val="en-GB"/>
        </w:rPr>
        <w:tab/>
        <w:t>Elected           Percentage        Total</w:t>
      </w:r>
      <w:r w:rsidRPr="00B46D18">
        <w:rPr>
          <w:rFonts w:ascii="Times New Roman" w:hAnsi="Times New Roman" w:cs="Times New Roman"/>
          <w:sz w:val="24"/>
          <w:szCs w:val="24"/>
          <w:lang w:val="en-GB"/>
        </w:rPr>
        <w:tab/>
        <w:t xml:space="preserve">                      Government </w:t>
      </w:r>
    </w:p>
    <w:p w14:paraId="311D2A60" w14:textId="77777777" w:rsidR="00D4046B" w:rsidRPr="00B46D18" w:rsidRDefault="00D4046B" w:rsidP="004141E7">
      <w:pPr>
        <w:pBdr>
          <w:bottom w:val="single" w:sz="12" w:space="1" w:color="auto"/>
        </w:pBdr>
        <w:spacing w:after="0" w:line="240" w:lineRule="auto"/>
        <w:ind w:firstLine="720"/>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         Conservatives    Share of            Votes </w:t>
      </w:r>
      <w:r w:rsidRPr="00B46D18">
        <w:rPr>
          <w:rFonts w:ascii="Times New Roman" w:hAnsi="Times New Roman" w:cs="Times New Roman"/>
          <w:sz w:val="24"/>
          <w:szCs w:val="24"/>
          <w:lang w:val="en-GB"/>
        </w:rPr>
        <w:tab/>
        <w:t xml:space="preserve">                      and  </w:t>
      </w:r>
    </w:p>
    <w:p w14:paraId="46EF72BA" w14:textId="77777777" w:rsidR="00D4046B" w:rsidRPr="00B46D18" w:rsidRDefault="00D4046B" w:rsidP="004141E7">
      <w:pPr>
        <w:pBdr>
          <w:bottom w:val="single" w:sz="12" w:space="1" w:color="auto"/>
        </w:pBdr>
        <w:spacing w:after="0" w:line="240" w:lineRule="auto"/>
        <w:ind w:firstLine="720"/>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                                     Vote             </w:t>
      </w:r>
      <w:r w:rsidRPr="00B46D18">
        <w:rPr>
          <w:rFonts w:ascii="Times New Roman" w:hAnsi="Times New Roman" w:cs="Times New Roman"/>
          <w:sz w:val="24"/>
          <w:szCs w:val="24"/>
          <w:lang w:val="en-GB"/>
        </w:rPr>
        <w:tab/>
        <w:t xml:space="preserve"> Received                  Majority </w:t>
      </w:r>
    </w:p>
    <w:p w14:paraId="6B1118D8" w14:textId="77777777" w:rsidR="00D4046B" w:rsidRPr="00B46D18" w:rsidRDefault="00D4046B" w:rsidP="004141E7">
      <w:pPr>
        <w:pBdr>
          <w:bottom w:val="single" w:sz="12" w:space="1" w:color="auto"/>
        </w:pBd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___________________________________________________________________________</w:t>
      </w:r>
    </w:p>
    <w:p w14:paraId="6BC3D954" w14:textId="5C120371" w:rsidR="00904860" w:rsidRPr="00B46D18" w:rsidRDefault="00904860" w:rsidP="004141E7">
      <w:pPr>
        <w:spacing w:after="0" w:line="240" w:lineRule="auto"/>
        <w:jc w:val="both"/>
        <w:rPr>
          <w:rFonts w:ascii="Times New Roman" w:hAnsi="Times New Roman" w:cs="Times New Roman"/>
          <w:sz w:val="24"/>
          <w:szCs w:val="24"/>
          <w:lang w:val="en-GB"/>
        </w:rPr>
      </w:pPr>
    </w:p>
    <w:p w14:paraId="07C0BB25" w14:textId="0713B19E" w:rsidR="008C52FC" w:rsidRPr="00B46D18" w:rsidRDefault="008C52FC"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1945</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213</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39.8</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9, 577,667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 xml:space="preserve">Labour </w:t>
      </w:r>
      <w:r w:rsidR="00251DE2" w:rsidRPr="00B46D18">
        <w:rPr>
          <w:rFonts w:ascii="Times New Roman" w:hAnsi="Times New Roman" w:cs="Times New Roman"/>
          <w:sz w:val="24"/>
          <w:szCs w:val="24"/>
          <w:lang w:val="en-GB"/>
        </w:rPr>
        <w:tab/>
        <w:t>146</w:t>
      </w:r>
    </w:p>
    <w:p w14:paraId="0A806C65" w14:textId="13782D1F" w:rsidR="008C52FC" w:rsidRPr="00B46D18" w:rsidRDefault="008C52FC"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1950</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299</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43.5</w:t>
      </w:r>
      <w:r w:rsidR="00251DE2" w:rsidRPr="00B46D18">
        <w:rPr>
          <w:rFonts w:ascii="Times New Roman" w:hAnsi="Times New Roman" w:cs="Times New Roman"/>
          <w:sz w:val="24"/>
          <w:szCs w:val="24"/>
          <w:lang w:val="en-GB"/>
        </w:rPr>
        <w:tab/>
        <w:t xml:space="preserve">          12, 502,567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Labour</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5</w:t>
      </w:r>
      <w:r w:rsidR="00251DE2" w:rsidRPr="00B46D18">
        <w:rPr>
          <w:rFonts w:ascii="Times New Roman" w:hAnsi="Times New Roman" w:cs="Times New Roman"/>
          <w:sz w:val="24"/>
          <w:szCs w:val="24"/>
          <w:lang w:val="en-GB"/>
        </w:rPr>
        <w:tab/>
      </w:r>
    </w:p>
    <w:p w14:paraId="2FE14149" w14:textId="47454AF8"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1951</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321</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48.0</w:t>
      </w:r>
      <w:r w:rsidRPr="00B46D18">
        <w:rPr>
          <w:rFonts w:ascii="Times New Roman" w:hAnsi="Times New Roman" w:cs="Times New Roman"/>
          <w:sz w:val="24"/>
          <w:szCs w:val="24"/>
          <w:lang w:val="en-GB"/>
        </w:rPr>
        <w:tab/>
        <w:t xml:space="preserve">          13, 717,538</w:t>
      </w:r>
      <w:r w:rsidRPr="00B46D18">
        <w:rPr>
          <w:rFonts w:ascii="Times New Roman" w:hAnsi="Times New Roman" w:cs="Times New Roman"/>
          <w:sz w:val="24"/>
          <w:szCs w:val="24"/>
          <w:lang w:val="en-GB"/>
        </w:rPr>
        <w:tab/>
        <w:t xml:space="preserve">    </w:t>
      </w:r>
      <w:r w:rsidRPr="00B46D18">
        <w:rPr>
          <w:rFonts w:ascii="Times New Roman" w:hAnsi="Times New Roman" w:cs="Times New Roman"/>
          <w:sz w:val="24"/>
          <w:szCs w:val="24"/>
          <w:lang w:val="en-GB"/>
        </w:rPr>
        <w:tab/>
        <w:t>Conservative</w:t>
      </w:r>
      <w:r w:rsidR="008C52FC"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17</w:t>
      </w:r>
    </w:p>
    <w:p w14:paraId="6F924F9B" w14:textId="1E423266"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1955</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345</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49.7</w:t>
      </w:r>
      <w:r w:rsidRPr="00B46D18">
        <w:rPr>
          <w:rFonts w:ascii="Times New Roman" w:hAnsi="Times New Roman" w:cs="Times New Roman"/>
          <w:sz w:val="24"/>
          <w:szCs w:val="24"/>
          <w:lang w:val="en-GB"/>
        </w:rPr>
        <w:tab/>
        <w:t xml:space="preserve">          13, 311,936     </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 xml:space="preserve">Conservative </w:t>
      </w:r>
      <w:r w:rsidR="008C52FC" w:rsidRPr="00B46D18">
        <w:rPr>
          <w:rFonts w:ascii="Times New Roman" w:hAnsi="Times New Roman" w:cs="Times New Roman"/>
          <w:sz w:val="24"/>
          <w:szCs w:val="24"/>
          <w:lang w:val="en-GB"/>
        </w:rPr>
        <w:tab/>
        <w:t>5</w:t>
      </w:r>
      <w:r w:rsidRPr="00B46D18">
        <w:rPr>
          <w:rFonts w:ascii="Times New Roman" w:hAnsi="Times New Roman" w:cs="Times New Roman"/>
          <w:sz w:val="24"/>
          <w:szCs w:val="24"/>
          <w:lang w:val="en-GB"/>
        </w:rPr>
        <w:t>9</w:t>
      </w:r>
    </w:p>
    <w:p w14:paraId="5B04CF17" w14:textId="6C94361D"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1959</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365</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49.4               13, 749,830</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Conservative 100</w:t>
      </w:r>
    </w:p>
    <w:p w14:paraId="628980D7" w14:textId="0467B0FE"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1964</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304</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43.4</w:t>
      </w:r>
      <w:r w:rsidRPr="00B46D18">
        <w:rPr>
          <w:rFonts w:ascii="Times New Roman" w:hAnsi="Times New Roman" w:cs="Times New Roman"/>
          <w:sz w:val="24"/>
          <w:szCs w:val="24"/>
          <w:lang w:val="en-GB"/>
        </w:rPr>
        <w:tab/>
        <w:t xml:space="preserve">          12, 001,396           </w:t>
      </w:r>
      <w:r w:rsidRPr="00B46D18">
        <w:rPr>
          <w:rFonts w:ascii="Times New Roman" w:hAnsi="Times New Roman" w:cs="Times New Roman"/>
          <w:sz w:val="24"/>
          <w:szCs w:val="24"/>
          <w:lang w:val="en-GB"/>
        </w:rPr>
        <w:tab/>
        <w:t xml:space="preserve">Labour    </w:t>
      </w:r>
      <w:r w:rsidR="008C52FC" w:rsidRPr="00B46D18">
        <w:rPr>
          <w:rFonts w:ascii="Times New Roman" w:hAnsi="Times New Roman" w:cs="Times New Roman"/>
          <w:sz w:val="24"/>
          <w:szCs w:val="24"/>
          <w:lang w:val="en-GB"/>
        </w:rPr>
        <w:tab/>
        <w:t xml:space="preserve"> </w:t>
      </w:r>
      <w:r w:rsidRPr="00B46D18">
        <w:rPr>
          <w:rFonts w:ascii="Times New Roman" w:hAnsi="Times New Roman" w:cs="Times New Roman"/>
          <w:sz w:val="24"/>
          <w:szCs w:val="24"/>
          <w:lang w:val="en-GB"/>
        </w:rPr>
        <w:t>4</w:t>
      </w:r>
    </w:p>
    <w:p w14:paraId="571C6248" w14:textId="7FD305A1" w:rsidR="00BB4477" w:rsidRPr="00B46D18" w:rsidRDefault="00BB4477" w:rsidP="004141E7">
      <w:pPr>
        <w:spacing w:after="0" w:line="240" w:lineRule="auto"/>
        <w:jc w:val="both"/>
        <w:rPr>
          <w:rFonts w:ascii="Times New Roman" w:hAnsi="Times New Roman" w:cs="Times New Roman"/>
          <w:sz w:val="24"/>
          <w:szCs w:val="24"/>
          <w:lang w:val="en-GB"/>
        </w:rPr>
      </w:pPr>
    </w:p>
    <w:p w14:paraId="5D8BF489" w14:textId="1B66B0FF" w:rsidR="00BB4477" w:rsidRPr="00B46D18" w:rsidRDefault="00BB4477"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Heath Era</w:t>
      </w:r>
    </w:p>
    <w:p w14:paraId="04F68182" w14:textId="77777777" w:rsidR="00BB4477" w:rsidRPr="00B46D18" w:rsidRDefault="00BB4477" w:rsidP="004141E7">
      <w:pPr>
        <w:spacing w:after="0" w:line="240" w:lineRule="auto"/>
        <w:jc w:val="both"/>
        <w:rPr>
          <w:rFonts w:ascii="Times New Roman" w:hAnsi="Times New Roman" w:cs="Times New Roman"/>
          <w:sz w:val="24"/>
          <w:szCs w:val="24"/>
          <w:lang w:val="en-GB"/>
        </w:rPr>
      </w:pPr>
    </w:p>
    <w:p w14:paraId="2500AC0A" w14:textId="7085C67B"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1966</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253</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41.9</w:t>
      </w:r>
      <w:r w:rsidRPr="00B46D18">
        <w:rPr>
          <w:rFonts w:ascii="Times New Roman" w:hAnsi="Times New Roman" w:cs="Times New Roman"/>
          <w:sz w:val="24"/>
          <w:szCs w:val="24"/>
          <w:lang w:val="en-GB"/>
        </w:rPr>
        <w:tab/>
        <w:t xml:space="preserve">          11, 418,433</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 xml:space="preserve">Labour </w:t>
      </w:r>
      <w:r w:rsidRPr="00B46D18">
        <w:rPr>
          <w:rFonts w:ascii="Times New Roman" w:hAnsi="Times New Roman" w:cs="Times New Roman"/>
          <w:sz w:val="24"/>
          <w:szCs w:val="24"/>
          <w:lang w:val="en-GB"/>
        </w:rPr>
        <w:tab/>
        <w:t xml:space="preserve"> 97</w:t>
      </w:r>
    </w:p>
    <w:p w14:paraId="25D4C6A3" w14:textId="0F59AFEB" w:rsidR="00D4046B" w:rsidRPr="00B46D18" w:rsidRDefault="00D4046B" w:rsidP="004141E7">
      <w:pPr>
        <w:spacing w:after="0" w:line="240" w:lineRule="auto"/>
        <w:jc w:val="both"/>
        <w:rPr>
          <w:rFonts w:ascii="Times New Roman" w:hAnsi="Times New Roman" w:cs="Times New Roman"/>
          <w:b/>
          <w:bCs/>
          <w:sz w:val="24"/>
          <w:szCs w:val="24"/>
          <w:lang w:val="en-GB"/>
        </w:rPr>
      </w:pPr>
      <w:r w:rsidRPr="00B46D18">
        <w:rPr>
          <w:rFonts w:ascii="Times New Roman" w:hAnsi="Times New Roman" w:cs="Times New Roman"/>
          <w:b/>
          <w:bCs/>
          <w:sz w:val="24"/>
          <w:szCs w:val="24"/>
          <w:lang w:val="en-GB"/>
        </w:rPr>
        <w:t>1970</w:t>
      </w:r>
      <w:r w:rsidRPr="00B46D18">
        <w:rPr>
          <w:rFonts w:ascii="Times New Roman" w:hAnsi="Times New Roman" w:cs="Times New Roman"/>
          <w:b/>
          <w:bCs/>
          <w:sz w:val="24"/>
          <w:szCs w:val="24"/>
          <w:lang w:val="en-GB"/>
        </w:rPr>
        <w:tab/>
      </w:r>
      <w:r w:rsidRPr="00B46D18">
        <w:rPr>
          <w:rFonts w:ascii="Times New Roman" w:hAnsi="Times New Roman" w:cs="Times New Roman"/>
          <w:b/>
          <w:bCs/>
          <w:sz w:val="24"/>
          <w:szCs w:val="24"/>
          <w:lang w:val="en-GB"/>
        </w:rPr>
        <w:tab/>
        <w:t>330</w:t>
      </w:r>
      <w:r w:rsidRPr="00B46D18">
        <w:rPr>
          <w:rFonts w:ascii="Times New Roman" w:hAnsi="Times New Roman" w:cs="Times New Roman"/>
          <w:b/>
          <w:bCs/>
          <w:sz w:val="24"/>
          <w:szCs w:val="24"/>
          <w:lang w:val="en-GB"/>
        </w:rPr>
        <w:tab/>
      </w:r>
      <w:r w:rsidRPr="00B46D18">
        <w:rPr>
          <w:rFonts w:ascii="Times New Roman" w:hAnsi="Times New Roman" w:cs="Times New Roman"/>
          <w:b/>
          <w:bCs/>
          <w:sz w:val="24"/>
          <w:szCs w:val="24"/>
          <w:lang w:val="en-GB"/>
        </w:rPr>
        <w:tab/>
        <w:t>46.4</w:t>
      </w:r>
      <w:r w:rsidRPr="00B46D18">
        <w:rPr>
          <w:rFonts w:ascii="Times New Roman" w:hAnsi="Times New Roman" w:cs="Times New Roman"/>
          <w:b/>
          <w:bCs/>
          <w:sz w:val="24"/>
          <w:szCs w:val="24"/>
          <w:lang w:val="en-GB"/>
        </w:rPr>
        <w:tab/>
        <w:t xml:space="preserve">          13, 145,123</w:t>
      </w:r>
      <w:r w:rsidRPr="00B46D18">
        <w:rPr>
          <w:rFonts w:ascii="Times New Roman" w:hAnsi="Times New Roman" w:cs="Times New Roman"/>
          <w:b/>
          <w:bCs/>
          <w:sz w:val="24"/>
          <w:szCs w:val="24"/>
          <w:lang w:val="en-GB"/>
        </w:rPr>
        <w:tab/>
      </w:r>
      <w:r w:rsidRPr="00B46D18">
        <w:rPr>
          <w:rFonts w:ascii="Times New Roman" w:hAnsi="Times New Roman" w:cs="Times New Roman"/>
          <w:b/>
          <w:bCs/>
          <w:sz w:val="24"/>
          <w:szCs w:val="24"/>
          <w:lang w:val="en-GB"/>
        </w:rPr>
        <w:tab/>
        <w:t xml:space="preserve">Conservative  </w:t>
      </w:r>
      <w:r w:rsidR="00251DE2" w:rsidRPr="00B46D18">
        <w:rPr>
          <w:rFonts w:ascii="Times New Roman" w:hAnsi="Times New Roman" w:cs="Times New Roman"/>
          <w:b/>
          <w:bCs/>
          <w:sz w:val="24"/>
          <w:szCs w:val="24"/>
          <w:lang w:val="en-GB"/>
        </w:rPr>
        <w:t xml:space="preserve"> </w:t>
      </w:r>
      <w:r w:rsidRPr="00B46D18">
        <w:rPr>
          <w:rFonts w:ascii="Times New Roman" w:hAnsi="Times New Roman" w:cs="Times New Roman"/>
          <w:b/>
          <w:bCs/>
          <w:sz w:val="24"/>
          <w:szCs w:val="24"/>
          <w:lang w:val="en-GB"/>
        </w:rPr>
        <w:t>31</w:t>
      </w:r>
    </w:p>
    <w:p w14:paraId="6ED52E3C" w14:textId="7EBE7228" w:rsidR="00D4046B" w:rsidRPr="00B46D18" w:rsidRDefault="00D4046B" w:rsidP="004141E7">
      <w:pPr>
        <w:spacing w:after="0" w:line="240" w:lineRule="auto"/>
        <w:jc w:val="both"/>
        <w:rPr>
          <w:rFonts w:ascii="Times New Roman" w:hAnsi="Times New Roman" w:cs="Times New Roman"/>
          <w:b/>
          <w:bCs/>
          <w:sz w:val="24"/>
          <w:szCs w:val="24"/>
          <w:lang w:val="en-GB"/>
        </w:rPr>
      </w:pPr>
      <w:r w:rsidRPr="00B46D18">
        <w:rPr>
          <w:rFonts w:ascii="Times New Roman" w:hAnsi="Times New Roman" w:cs="Times New Roman"/>
          <w:b/>
          <w:bCs/>
          <w:sz w:val="24"/>
          <w:szCs w:val="24"/>
          <w:lang w:val="en-GB"/>
        </w:rPr>
        <w:t>1974 F</w:t>
      </w:r>
      <w:r w:rsidRPr="00B46D18">
        <w:rPr>
          <w:rFonts w:ascii="Times New Roman" w:hAnsi="Times New Roman" w:cs="Times New Roman"/>
          <w:b/>
          <w:bCs/>
          <w:sz w:val="24"/>
          <w:szCs w:val="24"/>
          <w:lang w:val="en-GB"/>
        </w:rPr>
        <w:tab/>
      </w:r>
      <w:r w:rsidRPr="00B46D18">
        <w:rPr>
          <w:rFonts w:ascii="Times New Roman" w:hAnsi="Times New Roman" w:cs="Times New Roman"/>
          <w:b/>
          <w:bCs/>
          <w:sz w:val="24"/>
          <w:szCs w:val="24"/>
          <w:lang w:val="en-GB"/>
        </w:rPr>
        <w:tab/>
        <w:t>297</w:t>
      </w:r>
      <w:r w:rsidRPr="00B46D18">
        <w:rPr>
          <w:rFonts w:ascii="Times New Roman" w:hAnsi="Times New Roman" w:cs="Times New Roman"/>
          <w:b/>
          <w:bCs/>
          <w:sz w:val="24"/>
          <w:szCs w:val="24"/>
          <w:lang w:val="en-GB"/>
        </w:rPr>
        <w:tab/>
      </w:r>
      <w:r w:rsidRPr="00B46D18">
        <w:rPr>
          <w:rFonts w:ascii="Times New Roman" w:hAnsi="Times New Roman" w:cs="Times New Roman"/>
          <w:b/>
          <w:bCs/>
          <w:sz w:val="24"/>
          <w:szCs w:val="24"/>
          <w:lang w:val="en-GB"/>
        </w:rPr>
        <w:tab/>
        <w:t>37.9</w:t>
      </w:r>
      <w:r w:rsidRPr="00B46D18">
        <w:rPr>
          <w:rFonts w:ascii="Times New Roman" w:hAnsi="Times New Roman" w:cs="Times New Roman"/>
          <w:b/>
          <w:bCs/>
          <w:sz w:val="24"/>
          <w:szCs w:val="24"/>
          <w:lang w:val="en-GB"/>
        </w:rPr>
        <w:tab/>
        <w:t xml:space="preserve">          11, 872,180</w:t>
      </w:r>
      <w:r w:rsidRPr="00B46D18">
        <w:rPr>
          <w:rFonts w:ascii="Times New Roman" w:hAnsi="Times New Roman" w:cs="Times New Roman"/>
          <w:b/>
          <w:bCs/>
          <w:sz w:val="24"/>
          <w:szCs w:val="24"/>
          <w:lang w:val="en-GB"/>
        </w:rPr>
        <w:tab/>
      </w:r>
      <w:r w:rsidRPr="00B46D18">
        <w:rPr>
          <w:rFonts w:ascii="Times New Roman" w:hAnsi="Times New Roman" w:cs="Times New Roman"/>
          <w:b/>
          <w:bCs/>
          <w:sz w:val="24"/>
          <w:szCs w:val="24"/>
          <w:lang w:val="en-GB"/>
        </w:rPr>
        <w:tab/>
        <w:t>Labour         Minority</w:t>
      </w:r>
    </w:p>
    <w:p w14:paraId="035B9788" w14:textId="77777777"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1974 O</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277</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35.8</w:t>
      </w:r>
      <w:r w:rsidRPr="00B46D18">
        <w:rPr>
          <w:rFonts w:ascii="Times New Roman" w:hAnsi="Times New Roman" w:cs="Times New Roman"/>
          <w:sz w:val="24"/>
          <w:szCs w:val="24"/>
          <w:lang w:val="en-GB"/>
        </w:rPr>
        <w:tab/>
        <w:t xml:space="preserve">          10, 464,817</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Labour                3</w:t>
      </w:r>
    </w:p>
    <w:p w14:paraId="5E4A1B9B" w14:textId="7CB9FDBE" w:rsidR="00BB4477" w:rsidRPr="00B46D18" w:rsidRDefault="00BB4477" w:rsidP="004141E7">
      <w:pPr>
        <w:spacing w:after="0" w:line="240" w:lineRule="auto"/>
        <w:jc w:val="both"/>
        <w:rPr>
          <w:rFonts w:ascii="Times New Roman" w:hAnsi="Times New Roman" w:cs="Times New Roman"/>
          <w:sz w:val="24"/>
          <w:szCs w:val="24"/>
          <w:lang w:val="en-GB"/>
        </w:rPr>
      </w:pPr>
    </w:p>
    <w:p w14:paraId="7030A26C" w14:textId="41225CAC"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1979</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339</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43.9</w:t>
      </w:r>
      <w:r w:rsidRPr="00B46D18">
        <w:rPr>
          <w:rFonts w:ascii="Times New Roman" w:hAnsi="Times New Roman" w:cs="Times New Roman"/>
          <w:sz w:val="24"/>
          <w:szCs w:val="24"/>
          <w:lang w:val="en-GB"/>
        </w:rPr>
        <w:tab/>
        <w:t xml:space="preserve">          13, 697,923</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Conservative    44</w:t>
      </w:r>
    </w:p>
    <w:p w14:paraId="14D3F3DC" w14:textId="6B2E53AD"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1983</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397</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42.4</w:t>
      </w:r>
      <w:r w:rsidRPr="00B46D18">
        <w:rPr>
          <w:rFonts w:ascii="Times New Roman" w:hAnsi="Times New Roman" w:cs="Times New Roman"/>
          <w:sz w:val="24"/>
          <w:szCs w:val="24"/>
          <w:lang w:val="en-GB"/>
        </w:rPr>
        <w:tab/>
        <w:t xml:space="preserve">          13, 012,315</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 xml:space="preserve">Conservative </w:t>
      </w:r>
      <w:r w:rsidRPr="00B46D18">
        <w:rPr>
          <w:rFonts w:ascii="Times New Roman" w:hAnsi="Times New Roman" w:cs="Times New Roman"/>
          <w:sz w:val="24"/>
          <w:szCs w:val="24"/>
          <w:lang w:val="en-GB"/>
        </w:rPr>
        <w:tab/>
        <w:t>144</w:t>
      </w:r>
    </w:p>
    <w:p w14:paraId="223F04AF" w14:textId="6B4D0A75"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1987</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376</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42.3</w:t>
      </w:r>
      <w:r w:rsidRPr="00B46D18">
        <w:rPr>
          <w:rFonts w:ascii="Times New Roman" w:hAnsi="Times New Roman" w:cs="Times New Roman"/>
          <w:sz w:val="24"/>
          <w:szCs w:val="24"/>
          <w:lang w:val="en-GB"/>
        </w:rPr>
        <w:tab/>
        <w:t xml:space="preserve">          13, 763,066 </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 xml:space="preserve">Conservative </w:t>
      </w:r>
      <w:r w:rsidRPr="00B46D18">
        <w:rPr>
          <w:rFonts w:ascii="Times New Roman" w:hAnsi="Times New Roman" w:cs="Times New Roman"/>
          <w:sz w:val="24"/>
          <w:szCs w:val="24"/>
          <w:lang w:val="en-GB"/>
        </w:rPr>
        <w:tab/>
        <w:t>101</w:t>
      </w:r>
    </w:p>
    <w:p w14:paraId="66A3652B" w14:textId="1130F7AA" w:rsidR="00D4046B" w:rsidRPr="00B46D18" w:rsidRDefault="00D4046B"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1992</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336</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41.9</w:t>
      </w:r>
      <w:r w:rsidRPr="00B46D18">
        <w:rPr>
          <w:rFonts w:ascii="Times New Roman" w:hAnsi="Times New Roman" w:cs="Times New Roman"/>
          <w:sz w:val="24"/>
          <w:szCs w:val="24"/>
          <w:lang w:val="en-GB"/>
        </w:rPr>
        <w:tab/>
        <w:t xml:space="preserve">          14, 092,891</w:t>
      </w:r>
      <w:r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ab/>
        <w:t>Conservative</w:t>
      </w:r>
      <w:r w:rsidR="00251DE2" w:rsidRPr="00B46D18">
        <w:rPr>
          <w:rFonts w:ascii="Times New Roman" w:hAnsi="Times New Roman" w:cs="Times New Roman"/>
          <w:sz w:val="24"/>
          <w:szCs w:val="24"/>
          <w:lang w:val="en-GB"/>
        </w:rPr>
        <w:tab/>
      </w:r>
      <w:r w:rsidRPr="00B46D18">
        <w:rPr>
          <w:rFonts w:ascii="Times New Roman" w:hAnsi="Times New Roman" w:cs="Times New Roman"/>
          <w:sz w:val="24"/>
          <w:szCs w:val="24"/>
          <w:lang w:val="en-GB"/>
        </w:rPr>
        <w:t xml:space="preserve"> 21</w:t>
      </w:r>
    </w:p>
    <w:p w14:paraId="77A8603E" w14:textId="5A2A307E"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1997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165</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30.7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9, 602,957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 xml:space="preserve">Labour </w:t>
      </w:r>
      <w:r w:rsidR="00251DE2" w:rsidRPr="00B46D18">
        <w:rPr>
          <w:rFonts w:ascii="Times New Roman" w:hAnsi="Times New Roman" w:cs="Times New Roman"/>
          <w:sz w:val="24"/>
          <w:szCs w:val="24"/>
          <w:lang w:val="en-GB"/>
        </w:rPr>
        <w:tab/>
        <w:t>179</w:t>
      </w:r>
    </w:p>
    <w:p w14:paraId="16FF3E37" w14:textId="3A344880"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2001</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166</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31.8</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8, 357,622</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Labour</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167</w:t>
      </w:r>
    </w:p>
    <w:p w14:paraId="17BD788F" w14:textId="7D29FAE7"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2005</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198</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32.4</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8, 772,473</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Labour</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66</w:t>
      </w:r>
    </w:p>
    <w:p w14:paraId="256C8258" w14:textId="32BECAB9"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2010</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307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36.1</w:t>
      </w:r>
      <w:r w:rsidR="00251DE2" w:rsidRPr="00B46D18">
        <w:rPr>
          <w:rFonts w:ascii="Times New Roman" w:hAnsi="Times New Roman" w:cs="Times New Roman"/>
          <w:sz w:val="24"/>
          <w:szCs w:val="24"/>
          <w:lang w:val="en-GB"/>
        </w:rPr>
        <w:tab/>
        <w:t xml:space="preserve">          10, 726,555</w:t>
      </w:r>
      <w:r w:rsidR="00251DE2" w:rsidRPr="00B46D18">
        <w:rPr>
          <w:rFonts w:ascii="Times New Roman" w:hAnsi="Times New Roman" w:cs="Times New Roman"/>
          <w:sz w:val="24"/>
          <w:szCs w:val="24"/>
          <w:lang w:val="en-GB"/>
        </w:rPr>
        <w:tab/>
        <w:t xml:space="preserve">Conservative-Lib Dem Coalition </w:t>
      </w:r>
    </w:p>
    <w:p w14:paraId="43F6FAB4" w14:textId="2681E545"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2015</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330</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36.9</w:t>
      </w:r>
      <w:r w:rsidR="00251DE2" w:rsidRPr="00B46D18">
        <w:rPr>
          <w:rFonts w:ascii="Times New Roman" w:hAnsi="Times New Roman" w:cs="Times New Roman"/>
          <w:sz w:val="24"/>
          <w:szCs w:val="24"/>
          <w:lang w:val="en-GB"/>
        </w:rPr>
        <w:tab/>
        <w:t xml:space="preserve">          11, 334,226</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 xml:space="preserve">Conservative </w:t>
      </w:r>
      <w:r w:rsidR="00251DE2" w:rsidRPr="00B46D18">
        <w:rPr>
          <w:rFonts w:ascii="Times New Roman" w:hAnsi="Times New Roman" w:cs="Times New Roman"/>
          <w:sz w:val="24"/>
          <w:szCs w:val="24"/>
          <w:lang w:val="en-GB"/>
        </w:rPr>
        <w:tab/>
        <w:t>12</w:t>
      </w:r>
    </w:p>
    <w:p w14:paraId="081A97F0" w14:textId="4B963632"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2017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317</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42.4</w:t>
      </w:r>
      <w:r w:rsidR="00251DE2" w:rsidRPr="00B46D18">
        <w:rPr>
          <w:rFonts w:ascii="Times New Roman" w:hAnsi="Times New Roman" w:cs="Times New Roman"/>
          <w:sz w:val="24"/>
          <w:szCs w:val="24"/>
          <w:lang w:val="en-GB"/>
        </w:rPr>
        <w:tab/>
        <w:t xml:space="preserve">          13, 636,684</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 xml:space="preserve">Conservative </w:t>
      </w:r>
      <w:r w:rsidR="00251DE2" w:rsidRPr="00B46D18">
        <w:rPr>
          <w:rFonts w:ascii="Times New Roman" w:hAnsi="Times New Roman" w:cs="Times New Roman"/>
          <w:sz w:val="24"/>
          <w:szCs w:val="24"/>
          <w:lang w:val="en-GB"/>
        </w:rPr>
        <w:tab/>
        <w:t>Minority</w:t>
      </w:r>
    </w:p>
    <w:p w14:paraId="3574D396" w14:textId="0F51C304" w:rsidR="00904860" w:rsidRPr="00B46D18" w:rsidRDefault="00904860" w:rsidP="004141E7">
      <w:pPr>
        <w:spacing w:after="0" w:line="24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2019 </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t>365</w:t>
      </w:r>
      <w:r w:rsidR="00A96CC7" w:rsidRPr="00B46D18">
        <w:rPr>
          <w:rFonts w:ascii="Times New Roman" w:hAnsi="Times New Roman" w:cs="Times New Roman"/>
          <w:sz w:val="24"/>
          <w:szCs w:val="24"/>
          <w:lang w:val="en-GB"/>
        </w:rPr>
        <w:tab/>
      </w:r>
      <w:r w:rsidR="00A96CC7" w:rsidRPr="00B46D18">
        <w:rPr>
          <w:rFonts w:ascii="Times New Roman" w:hAnsi="Times New Roman" w:cs="Times New Roman"/>
          <w:sz w:val="24"/>
          <w:szCs w:val="24"/>
          <w:lang w:val="en-GB"/>
        </w:rPr>
        <w:tab/>
        <w:t>43.6</w:t>
      </w:r>
      <w:r w:rsidR="00A96CC7" w:rsidRPr="00B46D18">
        <w:rPr>
          <w:rFonts w:ascii="Times New Roman" w:hAnsi="Times New Roman" w:cs="Times New Roman"/>
          <w:sz w:val="24"/>
          <w:szCs w:val="24"/>
          <w:lang w:val="en-GB"/>
        </w:rPr>
        <w:tab/>
        <w:t xml:space="preserve">          13, 966,565 </w:t>
      </w:r>
      <w:r w:rsidR="00A96CC7" w:rsidRPr="00B46D18">
        <w:rPr>
          <w:rFonts w:ascii="Times New Roman" w:hAnsi="Times New Roman" w:cs="Times New Roman"/>
          <w:sz w:val="24"/>
          <w:szCs w:val="24"/>
          <w:lang w:val="en-GB"/>
        </w:rPr>
        <w:tab/>
      </w:r>
      <w:r w:rsidR="00A96CC7" w:rsidRPr="00B46D18">
        <w:rPr>
          <w:rFonts w:ascii="Times New Roman" w:hAnsi="Times New Roman" w:cs="Times New Roman"/>
          <w:sz w:val="24"/>
          <w:szCs w:val="24"/>
          <w:lang w:val="en-GB"/>
        </w:rPr>
        <w:tab/>
        <w:t>Conservative</w:t>
      </w:r>
      <w:r w:rsidR="00A96CC7" w:rsidRPr="00B46D18">
        <w:rPr>
          <w:rFonts w:ascii="Times New Roman" w:hAnsi="Times New Roman" w:cs="Times New Roman"/>
          <w:sz w:val="24"/>
          <w:szCs w:val="24"/>
          <w:lang w:val="en-GB"/>
        </w:rPr>
        <w:tab/>
        <w:t>80</w:t>
      </w:r>
      <w:r w:rsidR="00251DE2" w:rsidRPr="00B46D18">
        <w:rPr>
          <w:rFonts w:ascii="Times New Roman" w:hAnsi="Times New Roman" w:cs="Times New Roman"/>
          <w:sz w:val="24"/>
          <w:szCs w:val="24"/>
          <w:lang w:val="en-GB"/>
        </w:rPr>
        <w:tab/>
      </w:r>
      <w:r w:rsidR="00251DE2" w:rsidRPr="00B46D18">
        <w:rPr>
          <w:rFonts w:ascii="Times New Roman" w:hAnsi="Times New Roman" w:cs="Times New Roman"/>
          <w:sz w:val="24"/>
          <w:szCs w:val="24"/>
          <w:lang w:val="en-GB"/>
        </w:rPr>
        <w:tab/>
      </w:r>
    </w:p>
    <w:p w14:paraId="256D1A49" w14:textId="77777777" w:rsidR="00D4046B" w:rsidRPr="00B46D18" w:rsidRDefault="00D4046B" w:rsidP="004141E7">
      <w:pPr>
        <w:spacing w:after="0" w:line="240" w:lineRule="auto"/>
        <w:jc w:val="both"/>
        <w:rPr>
          <w:rFonts w:ascii="Times New Roman" w:hAnsi="Times New Roman" w:cs="Times New Roman"/>
          <w:sz w:val="24"/>
          <w:szCs w:val="24"/>
          <w:u w:val="single"/>
          <w:lang w:val="en-GB"/>
        </w:rPr>
      </w:pP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r w:rsidRPr="00B46D18">
        <w:rPr>
          <w:rFonts w:ascii="Times New Roman" w:hAnsi="Times New Roman" w:cs="Times New Roman"/>
          <w:sz w:val="24"/>
          <w:szCs w:val="24"/>
          <w:u w:val="single"/>
          <w:lang w:val="en-GB"/>
        </w:rPr>
        <w:tab/>
      </w:r>
    </w:p>
    <w:p w14:paraId="65961911" w14:textId="77777777" w:rsidR="00D4046B" w:rsidRPr="00B46D18" w:rsidRDefault="00D4046B" w:rsidP="004141E7">
      <w:pPr>
        <w:spacing w:after="0" w:line="240" w:lineRule="auto"/>
        <w:jc w:val="both"/>
        <w:rPr>
          <w:rFonts w:ascii="Times New Roman" w:hAnsi="Times New Roman" w:cs="Times New Roman"/>
          <w:sz w:val="24"/>
          <w:szCs w:val="24"/>
          <w:u w:val="single"/>
          <w:lang w:val="en-GB"/>
        </w:rPr>
      </w:pPr>
      <w:r w:rsidRPr="00B46D18">
        <w:rPr>
          <w:rFonts w:ascii="Times New Roman" w:hAnsi="Times New Roman" w:cs="Times New Roman"/>
          <w:sz w:val="24"/>
          <w:szCs w:val="24"/>
          <w:lang w:val="en-GB"/>
        </w:rPr>
        <w:tab/>
      </w:r>
    </w:p>
    <w:p w14:paraId="2BBAB1C2" w14:textId="39F1F0BA" w:rsidR="00A96CC7" w:rsidRPr="00B46D18" w:rsidRDefault="00D4046B" w:rsidP="004141E7">
      <w:pPr>
        <w:widowControl w:val="0"/>
        <w:spacing w:after="0" w:line="240" w:lineRule="auto"/>
        <w:jc w:val="both"/>
        <w:rPr>
          <w:rFonts w:ascii="Times New Roman" w:hAnsi="Times New Roman" w:cs="Times New Roman"/>
          <w:bCs/>
          <w:sz w:val="24"/>
          <w:szCs w:val="24"/>
          <w:lang w:val="en-GB"/>
        </w:rPr>
      </w:pPr>
      <w:r w:rsidRPr="007C437A">
        <w:rPr>
          <w:rFonts w:ascii="Times New Roman" w:hAnsi="Times New Roman" w:cs="Times New Roman"/>
          <w:i/>
          <w:sz w:val="24"/>
          <w:szCs w:val="24"/>
          <w:lang w:val="en-GB"/>
        </w:rPr>
        <w:t xml:space="preserve">Source: </w:t>
      </w:r>
      <w:r w:rsidR="00A96CC7" w:rsidRPr="007C437A">
        <w:rPr>
          <w:rFonts w:ascii="Times New Roman" w:hAnsi="Times New Roman" w:cs="Times New Roman"/>
          <w:iCs/>
          <w:sz w:val="24"/>
          <w:szCs w:val="24"/>
          <w:lang w:val="en-GB"/>
        </w:rPr>
        <w:t xml:space="preserve">adapted from </w:t>
      </w:r>
      <w:bookmarkStart w:id="0" w:name="_Hlk28266964"/>
      <w:r w:rsidR="00A96CC7" w:rsidRPr="007C437A">
        <w:rPr>
          <w:rFonts w:ascii="Times New Roman" w:hAnsi="Times New Roman" w:cs="Times New Roman"/>
          <w:iCs/>
          <w:sz w:val="24"/>
          <w:szCs w:val="24"/>
          <w:lang w:val="en-GB"/>
        </w:rPr>
        <w:t>Cowley and Kavanagh, 2018 and Ford and Jennings, 2020</w:t>
      </w:r>
      <w:bookmarkEnd w:id="0"/>
    </w:p>
    <w:p w14:paraId="2E919F92" w14:textId="77777777" w:rsidR="00BB4477" w:rsidRPr="00B46D18" w:rsidRDefault="00BB4477" w:rsidP="004141E7">
      <w:pPr>
        <w:spacing w:after="0" w:line="360" w:lineRule="auto"/>
        <w:ind w:firstLine="720"/>
        <w:contextualSpacing/>
        <w:jc w:val="both"/>
        <w:rPr>
          <w:rFonts w:ascii="Times New Roman" w:hAnsi="Times New Roman" w:cs="Times New Roman"/>
          <w:bCs/>
          <w:sz w:val="24"/>
          <w:szCs w:val="24"/>
          <w:lang w:val="en-GB"/>
        </w:rPr>
      </w:pPr>
    </w:p>
    <w:p w14:paraId="50DF00E5" w14:textId="77777777" w:rsidR="00BB4477" w:rsidRPr="00B46D18" w:rsidRDefault="00BB4477" w:rsidP="004141E7">
      <w:pPr>
        <w:spacing w:after="0" w:line="480" w:lineRule="auto"/>
        <w:ind w:firstLine="720"/>
        <w:contextualSpacing/>
        <w:jc w:val="both"/>
        <w:rPr>
          <w:rFonts w:ascii="Times New Roman" w:hAnsi="Times New Roman" w:cs="Times New Roman"/>
          <w:bCs/>
          <w:sz w:val="24"/>
          <w:szCs w:val="24"/>
          <w:lang w:val="en-GB"/>
        </w:rPr>
      </w:pPr>
    </w:p>
    <w:p w14:paraId="656B2594" w14:textId="389D81EA" w:rsidR="00157BCC" w:rsidRPr="00B46D18" w:rsidRDefault="001850AF"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The re-election of the Johnson </w:t>
      </w:r>
      <w:r w:rsidR="002024CD" w:rsidRPr="00B46D18">
        <w:rPr>
          <w:rFonts w:ascii="Times New Roman" w:hAnsi="Times New Roman" w:cs="Times New Roman"/>
          <w:bCs/>
          <w:sz w:val="24"/>
          <w:szCs w:val="24"/>
          <w:lang w:val="en-GB"/>
        </w:rPr>
        <w:t>premiership</w:t>
      </w:r>
      <w:r w:rsidR="005A3832" w:rsidRPr="00B46D18">
        <w:rPr>
          <w:rFonts w:ascii="Times New Roman" w:hAnsi="Times New Roman" w:cs="Times New Roman"/>
          <w:bCs/>
          <w:sz w:val="24"/>
          <w:szCs w:val="24"/>
          <w:lang w:val="en-GB"/>
        </w:rPr>
        <w:t>,</w:t>
      </w:r>
      <w:r w:rsidRPr="00B46D18">
        <w:rPr>
          <w:rFonts w:ascii="Times New Roman" w:hAnsi="Times New Roman" w:cs="Times New Roman"/>
          <w:bCs/>
          <w:sz w:val="24"/>
          <w:szCs w:val="24"/>
          <w:lang w:val="en-GB"/>
        </w:rPr>
        <w:t xml:space="preserve"> in what became known as the Brexit General Election of 2019</w:t>
      </w:r>
      <w:r w:rsidR="005A3832" w:rsidRPr="00B46D18">
        <w:rPr>
          <w:rFonts w:ascii="Times New Roman" w:hAnsi="Times New Roman" w:cs="Times New Roman"/>
          <w:bCs/>
          <w:sz w:val="24"/>
          <w:szCs w:val="24"/>
          <w:lang w:val="en-GB"/>
        </w:rPr>
        <w:t xml:space="preserve">, has ensured that the United Kingdom will leave the European Union. That the year of exiting will occur on the fiftieth anniversary of the General Election of 1970 and the beginning of the Heath </w:t>
      </w:r>
      <w:r w:rsidR="002024CD" w:rsidRPr="00B46D18">
        <w:rPr>
          <w:rFonts w:ascii="Times New Roman" w:hAnsi="Times New Roman" w:cs="Times New Roman"/>
          <w:bCs/>
          <w:sz w:val="24"/>
          <w:szCs w:val="24"/>
          <w:lang w:val="en-GB"/>
        </w:rPr>
        <w:t>premiership</w:t>
      </w:r>
      <w:r w:rsidR="005A3832" w:rsidRPr="00B46D18">
        <w:rPr>
          <w:rFonts w:ascii="Times New Roman" w:hAnsi="Times New Roman" w:cs="Times New Roman"/>
          <w:bCs/>
          <w:sz w:val="24"/>
          <w:szCs w:val="24"/>
          <w:lang w:val="en-GB"/>
        </w:rPr>
        <w:t xml:space="preserve"> carries a </w:t>
      </w:r>
      <w:r w:rsidR="005A3832" w:rsidRPr="00B46D18">
        <w:rPr>
          <w:rFonts w:ascii="Times New Roman" w:hAnsi="Times New Roman" w:cs="Times New Roman"/>
          <w:bCs/>
          <w:sz w:val="24"/>
          <w:szCs w:val="24"/>
          <w:lang w:val="en-GB"/>
        </w:rPr>
        <w:lastRenderedPageBreak/>
        <w:t>certain irony. That is because the greatest policy achievement</w:t>
      </w:r>
      <w:r w:rsidR="00971558" w:rsidRPr="00B46D18">
        <w:rPr>
          <w:rFonts w:ascii="Times New Roman" w:hAnsi="Times New Roman" w:cs="Times New Roman"/>
          <w:bCs/>
          <w:sz w:val="24"/>
          <w:szCs w:val="24"/>
          <w:lang w:val="en-GB"/>
        </w:rPr>
        <w:t xml:space="preserve"> and thereby</w:t>
      </w:r>
      <w:r w:rsidR="0022456C" w:rsidRPr="00B46D18">
        <w:rPr>
          <w:rFonts w:ascii="Times New Roman" w:hAnsi="Times New Roman" w:cs="Times New Roman"/>
          <w:bCs/>
          <w:sz w:val="24"/>
          <w:szCs w:val="24"/>
          <w:lang w:val="en-GB"/>
        </w:rPr>
        <w:t xml:space="preserve"> governmental legacy of the </w:t>
      </w:r>
      <w:r w:rsidR="005A3832" w:rsidRPr="00B46D18">
        <w:rPr>
          <w:rFonts w:ascii="Times New Roman" w:hAnsi="Times New Roman" w:cs="Times New Roman"/>
          <w:bCs/>
          <w:sz w:val="24"/>
          <w:szCs w:val="24"/>
          <w:lang w:val="en-GB"/>
        </w:rPr>
        <w:t xml:space="preserve">Heath </w:t>
      </w:r>
      <w:r w:rsidR="002024CD" w:rsidRPr="00B46D18">
        <w:rPr>
          <w:rFonts w:ascii="Times New Roman" w:hAnsi="Times New Roman" w:cs="Times New Roman"/>
          <w:bCs/>
          <w:sz w:val="24"/>
          <w:szCs w:val="24"/>
          <w:lang w:val="en-GB"/>
        </w:rPr>
        <w:t>premiership</w:t>
      </w:r>
      <w:r w:rsidR="005A3832" w:rsidRPr="00B46D18">
        <w:rPr>
          <w:rFonts w:ascii="Times New Roman" w:hAnsi="Times New Roman" w:cs="Times New Roman"/>
          <w:bCs/>
          <w:sz w:val="24"/>
          <w:szCs w:val="24"/>
          <w:lang w:val="en-GB"/>
        </w:rPr>
        <w:t xml:space="preserve"> </w:t>
      </w:r>
      <w:r w:rsidR="0022456C" w:rsidRPr="00B46D18">
        <w:rPr>
          <w:rFonts w:ascii="Times New Roman" w:hAnsi="Times New Roman" w:cs="Times New Roman"/>
          <w:bCs/>
          <w:sz w:val="24"/>
          <w:szCs w:val="24"/>
          <w:lang w:val="en-GB"/>
        </w:rPr>
        <w:t xml:space="preserve">was securing entry into </w:t>
      </w:r>
      <w:r w:rsidR="005A3832" w:rsidRPr="00B46D18">
        <w:rPr>
          <w:rFonts w:ascii="Times New Roman" w:hAnsi="Times New Roman" w:cs="Times New Roman"/>
          <w:bCs/>
          <w:sz w:val="24"/>
          <w:szCs w:val="24"/>
          <w:lang w:val="en-GB"/>
        </w:rPr>
        <w:t xml:space="preserve">what was then known as </w:t>
      </w:r>
      <w:r w:rsidR="0022456C" w:rsidRPr="00B46D18">
        <w:rPr>
          <w:rFonts w:ascii="Times New Roman" w:hAnsi="Times New Roman" w:cs="Times New Roman"/>
          <w:bCs/>
          <w:sz w:val="24"/>
          <w:szCs w:val="24"/>
          <w:lang w:val="en-GB"/>
        </w:rPr>
        <w:t xml:space="preserve">the European </w:t>
      </w:r>
      <w:r w:rsidR="0022456C" w:rsidRPr="007C437A">
        <w:rPr>
          <w:rFonts w:ascii="Times New Roman" w:hAnsi="Times New Roman" w:cs="Times New Roman"/>
          <w:bCs/>
          <w:sz w:val="24"/>
          <w:szCs w:val="24"/>
          <w:lang w:val="en-GB"/>
        </w:rPr>
        <w:t>Community</w:t>
      </w:r>
      <w:r w:rsidR="00BB0E04" w:rsidRPr="007C437A">
        <w:rPr>
          <w:rStyle w:val="FootnoteReference"/>
          <w:rFonts w:ascii="Times New Roman" w:hAnsi="Times New Roman" w:cs="Times New Roman"/>
          <w:bCs/>
          <w:sz w:val="24"/>
          <w:szCs w:val="24"/>
          <w:lang w:val="en-GB"/>
        </w:rPr>
        <w:footnoteReference w:id="1"/>
      </w:r>
      <w:r w:rsidR="00DE4FC7" w:rsidRPr="007C437A">
        <w:rPr>
          <w:rFonts w:ascii="Times New Roman" w:hAnsi="Times New Roman" w:cs="Times New Roman"/>
          <w:bCs/>
          <w:sz w:val="24"/>
          <w:szCs w:val="24"/>
          <w:lang w:val="en-GB"/>
        </w:rPr>
        <w:t xml:space="preserve"> (</w:t>
      </w:r>
      <w:r w:rsidR="008B5D4D" w:rsidRPr="007C437A">
        <w:rPr>
          <w:rFonts w:ascii="Times New Roman" w:hAnsi="Times New Roman" w:cs="Times New Roman"/>
          <w:bCs/>
          <w:sz w:val="24"/>
          <w:szCs w:val="24"/>
          <w:lang w:val="en-GB"/>
        </w:rPr>
        <w:t xml:space="preserve">Kitzinger, 1973; </w:t>
      </w:r>
      <w:r w:rsidR="00DE4FC7" w:rsidRPr="008E7DBD">
        <w:rPr>
          <w:rFonts w:ascii="Times New Roman" w:hAnsi="Times New Roman" w:cs="Times New Roman"/>
          <w:bCs/>
          <w:sz w:val="24"/>
          <w:szCs w:val="24"/>
          <w:lang w:val="en-GB"/>
        </w:rPr>
        <w:t>Lord, 1993;</w:t>
      </w:r>
      <w:r w:rsidR="00FF08D4" w:rsidRPr="008E7DBD">
        <w:rPr>
          <w:rFonts w:ascii="Times New Roman" w:hAnsi="Times New Roman" w:cs="Times New Roman"/>
          <w:bCs/>
          <w:sz w:val="24"/>
          <w:szCs w:val="24"/>
          <w:lang w:val="en-GB"/>
        </w:rPr>
        <w:t xml:space="preserve"> see also Crowson, 2007;</w:t>
      </w:r>
      <w:r w:rsidR="00DE4FC7" w:rsidRPr="008E7DBD">
        <w:rPr>
          <w:rFonts w:ascii="Times New Roman" w:hAnsi="Times New Roman" w:cs="Times New Roman"/>
          <w:bCs/>
          <w:sz w:val="24"/>
          <w:szCs w:val="24"/>
          <w:lang w:val="en-GB"/>
        </w:rPr>
        <w:t xml:space="preserve"> Wall, 2013)</w:t>
      </w:r>
      <w:r w:rsidR="0022456C" w:rsidRPr="008E7DBD">
        <w:rPr>
          <w:rFonts w:ascii="Times New Roman" w:hAnsi="Times New Roman" w:cs="Times New Roman"/>
          <w:bCs/>
          <w:sz w:val="24"/>
          <w:szCs w:val="24"/>
          <w:lang w:val="en-GB"/>
        </w:rPr>
        <w:t xml:space="preserve">. </w:t>
      </w:r>
      <w:r w:rsidR="005A3832" w:rsidRPr="008E7DBD">
        <w:rPr>
          <w:rFonts w:ascii="Times New Roman" w:hAnsi="Times New Roman" w:cs="Times New Roman"/>
          <w:bCs/>
          <w:sz w:val="24"/>
          <w:szCs w:val="24"/>
          <w:lang w:val="en-GB"/>
        </w:rPr>
        <w:t>As such</w:t>
      </w:r>
      <w:r w:rsidR="008B1D59">
        <w:rPr>
          <w:rFonts w:ascii="Times New Roman" w:hAnsi="Times New Roman" w:cs="Times New Roman"/>
          <w:bCs/>
          <w:sz w:val="24"/>
          <w:szCs w:val="24"/>
          <w:lang w:val="en-GB"/>
        </w:rPr>
        <w:t>,</w:t>
      </w:r>
      <w:r w:rsidR="005A3832" w:rsidRPr="008E7DBD">
        <w:rPr>
          <w:rFonts w:ascii="Times New Roman" w:hAnsi="Times New Roman" w:cs="Times New Roman"/>
          <w:bCs/>
          <w:sz w:val="24"/>
          <w:szCs w:val="24"/>
          <w:lang w:val="en-GB"/>
        </w:rPr>
        <w:t xml:space="preserve"> we see these developments as a reason for political</w:t>
      </w:r>
      <w:r w:rsidR="005A3832" w:rsidRPr="00B46D18">
        <w:rPr>
          <w:rFonts w:ascii="Times New Roman" w:hAnsi="Times New Roman" w:cs="Times New Roman"/>
          <w:bCs/>
          <w:sz w:val="24"/>
          <w:szCs w:val="24"/>
          <w:lang w:val="en-GB"/>
        </w:rPr>
        <w:t xml:space="preserve"> historians to reassess the Heath </w:t>
      </w:r>
      <w:r w:rsidR="002024CD" w:rsidRPr="00B46D18">
        <w:rPr>
          <w:rFonts w:ascii="Times New Roman" w:hAnsi="Times New Roman" w:cs="Times New Roman"/>
          <w:bCs/>
          <w:sz w:val="24"/>
          <w:szCs w:val="24"/>
          <w:lang w:val="en-GB"/>
        </w:rPr>
        <w:t>premiership</w:t>
      </w:r>
      <w:r w:rsidR="005A3832" w:rsidRPr="00B46D18">
        <w:rPr>
          <w:rFonts w:ascii="Times New Roman" w:hAnsi="Times New Roman" w:cs="Times New Roman"/>
          <w:bCs/>
          <w:sz w:val="24"/>
          <w:szCs w:val="24"/>
          <w:lang w:val="en-GB"/>
        </w:rPr>
        <w:t xml:space="preserve"> for the following reason</w:t>
      </w:r>
      <w:r w:rsidR="007978B7" w:rsidRPr="00B46D18">
        <w:rPr>
          <w:rFonts w:ascii="Times New Roman" w:hAnsi="Times New Roman" w:cs="Times New Roman"/>
          <w:bCs/>
          <w:sz w:val="24"/>
          <w:szCs w:val="24"/>
          <w:lang w:val="en-GB"/>
        </w:rPr>
        <w:t>:</w:t>
      </w:r>
      <w:r w:rsidR="005A3832" w:rsidRPr="00B46D18">
        <w:rPr>
          <w:rFonts w:ascii="Times New Roman" w:hAnsi="Times New Roman" w:cs="Times New Roman"/>
          <w:bCs/>
          <w:sz w:val="24"/>
          <w:szCs w:val="24"/>
          <w:lang w:val="en-GB"/>
        </w:rPr>
        <w:t xml:space="preserve"> I</w:t>
      </w:r>
      <w:r w:rsidR="00DE4FC7" w:rsidRPr="00B46D18">
        <w:rPr>
          <w:rFonts w:ascii="Times New Roman" w:hAnsi="Times New Roman" w:cs="Times New Roman"/>
          <w:bCs/>
          <w:sz w:val="24"/>
          <w:szCs w:val="24"/>
          <w:lang w:val="en-GB"/>
        </w:rPr>
        <w:t xml:space="preserve">f the </w:t>
      </w:r>
      <w:r w:rsidR="00971558" w:rsidRPr="00B46D18">
        <w:rPr>
          <w:rFonts w:ascii="Times New Roman" w:hAnsi="Times New Roman" w:cs="Times New Roman"/>
          <w:bCs/>
          <w:sz w:val="24"/>
          <w:szCs w:val="24"/>
          <w:lang w:val="en-GB"/>
        </w:rPr>
        <w:t>most significant</w:t>
      </w:r>
      <w:r w:rsidR="00DE4FC7" w:rsidRPr="00B46D18">
        <w:rPr>
          <w:rFonts w:ascii="Times New Roman" w:hAnsi="Times New Roman" w:cs="Times New Roman"/>
          <w:bCs/>
          <w:sz w:val="24"/>
          <w:szCs w:val="24"/>
          <w:lang w:val="en-GB"/>
        </w:rPr>
        <w:t xml:space="preserve"> legacy of that era is now being reversed</w:t>
      </w:r>
      <w:r w:rsidR="00971558" w:rsidRPr="00B46D18">
        <w:rPr>
          <w:rFonts w:ascii="Times New Roman" w:hAnsi="Times New Roman" w:cs="Times New Roman"/>
          <w:bCs/>
          <w:sz w:val="24"/>
          <w:szCs w:val="24"/>
          <w:lang w:val="en-GB"/>
        </w:rPr>
        <w:t>,</w:t>
      </w:r>
      <w:r w:rsidR="00DE4FC7" w:rsidRPr="00B46D18">
        <w:rPr>
          <w:rFonts w:ascii="Times New Roman" w:hAnsi="Times New Roman" w:cs="Times New Roman"/>
          <w:bCs/>
          <w:sz w:val="24"/>
          <w:szCs w:val="24"/>
          <w:lang w:val="en-GB"/>
        </w:rPr>
        <w:t xml:space="preserve"> as </w:t>
      </w:r>
      <w:r w:rsidR="00971558" w:rsidRPr="00B46D18">
        <w:rPr>
          <w:rFonts w:ascii="Times New Roman" w:hAnsi="Times New Roman" w:cs="Times New Roman"/>
          <w:bCs/>
          <w:sz w:val="24"/>
          <w:szCs w:val="24"/>
          <w:lang w:val="en-GB"/>
        </w:rPr>
        <w:t>voters reject the</w:t>
      </w:r>
      <w:r w:rsidR="00DE4FC7" w:rsidRPr="00B46D18">
        <w:rPr>
          <w:rFonts w:ascii="Times New Roman" w:hAnsi="Times New Roman" w:cs="Times New Roman"/>
          <w:bCs/>
          <w:sz w:val="24"/>
          <w:szCs w:val="24"/>
          <w:lang w:val="en-GB"/>
        </w:rPr>
        <w:t xml:space="preserve"> benefits of integration within Europe, then does that impact upon how we interpret the </w:t>
      </w:r>
      <w:r w:rsidR="00971558" w:rsidRPr="00B46D18">
        <w:rPr>
          <w:rFonts w:ascii="Times New Roman" w:hAnsi="Times New Roman" w:cs="Times New Roman"/>
          <w:bCs/>
          <w:sz w:val="24"/>
          <w:szCs w:val="24"/>
          <w:lang w:val="en-GB"/>
        </w:rPr>
        <w:t xml:space="preserve">Heath </w:t>
      </w:r>
      <w:r w:rsidR="00DE4FC7" w:rsidRPr="00B46D18">
        <w:rPr>
          <w:rFonts w:ascii="Times New Roman" w:hAnsi="Times New Roman" w:cs="Times New Roman"/>
          <w:bCs/>
          <w:sz w:val="24"/>
          <w:szCs w:val="24"/>
          <w:lang w:val="en-GB"/>
        </w:rPr>
        <w:t xml:space="preserve">premiership? </w:t>
      </w:r>
      <w:r w:rsidR="00971558" w:rsidRPr="00B46D18">
        <w:rPr>
          <w:rFonts w:ascii="Times New Roman" w:hAnsi="Times New Roman" w:cs="Times New Roman"/>
          <w:bCs/>
          <w:sz w:val="24"/>
          <w:szCs w:val="24"/>
          <w:lang w:val="en-GB"/>
        </w:rPr>
        <w:t>Or to p</w:t>
      </w:r>
      <w:r w:rsidR="002024CD" w:rsidRPr="00B46D18">
        <w:rPr>
          <w:rFonts w:ascii="Times New Roman" w:hAnsi="Times New Roman" w:cs="Times New Roman"/>
          <w:bCs/>
          <w:sz w:val="24"/>
          <w:szCs w:val="24"/>
          <w:lang w:val="en-GB"/>
        </w:rPr>
        <w:t>ut</w:t>
      </w:r>
      <w:r w:rsidR="00971558" w:rsidRPr="00B46D18">
        <w:rPr>
          <w:rFonts w:ascii="Times New Roman" w:hAnsi="Times New Roman" w:cs="Times New Roman"/>
          <w:bCs/>
          <w:sz w:val="24"/>
          <w:szCs w:val="24"/>
          <w:lang w:val="en-GB"/>
        </w:rPr>
        <w:t xml:space="preserve"> it another way</w:t>
      </w:r>
      <w:r w:rsidR="002024CD" w:rsidRPr="00B46D18">
        <w:rPr>
          <w:rFonts w:ascii="Times New Roman" w:hAnsi="Times New Roman" w:cs="Times New Roman"/>
          <w:bCs/>
          <w:sz w:val="24"/>
          <w:szCs w:val="24"/>
          <w:lang w:val="en-GB"/>
        </w:rPr>
        <w:t>, d</w:t>
      </w:r>
      <w:r w:rsidR="00157BCC" w:rsidRPr="00B46D18">
        <w:rPr>
          <w:rFonts w:ascii="Times New Roman" w:hAnsi="Times New Roman" w:cs="Times New Roman"/>
          <w:bCs/>
          <w:sz w:val="24"/>
          <w:szCs w:val="24"/>
          <w:lang w:val="en-GB"/>
        </w:rPr>
        <w:t xml:space="preserve">o we need to reassess the validity of the two rival perspectives that </w:t>
      </w:r>
      <w:r w:rsidR="00A72E81" w:rsidRPr="00B46D18">
        <w:rPr>
          <w:rFonts w:ascii="Times New Roman" w:hAnsi="Times New Roman" w:cs="Times New Roman"/>
          <w:bCs/>
          <w:sz w:val="24"/>
          <w:szCs w:val="24"/>
          <w:lang w:val="en-GB"/>
        </w:rPr>
        <w:t xml:space="preserve">exist </w:t>
      </w:r>
      <w:r w:rsidR="00A72E81" w:rsidRPr="00B46D18">
        <w:rPr>
          <w:rFonts w:ascii="Times New Roman" w:hAnsi="Times New Roman" w:cs="Times New Roman"/>
          <w:bCs/>
          <w:i/>
          <w:sz w:val="24"/>
          <w:szCs w:val="24"/>
          <w:lang w:val="en-GB"/>
        </w:rPr>
        <w:t>vis-à-vis</w:t>
      </w:r>
      <w:r w:rsidR="00A72E81" w:rsidRPr="00B46D18">
        <w:rPr>
          <w:rFonts w:ascii="Times New Roman" w:hAnsi="Times New Roman" w:cs="Times New Roman"/>
          <w:bCs/>
          <w:sz w:val="24"/>
          <w:szCs w:val="24"/>
          <w:lang w:val="en-GB"/>
        </w:rPr>
        <w:t xml:space="preserve"> the Heath </w:t>
      </w:r>
      <w:r w:rsidR="002024CD" w:rsidRPr="00B46D18">
        <w:rPr>
          <w:rFonts w:ascii="Times New Roman" w:hAnsi="Times New Roman" w:cs="Times New Roman"/>
          <w:bCs/>
          <w:sz w:val="24"/>
          <w:szCs w:val="24"/>
          <w:lang w:val="en-GB"/>
        </w:rPr>
        <w:t>premiership</w:t>
      </w:r>
      <w:r w:rsidR="00ED4236" w:rsidRPr="00B46D18">
        <w:rPr>
          <w:rFonts w:ascii="Times New Roman" w:hAnsi="Times New Roman" w:cs="Times New Roman"/>
          <w:bCs/>
          <w:sz w:val="24"/>
          <w:szCs w:val="24"/>
          <w:lang w:val="en-GB"/>
        </w:rPr>
        <w:t xml:space="preserve"> – i.e. the critical perspective</w:t>
      </w:r>
      <w:r w:rsidR="002024CD" w:rsidRPr="00B46D18">
        <w:rPr>
          <w:rFonts w:ascii="Times New Roman" w:hAnsi="Times New Roman" w:cs="Times New Roman"/>
          <w:bCs/>
          <w:sz w:val="24"/>
          <w:szCs w:val="24"/>
          <w:lang w:val="en-GB"/>
        </w:rPr>
        <w:t xml:space="preserve"> </w:t>
      </w:r>
      <w:r w:rsidR="00ED4236" w:rsidRPr="00B46D18">
        <w:rPr>
          <w:rFonts w:ascii="Times New Roman" w:hAnsi="Times New Roman" w:cs="Times New Roman"/>
          <w:bCs/>
          <w:sz w:val="24"/>
          <w:szCs w:val="24"/>
          <w:lang w:val="en-GB"/>
        </w:rPr>
        <w:t>and the contingencies or circumstances-based perspective</w:t>
      </w:r>
      <w:r w:rsidR="00157BCC" w:rsidRPr="00B46D18">
        <w:rPr>
          <w:rFonts w:ascii="Times New Roman" w:hAnsi="Times New Roman" w:cs="Times New Roman"/>
          <w:bCs/>
          <w:sz w:val="24"/>
          <w:szCs w:val="24"/>
          <w:lang w:val="en-GB"/>
        </w:rPr>
        <w:t>?</w:t>
      </w:r>
      <w:r w:rsidR="00ED4236" w:rsidRPr="00B46D18">
        <w:rPr>
          <w:rFonts w:ascii="Times New Roman" w:hAnsi="Times New Roman" w:cs="Times New Roman"/>
          <w:bCs/>
          <w:sz w:val="24"/>
          <w:szCs w:val="24"/>
          <w:lang w:val="en-GB"/>
        </w:rPr>
        <w:t xml:space="preserve"> </w:t>
      </w:r>
    </w:p>
    <w:p w14:paraId="614BE95D" w14:textId="77777777" w:rsidR="009965C9" w:rsidRPr="00B46D18" w:rsidRDefault="009965C9" w:rsidP="004141E7">
      <w:pPr>
        <w:spacing w:after="0" w:line="480" w:lineRule="auto"/>
        <w:contextualSpacing/>
        <w:jc w:val="both"/>
        <w:rPr>
          <w:rFonts w:ascii="Times New Roman" w:hAnsi="Times New Roman" w:cs="Times New Roman"/>
          <w:bCs/>
          <w:sz w:val="24"/>
          <w:szCs w:val="24"/>
          <w:lang w:val="en-GB"/>
        </w:rPr>
      </w:pPr>
    </w:p>
    <w:p w14:paraId="38B80EDD" w14:textId="465DB6ED" w:rsidR="009965C9" w:rsidRPr="00B46D18" w:rsidRDefault="009965C9" w:rsidP="004141E7">
      <w:pPr>
        <w:spacing w:after="0" w:line="480" w:lineRule="auto"/>
        <w:contextualSpacing/>
        <w:jc w:val="both"/>
        <w:rPr>
          <w:rFonts w:ascii="Times New Roman" w:hAnsi="Times New Roman" w:cs="Times New Roman"/>
          <w:b/>
          <w:sz w:val="24"/>
          <w:szCs w:val="24"/>
          <w:lang w:val="en-GB"/>
        </w:rPr>
      </w:pPr>
      <w:r w:rsidRPr="00B46D18">
        <w:rPr>
          <w:rFonts w:ascii="Times New Roman" w:hAnsi="Times New Roman" w:cs="Times New Roman"/>
          <w:b/>
          <w:sz w:val="24"/>
          <w:szCs w:val="24"/>
          <w:lang w:val="en-GB"/>
        </w:rPr>
        <w:t>The Critical Perspective of the Heath Premiership</w:t>
      </w:r>
    </w:p>
    <w:p w14:paraId="2AACF074" w14:textId="77777777" w:rsidR="009965C9" w:rsidRPr="00B46D18" w:rsidRDefault="009965C9" w:rsidP="004141E7">
      <w:pPr>
        <w:spacing w:after="0" w:line="480" w:lineRule="auto"/>
        <w:contextualSpacing/>
        <w:jc w:val="both"/>
        <w:rPr>
          <w:rFonts w:ascii="Times New Roman" w:hAnsi="Times New Roman" w:cs="Times New Roman"/>
          <w:bCs/>
          <w:sz w:val="24"/>
          <w:szCs w:val="24"/>
          <w:lang w:val="en-GB"/>
        </w:rPr>
      </w:pPr>
    </w:p>
    <w:p w14:paraId="422E6CE0" w14:textId="12302D68" w:rsidR="00A96CC7" w:rsidRPr="00B46D18" w:rsidRDefault="009B42B0"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The critique of the Heath premiership is multifaceted. The dominant critique is the view expressed by those on the free market or economically liberal wing of the Conservative Party (who would later become defined as the</w:t>
      </w:r>
      <w:r w:rsidR="008B1D59">
        <w:rPr>
          <w:rFonts w:ascii="Times New Roman" w:hAnsi="Times New Roman" w:cs="Times New Roman"/>
          <w:bCs/>
          <w:sz w:val="24"/>
          <w:szCs w:val="24"/>
          <w:lang w:val="en-GB"/>
        </w:rPr>
        <w:t xml:space="preserve"> Thatcherite dries). They </w:t>
      </w:r>
      <w:r w:rsidRPr="00B46D18">
        <w:rPr>
          <w:rFonts w:ascii="Times New Roman" w:hAnsi="Times New Roman" w:cs="Times New Roman"/>
          <w:bCs/>
          <w:sz w:val="24"/>
          <w:szCs w:val="24"/>
          <w:lang w:val="en-GB"/>
        </w:rPr>
        <w:t xml:space="preserve">argue that the policy review process that was conducted in the opposition era under Heath (between 1965 to 1970), </w:t>
      </w:r>
      <w:r w:rsidR="00F82084" w:rsidRPr="00B46D18">
        <w:rPr>
          <w:rFonts w:ascii="Times New Roman" w:hAnsi="Times New Roman" w:cs="Times New Roman"/>
          <w:bCs/>
          <w:sz w:val="24"/>
          <w:szCs w:val="24"/>
          <w:lang w:val="en-GB"/>
        </w:rPr>
        <w:t xml:space="preserve">and </w:t>
      </w:r>
      <w:r w:rsidRPr="00B46D18">
        <w:rPr>
          <w:rFonts w:ascii="Times New Roman" w:hAnsi="Times New Roman" w:cs="Times New Roman"/>
          <w:bCs/>
          <w:sz w:val="24"/>
          <w:szCs w:val="24"/>
          <w:lang w:val="en-GB"/>
        </w:rPr>
        <w:t>which informed the construction of their 1970 manifesto, had established what an incoming Conservative administration for the 1970s</w:t>
      </w:r>
      <w:r w:rsidR="00146871" w:rsidRPr="00B46D18">
        <w:rPr>
          <w:rFonts w:ascii="Times New Roman" w:hAnsi="Times New Roman" w:cs="Times New Roman"/>
          <w:bCs/>
          <w:sz w:val="24"/>
          <w:szCs w:val="24"/>
          <w:lang w:val="en-GB"/>
        </w:rPr>
        <w:t xml:space="preserve"> (and beyond)</w:t>
      </w:r>
      <w:r w:rsidRPr="00B46D18">
        <w:rPr>
          <w:rFonts w:ascii="Times New Roman" w:hAnsi="Times New Roman" w:cs="Times New Roman"/>
          <w:bCs/>
          <w:sz w:val="24"/>
          <w:szCs w:val="24"/>
          <w:lang w:val="en-GB"/>
        </w:rPr>
        <w:t xml:space="preserve"> should be seeking to achieve</w:t>
      </w:r>
      <w:r w:rsidR="002E2987" w:rsidRPr="00B46D18">
        <w:rPr>
          <w:rStyle w:val="FootnoteReference"/>
          <w:rFonts w:ascii="Times New Roman" w:hAnsi="Times New Roman" w:cs="Times New Roman"/>
          <w:bCs/>
          <w:sz w:val="24"/>
          <w:szCs w:val="24"/>
          <w:lang w:val="en-GB"/>
        </w:rPr>
        <w:footnoteReference w:id="2"/>
      </w:r>
      <w:r w:rsidR="00AD799B" w:rsidRPr="00B46D18">
        <w:rPr>
          <w:rFonts w:ascii="Times New Roman" w:hAnsi="Times New Roman" w:cs="Times New Roman"/>
          <w:bCs/>
          <w:sz w:val="24"/>
          <w:szCs w:val="24"/>
          <w:lang w:val="en-GB"/>
        </w:rPr>
        <w:t xml:space="preserve">. </w:t>
      </w:r>
      <w:r w:rsidR="00F82084" w:rsidRPr="00B46D18">
        <w:rPr>
          <w:rFonts w:ascii="Times New Roman" w:hAnsi="Times New Roman" w:cs="Times New Roman"/>
          <w:bCs/>
          <w:sz w:val="24"/>
          <w:szCs w:val="24"/>
          <w:lang w:val="en-GB"/>
        </w:rPr>
        <w:t xml:space="preserve">That </w:t>
      </w:r>
      <w:r w:rsidR="00F82084" w:rsidRPr="007C437A">
        <w:rPr>
          <w:rFonts w:ascii="Times New Roman" w:hAnsi="Times New Roman" w:cs="Times New Roman"/>
          <w:bCs/>
          <w:sz w:val="24"/>
          <w:szCs w:val="24"/>
          <w:lang w:val="en-GB"/>
        </w:rPr>
        <w:lastRenderedPageBreak/>
        <w:t>programme</w:t>
      </w:r>
      <w:r w:rsidR="00AD799B" w:rsidRPr="007C437A">
        <w:rPr>
          <w:rFonts w:ascii="Times New Roman" w:hAnsi="Times New Roman" w:cs="Times New Roman"/>
          <w:bCs/>
          <w:sz w:val="24"/>
          <w:szCs w:val="24"/>
          <w:lang w:val="en-GB"/>
        </w:rPr>
        <w:t xml:space="preserve"> appeared to</w:t>
      </w:r>
      <w:r w:rsidR="00F82084" w:rsidRPr="007C437A">
        <w:rPr>
          <w:rFonts w:ascii="Times New Roman" w:hAnsi="Times New Roman" w:cs="Times New Roman"/>
          <w:bCs/>
          <w:sz w:val="24"/>
          <w:szCs w:val="24"/>
          <w:lang w:val="en-GB"/>
        </w:rPr>
        <w:t xml:space="preserve"> be</w:t>
      </w:r>
      <w:r w:rsidR="00AD799B" w:rsidRPr="007C437A">
        <w:rPr>
          <w:rFonts w:ascii="Times New Roman" w:hAnsi="Times New Roman" w:cs="Times New Roman"/>
          <w:bCs/>
          <w:sz w:val="24"/>
          <w:szCs w:val="24"/>
          <w:lang w:val="en-GB"/>
        </w:rPr>
        <w:t xml:space="preserve"> a challenge to the consensus politics of the post-war era</w:t>
      </w:r>
      <w:r w:rsidR="00146871" w:rsidRPr="007C437A">
        <w:rPr>
          <w:rFonts w:ascii="Times New Roman" w:hAnsi="Times New Roman" w:cs="Times New Roman"/>
          <w:bCs/>
          <w:sz w:val="24"/>
          <w:szCs w:val="24"/>
          <w:lang w:val="en-GB"/>
        </w:rPr>
        <w:t xml:space="preserve"> (</w:t>
      </w:r>
      <w:r w:rsidR="002675BF" w:rsidRPr="007C437A">
        <w:rPr>
          <w:rFonts w:ascii="Times New Roman" w:hAnsi="Times New Roman" w:cs="Times New Roman"/>
          <w:bCs/>
          <w:sz w:val="24"/>
          <w:szCs w:val="24"/>
          <w:lang w:val="en-GB"/>
        </w:rPr>
        <w:t>Kavanagh and Morris, 1994; Dutton,</w:t>
      </w:r>
      <w:r w:rsidR="002675BF" w:rsidRPr="00E068C0">
        <w:rPr>
          <w:rFonts w:ascii="Times New Roman" w:hAnsi="Times New Roman" w:cs="Times New Roman"/>
          <w:bCs/>
          <w:sz w:val="24"/>
          <w:szCs w:val="24"/>
          <w:lang w:val="en-GB"/>
        </w:rPr>
        <w:t xml:space="preserve"> 1997).</w:t>
      </w:r>
      <w:r w:rsidR="002675BF" w:rsidRPr="00B46D18">
        <w:rPr>
          <w:rFonts w:ascii="Times New Roman" w:hAnsi="Times New Roman" w:cs="Times New Roman"/>
          <w:bCs/>
          <w:sz w:val="24"/>
          <w:szCs w:val="24"/>
          <w:lang w:val="en-GB"/>
        </w:rPr>
        <w:t xml:space="preserve"> </w:t>
      </w:r>
    </w:p>
    <w:p w14:paraId="530AED3C" w14:textId="14E5D65F" w:rsidR="002E2987" w:rsidRPr="00B46D18" w:rsidRDefault="002E2987" w:rsidP="004141E7">
      <w:pPr>
        <w:spacing w:after="0" w:line="480" w:lineRule="auto"/>
        <w:ind w:firstLine="720"/>
        <w:contextualSpacing/>
        <w:jc w:val="both"/>
        <w:rPr>
          <w:rFonts w:ascii="Times New Roman" w:eastAsia="Times New Roman" w:hAnsi="Times New Roman" w:cs="Times New Roman"/>
          <w:sz w:val="24"/>
          <w:szCs w:val="24"/>
          <w:lang w:val="en-GB" w:eastAsia="en-GB"/>
        </w:rPr>
      </w:pPr>
      <w:r w:rsidRPr="00B46D18">
        <w:rPr>
          <w:rFonts w:ascii="Times New Roman" w:hAnsi="Times New Roman" w:cs="Times New Roman"/>
          <w:bCs/>
          <w:sz w:val="24"/>
          <w:szCs w:val="24"/>
          <w:lang w:val="en-GB"/>
        </w:rPr>
        <w:t>Heath want</w:t>
      </w:r>
      <w:r w:rsidR="00F82084" w:rsidRPr="00B46D18">
        <w:rPr>
          <w:rFonts w:ascii="Times New Roman" w:hAnsi="Times New Roman" w:cs="Times New Roman"/>
          <w:bCs/>
          <w:sz w:val="24"/>
          <w:szCs w:val="24"/>
          <w:lang w:val="en-GB"/>
        </w:rPr>
        <w:t>ed</w:t>
      </w:r>
      <w:r w:rsidRPr="00B46D18">
        <w:rPr>
          <w:rFonts w:ascii="Times New Roman" w:hAnsi="Times New Roman" w:cs="Times New Roman"/>
          <w:bCs/>
          <w:sz w:val="24"/>
          <w:szCs w:val="24"/>
          <w:lang w:val="en-GB"/>
        </w:rPr>
        <w:t xml:space="preserve"> to modernise the British economy. His strategy for promoting economic growth involved</w:t>
      </w:r>
      <w:r w:rsidR="00AD799B" w:rsidRPr="00B46D18">
        <w:rPr>
          <w:rFonts w:ascii="Times New Roman" w:hAnsi="Times New Roman" w:cs="Times New Roman"/>
          <w:bCs/>
          <w:sz w:val="24"/>
          <w:szCs w:val="24"/>
          <w:lang w:val="en-GB"/>
        </w:rPr>
        <w:t xml:space="preserve"> reducing state intervention in the economy</w:t>
      </w:r>
      <w:r w:rsidR="00DB712D" w:rsidRPr="00B46D18">
        <w:rPr>
          <w:rStyle w:val="FootnoteReference"/>
          <w:rFonts w:ascii="Times New Roman" w:hAnsi="Times New Roman" w:cs="Times New Roman"/>
          <w:bCs/>
          <w:sz w:val="24"/>
          <w:szCs w:val="24"/>
          <w:lang w:val="en-GB"/>
        </w:rPr>
        <w:footnoteReference w:id="3"/>
      </w:r>
      <w:r w:rsidR="00AD799B" w:rsidRPr="00B46D18">
        <w:rPr>
          <w:rFonts w:ascii="Times New Roman" w:hAnsi="Times New Roman" w:cs="Times New Roman"/>
          <w:bCs/>
          <w:sz w:val="24"/>
          <w:szCs w:val="24"/>
          <w:lang w:val="en-GB"/>
        </w:rPr>
        <w:t xml:space="preserve">; making the case for lowering both taxation and public expenditure; advancing competition and promoting efficiency. </w:t>
      </w:r>
      <w:r w:rsidRPr="00B46D18">
        <w:rPr>
          <w:rFonts w:ascii="Times New Roman" w:hAnsi="Times New Roman" w:cs="Times New Roman"/>
          <w:bCs/>
          <w:sz w:val="24"/>
          <w:szCs w:val="24"/>
          <w:lang w:val="en-GB"/>
        </w:rPr>
        <w:t>To initiate this plan for economic modernisation required</w:t>
      </w:r>
      <w:r w:rsidR="00146871" w:rsidRPr="00B46D18">
        <w:rPr>
          <w:rFonts w:ascii="Times New Roman" w:hAnsi="Times New Roman" w:cs="Times New Roman"/>
          <w:bCs/>
          <w:sz w:val="24"/>
          <w:szCs w:val="24"/>
          <w:lang w:val="en-GB"/>
        </w:rPr>
        <w:t xml:space="preserve"> entry into the E</w:t>
      </w:r>
      <w:r w:rsidR="008B1D59">
        <w:rPr>
          <w:rFonts w:ascii="Times New Roman" w:hAnsi="Times New Roman" w:cs="Times New Roman"/>
          <w:bCs/>
          <w:sz w:val="24"/>
          <w:szCs w:val="24"/>
          <w:lang w:val="en-GB"/>
        </w:rPr>
        <w:t>uropean Economic Community and</w:t>
      </w:r>
      <w:r w:rsidRPr="00B46D18">
        <w:rPr>
          <w:rFonts w:ascii="Times New Roman" w:hAnsi="Times New Roman" w:cs="Times New Roman"/>
          <w:bCs/>
          <w:sz w:val="24"/>
          <w:szCs w:val="24"/>
          <w:lang w:val="en-GB"/>
        </w:rPr>
        <w:t xml:space="preserve"> trade union reform, increasing selectivity in terms of the </w:t>
      </w:r>
      <w:r w:rsidRPr="007C437A">
        <w:rPr>
          <w:rFonts w:ascii="Times New Roman" w:hAnsi="Times New Roman" w:cs="Times New Roman"/>
          <w:bCs/>
          <w:sz w:val="24"/>
          <w:szCs w:val="24"/>
          <w:lang w:val="en-GB"/>
        </w:rPr>
        <w:t>allocation of welfare entitlements and the rejection of formal prices and incomes policies (</w:t>
      </w:r>
      <w:r w:rsidR="00A96CC7" w:rsidRPr="007C437A">
        <w:rPr>
          <w:rFonts w:ascii="Times New Roman" w:hAnsi="Times New Roman" w:cs="Times New Roman"/>
          <w:bCs/>
          <w:sz w:val="24"/>
          <w:szCs w:val="24"/>
          <w:lang w:val="en-GB"/>
        </w:rPr>
        <w:t>Kavanagh, 1996: 366).</w:t>
      </w:r>
      <w:r w:rsidR="00A96CC7" w:rsidRPr="00B46D18">
        <w:rPr>
          <w:rFonts w:ascii="Times New Roman" w:hAnsi="Times New Roman" w:cs="Times New Roman"/>
          <w:bCs/>
          <w:sz w:val="24"/>
          <w:szCs w:val="24"/>
          <w:lang w:val="en-GB"/>
        </w:rPr>
        <w:t xml:space="preserve"> Furthermore, </w:t>
      </w:r>
      <w:r w:rsidR="00A96CC7" w:rsidRPr="00B46D18">
        <w:rPr>
          <w:rFonts w:ascii="Times New Roman" w:eastAsia="Times New Roman" w:hAnsi="Times New Roman" w:cs="Times New Roman"/>
          <w:sz w:val="24"/>
          <w:szCs w:val="24"/>
          <w:lang w:val="en-GB" w:eastAsia="en-GB"/>
        </w:rPr>
        <w:t>his</w:t>
      </w:r>
      <w:r w:rsidRPr="00B46D18">
        <w:rPr>
          <w:rFonts w:ascii="Times New Roman" w:eastAsia="Times New Roman" w:hAnsi="Times New Roman" w:cs="Times New Roman"/>
          <w:sz w:val="24"/>
          <w:szCs w:val="24"/>
          <w:lang w:val="en-GB" w:eastAsia="en-GB"/>
        </w:rPr>
        <w:t xml:space="preserve"> commitment to this</w:t>
      </w:r>
      <w:r w:rsidR="00A67713" w:rsidRPr="00B46D18">
        <w:rPr>
          <w:rFonts w:ascii="Times New Roman" w:eastAsia="Times New Roman" w:hAnsi="Times New Roman" w:cs="Times New Roman"/>
          <w:sz w:val="24"/>
          <w:szCs w:val="24"/>
          <w:lang w:val="en-GB" w:eastAsia="en-GB"/>
        </w:rPr>
        <w:t xml:space="preserve"> new approach </w:t>
      </w:r>
      <w:r w:rsidRPr="00B46D18">
        <w:rPr>
          <w:rFonts w:ascii="Times New Roman" w:eastAsia="Times New Roman" w:hAnsi="Times New Roman" w:cs="Times New Roman"/>
          <w:sz w:val="24"/>
          <w:szCs w:val="24"/>
          <w:lang w:val="en-GB" w:eastAsia="en-GB"/>
        </w:rPr>
        <w:t xml:space="preserve">seemed to be clear </w:t>
      </w:r>
      <w:r w:rsidR="00DB712D" w:rsidRPr="00B46D18">
        <w:rPr>
          <w:rFonts w:ascii="Times New Roman" w:eastAsia="Times New Roman" w:hAnsi="Times New Roman" w:cs="Times New Roman"/>
          <w:sz w:val="24"/>
          <w:szCs w:val="24"/>
          <w:lang w:val="en-GB" w:eastAsia="en-GB"/>
        </w:rPr>
        <w:t>from the language used in the Con</w:t>
      </w:r>
      <w:r w:rsidRPr="00B46D18">
        <w:rPr>
          <w:rFonts w:ascii="Times New Roman" w:eastAsia="Times New Roman" w:hAnsi="Times New Roman" w:cs="Times New Roman"/>
          <w:sz w:val="24"/>
          <w:szCs w:val="24"/>
          <w:lang w:val="en-GB" w:eastAsia="en-GB"/>
        </w:rPr>
        <w:t>servative Party manifesto of 1970</w:t>
      </w:r>
      <w:r w:rsidR="00A96CC7" w:rsidRPr="00B46D18">
        <w:rPr>
          <w:rFonts w:ascii="Times New Roman" w:eastAsia="Times New Roman" w:hAnsi="Times New Roman" w:cs="Times New Roman"/>
          <w:sz w:val="24"/>
          <w:szCs w:val="24"/>
          <w:lang w:val="en-GB" w:eastAsia="en-GB"/>
        </w:rPr>
        <w:t xml:space="preserve">, as Heath argued that: </w:t>
      </w:r>
    </w:p>
    <w:p w14:paraId="1B952E28" w14:textId="77777777" w:rsidR="002675BF" w:rsidRPr="00B46D18" w:rsidRDefault="002675BF" w:rsidP="004141E7">
      <w:pPr>
        <w:spacing w:after="0" w:line="480" w:lineRule="auto"/>
        <w:ind w:firstLine="720"/>
        <w:contextualSpacing/>
        <w:jc w:val="both"/>
        <w:rPr>
          <w:rFonts w:ascii="Times New Roman" w:eastAsia="Times New Roman" w:hAnsi="Times New Roman" w:cs="Times New Roman"/>
          <w:sz w:val="24"/>
          <w:szCs w:val="24"/>
          <w:lang w:val="en-GB" w:eastAsia="en-GB"/>
        </w:rPr>
      </w:pPr>
    </w:p>
    <w:p w14:paraId="675720CA" w14:textId="586819FB" w:rsidR="00A67713" w:rsidRPr="00B46D18" w:rsidRDefault="00A67713" w:rsidP="004141E7">
      <w:pPr>
        <w:spacing w:after="0" w:line="480" w:lineRule="auto"/>
        <w:ind w:left="720"/>
        <w:contextualSpacing/>
        <w:jc w:val="both"/>
        <w:rPr>
          <w:rFonts w:ascii="Times New Roman" w:eastAsia="SimSun" w:hAnsi="Times New Roman" w:cs="Times New Roman"/>
          <w:sz w:val="24"/>
          <w:szCs w:val="24"/>
          <w:lang w:val="en-GB" w:eastAsia="zh-CN"/>
        </w:rPr>
      </w:pPr>
      <w:r w:rsidRPr="00B46D18">
        <w:rPr>
          <w:rFonts w:ascii="Times New Roman" w:eastAsia="SimSun" w:hAnsi="Times New Roman" w:cs="Times New Roman"/>
          <w:sz w:val="24"/>
          <w:szCs w:val="24"/>
          <w:lang w:val="en-GB" w:eastAsia="zh-CN"/>
        </w:rPr>
        <w:t>I want to see a fresh approach to the taking of decisions. The Government should seek the best advice and listen carefully to it. It should not rush into decisions, it should use up to date techniques for assessing the situation, it should be deliberate and thorough</w:t>
      </w:r>
      <w:r w:rsidR="008B1D59">
        <w:rPr>
          <w:rFonts w:ascii="Times New Roman" w:eastAsia="SimSun" w:hAnsi="Times New Roman" w:cs="Times New Roman"/>
          <w:sz w:val="24"/>
          <w:szCs w:val="24"/>
          <w:lang w:val="en-GB" w:eastAsia="zh-CN"/>
        </w:rPr>
        <w:t xml:space="preserve"> </w:t>
      </w:r>
      <w:r w:rsidRPr="00B46D18">
        <w:rPr>
          <w:rFonts w:ascii="Times New Roman" w:eastAsia="SimSun" w:hAnsi="Times New Roman" w:cs="Times New Roman"/>
          <w:sz w:val="24"/>
          <w:szCs w:val="24"/>
          <w:lang w:val="en-GB" w:eastAsia="zh-CN"/>
        </w:rPr>
        <w:t>...</w:t>
      </w:r>
      <w:r w:rsidR="008B1D59">
        <w:rPr>
          <w:rFonts w:ascii="Times New Roman" w:eastAsia="SimSun" w:hAnsi="Times New Roman" w:cs="Times New Roman"/>
          <w:sz w:val="24"/>
          <w:szCs w:val="24"/>
          <w:lang w:val="en-GB" w:eastAsia="zh-CN"/>
        </w:rPr>
        <w:t xml:space="preserve"> </w:t>
      </w:r>
      <w:r w:rsidRPr="00B46D18">
        <w:rPr>
          <w:rFonts w:ascii="Times New Roman" w:eastAsia="SimSun" w:hAnsi="Times New Roman" w:cs="Times New Roman"/>
          <w:i/>
          <w:sz w:val="24"/>
          <w:szCs w:val="24"/>
          <w:lang w:val="en-GB" w:eastAsia="zh-CN"/>
        </w:rPr>
        <w:t>once a decision is made, once a policy is established, the Prime Minister and his colleagues should have the courage to stick to it</w:t>
      </w:r>
      <w:r w:rsidR="008B1D59">
        <w:rPr>
          <w:rFonts w:ascii="Times New Roman" w:eastAsia="SimSun" w:hAnsi="Times New Roman" w:cs="Times New Roman"/>
          <w:i/>
          <w:sz w:val="24"/>
          <w:szCs w:val="24"/>
          <w:lang w:val="en-GB" w:eastAsia="zh-CN"/>
        </w:rPr>
        <w:t xml:space="preserve"> </w:t>
      </w:r>
      <w:r w:rsidRPr="00B46D18">
        <w:rPr>
          <w:rFonts w:ascii="Times New Roman" w:eastAsia="SimSun" w:hAnsi="Times New Roman" w:cs="Times New Roman"/>
          <w:sz w:val="24"/>
          <w:szCs w:val="24"/>
          <w:lang w:val="en-GB" w:eastAsia="zh-CN"/>
        </w:rPr>
        <w:t>...</w:t>
      </w:r>
      <w:r w:rsidR="008B1D59">
        <w:rPr>
          <w:rFonts w:ascii="Times New Roman" w:eastAsia="SimSun" w:hAnsi="Times New Roman" w:cs="Times New Roman"/>
          <w:sz w:val="24"/>
          <w:szCs w:val="24"/>
          <w:lang w:val="en-GB" w:eastAsia="zh-CN"/>
        </w:rPr>
        <w:t xml:space="preserve"> </w:t>
      </w:r>
      <w:r w:rsidRPr="00B46D18">
        <w:rPr>
          <w:rFonts w:ascii="Times New Roman" w:eastAsia="SimSun" w:hAnsi="Times New Roman" w:cs="Times New Roman"/>
          <w:sz w:val="24"/>
          <w:szCs w:val="24"/>
          <w:lang w:val="en-GB" w:eastAsia="zh-CN"/>
        </w:rPr>
        <w:t xml:space="preserve">courage and intellectual honesty are essential qualities in politics, and in the interests of our country it is high time we saw them again </w:t>
      </w:r>
      <w:r w:rsidRPr="00E068C0">
        <w:rPr>
          <w:rFonts w:ascii="Times New Roman" w:eastAsia="SimSun" w:hAnsi="Times New Roman" w:cs="Times New Roman"/>
          <w:sz w:val="24"/>
          <w:szCs w:val="24"/>
          <w:lang w:val="en-GB" w:eastAsia="zh-CN"/>
        </w:rPr>
        <w:t>(</w:t>
      </w:r>
      <w:r w:rsidR="008B1D59">
        <w:rPr>
          <w:rFonts w:ascii="Times New Roman" w:eastAsia="SimSun" w:hAnsi="Times New Roman" w:cs="Times New Roman"/>
          <w:sz w:val="24"/>
          <w:szCs w:val="24"/>
          <w:lang w:val="en-GB" w:eastAsia="zh-CN"/>
        </w:rPr>
        <w:t xml:space="preserve">quoted in </w:t>
      </w:r>
      <w:r w:rsidRPr="00E068C0">
        <w:rPr>
          <w:rFonts w:ascii="Times New Roman" w:eastAsia="SimSun" w:hAnsi="Times New Roman" w:cs="Times New Roman"/>
          <w:sz w:val="24"/>
          <w:szCs w:val="24"/>
          <w:lang w:val="en-GB" w:eastAsia="zh-CN"/>
        </w:rPr>
        <w:t>Campbell</w:t>
      </w:r>
      <w:r w:rsidR="008B1D59">
        <w:rPr>
          <w:rFonts w:ascii="Times New Roman" w:eastAsia="SimSun" w:hAnsi="Times New Roman" w:cs="Times New Roman"/>
          <w:sz w:val="24"/>
          <w:szCs w:val="24"/>
          <w:lang w:val="en-GB" w:eastAsia="zh-CN"/>
        </w:rPr>
        <w:t>,</w:t>
      </w:r>
      <w:r w:rsidRPr="00E068C0">
        <w:rPr>
          <w:rFonts w:ascii="Times New Roman" w:eastAsia="SimSun" w:hAnsi="Times New Roman" w:cs="Times New Roman"/>
          <w:sz w:val="24"/>
          <w:szCs w:val="24"/>
          <w:lang w:val="en-GB" w:eastAsia="zh-CN"/>
        </w:rPr>
        <w:t xml:space="preserve"> 1993: 271).</w:t>
      </w:r>
    </w:p>
    <w:p w14:paraId="48B0A1B2" w14:textId="3B3804B4" w:rsidR="002E2987" w:rsidRPr="00B46D18" w:rsidRDefault="002E2987" w:rsidP="004141E7">
      <w:pPr>
        <w:spacing w:after="0" w:line="480" w:lineRule="auto"/>
        <w:contextualSpacing/>
        <w:jc w:val="both"/>
        <w:rPr>
          <w:rFonts w:ascii="Times New Roman" w:eastAsia="SimSun" w:hAnsi="Times New Roman" w:cs="Times New Roman"/>
          <w:sz w:val="24"/>
          <w:szCs w:val="24"/>
          <w:lang w:val="en-GB" w:eastAsia="zh-CN"/>
        </w:rPr>
      </w:pPr>
    </w:p>
    <w:p w14:paraId="6249BFBA" w14:textId="289171DD" w:rsidR="002E2987" w:rsidRPr="00B46D18" w:rsidRDefault="00DB712D" w:rsidP="004141E7">
      <w:pPr>
        <w:spacing w:after="0" w:line="480" w:lineRule="auto"/>
        <w:ind w:firstLine="720"/>
        <w:contextualSpacing/>
        <w:jc w:val="both"/>
        <w:rPr>
          <w:rFonts w:ascii="Times New Roman" w:eastAsia="SimSun" w:hAnsi="Times New Roman" w:cs="Times New Roman"/>
          <w:sz w:val="24"/>
          <w:szCs w:val="24"/>
          <w:lang w:val="en-GB" w:eastAsia="zh-CN"/>
        </w:rPr>
      </w:pPr>
      <w:r w:rsidRPr="00B46D18">
        <w:rPr>
          <w:rFonts w:ascii="Times New Roman" w:eastAsia="SimSun" w:hAnsi="Times New Roman" w:cs="Times New Roman"/>
          <w:sz w:val="24"/>
          <w:szCs w:val="24"/>
          <w:lang w:val="en-GB" w:eastAsia="zh-CN"/>
        </w:rPr>
        <w:t xml:space="preserve">That commitment seemed to be reaffirmed in the speech that Heath gave to the </w:t>
      </w:r>
      <w:r w:rsidR="002E2987" w:rsidRPr="00B46D18">
        <w:rPr>
          <w:rFonts w:ascii="Times New Roman" w:eastAsia="SimSun" w:hAnsi="Times New Roman" w:cs="Times New Roman"/>
          <w:sz w:val="24"/>
          <w:szCs w:val="24"/>
          <w:lang w:val="en-GB" w:eastAsia="zh-CN"/>
        </w:rPr>
        <w:t xml:space="preserve">Conservative Party Annual Conference of late 1970, just a few months after entering Downing Street after the General Election of June that year.  Dubbed the ‘quiet revolution’ speech, Heath </w:t>
      </w:r>
      <w:r w:rsidRPr="00B46D18">
        <w:rPr>
          <w:rFonts w:ascii="Times New Roman" w:eastAsia="SimSun" w:hAnsi="Times New Roman" w:cs="Times New Roman"/>
          <w:sz w:val="24"/>
          <w:szCs w:val="24"/>
          <w:lang w:val="en-GB" w:eastAsia="zh-CN"/>
        </w:rPr>
        <w:t>argued</w:t>
      </w:r>
      <w:r w:rsidR="002E2987" w:rsidRPr="00B46D18">
        <w:rPr>
          <w:rFonts w:ascii="Times New Roman" w:eastAsia="SimSun" w:hAnsi="Times New Roman" w:cs="Times New Roman"/>
          <w:sz w:val="24"/>
          <w:szCs w:val="24"/>
          <w:lang w:val="en-GB" w:eastAsia="zh-CN"/>
        </w:rPr>
        <w:t xml:space="preserve"> that: </w:t>
      </w:r>
    </w:p>
    <w:p w14:paraId="23C07463" w14:textId="77777777" w:rsidR="002E2987" w:rsidRPr="00B46D18" w:rsidRDefault="002E2987" w:rsidP="004141E7">
      <w:pPr>
        <w:spacing w:after="0" w:line="480" w:lineRule="auto"/>
        <w:contextualSpacing/>
        <w:jc w:val="both"/>
        <w:rPr>
          <w:rFonts w:ascii="Times New Roman" w:eastAsia="Times New Roman" w:hAnsi="Times New Roman" w:cs="Times New Roman"/>
          <w:sz w:val="24"/>
          <w:szCs w:val="24"/>
          <w:lang w:val="en-GB" w:eastAsia="en-GB"/>
        </w:rPr>
      </w:pPr>
    </w:p>
    <w:p w14:paraId="3C1E7BD4" w14:textId="5347E319" w:rsidR="002E2987" w:rsidRPr="00B46D18" w:rsidRDefault="002E2987" w:rsidP="004141E7">
      <w:pPr>
        <w:spacing w:after="0" w:line="480" w:lineRule="auto"/>
        <w:ind w:left="720"/>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sz w:val="24"/>
          <w:szCs w:val="24"/>
          <w:shd w:val="clear" w:color="auto" w:fill="FFFFFF"/>
          <w:lang w:val="en-GB"/>
        </w:rPr>
        <w:t xml:space="preserve">This then is the task to which your Government is dedicated: to give to all our people both freedom and responsibility. That is the challenge and from it will come opportunity. Opportunity to take our destiny, </w:t>
      </w:r>
      <w:r w:rsidRPr="00B46D18">
        <w:rPr>
          <w:rFonts w:ascii="Times New Roman" w:hAnsi="Times New Roman" w:cs="Times New Roman"/>
          <w:sz w:val="24"/>
          <w:szCs w:val="24"/>
          <w:shd w:val="clear" w:color="auto" w:fill="FFFFFF"/>
          <w:lang w:val="en-GB"/>
        </w:rPr>
        <w:lastRenderedPageBreak/>
        <w:t xml:space="preserve">the destiny of the nation, once again in our own hands. </w:t>
      </w:r>
      <w:r w:rsidRPr="00B46D18">
        <w:rPr>
          <w:rFonts w:ascii="Times New Roman" w:hAnsi="Times New Roman" w:cs="Times New Roman"/>
          <w:i/>
          <w:iCs/>
          <w:sz w:val="24"/>
          <w:szCs w:val="24"/>
          <w:shd w:val="clear" w:color="auto" w:fill="FFFFFF"/>
          <w:lang w:val="en-GB"/>
        </w:rPr>
        <w:t>If we are to achieve this task we will have to embark on a change so radical, a revolution so quiet and yet so total, that it will go far beyond the programme for a Parliament to which we are committed and on which we have already embarked; far beyond this decade and way into the 1980s</w:t>
      </w:r>
      <w:r w:rsidRPr="00B46D18">
        <w:rPr>
          <w:rFonts w:ascii="Times New Roman" w:hAnsi="Times New Roman" w:cs="Times New Roman"/>
          <w:sz w:val="24"/>
          <w:szCs w:val="24"/>
          <w:shd w:val="clear" w:color="auto" w:fill="FFFFFF"/>
          <w:lang w:val="en-GB"/>
        </w:rPr>
        <w:t xml:space="preserve">. For it is the task of building something of style, of substance, and worth; something so important to the life and the future of this country of ours. We can only hope to begin now what future Conservative Governments will continue and complete. We are laying the foundations, but they are the foundations for a generation </w:t>
      </w:r>
      <w:r w:rsidRPr="00700F3A">
        <w:rPr>
          <w:rFonts w:ascii="Times New Roman" w:hAnsi="Times New Roman" w:cs="Times New Roman"/>
          <w:sz w:val="24"/>
          <w:szCs w:val="24"/>
          <w:shd w:val="clear" w:color="auto" w:fill="FFFFFF"/>
          <w:lang w:val="en-GB"/>
        </w:rPr>
        <w:t>(Heath, 1970).</w:t>
      </w:r>
    </w:p>
    <w:p w14:paraId="308FBC60" w14:textId="153A78FB" w:rsidR="00DB712D" w:rsidRPr="00B46D18" w:rsidRDefault="00DB712D" w:rsidP="004141E7">
      <w:pPr>
        <w:spacing w:after="0" w:line="480" w:lineRule="auto"/>
        <w:contextualSpacing/>
        <w:jc w:val="both"/>
        <w:rPr>
          <w:rFonts w:ascii="Times New Roman" w:hAnsi="Times New Roman" w:cs="Times New Roman"/>
          <w:sz w:val="24"/>
          <w:szCs w:val="24"/>
          <w:shd w:val="clear" w:color="auto" w:fill="FFFFFF"/>
          <w:lang w:val="en-GB"/>
        </w:rPr>
      </w:pPr>
    </w:p>
    <w:p w14:paraId="7A0946CD" w14:textId="784302D3" w:rsidR="00A47C7E" w:rsidRPr="00B46D18" w:rsidRDefault="00DB712D" w:rsidP="004141E7">
      <w:pPr>
        <w:spacing w:after="0"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sz w:val="24"/>
          <w:szCs w:val="24"/>
          <w:shd w:val="clear" w:color="auto" w:fill="FFFFFF"/>
          <w:lang w:val="en-GB"/>
        </w:rPr>
        <w:tab/>
        <w:t xml:space="preserve">The rhetoric used appeared to be long term and left little room for ambiguity. </w:t>
      </w:r>
      <w:r w:rsidR="00341E5F" w:rsidRPr="00B46D18">
        <w:rPr>
          <w:rFonts w:ascii="Times New Roman" w:hAnsi="Times New Roman" w:cs="Times New Roman"/>
          <w:sz w:val="24"/>
          <w:szCs w:val="24"/>
          <w:shd w:val="clear" w:color="auto" w:fill="FFFFFF"/>
          <w:lang w:val="en-GB"/>
        </w:rPr>
        <w:t>After an initial attempt to begin the process of implementing their agenda</w:t>
      </w:r>
      <w:r w:rsidR="00B46D18" w:rsidRPr="00B46D18">
        <w:rPr>
          <w:rFonts w:ascii="Times New Roman" w:hAnsi="Times New Roman" w:cs="Times New Roman"/>
          <w:sz w:val="24"/>
          <w:szCs w:val="24"/>
          <w:shd w:val="clear" w:color="auto" w:fill="FFFFFF"/>
          <w:lang w:val="en-GB"/>
        </w:rPr>
        <w:t>,</w:t>
      </w:r>
      <w:r w:rsidR="00341E5F" w:rsidRPr="00B46D18">
        <w:rPr>
          <w:rFonts w:ascii="Times New Roman" w:hAnsi="Times New Roman" w:cs="Times New Roman"/>
          <w:sz w:val="24"/>
          <w:szCs w:val="24"/>
          <w:shd w:val="clear" w:color="auto" w:fill="FFFFFF"/>
          <w:lang w:val="en-GB"/>
        </w:rPr>
        <w:t xml:space="preserve"> the evidence that it could work was not immediately evident. </w:t>
      </w:r>
      <w:r w:rsidR="00886A83" w:rsidRPr="00B46D18">
        <w:rPr>
          <w:rFonts w:ascii="Times New Roman" w:hAnsi="Times New Roman" w:cs="Times New Roman"/>
          <w:sz w:val="24"/>
          <w:szCs w:val="24"/>
          <w:shd w:val="clear" w:color="auto" w:fill="FFFFFF"/>
          <w:lang w:val="en-GB"/>
        </w:rPr>
        <w:t xml:space="preserve">Not only was </w:t>
      </w:r>
      <w:r w:rsidR="00341E5F" w:rsidRPr="00B46D18">
        <w:rPr>
          <w:rFonts w:ascii="Times New Roman" w:hAnsi="Times New Roman" w:cs="Times New Roman"/>
          <w:sz w:val="24"/>
          <w:szCs w:val="24"/>
          <w:shd w:val="clear" w:color="auto" w:fill="FFFFFF"/>
          <w:lang w:val="en-GB"/>
        </w:rPr>
        <w:t>inflation increasing, but what was more problematic was the increases in unemployment, which hit the one million mark in the winter of 1971-72, a figure that Heath feared was political unacceptable (i.e. re-</w:t>
      </w:r>
      <w:r w:rsidR="00341E5F" w:rsidRPr="007C437A">
        <w:rPr>
          <w:rFonts w:ascii="Times New Roman" w:hAnsi="Times New Roman" w:cs="Times New Roman"/>
          <w:sz w:val="24"/>
          <w:szCs w:val="24"/>
          <w:shd w:val="clear" w:color="auto" w:fill="FFFFFF"/>
          <w:lang w:val="en-GB"/>
        </w:rPr>
        <w:t>election would not be possible at this level) (Kavanagh, 1996: 373). As a consequence, Heath engaged in a process</w:t>
      </w:r>
      <w:r w:rsidR="00341E5F" w:rsidRPr="00B46D18">
        <w:rPr>
          <w:rFonts w:ascii="Times New Roman" w:hAnsi="Times New Roman" w:cs="Times New Roman"/>
          <w:sz w:val="24"/>
          <w:szCs w:val="24"/>
          <w:shd w:val="clear" w:color="auto" w:fill="FFFFFF"/>
          <w:lang w:val="en-GB"/>
        </w:rPr>
        <w:t xml:space="preserve"> of policy reappraisal that he thought represented pragmatic adjustments</w:t>
      </w:r>
      <w:r w:rsidR="002C21D7">
        <w:rPr>
          <w:rFonts w:ascii="Times New Roman" w:hAnsi="Times New Roman" w:cs="Times New Roman"/>
          <w:sz w:val="24"/>
          <w:szCs w:val="24"/>
          <w:shd w:val="clear" w:color="auto" w:fill="FFFFFF"/>
          <w:lang w:val="en-GB"/>
        </w:rPr>
        <w:t>,</w:t>
      </w:r>
      <w:r w:rsidR="00341E5F" w:rsidRPr="00B46D18">
        <w:rPr>
          <w:rFonts w:ascii="Times New Roman" w:hAnsi="Times New Roman" w:cs="Times New Roman"/>
          <w:sz w:val="24"/>
          <w:szCs w:val="24"/>
          <w:shd w:val="clear" w:color="auto" w:fill="FFFFFF"/>
          <w:lang w:val="en-GB"/>
        </w:rPr>
        <w:t xml:space="preserve"> but his right</w:t>
      </w:r>
      <w:r w:rsidR="00886A83" w:rsidRPr="00B46D18">
        <w:rPr>
          <w:rFonts w:ascii="Times New Roman" w:hAnsi="Times New Roman" w:cs="Times New Roman"/>
          <w:sz w:val="24"/>
          <w:szCs w:val="24"/>
          <w:shd w:val="clear" w:color="auto" w:fill="FFFFFF"/>
          <w:lang w:val="en-GB"/>
        </w:rPr>
        <w:t>-</w:t>
      </w:r>
      <w:r w:rsidR="00341E5F" w:rsidRPr="00B46D18">
        <w:rPr>
          <w:rFonts w:ascii="Times New Roman" w:hAnsi="Times New Roman" w:cs="Times New Roman"/>
          <w:sz w:val="24"/>
          <w:szCs w:val="24"/>
          <w:shd w:val="clear" w:color="auto" w:fill="FFFFFF"/>
          <w:lang w:val="en-GB"/>
        </w:rPr>
        <w:t>wing critics thought smacked of betrayal (</w:t>
      </w:r>
      <w:r w:rsidR="00A47C7E" w:rsidRPr="00E068C0">
        <w:rPr>
          <w:rFonts w:ascii="Times New Roman" w:hAnsi="Times New Roman" w:cs="Times New Roman"/>
          <w:sz w:val="24"/>
          <w:szCs w:val="24"/>
          <w:lang w:val="en-GB"/>
        </w:rPr>
        <w:t>Bruce-</w:t>
      </w:r>
      <w:proofErr w:type="spellStart"/>
      <w:r w:rsidR="00A47C7E" w:rsidRPr="00E068C0">
        <w:rPr>
          <w:rFonts w:ascii="Times New Roman" w:hAnsi="Times New Roman" w:cs="Times New Roman"/>
          <w:sz w:val="24"/>
          <w:szCs w:val="24"/>
          <w:lang w:val="en-GB"/>
        </w:rPr>
        <w:t>Gardyne</w:t>
      </w:r>
      <w:proofErr w:type="spellEnd"/>
      <w:r w:rsidR="00A47C7E" w:rsidRPr="00E068C0">
        <w:rPr>
          <w:rFonts w:ascii="Times New Roman" w:hAnsi="Times New Roman" w:cs="Times New Roman"/>
          <w:sz w:val="24"/>
          <w:szCs w:val="24"/>
          <w:lang w:val="en-GB"/>
        </w:rPr>
        <w:t xml:space="preserve">, </w:t>
      </w:r>
      <w:r w:rsidR="00A47C7E" w:rsidRPr="007C437A">
        <w:rPr>
          <w:rFonts w:ascii="Times New Roman" w:hAnsi="Times New Roman" w:cs="Times New Roman"/>
          <w:sz w:val="24"/>
          <w:szCs w:val="24"/>
          <w:lang w:val="en-GB"/>
        </w:rPr>
        <w:t xml:space="preserve">1974; </w:t>
      </w:r>
      <w:r w:rsidR="00552319" w:rsidRPr="007C437A">
        <w:rPr>
          <w:rFonts w:ascii="Times New Roman" w:hAnsi="Times New Roman" w:cs="Times New Roman"/>
          <w:sz w:val="24"/>
          <w:szCs w:val="24"/>
          <w:shd w:val="clear" w:color="auto" w:fill="FFFFFF"/>
          <w:lang w:val="en-GB"/>
        </w:rPr>
        <w:t>Holmes, 1982, 1997</w:t>
      </w:r>
      <w:r w:rsidR="00886A83" w:rsidRPr="007C437A">
        <w:rPr>
          <w:rFonts w:ascii="Times New Roman" w:hAnsi="Times New Roman" w:cs="Times New Roman"/>
          <w:sz w:val="24"/>
          <w:szCs w:val="24"/>
          <w:shd w:val="clear" w:color="auto" w:fill="FFFFFF"/>
          <w:lang w:val="en-GB"/>
        </w:rPr>
        <w:t>).</w:t>
      </w:r>
      <w:r w:rsidR="00886A83" w:rsidRPr="00B46D18">
        <w:rPr>
          <w:rFonts w:ascii="Times New Roman" w:hAnsi="Times New Roman" w:cs="Times New Roman"/>
          <w:sz w:val="24"/>
          <w:szCs w:val="24"/>
          <w:shd w:val="clear" w:color="auto" w:fill="FFFFFF"/>
          <w:lang w:val="en-GB"/>
        </w:rPr>
        <w:t xml:space="preserve"> The belief in a hands-off appro</w:t>
      </w:r>
      <w:r w:rsidR="002C21D7">
        <w:rPr>
          <w:rFonts w:ascii="Times New Roman" w:hAnsi="Times New Roman" w:cs="Times New Roman"/>
          <w:sz w:val="24"/>
          <w:szCs w:val="24"/>
          <w:shd w:val="clear" w:color="auto" w:fill="FFFFFF"/>
          <w:lang w:val="en-GB"/>
        </w:rPr>
        <w:t>ach to industry and to not bail-</w:t>
      </w:r>
      <w:r w:rsidR="00886A83" w:rsidRPr="00B46D18">
        <w:rPr>
          <w:rFonts w:ascii="Times New Roman" w:hAnsi="Times New Roman" w:cs="Times New Roman"/>
          <w:sz w:val="24"/>
          <w:szCs w:val="24"/>
          <w:shd w:val="clear" w:color="auto" w:fill="FFFFFF"/>
          <w:lang w:val="en-GB"/>
        </w:rPr>
        <w:t>out failing companies was backtracked on as they intervened to na</w:t>
      </w:r>
      <w:r w:rsidR="00B46D18" w:rsidRPr="00B46D18">
        <w:rPr>
          <w:rFonts w:ascii="Times New Roman" w:hAnsi="Times New Roman" w:cs="Times New Roman"/>
          <w:sz w:val="24"/>
          <w:szCs w:val="24"/>
          <w:shd w:val="clear" w:color="auto" w:fill="FFFFFF"/>
          <w:lang w:val="en-GB"/>
        </w:rPr>
        <w:t>tionalis</w:t>
      </w:r>
      <w:r w:rsidR="00886A83" w:rsidRPr="00B46D18">
        <w:rPr>
          <w:rFonts w:ascii="Times New Roman" w:hAnsi="Times New Roman" w:cs="Times New Roman"/>
          <w:sz w:val="24"/>
          <w:szCs w:val="24"/>
          <w:shd w:val="clear" w:color="auto" w:fill="FFFFFF"/>
          <w:lang w:val="en-GB"/>
        </w:rPr>
        <w:t xml:space="preserve">e Rolls Royce and then rescued Upper Clyde Shipbuilders. They were forced to accept that their attempt at trade union reform, via the 1971 Industrial Relations Act, had failed – their new approach proved to be inoperable after the Trade Union Congress decided that they would expel any trade union that registered under the act. Having </w:t>
      </w:r>
      <w:r w:rsidR="00B46D18" w:rsidRPr="00B46D18">
        <w:rPr>
          <w:rFonts w:ascii="Times New Roman" w:hAnsi="Times New Roman" w:cs="Times New Roman"/>
          <w:sz w:val="24"/>
          <w:szCs w:val="24"/>
          <w:shd w:val="clear" w:color="auto" w:fill="FFFFFF"/>
          <w:lang w:val="en-GB"/>
        </w:rPr>
        <w:t xml:space="preserve">previously </w:t>
      </w:r>
      <w:r w:rsidR="00886A83" w:rsidRPr="00B46D18">
        <w:rPr>
          <w:rFonts w:ascii="Times New Roman" w:hAnsi="Times New Roman" w:cs="Times New Roman"/>
          <w:sz w:val="24"/>
          <w:szCs w:val="24"/>
          <w:shd w:val="clear" w:color="auto" w:fill="FFFFFF"/>
          <w:lang w:val="en-GB"/>
        </w:rPr>
        <w:t>committed to cuts in public expenditure</w:t>
      </w:r>
      <w:r w:rsidR="00B46D18" w:rsidRPr="00B46D18">
        <w:rPr>
          <w:rFonts w:ascii="Times New Roman" w:hAnsi="Times New Roman" w:cs="Times New Roman"/>
          <w:sz w:val="24"/>
          <w:szCs w:val="24"/>
          <w:shd w:val="clear" w:color="auto" w:fill="FFFFFF"/>
          <w:lang w:val="en-GB"/>
        </w:rPr>
        <w:t>,</w:t>
      </w:r>
      <w:r w:rsidR="00886A83" w:rsidRPr="00B46D18">
        <w:rPr>
          <w:rFonts w:ascii="Times New Roman" w:hAnsi="Times New Roman" w:cs="Times New Roman"/>
          <w:sz w:val="24"/>
          <w:szCs w:val="24"/>
          <w:shd w:val="clear" w:color="auto" w:fill="FFFFFF"/>
          <w:lang w:val="en-GB"/>
        </w:rPr>
        <w:t xml:space="preserve"> they did the exact opposite</w:t>
      </w:r>
      <w:r w:rsidR="00DA6C83" w:rsidRPr="00B46D18">
        <w:rPr>
          <w:rFonts w:ascii="Times New Roman" w:hAnsi="Times New Roman" w:cs="Times New Roman"/>
          <w:sz w:val="24"/>
          <w:szCs w:val="24"/>
          <w:shd w:val="clear" w:color="auto" w:fill="FFFFFF"/>
          <w:lang w:val="en-GB"/>
        </w:rPr>
        <w:t xml:space="preserve"> in 1972</w:t>
      </w:r>
      <w:r w:rsidR="00B46D18" w:rsidRPr="00B46D18">
        <w:rPr>
          <w:rFonts w:ascii="Times New Roman" w:hAnsi="Times New Roman" w:cs="Times New Roman"/>
          <w:sz w:val="24"/>
          <w:szCs w:val="24"/>
          <w:shd w:val="clear" w:color="auto" w:fill="FFFFFF"/>
          <w:lang w:val="en-GB"/>
        </w:rPr>
        <w:t>. T</w:t>
      </w:r>
      <w:r w:rsidR="00886A83" w:rsidRPr="00B46D18">
        <w:rPr>
          <w:rFonts w:ascii="Times New Roman" w:hAnsi="Times New Roman" w:cs="Times New Roman"/>
          <w:sz w:val="24"/>
          <w:szCs w:val="24"/>
          <w:shd w:val="clear" w:color="auto" w:fill="FFFFFF"/>
          <w:lang w:val="en-GB"/>
        </w:rPr>
        <w:t>hey attempt</w:t>
      </w:r>
      <w:r w:rsidR="00B46D18" w:rsidRPr="00B46D18">
        <w:rPr>
          <w:rFonts w:ascii="Times New Roman" w:hAnsi="Times New Roman" w:cs="Times New Roman"/>
          <w:sz w:val="24"/>
          <w:szCs w:val="24"/>
          <w:shd w:val="clear" w:color="auto" w:fill="FFFFFF"/>
          <w:lang w:val="en-GB"/>
        </w:rPr>
        <w:t>ed</w:t>
      </w:r>
      <w:r w:rsidR="00886A83" w:rsidRPr="00B46D18">
        <w:rPr>
          <w:rFonts w:ascii="Times New Roman" w:hAnsi="Times New Roman" w:cs="Times New Roman"/>
          <w:sz w:val="24"/>
          <w:szCs w:val="24"/>
          <w:shd w:val="clear" w:color="auto" w:fill="FFFFFF"/>
          <w:lang w:val="en-GB"/>
        </w:rPr>
        <w:t xml:space="preserve"> to boost output and stimulate growth by reflationary methods, in what became known as the ‘Barber boom’, after the Chancellor, Ant</w:t>
      </w:r>
      <w:r w:rsidR="00F82084" w:rsidRPr="00B46D18">
        <w:rPr>
          <w:rFonts w:ascii="Times New Roman" w:hAnsi="Times New Roman" w:cs="Times New Roman"/>
          <w:sz w:val="24"/>
          <w:szCs w:val="24"/>
          <w:shd w:val="clear" w:color="auto" w:fill="FFFFFF"/>
          <w:lang w:val="en-GB"/>
        </w:rPr>
        <w:t>h</w:t>
      </w:r>
      <w:r w:rsidR="00886A83" w:rsidRPr="00B46D18">
        <w:rPr>
          <w:rFonts w:ascii="Times New Roman" w:hAnsi="Times New Roman" w:cs="Times New Roman"/>
          <w:sz w:val="24"/>
          <w:szCs w:val="24"/>
          <w:shd w:val="clear" w:color="auto" w:fill="FFFFFF"/>
          <w:lang w:val="en-GB"/>
        </w:rPr>
        <w:t>ony Barbe</w:t>
      </w:r>
      <w:r w:rsidR="00DA6C83" w:rsidRPr="00B46D18">
        <w:rPr>
          <w:rFonts w:ascii="Times New Roman" w:hAnsi="Times New Roman" w:cs="Times New Roman"/>
          <w:sz w:val="24"/>
          <w:szCs w:val="24"/>
          <w:shd w:val="clear" w:color="auto" w:fill="FFFFFF"/>
          <w:lang w:val="en-GB"/>
        </w:rPr>
        <w:t xml:space="preserve">r, which in itself was said to be cause of the inflationary pressures the developed thereafter. </w:t>
      </w:r>
      <w:r w:rsidR="00E90A14" w:rsidRPr="00B46D18">
        <w:rPr>
          <w:rFonts w:ascii="Times New Roman" w:hAnsi="Times New Roman" w:cs="Times New Roman"/>
          <w:sz w:val="24"/>
          <w:szCs w:val="24"/>
          <w:shd w:val="clear" w:color="auto" w:fill="FFFFFF"/>
          <w:lang w:val="en-GB"/>
        </w:rPr>
        <w:t xml:space="preserve">They also contravened their initial claims by intervening by introducing an incomes policy </w:t>
      </w:r>
      <w:r w:rsidR="00E90A14" w:rsidRPr="00E068C0">
        <w:rPr>
          <w:rFonts w:ascii="Times New Roman" w:hAnsi="Times New Roman" w:cs="Times New Roman"/>
          <w:sz w:val="24"/>
          <w:szCs w:val="24"/>
          <w:shd w:val="clear" w:color="auto" w:fill="FFFFFF"/>
          <w:lang w:val="en-GB"/>
        </w:rPr>
        <w:t>(</w:t>
      </w:r>
      <w:r w:rsidR="00A47C7E" w:rsidRPr="00E068C0">
        <w:rPr>
          <w:rFonts w:ascii="Times New Roman" w:hAnsi="Times New Roman" w:cs="Times New Roman"/>
          <w:sz w:val="24"/>
          <w:szCs w:val="24"/>
          <w:shd w:val="clear" w:color="auto" w:fill="FFFFFF"/>
          <w:lang w:val="en-GB"/>
        </w:rPr>
        <w:t>Bruce-</w:t>
      </w:r>
      <w:proofErr w:type="spellStart"/>
      <w:r w:rsidR="00A47C7E" w:rsidRPr="00E068C0">
        <w:rPr>
          <w:rFonts w:ascii="Times New Roman" w:hAnsi="Times New Roman" w:cs="Times New Roman"/>
          <w:sz w:val="24"/>
          <w:szCs w:val="24"/>
          <w:shd w:val="clear" w:color="auto" w:fill="FFFFFF"/>
          <w:lang w:val="en-GB"/>
        </w:rPr>
        <w:t>Gardyne</w:t>
      </w:r>
      <w:proofErr w:type="spellEnd"/>
      <w:r w:rsidR="00A47C7E" w:rsidRPr="00E068C0">
        <w:rPr>
          <w:rFonts w:ascii="Times New Roman" w:hAnsi="Times New Roman" w:cs="Times New Roman"/>
          <w:sz w:val="24"/>
          <w:szCs w:val="24"/>
          <w:shd w:val="clear" w:color="auto" w:fill="FFFFFF"/>
          <w:lang w:val="en-GB"/>
        </w:rPr>
        <w:t xml:space="preserve">, 1974; </w:t>
      </w:r>
      <w:r w:rsidR="00A47C7E" w:rsidRPr="007C437A">
        <w:rPr>
          <w:rFonts w:ascii="Times New Roman" w:hAnsi="Times New Roman" w:cs="Times New Roman"/>
          <w:sz w:val="24"/>
          <w:szCs w:val="24"/>
          <w:shd w:val="clear" w:color="auto" w:fill="FFFFFF"/>
          <w:lang w:val="en-GB"/>
        </w:rPr>
        <w:t>Holmes, 1982, 1997</w:t>
      </w:r>
      <w:r w:rsidR="00E90A14" w:rsidRPr="007C437A">
        <w:rPr>
          <w:rFonts w:ascii="Times New Roman" w:hAnsi="Times New Roman" w:cs="Times New Roman"/>
          <w:sz w:val="24"/>
          <w:szCs w:val="24"/>
          <w:shd w:val="clear" w:color="auto" w:fill="FFFFFF"/>
          <w:lang w:val="en-GB"/>
        </w:rPr>
        <w:t>). However, what did remain consistent was their focus in securing entry into the European</w:t>
      </w:r>
      <w:r w:rsidR="00E90A14" w:rsidRPr="00B46D18">
        <w:rPr>
          <w:rFonts w:ascii="Times New Roman" w:hAnsi="Times New Roman" w:cs="Times New Roman"/>
          <w:sz w:val="24"/>
          <w:szCs w:val="24"/>
          <w:shd w:val="clear" w:color="auto" w:fill="FFFFFF"/>
          <w:lang w:val="en-GB"/>
        </w:rPr>
        <w:t xml:space="preserve"> </w:t>
      </w:r>
      <w:r w:rsidR="00E90A14" w:rsidRPr="007C437A">
        <w:rPr>
          <w:rFonts w:ascii="Times New Roman" w:hAnsi="Times New Roman" w:cs="Times New Roman"/>
          <w:sz w:val="24"/>
          <w:szCs w:val="24"/>
          <w:shd w:val="clear" w:color="auto" w:fill="FFFFFF"/>
          <w:lang w:val="en-GB"/>
        </w:rPr>
        <w:t>Economic Community (</w:t>
      </w:r>
      <w:r w:rsidR="00A47C7E" w:rsidRPr="007C437A">
        <w:rPr>
          <w:rFonts w:ascii="Times New Roman" w:hAnsi="Times New Roman" w:cs="Times New Roman"/>
          <w:sz w:val="24"/>
          <w:szCs w:val="24"/>
          <w:shd w:val="clear" w:color="auto" w:fill="FFFFFF"/>
          <w:lang w:val="en-GB"/>
        </w:rPr>
        <w:t>Lord, 1993</w:t>
      </w:r>
      <w:r w:rsidR="00E90A14" w:rsidRPr="007C437A">
        <w:rPr>
          <w:rFonts w:ascii="Times New Roman" w:hAnsi="Times New Roman" w:cs="Times New Roman"/>
          <w:sz w:val="24"/>
          <w:szCs w:val="24"/>
          <w:shd w:val="clear" w:color="auto" w:fill="FFFFFF"/>
          <w:lang w:val="en-GB"/>
        </w:rPr>
        <w:t>).</w:t>
      </w:r>
      <w:r w:rsidR="00E90A14" w:rsidRPr="00B46D18">
        <w:rPr>
          <w:rFonts w:ascii="Times New Roman" w:hAnsi="Times New Roman" w:cs="Times New Roman"/>
          <w:sz w:val="24"/>
          <w:szCs w:val="24"/>
          <w:shd w:val="clear" w:color="auto" w:fill="FFFFFF"/>
          <w:lang w:val="en-GB"/>
        </w:rPr>
        <w:t xml:space="preserve"> </w:t>
      </w:r>
    </w:p>
    <w:p w14:paraId="0E21F450" w14:textId="3A303A28" w:rsidR="00BB6C58" w:rsidRPr="00B46D18" w:rsidRDefault="00DB712D" w:rsidP="004141E7">
      <w:pPr>
        <w:spacing w:after="0" w:line="480" w:lineRule="auto"/>
        <w:ind w:firstLine="720"/>
        <w:contextualSpacing/>
        <w:jc w:val="both"/>
        <w:rPr>
          <w:rFonts w:ascii="Times New Roman" w:hAnsi="Times New Roman" w:cs="Times New Roman"/>
          <w:sz w:val="24"/>
          <w:szCs w:val="24"/>
          <w:lang w:val="en-GB"/>
        </w:rPr>
      </w:pPr>
      <w:r w:rsidRPr="00B46D18">
        <w:rPr>
          <w:rFonts w:ascii="Times New Roman" w:hAnsi="Times New Roman" w:cs="Times New Roman"/>
          <w:sz w:val="24"/>
          <w:szCs w:val="24"/>
          <w:shd w:val="clear" w:color="auto" w:fill="FFFFFF"/>
          <w:lang w:val="en-GB"/>
        </w:rPr>
        <w:t>To h</w:t>
      </w:r>
      <w:r w:rsidR="002C21D7">
        <w:rPr>
          <w:rFonts w:ascii="Times New Roman" w:hAnsi="Times New Roman" w:cs="Times New Roman"/>
          <w:sz w:val="24"/>
          <w:szCs w:val="24"/>
          <w:shd w:val="clear" w:color="auto" w:fill="FFFFFF"/>
          <w:lang w:val="en-GB"/>
        </w:rPr>
        <w:t>is critics on the free-market/</w:t>
      </w:r>
      <w:r w:rsidRPr="00B46D18">
        <w:rPr>
          <w:rFonts w:ascii="Times New Roman" w:hAnsi="Times New Roman" w:cs="Times New Roman"/>
          <w:bCs/>
          <w:sz w:val="24"/>
          <w:szCs w:val="24"/>
          <w:lang w:val="en-GB"/>
        </w:rPr>
        <w:t xml:space="preserve">economically liberal wing of the Conservative Party, Heath backed away from this agenda – </w:t>
      </w:r>
      <w:r w:rsidR="00841DB7" w:rsidRPr="00B46D18">
        <w:rPr>
          <w:rFonts w:ascii="Times New Roman" w:hAnsi="Times New Roman" w:cs="Times New Roman"/>
          <w:bCs/>
          <w:sz w:val="24"/>
          <w:szCs w:val="24"/>
          <w:lang w:val="en-GB"/>
        </w:rPr>
        <w:t>in what Thatcher said led to a ‘poisoned legacy of our</w:t>
      </w:r>
      <w:r w:rsidRPr="00B46D18">
        <w:rPr>
          <w:rFonts w:ascii="Times New Roman" w:hAnsi="Times New Roman" w:cs="Times New Roman"/>
          <w:bCs/>
          <w:sz w:val="24"/>
          <w:szCs w:val="24"/>
          <w:lang w:val="en-GB"/>
        </w:rPr>
        <w:t xml:space="preserve"> U-turn</w:t>
      </w:r>
      <w:r w:rsidR="00841DB7" w:rsidRPr="00B46D18">
        <w:rPr>
          <w:rFonts w:ascii="Times New Roman" w:hAnsi="Times New Roman" w:cs="Times New Roman"/>
          <w:bCs/>
          <w:sz w:val="24"/>
          <w:szCs w:val="24"/>
          <w:lang w:val="en-GB"/>
        </w:rPr>
        <w:t>s’</w:t>
      </w:r>
      <w:r w:rsidRPr="00B46D18">
        <w:rPr>
          <w:rFonts w:ascii="Times New Roman" w:hAnsi="Times New Roman" w:cs="Times New Roman"/>
          <w:bCs/>
          <w:sz w:val="24"/>
          <w:szCs w:val="24"/>
          <w:lang w:val="en-GB"/>
        </w:rPr>
        <w:t xml:space="preserve"> – in a</w:t>
      </w:r>
      <w:r w:rsidR="00841DB7" w:rsidRPr="00B46D18">
        <w:rPr>
          <w:rFonts w:ascii="Times New Roman" w:hAnsi="Times New Roman" w:cs="Times New Roman"/>
          <w:bCs/>
          <w:sz w:val="24"/>
          <w:szCs w:val="24"/>
          <w:lang w:val="en-GB"/>
        </w:rPr>
        <w:t>n</w:t>
      </w:r>
      <w:r w:rsidRPr="00B46D18">
        <w:rPr>
          <w:rFonts w:ascii="Times New Roman" w:hAnsi="Times New Roman" w:cs="Times New Roman"/>
          <w:bCs/>
          <w:sz w:val="24"/>
          <w:szCs w:val="24"/>
          <w:lang w:val="en-GB"/>
        </w:rPr>
        <w:t xml:space="preserve"> abject failure of </w:t>
      </w:r>
      <w:r w:rsidRPr="00700F3A">
        <w:rPr>
          <w:rFonts w:ascii="Times New Roman" w:hAnsi="Times New Roman" w:cs="Times New Roman"/>
          <w:bCs/>
          <w:sz w:val="24"/>
          <w:szCs w:val="24"/>
          <w:lang w:val="en-GB"/>
        </w:rPr>
        <w:t>leadership</w:t>
      </w:r>
      <w:r w:rsidR="00841DB7" w:rsidRPr="00700F3A">
        <w:rPr>
          <w:rFonts w:ascii="Times New Roman" w:hAnsi="Times New Roman" w:cs="Times New Roman"/>
          <w:bCs/>
          <w:sz w:val="24"/>
          <w:szCs w:val="24"/>
          <w:lang w:val="en-GB"/>
        </w:rPr>
        <w:t xml:space="preserve">, stemming from the fact that he had ‘no firm principles’ (Thatcher, 1995: 240). </w:t>
      </w:r>
      <w:r w:rsidR="00841DB7" w:rsidRPr="00700F3A">
        <w:rPr>
          <w:rFonts w:ascii="Times New Roman" w:hAnsi="Times New Roman" w:cs="Times New Roman"/>
          <w:sz w:val="24"/>
          <w:szCs w:val="24"/>
          <w:lang w:val="en-GB"/>
        </w:rPr>
        <w:t>A similar view was</w:t>
      </w:r>
      <w:r w:rsidR="00841DB7" w:rsidRPr="00B46D18">
        <w:rPr>
          <w:rFonts w:ascii="Times New Roman" w:hAnsi="Times New Roman" w:cs="Times New Roman"/>
          <w:sz w:val="24"/>
          <w:szCs w:val="24"/>
          <w:lang w:val="en-GB"/>
        </w:rPr>
        <w:t xml:space="preserve"> </w:t>
      </w:r>
      <w:r w:rsidR="00841DB7" w:rsidRPr="00B46D18">
        <w:rPr>
          <w:rFonts w:ascii="Times New Roman" w:hAnsi="Times New Roman" w:cs="Times New Roman"/>
          <w:sz w:val="24"/>
          <w:szCs w:val="24"/>
          <w:lang w:val="en-GB"/>
        </w:rPr>
        <w:lastRenderedPageBreak/>
        <w:t>expressed by Norman Tebbit, later a key ally of Thatcher, who described the abandonment of the free market agenda that they had agreed in opposition, as a ‘retreat into corporatism’ and a ‘climbdown’ that was characteri</w:t>
      </w:r>
      <w:r w:rsidR="00B46D18" w:rsidRPr="00B46D18">
        <w:rPr>
          <w:rFonts w:ascii="Times New Roman" w:hAnsi="Times New Roman" w:cs="Times New Roman"/>
          <w:sz w:val="24"/>
          <w:szCs w:val="24"/>
          <w:lang w:val="en-GB"/>
        </w:rPr>
        <w:t>s</w:t>
      </w:r>
      <w:r w:rsidR="00841DB7" w:rsidRPr="00B46D18">
        <w:rPr>
          <w:rFonts w:ascii="Times New Roman" w:hAnsi="Times New Roman" w:cs="Times New Roman"/>
          <w:sz w:val="24"/>
          <w:szCs w:val="24"/>
          <w:lang w:val="en-GB"/>
        </w:rPr>
        <w:t xml:space="preserve">ed by a ‘mish-mash of ill-considered centralist and socialist hand to mouth devices with no intellectual nor political </w:t>
      </w:r>
      <w:r w:rsidR="00841DB7" w:rsidRPr="00700F3A">
        <w:rPr>
          <w:rFonts w:ascii="Times New Roman" w:hAnsi="Times New Roman" w:cs="Times New Roman"/>
          <w:sz w:val="24"/>
          <w:szCs w:val="24"/>
          <w:lang w:val="en-GB"/>
        </w:rPr>
        <w:t>cohesion’ (Tebbit, 1988: 105, 124). Bruce-</w:t>
      </w:r>
      <w:proofErr w:type="spellStart"/>
      <w:r w:rsidR="00841DB7" w:rsidRPr="00700F3A">
        <w:rPr>
          <w:rFonts w:ascii="Times New Roman" w:hAnsi="Times New Roman" w:cs="Times New Roman"/>
          <w:sz w:val="24"/>
          <w:szCs w:val="24"/>
          <w:lang w:val="en-GB"/>
        </w:rPr>
        <w:t>Gardyne</w:t>
      </w:r>
      <w:proofErr w:type="spellEnd"/>
      <w:r w:rsidR="00841DB7" w:rsidRPr="00700F3A">
        <w:rPr>
          <w:rFonts w:ascii="Times New Roman" w:hAnsi="Times New Roman" w:cs="Times New Roman"/>
          <w:sz w:val="24"/>
          <w:szCs w:val="24"/>
          <w:lang w:val="en-GB"/>
        </w:rPr>
        <w:t xml:space="preserve"> concluded that the U-turn led to a fatal combination of (a) a</w:t>
      </w:r>
      <w:r w:rsidR="002C21D7">
        <w:rPr>
          <w:rFonts w:ascii="Times New Roman" w:hAnsi="Times New Roman" w:cs="Times New Roman"/>
          <w:sz w:val="24"/>
          <w:szCs w:val="24"/>
          <w:lang w:val="en-GB"/>
        </w:rPr>
        <w:t xml:space="preserve"> statutory incomes policy that</w:t>
      </w:r>
      <w:r w:rsidR="00841DB7" w:rsidRPr="00B46D18">
        <w:rPr>
          <w:rFonts w:ascii="Times New Roman" w:hAnsi="Times New Roman" w:cs="Times New Roman"/>
          <w:sz w:val="24"/>
          <w:szCs w:val="24"/>
          <w:lang w:val="en-GB"/>
        </w:rPr>
        <w:t xml:space="preserve"> created conflict with the trade unions; alongside (b) an expansionary financial </w:t>
      </w:r>
      <w:r w:rsidR="00841DB7" w:rsidRPr="007C437A">
        <w:rPr>
          <w:rFonts w:ascii="Times New Roman" w:hAnsi="Times New Roman" w:cs="Times New Roman"/>
          <w:sz w:val="24"/>
          <w:szCs w:val="24"/>
          <w:lang w:val="en-GB"/>
        </w:rPr>
        <w:t>policy, which served to increase inflation (Bruce-</w:t>
      </w:r>
      <w:proofErr w:type="spellStart"/>
      <w:r w:rsidR="00841DB7" w:rsidRPr="007C437A">
        <w:rPr>
          <w:rFonts w:ascii="Times New Roman" w:hAnsi="Times New Roman" w:cs="Times New Roman"/>
          <w:sz w:val="24"/>
          <w:szCs w:val="24"/>
          <w:lang w:val="en-GB"/>
        </w:rPr>
        <w:t>Gardyne</w:t>
      </w:r>
      <w:proofErr w:type="spellEnd"/>
      <w:r w:rsidR="00841DB7" w:rsidRPr="007C437A">
        <w:rPr>
          <w:rFonts w:ascii="Times New Roman" w:hAnsi="Times New Roman" w:cs="Times New Roman"/>
          <w:sz w:val="24"/>
          <w:szCs w:val="24"/>
          <w:lang w:val="en-GB"/>
        </w:rPr>
        <w:t xml:space="preserve">, 1974; see also Holmes, 1982, 1997). </w:t>
      </w:r>
      <w:r w:rsidR="008F43F8" w:rsidRPr="007C437A">
        <w:rPr>
          <w:rFonts w:ascii="Times New Roman" w:hAnsi="Times New Roman" w:cs="Times New Roman"/>
          <w:sz w:val="24"/>
          <w:szCs w:val="24"/>
          <w:lang w:val="en-GB"/>
        </w:rPr>
        <w:t>The right-wing</w:t>
      </w:r>
      <w:r w:rsidR="008F43F8" w:rsidRPr="00B46D18">
        <w:rPr>
          <w:rFonts w:ascii="Times New Roman" w:hAnsi="Times New Roman" w:cs="Times New Roman"/>
          <w:sz w:val="24"/>
          <w:szCs w:val="24"/>
          <w:lang w:val="en-GB"/>
        </w:rPr>
        <w:t xml:space="preserve"> </w:t>
      </w:r>
      <w:r w:rsidR="008F43F8" w:rsidRPr="007C437A">
        <w:rPr>
          <w:rFonts w:ascii="Times New Roman" w:hAnsi="Times New Roman" w:cs="Times New Roman"/>
          <w:sz w:val="24"/>
          <w:szCs w:val="24"/>
          <w:lang w:val="en-GB"/>
        </w:rPr>
        <w:t>critique, or betrayal thesis, would</w:t>
      </w:r>
      <w:r w:rsidR="00F82084" w:rsidRPr="007C437A">
        <w:rPr>
          <w:rFonts w:ascii="Times New Roman" w:hAnsi="Times New Roman" w:cs="Times New Roman"/>
          <w:sz w:val="24"/>
          <w:szCs w:val="24"/>
          <w:lang w:val="en-GB"/>
        </w:rPr>
        <w:t xml:space="preserve"> thereby</w:t>
      </w:r>
      <w:r w:rsidR="008F43F8" w:rsidRPr="007C437A">
        <w:rPr>
          <w:rFonts w:ascii="Times New Roman" w:hAnsi="Times New Roman" w:cs="Times New Roman"/>
          <w:sz w:val="24"/>
          <w:szCs w:val="24"/>
          <w:lang w:val="en-GB"/>
        </w:rPr>
        <w:t xml:space="preserve"> ‘precipitate the birth of Thatcherism’ (Gamble, 1988: 69).</w:t>
      </w:r>
      <w:r w:rsidR="008F43F8" w:rsidRPr="00B46D18">
        <w:rPr>
          <w:rFonts w:ascii="Times New Roman" w:hAnsi="Times New Roman" w:cs="Times New Roman"/>
          <w:sz w:val="24"/>
          <w:szCs w:val="24"/>
          <w:lang w:val="en-GB"/>
        </w:rPr>
        <w:t xml:space="preserve"> </w:t>
      </w:r>
    </w:p>
    <w:p w14:paraId="656BE4B3" w14:textId="3727814F" w:rsidR="00841DB7" w:rsidRPr="00B46D18" w:rsidRDefault="00841DB7" w:rsidP="004141E7">
      <w:pPr>
        <w:spacing w:after="0" w:line="480" w:lineRule="auto"/>
        <w:ind w:firstLine="720"/>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However, the critique of the Heath premiership is not solely limited to </w:t>
      </w:r>
      <w:r w:rsidR="002C21D7">
        <w:rPr>
          <w:rFonts w:ascii="Times New Roman" w:hAnsi="Times New Roman" w:cs="Times New Roman"/>
          <w:sz w:val="24"/>
          <w:szCs w:val="24"/>
          <w:lang w:val="en-GB"/>
        </w:rPr>
        <w:t xml:space="preserve">the </w:t>
      </w:r>
      <w:r w:rsidRPr="00B46D18">
        <w:rPr>
          <w:rFonts w:ascii="Times New Roman" w:hAnsi="Times New Roman" w:cs="Times New Roman"/>
          <w:sz w:val="24"/>
          <w:szCs w:val="24"/>
          <w:lang w:val="en-GB"/>
        </w:rPr>
        <w:t>disappointment of economic liberals who berate him for abandoning their agenda due to his lack of ideological backbone. The U-turns provoked considerable disquiet within Conservative parliamentary ranks and a clear critique would emerg</w:t>
      </w:r>
      <w:r w:rsidR="00B46D18">
        <w:rPr>
          <w:rFonts w:ascii="Times New Roman" w:hAnsi="Times New Roman" w:cs="Times New Roman"/>
          <w:sz w:val="24"/>
          <w:szCs w:val="24"/>
          <w:lang w:val="en-GB"/>
        </w:rPr>
        <w:t xml:space="preserve">e of Heath as a party manager </w:t>
      </w:r>
      <w:r w:rsidR="00B46D18" w:rsidRPr="00E068C0">
        <w:rPr>
          <w:rFonts w:ascii="Times New Roman" w:hAnsi="Times New Roman" w:cs="Times New Roman"/>
          <w:sz w:val="24"/>
          <w:szCs w:val="24"/>
          <w:lang w:val="en-GB"/>
        </w:rPr>
        <w:t>(</w:t>
      </w:r>
      <w:r w:rsidR="002C21D7">
        <w:rPr>
          <w:rFonts w:ascii="Times New Roman" w:hAnsi="Times New Roman" w:cs="Times New Roman"/>
          <w:sz w:val="24"/>
          <w:szCs w:val="24"/>
          <w:lang w:val="en-GB"/>
        </w:rPr>
        <w:t xml:space="preserve">see </w:t>
      </w:r>
      <w:r w:rsidRPr="007C437A">
        <w:rPr>
          <w:rFonts w:ascii="Times New Roman" w:hAnsi="Times New Roman" w:cs="Times New Roman"/>
          <w:sz w:val="24"/>
          <w:szCs w:val="24"/>
          <w:lang w:val="en-GB"/>
        </w:rPr>
        <w:t>Critchley, 1973; Norton, 1978; Franklin, Baxter and Jordan, 1986).</w:t>
      </w:r>
      <w:r w:rsidRPr="007C437A">
        <w:rPr>
          <w:rFonts w:ascii="Garamond" w:hAnsi="Garamond"/>
          <w:lang w:val="en-GB"/>
        </w:rPr>
        <w:t xml:space="preserve"> </w:t>
      </w:r>
      <w:r w:rsidRPr="007C437A">
        <w:rPr>
          <w:rFonts w:ascii="Times New Roman" w:hAnsi="Times New Roman" w:cs="Times New Roman"/>
          <w:sz w:val="24"/>
          <w:szCs w:val="24"/>
          <w:lang w:val="en-GB"/>
        </w:rPr>
        <w:t>Parliamentary rebellion rates were significantly higher than in previous Conservative governments of the post-war era. The overall parliamentary rebellion rate was 18 percent across the 1970 to 1974 Parliament (including 29 percent in the 1970 to 1971 parliamentary session)</w:t>
      </w:r>
      <w:r w:rsidR="002C21D7">
        <w:rPr>
          <w:rFonts w:ascii="Times New Roman" w:hAnsi="Times New Roman" w:cs="Times New Roman"/>
          <w:sz w:val="24"/>
          <w:szCs w:val="24"/>
          <w:lang w:val="en-GB"/>
        </w:rPr>
        <w:t>,</w:t>
      </w:r>
      <w:r w:rsidRPr="007C437A">
        <w:rPr>
          <w:rFonts w:ascii="Times New Roman" w:hAnsi="Times New Roman" w:cs="Times New Roman"/>
          <w:sz w:val="24"/>
          <w:szCs w:val="24"/>
          <w:lang w:val="en-GB"/>
        </w:rPr>
        <w:t xml:space="preserve"> as compared to the following rebellion rates across the 1951 to 1964 period: 0.8 percent in the 1951 to 1955 Parliament; 1.4 percent in the 1955 to 1959 Parliament; and 11.8 percent in the 1959 to 1964 Parliament (Norton, 1978: 208). Des</w:t>
      </w:r>
      <w:r w:rsidR="002C21D7">
        <w:rPr>
          <w:rFonts w:ascii="Times New Roman" w:hAnsi="Times New Roman" w:cs="Times New Roman"/>
          <w:sz w:val="24"/>
          <w:szCs w:val="24"/>
          <w:lang w:val="en-GB"/>
        </w:rPr>
        <w:t xml:space="preserve">pite being a former Chief Whip </w:t>
      </w:r>
      <w:r w:rsidRPr="007C437A">
        <w:rPr>
          <w:rFonts w:ascii="Times New Roman" w:hAnsi="Times New Roman" w:cs="Times New Roman"/>
          <w:sz w:val="24"/>
          <w:szCs w:val="24"/>
          <w:lang w:val="en-GB"/>
        </w:rPr>
        <w:t>with experience of the challenges of ensuring discipline, Heath adopted an inflexible approach</w:t>
      </w:r>
      <w:r w:rsidRPr="00B46D18">
        <w:rPr>
          <w:rFonts w:ascii="Times New Roman" w:hAnsi="Times New Roman" w:cs="Times New Roman"/>
          <w:sz w:val="24"/>
          <w:szCs w:val="24"/>
          <w:lang w:val="en-GB"/>
        </w:rPr>
        <w:t xml:space="preserve"> to party management. That reluctance to compromise and offer concessions flowed from his determination to secure his legislative objectives ‘unchanged’ </w:t>
      </w:r>
      <w:r w:rsidR="002C21D7">
        <w:rPr>
          <w:rFonts w:ascii="Times New Roman" w:hAnsi="Times New Roman" w:cs="Times New Roman"/>
          <w:sz w:val="24"/>
          <w:szCs w:val="24"/>
          <w:lang w:val="en-GB"/>
        </w:rPr>
        <w:t xml:space="preserve">and </w:t>
      </w:r>
      <w:r w:rsidRPr="00B46D18">
        <w:rPr>
          <w:rFonts w:ascii="Times New Roman" w:hAnsi="Times New Roman" w:cs="Times New Roman"/>
          <w:sz w:val="24"/>
          <w:szCs w:val="24"/>
          <w:lang w:val="en-GB"/>
        </w:rPr>
        <w:t>left little outlet for backbenchers</w:t>
      </w:r>
      <w:r w:rsidR="002C21D7">
        <w:rPr>
          <w:rFonts w:ascii="Times New Roman" w:hAnsi="Times New Roman" w:cs="Times New Roman"/>
          <w:sz w:val="24"/>
          <w:szCs w:val="24"/>
          <w:lang w:val="en-GB"/>
        </w:rPr>
        <w:t xml:space="preserve"> to exert influence upon policy,</w:t>
      </w:r>
      <w:r w:rsidRPr="00B46D18">
        <w:rPr>
          <w:rFonts w:ascii="Times New Roman" w:hAnsi="Times New Roman" w:cs="Times New Roman"/>
          <w:sz w:val="24"/>
          <w:szCs w:val="24"/>
          <w:lang w:val="en-GB"/>
        </w:rPr>
        <w:t xml:space="preserve"> thus </w:t>
      </w:r>
      <w:r w:rsidR="00146E26" w:rsidRPr="00B46D18">
        <w:rPr>
          <w:rFonts w:ascii="Times New Roman" w:hAnsi="Times New Roman" w:cs="Times New Roman"/>
          <w:sz w:val="24"/>
          <w:szCs w:val="24"/>
          <w:lang w:val="en-GB"/>
        </w:rPr>
        <w:t>fuelling</w:t>
      </w:r>
      <w:r w:rsidRPr="00B46D18">
        <w:rPr>
          <w:rFonts w:ascii="Times New Roman" w:hAnsi="Times New Roman" w:cs="Times New Roman"/>
          <w:sz w:val="24"/>
          <w:szCs w:val="24"/>
          <w:lang w:val="en-GB"/>
        </w:rPr>
        <w:t xml:space="preserve"> dissent </w:t>
      </w:r>
      <w:r w:rsidRPr="008E7DBD">
        <w:rPr>
          <w:rFonts w:ascii="Times New Roman" w:hAnsi="Times New Roman" w:cs="Times New Roman"/>
          <w:sz w:val="24"/>
          <w:szCs w:val="24"/>
          <w:lang w:val="en-GB"/>
        </w:rPr>
        <w:t xml:space="preserve">(Seldon and </w:t>
      </w:r>
      <w:proofErr w:type="spellStart"/>
      <w:r w:rsidRPr="008E7DBD">
        <w:rPr>
          <w:rFonts w:ascii="Times New Roman" w:hAnsi="Times New Roman" w:cs="Times New Roman"/>
          <w:sz w:val="24"/>
          <w:szCs w:val="24"/>
          <w:lang w:val="en-GB"/>
        </w:rPr>
        <w:t>Sanklecha</w:t>
      </w:r>
      <w:proofErr w:type="spellEnd"/>
      <w:r w:rsidRPr="008E7DBD">
        <w:rPr>
          <w:rFonts w:ascii="Times New Roman" w:hAnsi="Times New Roman" w:cs="Times New Roman"/>
          <w:sz w:val="24"/>
          <w:szCs w:val="24"/>
          <w:lang w:val="en-GB"/>
        </w:rPr>
        <w:t>, 2004: 55; see also Heppell and Hill, 2015).</w:t>
      </w:r>
      <w:r w:rsidRPr="00B46D18">
        <w:rPr>
          <w:rFonts w:ascii="Times New Roman" w:hAnsi="Times New Roman" w:cs="Times New Roman"/>
          <w:sz w:val="24"/>
          <w:szCs w:val="24"/>
          <w:lang w:val="en-GB"/>
        </w:rPr>
        <w:t xml:space="preserve"> </w:t>
      </w:r>
    </w:p>
    <w:p w14:paraId="43592F0D" w14:textId="01987724" w:rsidR="00DB712D" w:rsidRPr="00B46D18" w:rsidRDefault="00841DB7" w:rsidP="004141E7">
      <w:pPr>
        <w:spacing w:after="0" w:line="480" w:lineRule="auto"/>
        <w:ind w:firstLine="720"/>
        <w:contextualSpacing/>
        <w:jc w:val="both"/>
        <w:rPr>
          <w:rFonts w:ascii="Times New Roman" w:eastAsia="Times New Roman" w:hAnsi="Times New Roman" w:cs="Times New Roman"/>
          <w:sz w:val="24"/>
          <w:szCs w:val="24"/>
          <w:lang w:val="en-GB" w:eastAsia="en-GB"/>
        </w:rPr>
      </w:pPr>
      <w:r w:rsidRPr="008E7DBD">
        <w:rPr>
          <w:rFonts w:ascii="Times New Roman" w:hAnsi="Times New Roman" w:cs="Times New Roman"/>
          <w:sz w:val="24"/>
          <w:szCs w:val="24"/>
          <w:lang w:val="en-GB"/>
        </w:rPr>
        <w:t xml:space="preserve">Alongside the critiques of Heath for his policy U-turns and his difficulties in terms of party management, it is important to identify problems that his administration had in terms of demonstrating governing competence. </w:t>
      </w:r>
      <w:r w:rsidR="002675BF" w:rsidRPr="008E7DBD">
        <w:rPr>
          <w:rFonts w:ascii="Times New Roman" w:hAnsi="Times New Roman" w:cs="Times New Roman"/>
          <w:sz w:val="24"/>
          <w:szCs w:val="24"/>
          <w:lang w:val="en-GB"/>
        </w:rPr>
        <w:t>In a damning verdict, Kavanagh identified how the Heath era was associated with a ‘</w:t>
      </w:r>
      <w:r w:rsidR="002675BF" w:rsidRPr="008E7DBD">
        <w:rPr>
          <w:rFonts w:ascii="Times New Roman" w:eastAsia="Times New Roman" w:hAnsi="Times New Roman" w:cs="Times New Roman"/>
          <w:sz w:val="24"/>
          <w:szCs w:val="24"/>
          <w:lang w:val="en-GB" w:eastAsia="en-GB"/>
        </w:rPr>
        <w:t>record number of work days lost due to strikes, some of which severely dislocated life for millions of ordinary people, states of emergency, double digit inflation, a three-day working week, blank television screens, lawlessness and vandalism’ (Kavanagh</w:t>
      </w:r>
      <w:r w:rsidR="002C21D7">
        <w:rPr>
          <w:rFonts w:ascii="Times New Roman" w:eastAsia="Times New Roman" w:hAnsi="Times New Roman" w:cs="Times New Roman"/>
          <w:sz w:val="24"/>
          <w:szCs w:val="24"/>
          <w:lang w:val="en-GB" w:eastAsia="en-GB"/>
        </w:rPr>
        <w:t>,</w:t>
      </w:r>
      <w:r w:rsidR="002675BF" w:rsidRPr="008E7DBD">
        <w:rPr>
          <w:rFonts w:ascii="Times New Roman" w:eastAsia="Times New Roman" w:hAnsi="Times New Roman" w:cs="Times New Roman"/>
          <w:sz w:val="24"/>
          <w:szCs w:val="24"/>
          <w:lang w:val="en-GB" w:eastAsia="en-GB"/>
        </w:rPr>
        <w:t xml:space="preserve"> 1996: 360). </w:t>
      </w:r>
      <w:r w:rsidRPr="008E7DBD">
        <w:rPr>
          <w:rFonts w:ascii="Times New Roman" w:hAnsi="Times New Roman" w:cs="Times New Roman"/>
          <w:sz w:val="24"/>
          <w:szCs w:val="24"/>
          <w:lang w:val="en-GB"/>
        </w:rPr>
        <w:t>In economic terms, Heath was left bemused as ‘inflation and unemployment continued to defy the textbook by rising together’ (Heath, 1998: 343). These difficulties in terms of economic performance, which ran parallel to their legislative efforts to improve industrial relations failing (</w:t>
      </w:r>
      <w:bookmarkStart w:id="1" w:name="_Hlk27850533"/>
      <w:r w:rsidRPr="008E7DBD">
        <w:rPr>
          <w:rFonts w:ascii="Times New Roman" w:hAnsi="Times New Roman" w:cs="Times New Roman"/>
          <w:sz w:val="24"/>
          <w:szCs w:val="24"/>
          <w:lang w:val="en-GB"/>
        </w:rPr>
        <w:t>Moran, 1977</w:t>
      </w:r>
      <w:bookmarkEnd w:id="1"/>
      <w:r w:rsidRPr="008E7DBD">
        <w:rPr>
          <w:rFonts w:ascii="Times New Roman" w:hAnsi="Times New Roman" w:cs="Times New Roman"/>
          <w:sz w:val="24"/>
          <w:szCs w:val="24"/>
          <w:lang w:val="en-GB"/>
        </w:rPr>
        <w:t xml:space="preserve">), contributed to </w:t>
      </w:r>
      <w:r w:rsidRPr="008E7DBD">
        <w:rPr>
          <w:rFonts w:ascii="Times New Roman" w:hAnsi="Times New Roman" w:cs="Times New Roman"/>
          <w:sz w:val="24"/>
          <w:szCs w:val="24"/>
          <w:lang w:val="en-GB"/>
        </w:rPr>
        <w:lastRenderedPageBreak/>
        <w:t>the image of the decade as ‘disconnected, quarrelsome, unsteady, ineffective and self-defeating’ (Beer, 1982: 1; see also Whitehead, 1985; Fry, 2005; Beckett, 2009; Sandbrook, 2010; Black and Pemberton, 2013</w:t>
      </w:r>
      <w:r w:rsidR="002675BF" w:rsidRPr="008E7DBD">
        <w:rPr>
          <w:rFonts w:ascii="Times New Roman" w:hAnsi="Times New Roman" w:cs="Times New Roman"/>
          <w:sz w:val="24"/>
          <w:szCs w:val="24"/>
          <w:lang w:val="en-GB"/>
        </w:rPr>
        <w:t>)</w:t>
      </w:r>
      <w:r w:rsidRPr="008E7DBD">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w:t>
      </w:r>
    </w:p>
    <w:p w14:paraId="688731F0" w14:textId="32FF17BA" w:rsidR="00682892" w:rsidRPr="00B46D18" w:rsidRDefault="00565D2D" w:rsidP="004141E7">
      <w:pPr>
        <w:spacing w:after="0" w:line="480" w:lineRule="auto"/>
        <w:ind w:firstLine="720"/>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Ultimately, t</w:t>
      </w:r>
      <w:r w:rsidR="000E2AA8" w:rsidRPr="00B46D18">
        <w:rPr>
          <w:rFonts w:ascii="Times New Roman" w:hAnsi="Times New Roman" w:cs="Times New Roman"/>
          <w:sz w:val="24"/>
          <w:szCs w:val="24"/>
          <w:lang w:val="en-GB"/>
        </w:rPr>
        <w:t xml:space="preserve">he cumulative effect of </w:t>
      </w:r>
      <w:r w:rsidRPr="00B46D18">
        <w:rPr>
          <w:rFonts w:ascii="Times New Roman" w:hAnsi="Times New Roman" w:cs="Times New Roman"/>
          <w:sz w:val="24"/>
          <w:szCs w:val="24"/>
          <w:lang w:val="en-GB"/>
        </w:rPr>
        <w:t xml:space="preserve">perceptions of </w:t>
      </w:r>
      <w:r w:rsidR="002675BF" w:rsidRPr="00B46D18">
        <w:rPr>
          <w:rFonts w:ascii="Times New Roman" w:hAnsi="Times New Roman" w:cs="Times New Roman"/>
          <w:bCs/>
          <w:sz w:val="24"/>
          <w:szCs w:val="24"/>
          <w:lang w:val="en-GB"/>
        </w:rPr>
        <w:t xml:space="preserve">leadership failure and ideological inconsistency, internal party disunity and </w:t>
      </w:r>
      <w:r w:rsidR="000E2AA8" w:rsidRPr="00B46D18">
        <w:rPr>
          <w:rFonts w:ascii="Times New Roman" w:hAnsi="Times New Roman" w:cs="Times New Roman"/>
          <w:bCs/>
          <w:sz w:val="24"/>
          <w:szCs w:val="24"/>
          <w:lang w:val="en-GB"/>
        </w:rPr>
        <w:t>governing incompetence was</w:t>
      </w:r>
      <w:r w:rsidRPr="00B46D18">
        <w:rPr>
          <w:rFonts w:ascii="Times New Roman" w:hAnsi="Times New Roman" w:cs="Times New Roman"/>
          <w:bCs/>
          <w:sz w:val="24"/>
          <w:szCs w:val="24"/>
          <w:lang w:val="en-GB"/>
        </w:rPr>
        <w:t xml:space="preserve"> to be</w:t>
      </w:r>
      <w:r w:rsidR="000E2AA8" w:rsidRPr="00B46D18">
        <w:rPr>
          <w:rFonts w:ascii="Times New Roman" w:hAnsi="Times New Roman" w:cs="Times New Roman"/>
          <w:bCs/>
          <w:sz w:val="24"/>
          <w:szCs w:val="24"/>
          <w:lang w:val="en-GB"/>
        </w:rPr>
        <w:t xml:space="preserve"> electoral rejectio</w:t>
      </w:r>
      <w:r w:rsidR="007E2637" w:rsidRPr="00B46D18">
        <w:rPr>
          <w:rFonts w:ascii="Times New Roman" w:hAnsi="Times New Roman" w:cs="Times New Roman"/>
          <w:bCs/>
          <w:sz w:val="24"/>
          <w:szCs w:val="24"/>
          <w:lang w:val="en-GB"/>
        </w:rPr>
        <w:t xml:space="preserve">n – their vote base collapsed from </w:t>
      </w:r>
      <w:r w:rsidR="00971558" w:rsidRPr="00B46D18">
        <w:rPr>
          <w:rFonts w:ascii="Times New Roman" w:hAnsi="Times New Roman" w:cs="Times New Roman"/>
          <w:bCs/>
          <w:sz w:val="24"/>
          <w:szCs w:val="24"/>
          <w:lang w:val="en-GB"/>
        </w:rPr>
        <w:t>13,145,123</w:t>
      </w:r>
      <w:r w:rsidR="007E2637" w:rsidRPr="00B46D18">
        <w:rPr>
          <w:rFonts w:ascii="Times New Roman" w:hAnsi="Times New Roman" w:cs="Times New Roman"/>
          <w:bCs/>
          <w:sz w:val="24"/>
          <w:szCs w:val="24"/>
          <w:lang w:val="en-GB"/>
        </w:rPr>
        <w:t xml:space="preserve"> to </w:t>
      </w:r>
      <w:r w:rsidR="00971558" w:rsidRPr="00B46D18">
        <w:rPr>
          <w:rFonts w:ascii="Times New Roman" w:hAnsi="Times New Roman" w:cs="Times New Roman"/>
          <w:bCs/>
          <w:sz w:val="24"/>
          <w:szCs w:val="24"/>
          <w:lang w:val="en-GB"/>
        </w:rPr>
        <w:t>11,872,180</w:t>
      </w:r>
      <w:r w:rsidR="007E2637" w:rsidRPr="00B46D18">
        <w:rPr>
          <w:rFonts w:ascii="Times New Roman" w:hAnsi="Times New Roman" w:cs="Times New Roman"/>
          <w:bCs/>
          <w:sz w:val="24"/>
          <w:szCs w:val="24"/>
          <w:lang w:val="en-GB"/>
        </w:rPr>
        <w:t xml:space="preserve"> between the General Elections of 1970 and 1974; and their vote share fell from </w:t>
      </w:r>
      <w:r w:rsidR="00971558" w:rsidRPr="00B46D18">
        <w:rPr>
          <w:rFonts w:ascii="Times New Roman" w:hAnsi="Times New Roman" w:cs="Times New Roman"/>
          <w:bCs/>
          <w:sz w:val="24"/>
          <w:szCs w:val="24"/>
          <w:lang w:val="en-GB"/>
        </w:rPr>
        <w:t>46.4</w:t>
      </w:r>
      <w:r w:rsidR="007E2637" w:rsidRPr="00B46D18">
        <w:rPr>
          <w:rFonts w:ascii="Times New Roman" w:hAnsi="Times New Roman" w:cs="Times New Roman"/>
          <w:bCs/>
          <w:sz w:val="24"/>
          <w:szCs w:val="24"/>
          <w:lang w:val="en-GB"/>
        </w:rPr>
        <w:t xml:space="preserve"> to </w:t>
      </w:r>
      <w:r w:rsidR="00971558" w:rsidRPr="00E068C0">
        <w:rPr>
          <w:rFonts w:ascii="Times New Roman" w:hAnsi="Times New Roman" w:cs="Times New Roman"/>
          <w:bCs/>
          <w:sz w:val="24"/>
          <w:szCs w:val="24"/>
          <w:lang w:val="en-GB"/>
        </w:rPr>
        <w:t>37.9 percent</w:t>
      </w:r>
      <w:r w:rsidR="007E2637" w:rsidRPr="00E068C0">
        <w:rPr>
          <w:rFonts w:ascii="Times New Roman" w:hAnsi="Times New Roman" w:cs="Times New Roman"/>
          <w:bCs/>
          <w:sz w:val="24"/>
          <w:szCs w:val="24"/>
          <w:lang w:val="en-GB"/>
        </w:rPr>
        <w:t xml:space="preserve"> (</w:t>
      </w:r>
      <w:r w:rsidR="002D54FF" w:rsidRPr="00E068C0">
        <w:rPr>
          <w:rFonts w:ascii="Times New Roman" w:hAnsi="Times New Roman" w:cs="Times New Roman"/>
          <w:bCs/>
          <w:sz w:val="24"/>
          <w:szCs w:val="24"/>
          <w:lang w:val="en-GB"/>
        </w:rPr>
        <w:t xml:space="preserve">Butler and </w:t>
      </w:r>
      <w:r w:rsidR="002D54FF" w:rsidRPr="00E068C0">
        <w:rPr>
          <w:rFonts w:ascii="Times New Roman" w:hAnsi="Times New Roman" w:cs="Times New Roman"/>
          <w:sz w:val="24"/>
          <w:szCs w:val="24"/>
          <w:lang w:val="en-GB"/>
        </w:rPr>
        <w:t>Pinto-</w:t>
      </w:r>
      <w:proofErr w:type="spellStart"/>
      <w:r w:rsidR="002D54FF" w:rsidRPr="00E068C0">
        <w:rPr>
          <w:rFonts w:ascii="Times New Roman" w:hAnsi="Times New Roman" w:cs="Times New Roman"/>
          <w:sz w:val="24"/>
          <w:szCs w:val="24"/>
          <w:lang w:val="en-GB"/>
        </w:rPr>
        <w:t>Duschinsky</w:t>
      </w:r>
      <w:proofErr w:type="spellEnd"/>
      <w:r w:rsidR="002D54FF" w:rsidRPr="00E068C0">
        <w:rPr>
          <w:rFonts w:ascii="Times New Roman" w:hAnsi="Times New Roman" w:cs="Times New Roman"/>
          <w:sz w:val="24"/>
          <w:szCs w:val="24"/>
          <w:lang w:val="en-GB"/>
        </w:rPr>
        <w:t>, 1971</w:t>
      </w:r>
      <w:r w:rsidR="00971558" w:rsidRPr="00E068C0">
        <w:rPr>
          <w:rFonts w:ascii="Times New Roman" w:hAnsi="Times New Roman" w:cs="Times New Roman"/>
          <w:sz w:val="24"/>
          <w:szCs w:val="24"/>
          <w:lang w:val="en-GB"/>
        </w:rPr>
        <w:t>; Butler and Kavanagh, 1974).</w:t>
      </w:r>
      <w:r w:rsidRPr="00E068C0">
        <w:rPr>
          <w:rFonts w:ascii="Times New Roman" w:hAnsi="Times New Roman" w:cs="Times New Roman"/>
          <w:sz w:val="24"/>
          <w:szCs w:val="24"/>
          <w:lang w:val="en-GB"/>
        </w:rPr>
        <w:t xml:space="preserve"> It is also the case that a</w:t>
      </w:r>
      <w:r w:rsidR="007E2637" w:rsidRPr="00E068C0">
        <w:rPr>
          <w:rFonts w:ascii="Times New Roman" w:hAnsi="Times New Roman" w:cs="Times New Roman"/>
          <w:bCs/>
          <w:sz w:val="24"/>
          <w:szCs w:val="24"/>
          <w:lang w:val="en-GB"/>
        </w:rPr>
        <w:t>ll accounts</w:t>
      </w:r>
      <w:r w:rsidR="007E2637" w:rsidRPr="00B46D18">
        <w:rPr>
          <w:rFonts w:ascii="Times New Roman" w:hAnsi="Times New Roman" w:cs="Times New Roman"/>
          <w:bCs/>
          <w:sz w:val="24"/>
          <w:szCs w:val="24"/>
          <w:lang w:val="en-GB"/>
        </w:rPr>
        <w:t xml:space="preserve"> o</w:t>
      </w:r>
      <w:r w:rsidRPr="00B46D18">
        <w:rPr>
          <w:rFonts w:ascii="Times New Roman" w:hAnsi="Times New Roman" w:cs="Times New Roman"/>
          <w:bCs/>
          <w:sz w:val="24"/>
          <w:szCs w:val="24"/>
          <w:lang w:val="en-GB"/>
        </w:rPr>
        <w:t>f</w:t>
      </w:r>
      <w:r w:rsidR="007E2637" w:rsidRPr="00B46D18">
        <w:rPr>
          <w:rFonts w:ascii="Times New Roman" w:hAnsi="Times New Roman" w:cs="Times New Roman"/>
          <w:bCs/>
          <w:sz w:val="24"/>
          <w:szCs w:val="24"/>
          <w:lang w:val="en-GB"/>
        </w:rPr>
        <w:t xml:space="preserve"> the history of the Conservative Party make </w:t>
      </w:r>
      <w:r w:rsidR="006C75C3" w:rsidRPr="00B46D18">
        <w:rPr>
          <w:rFonts w:ascii="Times New Roman" w:hAnsi="Times New Roman" w:cs="Times New Roman"/>
          <w:bCs/>
          <w:sz w:val="24"/>
          <w:szCs w:val="24"/>
          <w:lang w:val="en-GB"/>
        </w:rPr>
        <w:t xml:space="preserve">reference to </w:t>
      </w:r>
      <w:r w:rsidRPr="00B46D18">
        <w:rPr>
          <w:rFonts w:ascii="Times New Roman" w:hAnsi="Times New Roman" w:cs="Times New Roman"/>
          <w:bCs/>
          <w:sz w:val="24"/>
          <w:szCs w:val="24"/>
          <w:lang w:val="en-GB"/>
        </w:rPr>
        <w:t>some or all</w:t>
      </w:r>
      <w:r w:rsidR="006C75C3" w:rsidRPr="00B46D18">
        <w:rPr>
          <w:rFonts w:ascii="Times New Roman" w:hAnsi="Times New Roman" w:cs="Times New Roman"/>
          <w:bCs/>
          <w:sz w:val="24"/>
          <w:szCs w:val="24"/>
          <w:lang w:val="en-GB"/>
        </w:rPr>
        <w:t xml:space="preserve"> of </w:t>
      </w:r>
      <w:r w:rsidR="007E2637" w:rsidRPr="00B46D18">
        <w:rPr>
          <w:rFonts w:ascii="Times New Roman" w:hAnsi="Times New Roman" w:cs="Times New Roman"/>
          <w:bCs/>
          <w:sz w:val="24"/>
          <w:szCs w:val="24"/>
          <w:lang w:val="en-GB"/>
        </w:rPr>
        <w:t>the themes identified above</w:t>
      </w:r>
      <w:r w:rsidR="002675BF" w:rsidRPr="00B46D18">
        <w:rPr>
          <w:rFonts w:ascii="Times New Roman" w:hAnsi="Times New Roman" w:cs="Times New Roman"/>
          <w:bCs/>
          <w:sz w:val="24"/>
          <w:szCs w:val="24"/>
          <w:lang w:val="en-GB"/>
        </w:rPr>
        <w:t xml:space="preserve"> </w:t>
      </w:r>
      <w:r w:rsidR="00146E26">
        <w:rPr>
          <w:rFonts w:ascii="Times New Roman" w:hAnsi="Times New Roman" w:cs="Times New Roman"/>
          <w:bCs/>
          <w:sz w:val="24"/>
          <w:szCs w:val="24"/>
          <w:lang w:val="en-GB"/>
        </w:rPr>
        <w:t>(</w:t>
      </w:r>
      <w:r w:rsidR="007E2637" w:rsidRPr="00B46D18">
        <w:rPr>
          <w:rFonts w:ascii="Times New Roman" w:hAnsi="Times New Roman" w:cs="Times New Roman"/>
          <w:bCs/>
          <w:sz w:val="24"/>
          <w:szCs w:val="24"/>
          <w:lang w:val="en-GB"/>
        </w:rPr>
        <w:t>see</w:t>
      </w:r>
      <w:r w:rsidR="00146E26">
        <w:rPr>
          <w:rFonts w:ascii="Times New Roman" w:hAnsi="Times New Roman" w:cs="Times New Roman"/>
          <w:bCs/>
          <w:sz w:val="24"/>
          <w:szCs w:val="24"/>
          <w:lang w:val="en-GB"/>
        </w:rPr>
        <w:t>,</w:t>
      </w:r>
      <w:r w:rsidR="007E2637" w:rsidRPr="00B46D18">
        <w:rPr>
          <w:rFonts w:ascii="Times New Roman" w:hAnsi="Times New Roman" w:cs="Times New Roman"/>
          <w:bCs/>
          <w:sz w:val="24"/>
          <w:szCs w:val="24"/>
          <w:lang w:val="en-GB"/>
        </w:rPr>
        <w:t xml:space="preserve"> for </w:t>
      </w:r>
      <w:r w:rsidR="007E2637" w:rsidRPr="008E7DBD">
        <w:rPr>
          <w:rFonts w:ascii="Times New Roman" w:hAnsi="Times New Roman" w:cs="Times New Roman"/>
          <w:bCs/>
          <w:sz w:val="24"/>
          <w:szCs w:val="24"/>
          <w:lang w:val="en-GB"/>
        </w:rPr>
        <w:t xml:space="preserve">example, </w:t>
      </w:r>
      <w:r w:rsidR="006C75C3" w:rsidRPr="008E7DBD">
        <w:rPr>
          <w:rFonts w:ascii="Times New Roman" w:hAnsi="Times New Roman" w:cs="Times New Roman"/>
          <w:bCs/>
          <w:sz w:val="24"/>
          <w:szCs w:val="24"/>
          <w:lang w:val="en-GB"/>
        </w:rPr>
        <w:t xml:space="preserve">Ramsden, 1996, 1998; Evans and Taylor, 1996; </w:t>
      </w:r>
      <w:r w:rsidR="007E2637" w:rsidRPr="008E7DBD">
        <w:rPr>
          <w:rFonts w:ascii="Times New Roman" w:hAnsi="Times New Roman" w:cs="Times New Roman"/>
          <w:bCs/>
          <w:sz w:val="24"/>
          <w:szCs w:val="24"/>
          <w:lang w:val="en-GB"/>
        </w:rPr>
        <w:t xml:space="preserve">Blake, 1998; </w:t>
      </w:r>
      <w:proofErr w:type="spellStart"/>
      <w:r w:rsidR="007E2637" w:rsidRPr="008E7DBD">
        <w:rPr>
          <w:rFonts w:ascii="Times New Roman" w:hAnsi="Times New Roman" w:cs="Times New Roman"/>
          <w:bCs/>
          <w:sz w:val="24"/>
          <w:szCs w:val="24"/>
          <w:lang w:val="en-GB"/>
        </w:rPr>
        <w:t>Charmley</w:t>
      </w:r>
      <w:proofErr w:type="spellEnd"/>
      <w:r w:rsidR="007E2637" w:rsidRPr="008E7DBD">
        <w:rPr>
          <w:rFonts w:ascii="Times New Roman" w:hAnsi="Times New Roman" w:cs="Times New Roman"/>
          <w:bCs/>
          <w:sz w:val="24"/>
          <w:szCs w:val="24"/>
          <w:lang w:val="en-GB"/>
        </w:rPr>
        <w:t>, 2007; Bale, 2012; Heppell,</w:t>
      </w:r>
      <w:r w:rsidR="007E2637" w:rsidRPr="007C437A">
        <w:rPr>
          <w:rFonts w:ascii="Times New Roman" w:hAnsi="Times New Roman" w:cs="Times New Roman"/>
          <w:bCs/>
          <w:sz w:val="24"/>
          <w:szCs w:val="24"/>
          <w:lang w:val="en-GB"/>
        </w:rPr>
        <w:t xml:space="preserve"> 2014</w:t>
      </w:r>
      <w:r w:rsidR="00146E26" w:rsidRPr="007C437A">
        <w:rPr>
          <w:rFonts w:ascii="Times New Roman" w:hAnsi="Times New Roman" w:cs="Times New Roman"/>
          <w:bCs/>
          <w:sz w:val="24"/>
          <w:szCs w:val="24"/>
          <w:lang w:val="en-GB"/>
        </w:rPr>
        <w:t>)</w:t>
      </w:r>
      <w:r w:rsidR="002675BF" w:rsidRPr="007C437A">
        <w:rPr>
          <w:rFonts w:ascii="Times New Roman" w:hAnsi="Times New Roman" w:cs="Times New Roman"/>
          <w:bCs/>
          <w:sz w:val="24"/>
          <w:szCs w:val="24"/>
          <w:lang w:val="en-GB"/>
        </w:rPr>
        <w:t>.</w:t>
      </w:r>
      <w:r w:rsidR="002675BF" w:rsidRPr="00B46D18">
        <w:rPr>
          <w:rFonts w:ascii="Times New Roman" w:hAnsi="Times New Roman" w:cs="Times New Roman"/>
          <w:bCs/>
          <w:sz w:val="24"/>
          <w:szCs w:val="24"/>
          <w:lang w:val="en-GB"/>
        </w:rPr>
        <w:t xml:space="preserve"> </w:t>
      </w:r>
    </w:p>
    <w:p w14:paraId="6448A36D" w14:textId="51B26709" w:rsidR="009965C9" w:rsidRPr="00B46D18" w:rsidRDefault="009965C9" w:rsidP="004141E7">
      <w:pPr>
        <w:spacing w:after="0" w:line="480" w:lineRule="auto"/>
        <w:contextualSpacing/>
        <w:jc w:val="both"/>
        <w:rPr>
          <w:rFonts w:ascii="Times New Roman" w:hAnsi="Times New Roman" w:cs="Times New Roman"/>
          <w:bCs/>
          <w:sz w:val="24"/>
          <w:szCs w:val="24"/>
          <w:lang w:val="en-GB"/>
        </w:rPr>
      </w:pPr>
    </w:p>
    <w:p w14:paraId="561121F1" w14:textId="77D43C8D" w:rsidR="009965C9" w:rsidRPr="00B46D18" w:rsidRDefault="009965C9" w:rsidP="004141E7">
      <w:pPr>
        <w:spacing w:after="0" w:line="480" w:lineRule="auto"/>
        <w:contextualSpacing/>
        <w:jc w:val="both"/>
        <w:rPr>
          <w:rFonts w:ascii="Times New Roman" w:hAnsi="Times New Roman" w:cs="Times New Roman"/>
          <w:b/>
          <w:sz w:val="24"/>
          <w:szCs w:val="24"/>
          <w:lang w:val="en-GB"/>
        </w:rPr>
      </w:pPr>
      <w:bookmarkStart w:id="2" w:name="_Hlk27837071"/>
      <w:r w:rsidRPr="00B46D18">
        <w:rPr>
          <w:rFonts w:ascii="Times New Roman" w:hAnsi="Times New Roman" w:cs="Times New Roman"/>
          <w:b/>
          <w:sz w:val="24"/>
          <w:szCs w:val="24"/>
          <w:lang w:val="en-GB"/>
        </w:rPr>
        <w:t>The Contingencies or Circumstances Perspective of the Heath Premiership</w:t>
      </w:r>
    </w:p>
    <w:bookmarkEnd w:id="2"/>
    <w:p w14:paraId="17633D6A" w14:textId="77777777" w:rsidR="009965C9" w:rsidRPr="00B46D18" w:rsidRDefault="009965C9" w:rsidP="004141E7">
      <w:pPr>
        <w:spacing w:after="0" w:line="480" w:lineRule="auto"/>
        <w:contextualSpacing/>
        <w:jc w:val="both"/>
        <w:rPr>
          <w:rFonts w:ascii="Times New Roman" w:hAnsi="Times New Roman" w:cs="Times New Roman"/>
          <w:bCs/>
          <w:sz w:val="24"/>
          <w:szCs w:val="24"/>
          <w:lang w:val="en-GB"/>
        </w:rPr>
      </w:pPr>
    </w:p>
    <w:p w14:paraId="6187B957" w14:textId="51DCF00E" w:rsidR="00E40C66" w:rsidRPr="00B46D18" w:rsidRDefault="009965C9"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A</w:t>
      </w:r>
      <w:r w:rsidR="00D616BF" w:rsidRPr="00B46D18">
        <w:rPr>
          <w:rFonts w:ascii="Times New Roman" w:hAnsi="Times New Roman" w:cs="Times New Roman"/>
          <w:bCs/>
          <w:sz w:val="24"/>
          <w:szCs w:val="24"/>
          <w:lang w:val="en-GB"/>
        </w:rPr>
        <w:t xml:space="preserve">longside the critique of the Heath premiership, there is the revisionist perspective. This is based primarily on identifying the difficult circumstances that the Heath premiership faced, with Seldon arguing that </w:t>
      </w:r>
      <w:r w:rsidR="00502776">
        <w:rPr>
          <w:rFonts w:ascii="Times New Roman" w:hAnsi="Times New Roman" w:cs="Times New Roman"/>
          <w:bCs/>
          <w:sz w:val="24"/>
          <w:szCs w:val="24"/>
          <w:lang w:val="en-GB"/>
        </w:rPr>
        <w:t xml:space="preserve">this </w:t>
      </w:r>
      <w:r w:rsidR="00D616BF" w:rsidRPr="008E7DBD">
        <w:rPr>
          <w:rFonts w:ascii="Times New Roman" w:hAnsi="Times New Roman" w:cs="Times New Roman"/>
          <w:bCs/>
          <w:sz w:val="24"/>
          <w:szCs w:val="24"/>
          <w:lang w:val="en-GB"/>
        </w:rPr>
        <w:t>contingencies</w:t>
      </w:r>
      <w:r w:rsidR="00502776">
        <w:rPr>
          <w:rFonts w:ascii="Times New Roman" w:hAnsi="Times New Roman" w:cs="Times New Roman"/>
          <w:bCs/>
          <w:sz w:val="24"/>
          <w:szCs w:val="24"/>
          <w:lang w:val="en-GB"/>
        </w:rPr>
        <w:t>-based view ‘</w:t>
      </w:r>
      <w:r w:rsidR="00D616BF" w:rsidRPr="008E7DBD">
        <w:rPr>
          <w:rFonts w:ascii="Times New Roman" w:hAnsi="Times New Roman" w:cs="Times New Roman"/>
          <w:bCs/>
          <w:sz w:val="24"/>
          <w:szCs w:val="24"/>
          <w:lang w:val="en-GB"/>
        </w:rPr>
        <w:t xml:space="preserve">provides the fairest judgement’ (Seldon, 1996: 19). </w:t>
      </w:r>
      <w:r w:rsidR="00E40C66" w:rsidRPr="008E7DBD">
        <w:rPr>
          <w:rFonts w:ascii="Times New Roman" w:hAnsi="Times New Roman" w:cs="Times New Roman"/>
          <w:bCs/>
          <w:sz w:val="24"/>
          <w:szCs w:val="24"/>
          <w:lang w:val="en-GB"/>
        </w:rPr>
        <w:t>In this context, Seldon</w:t>
      </w:r>
      <w:r w:rsidR="00E40C66" w:rsidRPr="00B46D18">
        <w:rPr>
          <w:rFonts w:ascii="Times New Roman" w:hAnsi="Times New Roman" w:cs="Times New Roman"/>
          <w:bCs/>
          <w:sz w:val="24"/>
          <w:szCs w:val="24"/>
          <w:lang w:val="en-GB"/>
        </w:rPr>
        <w:t xml:space="preserve"> asks political historians to acknowledge the constraints that Heath was forced to operate under. </w:t>
      </w:r>
    </w:p>
    <w:p w14:paraId="7DE94CD8" w14:textId="137085FA" w:rsidR="00334BB6" w:rsidRPr="00B46D18" w:rsidRDefault="00E40C66"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The economic circumstances of the times would create challenges for any political party or Prime Ministe</w:t>
      </w:r>
      <w:r w:rsidR="008922F4" w:rsidRPr="00B46D18">
        <w:rPr>
          <w:rFonts w:ascii="Times New Roman" w:hAnsi="Times New Roman" w:cs="Times New Roman"/>
          <w:bCs/>
          <w:sz w:val="24"/>
          <w:szCs w:val="24"/>
          <w:lang w:val="en-GB"/>
        </w:rPr>
        <w:t xml:space="preserve">r, being as it was an era associated with notions of economic decline and the ungovernability or overload </w:t>
      </w:r>
      <w:r w:rsidR="008922F4" w:rsidRPr="008E7DBD">
        <w:rPr>
          <w:rFonts w:ascii="Times New Roman" w:hAnsi="Times New Roman" w:cs="Times New Roman"/>
          <w:bCs/>
          <w:sz w:val="24"/>
          <w:szCs w:val="24"/>
          <w:lang w:val="en-GB"/>
        </w:rPr>
        <w:t>thesis</w:t>
      </w:r>
      <w:r w:rsidR="00E24374" w:rsidRPr="008E7DBD">
        <w:rPr>
          <w:rStyle w:val="FootnoteReference"/>
          <w:rFonts w:ascii="Times New Roman" w:hAnsi="Times New Roman" w:cs="Times New Roman"/>
          <w:bCs/>
          <w:sz w:val="24"/>
          <w:szCs w:val="24"/>
          <w:lang w:val="en-GB"/>
        </w:rPr>
        <w:footnoteReference w:id="4"/>
      </w:r>
      <w:r w:rsidR="008922F4" w:rsidRPr="008E7DBD">
        <w:rPr>
          <w:rFonts w:ascii="Times New Roman" w:hAnsi="Times New Roman" w:cs="Times New Roman"/>
          <w:bCs/>
          <w:sz w:val="24"/>
          <w:szCs w:val="24"/>
          <w:lang w:val="en-GB"/>
        </w:rPr>
        <w:t xml:space="preserve"> (see King, 1975; Tomlinson, 2000). </w:t>
      </w:r>
      <w:r w:rsidRPr="008E7DBD">
        <w:rPr>
          <w:rFonts w:ascii="Times New Roman" w:hAnsi="Times New Roman" w:cs="Times New Roman"/>
          <w:bCs/>
          <w:sz w:val="24"/>
          <w:szCs w:val="24"/>
          <w:lang w:val="en-GB"/>
        </w:rPr>
        <w:t>Concerns about increases in inflation</w:t>
      </w:r>
      <w:r w:rsidR="003B0E6D" w:rsidRPr="008E7DBD">
        <w:rPr>
          <w:rFonts w:ascii="Times New Roman" w:hAnsi="Times New Roman" w:cs="Times New Roman"/>
          <w:bCs/>
          <w:sz w:val="24"/>
          <w:szCs w:val="24"/>
          <w:lang w:val="en-GB"/>
        </w:rPr>
        <w:t xml:space="preserve"> and</w:t>
      </w:r>
      <w:r w:rsidRPr="008E7DBD">
        <w:rPr>
          <w:rFonts w:ascii="Times New Roman" w:hAnsi="Times New Roman" w:cs="Times New Roman"/>
          <w:bCs/>
          <w:sz w:val="24"/>
          <w:szCs w:val="24"/>
          <w:lang w:val="en-GB"/>
        </w:rPr>
        <w:t xml:space="preserve"> unemployment</w:t>
      </w:r>
      <w:r w:rsidR="003B0E6D" w:rsidRPr="00B46D18">
        <w:rPr>
          <w:rFonts w:ascii="Times New Roman" w:hAnsi="Times New Roman" w:cs="Times New Roman"/>
          <w:bCs/>
          <w:sz w:val="24"/>
          <w:szCs w:val="24"/>
          <w:lang w:val="en-GB"/>
        </w:rPr>
        <w:t xml:space="preserve"> </w:t>
      </w:r>
      <w:r w:rsidRPr="00B46D18">
        <w:rPr>
          <w:rFonts w:ascii="Times New Roman" w:hAnsi="Times New Roman" w:cs="Times New Roman"/>
          <w:bCs/>
          <w:sz w:val="24"/>
          <w:szCs w:val="24"/>
          <w:lang w:val="en-GB"/>
        </w:rPr>
        <w:t xml:space="preserve">predominated and it is worth noting that both the preceding and successor Labour administrations would also </w:t>
      </w:r>
      <w:r w:rsidRPr="007C437A">
        <w:rPr>
          <w:rFonts w:ascii="Times New Roman" w:hAnsi="Times New Roman" w:cs="Times New Roman"/>
          <w:bCs/>
          <w:sz w:val="24"/>
          <w:szCs w:val="24"/>
          <w:lang w:val="en-GB"/>
        </w:rPr>
        <w:t xml:space="preserve">struggle to overcome the same issues (see </w:t>
      </w:r>
      <w:r w:rsidRPr="007C437A">
        <w:rPr>
          <w:rFonts w:ascii="Times New Roman" w:hAnsi="Times New Roman" w:cs="Times New Roman"/>
          <w:sz w:val="24"/>
          <w:szCs w:val="24"/>
          <w:lang w:val="en-GB"/>
        </w:rPr>
        <w:t xml:space="preserve">Ponting, 1990; </w:t>
      </w:r>
      <w:proofErr w:type="spellStart"/>
      <w:r w:rsidRPr="007C437A">
        <w:rPr>
          <w:rFonts w:ascii="Times New Roman" w:eastAsia="Times New Roman" w:hAnsi="Times New Roman" w:cs="Times New Roman"/>
          <w:bCs/>
          <w:kern w:val="36"/>
          <w:sz w:val="24"/>
          <w:szCs w:val="24"/>
          <w:lang w:val="en-GB" w:eastAsia="en-GB"/>
        </w:rPr>
        <w:t>Coopey</w:t>
      </w:r>
      <w:proofErr w:type="spellEnd"/>
      <w:r w:rsidRPr="007C437A">
        <w:rPr>
          <w:rFonts w:ascii="Times New Roman" w:eastAsia="Times New Roman" w:hAnsi="Times New Roman" w:cs="Times New Roman"/>
          <w:bCs/>
          <w:kern w:val="36"/>
          <w:sz w:val="24"/>
          <w:szCs w:val="24"/>
          <w:lang w:val="en-GB" w:eastAsia="en-GB"/>
        </w:rPr>
        <w:t xml:space="preserve">, Fielding and </w:t>
      </w:r>
      <w:proofErr w:type="spellStart"/>
      <w:r w:rsidRPr="007C437A">
        <w:rPr>
          <w:rFonts w:ascii="Times New Roman" w:eastAsia="Times New Roman" w:hAnsi="Times New Roman" w:cs="Times New Roman"/>
          <w:bCs/>
          <w:kern w:val="36"/>
          <w:sz w:val="24"/>
          <w:szCs w:val="24"/>
          <w:lang w:val="en-GB" w:eastAsia="en-GB"/>
        </w:rPr>
        <w:t>Tiratsoo</w:t>
      </w:r>
      <w:proofErr w:type="spellEnd"/>
      <w:r w:rsidRPr="007C437A">
        <w:rPr>
          <w:rFonts w:ascii="Times New Roman" w:eastAsia="Times New Roman" w:hAnsi="Times New Roman" w:cs="Times New Roman"/>
          <w:bCs/>
          <w:kern w:val="36"/>
          <w:sz w:val="24"/>
          <w:szCs w:val="24"/>
          <w:lang w:val="en-GB" w:eastAsia="en-GB"/>
        </w:rPr>
        <w:t>, 1993</w:t>
      </w:r>
      <w:r w:rsidRPr="007C437A">
        <w:rPr>
          <w:rFonts w:ascii="Times New Roman" w:hAnsi="Times New Roman" w:cs="Times New Roman"/>
          <w:sz w:val="24"/>
          <w:szCs w:val="24"/>
          <w:lang w:val="en-GB"/>
        </w:rPr>
        <w:t>; Dorey, 2006,</w:t>
      </w:r>
      <w:r w:rsidRPr="00E068C0">
        <w:rPr>
          <w:rFonts w:ascii="Times New Roman" w:hAnsi="Times New Roman" w:cs="Times New Roman"/>
          <w:sz w:val="24"/>
          <w:szCs w:val="24"/>
          <w:lang w:val="en-GB"/>
        </w:rPr>
        <w:t xml:space="preserve"> </w:t>
      </w:r>
      <w:r w:rsidR="00502776">
        <w:rPr>
          <w:rFonts w:ascii="Times New Roman" w:hAnsi="Times New Roman" w:cs="Times New Roman"/>
          <w:sz w:val="24"/>
          <w:szCs w:val="24"/>
          <w:lang w:val="en-GB"/>
        </w:rPr>
        <w:t>2019; O’Hara and Parr, 2006</w:t>
      </w:r>
      <w:r w:rsidRPr="007C437A">
        <w:rPr>
          <w:rFonts w:ascii="Times New Roman" w:hAnsi="Times New Roman" w:cs="Times New Roman"/>
          <w:sz w:val="24"/>
          <w:szCs w:val="24"/>
          <w:lang w:val="en-GB"/>
        </w:rPr>
        <w:t xml:space="preserve"> on the 1964 to 1970 era; and Holmes, 1985; Harmon, 1997; Hickson </w:t>
      </w:r>
      <w:r w:rsidRPr="008E7DBD">
        <w:rPr>
          <w:rFonts w:ascii="Times New Roman" w:hAnsi="Times New Roman" w:cs="Times New Roman"/>
          <w:sz w:val="24"/>
          <w:szCs w:val="24"/>
          <w:lang w:val="en-GB"/>
        </w:rPr>
        <w:t xml:space="preserve">and Seldon, </w:t>
      </w:r>
      <w:r w:rsidRPr="008E7DBD">
        <w:rPr>
          <w:rFonts w:ascii="Times New Roman" w:hAnsi="Times New Roman" w:cs="Times New Roman"/>
          <w:sz w:val="24"/>
          <w:szCs w:val="24"/>
          <w:lang w:val="en-GB"/>
        </w:rPr>
        <w:lastRenderedPageBreak/>
        <w:t>2004; Hickson, 2005</w:t>
      </w:r>
      <w:r w:rsidR="00C21CC6" w:rsidRPr="008E7DBD">
        <w:rPr>
          <w:rFonts w:ascii="Times New Roman" w:hAnsi="Times New Roman" w:cs="Times New Roman"/>
          <w:sz w:val="24"/>
          <w:szCs w:val="24"/>
          <w:lang w:val="en-GB"/>
        </w:rPr>
        <w:t>a</w:t>
      </w:r>
      <w:r w:rsidRPr="008E7DBD">
        <w:rPr>
          <w:rFonts w:ascii="Times New Roman" w:hAnsi="Times New Roman" w:cs="Times New Roman"/>
          <w:sz w:val="24"/>
          <w:szCs w:val="24"/>
          <w:lang w:val="en-GB"/>
        </w:rPr>
        <w:t xml:space="preserve"> and Shepherd, 2013 on the 1974 to 1979 era</w:t>
      </w:r>
      <w:r w:rsidR="00565D2D" w:rsidRPr="008E7DBD">
        <w:rPr>
          <w:rFonts w:ascii="Times New Roman" w:hAnsi="Times New Roman" w:cs="Times New Roman"/>
          <w:sz w:val="24"/>
          <w:szCs w:val="24"/>
          <w:lang w:val="en-GB"/>
        </w:rPr>
        <w:t xml:space="preserve">). </w:t>
      </w:r>
      <w:r w:rsidR="00502776">
        <w:rPr>
          <w:rFonts w:ascii="Times New Roman" w:hAnsi="Times New Roman" w:cs="Times New Roman"/>
          <w:sz w:val="24"/>
          <w:szCs w:val="24"/>
          <w:lang w:val="en-GB"/>
        </w:rPr>
        <w:t>Linked to the</w:t>
      </w:r>
      <w:r w:rsidR="00472D0B" w:rsidRPr="008E7DBD">
        <w:rPr>
          <w:rFonts w:ascii="Times New Roman" w:hAnsi="Times New Roman" w:cs="Times New Roman"/>
          <w:sz w:val="24"/>
          <w:szCs w:val="24"/>
          <w:lang w:val="en-GB"/>
        </w:rPr>
        <w:t xml:space="preserve"> difficulties in</w:t>
      </w:r>
      <w:r w:rsidR="00472D0B" w:rsidRPr="00B46D18">
        <w:rPr>
          <w:rFonts w:ascii="Times New Roman" w:hAnsi="Times New Roman" w:cs="Times New Roman"/>
          <w:sz w:val="24"/>
          <w:szCs w:val="24"/>
          <w:lang w:val="en-GB"/>
        </w:rPr>
        <w:t xml:space="preserve"> terms of economic performance was the perception of increasing trade union power. </w:t>
      </w:r>
      <w:r w:rsidR="007310EE" w:rsidRPr="00B46D18">
        <w:rPr>
          <w:rFonts w:ascii="Times New Roman" w:hAnsi="Times New Roman" w:cs="Times New Roman"/>
          <w:sz w:val="24"/>
          <w:szCs w:val="24"/>
          <w:lang w:val="en-GB"/>
        </w:rPr>
        <w:t>It is evident that t</w:t>
      </w:r>
      <w:r w:rsidR="00472D0B" w:rsidRPr="00B46D18">
        <w:rPr>
          <w:rFonts w:ascii="Times New Roman" w:hAnsi="Times New Roman" w:cs="Times New Roman"/>
          <w:sz w:val="24"/>
          <w:szCs w:val="24"/>
          <w:lang w:val="en-GB"/>
        </w:rPr>
        <w:t xml:space="preserve">he dysfunctional relationship between government and the trade unions was a contributing factor in the downfall of the Heath administration – i.e. the non-viability of the 1971 Industrial Relations Act; the 1972 </w:t>
      </w:r>
      <w:r w:rsidR="00502776">
        <w:rPr>
          <w:rFonts w:ascii="Times New Roman" w:hAnsi="Times New Roman" w:cs="Times New Roman"/>
          <w:sz w:val="24"/>
          <w:szCs w:val="24"/>
          <w:lang w:val="en-GB"/>
        </w:rPr>
        <w:t>Miners’ Strike; the 1973-74 Mine</w:t>
      </w:r>
      <w:r w:rsidR="00472D0B" w:rsidRPr="00B46D18">
        <w:rPr>
          <w:rFonts w:ascii="Times New Roman" w:hAnsi="Times New Roman" w:cs="Times New Roman"/>
          <w:sz w:val="24"/>
          <w:szCs w:val="24"/>
          <w:lang w:val="en-GB"/>
        </w:rPr>
        <w:t>rs</w:t>
      </w:r>
      <w:r w:rsidR="00502776">
        <w:rPr>
          <w:rFonts w:ascii="Times New Roman" w:hAnsi="Times New Roman" w:cs="Times New Roman"/>
          <w:sz w:val="24"/>
          <w:szCs w:val="24"/>
          <w:lang w:val="en-GB"/>
        </w:rPr>
        <w:t>’</w:t>
      </w:r>
      <w:r w:rsidR="00472D0B" w:rsidRPr="00B46D18">
        <w:rPr>
          <w:rFonts w:ascii="Times New Roman" w:hAnsi="Times New Roman" w:cs="Times New Roman"/>
          <w:sz w:val="24"/>
          <w:szCs w:val="24"/>
          <w:lang w:val="en-GB"/>
        </w:rPr>
        <w:t xml:space="preserve"> Strike and the imposition of the three-day </w:t>
      </w:r>
      <w:r w:rsidR="007310EE" w:rsidRPr="00B46D18">
        <w:rPr>
          <w:rFonts w:ascii="Times New Roman" w:hAnsi="Times New Roman" w:cs="Times New Roman"/>
          <w:sz w:val="24"/>
          <w:szCs w:val="24"/>
          <w:lang w:val="en-GB"/>
        </w:rPr>
        <w:t>week leading to</w:t>
      </w:r>
      <w:r w:rsidR="00472D0B" w:rsidRPr="00B46D18">
        <w:rPr>
          <w:rFonts w:ascii="Times New Roman" w:hAnsi="Times New Roman" w:cs="Times New Roman"/>
          <w:sz w:val="24"/>
          <w:szCs w:val="24"/>
          <w:lang w:val="en-GB"/>
        </w:rPr>
        <w:t xml:space="preserve"> the ‘Who Governs’ General </w:t>
      </w:r>
      <w:r w:rsidR="00472D0B" w:rsidRPr="008E7DBD">
        <w:rPr>
          <w:rFonts w:ascii="Times New Roman" w:hAnsi="Times New Roman" w:cs="Times New Roman"/>
          <w:sz w:val="24"/>
          <w:szCs w:val="24"/>
          <w:lang w:val="en-GB"/>
        </w:rPr>
        <w:t>Election</w:t>
      </w:r>
      <w:r w:rsidR="007310EE" w:rsidRPr="008E7DBD">
        <w:rPr>
          <w:rFonts w:ascii="Times New Roman" w:hAnsi="Times New Roman" w:cs="Times New Roman"/>
          <w:sz w:val="24"/>
          <w:szCs w:val="24"/>
          <w:lang w:val="en-GB"/>
        </w:rPr>
        <w:t xml:space="preserve"> of February 1974</w:t>
      </w:r>
      <w:r w:rsidR="00146E26" w:rsidRPr="008E7DBD">
        <w:rPr>
          <w:rFonts w:ascii="Times New Roman" w:hAnsi="Times New Roman" w:cs="Times New Roman"/>
          <w:sz w:val="24"/>
          <w:szCs w:val="24"/>
          <w:lang w:val="en-GB"/>
        </w:rPr>
        <w:t xml:space="preserve"> (</w:t>
      </w:r>
      <w:r w:rsidR="0013739B" w:rsidRPr="008E7DBD">
        <w:rPr>
          <w:rFonts w:ascii="Times New Roman" w:hAnsi="Times New Roman" w:cs="Times New Roman"/>
          <w:sz w:val="24"/>
          <w:szCs w:val="24"/>
          <w:lang w:val="en-GB"/>
        </w:rPr>
        <w:t xml:space="preserve">see Seldon, 1988; Taylor, 1996; </w:t>
      </w:r>
      <w:r w:rsidR="007310EE" w:rsidRPr="008E7DBD">
        <w:rPr>
          <w:rFonts w:ascii="Times New Roman" w:hAnsi="Times New Roman" w:cs="Times New Roman"/>
          <w:sz w:val="24"/>
          <w:szCs w:val="24"/>
          <w:lang w:val="en-GB"/>
        </w:rPr>
        <w:t xml:space="preserve">Butler and Kavanagh, 1974; </w:t>
      </w:r>
      <w:r w:rsidR="0013739B" w:rsidRPr="008E7DBD">
        <w:rPr>
          <w:rFonts w:ascii="Times New Roman" w:hAnsi="Times New Roman" w:cs="Times New Roman"/>
          <w:sz w:val="24"/>
          <w:szCs w:val="24"/>
          <w:lang w:val="en-GB"/>
        </w:rPr>
        <w:t>see also</w:t>
      </w:r>
      <w:r w:rsidR="007310EE" w:rsidRPr="008E7DBD">
        <w:rPr>
          <w:rFonts w:ascii="Times New Roman" w:hAnsi="Times New Roman" w:cs="Times New Roman"/>
          <w:sz w:val="24"/>
          <w:szCs w:val="24"/>
          <w:lang w:val="en-GB"/>
        </w:rPr>
        <w:t xml:space="preserve"> </w:t>
      </w:r>
      <w:r w:rsidR="005C2105" w:rsidRPr="008E7DBD">
        <w:rPr>
          <w:rFonts w:ascii="Times New Roman" w:hAnsi="Times New Roman" w:cs="Times New Roman"/>
          <w:sz w:val="24"/>
          <w:szCs w:val="24"/>
          <w:lang w:val="en-GB"/>
        </w:rPr>
        <w:t>Moran, 1977,</w:t>
      </w:r>
      <w:r w:rsidR="005C2105" w:rsidRPr="007C437A">
        <w:rPr>
          <w:rFonts w:ascii="Times New Roman" w:hAnsi="Times New Roman" w:cs="Times New Roman"/>
          <w:sz w:val="24"/>
          <w:szCs w:val="24"/>
          <w:lang w:val="en-GB"/>
        </w:rPr>
        <w:t xml:space="preserve"> </w:t>
      </w:r>
      <w:r w:rsidR="007310EE" w:rsidRPr="007C437A">
        <w:rPr>
          <w:rFonts w:ascii="Times New Roman" w:hAnsi="Times New Roman" w:cs="Times New Roman"/>
          <w:sz w:val="24"/>
          <w:szCs w:val="24"/>
          <w:lang w:val="en-GB"/>
        </w:rPr>
        <w:t xml:space="preserve">Dorey, </w:t>
      </w:r>
      <w:r w:rsidR="005C2105" w:rsidRPr="007C437A">
        <w:rPr>
          <w:rFonts w:ascii="Times New Roman" w:hAnsi="Times New Roman" w:cs="Times New Roman"/>
          <w:sz w:val="24"/>
          <w:szCs w:val="24"/>
          <w:lang w:val="en-GB"/>
        </w:rPr>
        <w:t>199</w:t>
      </w:r>
      <w:r w:rsidR="007310EE" w:rsidRPr="007C437A">
        <w:rPr>
          <w:rFonts w:ascii="Times New Roman" w:hAnsi="Times New Roman" w:cs="Times New Roman"/>
          <w:sz w:val="24"/>
          <w:szCs w:val="24"/>
          <w:lang w:val="en-GB"/>
        </w:rPr>
        <w:t>5, chapter five,</w:t>
      </w:r>
      <w:r w:rsidR="0013739B" w:rsidRPr="007C437A">
        <w:rPr>
          <w:rFonts w:ascii="Times New Roman" w:hAnsi="Times New Roman" w:cs="Times New Roman"/>
          <w:sz w:val="24"/>
          <w:szCs w:val="24"/>
          <w:lang w:val="en-GB"/>
        </w:rPr>
        <w:t xml:space="preserve"> </w:t>
      </w:r>
      <w:r w:rsidR="00472D0B" w:rsidRPr="007C437A">
        <w:rPr>
          <w:rFonts w:ascii="Times New Roman" w:hAnsi="Times New Roman" w:cs="Times New Roman"/>
          <w:sz w:val="24"/>
          <w:szCs w:val="24"/>
          <w:lang w:val="en-GB"/>
        </w:rPr>
        <w:t>Phillips, 2006</w:t>
      </w:r>
      <w:r w:rsidR="0013739B" w:rsidRPr="007C437A">
        <w:rPr>
          <w:rFonts w:ascii="Times New Roman" w:hAnsi="Times New Roman" w:cs="Times New Roman"/>
          <w:sz w:val="24"/>
          <w:szCs w:val="24"/>
          <w:lang w:val="en-GB"/>
        </w:rPr>
        <w:t>, 2007</w:t>
      </w:r>
      <w:r w:rsidR="00146E26" w:rsidRPr="007C437A">
        <w:rPr>
          <w:rFonts w:ascii="Times New Roman" w:hAnsi="Times New Roman" w:cs="Times New Roman"/>
          <w:sz w:val="24"/>
          <w:szCs w:val="24"/>
          <w:lang w:val="en-GB"/>
        </w:rPr>
        <w:t>).</w:t>
      </w:r>
      <w:r w:rsidR="005C2105" w:rsidRPr="007C437A">
        <w:rPr>
          <w:rFonts w:ascii="Times New Roman" w:hAnsi="Times New Roman" w:cs="Times New Roman"/>
          <w:sz w:val="24"/>
          <w:szCs w:val="24"/>
          <w:lang w:val="en-GB"/>
        </w:rPr>
        <w:t xml:space="preserve"> </w:t>
      </w:r>
      <w:r w:rsidR="00B10FBF" w:rsidRPr="007C437A">
        <w:rPr>
          <w:rFonts w:ascii="Times New Roman" w:hAnsi="Times New Roman" w:cs="Times New Roman"/>
          <w:sz w:val="24"/>
          <w:szCs w:val="24"/>
          <w:lang w:val="en-GB"/>
        </w:rPr>
        <w:t xml:space="preserve">However, </w:t>
      </w:r>
      <w:r w:rsidR="005C2105" w:rsidRPr="007C437A">
        <w:rPr>
          <w:rFonts w:ascii="Times New Roman" w:hAnsi="Times New Roman" w:cs="Times New Roman"/>
          <w:sz w:val="24"/>
          <w:szCs w:val="24"/>
          <w:lang w:val="en-GB"/>
        </w:rPr>
        <w:t>Taylor suggests that given that Trade Union</w:t>
      </w:r>
      <w:r w:rsidR="005C2105" w:rsidRPr="00B46D18">
        <w:rPr>
          <w:rFonts w:ascii="Times New Roman" w:hAnsi="Times New Roman" w:cs="Times New Roman"/>
          <w:sz w:val="24"/>
          <w:szCs w:val="24"/>
          <w:lang w:val="en-GB"/>
        </w:rPr>
        <w:t xml:space="preserve"> movement was structurally and ideologically incapable of securing an agreement with the Heath premiership</w:t>
      </w:r>
      <w:r w:rsidR="00B10FBF" w:rsidRPr="00B46D18">
        <w:rPr>
          <w:rFonts w:ascii="Times New Roman" w:hAnsi="Times New Roman" w:cs="Times New Roman"/>
          <w:sz w:val="24"/>
          <w:szCs w:val="24"/>
          <w:lang w:val="en-GB"/>
        </w:rPr>
        <w:t xml:space="preserve">, </w:t>
      </w:r>
      <w:r w:rsidR="005C2105" w:rsidRPr="00B46D18">
        <w:rPr>
          <w:rFonts w:ascii="Times New Roman" w:hAnsi="Times New Roman" w:cs="Times New Roman"/>
          <w:sz w:val="24"/>
          <w:szCs w:val="24"/>
          <w:lang w:val="en-GB"/>
        </w:rPr>
        <w:t xml:space="preserve">and working with them </w:t>
      </w:r>
      <w:r w:rsidR="005C2105" w:rsidRPr="008E7DBD">
        <w:rPr>
          <w:rFonts w:ascii="Times New Roman" w:hAnsi="Times New Roman" w:cs="Times New Roman"/>
          <w:sz w:val="24"/>
          <w:szCs w:val="24"/>
          <w:lang w:val="en-GB"/>
        </w:rPr>
        <w:t>to create the modern European social market economy that Heath envisaged (Taylor, 1993: 218).</w:t>
      </w:r>
      <w:r w:rsidR="00B10FBF" w:rsidRPr="008E7DBD">
        <w:rPr>
          <w:rFonts w:ascii="Times New Roman" w:hAnsi="Times New Roman" w:cs="Times New Roman"/>
          <w:sz w:val="24"/>
          <w:szCs w:val="24"/>
          <w:lang w:val="en-GB"/>
        </w:rPr>
        <w:t xml:space="preserve"> Moreover, as Barnes</w:t>
      </w:r>
      <w:r w:rsidR="00B10FBF" w:rsidRPr="00700F3A">
        <w:rPr>
          <w:rFonts w:ascii="Times New Roman" w:hAnsi="Times New Roman" w:cs="Times New Roman"/>
          <w:sz w:val="24"/>
          <w:szCs w:val="24"/>
          <w:lang w:val="en-GB"/>
        </w:rPr>
        <w:t xml:space="preserve"> and Reid </w:t>
      </w:r>
      <w:r w:rsidR="005D7FE3" w:rsidRPr="00700F3A">
        <w:rPr>
          <w:rFonts w:ascii="Times New Roman" w:hAnsi="Times New Roman" w:cs="Times New Roman"/>
          <w:sz w:val="24"/>
          <w:szCs w:val="24"/>
          <w:lang w:val="en-GB"/>
        </w:rPr>
        <w:t>(1980</w:t>
      </w:r>
      <w:r w:rsidR="005D7FE3" w:rsidRPr="00B46D18">
        <w:rPr>
          <w:rFonts w:ascii="Times New Roman" w:hAnsi="Times New Roman" w:cs="Times New Roman"/>
          <w:sz w:val="24"/>
          <w:szCs w:val="24"/>
          <w:lang w:val="en-GB"/>
        </w:rPr>
        <w:t xml:space="preserve">) </w:t>
      </w:r>
      <w:r w:rsidR="00B10FBF" w:rsidRPr="00B46D18">
        <w:rPr>
          <w:rFonts w:ascii="Times New Roman" w:hAnsi="Times New Roman" w:cs="Times New Roman"/>
          <w:sz w:val="24"/>
          <w:szCs w:val="24"/>
          <w:lang w:val="en-GB"/>
        </w:rPr>
        <w:t xml:space="preserve">observed, </w:t>
      </w:r>
      <w:r w:rsidR="005D7FE3" w:rsidRPr="00B46D18">
        <w:rPr>
          <w:rFonts w:ascii="Times New Roman" w:hAnsi="Times New Roman" w:cs="Times New Roman"/>
          <w:sz w:val="24"/>
          <w:szCs w:val="24"/>
          <w:lang w:val="en-GB"/>
        </w:rPr>
        <w:t>t</w:t>
      </w:r>
      <w:r w:rsidR="00C92727" w:rsidRPr="00B46D18">
        <w:rPr>
          <w:rFonts w:ascii="Times New Roman" w:hAnsi="Times New Roman" w:cs="Times New Roman"/>
          <w:sz w:val="24"/>
          <w:szCs w:val="24"/>
          <w:lang w:val="en-GB"/>
        </w:rPr>
        <w:t xml:space="preserve">rade </w:t>
      </w:r>
      <w:r w:rsidR="005D7FE3" w:rsidRPr="00B46D18">
        <w:rPr>
          <w:rFonts w:ascii="Times New Roman" w:hAnsi="Times New Roman" w:cs="Times New Roman"/>
          <w:sz w:val="24"/>
          <w:szCs w:val="24"/>
          <w:lang w:val="en-GB"/>
        </w:rPr>
        <w:t>u</w:t>
      </w:r>
      <w:r w:rsidR="00C92727" w:rsidRPr="00B46D18">
        <w:rPr>
          <w:rFonts w:ascii="Times New Roman" w:hAnsi="Times New Roman" w:cs="Times New Roman"/>
          <w:sz w:val="24"/>
          <w:szCs w:val="24"/>
          <w:lang w:val="en-GB"/>
        </w:rPr>
        <w:t xml:space="preserve">nion power and influence had been a significant factor in the fall of three successive Prime Ministers, as either side of Heath, Wilson had been undermined by the failure of </w:t>
      </w:r>
      <w:r w:rsidR="00C92727" w:rsidRPr="00B46D18">
        <w:rPr>
          <w:rFonts w:ascii="Times New Roman" w:hAnsi="Times New Roman" w:cs="Times New Roman"/>
          <w:i/>
          <w:iCs/>
          <w:sz w:val="24"/>
          <w:szCs w:val="24"/>
          <w:lang w:val="en-GB"/>
        </w:rPr>
        <w:t>In Place of Strife</w:t>
      </w:r>
      <w:r w:rsidR="00C92727" w:rsidRPr="00B46D18">
        <w:rPr>
          <w:rFonts w:ascii="Times New Roman" w:hAnsi="Times New Roman" w:cs="Times New Roman"/>
          <w:sz w:val="24"/>
          <w:szCs w:val="24"/>
          <w:lang w:val="en-GB"/>
        </w:rPr>
        <w:t xml:space="preserve">, and Callaghan was undermined by the Winter of Discontent </w:t>
      </w:r>
      <w:r w:rsidR="00C92727" w:rsidRPr="008E7DBD">
        <w:rPr>
          <w:rFonts w:ascii="Times New Roman" w:hAnsi="Times New Roman" w:cs="Times New Roman"/>
          <w:sz w:val="24"/>
          <w:szCs w:val="24"/>
          <w:lang w:val="en-GB"/>
        </w:rPr>
        <w:t>(Shepherd, 2013; Dorey, 2019). Furthermore, t</w:t>
      </w:r>
      <w:r w:rsidR="00565D2D" w:rsidRPr="008E7DBD">
        <w:rPr>
          <w:rFonts w:ascii="Times New Roman" w:hAnsi="Times New Roman" w:cs="Times New Roman"/>
          <w:sz w:val="24"/>
          <w:szCs w:val="24"/>
          <w:lang w:val="en-GB"/>
        </w:rPr>
        <w:t>he constraints that Heath was operating under were not limited to</w:t>
      </w:r>
      <w:r w:rsidR="00565D2D" w:rsidRPr="00B46D18">
        <w:rPr>
          <w:rFonts w:ascii="Times New Roman" w:hAnsi="Times New Roman" w:cs="Times New Roman"/>
          <w:sz w:val="24"/>
          <w:szCs w:val="24"/>
          <w:lang w:val="en-GB"/>
        </w:rPr>
        <w:t xml:space="preserve"> those associated with the economy and industrial relations. He was also constrained by the </w:t>
      </w:r>
      <w:r w:rsidRPr="00B46D18">
        <w:rPr>
          <w:rFonts w:ascii="Times New Roman" w:hAnsi="Times New Roman" w:cs="Times New Roman"/>
          <w:sz w:val="24"/>
          <w:szCs w:val="24"/>
          <w:lang w:val="en-GB"/>
        </w:rPr>
        <w:t>escalating confl</w:t>
      </w:r>
      <w:r w:rsidR="00502776">
        <w:rPr>
          <w:rFonts w:ascii="Times New Roman" w:hAnsi="Times New Roman" w:cs="Times New Roman"/>
          <w:sz w:val="24"/>
          <w:szCs w:val="24"/>
          <w:lang w:val="en-GB"/>
        </w:rPr>
        <w:t xml:space="preserve">ict within Northern Ireland, </w:t>
      </w:r>
      <w:r w:rsidRPr="00B46D18">
        <w:rPr>
          <w:rFonts w:ascii="Times New Roman" w:hAnsi="Times New Roman" w:cs="Times New Roman"/>
          <w:sz w:val="24"/>
          <w:szCs w:val="24"/>
          <w:lang w:val="en-GB"/>
        </w:rPr>
        <w:t xml:space="preserve">the suspension of the Stormont Parliament and the imposition of direct rule from </w:t>
      </w:r>
      <w:r w:rsidRPr="008E7DBD">
        <w:rPr>
          <w:rFonts w:ascii="Times New Roman" w:hAnsi="Times New Roman" w:cs="Times New Roman"/>
          <w:sz w:val="24"/>
          <w:szCs w:val="24"/>
          <w:lang w:val="en-GB"/>
        </w:rPr>
        <w:t>Westminster</w:t>
      </w:r>
      <w:r w:rsidR="00565D2D" w:rsidRPr="008E7DBD">
        <w:rPr>
          <w:rFonts w:ascii="Times New Roman" w:hAnsi="Times New Roman" w:cs="Times New Roman"/>
          <w:sz w:val="24"/>
          <w:szCs w:val="24"/>
          <w:lang w:val="en-GB"/>
        </w:rPr>
        <w:t xml:space="preserve"> (Arthur, 1996; Smith, 2007; McDaid, 2013</w:t>
      </w:r>
      <w:r w:rsidR="003B0E6D" w:rsidRPr="008E7DBD">
        <w:rPr>
          <w:rFonts w:ascii="Times New Roman" w:hAnsi="Times New Roman" w:cs="Times New Roman"/>
          <w:sz w:val="24"/>
          <w:szCs w:val="24"/>
          <w:lang w:val="en-GB"/>
        </w:rPr>
        <w:t>).</w:t>
      </w:r>
      <w:r w:rsidR="003B0E6D" w:rsidRPr="00B46D18">
        <w:rPr>
          <w:rFonts w:ascii="Times New Roman" w:hAnsi="Times New Roman" w:cs="Times New Roman"/>
          <w:sz w:val="24"/>
          <w:szCs w:val="24"/>
          <w:lang w:val="en-GB"/>
        </w:rPr>
        <w:t xml:space="preserve"> </w:t>
      </w:r>
    </w:p>
    <w:p w14:paraId="53BF496B" w14:textId="0CCA90C5" w:rsidR="00495F84" w:rsidRPr="00B46D18" w:rsidRDefault="00725746" w:rsidP="004141E7">
      <w:pPr>
        <w:spacing w:after="0" w:line="480" w:lineRule="auto"/>
        <w:ind w:firstLine="720"/>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Political historians who adopt the contingencies or circumstances perspective on the Heath Premiership argue that, once the difficult operating environment </w:t>
      </w:r>
      <w:r w:rsidR="000340DF">
        <w:rPr>
          <w:rFonts w:ascii="Times New Roman" w:hAnsi="Times New Roman" w:cs="Times New Roman"/>
          <w:bCs/>
          <w:sz w:val="24"/>
          <w:szCs w:val="24"/>
          <w:lang w:val="en-GB"/>
        </w:rPr>
        <w:t xml:space="preserve">is acknowledged, more nuanced arguments </w:t>
      </w:r>
      <w:r w:rsidRPr="00B46D18">
        <w:rPr>
          <w:rFonts w:ascii="Times New Roman" w:hAnsi="Times New Roman" w:cs="Times New Roman"/>
          <w:bCs/>
          <w:sz w:val="24"/>
          <w:szCs w:val="24"/>
          <w:lang w:val="en-GB"/>
        </w:rPr>
        <w:t xml:space="preserve">can emerge. </w:t>
      </w:r>
    </w:p>
    <w:p w14:paraId="2CA6CB63" w14:textId="665F1E0A" w:rsidR="00495F84" w:rsidRPr="00B46D18" w:rsidRDefault="00495F84" w:rsidP="004141E7">
      <w:pPr>
        <w:spacing w:after="0" w:line="480" w:lineRule="auto"/>
        <w:ind w:firstLine="720"/>
        <w:contextualSpacing/>
        <w:jc w:val="both"/>
        <w:rPr>
          <w:rFonts w:ascii="Times New Roman" w:hAnsi="Times New Roman" w:cs="Times New Roman"/>
          <w:bCs/>
          <w:sz w:val="24"/>
          <w:szCs w:val="24"/>
          <w:lang w:val="en-GB"/>
        </w:rPr>
      </w:pPr>
      <w:r w:rsidRPr="008E7DBD">
        <w:rPr>
          <w:rFonts w:ascii="Times New Roman" w:hAnsi="Times New Roman" w:cs="Times New Roman"/>
          <w:bCs/>
          <w:sz w:val="24"/>
          <w:szCs w:val="24"/>
          <w:lang w:val="en-GB"/>
        </w:rPr>
        <w:t>First, given that the Heath premiership possessed a health parliamentary majority (at 31) it did manage to deliver – in a legislative sense – what they claimed were their main objectives when entering office, even if some of these were reversed by the successor Labour administrations of 1974 to 1979. For example, they did secure their primary objective of negotiating their entry into the European Economic Community and they gained parliamentary approval for this. They also delivered in legislative form in relation to reforming taxation, housing finance, indust</w:t>
      </w:r>
      <w:r w:rsidR="00502776">
        <w:rPr>
          <w:rFonts w:ascii="Times New Roman" w:hAnsi="Times New Roman" w:cs="Times New Roman"/>
          <w:bCs/>
          <w:sz w:val="24"/>
          <w:szCs w:val="24"/>
          <w:lang w:val="en-GB"/>
        </w:rPr>
        <w:t>rial relations as well reorganis</w:t>
      </w:r>
      <w:r w:rsidRPr="008E7DBD">
        <w:rPr>
          <w:rFonts w:ascii="Times New Roman" w:hAnsi="Times New Roman" w:cs="Times New Roman"/>
          <w:bCs/>
          <w:sz w:val="24"/>
          <w:szCs w:val="24"/>
          <w:lang w:val="en-GB"/>
        </w:rPr>
        <w:t xml:space="preserve">ing central and local government, health care and ending mandatory comprehensive education (Kavanagh, 1996: 362). Second, when acknowledging the difficult economic environment policy changes should be seen as being pragmatically driven change rather than the abandoning of principles. As such, the betrayal thesis perpetuated by the Thatcherite right </w:t>
      </w:r>
      <w:r w:rsidRPr="00502776">
        <w:rPr>
          <w:rFonts w:ascii="Times New Roman" w:hAnsi="Times New Roman" w:cs="Times New Roman"/>
          <w:bCs/>
          <w:i/>
          <w:sz w:val="24"/>
          <w:szCs w:val="24"/>
          <w:lang w:val="en-GB"/>
        </w:rPr>
        <w:t>vis-à-vis</w:t>
      </w:r>
      <w:r w:rsidRPr="008E7DBD">
        <w:rPr>
          <w:rFonts w:ascii="Times New Roman" w:hAnsi="Times New Roman" w:cs="Times New Roman"/>
          <w:bCs/>
          <w:sz w:val="24"/>
          <w:szCs w:val="24"/>
          <w:lang w:val="en-GB"/>
        </w:rPr>
        <w:t xml:space="preserve"> the U-turns was an ‘exaggeration’ (Seldon, 1996: 13). Seldon argues that the significance of the </w:t>
      </w:r>
      <w:proofErr w:type="spellStart"/>
      <w:r w:rsidRPr="008E7DBD">
        <w:rPr>
          <w:rFonts w:ascii="Times New Roman" w:hAnsi="Times New Roman" w:cs="Times New Roman"/>
          <w:bCs/>
          <w:sz w:val="24"/>
          <w:szCs w:val="24"/>
          <w:lang w:val="en-GB"/>
        </w:rPr>
        <w:t>Selsdon</w:t>
      </w:r>
      <w:proofErr w:type="spellEnd"/>
      <w:r w:rsidRPr="008E7DBD">
        <w:rPr>
          <w:rFonts w:ascii="Times New Roman" w:hAnsi="Times New Roman" w:cs="Times New Roman"/>
          <w:bCs/>
          <w:sz w:val="24"/>
          <w:szCs w:val="24"/>
          <w:lang w:val="en-GB"/>
        </w:rPr>
        <w:t xml:space="preserve"> agenda and the Conservative </w:t>
      </w:r>
      <w:r w:rsidRPr="008E7DBD">
        <w:rPr>
          <w:rFonts w:ascii="Times New Roman" w:hAnsi="Times New Roman" w:cs="Times New Roman"/>
          <w:bCs/>
          <w:sz w:val="24"/>
          <w:szCs w:val="24"/>
          <w:lang w:val="en-GB"/>
        </w:rPr>
        <w:lastRenderedPageBreak/>
        <w:t>Party manifesto of 1970 was overstated, because Heath was ‘</w:t>
      </w:r>
      <w:r w:rsidRPr="008E7DBD">
        <w:rPr>
          <w:rFonts w:ascii="Times New Roman" w:eastAsia="SimSun" w:hAnsi="Times New Roman" w:cs="Times New Roman"/>
          <w:sz w:val="24"/>
          <w:szCs w:val="24"/>
          <w:lang w:val="en-GB" w:eastAsia="zh-CN"/>
        </w:rPr>
        <w:t>never a believer in laissez faire, but was a traditional Tory who saw the state as an essential deliverer of economic and social policy’ and thus ‘while some policies advocated</w:t>
      </w:r>
      <w:r w:rsidR="00D401CC">
        <w:rPr>
          <w:rFonts w:ascii="Times New Roman" w:eastAsia="SimSun" w:hAnsi="Times New Roman" w:cs="Times New Roman"/>
          <w:sz w:val="24"/>
          <w:szCs w:val="24"/>
          <w:lang w:val="en-GB" w:eastAsia="zh-CN"/>
        </w:rPr>
        <w:t xml:space="preserve"> at the 1970 General E</w:t>
      </w:r>
      <w:r w:rsidRPr="008E7DBD">
        <w:rPr>
          <w:rFonts w:ascii="Times New Roman" w:eastAsia="SimSun" w:hAnsi="Times New Roman" w:cs="Times New Roman"/>
          <w:sz w:val="24"/>
          <w:szCs w:val="24"/>
          <w:lang w:val="en-GB" w:eastAsia="zh-CN"/>
        </w:rPr>
        <w:t xml:space="preserve">lection’, for example, the rejection of an incomes policy and tax and spending cuts, ‘the motives for the policies were </w:t>
      </w:r>
      <w:r w:rsidRPr="008E7DBD">
        <w:rPr>
          <w:rFonts w:ascii="Times New Roman" w:eastAsia="SimSun" w:hAnsi="Times New Roman" w:cs="Times New Roman"/>
          <w:i/>
          <w:sz w:val="24"/>
          <w:szCs w:val="24"/>
          <w:lang w:val="en-GB" w:eastAsia="zh-CN"/>
        </w:rPr>
        <w:t xml:space="preserve">instrumentalism </w:t>
      </w:r>
      <w:r w:rsidRPr="008E7DBD">
        <w:rPr>
          <w:rFonts w:ascii="Times New Roman" w:eastAsia="SimSun" w:hAnsi="Times New Roman" w:cs="Times New Roman"/>
          <w:sz w:val="24"/>
          <w:szCs w:val="24"/>
          <w:lang w:val="en-GB" w:eastAsia="zh-CN"/>
        </w:rPr>
        <w:t xml:space="preserve">and </w:t>
      </w:r>
      <w:r w:rsidRPr="008E7DBD">
        <w:rPr>
          <w:rFonts w:ascii="Times New Roman" w:eastAsia="SimSun" w:hAnsi="Times New Roman" w:cs="Times New Roman"/>
          <w:i/>
          <w:sz w:val="24"/>
          <w:szCs w:val="24"/>
          <w:lang w:val="en-GB" w:eastAsia="zh-CN"/>
        </w:rPr>
        <w:t>opportunism</w:t>
      </w:r>
      <w:r w:rsidRPr="008E7DBD">
        <w:rPr>
          <w:rFonts w:ascii="Times New Roman" w:eastAsia="SimSun" w:hAnsi="Times New Roman" w:cs="Times New Roman"/>
          <w:sz w:val="24"/>
          <w:szCs w:val="24"/>
          <w:lang w:val="en-GB" w:eastAsia="zh-CN"/>
        </w:rPr>
        <w:t xml:space="preserve">, not </w:t>
      </w:r>
      <w:r w:rsidRPr="008E7DBD">
        <w:rPr>
          <w:rFonts w:ascii="Times New Roman" w:eastAsia="SimSun" w:hAnsi="Times New Roman" w:cs="Times New Roman"/>
          <w:i/>
          <w:sz w:val="24"/>
          <w:szCs w:val="24"/>
          <w:lang w:val="en-GB" w:eastAsia="zh-CN"/>
        </w:rPr>
        <w:t>ideology</w:t>
      </w:r>
      <w:r w:rsidRPr="008E7DBD">
        <w:rPr>
          <w:rFonts w:ascii="Times New Roman" w:eastAsia="SimSun" w:hAnsi="Times New Roman" w:cs="Times New Roman"/>
          <w:iCs/>
          <w:sz w:val="24"/>
          <w:szCs w:val="24"/>
          <w:lang w:val="en-GB" w:eastAsia="zh-CN"/>
        </w:rPr>
        <w:t>’</w:t>
      </w:r>
      <w:r w:rsidRPr="008E7DBD">
        <w:rPr>
          <w:rFonts w:ascii="Times New Roman" w:eastAsia="SimSun" w:hAnsi="Times New Roman" w:cs="Times New Roman"/>
          <w:sz w:val="24"/>
          <w:szCs w:val="24"/>
          <w:lang w:val="en-GB" w:eastAsia="zh-CN"/>
        </w:rPr>
        <w:t xml:space="preserve"> (Seldon</w:t>
      </w:r>
      <w:r w:rsidR="00502776">
        <w:rPr>
          <w:rFonts w:ascii="Times New Roman" w:eastAsia="SimSun" w:hAnsi="Times New Roman" w:cs="Times New Roman"/>
          <w:sz w:val="24"/>
          <w:szCs w:val="24"/>
          <w:lang w:val="en-GB" w:eastAsia="zh-CN"/>
        </w:rPr>
        <w:t>,</w:t>
      </w:r>
      <w:r w:rsidRPr="008E7DBD">
        <w:rPr>
          <w:rFonts w:ascii="Times New Roman" w:eastAsia="SimSun" w:hAnsi="Times New Roman" w:cs="Times New Roman"/>
          <w:sz w:val="24"/>
          <w:szCs w:val="24"/>
          <w:lang w:val="en-GB" w:eastAsia="zh-CN"/>
        </w:rPr>
        <w:t xml:space="preserve"> 1996: 14). Kavanagh endorses this scepticism arguing that Heath was ‘</w:t>
      </w:r>
      <w:r w:rsidRPr="008E7DBD">
        <w:rPr>
          <w:rFonts w:ascii="Times New Roman" w:hAnsi="Times New Roman" w:cs="Times New Roman"/>
          <w:sz w:val="24"/>
          <w:szCs w:val="24"/>
          <w:lang w:val="en-GB"/>
        </w:rPr>
        <w:t>consistent about ends, flexible about means: he was a pragmatist, concerned with pursuing the best means to achieving economic growth and greater personal freedom’ (Kavanagh</w:t>
      </w:r>
      <w:r w:rsidR="00502776">
        <w:rPr>
          <w:rFonts w:ascii="Times New Roman" w:hAnsi="Times New Roman" w:cs="Times New Roman"/>
          <w:sz w:val="24"/>
          <w:szCs w:val="24"/>
          <w:lang w:val="en-GB"/>
        </w:rPr>
        <w:t>,</w:t>
      </w:r>
      <w:r w:rsidRPr="008E7DBD">
        <w:rPr>
          <w:rFonts w:ascii="Times New Roman" w:hAnsi="Times New Roman" w:cs="Times New Roman"/>
          <w:sz w:val="24"/>
          <w:szCs w:val="24"/>
          <w:lang w:val="en-GB"/>
        </w:rPr>
        <w:t xml:space="preserve"> 1996: 367).</w:t>
      </w:r>
      <w:r w:rsidRPr="00B46D18">
        <w:rPr>
          <w:rFonts w:ascii="Times New Roman" w:hAnsi="Times New Roman" w:cs="Times New Roman"/>
          <w:sz w:val="24"/>
          <w:szCs w:val="24"/>
          <w:lang w:val="en-GB"/>
        </w:rPr>
        <w:t xml:space="preserve"> </w:t>
      </w:r>
    </w:p>
    <w:p w14:paraId="306803C3" w14:textId="77777777" w:rsidR="00096B77" w:rsidRPr="00B46D18" w:rsidRDefault="00096B77" w:rsidP="004141E7">
      <w:pPr>
        <w:spacing w:line="480" w:lineRule="auto"/>
        <w:jc w:val="both"/>
        <w:rPr>
          <w:rFonts w:ascii="Arial" w:hAnsi="Arial" w:cs="Arial"/>
          <w:sz w:val="19"/>
          <w:szCs w:val="19"/>
          <w:shd w:val="clear" w:color="auto" w:fill="FFFFFF"/>
          <w:lang w:val="en-GB"/>
        </w:rPr>
      </w:pPr>
    </w:p>
    <w:p w14:paraId="60EB9A59" w14:textId="77777777" w:rsidR="007951DF" w:rsidRPr="00B46D18" w:rsidRDefault="007951DF" w:rsidP="004141E7">
      <w:pPr>
        <w:spacing w:after="0" w:line="480" w:lineRule="auto"/>
        <w:contextualSpacing/>
        <w:jc w:val="both"/>
        <w:rPr>
          <w:rFonts w:ascii="Times New Roman" w:hAnsi="Times New Roman" w:cs="Times New Roman"/>
          <w:b/>
          <w:sz w:val="24"/>
          <w:szCs w:val="24"/>
          <w:lang w:val="en-GB"/>
        </w:rPr>
      </w:pPr>
      <w:r w:rsidRPr="00B46D18">
        <w:rPr>
          <w:rFonts w:ascii="Times New Roman" w:hAnsi="Times New Roman" w:cs="Times New Roman"/>
          <w:b/>
          <w:sz w:val="24"/>
          <w:szCs w:val="24"/>
          <w:lang w:val="en-GB"/>
        </w:rPr>
        <w:t xml:space="preserve">Between Critique and Contingencies/Circumstances: The Heath Premiership and a Transitional Perspective </w:t>
      </w:r>
    </w:p>
    <w:p w14:paraId="4A4D16A7" w14:textId="77777777" w:rsidR="007951DF" w:rsidRPr="00B46D18" w:rsidRDefault="007951DF" w:rsidP="004141E7">
      <w:pPr>
        <w:spacing w:after="0" w:line="480" w:lineRule="auto"/>
        <w:contextualSpacing/>
        <w:jc w:val="both"/>
        <w:rPr>
          <w:rFonts w:ascii="Times New Roman" w:hAnsi="Times New Roman" w:cs="Times New Roman"/>
          <w:b/>
          <w:sz w:val="24"/>
          <w:szCs w:val="24"/>
          <w:lang w:val="en-GB"/>
        </w:rPr>
      </w:pPr>
    </w:p>
    <w:p w14:paraId="52EFA42C" w14:textId="72706226" w:rsidR="00804427" w:rsidRPr="00B46D18" w:rsidRDefault="007951DF" w:rsidP="004141E7">
      <w:pPr>
        <w:spacing w:after="0" w:line="480" w:lineRule="auto"/>
        <w:ind w:firstLine="720"/>
        <w:contextualSpacing/>
        <w:jc w:val="both"/>
        <w:rPr>
          <w:rFonts w:ascii="Times New Roman" w:eastAsia="SimSun" w:hAnsi="Times New Roman" w:cs="Times New Roman"/>
          <w:sz w:val="24"/>
          <w:szCs w:val="24"/>
          <w:lang w:val="en-GB" w:eastAsia="zh-CN"/>
        </w:rPr>
      </w:pPr>
      <w:r w:rsidRPr="00B46D18">
        <w:rPr>
          <w:rFonts w:ascii="Times New Roman" w:eastAsia="SimSun" w:hAnsi="Times New Roman" w:cs="Times New Roman"/>
          <w:sz w:val="24"/>
          <w:szCs w:val="24"/>
          <w:lang w:val="en-GB" w:eastAsia="zh-CN"/>
        </w:rPr>
        <w:t>Having identified the two existing perspectives on the Heath premiership – the criti</w:t>
      </w:r>
      <w:r w:rsidR="00715175" w:rsidRPr="00B46D18">
        <w:rPr>
          <w:rFonts w:ascii="Times New Roman" w:eastAsia="SimSun" w:hAnsi="Times New Roman" w:cs="Times New Roman"/>
          <w:sz w:val="24"/>
          <w:szCs w:val="24"/>
          <w:lang w:val="en-GB" w:eastAsia="zh-CN"/>
        </w:rPr>
        <w:t>cal</w:t>
      </w:r>
      <w:r w:rsidRPr="00B46D18">
        <w:rPr>
          <w:rFonts w:ascii="Times New Roman" w:eastAsia="SimSun" w:hAnsi="Times New Roman" w:cs="Times New Roman"/>
          <w:sz w:val="24"/>
          <w:szCs w:val="24"/>
          <w:lang w:val="en-GB" w:eastAsia="zh-CN"/>
        </w:rPr>
        <w:t xml:space="preserve"> and the contingencies/circumstances perspectives – the aim of this book is to advance an alternative perspective. This perspective involves acknowledging the failures and difficulties </w:t>
      </w:r>
      <w:r w:rsidR="00715175" w:rsidRPr="00B46D18">
        <w:rPr>
          <w:rFonts w:ascii="Times New Roman" w:eastAsia="SimSun" w:hAnsi="Times New Roman" w:cs="Times New Roman"/>
          <w:sz w:val="24"/>
          <w:szCs w:val="24"/>
          <w:lang w:val="en-GB" w:eastAsia="zh-CN"/>
        </w:rPr>
        <w:t>that the Heath premiership experienced and thus accepting that there is validity to both existing perspectives. But rather than subscribing to one perspective or the other</w:t>
      </w:r>
      <w:r w:rsidR="006D5CE1">
        <w:rPr>
          <w:rFonts w:ascii="Times New Roman" w:eastAsia="SimSun" w:hAnsi="Times New Roman" w:cs="Times New Roman"/>
          <w:sz w:val="24"/>
          <w:szCs w:val="24"/>
          <w:lang w:val="en-GB" w:eastAsia="zh-CN"/>
        </w:rPr>
        <w:t>,</w:t>
      </w:r>
      <w:r w:rsidR="00715175" w:rsidRPr="00B46D18">
        <w:rPr>
          <w:rFonts w:ascii="Times New Roman" w:eastAsia="SimSun" w:hAnsi="Times New Roman" w:cs="Times New Roman"/>
          <w:sz w:val="24"/>
          <w:szCs w:val="24"/>
          <w:lang w:val="en-GB" w:eastAsia="zh-CN"/>
        </w:rPr>
        <w:t xml:space="preserve"> it is credible to see the Heath premiership as a transitional government</w:t>
      </w:r>
      <w:r w:rsidR="00804427" w:rsidRPr="00B46D18">
        <w:rPr>
          <w:rFonts w:ascii="Times New Roman" w:eastAsia="SimSun" w:hAnsi="Times New Roman" w:cs="Times New Roman"/>
          <w:sz w:val="24"/>
          <w:szCs w:val="24"/>
          <w:lang w:val="en-GB" w:eastAsia="zh-CN"/>
        </w:rPr>
        <w:t>. By that we mean that although the</w:t>
      </w:r>
      <w:r w:rsidR="00BC31CC" w:rsidRPr="00B46D18">
        <w:rPr>
          <w:rFonts w:ascii="Times New Roman" w:eastAsia="SimSun" w:hAnsi="Times New Roman" w:cs="Times New Roman"/>
          <w:sz w:val="24"/>
          <w:szCs w:val="24"/>
          <w:lang w:val="en-GB" w:eastAsia="zh-CN"/>
        </w:rPr>
        <w:t xml:space="preserve"> ability of the Heath premiership to pursue a new policy agenda was compromised by difficult circumstances</w:t>
      </w:r>
      <w:r w:rsidR="00804427" w:rsidRPr="00B46D18">
        <w:rPr>
          <w:rFonts w:ascii="Times New Roman" w:eastAsia="SimSun" w:hAnsi="Times New Roman" w:cs="Times New Roman"/>
          <w:sz w:val="24"/>
          <w:szCs w:val="24"/>
          <w:lang w:val="en-GB" w:eastAsia="zh-CN"/>
        </w:rPr>
        <w:t xml:space="preserve"> - </w:t>
      </w:r>
      <w:r w:rsidR="00BC31CC" w:rsidRPr="00B46D18">
        <w:rPr>
          <w:rFonts w:ascii="Times New Roman" w:eastAsia="SimSun" w:hAnsi="Times New Roman" w:cs="Times New Roman"/>
          <w:sz w:val="24"/>
          <w:szCs w:val="24"/>
          <w:lang w:val="en-GB" w:eastAsia="zh-CN"/>
        </w:rPr>
        <w:t>which creates the evidence of policy failure</w:t>
      </w:r>
      <w:r w:rsidR="00804427" w:rsidRPr="00B46D18">
        <w:rPr>
          <w:rFonts w:ascii="Times New Roman" w:eastAsia="SimSun" w:hAnsi="Times New Roman" w:cs="Times New Roman"/>
          <w:sz w:val="24"/>
          <w:szCs w:val="24"/>
          <w:lang w:val="en-GB" w:eastAsia="zh-CN"/>
        </w:rPr>
        <w:t xml:space="preserve"> - </w:t>
      </w:r>
      <w:r w:rsidR="00BC31CC" w:rsidRPr="00B46D18">
        <w:rPr>
          <w:rFonts w:ascii="Times New Roman" w:eastAsia="SimSun" w:hAnsi="Times New Roman" w:cs="Times New Roman"/>
          <w:sz w:val="24"/>
          <w:szCs w:val="24"/>
          <w:lang w:val="en-GB" w:eastAsia="zh-CN"/>
        </w:rPr>
        <w:t>their policy</w:t>
      </w:r>
      <w:r w:rsidR="00804427" w:rsidRPr="00B46D18">
        <w:rPr>
          <w:rFonts w:ascii="Times New Roman" w:eastAsia="SimSun" w:hAnsi="Times New Roman" w:cs="Times New Roman"/>
          <w:sz w:val="24"/>
          <w:szCs w:val="24"/>
          <w:lang w:val="en-GB" w:eastAsia="zh-CN"/>
        </w:rPr>
        <w:t xml:space="preserve"> legacy and political impacts</w:t>
      </w:r>
      <w:r w:rsidR="00BC31CC" w:rsidRPr="00B46D18">
        <w:rPr>
          <w:rFonts w:ascii="Times New Roman" w:eastAsia="SimSun" w:hAnsi="Times New Roman" w:cs="Times New Roman"/>
          <w:sz w:val="24"/>
          <w:szCs w:val="24"/>
          <w:lang w:val="en-GB" w:eastAsia="zh-CN"/>
        </w:rPr>
        <w:t xml:space="preserve"> </w:t>
      </w:r>
      <w:r w:rsidR="00804427" w:rsidRPr="00B46D18">
        <w:rPr>
          <w:rFonts w:ascii="Times New Roman" w:eastAsia="SimSun" w:hAnsi="Times New Roman" w:cs="Times New Roman"/>
          <w:sz w:val="24"/>
          <w:szCs w:val="24"/>
          <w:lang w:val="en-GB" w:eastAsia="zh-CN"/>
        </w:rPr>
        <w:t>were</w:t>
      </w:r>
      <w:r w:rsidR="00BC31CC" w:rsidRPr="00B46D18">
        <w:rPr>
          <w:rFonts w:ascii="Times New Roman" w:eastAsia="SimSun" w:hAnsi="Times New Roman" w:cs="Times New Roman"/>
          <w:sz w:val="24"/>
          <w:szCs w:val="24"/>
          <w:lang w:val="en-GB" w:eastAsia="zh-CN"/>
        </w:rPr>
        <w:t xml:space="preserve"> more pronounced than might be initially assumed.</w:t>
      </w:r>
    </w:p>
    <w:p w14:paraId="27274FF7" w14:textId="3C3B4155" w:rsidR="005E5AD0" w:rsidRPr="00B46D18" w:rsidRDefault="00804427" w:rsidP="004141E7">
      <w:pPr>
        <w:spacing w:after="0" w:line="480" w:lineRule="auto"/>
        <w:ind w:firstLine="720"/>
        <w:contextualSpacing/>
        <w:jc w:val="both"/>
        <w:rPr>
          <w:rFonts w:ascii="Times New Roman" w:hAnsi="Times New Roman" w:cs="Times New Roman"/>
          <w:sz w:val="24"/>
          <w:szCs w:val="24"/>
          <w:lang w:val="en-GB"/>
        </w:rPr>
      </w:pPr>
      <w:r w:rsidRPr="00B46D18">
        <w:rPr>
          <w:rFonts w:ascii="Times New Roman" w:eastAsia="SimSun" w:hAnsi="Times New Roman" w:cs="Times New Roman"/>
          <w:sz w:val="24"/>
          <w:szCs w:val="24"/>
          <w:lang w:val="en-GB" w:eastAsia="zh-CN"/>
        </w:rPr>
        <w:t>To help us in our reassessment of the Heath premiership</w:t>
      </w:r>
      <w:r w:rsidR="000340DF">
        <w:rPr>
          <w:rFonts w:ascii="Times New Roman" w:eastAsia="SimSun" w:hAnsi="Times New Roman" w:cs="Times New Roman"/>
          <w:sz w:val="24"/>
          <w:szCs w:val="24"/>
          <w:lang w:val="en-GB" w:eastAsia="zh-CN"/>
        </w:rPr>
        <w:t>,</w:t>
      </w:r>
      <w:r w:rsidRPr="00B46D18">
        <w:rPr>
          <w:rFonts w:ascii="Times New Roman" w:eastAsia="SimSun" w:hAnsi="Times New Roman" w:cs="Times New Roman"/>
          <w:sz w:val="24"/>
          <w:szCs w:val="24"/>
          <w:lang w:val="en-GB" w:eastAsia="zh-CN"/>
        </w:rPr>
        <w:t xml:space="preserve"> we will structure the book around the dimensions </w:t>
      </w:r>
      <w:r w:rsidRPr="00E068C0">
        <w:rPr>
          <w:rFonts w:ascii="Times New Roman" w:eastAsia="SimSun" w:hAnsi="Times New Roman" w:cs="Times New Roman"/>
          <w:sz w:val="24"/>
          <w:szCs w:val="24"/>
          <w:lang w:val="en-GB" w:eastAsia="zh-CN"/>
        </w:rPr>
        <w:t xml:space="preserve">of the statecraft model. </w:t>
      </w:r>
      <w:r w:rsidR="00D4046B" w:rsidRPr="00E068C0">
        <w:rPr>
          <w:rFonts w:ascii="Times New Roman" w:hAnsi="Times New Roman" w:cs="Times New Roman"/>
          <w:sz w:val="24"/>
          <w:szCs w:val="24"/>
          <w:lang w:val="en-GB"/>
        </w:rPr>
        <w:t xml:space="preserve">The </w:t>
      </w:r>
      <w:r w:rsidRPr="00E068C0">
        <w:rPr>
          <w:rFonts w:ascii="Times New Roman" w:hAnsi="Times New Roman" w:cs="Times New Roman"/>
          <w:sz w:val="24"/>
          <w:szCs w:val="24"/>
          <w:lang w:val="en-GB"/>
        </w:rPr>
        <w:t>s</w:t>
      </w:r>
      <w:r w:rsidR="007951DF" w:rsidRPr="00E068C0">
        <w:rPr>
          <w:rFonts w:ascii="Times New Roman" w:hAnsi="Times New Roman" w:cs="Times New Roman"/>
          <w:sz w:val="24"/>
          <w:szCs w:val="24"/>
          <w:lang w:val="en-GB"/>
        </w:rPr>
        <w:t>tatecraft</w:t>
      </w:r>
      <w:r w:rsidR="00D4046B" w:rsidRPr="00E068C0">
        <w:rPr>
          <w:rFonts w:ascii="Times New Roman" w:hAnsi="Times New Roman" w:cs="Times New Roman"/>
          <w:sz w:val="24"/>
          <w:szCs w:val="24"/>
          <w:lang w:val="en-GB"/>
        </w:rPr>
        <w:t xml:space="preserve"> model is associated with the work of Jim </w:t>
      </w:r>
      <w:proofErr w:type="spellStart"/>
      <w:r w:rsidR="00D4046B" w:rsidRPr="00E068C0">
        <w:rPr>
          <w:rFonts w:ascii="Times New Roman" w:hAnsi="Times New Roman" w:cs="Times New Roman"/>
          <w:sz w:val="24"/>
          <w:szCs w:val="24"/>
          <w:lang w:val="en-GB"/>
        </w:rPr>
        <w:t>Bulpitt</w:t>
      </w:r>
      <w:proofErr w:type="spellEnd"/>
      <w:r w:rsidR="00D4046B" w:rsidRPr="00E068C0">
        <w:rPr>
          <w:rFonts w:ascii="Times New Roman" w:hAnsi="Times New Roman" w:cs="Times New Roman"/>
          <w:sz w:val="24"/>
          <w:szCs w:val="24"/>
          <w:lang w:val="en-GB"/>
        </w:rPr>
        <w:t xml:space="preserve"> (1986)</w:t>
      </w:r>
      <w:r w:rsidR="0059788E" w:rsidRPr="00E068C0">
        <w:rPr>
          <w:rStyle w:val="FootnoteReference"/>
          <w:rFonts w:ascii="Times New Roman" w:hAnsi="Times New Roman" w:cs="Times New Roman"/>
          <w:sz w:val="24"/>
          <w:szCs w:val="24"/>
          <w:lang w:val="en-GB"/>
        </w:rPr>
        <w:footnoteReference w:id="5"/>
      </w:r>
      <w:r w:rsidR="00D4046B" w:rsidRPr="00E068C0">
        <w:rPr>
          <w:rFonts w:ascii="Times New Roman" w:hAnsi="Times New Roman" w:cs="Times New Roman"/>
          <w:sz w:val="24"/>
          <w:szCs w:val="24"/>
          <w:lang w:val="en-GB"/>
        </w:rPr>
        <w:t xml:space="preserve"> and it</w:t>
      </w:r>
      <w:r w:rsidR="007951DF" w:rsidRPr="00E068C0">
        <w:rPr>
          <w:rFonts w:ascii="Times New Roman" w:hAnsi="Times New Roman" w:cs="Times New Roman"/>
          <w:sz w:val="24"/>
          <w:szCs w:val="24"/>
          <w:lang w:val="en-GB"/>
        </w:rPr>
        <w:t xml:space="preserve"> represents</w:t>
      </w:r>
      <w:r w:rsidR="007951DF" w:rsidRPr="00B46D18">
        <w:rPr>
          <w:rFonts w:ascii="Times New Roman" w:hAnsi="Times New Roman" w:cs="Times New Roman"/>
          <w:sz w:val="24"/>
          <w:szCs w:val="24"/>
          <w:lang w:val="en-GB"/>
        </w:rPr>
        <w:t xml:space="preserve"> a useful analytical framework</w:t>
      </w:r>
      <w:r w:rsidR="005E5AD0" w:rsidRPr="00B46D18">
        <w:rPr>
          <w:rStyle w:val="FootnoteReference"/>
          <w:rFonts w:ascii="Times New Roman" w:hAnsi="Times New Roman" w:cs="Times New Roman"/>
          <w:sz w:val="24"/>
          <w:szCs w:val="24"/>
          <w:lang w:val="en-GB"/>
        </w:rPr>
        <w:footnoteReference w:id="6"/>
      </w:r>
      <w:r w:rsidRPr="00B46D18">
        <w:rPr>
          <w:rFonts w:ascii="Times New Roman" w:hAnsi="Times New Roman" w:cs="Times New Roman"/>
          <w:sz w:val="24"/>
          <w:szCs w:val="24"/>
          <w:lang w:val="en-GB"/>
        </w:rPr>
        <w:t xml:space="preserve"> for us when examining the only post war government that failed to secure re-election. </w:t>
      </w:r>
    </w:p>
    <w:p w14:paraId="095E7187" w14:textId="6E71F148" w:rsidR="00CA053F" w:rsidRPr="00B46D18" w:rsidRDefault="00804427" w:rsidP="004141E7">
      <w:pPr>
        <w:spacing w:after="0" w:line="480" w:lineRule="auto"/>
        <w:ind w:firstLine="720"/>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lastRenderedPageBreak/>
        <w:t>That is because statecraft</w:t>
      </w:r>
      <w:r w:rsidR="007951DF" w:rsidRPr="00B46D18">
        <w:rPr>
          <w:rFonts w:ascii="Times New Roman" w:hAnsi="Times New Roman" w:cs="Times New Roman"/>
          <w:sz w:val="24"/>
          <w:szCs w:val="24"/>
          <w:lang w:val="en-GB"/>
        </w:rPr>
        <w:t xml:space="preserve"> refers to the method(s) by which the </w:t>
      </w:r>
      <w:r w:rsidRPr="00B46D18">
        <w:rPr>
          <w:rFonts w:ascii="Times New Roman" w:hAnsi="Times New Roman" w:cs="Times New Roman"/>
          <w:sz w:val="24"/>
          <w:szCs w:val="24"/>
          <w:lang w:val="en-GB"/>
        </w:rPr>
        <w:t>political parties attempt</w:t>
      </w:r>
      <w:r w:rsidR="007951DF" w:rsidRPr="00B46D18">
        <w:rPr>
          <w:rFonts w:ascii="Times New Roman" w:hAnsi="Times New Roman" w:cs="Times New Roman"/>
          <w:sz w:val="24"/>
          <w:szCs w:val="24"/>
          <w:lang w:val="en-GB"/>
        </w:rPr>
        <w:t xml:space="preserve"> to win office (the politics of support), and the</w:t>
      </w:r>
      <w:r w:rsidRPr="00B46D18">
        <w:rPr>
          <w:rFonts w:ascii="Times New Roman" w:hAnsi="Times New Roman" w:cs="Times New Roman"/>
          <w:sz w:val="24"/>
          <w:szCs w:val="24"/>
          <w:lang w:val="en-GB"/>
        </w:rPr>
        <w:t>n</w:t>
      </w:r>
      <w:r w:rsidR="007951DF" w:rsidRPr="00B46D18">
        <w:rPr>
          <w:rFonts w:ascii="Times New Roman" w:hAnsi="Times New Roman" w:cs="Times New Roman"/>
          <w:sz w:val="24"/>
          <w:szCs w:val="24"/>
          <w:lang w:val="en-GB"/>
        </w:rPr>
        <w:t xml:space="preserve"> govern competently (the politics of power). </w:t>
      </w:r>
      <w:r w:rsidR="00C21CC6" w:rsidRPr="00B46D18">
        <w:rPr>
          <w:rFonts w:ascii="Times New Roman" w:hAnsi="Times New Roman" w:cs="Times New Roman"/>
          <w:bCs/>
          <w:sz w:val="24"/>
          <w:szCs w:val="24"/>
          <w:lang w:val="en-GB"/>
        </w:rPr>
        <w:t>W</w:t>
      </w:r>
      <w:r w:rsidRPr="00B46D18">
        <w:rPr>
          <w:rFonts w:ascii="Times New Roman" w:hAnsi="Times New Roman" w:cs="Times New Roman"/>
          <w:bCs/>
          <w:sz w:val="24"/>
          <w:szCs w:val="24"/>
          <w:lang w:val="en-GB"/>
        </w:rPr>
        <w:t>hen assessing its</w:t>
      </w:r>
      <w:r w:rsidR="00CA053F" w:rsidRPr="00B46D18">
        <w:rPr>
          <w:rFonts w:ascii="Times New Roman" w:hAnsi="Times New Roman" w:cs="Times New Roman"/>
          <w:bCs/>
          <w:sz w:val="24"/>
          <w:szCs w:val="24"/>
          <w:lang w:val="en-GB"/>
        </w:rPr>
        <w:t xml:space="preserve"> value to our understand</w:t>
      </w:r>
      <w:r w:rsidRPr="00B46D18">
        <w:rPr>
          <w:rFonts w:ascii="Times New Roman" w:hAnsi="Times New Roman" w:cs="Times New Roman"/>
          <w:bCs/>
          <w:sz w:val="24"/>
          <w:szCs w:val="24"/>
          <w:lang w:val="en-GB"/>
        </w:rPr>
        <w:t>ing of</w:t>
      </w:r>
      <w:r w:rsidR="00CA053F" w:rsidRPr="00B46D18">
        <w:rPr>
          <w:rFonts w:ascii="Times New Roman" w:hAnsi="Times New Roman" w:cs="Times New Roman"/>
          <w:bCs/>
          <w:sz w:val="24"/>
          <w:szCs w:val="24"/>
          <w:lang w:val="en-GB"/>
        </w:rPr>
        <w:t xml:space="preserve"> Conservative Party politics</w:t>
      </w:r>
      <w:r w:rsidR="000340DF">
        <w:rPr>
          <w:rFonts w:ascii="Times New Roman" w:hAnsi="Times New Roman" w:cs="Times New Roman"/>
          <w:bCs/>
          <w:sz w:val="24"/>
          <w:szCs w:val="24"/>
          <w:lang w:val="en-GB"/>
        </w:rPr>
        <w:t>,</w:t>
      </w:r>
      <w:r w:rsidR="00CA053F" w:rsidRPr="00B46D18">
        <w:rPr>
          <w:rFonts w:ascii="Times New Roman" w:hAnsi="Times New Roman" w:cs="Times New Roman"/>
          <w:bCs/>
          <w:sz w:val="24"/>
          <w:szCs w:val="24"/>
          <w:lang w:val="en-GB"/>
        </w:rPr>
        <w:t xml:space="preserve"> Hickson</w:t>
      </w:r>
      <w:r w:rsidRPr="00B46D18">
        <w:rPr>
          <w:rFonts w:ascii="Times New Roman" w:hAnsi="Times New Roman" w:cs="Times New Roman"/>
          <w:bCs/>
          <w:sz w:val="24"/>
          <w:szCs w:val="24"/>
          <w:lang w:val="en-GB"/>
        </w:rPr>
        <w:t xml:space="preserve"> has argued that </w:t>
      </w:r>
      <w:r w:rsidR="00C21CC6" w:rsidRPr="00B46D18">
        <w:rPr>
          <w:rFonts w:ascii="Times New Roman" w:hAnsi="Times New Roman" w:cs="Times New Roman"/>
          <w:bCs/>
          <w:sz w:val="24"/>
          <w:szCs w:val="24"/>
          <w:lang w:val="en-GB"/>
        </w:rPr>
        <w:t>‘</w:t>
      </w:r>
      <w:r w:rsidR="00C21CC6" w:rsidRPr="00B46D18">
        <w:rPr>
          <w:rFonts w:ascii="Times New Roman" w:hAnsi="Times New Roman" w:cs="Times New Roman"/>
          <w:sz w:val="24"/>
          <w:szCs w:val="24"/>
          <w:lang w:val="en-GB"/>
        </w:rPr>
        <w:t>s</w:t>
      </w:r>
      <w:r w:rsidR="00CA053F" w:rsidRPr="00B46D18">
        <w:rPr>
          <w:rFonts w:ascii="Times New Roman" w:hAnsi="Times New Roman" w:cs="Times New Roman"/>
          <w:sz w:val="24"/>
          <w:szCs w:val="24"/>
          <w:lang w:val="en-GB"/>
        </w:rPr>
        <w:t xml:space="preserve">tatecraft should be viewed as an examination of how the Conservative Party has sought when in power to </w:t>
      </w:r>
      <w:r w:rsidR="00CA053F" w:rsidRPr="00B46D18">
        <w:rPr>
          <w:rFonts w:ascii="Times New Roman" w:hAnsi="Times New Roman" w:cs="Times New Roman"/>
          <w:i/>
          <w:sz w:val="24"/>
          <w:szCs w:val="24"/>
          <w:lang w:val="en-GB"/>
        </w:rPr>
        <w:t>insulate</w:t>
      </w:r>
      <w:r w:rsidR="00CA053F" w:rsidRPr="00B46D18">
        <w:rPr>
          <w:rFonts w:ascii="Times New Roman" w:hAnsi="Times New Roman" w:cs="Times New Roman"/>
          <w:sz w:val="24"/>
          <w:szCs w:val="24"/>
          <w:lang w:val="en-GB"/>
        </w:rPr>
        <w:t xml:space="preserve"> itself from social, economic and international pressures</w:t>
      </w:r>
      <w:r w:rsidR="00C21CC6" w:rsidRPr="00B46D18">
        <w:rPr>
          <w:rFonts w:ascii="Times New Roman" w:hAnsi="Times New Roman" w:cs="Times New Roman"/>
          <w:sz w:val="24"/>
          <w:szCs w:val="24"/>
          <w:lang w:val="en-GB"/>
        </w:rPr>
        <w:t>’</w:t>
      </w:r>
      <w:r w:rsidR="00CA053F" w:rsidRPr="00B46D18">
        <w:rPr>
          <w:rFonts w:ascii="Times New Roman" w:hAnsi="Times New Roman" w:cs="Times New Roman"/>
          <w:sz w:val="24"/>
          <w:szCs w:val="24"/>
          <w:lang w:val="en-GB"/>
        </w:rPr>
        <w:t xml:space="preserve"> and </w:t>
      </w:r>
      <w:r w:rsidR="00C21CC6" w:rsidRPr="007C437A">
        <w:rPr>
          <w:rFonts w:ascii="Times New Roman" w:hAnsi="Times New Roman" w:cs="Times New Roman"/>
          <w:sz w:val="24"/>
          <w:szCs w:val="24"/>
          <w:lang w:val="en-GB"/>
        </w:rPr>
        <w:t>then ‘</w:t>
      </w:r>
      <w:r w:rsidR="00CA053F" w:rsidRPr="007C437A">
        <w:rPr>
          <w:rFonts w:ascii="Times New Roman" w:hAnsi="Times New Roman" w:cs="Times New Roman"/>
          <w:sz w:val="24"/>
          <w:szCs w:val="24"/>
          <w:lang w:val="en-GB"/>
        </w:rPr>
        <w:t xml:space="preserve">how it has sought to </w:t>
      </w:r>
      <w:r w:rsidR="00CA053F" w:rsidRPr="007C437A">
        <w:rPr>
          <w:rFonts w:ascii="Times New Roman" w:hAnsi="Times New Roman" w:cs="Times New Roman"/>
          <w:i/>
          <w:sz w:val="24"/>
          <w:szCs w:val="24"/>
          <w:lang w:val="en-GB"/>
        </w:rPr>
        <w:t>manipulate</w:t>
      </w:r>
      <w:r w:rsidR="00CA053F" w:rsidRPr="007C437A">
        <w:rPr>
          <w:rFonts w:ascii="Times New Roman" w:hAnsi="Times New Roman" w:cs="Times New Roman"/>
          <w:sz w:val="24"/>
          <w:szCs w:val="24"/>
          <w:lang w:val="en-GB"/>
        </w:rPr>
        <w:t xml:space="preserve"> them in order to maintain some degree of governing competence’ (Hickson 2005</w:t>
      </w:r>
      <w:r w:rsidR="00C21CC6" w:rsidRPr="007C437A">
        <w:rPr>
          <w:rFonts w:ascii="Times New Roman" w:hAnsi="Times New Roman" w:cs="Times New Roman"/>
          <w:sz w:val="24"/>
          <w:szCs w:val="24"/>
          <w:lang w:val="en-GB"/>
        </w:rPr>
        <w:t>b</w:t>
      </w:r>
      <w:r w:rsidR="00CA053F" w:rsidRPr="007C437A">
        <w:rPr>
          <w:rFonts w:ascii="Times New Roman" w:hAnsi="Times New Roman" w:cs="Times New Roman"/>
          <w:sz w:val="24"/>
          <w:szCs w:val="24"/>
          <w:lang w:val="en-GB"/>
        </w:rPr>
        <w:t>: 182).</w:t>
      </w:r>
      <w:r w:rsidR="00C21CC6" w:rsidRPr="007C437A">
        <w:rPr>
          <w:rFonts w:ascii="Times New Roman" w:hAnsi="Times New Roman" w:cs="Times New Roman"/>
          <w:sz w:val="24"/>
          <w:szCs w:val="24"/>
          <w:lang w:val="en-GB"/>
        </w:rPr>
        <w:t xml:space="preserve"> Statecraft</w:t>
      </w:r>
      <w:r w:rsidR="00C21CC6" w:rsidRPr="00B46D18">
        <w:rPr>
          <w:rFonts w:ascii="Times New Roman" w:hAnsi="Times New Roman" w:cs="Times New Roman"/>
          <w:sz w:val="24"/>
          <w:szCs w:val="24"/>
          <w:lang w:val="en-GB"/>
        </w:rPr>
        <w:t xml:space="preserve"> has the following interconnected dimensions (which should be seen as cyclical ending in re-election if pursued effectively, with the determinant of effectiveness being relative to the Labour Party): </w:t>
      </w:r>
    </w:p>
    <w:p w14:paraId="23AA1D72" w14:textId="77777777" w:rsidR="00BB4477" w:rsidRPr="00B46D18" w:rsidRDefault="00BB4477" w:rsidP="004141E7">
      <w:pPr>
        <w:pStyle w:val="NormalWeb"/>
        <w:spacing w:before="0" w:beforeAutospacing="0" w:after="0" w:afterAutospacing="0" w:line="480" w:lineRule="auto"/>
        <w:contextualSpacing/>
        <w:jc w:val="both"/>
      </w:pPr>
    </w:p>
    <w:p w14:paraId="742EECE8" w14:textId="18D163BC" w:rsidR="0059788E" w:rsidRPr="00B46D18" w:rsidRDefault="0059788E" w:rsidP="004141E7">
      <w:pPr>
        <w:pStyle w:val="NormalWeb"/>
        <w:spacing w:before="0" w:beforeAutospacing="0" w:after="0" w:afterAutospacing="0" w:line="480" w:lineRule="auto"/>
        <w:ind w:firstLine="720"/>
        <w:contextualSpacing/>
        <w:jc w:val="both"/>
        <w:rPr>
          <w:i/>
          <w:iCs/>
        </w:rPr>
      </w:pPr>
      <w:r w:rsidRPr="00B46D18">
        <w:t xml:space="preserve">(1). </w:t>
      </w:r>
      <w:r w:rsidRPr="00B46D18">
        <w:rPr>
          <w:i/>
          <w:iCs/>
        </w:rPr>
        <w:t>A Winning Electoral Strategy</w:t>
      </w:r>
    </w:p>
    <w:p w14:paraId="186DC5E3" w14:textId="77777777" w:rsidR="00AC52EA" w:rsidRPr="00B46D18" w:rsidRDefault="00AC52EA" w:rsidP="004141E7">
      <w:pPr>
        <w:pStyle w:val="NormalWeb"/>
        <w:spacing w:before="0" w:beforeAutospacing="0" w:after="0" w:afterAutospacing="0" w:line="480" w:lineRule="auto"/>
        <w:ind w:left="720"/>
        <w:contextualSpacing/>
        <w:jc w:val="both"/>
      </w:pPr>
    </w:p>
    <w:p w14:paraId="7DD39F02" w14:textId="24425364" w:rsidR="005D7FE3" w:rsidRPr="00B46D18" w:rsidRDefault="00C21CC6" w:rsidP="004141E7">
      <w:pPr>
        <w:pStyle w:val="NormalWeb"/>
        <w:spacing w:before="0" w:beforeAutospacing="0" w:after="0" w:afterAutospacing="0" w:line="480" w:lineRule="auto"/>
        <w:ind w:left="720"/>
        <w:contextualSpacing/>
        <w:jc w:val="both"/>
      </w:pPr>
      <w:r w:rsidRPr="00B46D18">
        <w:t>Whatever policy platform the leadership decide to construct</w:t>
      </w:r>
      <w:r w:rsidR="000340DF">
        <w:t>,</w:t>
      </w:r>
      <w:r w:rsidRPr="00B46D18">
        <w:t xml:space="preserve"> it has been perceived to be viable (i.e. achievable) so that it can secure a sufficient level of voter support to provide the basis for a parliamentary support. That process may involve compromises in order to maximise their potential vote base, but those compromises have to be tempered by the need to </w:t>
      </w:r>
      <w:r w:rsidR="00AC52EA" w:rsidRPr="00B46D18">
        <w:t>retain the suppo</w:t>
      </w:r>
      <w:r w:rsidR="00AC52EA" w:rsidRPr="00E068C0">
        <w:t>rt of their own activist base</w:t>
      </w:r>
      <w:r w:rsidR="00BE6ADD" w:rsidRPr="00E068C0">
        <w:t xml:space="preserve"> (</w:t>
      </w:r>
      <w:proofErr w:type="spellStart"/>
      <w:r w:rsidR="00BE6ADD" w:rsidRPr="00E068C0">
        <w:t>Bulpitt</w:t>
      </w:r>
      <w:proofErr w:type="spellEnd"/>
      <w:r w:rsidR="00BE6ADD" w:rsidRPr="00E068C0">
        <w:t xml:space="preserve">, </w:t>
      </w:r>
      <w:r w:rsidR="00BE6ADD" w:rsidRPr="008E7DBD">
        <w:t>1986; Stevens, 2002; Hickson, 2005b; Taylor, 2005; Buller and James, 2012)</w:t>
      </w:r>
      <w:r w:rsidR="00BE6ADD" w:rsidRPr="00B46D18">
        <w:t xml:space="preserve"> </w:t>
      </w:r>
    </w:p>
    <w:p w14:paraId="1FE2AA8E" w14:textId="77777777" w:rsidR="005D7FE3" w:rsidRPr="00B46D18" w:rsidRDefault="005D7FE3" w:rsidP="004141E7">
      <w:pPr>
        <w:pStyle w:val="NormalWeb"/>
        <w:spacing w:before="0" w:beforeAutospacing="0" w:after="0" w:afterAutospacing="0" w:line="480" w:lineRule="auto"/>
        <w:contextualSpacing/>
        <w:jc w:val="both"/>
        <w:rPr>
          <w:i/>
          <w:iCs/>
        </w:rPr>
      </w:pPr>
    </w:p>
    <w:p w14:paraId="4D161072" w14:textId="48501607" w:rsidR="0059788E" w:rsidRPr="00B46D18" w:rsidRDefault="0059788E" w:rsidP="004141E7">
      <w:pPr>
        <w:pStyle w:val="NormalWeb"/>
        <w:spacing w:before="0" w:beforeAutospacing="0" w:after="0" w:afterAutospacing="0" w:line="480" w:lineRule="auto"/>
        <w:ind w:firstLine="720"/>
        <w:contextualSpacing/>
        <w:jc w:val="both"/>
      </w:pPr>
      <w:r w:rsidRPr="00B46D18">
        <w:t>(2).</w:t>
      </w:r>
      <w:r w:rsidR="00D4046B" w:rsidRPr="00B46D18">
        <w:t xml:space="preserve"> </w:t>
      </w:r>
      <w:r w:rsidRPr="00B46D18">
        <w:rPr>
          <w:i/>
          <w:iCs/>
        </w:rPr>
        <w:t>E</w:t>
      </w:r>
      <w:r w:rsidR="00D4046B" w:rsidRPr="00B46D18">
        <w:rPr>
          <w:i/>
          <w:iCs/>
        </w:rPr>
        <w:t>vidence of governing competence</w:t>
      </w:r>
    </w:p>
    <w:p w14:paraId="0B8495B8" w14:textId="77777777" w:rsidR="001564ED" w:rsidRPr="00B46D18" w:rsidRDefault="001564ED" w:rsidP="004141E7">
      <w:pPr>
        <w:spacing w:after="0" w:line="480" w:lineRule="auto"/>
        <w:jc w:val="both"/>
        <w:rPr>
          <w:rFonts w:ascii="Times New Roman" w:eastAsia="Times New Roman" w:hAnsi="Times New Roman" w:cs="Times New Roman"/>
          <w:bCs/>
          <w:sz w:val="24"/>
          <w:szCs w:val="20"/>
          <w:lang w:val="en-GB"/>
        </w:rPr>
      </w:pPr>
    </w:p>
    <w:p w14:paraId="7429A63D" w14:textId="6D7FE3A4" w:rsidR="00BE6ADD" w:rsidRPr="00B46D18" w:rsidRDefault="001564ED" w:rsidP="004141E7">
      <w:pPr>
        <w:spacing w:after="0" w:line="480" w:lineRule="auto"/>
        <w:ind w:left="720"/>
        <w:jc w:val="both"/>
        <w:rPr>
          <w:rFonts w:ascii="Times New Roman" w:eastAsia="Times New Roman" w:hAnsi="Times New Roman" w:cs="Times New Roman"/>
          <w:bCs/>
          <w:sz w:val="24"/>
          <w:szCs w:val="24"/>
          <w:lang w:val="en-GB"/>
        </w:rPr>
      </w:pPr>
      <w:r w:rsidRPr="00B46D18">
        <w:rPr>
          <w:rFonts w:ascii="Times New Roman" w:eastAsia="Times New Roman" w:hAnsi="Times New Roman" w:cs="Times New Roman"/>
          <w:bCs/>
          <w:sz w:val="24"/>
          <w:szCs w:val="20"/>
          <w:lang w:val="en-GB"/>
        </w:rPr>
        <w:t xml:space="preserve">Flowing from the policy platform that was (a) constructed in opposition and then (b) secured enough electoral support to secure power, the (new) governing party now have to demonstrate that their policy </w:t>
      </w:r>
      <w:r w:rsidRPr="00B46D18">
        <w:rPr>
          <w:rFonts w:ascii="Times New Roman" w:eastAsia="Times New Roman" w:hAnsi="Times New Roman" w:cs="Times New Roman"/>
          <w:bCs/>
          <w:sz w:val="24"/>
          <w:szCs w:val="24"/>
          <w:lang w:val="en-GB"/>
        </w:rPr>
        <w:t>choices show that they can provide governing competence</w:t>
      </w:r>
      <w:r w:rsidR="000340DF">
        <w:rPr>
          <w:rFonts w:ascii="Times New Roman" w:eastAsia="Times New Roman" w:hAnsi="Times New Roman" w:cs="Times New Roman"/>
          <w:bCs/>
          <w:sz w:val="24"/>
          <w:szCs w:val="24"/>
          <w:lang w:val="en-GB"/>
        </w:rPr>
        <w:t>;</w:t>
      </w:r>
      <w:r w:rsidRPr="00B46D18">
        <w:rPr>
          <w:rFonts w:ascii="Times New Roman" w:eastAsia="Times New Roman" w:hAnsi="Times New Roman" w:cs="Times New Roman"/>
          <w:bCs/>
          <w:sz w:val="24"/>
          <w:szCs w:val="24"/>
          <w:lang w:val="en-GB"/>
        </w:rPr>
        <w:t xml:space="preserve"> especially in the sphere of economic </w:t>
      </w:r>
      <w:r w:rsidRPr="008E7DBD">
        <w:rPr>
          <w:rFonts w:ascii="Times New Roman" w:eastAsia="Times New Roman" w:hAnsi="Times New Roman" w:cs="Times New Roman"/>
          <w:bCs/>
          <w:sz w:val="24"/>
          <w:szCs w:val="24"/>
          <w:lang w:val="en-GB"/>
        </w:rPr>
        <w:t>management</w:t>
      </w:r>
      <w:r w:rsidR="00BE6ADD" w:rsidRPr="008E7DBD">
        <w:rPr>
          <w:rFonts w:ascii="Times New Roman" w:eastAsia="Times New Roman" w:hAnsi="Times New Roman" w:cs="Times New Roman"/>
          <w:bCs/>
          <w:sz w:val="24"/>
          <w:szCs w:val="24"/>
          <w:lang w:val="en-GB"/>
        </w:rPr>
        <w:t xml:space="preserve"> </w:t>
      </w:r>
      <w:r w:rsidR="00BE6ADD" w:rsidRPr="008E7DBD">
        <w:rPr>
          <w:rFonts w:ascii="Times New Roman" w:hAnsi="Times New Roman" w:cs="Times New Roman"/>
          <w:sz w:val="24"/>
          <w:szCs w:val="24"/>
          <w:lang w:val="en-GB"/>
        </w:rPr>
        <w:t>(</w:t>
      </w:r>
      <w:proofErr w:type="spellStart"/>
      <w:r w:rsidR="00BE6ADD" w:rsidRPr="008E7DBD">
        <w:rPr>
          <w:rFonts w:ascii="Times New Roman" w:hAnsi="Times New Roman" w:cs="Times New Roman"/>
          <w:sz w:val="24"/>
          <w:szCs w:val="24"/>
          <w:lang w:val="en-GB"/>
        </w:rPr>
        <w:t>Bulpitt</w:t>
      </w:r>
      <w:proofErr w:type="spellEnd"/>
      <w:r w:rsidR="00BE6ADD" w:rsidRPr="008E7DBD">
        <w:rPr>
          <w:rFonts w:ascii="Times New Roman" w:hAnsi="Times New Roman" w:cs="Times New Roman"/>
          <w:sz w:val="24"/>
          <w:szCs w:val="24"/>
          <w:lang w:val="en-GB"/>
        </w:rPr>
        <w:t>, 1986; Stevens, 2002; Hickson, 2005b; Taylor, 2005; Buller and James, 2012)</w:t>
      </w:r>
      <w:r w:rsidR="00BE6ADD" w:rsidRPr="00B46D18">
        <w:rPr>
          <w:rFonts w:ascii="Times New Roman" w:hAnsi="Times New Roman" w:cs="Times New Roman"/>
          <w:sz w:val="24"/>
          <w:szCs w:val="24"/>
          <w:lang w:val="en-GB"/>
        </w:rPr>
        <w:t xml:space="preserve"> </w:t>
      </w:r>
    </w:p>
    <w:p w14:paraId="00AEF061" w14:textId="77777777" w:rsidR="00CA053F" w:rsidRPr="00B46D18" w:rsidRDefault="00CA053F" w:rsidP="004141E7">
      <w:pPr>
        <w:pStyle w:val="NormalWeb"/>
        <w:spacing w:before="0" w:beforeAutospacing="0" w:after="0" w:afterAutospacing="0" w:line="480" w:lineRule="auto"/>
        <w:contextualSpacing/>
        <w:jc w:val="both"/>
      </w:pPr>
    </w:p>
    <w:p w14:paraId="29574530" w14:textId="01F55375" w:rsidR="0059788E" w:rsidRPr="00B46D18" w:rsidRDefault="0059788E" w:rsidP="004141E7">
      <w:pPr>
        <w:pStyle w:val="NormalWeb"/>
        <w:spacing w:before="0" w:beforeAutospacing="0" w:after="0" w:afterAutospacing="0" w:line="480" w:lineRule="auto"/>
        <w:ind w:firstLine="720"/>
        <w:contextualSpacing/>
        <w:jc w:val="both"/>
      </w:pPr>
      <w:r w:rsidRPr="00B46D18">
        <w:t xml:space="preserve">(3) </w:t>
      </w:r>
      <w:r w:rsidRPr="00B46D18">
        <w:rPr>
          <w:i/>
          <w:iCs/>
        </w:rPr>
        <w:t>P</w:t>
      </w:r>
      <w:r w:rsidR="00D4046B" w:rsidRPr="00B46D18">
        <w:rPr>
          <w:i/>
          <w:iCs/>
        </w:rPr>
        <w:t>olitical argument hegemony</w:t>
      </w:r>
      <w:r w:rsidR="00D4046B" w:rsidRPr="00B46D18">
        <w:t xml:space="preserve"> </w:t>
      </w:r>
    </w:p>
    <w:p w14:paraId="3B8F4DC7" w14:textId="03A78D76" w:rsidR="001564ED" w:rsidRPr="00B46D18" w:rsidRDefault="001564ED" w:rsidP="004141E7">
      <w:pPr>
        <w:pStyle w:val="NormalWeb"/>
        <w:spacing w:before="0" w:beforeAutospacing="0" w:after="0" w:afterAutospacing="0" w:line="480" w:lineRule="auto"/>
        <w:ind w:firstLine="720"/>
        <w:contextualSpacing/>
        <w:jc w:val="both"/>
      </w:pPr>
    </w:p>
    <w:p w14:paraId="66F915A7" w14:textId="4C6FAEBB" w:rsidR="00BB4477" w:rsidRPr="00B46D18" w:rsidRDefault="001564ED" w:rsidP="004141E7">
      <w:pPr>
        <w:pStyle w:val="NormalWeb"/>
        <w:spacing w:before="0" w:beforeAutospacing="0" w:after="0" w:afterAutospacing="0" w:line="480" w:lineRule="auto"/>
        <w:ind w:left="720"/>
        <w:contextualSpacing/>
        <w:jc w:val="both"/>
      </w:pPr>
      <w:r w:rsidRPr="00B46D18">
        <w:t xml:space="preserve">Linked to the above theme on governing competence, the governing party use power to (a) </w:t>
      </w:r>
      <w:r w:rsidRPr="00B46D18">
        <w:rPr>
          <w:i/>
          <w:iCs/>
        </w:rPr>
        <w:t>deflect</w:t>
      </w:r>
      <w:r w:rsidRPr="00B46D18">
        <w:t xml:space="preserve"> </w:t>
      </w:r>
      <w:r w:rsidRPr="00B46D18">
        <w:rPr>
          <w:i/>
          <w:iCs/>
        </w:rPr>
        <w:t xml:space="preserve">blame </w:t>
      </w:r>
      <w:r w:rsidRPr="00B46D18">
        <w:t>on any policy failings onto the predecessor government; and (b) by doing so</w:t>
      </w:r>
      <w:r w:rsidR="00BE6ADD" w:rsidRPr="00B46D18">
        <w:t xml:space="preserve"> they seek to</w:t>
      </w:r>
      <w:r w:rsidRPr="00B46D18">
        <w:t xml:space="preserve"> </w:t>
      </w:r>
      <w:r w:rsidRPr="00B46D18">
        <w:rPr>
          <w:i/>
          <w:iCs/>
        </w:rPr>
        <w:t>delegitimise</w:t>
      </w:r>
      <w:r w:rsidRPr="00B46D18">
        <w:t xml:space="preserve"> the </w:t>
      </w:r>
      <w:r w:rsidRPr="00B46D18">
        <w:lastRenderedPageBreak/>
        <w:t>views of the</w:t>
      </w:r>
      <w:r w:rsidR="00BE6ADD" w:rsidRPr="00B46D18">
        <w:t>ir Labour</w:t>
      </w:r>
      <w:r w:rsidRPr="00B46D18">
        <w:t xml:space="preserve"> opponents so as to establish</w:t>
      </w:r>
      <w:r w:rsidR="00BE6ADD" w:rsidRPr="00B46D18">
        <w:t xml:space="preserve"> that it would be a </w:t>
      </w:r>
      <w:r w:rsidR="00BE6ADD" w:rsidRPr="00B46D18">
        <w:rPr>
          <w:i/>
          <w:iCs/>
        </w:rPr>
        <w:t>risk</w:t>
      </w:r>
      <w:r w:rsidR="00BE6ADD" w:rsidRPr="00B46D18">
        <w:t xml:space="preserve"> to return to a Labour government at the next General Election. </w:t>
      </w:r>
      <w:proofErr w:type="spellStart"/>
      <w:r w:rsidR="00BE6ADD" w:rsidRPr="00B46D18">
        <w:t>Bulpitt</w:t>
      </w:r>
      <w:proofErr w:type="spellEnd"/>
      <w:r w:rsidR="00BE6ADD" w:rsidRPr="00B46D18">
        <w:t xml:space="preserve"> describes this as being a conflict about gaining dominance in terms of political argument hegemony or elite debate. This involves making sure that they are able to emphasise their core values onto the political agenda, whilst </w:t>
      </w:r>
      <w:r w:rsidR="000340DF" w:rsidRPr="00B46D18">
        <w:t>simultaneously</w:t>
      </w:r>
      <w:r w:rsidR="00BE6ADD" w:rsidRPr="00B46D18">
        <w:t xml:space="preserve"> forcing the core values of the Labour </w:t>
      </w:r>
      <w:r w:rsidR="00BE6ADD" w:rsidRPr="008E7DBD">
        <w:t>Party lower down the political agenda, thus mobilising bias in their favour (</w:t>
      </w:r>
      <w:proofErr w:type="spellStart"/>
      <w:r w:rsidR="00BE6ADD" w:rsidRPr="008E7DBD">
        <w:t>Bulpitt</w:t>
      </w:r>
      <w:proofErr w:type="spellEnd"/>
      <w:r w:rsidR="00BE6ADD" w:rsidRPr="008E7DBD">
        <w:t>, 1986; Stevens, 2002; Hickson, 2005b; Taylor, 2005; Buller and James, 2012).</w:t>
      </w:r>
      <w:r w:rsidR="00BE6ADD" w:rsidRPr="00B46D18">
        <w:t xml:space="preserve"> </w:t>
      </w:r>
    </w:p>
    <w:p w14:paraId="39C98F0D" w14:textId="77777777" w:rsidR="004141E7" w:rsidRPr="00B46D18" w:rsidRDefault="004141E7" w:rsidP="004141E7">
      <w:pPr>
        <w:pStyle w:val="NormalWeb"/>
        <w:spacing w:before="0" w:beforeAutospacing="0" w:after="0" w:afterAutospacing="0" w:line="480" w:lineRule="auto"/>
        <w:ind w:left="720"/>
        <w:contextualSpacing/>
        <w:jc w:val="both"/>
      </w:pPr>
    </w:p>
    <w:p w14:paraId="5228C30E" w14:textId="513F5973" w:rsidR="0059788E" w:rsidRPr="00B46D18" w:rsidRDefault="0059788E" w:rsidP="004141E7">
      <w:pPr>
        <w:pStyle w:val="NormalWeb"/>
        <w:spacing w:before="0" w:beforeAutospacing="0" w:after="0" w:afterAutospacing="0" w:line="480" w:lineRule="auto"/>
        <w:ind w:firstLine="720"/>
        <w:contextualSpacing/>
        <w:jc w:val="both"/>
      </w:pPr>
      <w:r w:rsidRPr="00B46D18">
        <w:t xml:space="preserve">(4) </w:t>
      </w:r>
      <w:r w:rsidRPr="00B46D18">
        <w:rPr>
          <w:i/>
          <w:iCs/>
        </w:rPr>
        <w:t>E</w:t>
      </w:r>
      <w:r w:rsidR="00D4046B" w:rsidRPr="00B46D18">
        <w:rPr>
          <w:i/>
          <w:iCs/>
        </w:rPr>
        <w:t>ffective party management</w:t>
      </w:r>
    </w:p>
    <w:p w14:paraId="7B188623" w14:textId="77777777" w:rsidR="00BE6ADD" w:rsidRPr="00B46D18" w:rsidRDefault="00BE6ADD" w:rsidP="004141E7">
      <w:pPr>
        <w:pStyle w:val="NormalWeb"/>
        <w:spacing w:before="0" w:beforeAutospacing="0" w:after="0" w:afterAutospacing="0" w:line="480" w:lineRule="auto"/>
        <w:ind w:left="720"/>
        <w:contextualSpacing/>
        <w:jc w:val="both"/>
        <w:rPr>
          <w:bCs/>
          <w:szCs w:val="20"/>
        </w:rPr>
      </w:pPr>
    </w:p>
    <w:p w14:paraId="2C4DC0F9" w14:textId="668D49CF" w:rsidR="0059788E" w:rsidRPr="00B46D18" w:rsidRDefault="0059788E" w:rsidP="004141E7">
      <w:pPr>
        <w:pStyle w:val="NormalWeb"/>
        <w:spacing w:before="0" w:beforeAutospacing="0" w:after="0" w:afterAutospacing="0" w:line="480" w:lineRule="auto"/>
        <w:ind w:left="720"/>
        <w:contextualSpacing/>
        <w:jc w:val="both"/>
        <w:rPr>
          <w:bCs/>
          <w:szCs w:val="20"/>
        </w:rPr>
      </w:pPr>
      <w:r w:rsidRPr="00B46D18">
        <w:rPr>
          <w:bCs/>
          <w:szCs w:val="20"/>
        </w:rPr>
        <w:t xml:space="preserve">This acknowledges the importance of internal </w:t>
      </w:r>
      <w:r w:rsidR="00333623" w:rsidRPr="00B46D18">
        <w:rPr>
          <w:bCs/>
          <w:szCs w:val="20"/>
        </w:rPr>
        <w:t xml:space="preserve">cohesion </w:t>
      </w:r>
      <w:r w:rsidRPr="00B46D18">
        <w:rPr>
          <w:bCs/>
          <w:szCs w:val="20"/>
        </w:rPr>
        <w:t>in terms of how voters perceive the Conservative Party</w:t>
      </w:r>
      <w:r w:rsidR="00333623" w:rsidRPr="00B46D18">
        <w:rPr>
          <w:bCs/>
          <w:szCs w:val="20"/>
        </w:rPr>
        <w:t xml:space="preserve"> relative to their Labour opponents</w:t>
      </w:r>
      <w:r w:rsidR="00333623" w:rsidRPr="00B46D18">
        <w:rPr>
          <w:rStyle w:val="FootnoteReference"/>
          <w:bCs/>
          <w:szCs w:val="20"/>
        </w:rPr>
        <w:footnoteReference w:id="7"/>
      </w:r>
      <w:r w:rsidR="00333623" w:rsidRPr="00B46D18">
        <w:rPr>
          <w:bCs/>
          <w:szCs w:val="20"/>
        </w:rPr>
        <w:t xml:space="preserve">. </w:t>
      </w:r>
      <w:r w:rsidR="00BE6ADD" w:rsidRPr="00B46D18">
        <w:rPr>
          <w:bCs/>
          <w:szCs w:val="20"/>
        </w:rPr>
        <w:t>Historians of the Conservative Party have often emphasised how</w:t>
      </w:r>
      <w:r w:rsidR="00333623" w:rsidRPr="00B46D18">
        <w:rPr>
          <w:bCs/>
          <w:szCs w:val="20"/>
        </w:rPr>
        <w:t>, in</w:t>
      </w:r>
      <w:r w:rsidR="00BE6ADD" w:rsidRPr="00B46D18">
        <w:rPr>
          <w:bCs/>
          <w:szCs w:val="20"/>
        </w:rPr>
        <w:t xml:space="preserve"> </w:t>
      </w:r>
      <w:r w:rsidR="00333623" w:rsidRPr="00B46D18">
        <w:rPr>
          <w:bCs/>
          <w:szCs w:val="20"/>
        </w:rPr>
        <w:t>the pre-Heath era</w:t>
      </w:r>
      <w:r w:rsidR="000340DF">
        <w:rPr>
          <w:bCs/>
          <w:szCs w:val="20"/>
        </w:rPr>
        <w:t>,</w:t>
      </w:r>
      <w:r w:rsidR="00333623" w:rsidRPr="00B46D18">
        <w:rPr>
          <w:bCs/>
          <w:szCs w:val="20"/>
        </w:rPr>
        <w:t xml:space="preserve"> the Conservatives were known for their emphasis on parliamentary behavioural unity in the division lobbies; their emphasis on loyalty to their leader; and their rejection of </w:t>
      </w:r>
      <w:r w:rsidR="00333623" w:rsidRPr="007C437A">
        <w:rPr>
          <w:bCs/>
          <w:szCs w:val="20"/>
        </w:rPr>
        <w:t xml:space="preserve">ideological dogmatism in preference for political pragmatism/flexibility or adaptability </w:t>
      </w:r>
      <w:r w:rsidR="00333623" w:rsidRPr="007C437A">
        <w:t>(</w:t>
      </w:r>
      <w:r w:rsidRPr="007C437A">
        <w:t>Ball</w:t>
      </w:r>
      <w:r w:rsidR="006D5CE1">
        <w:t>,</w:t>
      </w:r>
      <w:r w:rsidRPr="007C437A">
        <w:t xml:space="preserve"> 1998; Blake</w:t>
      </w:r>
      <w:r w:rsidR="006D5CE1">
        <w:t>,</w:t>
      </w:r>
      <w:r w:rsidRPr="007C437A">
        <w:t xml:space="preserve"> 1998; </w:t>
      </w:r>
      <w:proofErr w:type="spellStart"/>
      <w:r w:rsidRPr="007C437A">
        <w:t>Charmley</w:t>
      </w:r>
      <w:proofErr w:type="spellEnd"/>
      <w:r w:rsidR="006D5CE1">
        <w:t>,</w:t>
      </w:r>
      <w:r w:rsidRPr="007C437A">
        <w:t xml:space="preserve"> 1996; Davies</w:t>
      </w:r>
      <w:r w:rsidR="006D5CE1">
        <w:t>,</w:t>
      </w:r>
      <w:r w:rsidRPr="007C437A">
        <w:t xml:space="preserve"> 1996; Evans and Taylor</w:t>
      </w:r>
      <w:r w:rsidR="006D5CE1">
        <w:t>,</w:t>
      </w:r>
      <w:r w:rsidRPr="007C437A">
        <w:t xml:space="preserve"> 1996; Gilmour and Garnett</w:t>
      </w:r>
      <w:r w:rsidR="006D5CE1">
        <w:t>,</w:t>
      </w:r>
      <w:r w:rsidRPr="007C437A">
        <w:t xml:space="preserve"> 1998; Ramsden</w:t>
      </w:r>
      <w:r w:rsidR="006D5CE1">
        <w:t>,</w:t>
      </w:r>
      <w:r w:rsidRPr="007C437A">
        <w:t xml:space="preserve"> 1995, 1996, 199</w:t>
      </w:r>
      <w:r w:rsidR="005E5AD0" w:rsidRPr="007C437A">
        <w:t>8</w:t>
      </w:r>
      <w:r w:rsidRPr="007C437A">
        <w:t>).</w:t>
      </w:r>
    </w:p>
    <w:p w14:paraId="027AD5D4" w14:textId="3D69E4B9" w:rsidR="00333623" w:rsidRPr="00B46D18" w:rsidRDefault="00333623" w:rsidP="004141E7">
      <w:pPr>
        <w:pStyle w:val="NormalWeb"/>
        <w:spacing w:before="0" w:beforeAutospacing="0" w:after="0" w:afterAutospacing="0" w:line="480" w:lineRule="auto"/>
        <w:ind w:firstLine="720"/>
        <w:contextualSpacing/>
        <w:jc w:val="both"/>
      </w:pPr>
    </w:p>
    <w:p w14:paraId="04F2BBAE" w14:textId="77777777" w:rsidR="004C6588" w:rsidRPr="00B46D18" w:rsidRDefault="004C6588" w:rsidP="004141E7">
      <w:pPr>
        <w:pStyle w:val="NormalWeb"/>
        <w:spacing w:before="0" w:beforeAutospacing="0" w:after="0" w:afterAutospacing="0" w:line="480" w:lineRule="auto"/>
        <w:ind w:firstLine="720"/>
        <w:contextualSpacing/>
        <w:jc w:val="both"/>
      </w:pPr>
      <w:r w:rsidRPr="00B46D18">
        <w:t xml:space="preserve">By considering the Conservative Party in the Heath era of 1965 to 1975, with a particular emphasis on the Heath premiership of 1970 to 1974, within the context of the statecraft dimensions identified above, the book will be able to work towards a concluding chapter that makes the case for viewing the Heath premiership from a transitional perspective. </w:t>
      </w:r>
    </w:p>
    <w:p w14:paraId="548E93A6" w14:textId="326B07E5" w:rsidR="00A47C7E" w:rsidRPr="00B46D18" w:rsidRDefault="004C6588" w:rsidP="004141E7">
      <w:pPr>
        <w:pStyle w:val="NormalWeb"/>
        <w:spacing w:before="0" w:beforeAutospacing="0" w:after="0" w:afterAutospacing="0" w:line="480" w:lineRule="auto"/>
        <w:ind w:firstLine="720"/>
        <w:contextualSpacing/>
        <w:jc w:val="both"/>
      </w:pPr>
      <w:r w:rsidRPr="00B46D18">
        <w:lastRenderedPageBreak/>
        <w:t>To do this</w:t>
      </w:r>
      <w:r w:rsidR="006C3883">
        <w:t>,</w:t>
      </w:r>
      <w:r w:rsidRPr="00B46D18">
        <w:t xml:space="preserve"> we split the book into three parts. Part one of the book</w:t>
      </w:r>
      <w:r w:rsidR="0004618E" w:rsidRPr="00B46D18">
        <w:t xml:space="preserve"> – entitled </w:t>
      </w:r>
      <w:r w:rsidR="0004618E" w:rsidRPr="00B46D18">
        <w:rPr>
          <w:i/>
          <w:iCs/>
        </w:rPr>
        <w:t>from opposition to office -</w:t>
      </w:r>
      <w:r w:rsidRPr="00B46D18">
        <w:t xml:space="preserve"> will be devoted to the first dimensio</w:t>
      </w:r>
      <w:r w:rsidR="006C3883">
        <w:t>n of the statecraft model –</w:t>
      </w:r>
      <w:r w:rsidRPr="00B46D18">
        <w:t xml:space="preserve"> the construction of a winning electoral strategy – and will </w:t>
      </w:r>
      <w:r w:rsidR="007951DF" w:rsidRPr="00B46D18">
        <w:t xml:space="preserve">offer an assessment </w:t>
      </w:r>
      <w:r w:rsidRPr="00B46D18">
        <w:t xml:space="preserve">on the key developments within the Conservatives in the opposition era of 1964 to 1970. In chapter two, Thomas McMeeking will identify how and why Heath won the Conservative Party leadership election of 1965, which was the first democratic leadership election in the history of the party. In chapter three, Mark Garnett will </w:t>
      </w:r>
      <w:r w:rsidR="008C52FC" w:rsidRPr="00B46D18">
        <w:t>exami</w:t>
      </w:r>
      <w:r w:rsidR="006C3883">
        <w:t>ne how and why the Conservative Party’s</w:t>
      </w:r>
      <w:r w:rsidR="008C52FC" w:rsidRPr="00B46D18">
        <w:t xml:space="preserve"> policy agenda was amended in the opposition era. In chapter four, Martin Farr will analyse the General Election campaign of 1970, where the Conservatives secured what was seen to be at the time an unexpected victory. </w:t>
      </w:r>
    </w:p>
    <w:p w14:paraId="40EE94A7" w14:textId="557D14D1" w:rsidR="00BB7989" w:rsidRPr="00B46D18" w:rsidRDefault="008C52FC" w:rsidP="004141E7">
      <w:pPr>
        <w:pStyle w:val="NormalWeb"/>
        <w:spacing w:before="0" w:beforeAutospacing="0" w:after="0" w:afterAutospacing="0" w:line="480" w:lineRule="auto"/>
        <w:ind w:firstLine="720"/>
        <w:contextualSpacing/>
        <w:jc w:val="both"/>
      </w:pPr>
      <w:r w:rsidRPr="00B46D18">
        <w:t>For the second dimension of the statecraft model</w:t>
      </w:r>
      <w:r w:rsidR="0004618E" w:rsidRPr="00B46D18">
        <w:t xml:space="preserve">, </w:t>
      </w:r>
      <w:r w:rsidRPr="00B46D18">
        <w:t>governing competence</w:t>
      </w:r>
      <w:r w:rsidR="0004618E" w:rsidRPr="00B46D18">
        <w:t>,</w:t>
      </w:r>
      <w:r w:rsidRPr="00B46D18">
        <w:t xml:space="preserve"> part two of the book </w:t>
      </w:r>
      <w:r w:rsidR="0004618E" w:rsidRPr="00B46D18">
        <w:t xml:space="preserve">– entitled </w:t>
      </w:r>
      <w:r w:rsidR="0004618E" w:rsidRPr="00B46D18">
        <w:rPr>
          <w:i/>
          <w:iCs/>
        </w:rPr>
        <w:t xml:space="preserve">policy implementation </w:t>
      </w:r>
      <w:r w:rsidR="0004618E" w:rsidRPr="00B46D18">
        <w:t xml:space="preserve">- </w:t>
      </w:r>
      <w:r w:rsidRPr="00B46D18">
        <w:t>will re-examine the central policy objectives of the Heath premiership</w:t>
      </w:r>
      <w:r w:rsidR="00096B77" w:rsidRPr="00B46D18">
        <w:t>. Part two will</w:t>
      </w:r>
      <w:r w:rsidR="00BB7989" w:rsidRPr="00B46D18">
        <w:t xml:space="preserve"> </w:t>
      </w:r>
      <w:r w:rsidRPr="00B46D18">
        <w:t>consider the coherence, contradictions, failings and impact of the</w:t>
      </w:r>
      <w:r w:rsidR="00BB7989" w:rsidRPr="00B46D18">
        <w:t xml:space="preserve">ir policies. In chapter five, James Silverwood reconsiders the economic performance of the Heath premiership. In chapter six, Samuel Warner reappraises the record of the Heath premiership </w:t>
      </w:r>
      <w:r w:rsidR="00BB7989" w:rsidRPr="000340DF">
        <w:rPr>
          <w:i/>
        </w:rPr>
        <w:t>vis-à-vis</w:t>
      </w:r>
      <w:r w:rsidR="00BB7989" w:rsidRPr="00B46D18">
        <w:t xml:space="preserve"> industrial relations, via a case study analysis of the failure of the Industrial Relations Act of 1971. </w:t>
      </w:r>
      <w:r w:rsidR="006C3883">
        <w:t>In</w:t>
      </w:r>
      <w:r w:rsidR="00BB7989" w:rsidRPr="00B46D18">
        <w:t xml:space="preserve"> chapter seven</w:t>
      </w:r>
      <w:r w:rsidR="006C3883">
        <w:t>,</w:t>
      </w:r>
      <w:r w:rsidR="00BB7989" w:rsidRPr="00B46D18">
        <w:t xml:space="preserve"> Ruth Davidson evaluates the approach of the Heath premiership towards social security reform. In chapter eight, David Jeffery examines the significance of the local government reforms of the Heath premiership. </w:t>
      </w:r>
      <w:r w:rsidR="004B4380" w:rsidRPr="00B46D18">
        <w:t xml:space="preserve">Chapter nine sees Catherine McGlynn and Shaun McDaid re-examine the difficulties that the Heath premiership experienced in relation to the politics of Northern Ireland. </w:t>
      </w:r>
      <w:r w:rsidR="00BB7989" w:rsidRPr="00B46D18">
        <w:t xml:space="preserve">In our final policy-based chapter (chapter </w:t>
      </w:r>
      <w:r w:rsidR="000340DF">
        <w:t>10</w:t>
      </w:r>
      <w:r w:rsidR="00BB7989" w:rsidRPr="00B46D18">
        <w:t>)</w:t>
      </w:r>
      <w:r w:rsidR="006C3883">
        <w:t>,</w:t>
      </w:r>
      <w:r w:rsidR="00BB7989" w:rsidRPr="00B46D18">
        <w:t xml:space="preserve"> Peter Dorey examines the primary policy success of the Heath premiership – seeking and securing entry into the European Economic Community. </w:t>
      </w:r>
      <w:r w:rsidR="004B4380" w:rsidRPr="00B46D18">
        <w:t>Via these six policy-based chapters</w:t>
      </w:r>
      <w:r w:rsidR="000340DF">
        <w:t>,</w:t>
      </w:r>
      <w:r w:rsidR="004B4380" w:rsidRPr="00B46D18">
        <w:t xml:space="preserve"> we will gain an insight into the evidence of competence </w:t>
      </w:r>
      <w:r w:rsidR="004B4380" w:rsidRPr="000340DF">
        <w:rPr>
          <w:i/>
        </w:rPr>
        <w:t>vis-à-vis</w:t>
      </w:r>
      <w:r w:rsidR="004B4380" w:rsidRPr="00B46D18">
        <w:t xml:space="preserve"> the Heath premiership, </w:t>
      </w:r>
      <w:r w:rsidR="006C3883">
        <w:t>and we will be able to identify</w:t>
      </w:r>
      <w:r w:rsidR="004B4380" w:rsidRPr="00B46D18">
        <w:t xml:space="preserve"> their longer-term significance. </w:t>
      </w:r>
    </w:p>
    <w:p w14:paraId="1241C284" w14:textId="6FEA1E62" w:rsidR="004B4380" w:rsidRPr="00B46D18" w:rsidRDefault="008C52FC" w:rsidP="004141E7">
      <w:pPr>
        <w:pStyle w:val="NormalWeb"/>
        <w:spacing w:before="0" w:beforeAutospacing="0" w:after="0" w:afterAutospacing="0" w:line="480" w:lineRule="auto"/>
        <w:ind w:firstLine="720"/>
        <w:contextualSpacing/>
        <w:jc w:val="both"/>
      </w:pPr>
      <w:r w:rsidRPr="00B46D18">
        <w:t>The third and fourth dimensions of the statecraft model – political argument hegemony and party management – are considered within part three of the book</w:t>
      </w:r>
      <w:r w:rsidR="0004618E" w:rsidRPr="00B46D18">
        <w:t xml:space="preserve"> – entitled </w:t>
      </w:r>
      <w:r w:rsidR="0004618E" w:rsidRPr="00B46D18">
        <w:rPr>
          <w:i/>
          <w:iCs/>
        </w:rPr>
        <w:t xml:space="preserve">political debates. </w:t>
      </w:r>
      <w:r w:rsidR="000340DF">
        <w:t xml:space="preserve">In this section </w:t>
      </w:r>
      <w:r w:rsidRPr="00B46D18">
        <w:t>on wider political debates, w</w:t>
      </w:r>
      <w:r w:rsidR="004B4380" w:rsidRPr="00B46D18">
        <w:t xml:space="preserve">e </w:t>
      </w:r>
      <w:r w:rsidRPr="00B46D18">
        <w:t>consider the following.</w:t>
      </w:r>
      <w:r w:rsidR="004B4380" w:rsidRPr="00B46D18">
        <w:t xml:space="preserve"> </w:t>
      </w:r>
      <w:r w:rsidR="000340DF">
        <w:t xml:space="preserve">In chapter 11, Philip Norton </w:t>
      </w:r>
      <w:r w:rsidR="003F2960" w:rsidRPr="00B46D18">
        <w:t>reconsiders how effective Heath was at managing relations within the Conservative Party in terms of the wider organisation and the pa</w:t>
      </w:r>
      <w:r w:rsidR="000340DF">
        <w:t>rliamentary party. Chapter 12</w:t>
      </w:r>
      <w:r w:rsidR="003F2960" w:rsidRPr="00B46D18">
        <w:t xml:space="preserve"> sees Gillian Peele examine the scale of the difficulty for the Heath premiership caused by Enoch Powell and the pol</w:t>
      </w:r>
      <w:r w:rsidR="000340DF">
        <w:t xml:space="preserve">itics of </w:t>
      </w:r>
      <w:proofErr w:type="spellStart"/>
      <w:r w:rsidR="000340DF">
        <w:t>Powellism</w:t>
      </w:r>
      <w:proofErr w:type="spellEnd"/>
      <w:r w:rsidR="000340DF">
        <w:t>. Chapter 13</w:t>
      </w:r>
      <w:r w:rsidR="003F2960" w:rsidRPr="00B46D18">
        <w:t xml:space="preserve"> sees Timothy Heppell place the Heath era within the context of wider party politics by re-examining the developments of the Labour Party in opposition. Following on from this</w:t>
      </w:r>
      <w:r w:rsidR="000340DF">
        <w:t>,</w:t>
      </w:r>
      <w:r w:rsidR="003F2960" w:rsidRPr="00B46D18">
        <w:t xml:space="preserve"> </w:t>
      </w:r>
      <w:r w:rsidR="000340DF">
        <w:lastRenderedPageBreak/>
        <w:t>chapter 14</w:t>
      </w:r>
      <w:r w:rsidR="003F2960" w:rsidRPr="00B46D18">
        <w:t xml:space="preserve"> sees Chris Byrne, Nick Randall and Kevin Theakston </w:t>
      </w:r>
      <w:r w:rsidR="0004618E" w:rsidRPr="00B46D18">
        <w:t xml:space="preserve">offer a new leadership interpretation on the performance of Heath as Prime Minister. </w:t>
      </w:r>
      <w:r w:rsidR="003F2960" w:rsidRPr="00B46D18">
        <w:t xml:space="preserve"> </w:t>
      </w:r>
    </w:p>
    <w:p w14:paraId="53519283" w14:textId="405A4039" w:rsidR="008C52FC" w:rsidRPr="00B46D18" w:rsidRDefault="0004618E" w:rsidP="004141E7">
      <w:pPr>
        <w:pStyle w:val="NormalWeb"/>
        <w:spacing w:before="0" w:beforeAutospacing="0" w:after="0" w:afterAutospacing="0" w:line="480" w:lineRule="auto"/>
        <w:ind w:firstLine="720"/>
        <w:contextualSpacing/>
        <w:jc w:val="both"/>
      </w:pPr>
      <w:r w:rsidRPr="00B46D18">
        <w:t>Ultimately an effective statecraft strategy will see the governing party being re-elected and</w:t>
      </w:r>
      <w:r w:rsidR="006C3883">
        <w:t>,</w:t>
      </w:r>
      <w:r w:rsidRPr="00B46D18">
        <w:t xml:space="preserve"> as such</w:t>
      </w:r>
      <w:r w:rsidR="006C3883">
        <w:t>,</w:t>
      </w:r>
      <w:r w:rsidRPr="00B46D18">
        <w:t xml:space="preserve"> </w:t>
      </w:r>
      <w:proofErr w:type="spellStart"/>
      <w:r w:rsidRPr="00B46D18">
        <w:t>Bulpitt</w:t>
      </w:r>
      <w:proofErr w:type="spellEnd"/>
      <w:r w:rsidRPr="00B46D18">
        <w:t xml:space="preserve"> sees his model as being cyclical – i.e. the fifth and final dimension involves securing re-election and then starting the cycle again. As such</w:t>
      </w:r>
      <w:r w:rsidR="006C3883">
        <w:t>,</w:t>
      </w:r>
      <w:r w:rsidRPr="00B46D18">
        <w:t xml:space="preserve"> as we set about reaching conclusions for our assessment of the Heath premiershi</w:t>
      </w:r>
      <w:r w:rsidR="000340DF">
        <w:t>p</w:t>
      </w:r>
      <w:r w:rsidR="006C3883">
        <w:t>. I</w:t>
      </w:r>
      <w:r w:rsidR="000340DF">
        <w:t>n chapter 15</w:t>
      </w:r>
      <w:r w:rsidR="006C3883">
        <w:t xml:space="preserve">, </w:t>
      </w:r>
      <w:r w:rsidR="006C3883" w:rsidRPr="00B46D18">
        <w:t>Andrew Roe-Cr</w:t>
      </w:r>
      <w:r w:rsidR="006C3883">
        <w:t xml:space="preserve">ines reassesses </w:t>
      </w:r>
      <w:r w:rsidRPr="00B46D18">
        <w:t>the fateful decision to call the General Election o</w:t>
      </w:r>
      <w:r w:rsidR="006C3883">
        <w:t xml:space="preserve">f February 1974. Then, </w:t>
      </w:r>
      <w:r w:rsidR="000340DF">
        <w:t>in chapter 16</w:t>
      </w:r>
      <w:r w:rsidRPr="00B46D18">
        <w:t xml:space="preserve">, Emily Stacey charts how and why, when in opposition, Heath was removed from the leadership of the Conservative Party. </w:t>
      </w:r>
      <w:r w:rsidR="000340DF">
        <w:t>In chapter 17</w:t>
      </w:r>
      <w:r w:rsidR="00AB2E18" w:rsidRPr="00B46D18">
        <w:t>, Antony Mullen locates the Heath premiership</w:t>
      </w:r>
      <w:r w:rsidR="008C52FC" w:rsidRPr="00B46D18">
        <w:t xml:space="preserve"> within the context of consensus politics and how </w:t>
      </w:r>
      <w:r w:rsidR="00AB2E18" w:rsidRPr="00B46D18">
        <w:t xml:space="preserve">it has been </w:t>
      </w:r>
      <w:r w:rsidR="008C52FC" w:rsidRPr="00B46D18">
        <w:t xml:space="preserve">interpreted (and </w:t>
      </w:r>
      <w:r w:rsidR="00AB2E18" w:rsidRPr="00B46D18">
        <w:t>exploited</w:t>
      </w:r>
      <w:r w:rsidR="008C52FC" w:rsidRPr="00B46D18">
        <w:t xml:space="preserve">) by Thatcher and the post-1979 Conservative premierships. </w:t>
      </w:r>
    </w:p>
    <w:p w14:paraId="2A6C7666" w14:textId="1B2CC6F2" w:rsidR="00AB2E18" w:rsidRPr="00B46D18" w:rsidRDefault="00AB2E18" w:rsidP="004141E7">
      <w:pPr>
        <w:pStyle w:val="NormalWeb"/>
        <w:spacing w:before="0" w:beforeAutospacing="0" w:after="0" w:afterAutospacing="0" w:line="480" w:lineRule="auto"/>
        <w:ind w:firstLine="720"/>
        <w:contextualSpacing/>
        <w:jc w:val="both"/>
        <w:rPr>
          <w:i/>
          <w:iCs/>
        </w:rPr>
      </w:pPr>
      <w:r w:rsidRPr="00B46D18">
        <w:t>By structuring the b</w:t>
      </w:r>
      <w:r w:rsidR="006C3883">
        <w:t xml:space="preserve">ook around the statecraft model, </w:t>
      </w:r>
      <w:r w:rsidRPr="00B46D18">
        <w:t xml:space="preserve">this provides us with a new way of assessing the Heath </w:t>
      </w:r>
      <w:r w:rsidR="000340DF">
        <w:t>premiership. In chapter 18</w:t>
      </w:r>
      <w:r w:rsidRPr="00B46D18">
        <w:t xml:space="preserve">, Andrew </w:t>
      </w:r>
      <w:r w:rsidR="006C3883">
        <w:t xml:space="preserve">Roe-Crines and Timothy Heppell </w:t>
      </w:r>
      <w:r w:rsidRPr="00B46D18">
        <w:t xml:space="preserve">argue the case for moving beyond the prevailing perspectives on the Heath premiership – i.e. the critique or the contingencies/circumstances perspective – as they make the case for the Heath premiership being seen as a transitional era in British politics. </w:t>
      </w:r>
    </w:p>
    <w:p w14:paraId="51039E0B" w14:textId="77777777" w:rsidR="007A180B" w:rsidRPr="00B46D18" w:rsidRDefault="007A180B" w:rsidP="004141E7">
      <w:pPr>
        <w:spacing w:after="0" w:line="480" w:lineRule="auto"/>
        <w:jc w:val="both"/>
        <w:rPr>
          <w:rFonts w:ascii="Times New Roman" w:eastAsia="SimSun" w:hAnsi="Times New Roman" w:cs="Times New Roman"/>
          <w:sz w:val="24"/>
          <w:szCs w:val="24"/>
          <w:lang w:val="en-GB" w:eastAsia="zh-CN"/>
        </w:rPr>
      </w:pPr>
    </w:p>
    <w:p w14:paraId="7DF60C33" w14:textId="35575564" w:rsidR="007A180B" w:rsidRPr="00B46D18" w:rsidRDefault="007A180B" w:rsidP="004141E7">
      <w:pPr>
        <w:spacing w:after="0" w:line="480" w:lineRule="auto"/>
        <w:contextualSpacing/>
        <w:jc w:val="both"/>
        <w:rPr>
          <w:rFonts w:ascii="Times New Roman" w:hAnsi="Times New Roman" w:cs="Times New Roman"/>
          <w:b/>
          <w:sz w:val="24"/>
          <w:szCs w:val="24"/>
          <w:lang w:val="en-GB"/>
        </w:rPr>
      </w:pPr>
      <w:r w:rsidRPr="00B46D18">
        <w:rPr>
          <w:rFonts w:ascii="Times New Roman" w:hAnsi="Times New Roman" w:cs="Times New Roman"/>
          <w:b/>
          <w:sz w:val="24"/>
          <w:szCs w:val="24"/>
          <w:lang w:val="en-GB"/>
        </w:rPr>
        <w:t>Bibliography:</w:t>
      </w:r>
    </w:p>
    <w:p w14:paraId="71F7A0EB" w14:textId="43E55DF1" w:rsidR="00F903FF" w:rsidRDefault="00F903FF" w:rsidP="004141E7">
      <w:pPr>
        <w:spacing w:after="0" w:line="480" w:lineRule="auto"/>
        <w:contextualSpacing/>
        <w:jc w:val="both"/>
        <w:rPr>
          <w:rFonts w:ascii="Times New Roman" w:hAnsi="Times New Roman" w:cs="Times New Roman"/>
          <w:bCs/>
          <w:sz w:val="24"/>
          <w:szCs w:val="24"/>
          <w:lang w:val="en-GB"/>
        </w:rPr>
      </w:pPr>
    </w:p>
    <w:p w14:paraId="386601EA" w14:textId="77777777" w:rsidR="004C56F6" w:rsidRPr="004C56F6" w:rsidRDefault="004C56F6" w:rsidP="004C56F6">
      <w:pPr>
        <w:spacing w:after="0" w:line="480" w:lineRule="auto"/>
        <w:contextualSpacing/>
        <w:jc w:val="both"/>
        <w:rPr>
          <w:rFonts w:ascii="Times New Roman" w:hAnsi="Times New Roman" w:cs="Times New Roman"/>
          <w:b/>
          <w:bCs/>
          <w:sz w:val="24"/>
          <w:szCs w:val="24"/>
          <w:lang w:val="en-GB"/>
        </w:rPr>
      </w:pPr>
      <w:r w:rsidRPr="004C56F6">
        <w:rPr>
          <w:rFonts w:ascii="Times New Roman" w:hAnsi="Times New Roman" w:cs="Times New Roman"/>
          <w:b/>
          <w:bCs/>
          <w:sz w:val="24"/>
          <w:szCs w:val="24"/>
          <w:lang w:val="en-GB"/>
        </w:rPr>
        <w:t xml:space="preserve">Published Primary Sources: </w:t>
      </w:r>
    </w:p>
    <w:p w14:paraId="3C6450EA" w14:textId="77777777" w:rsidR="004C56F6" w:rsidRPr="004C56F6" w:rsidRDefault="004C56F6" w:rsidP="004C56F6">
      <w:pPr>
        <w:spacing w:after="0" w:line="480" w:lineRule="auto"/>
        <w:contextualSpacing/>
        <w:jc w:val="both"/>
        <w:rPr>
          <w:rFonts w:ascii="Times New Roman" w:hAnsi="Times New Roman" w:cs="Times New Roman"/>
          <w:bCs/>
          <w:sz w:val="24"/>
          <w:szCs w:val="24"/>
          <w:lang w:val="en-GB"/>
        </w:rPr>
      </w:pPr>
    </w:p>
    <w:p w14:paraId="6F80F1DA" w14:textId="77777777" w:rsidR="004C56F6" w:rsidRDefault="004C56F6" w:rsidP="004C56F6">
      <w:pPr>
        <w:spacing w:after="0" w:line="480" w:lineRule="auto"/>
        <w:contextualSpacing/>
        <w:jc w:val="both"/>
        <w:rPr>
          <w:rFonts w:ascii="Times New Roman" w:hAnsi="Times New Roman" w:cs="Times New Roman"/>
          <w:bCs/>
          <w:sz w:val="24"/>
          <w:szCs w:val="24"/>
          <w:lang w:val="en-GB"/>
        </w:rPr>
      </w:pPr>
      <w:r w:rsidRPr="004C56F6">
        <w:rPr>
          <w:rFonts w:ascii="Times New Roman" w:hAnsi="Times New Roman" w:cs="Times New Roman"/>
          <w:bCs/>
          <w:sz w:val="24"/>
          <w:szCs w:val="24"/>
          <w:lang w:val="en-GB"/>
        </w:rPr>
        <w:t xml:space="preserve">House of Commons Parliamentary Debates (HC Deb). </w:t>
      </w:r>
    </w:p>
    <w:p w14:paraId="392C70FF" w14:textId="77777777" w:rsidR="004C56F6" w:rsidRPr="004C56F6" w:rsidRDefault="004C56F6" w:rsidP="004C56F6">
      <w:pPr>
        <w:spacing w:after="0" w:line="480" w:lineRule="auto"/>
        <w:contextualSpacing/>
        <w:jc w:val="both"/>
        <w:rPr>
          <w:rFonts w:ascii="Times New Roman" w:hAnsi="Times New Roman" w:cs="Times New Roman"/>
          <w:bCs/>
          <w:sz w:val="24"/>
          <w:szCs w:val="24"/>
          <w:lang w:val="en-GB"/>
        </w:rPr>
      </w:pPr>
    </w:p>
    <w:p w14:paraId="40CB3806" w14:textId="77777777" w:rsidR="004C56F6" w:rsidRPr="004C56F6" w:rsidRDefault="004C56F6" w:rsidP="004C56F6">
      <w:pPr>
        <w:spacing w:after="0" w:line="480" w:lineRule="auto"/>
        <w:contextualSpacing/>
        <w:jc w:val="both"/>
        <w:rPr>
          <w:rFonts w:ascii="Times New Roman" w:hAnsi="Times New Roman" w:cs="Times New Roman"/>
          <w:b/>
          <w:bCs/>
          <w:sz w:val="24"/>
          <w:szCs w:val="24"/>
          <w:lang w:val="en-GB"/>
        </w:rPr>
      </w:pPr>
      <w:r w:rsidRPr="004C56F6">
        <w:rPr>
          <w:rFonts w:ascii="Times New Roman" w:hAnsi="Times New Roman" w:cs="Times New Roman"/>
          <w:b/>
          <w:bCs/>
          <w:sz w:val="24"/>
          <w:szCs w:val="24"/>
          <w:lang w:val="en-GB"/>
        </w:rPr>
        <w:t>Speeches:</w:t>
      </w:r>
    </w:p>
    <w:p w14:paraId="4F311386" w14:textId="77777777" w:rsidR="004C56F6" w:rsidRPr="004C56F6" w:rsidRDefault="004C56F6" w:rsidP="004C56F6">
      <w:pPr>
        <w:spacing w:after="0" w:line="480" w:lineRule="auto"/>
        <w:contextualSpacing/>
        <w:jc w:val="both"/>
        <w:rPr>
          <w:rFonts w:ascii="Times New Roman" w:hAnsi="Times New Roman" w:cs="Times New Roman"/>
          <w:bCs/>
          <w:sz w:val="24"/>
          <w:szCs w:val="24"/>
          <w:lang w:val="en-GB"/>
        </w:rPr>
      </w:pPr>
    </w:p>
    <w:p w14:paraId="28C6D140" w14:textId="0704AB35" w:rsidR="004C56F6" w:rsidRPr="004C56F6" w:rsidRDefault="006C3883" w:rsidP="004C56F6">
      <w:pPr>
        <w:spacing w:after="0" w:line="480" w:lineRule="auto"/>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Heath, E. (1970) </w:t>
      </w:r>
      <w:r w:rsidR="004C56F6" w:rsidRPr="004C56F6">
        <w:rPr>
          <w:rFonts w:ascii="Times New Roman" w:hAnsi="Times New Roman" w:cs="Times New Roman"/>
          <w:bCs/>
          <w:sz w:val="24"/>
          <w:szCs w:val="24"/>
          <w:lang w:val="en-GB"/>
        </w:rPr>
        <w:t>Speech to the Conservative Party Annual Conference</w:t>
      </w:r>
      <w:r>
        <w:rPr>
          <w:rFonts w:ascii="Times New Roman" w:hAnsi="Times New Roman" w:cs="Times New Roman"/>
          <w:bCs/>
          <w:sz w:val="24"/>
          <w:szCs w:val="24"/>
          <w:lang w:val="en-GB"/>
        </w:rPr>
        <w:t>. Blackpool, 1970.</w:t>
      </w:r>
    </w:p>
    <w:p w14:paraId="6E56485B" w14:textId="77777777" w:rsidR="004C56F6" w:rsidRPr="004C56F6" w:rsidRDefault="004C56F6" w:rsidP="004C56F6">
      <w:pPr>
        <w:spacing w:after="0" w:line="480" w:lineRule="auto"/>
        <w:contextualSpacing/>
        <w:jc w:val="both"/>
        <w:rPr>
          <w:rFonts w:ascii="Times New Roman" w:hAnsi="Times New Roman" w:cs="Times New Roman"/>
          <w:bCs/>
          <w:sz w:val="24"/>
          <w:szCs w:val="24"/>
          <w:lang w:val="en-GB"/>
        </w:rPr>
      </w:pPr>
    </w:p>
    <w:p w14:paraId="7F22CF87" w14:textId="77777777" w:rsidR="004C56F6" w:rsidRPr="004C56F6" w:rsidRDefault="004C56F6" w:rsidP="004C56F6">
      <w:pPr>
        <w:spacing w:after="0" w:line="480" w:lineRule="auto"/>
        <w:contextualSpacing/>
        <w:jc w:val="both"/>
        <w:rPr>
          <w:rFonts w:ascii="Times New Roman" w:hAnsi="Times New Roman" w:cs="Times New Roman"/>
          <w:b/>
          <w:bCs/>
          <w:sz w:val="24"/>
          <w:szCs w:val="24"/>
          <w:lang w:val="en-GB"/>
        </w:rPr>
      </w:pPr>
      <w:r w:rsidRPr="004C56F6">
        <w:rPr>
          <w:rFonts w:ascii="Times New Roman" w:hAnsi="Times New Roman" w:cs="Times New Roman"/>
          <w:b/>
          <w:bCs/>
          <w:sz w:val="24"/>
          <w:szCs w:val="24"/>
          <w:lang w:val="en-GB"/>
        </w:rPr>
        <w:t xml:space="preserve">Memoirs:  </w:t>
      </w:r>
    </w:p>
    <w:p w14:paraId="758073A3" w14:textId="77777777" w:rsidR="004C56F6" w:rsidRPr="004C56F6" w:rsidRDefault="004C56F6" w:rsidP="004C56F6">
      <w:pPr>
        <w:spacing w:after="0" w:line="480" w:lineRule="auto"/>
        <w:contextualSpacing/>
        <w:jc w:val="both"/>
        <w:rPr>
          <w:rFonts w:ascii="Times New Roman" w:hAnsi="Times New Roman" w:cs="Times New Roman"/>
          <w:bCs/>
          <w:sz w:val="24"/>
          <w:szCs w:val="24"/>
          <w:lang w:val="en-GB"/>
        </w:rPr>
      </w:pPr>
    </w:p>
    <w:p w14:paraId="5BE12F52" w14:textId="02237E88" w:rsidR="004C56F6" w:rsidRPr="004C56F6" w:rsidRDefault="004C56F6" w:rsidP="004C56F6">
      <w:pPr>
        <w:spacing w:after="0" w:line="480" w:lineRule="auto"/>
        <w:contextualSpacing/>
        <w:jc w:val="both"/>
        <w:rPr>
          <w:rFonts w:ascii="Times New Roman" w:hAnsi="Times New Roman" w:cs="Times New Roman"/>
          <w:bCs/>
          <w:sz w:val="24"/>
          <w:szCs w:val="24"/>
          <w:lang w:val="en-GB"/>
        </w:rPr>
      </w:pPr>
      <w:r w:rsidRPr="004C56F6">
        <w:rPr>
          <w:rFonts w:ascii="Times New Roman" w:hAnsi="Times New Roman" w:cs="Times New Roman"/>
          <w:bCs/>
          <w:sz w:val="24"/>
          <w:szCs w:val="24"/>
          <w:lang w:val="en-GB"/>
        </w:rPr>
        <w:t>Heath, E. (1998) The Course of My Life: Th</w:t>
      </w:r>
      <w:r w:rsidR="006C3883">
        <w:rPr>
          <w:rFonts w:ascii="Times New Roman" w:hAnsi="Times New Roman" w:cs="Times New Roman"/>
          <w:bCs/>
          <w:sz w:val="24"/>
          <w:szCs w:val="24"/>
          <w:lang w:val="en-GB"/>
        </w:rPr>
        <w:t>e Autobiography of Edward Heath.</w:t>
      </w:r>
      <w:r w:rsidRPr="004C56F6">
        <w:rPr>
          <w:rFonts w:ascii="Times New Roman" w:hAnsi="Times New Roman" w:cs="Times New Roman"/>
          <w:bCs/>
          <w:sz w:val="24"/>
          <w:szCs w:val="24"/>
          <w:lang w:val="en-GB"/>
        </w:rPr>
        <w:t xml:space="preserve"> London: Hodder and Stoughton. </w:t>
      </w:r>
    </w:p>
    <w:p w14:paraId="68E14769" w14:textId="27CD358E" w:rsidR="004C56F6" w:rsidRPr="004C56F6" w:rsidRDefault="004C56F6" w:rsidP="004C56F6">
      <w:pPr>
        <w:spacing w:after="0" w:line="480" w:lineRule="auto"/>
        <w:contextualSpacing/>
        <w:jc w:val="both"/>
        <w:rPr>
          <w:rFonts w:ascii="Times New Roman" w:hAnsi="Times New Roman" w:cs="Times New Roman"/>
          <w:bCs/>
          <w:sz w:val="24"/>
          <w:szCs w:val="24"/>
          <w:lang w:val="en-GB"/>
        </w:rPr>
      </w:pPr>
      <w:r w:rsidRPr="004C56F6">
        <w:rPr>
          <w:rFonts w:ascii="Times New Roman" w:hAnsi="Times New Roman" w:cs="Times New Roman"/>
          <w:bCs/>
          <w:sz w:val="24"/>
          <w:szCs w:val="24"/>
          <w:lang w:val="en-GB"/>
        </w:rPr>
        <w:lastRenderedPageBreak/>
        <w:t>Tebbit, N. (1988) Upw</w:t>
      </w:r>
      <w:r w:rsidR="00855D33">
        <w:rPr>
          <w:rFonts w:ascii="Times New Roman" w:hAnsi="Times New Roman" w:cs="Times New Roman"/>
          <w:bCs/>
          <w:sz w:val="24"/>
          <w:szCs w:val="24"/>
          <w:lang w:val="en-GB"/>
        </w:rPr>
        <w:t xml:space="preserve">ardly Mobile: An Autobiography. </w:t>
      </w:r>
      <w:r w:rsidRPr="004C56F6">
        <w:rPr>
          <w:rFonts w:ascii="Times New Roman" w:hAnsi="Times New Roman" w:cs="Times New Roman"/>
          <w:bCs/>
          <w:sz w:val="24"/>
          <w:szCs w:val="24"/>
          <w:lang w:val="en-GB"/>
        </w:rPr>
        <w:t xml:space="preserve">London: Weidenfeld and Nicolson. </w:t>
      </w:r>
    </w:p>
    <w:p w14:paraId="257D7331" w14:textId="50361D76" w:rsidR="004C56F6" w:rsidRPr="004C56F6" w:rsidRDefault="004C56F6" w:rsidP="004C56F6">
      <w:pPr>
        <w:spacing w:after="0" w:line="480" w:lineRule="auto"/>
        <w:contextualSpacing/>
        <w:jc w:val="both"/>
        <w:rPr>
          <w:rFonts w:ascii="Times New Roman" w:hAnsi="Times New Roman" w:cs="Times New Roman"/>
          <w:bCs/>
          <w:sz w:val="24"/>
          <w:szCs w:val="24"/>
          <w:lang w:val="en-GB"/>
        </w:rPr>
      </w:pPr>
      <w:r w:rsidRPr="004C56F6">
        <w:rPr>
          <w:rFonts w:ascii="Times New Roman" w:hAnsi="Times New Roman" w:cs="Times New Roman"/>
          <w:bCs/>
          <w:sz w:val="24"/>
          <w:szCs w:val="24"/>
          <w:lang w:val="en-GB"/>
        </w:rPr>
        <w:t>Thatcher, M. (1995) The Path to Power</w:t>
      </w:r>
      <w:r w:rsidR="00855D33">
        <w:rPr>
          <w:rFonts w:ascii="Times New Roman" w:hAnsi="Times New Roman" w:cs="Times New Roman"/>
          <w:bCs/>
          <w:sz w:val="24"/>
          <w:szCs w:val="24"/>
          <w:lang w:val="en-GB"/>
        </w:rPr>
        <w:t>.</w:t>
      </w:r>
      <w:r w:rsidRPr="004C56F6">
        <w:rPr>
          <w:rFonts w:ascii="Times New Roman" w:hAnsi="Times New Roman" w:cs="Times New Roman"/>
          <w:bCs/>
          <w:sz w:val="24"/>
          <w:szCs w:val="24"/>
          <w:lang w:val="en-GB"/>
        </w:rPr>
        <w:t xml:space="preserve"> London: Harper Collins.</w:t>
      </w:r>
    </w:p>
    <w:p w14:paraId="58B8F5CB" w14:textId="77777777" w:rsidR="004C56F6" w:rsidRPr="004C56F6" w:rsidRDefault="004C56F6" w:rsidP="004C56F6">
      <w:pPr>
        <w:spacing w:after="0" w:line="480" w:lineRule="auto"/>
        <w:contextualSpacing/>
        <w:jc w:val="both"/>
        <w:rPr>
          <w:rFonts w:ascii="Times New Roman" w:hAnsi="Times New Roman" w:cs="Times New Roman"/>
          <w:bCs/>
          <w:sz w:val="24"/>
          <w:szCs w:val="24"/>
          <w:lang w:val="en-GB"/>
        </w:rPr>
      </w:pPr>
    </w:p>
    <w:p w14:paraId="2D6D7443" w14:textId="4ABA422A" w:rsidR="004C56F6" w:rsidRPr="004C56F6" w:rsidRDefault="004C56F6" w:rsidP="004C56F6">
      <w:pPr>
        <w:spacing w:after="0" w:line="480" w:lineRule="auto"/>
        <w:contextualSpacing/>
        <w:jc w:val="both"/>
        <w:rPr>
          <w:rFonts w:ascii="Times New Roman" w:hAnsi="Times New Roman" w:cs="Times New Roman"/>
          <w:b/>
          <w:bCs/>
          <w:sz w:val="24"/>
          <w:szCs w:val="24"/>
          <w:lang w:val="en-GB"/>
        </w:rPr>
      </w:pPr>
      <w:r w:rsidRPr="004C56F6">
        <w:rPr>
          <w:rFonts w:ascii="Times New Roman" w:hAnsi="Times New Roman" w:cs="Times New Roman"/>
          <w:b/>
          <w:bCs/>
          <w:sz w:val="24"/>
          <w:szCs w:val="24"/>
          <w:lang w:val="en-GB"/>
        </w:rPr>
        <w:t>Books, Chapters and Articles:</w:t>
      </w:r>
    </w:p>
    <w:p w14:paraId="5151C915" w14:textId="499BFEFF" w:rsidR="00F903FF" w:rsidRPr="00B46D18" w:rsidRDefault="00F903FF" w:rsidP="004141E7">
      <w:pPr>
        <w:spacing w:after="0" w:line="480" w:lineRule="auto"/>
        <w:contextualSpacing/>
        <w:jc w:val="both"/>
        <w:rPr>
          <w:rFonts w:ascii="Times New Roman" w:hAnsi="Times New Roman" w:cs="Times New Roman"/>
          <w:bCs/>
          <w:sz w:val="24"/>
          <w:szCs w:val="24"/>
          <w:lang w:val="en-GB"/>
        </w:rPr>
      </w:pPr>
    </w:p>
    <w:p w14:paraId="73E29512" w14:textId="4550087E" w:rsidR="003B0E6D" w:rsidRPr="00B46D18" w:rsidRDefault="00855D33" w:rsidP="004141E7">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Arthur, P (1996) </w:t>
      </w:r>
      <w:r w:rsidR="003B0E6D" w:rsidRPr="00B46D18">
        <w:rPr>
          <w:rFonts w:ascii="Times New Roman" w:hAnsi="Times New Roman" w:cs="Times New Roman"/>
          <w:sz w:val="24"/>
          <w:szCs w:val="24"/>
          <w:lang w:val="en-GB"/>
        </w:rPr>
        <w:t xml:space="preserve">The Heath </w:t>
      </w:r>
      <w:r>
        <w:rPr>
          <w:rFonts w:ascii="Times New Roman" w:hAnsi="Times New Roman" w:cs="Times New Roman"/>
          <w:sz w:val="24"/>
          <w:szCs w:val="24"/>
          <w:lang w:val="en-GB"/>
        </w:rPr>
        <w:t>Government and Northern Ireland. I</w:t>
      </w:r>
      <w:r w:rsidR="003B0E6D" w:rsidRPr="00B46D18">
        <w:rPr>
          <w:rFonts w:ascii="Times New Roman" w:hAnsi="Times New Roman" w:cs="Times New Roman"/>
          <w:sz w:val="24"/>
          <w:szCs w:val="24"/>
          <w:lang w:val="en-GB"/>
        </w:rPr>
        <w:t>n</w:t>
      </w:r>
      <w:r>
        <w:rPr>
          <w:rFonts w:ascii="Times New Roman" w:hAnsi="Times New Roman" w:cs="Times New Roman"/>
          <w:sz w:val="24"/>
          <w:szCs w:val="24"/>
          <w:lang w:val="en-GB"/>
        </w:rPr>
        <w:t>: S.</w:t>
      </w:r>
      <w:r w:rsidR="003B0E6D" w:rsidRPr="00B46D18">
        <w:rPr>
          <w:rFonts w:ascii="Times New Roman" w:hAnsi="Times New Roman" w:cs="Times New Roman"/>
          <w:sz w:val="24"/>
          <w:szCs w:val="24"/>
          <w:lang w:val="en-GB"/>
        </w:rPr>
        <w:t xml:space="preserve"> Ball</w:t>
      </w:r>
      <w:r>
        <w:rPr>
          <w:rFonts w:ascii="Times New Roman" w:hAnsi="Times New Roman" w:cs="Times New Roman"/>
          <w:sz w:val="24"/>
          <w:szCs w:val="24"/>
          <w:lang w:val="en-GB"/>
        </w:rPr>
        <w:t xml:space="preserve"> </w:t>
      </w:r>
      <w:r w:rsidR="005E5AD0" w:rsidRPr="00B46D18">
        <w:rPr>
          <w:rFonts w:ascii="Times New Roman" w:hAnsi="Times New Roman" w:cs="Times New Roman"/>
          <w:sz w:val="24"/>
          <w:szCs w:val="24"/>
          <w:lang w:val="en-GB"/>
        </w:rPr>
        <w:t>and</w:t>
      </w:r>
      <w:r w:rsidR="003B0E6D" w:rsidRPr="00B46D1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3B0E6D" w:rsidRPr="00B46D18">
        <w:rPr>
          <w:rFonts w:ascii="Times New Roman" w:hAnsi="Times New Roman" w:cs="Times New Roman"/>
          <w:sz w:val="24"/>
          <w:szCs w:val="24"/>
          <w:lang w:val="en-GB"/>
        </w:rPr>
        <w:t xml:space="preserve">Seldon (eds.) </w:t>
      </w:r>
      <w:r w:rsidR="003B0E6D" w:rsidRPr="00855D33">
        <w:rPr>
          <w:rFonts w:ascii="Times New Roman" w:hAnsi="Times New Roman" w:cs="Times New Roman"/>
          <w:sz w:val="24"/>
          <w:szCs w:val="24"/>
          <w:lang w:val="en-GB"/>
        </w:rPr>
        <w:t>The Heath Government 1970-1974</w:t>
      </w:r>
      <w:r>
        <w:rPr>
          <w:rFonts w:ascii="Times New Roman" w:hAnsi="Times New Roman" w:cs="Times New Roman"/>
          <w:sz w:val="24"/>
          <w:szCs w:val="24"/>
          <w:lang w:val="en-GB"/>
        </w:rPr>
        <w:t>.</w:t>
      </w:r>
      <w:r w:rsidR="005E5AD0" w:rsidRPr="00B46D18">
        <w:rPr>
          <w:rFonts w:ascii="Times New Roman" w:hAnsi="Times New Roman" w:cs="Times New Roman"/>
          <w:sz w:val="24"/>
          <w:szCs w:val="24"/>
          <w:lang w:val="en-GB"/>
        </w:rPr>
        <w:t xml:space="preserve"> </w:t>
      </w:r>
      <w:r w:rsidR="003B0E6D" w:rsidRPr="00B46D18">
        <w:rPr>
          <w:rFonts w:ascii="Times New Roman" w:hAnsi="Times New Roman" w:cs="Times New Roman"/>
          <w:sz w:val="24"/>
          <w:szCs w:val="24"/>
          <w:lang w:val="en-GB"/>
        </w:rPr>
        <w:t>Harlow: Pearson</w:t>
      </w:r>
      <w:r w:rsidR="005E5AD0" w:rsidRPr="00B46D18">
        <w:rPr>
          <w:rFonts w:ascii="Times New Roman" w:hAnsi="Times New Roman" w:cs="Times New Roman"/>
          <w:sz w:val="24"/>
          <w:szCs w:val="24"/>
          <w:lang w:val="en-GB"/>
        </w:rPr>
        <w:t>.</w:t>
      </w:r>
    </w:p>
    <w:p w14:paraId="09255833" w14:textId="22FB08ED" w:rsidR="005E5AD0" w:rsidRPr="00B46D18" w:rsidRDefault="005E5AD0" w:rsidP="004141E7">
      <w:pPr>
        <w:pStyle w:val="BodyText"/>
        <w:spacing w:line="480" w:lineRule="auto"/>
        <w:contextualSpacing/>
        <w:rPr>
          <w:bCs/>
          <w:szCs w:val="24"/>
        </w:rPr>
      </w:pPr>
      <w:r w:rsidRPr="00B46D18">
        <w:rPr>
          <w:bCs/>
          <w:szCs w:val="24"/>
        </w:rPr>
        <w:t xml:space="preserve">Ball, S. (1998) </w:t>
      </w:r>
      <w:r w:rsidRPr="00855D33">
        <w:rPr>
          <w:bCs/>
          <w:szCs w:val="24"/>
        </w:rPr>
        <w:t>The Conservative Party since 1945</w:t>
      </w:r>
      <w:r w:rsidR="00855D33">
        <w:rPr>
          <w:bCs/>
          <w:szCs w:val="24"/>
        </w:rPr>
        <w:t>.</w:t>
      </w:r>
      <w:r w:rsidRPr="00B46D18">
        <w:rPr>
          <w:bCs/>
          <w:szCs w:val="24"/>
        </w:rPr>
        <w:t xml:space="preserve"> Manchester: Manchester University Press.</w:t>
      </w:r>
    </w:p>
    <w:p w14:paraId="2974F6FB" w14:textId="6D32FE20" w:rsidR="006C75C3" w:rsidRPr="00B46D18" w:rsidRDefault="006C75C3"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Bale, T. (2012) </w:t>
      </w:r>
      <w:r w:rsidRPr="00855D33">
        <w:rPr>
          <w:rFonts w:ascii="Times New Roman" w:hAnsi="Times New Roman" w:cs="Times New Roman"/>
          <w:bCs/>
          <w:iCs/>
          <w:sz w:val="24"/>
          <w:szCs w:val="24"/>
          <w:lang w:val="en-GB"/>
        </w:rPr>
        <w:t>The Conservatives since 1945: The Drivers of Party Change</w:t>
      </w:r>
      <w:r w:rsidR="00855D33">
        <w:rPr>
          <w:rFonts w:ascii="Times New Roman" w:hAnsi="Times New Roman" w:cs="Times New Roman"/>
          <w:bCs/>
          <w:iCs/>
          <w:sz w:val="24"/>
          <w:szCs w:val="24"/>
          <w:lang w:val="en-GB"/>
        </w:rPr>
        <w:t>.</w:t>
      </w:r>
      <w:r w:rsidRPr="00B46D18">
        <w:rPr>
          <w:rFonts w:ascii="Times New Roman" w:hAnsi="Times New Roman" w:cs="Times New Roman"/>
          <w:bCs/>
          <w:sz w:val="24"/>
          <w:szCs w:val="24"/>
          <w:lang w:val="en-GB"/>
        </w:rPr>
        <w:t xml:space="preserve"> Oxford: Oxford University Press.</w:t>
      </w:r>
    </w:p>
    <w:p w14:paraId="19FA1641" w14:textId="76A5C298" w:rsidR="00C92727" w:rsidRPr="00B46D18" w:rsidRDefault="00C92727" w:rsidP="004141E7">
      <w:pPr>
        <w:spacing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sz w:val="24"/>
          <w:szCs w:val="24"/>
          <w:shd w:val="clear" w:color="auto" w:fill="FFFFFF"/>
          <w:lang w:val="en-GB"/>
        </w:rPr>
        <w:t xml:space="preserve">Barnes, D. and Reid, E. (1980) </w:t>
      </w:r>
      <w:r w:rsidRPr="00855D33">
        <w:rPr>
          <w:rFonts w:ascii="Times New Roman" w:hAnsi="Times New Roman" w:cs="Times New Roman"/>
          <w:iCs/>
          <w:sz w:val="24"/>
          <w:szCs w:val="24"/>
          <w:lang w:val="en-GB"/>
        </w:rPr>
        <w:t>Governments and Trade Unions: The British Experience, 1964-79</w:t>
      </w:r>
      <w:r w:rsidR="00855D33">
        <w:rPr>
          <w:rFonts w:ascii="Times New Roman" w:hAnsi="Times New Roman" w:cs="Times New Roman"/>
          <w:sz w:val="24"/>
          <w:szCs w:val="24"/>
          <w:shd w:val="clear" w:color="auto" w:fill="FFFFFF"/>
          <w:lang w:val="en-GB"/>
        </w:rPr>
        <w:t>.</w:t>
      </w:r>
      <w:r w:rsidRPr="00855D33">
        <w:rPr>
          <w:rFonts w:ascii="Times New Roman" w:hAnsi="Times New Roman" w:cs="Times New Roman"/>
          <w:sz w:val="24"/>
          <w:szCs w:val="24"/>
          <w:shd w:val="clear" w:color="auto" w:fill="FFFFFF"/>
          <w:lang w:val="en-GB"/>
        </w:rPr>
        <w:t xml:space="preserve"> </w:t>
      </w:r>
      <w:r w:rsidRPr="00B46D18">
        <w:rPr>
          <w:rFonts w:ascii="Times New Roman" w:hAnsi="Times New Roman" w:cs="Times New Roman"/>
          <w:sz w:val="24"/>
          <w:szCs w:val="24"/>
          <w:shd w:val="clear" w:color="auto" w:fill="FFFFFF"/>
          <w:lang w:val="en-GB"/>
        </w:rPr>
        <w:t>London: Heinemann.</w:t>
      </w:r>
    </w:p>
    <w:p w14:paraId="0F351BFC" w14:textId="0B14546F" w:rsidR="00157BCC" w:rsidRPr="00B46D18" w:rsidRDefault="00157BCC"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sz w:val="24"/>
          <w:szCs w:val="24"/>
          <w:lang w:val="en-GB"/>
        </w:rPr>
        <w:t xml:space="preserve">Beckett, A. (2009) </w:t>
      </w:r>
      <w:r w:rsidRPr="00855D33">
        <w:rPr>
          <w:rFonts w:ascii="Times New Roman" w:hAnsi="Times New Roman" w:cs="Times New Roman"/>
          <w:iCs/>
          <w:sz w:val="24"/>
          <w:szCs w:val="24"/>
          <w:lang w:val="en-GB"/>
        </w:rPr>
        <w:t>When the Lights Went Out: Britain in the Seventies</w:t>
      </w:r>
      <w:r w:rsidR="00855D33">
        <w:rPr>
          <w:rFonts w:ascii="Times New Roman" w:hAnsi="Times New Roman" w:cs="Times New Roman"/>
          <w:iCs/>
          <w:sz w:val="24"/>
          <w:szCs w:val="24"/>
          <w:lang w:val="en-GB"/>
        </w:rPr>
        <w:t>.</w:t>
      </w:r>
      <w:r w:rsidRPr="00B46D18">
        <w:rPr>
          <w:rFonts w:ascii="Times New Roman" w:hAnsi="Times New Roman" w:cs="Times New Roman"/>
          <w:sz w:val="24"/>
          <w:szCs w:val="24"/>
          <w:lang w:val="en-GB"/>
        </w:rPr>
        <w:t xml:space="preserve"> London: Faber.</w:t>
      </w:r>
    </w:p>
    <w:p w14:paraId="5E056A7E" w14:textId="300C836A" w:rsidR="009442D5" w:rsidRPr="00B46D18" w:rsidRDefault="00157BCC" w:rsidP="004141E7">
      <w:pPr>
        <w:spacing w:after="0" w:line="480" w:lineRule="auto"/>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Beer, S. (1982) </w:t>
      </w:r>
      <w:r w:rsidRPr="00855D33">
        <w:rPr>
          <w:rFonts w:ascii="Times New Roman" w:hAnsi="Times New Roman" w:cs="Times New Roman"/>
          <w:iCs/>
          <w:sz w:val="24"/>
          <w:szCs w:val="24"/>
          <w:lang w:val="en-GB"/>
        </w:rPr>
        <w:t>Britain Against Itself: The Political Contradictions of Collectivism</w:t>
      </w:r>
      <w:r w:rsidR="00855D33">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London: Faber. </w:t>
      </w:r>
    </w:p>
    <w:p w14:paraId="7AC8B37D" w14:textId="28FBBDA1" w:rsidR="005E5AD0" w:rsidRPr="00B46D18" w:rsidRDefault="009442D5" w:rsidP="004141E7">
      <w:pPr>
        <w:spacing w:after="0"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sz w:val="24"/>
          <w:szCs w:val="24"/>
          <w:lang w:val="en-GB"/>
        </w:rPr>
        <w:t>Black, L</w:t>
      </w:r>
      <w:r w:rsidRPr="00B46D18">
        <w:rPr>
          <w:rFonts w:ascii="Times New Roman" w:hAnsi="Times New Roman" w:cs="Times New Roman"/>
          <w:sz w:val="24"/>
          <w:szCs w:val="24"/>
          <w:shd w:val="clear" w:color="auto" w:fill="FFFFFF"/>
          <w:lang w:val="en-GB"/>
        </w:rPr>
        <w:t xml:space="preserve"> and Pemberton, H. (2013) </w:t>
      </w:r>
      <w:r w:rsidRPr="00855D33">
        <w:rPr>
          <w:rStyle w:val="Emphasis"/>
          <w:rFonts w:ascii="Times New Roman" w:hAnsi="Times New Roman" w:cs="Times New Roman"/>
          <w:i w:val="0"/>
          <w:sz w:val="24"/>
          <w:szCs w:val="24"/>
          <w:lang w:val="en-GB"/>
        </w:rPr>
        <w:t>Reassessing 1970s Britain</w:t>
      </w:r>
      <w:r w:rsidRPr="00B46D18">
        <w:rPr>
          <w:rFonts w:ascii="Times New Roman" w:hAnsi="Times New Roman" w:cs="Times New Roman"/>
          <w:sz w:val="24"/>
          <w:szCs w:val="24"/>
          <w:shd w:val="clear" w:color="auto" w:fill="FFFFFF"/>
          <w:lang w:val="en-GB"/>
        </w:rPr>
        <w:t>. Manchester: Manchester University Press.</w:t>
      </w:r>
    </w:p>
    <w:p w14:paraId="16817DB7" w14:textId="694D4DE9" w:rsidR="002D54FF" w:rsidRPr="00B46D18" w:rsidRDefault="006C75C3"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Blake, R. (1998) </w:t>
      </w:r>
      <w:r w:rsidRPr="00855D33">
        <w:rPr>
          <w:rFonts w:ascii="Times New Roman" w:hAnsi="Times New Roman" w:cs="Times New Roman"/>
          <w:bCs/>
          <w:iCs/>
          <w:sz w:val="24"/>
          <w:szCs w:val="24"/>
          <w:lang w:val="en-GB"/>
        </w:rPr>
        <w:t>The Conservative Party from Peel to Major</w:t>
      </w:r>
      <w:r w:rsidR="00855D33">
        <w:rPr>
          <w:rFonts w:ascii="Times New Roman" w:hAnsi="Times New Roman" w:cs="Times New Roman"/>
          <w:bCs/>
          <w:i/>
          <w:iCs/>
          <w:sz w:val="24"/>
          <w:szCs w:val="24"/>
          <w:lang w:val="en-GB"/>
        </w:rPr>
        <w:t xml:space="preserve">. </w:t>
      </w:r>
      <w:r w:rsidRPr="00B46D18">
        <w:rPr>
          <w:rFonts w:ascii="Times New Roman" w:hAnsi="Times New Roman" w:cs="Times New Roman"/>
          <w:bCs/>
          <w:sz w:val="24"/>
          <w:szCs w:val="24"/>
          <w:lang w:val="en-GB"/>
        </w:rPr>
        <w:t xml:space="preserve">London: Arrow. </w:t>
      </w:r>
    </w:p>
    <w:p w14:paraId="622B840C" w14:textId="77777777" w:rsidR="00804427" w:rsidRPr="00E068C0" w:rsidRDefault="002D54FF" w:rsidP="004141E7">
      <w:pPr>
        <w:spacing w:after="0" w:line="480" w:lineRule="auto"/>
        <w:contextualSpacing/>
        <w:jc w:val="both"/>
        <w:rPr>
          <w:rFonts w:ascii="Times New Roman" w:hAnsi="Times New Roman" w:cs="Times New Roman"/>
          <w:sz w:val="24"/>
          <w:szCs w:val="24"/>
          <w:lang w:val="en-GB"/>
        </w:rPr>
      </w:pPr>
      <w:r w:rsidRPr="00E068C0">
        <w:rPr>
          <w:rFonts w:ascii="Times New Roman" w:eastAsia="Times New Roman" w:hAnsi="Times New Roman" w:cs="Times New Roman"/>
          <w:sz w:val="24"/>
          <w:szCs w:val="24"/>
          <w:lang w:val="en-GB" w:eastAsia="en-GB"/>
        </w:rPr>
        <w:t>Bruce-</w:t>
      </w:r>
      <w:proofErr w:type="spellStart"/>
      <w:r w:rsidRPr="00E068C0">
        <w:rPr>
          <w:rFonts w:ascii="Times New Roman" w:eastAsia="Times New Roman" w:hAnsi="Times New Roman" w:cs="Times New Roman"/>
          <w:sz w:val="24"/>
          <w:szCs w:val="24"/>
          <w:lang w:val="en-GB" w:eastAsia="en-GB"/>
        </w:rPr>
        <w:t>Gardyne</w:t>
      </w:r>
      <w:proofErr w:type="spellEnd"/>
      <w:r w:rsidRPr="00E068C0">
        <w:rPr>
          <w:rFonts w:ascii="Times New Roman" w:eastAsia="Times New Roman" w:hAnsi="Times New Roman" w:cs="Times New Roman"/>
          <w:sz w:val="24"/>
          <w:szCs w:val="24"/>
          <w:lang w:val="en-GB" w:eastAsia="en-GB"/>
        </w:rPr>
        <w:t xml:space="preserve">, J. (1974) </w:t>
      </w:r>
      <w:r w:rsidRPr="00855D33">
        <w:rPr>
          <w:rFonts w:ascii="Times New Roman" w:hAnsi="Times New Roman" w:cs="Times New Roman"/>
          <w:sz w:val="24"/>
          <w:szCs w:val="24"/>
          <w:lang w:val="en-GB"/>
        </w:rPr>
        <w:t>Whatever happened to the Quiet Revolution?</w:t>
      </w:r>
      <w:r w:rsidRPr="00E068C0">
        <w:rPr>
          <w:rFonts w:ascii="Times New Roman" w:hAnsi="Times New Roman" w:cs="Times New Roman"/>
          <w:i/>
          <w:sz w:val="24"/>
          <w:szCs w:val="24"/>
          <w:lang w:val="en-GB"/>
        </w:rPr>
        <w:t xml:space="preserve"> </w:t>
      </w:r>
      <w:r w:rsidRPr="00E068C0">
        <w:rPr>
          <w:rFonts w:ascii="Times New Roman" w:hAnsi="Times New Roman" w:cs="Times New Roman"/>
          <w:sz w:val="24"/>
          <w:szCs w:val="24"/>
          <w:lang w:val="en-GB"/>
        </w:rPr>
        <w:t>London: Charles Knight.</w:t>
      </w:r>
    </w:p>
    <w:p w14:paraId="07F8587E" w14:textId="54E4A66F" w:rsidR="00804427" w:rsidRPr="00E068C0" w:rsidRDefault="00855D33" w:rsidP="004141E7">
      <w:pPr>
        <w:spacing w:after="0" w:line="480" w:lineRule="auto"/>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Buller, J. (1999) </w:t>
      </w:r>
      <w:r w:rsidR="00804427" w:rsidRPr="00E068C0">
        <w:rPr>
          <w:rFonts w:ascii="Times New Roman" w:hAnsi="Times New Roman" w:cs="Times New Roman"/>
          <w:bCs/>
          <w:sz w:val="24"/>
          <w:szCs w:val="24"/>
          <w:lang w:val="en-GB"/>
        </w:rPr>
        <w:t>A Critical Appraisal o</w:t>
      </w:r>
      <w:r>
        <w:rPr>
          <w:rFonts w:ascii="Times New Roman" w:hAnsi="Times New Roman" w:cs="Times New Roman"/>
          <w:bCs/>
          <w:sz w:val="24"/>
          <w:szCs w:val="24"/>
          <w:lang w:val="en-GB"/>
        </w:rPr>
        <w:t xml:space="preserve">f the Statecraft Interpretation. </w:t>
      </w:r>
      <w:r w:rsidR="00804427" w:rsidRPr="00855D33">
        <w:rPr>
          <w:rFonts w:ascii="Times New Roman" w:hAnsi="Times New Roman" w:cs="Times New Roman"/>
          <w:bCs/>
          <w:sz w:val="24"/>
          <w:szCs w:val="24"/>
          <w:lang w:val="en-GB"/>
        </w:rPr>
        <w:t xml:space="preserve">Public Administration </w:t>
      </w:r>
      <w:r w:rsidR="00804427" w:rsidRPr="00E068C0">
        <w:rPr>
          <w:rFonts w:ascii="Times New Roman" w:hAnsi="Times New Roman" w:cs="Times New Roman"/>
          <w:bCs/>
          <w:sz w:val="24"/>
          <w:szCs w:val="24"/>
          <w:lang w:val="en-GB"/>
        </w:rPr>
        <w:t xml:space="preserve">77 (4): 691-712. </w:t>
      </w:r>
    </w:p>
    <w:p w14:paraId="1B1CA987" w14:textId="24260BDD" w:rsidR="005E5AD0" w:rsidRPr="00B46D18" w:rsidRDefault="00804427" w:rsidP="004141E7">
      <w:pPr>
        <w:spacing w:after="0" w:line="480" w:lineRule="auto"/>
        <w:contextualSpacing/>
        <w:jc w:val="both"/>
        <w:rPr>
          <w:rFonts w:ascii="Times New Roman" w:hAnsi="Times New Roman" w:cs="Times New Roman"/>
          <w:bCs/>
          <w:sz w:val="24"/>
          <w:szCs w:val="24"/>
          <w:lang w:val="en-GB"/>
        </w:rPr>
      </w:pPr>
      <w:r w:rsidRPr="00E068C0">
        <w:rPr>
          <w:rFonts w:ascii="Times New Roman" w:hAnsi="Times New Roman" w:cs="Times New Roman"/>
          <w:bCs/>
          <w:sz w:val="24"/>
          <w:szCs w:val="24"/>
          <w:lang w:val="en-GB"/>
        </w:rPr>
        <w:t xml:space="preserve">Buller, J. (2000) </w:t>
      </w:r>
      <w:r w:rsidRPr="00855D33">
        <w:rPr>
          <w:rFonts w:ascii="Times New Roman" w:hAnsi="Times New Roman" w:cs="Times New Roman"/>
          <w:bCs/>
          <w:sz w:val="24"/>
          <w:szCs w:val="24"/>
          <w:lang w:val="en-GB"/>
        </w:rPr>
        <w:t xml:space="preserve">National Statecraft and European Integration: The Conservative Government and the European Union </w:t>
      </w:r>
      <w:r w:rsidRPr="00855D33">
        <w:rPr>
          <w:rFonts w:ascii="Times New Roman" w:hAnsi="Times New Roman" w:cs="Times New Roman"/>
          <w:bCs/>
          <w:iCs/>
          <w:sz w:val="24"/>
          <w:szCs w:val="24"/>
          <w:lang w:val="en-GB"/>
        </w:rPr>
        <w:t>1979-97</w:t>
      </w:r>
      <w:r w:rsidR="00855D33">
        <w:rPr>
          <w:rFonts w:ascii="Times New Roman" w:hAnsi="Times New Roman" w:cs="Times New Roman"/>
          <w:bCs/>
          <w:sz w:val="24"/>
          <w:szCs w:val="24"/>
          <w:lang w:val="en-GB"/>
        </w:rPr>
        <w:t>.</w:t>
      </w:r>
      <w:r w:rsidRPr="00E068C0">
        <w:rPr>
          <w:rFonts w:ascii="Times New Roman" w:hAnsi="Times New Roman" w:cs="Times New Roman"/>
          <w:bCs/>
          <w:sz w:val="24"/>
          <w:szCs w:val="24"/>
          <w:lang w:val="en-GB"/>
        </w:rPr>
        <w:t xml:space="preserve"> London: Pinter.</w:t>
      </w:r>
      <w:r w:rsidRPr="00B46D18">
        <w:rPr>
          <w:rFonts w:ascii="Times New Roman" w:hAnsi="Times New Roman" w:cs="Times New Roman"/>
          <w:bCs/>
          <w:sz w:val="24"/>
          <w:szCs w:val="24"/>
          <w:lang w:val="en-GB"/>
        </w:rPr>
        <w:t xml:space="preserve"> </w:t>
      </w:r>
    </w:p>
    <w:p w14:paraId="2314BCBD" w14:textId="1DAF966F" w:rsidR="005E5AD0" w:rsidRPr="00B46D18" w:rsidRDefault="005E5AD0"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sz w:val="24"/>
          <w:szCs w:val="24"/>
          <w:lang w:val="en-GB"/>
        </w:rPr>
        <w:t>Bu</w:t>
      </w:r>
      <w:r w:rsidR="00855D33">
        <w:rPr>
          <w:rFonts w:ascii="Times New Roman" w:hAnsi="Times New Roman" w:cs="Times New Roman"/>
          <w:sz w:val="24"/>
          <w:szCs w:val="24"/>
          <w:lang w:val="en-GB"/>
        </w:rPr>
        <w:t xml:space="preserve">ller, J. and James, T. (2012) </w:t>
      </w:r>
      <w:r w:rsidRPr="00B46D18">
        <w:rPr>
          <w:rFonts w:ascii="Times New Roman" w:hAnsi="Times New Roman" w:cs="Times New Roman"/>
          <w:sz w:val="24"/>
          <w:szCs w:val="24"/>
          <w:lang w:val="en-GB"/>
        </w:rPr>
        <w:t>Statecraft and the Assessment of National Political Leaders: The Case of New Labour and Tony Blair</w:t>
      </w:r>
      <w:r w:rsidR="00855D33">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w:t>
      </w:r>
      <w:r w:rsidRPr="00855D33">
        <w:rPr>
          <w:rFonts w:ascii="Times New Roman" w:hAnsi="Times New Roman" w:cs="Times New Roman"/>
          <w:sz w:val="24"/>
          <w:szCs w:val="24"/>
          <w:lang w:val="en-GB"/>
        </w:rPr>
        <w:t>British Journal of Politics and International Relations</w:t>
      </w:r>
      <w:r w:rsidRPr="00B46D18">
        <w:rPr>
          <w:rFonts w:ascii="Times New Roman" w:hAnsi="Times New Roman" w:cs="Times New Roman"/>
          <w:sz w:val="24"/>
          <w:szCs w:val="24"/>
          <w:lang w:val="en-GB"/>
        </w:rPr>
        <w:t xml:space="preserve"> 14 (4): 534-55.</w:t>
      </w:r>
    </w:p>
    <w:p w14:paraId="56E803FA" w14:textId="421D029F" w:rsidR="00804427" w:rsidRPr="00B46D18" w:rsidRDefault="00855D33" w:rsidP="004141E7">
      <w:pPr>
        <w:spacing w:after="0" w:line="480" w:lineRule="auto"/>
        <w:contextualSpacing/>
        <w:jc w:val="both"/>
        <w:rPr>
          <w:rFonts w:ascii="Times New Roman" w:hAnsi="Times New Roman" w:cs="Times New Roman"/>
          <w:sz w:val="24"/>
          <w:szCs w:val="24"/>
          <w:lang w:val="en-GB"/>
        </w:rPr>
      </w:pPr>
      <w:proofErr w:type="spellStart"/>
      <w:r>
        <w:rPr>
          <w:rFonts w:ascii="Times New Roman" w:hAnsi="Times New Roman" w:cs="Times New Roman"/>
          <w:bCs/>
          <w:sz w:val="24"/>
          <w:szCs w:val="24"/>
          <w:lang w:val="en-GB"/>
        </w:rPr>
        <w:t>Bulpitt</w:t>
      </w:r>
      <w:proofErr w:type="spellEnd"/>
      <w:r>
        <w:rPr>
          <w:rFonts w:ascii="Times New Roman" w:hAnsi="Times New Roman" w:cs="Times New Roman"/>
          <w:bCs/>
          <w:sz w:val="24"/>
          <w:szCs w:val="24"/>
          <w:lang w:val="en-GB"/>
        </w:rPr>
        <w:t xml:space="preserve">, J. (1986a) </w:t>
      </w:r>
      <w:r w:rsidR="00804427" w:rsidRPr="00B46D18">
        <w:rPr>
          <w:rFonts w:ascii="Times New Roman" w:hAnsi="Times New Roman" w:cs="Times New Roman"/>
          <w:bCs/>
          <w:sz w:val="24"/>
          <w:szCs w:val="24"/>
          <w:lang w:val="en-GB"/>
        </w:rPr>
        <w:t>The Discipline of the New Democracy: Mrs</w:t>
      </w:r>
      <w:r>
        <w:rPr>
          <w:rFonts w:ascii="Times New Roman" w:hAnsi="Times New Roman" w:cs="Times New Roman"/>
          <w:bCs/>
          <w:sz w:val="24"/>
          <w:szCs w:val="24"/>
          <w:lang w:val="en-GB"/>
        </w:rPr>
        <w:t xml:space="preserve"> Thatcher’s Domestic Statecraft.</w:t>
      </w:r>
      <w:r w:rsidR="00804427" w:rsidRPr="00B46D18">
        <w:rPr>
          <w:rFonts w:ascii="Times New Roman" w:hAnsi="Times New Roman" w:cs="Times New Roman"/>
          <w:bCs/>
          <w:sz w:val="24"/>
          <w:szCs w:val="24"/>
          <w:lang w:val="en-GB"/>
        </w:rPr>
        <w:t xml:space="preserve"> </w:t>
      </w:r>
      <w:r w:rsidR="00804427" w:rsidRPr="00855D33">
        <w:rPr>
          <w:rFonts w:ascii="Times New Roman" w:hAnsi="Times New Roman" w:cs="Times New Roman"/>
          <w:bCs/>
          <w:sz w:val="24"/>
          <w:szCs w:val="24"/>
          <w:lang w:val="en-GB"/>
        </w:rPr>
        <w:t>Political Studies</w:t>
      </w:r>
      <w:r w:rsidR="00804427" w:rsidRPr="00B46D18">
        <w:rPr>
          <w:rFonts w:ascii="Times New Roman" w:hAnsi="Times New Roman" w:cs="Times New Roman"/>
          <w:bCs/>
          <w:i/>
          <w:sz w:val="24"/>
          <w:szCs w:val="24"/>
          <w:lang w:val="en-GB"/>
        </w:rPr>
        <w:t xml:space="preserve"> </w:t>
      </w:r>
      <w:r w:rsidR="00804427" w:rsidRPr="00B46D18">
        <w:rPr>
          <w:rFonts w:ascii="Times New Roman" w:hAnsi="Times New Roman" w:cs="Times New Roman"/>
          <w:bCs/>
          <w:sz w:val="24"/>
          <w:szCs w:val="24"/>
          <w:lang w:val="en-GB"/>
        </w:rPr>
        <w:t xml:space="preserve">34 (1): 19-39. </w:t>
      </w:r>
    </w:p>
    <w:p w14:paraId="3EC3698C" w14:textId="3C138905" w:rsidR="00971558" w:rsidRPr="00855D33" w:rsidRDefault="00971558"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Butler, D. and Kavanagh, D. (1974) </w:t>
      </w:r>
      <w:r w:rsidRPr="00855D33">
        <w:rPr>
          <w:rFonts w:ascii="Times New Roman" w:hAnsi="Times New Roman" w:cs="Times New Roman"/>
          <w:bCs/>
          <w:iCs/>
          <w:sz w:val="24"/>
          <w:szCs w:val="24"/>
          <w:lang w:val="en-GB"/>
        </w:rPr>
        <w:t>The British General Election of February 1974</w:t>
      </w:r>
      <w:r w:rsidR="00855D33" w:rsidRPr="00855D33">
        <w:rPr>
          <w:rFonts w:ascii="Times New Roman" w:hAnsi="Times New Roman" w:cs="Times New Roman"/>
          <w:bCs/>
          <w:sz w:val="24"/>
          <w:szCs w:val="24"/>
          <w:lang w:val="en-GB"/>
        </w:rPr>
        <w:t>.</w:t>
      </w:r>
      <w:r w:rsidRPr="00855D33">
        <w:rPr>
          <w:rFonts w:ascii="Times New Roman" w:hAnsi="Times New Roman" w:cs="Times New Roman"/>
          <w:bCs/>
          <w:sz w:val="24"/>
          <w:szCs w:val="24"/>
          <w:lang w:val="en-GB"/>
        </w:rPr>
        <w:t xml:space="preserve"> London: Macmillan. </w:t>
      </w:r>
    </w:p>
    <w:p w14:paraId="797EE0AD" w14:textId="3C95D766" w:rsidR="001121D3" w:rsidRPr="00B46D18" w:rsidRDefault="001121D3" w:rsidP="004141E7">
      <w:pPr>
        <w:spacing w:after="0" w:line="480" w:lineRule="auto"/>
        <w:contextualSpacing/>
        <w:jc w:val="both"/>
        <w:rPr>
          <w:rFonts w:ascii="Times New Roman" w:hAnsi="Times New Roman" w:cs="Times New Roman"/>
          <w:bCs/>
          <w:sz w:val="24"/>
          <w:szCs w:val="24"/>
          <w:lang w:val="en-GB"/>
        </w:rPr>
      </w:pPr>
      <w:r w:rsidRPr="00855D33">
        <w:rPr>
          <w:rFonts w:ascii="Times New Roman" w:hAnsi="Times New Roman" w:cs="Times New Roman"/>
          <w:bCs/>
          <w:sz w:val="24"/>
          <w:szCs w:val="24"/>
          <w:lang w:val="en-GB"/>
        </w:rPr>
        <w:t xml:space="preserve">Butler, D. and Kavanagh, D. (1975) </w:t>
      </w:r>
      <w:r w:rsidRPr="00855D33">
        <w:rPr>
          <w:rFonts w:ascii="Times New Roman" w:hAnsi="Times New Roman" w:cs="Times New Roman"/>
          <w:bCs/>
          <w:iCs/>
          <w:sz w:val="24"/>
          <w:szCs w:val="24"/>
          <w:lang w:val="en-GB"/>
        </w:rPr>
        <w:t>The British General Election of October 1974</w:t>
      </w:r>
      <w:r w:rsidR="00855D33" w:rsidRPr="00855D33">
        <w:rPr>
          <w:rFonts w:ascii="Times New Roman" w:hAnsi="Times New Roman" w:cs="Times New Roman"/>
          <w:bCs/>
          <w:sz w:val="24"/>
          <w:szCs w:val="24"/>
          <w:lang w:val="en-GB"/>
        </w:rPr>
        <w:t>.</w:t>
      </w:r>
      <w:r w:rsidRPr="00B46D18">
        <w:rPr>
          <w:rFonts w:ascii="Times New Roman" w:hAnsi="Times New Roman" w:cs="Times New Roman"/>
          <w:bCs/>
          <w:sz w:val="24"/>
          <w:szCs w:val="24"/>
          <w:lang w:val="en-GB"/>
        </w:rPr>
        <w:t xml:space="preserve"> London: Macmillan. </w:t>
      </w:r>
    </w:p>
    <w:p w14:paraId="10573A23" w14:textId="40203D89" w:rsidR="001121D3" w:rsidRPr="00855D33" w:rsidRDefault="001121D3"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Butler, D. and Kavanagh, D. (1980) </w:t>
      </w:r>
      <w:r w:rsidRPr="00855D33">
        <w:rPr>
          <w:rFonts w:ascii="Times New Roman" w:hAnsi="Times New Roman" w:cs="Times New Roman"/>
          <w:bCs/>
          <w:iCs/>
          <w:sz w:val="24"/>
          <w:szCs w:val="24"/>
          <w:lang w:val="en-GB"/>
        </w:rPr>
        <w:t>The British General Election of 1979</w:t>
      </w:r>
      <w:r w:rsidR="00855D33">
        <w:rPr>
          <w:rFonts w:ascii="Times New Roman" w:hAnsi="Times New Roman" w:cs="Times New Roman"/>
          <w:bCs/>
          <w:iCs/>
          <w:sz w:val="24"/>
          <w:szCs w:val="24"/>
          <w:lang w:val="en-GB"/>
        </w:rPr>
        <w:t>.</w:t>
      </w:r>
      <w:r w:rsidRPr="00855D33">
        <w:rPr>
          <w:rFonts w:ascii="Times New Roman" w:hAnsi="Times New Roman" w:cs="Times New Roman"/>
          <w:bCs/>
          <w:sz w:val="24"/>
          <w:szCs w:val="24"/>
          <w:lang w:val="en-GB"/>
        </w:rPr>
        <w:t xml:space="preserve"> London: Macmillan. </w:t>
      </w:r>
    </w:p>
    <w:p w14:paraId="742265F1" w14:textId="11CA2DF4" w:rsidR="001121D3" w:rsidRPr="00B46D18" w:rsidRDefault="001121D3" w:rsidP="004141E7">
      <w:pPr>
        <w:spacing w:after="0" w:line="480" w:lineRule="auto"/>
        <w:contextualSpacing/>
        <w:jc w:val="both"/>
        <w:rPr>
          <w:rFonts w:ascii="Times New Roman" w:hAnsi="Times New Roman" w:cs="Times New Roman"/>
          <w:bCs/>
          <w:sz w:val="24"/>
          <w:szCs w:val="24"/>
          <w:lang w:val="en-GB"/>
        </w:rPr>
      </w:pPr>
      <w:r w:rsidRPr="00855D33">
        <w:rPr>
          <w:rFonts w:ascii="Times New Roman" w:hAnsi="Times New Roman" w:cs="Times New Roman"/>
          <w:bCs/>
          <w:sz w:val="24"/>
          <w:szCs w:val="24"/>
          <w:lang w:val="en-GB"/>
        </w:rPr>
        <w:t xml:space="preserve">Butler, D. and Kavanagh, D. (1984) </w:t>
      </w:r>
      <w:r w:rsidRPr="00855D33">
        <w:rPr>
          <w:rFonts w:ascii="Times New Roman" w:hAnsi="Times New Roman" w:cs="Times New Roman"/>
          <w:bCs/>
          <w:iCs/>
          <w:sz w:val="24"/>
          <w:szCs w:val="24"/>
          <w:lang w:val="en-GB"/>
        </w:rPr>
        <w:t>The British General Election of 1983</w:t>
      </w:r>
      <w:r w:rsidR="00855D33">
        <w:rPr>
          <w:rFonts w:ascii="Times New Roman" w:hAnsi="Times New Roman" w:cs="Times New Roman"/>
          <w:bCs/>
          <w:iCs/>
          <w:sz w:val="24"/>
          <w:szCs w:val="24"/>
          <w:lang w:val="en-GB"/>
        </w:rPr>
        <w:t>.</w:t>
      </w:r>
      <w:r w:rsidRPr="00855D33">
        <w:rPr>
          <w:rFonts w:ascii="Times New Roman" w:hAnsi="Times New Roman" w:cs="Times New Roman"/>
          <w:bCs/>
          <w:sz w:val="24"/>
          <w:szCs w:val="24"/>
          <w:lang w:val="en-GB"/>
        </w:rPr>
        <w:t xml:space="preserve"> London</w:t>
      </w:r>
      <w:r w:rsidRPr="00B46D18">
        <w:rPr>
          <w:rFonts w:ascii="Times New Roman" w:hAnsi="Times New Roman" w:cs="Times New Roman"/>
          <w:bCs/>
          <w:sz w:val="24"/>
          <w:szCs w:val="24"/>
          <w:lang w:val="en-GB"/>
        </w:rPr>
        <w:t xml:space="preserve">: Macmillan. </w:t>
      </w:r>
    </w:p>
    <w:p w14:paraId="7C0CFE18" w14:textId="3698A8FF" w:rsidR="001121D3" w:rsidRPr="00B46D18" w:rsidRDefault="002D54FF"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sz w:val="24"/>
          <w:szCs w:val="24"/>
          <w:lang w:val="en-GB"/>
        </w:rPr>
        <w:t xml:space="preserve">Butler, D. and </w:t>
      </w:r>
      <w:bookmarkStart w:id="3" w:name="_Hlk27496683"/>
      <w:r w:rsidRPr="00B46D18">
        <w:rPr>
          <w:rFonts w:ascii="Times New Roman" w:hAnsi="Times New Roman" w:cs="Times New Roman"/>
          <w:sz w:val="24"/>
          <w:szCs w:val="24"/>
          <w:lang w:val="en-GB"/>
        </w:rPr>
        <w:t>Pinto-</w:t>
      </w:r>
      <w:proofErr w:type="spellStart"/>
      <w:r w:rsidRPr="00B46D18">
        <w:rPr>
          <w:rFonts w:ascii="Times New Roman" w:hAnsi="Times New Roman" w:cs="Times New Roman"/>
          <w:sz w:val="24"/>
          <w:szCs w:val="24"/>
          <w:lang w:val="en-GB"/>
        </w:rPr>
        <w:t>Duschinsky</w:t>
      </w:r>
      <w:bookmarkEnd w:id="3"/>
      <w:proofErr w:type="spellEnd"/>
      <w:r w:rsidRPr="00B46D18">
        <w:rPr>
          <w:rFonts w:ascii="Times New Roman" w:hAnsi="Times New Roman" w:cs="Times New Roman"/>
          <w:sz w:val="24"/>
          <w:szCs w:val="24"/>
          <w:lang w:val="en-GB"/>
        </w:rPr>
        <w:t xml:space="preserve">, M. (1971) </w:t>
      </w:r>
      <w:r w:rsidRPr="00855D33">
        <w:rPr>
          <w:rFonts w:ascii="Times New Roman" w:hAnsi="Times New Roman" w:cs="Times New Roman"/>
          <w:sz w:val="24"/>
          <w:szCs w:val="24"/>
          <w:lang w:val="en-GB"/>
        </w:rPr>
        <w:t>The British General Election of 1970</w:t>
      </w:r>
      <w:r w:rsidR="00855D33">
        <w:rPr>
          <w:rFonts w:ascii="Times New Roman" w:hAnsi="Times New Roman" w:cs="Times New Roman"/>
          <w:sz w:val="24"/>
          <w:szCs w:val="24"/>
          <w:lang w:val="en-GB"/>
        </w:rPr>
        <w:t xml:space="preserve">. </w:t>
      </w:r>
      <w:r w:rsidRPr="00B46D18">
        <w:rPr>
          <w:rFonts w:ascii="Times New Roman" w:hAnsi="Times New Roman" w:cs="Times New Roman"/>
          <w:sz w:val="24"/>
          <w:szCs w:val="24"/>
          <w:lang w:val="en-GB"/>
        </w:rPr>
        <w:t>London: Macmillan.</w:t>
      </w:r>
    </w:p>
    <w:p w14:paraId="4CC95826" w14:textId="7ADBB2E5" w:rsidR="001121D3" w:rsidRPr="00B46D18" w:rsidRDefault="001121D3" w:rsidP="004141E7">
      <w:pPr>
        <w:spacing w:after="0" w:line="480" w:lineRule="auto"/>
        <w:contextualSpacing/>
        <w:jc w:val="both"/>
        <w:rPr>
          <w:rFonts w:ascii="Times New Roman" w:hAnsi="Times New Roman" w:cs="Times New Roman"/>
          <w:bCs/>
          <w:sz w:val="24"/>
          <w:szCs w:val="24"/>
          <w:lang w:val="en-GB"/>
        </w:rPr>
      </w:pPr>
      <w:r w:rsidRPr="00B46D18">
        <w:rPr>
          <w:rFonts w:ascii="Times New Roman" w:eastAsia="Calibri" w:hAnsi="Times New Roman" w:cs="Times New Roman"/>
          <w:sz w:val="24"/>
          <w:szCs w:val="24"/>
          <w:lang w:val="en-GB"/>
        </w:rPr>
        <w:lastRenderedPageBreak/>
        <w:t xml:space="preserve">Campbell, J. (1993) </w:t>
      </w:r>
      <w:r w:rsidRPr="00855D33">
        <w:rPr>
          <w:rFonts w:ascii="Times New Roman" w:eastAsia="Calibri" w:hAnsi="Times New Roman" w:cs="Times New Roman"/>
          <w:sz w:val="24"/>
          <w:szCs w:val="24"/>
          <w:lang w:val="en-GB"/>
        </w:rPr>
        <w:t>Edward Heath</w:t>
      </w:r>
      <w:r w:rsidR="00855D33">
        <w:rPr>
          <w:rFonts w:ascii="Times New Roman" w:eastAsia="Calibri" w:hAnsi="Times New Roman" w:cs="Times New Roman"/>
          <w:sz w:val="24"/>
          <w:szCs w:val="24"/>
          <w:lang w:val="en-GB"/>
        </w:rPr>
        <w:t xml:space="preserve">. </w:t>
      </w:r>
      <w:r w:rsidRPr="00B46D18">
        <w:rPr>
          <w:rFonts w:ascii="Times New Roman" w:eastAsia="Calibri" w:hAnsi="Times New Roman" w:cs="Times New Roman"/>
          <w:sz w:val="24"/>
          <w:szCs w:val="24"/>
          <w:lang w:val="en-GB"/>
        </w:rPr>
        <w:t xml:space="preserve">London: Jonathan Cape. </w:t>
      </w:r>
    </w:p>
    <w:p w14:paraId="619887E4" w14:textId="76BCD4B6" w:rsidR="005E5AD0" w:rsidRPr="00855D33" w:rsidRDefault="005E5AD0" w:rsidP="004141E7">
      <w:pPr>
        <w:pStyle w:val="BodyText"/>
        <w:spacing w:line="480" w:lineRule="auto"/>
        <w:contextualSpacing/>
        <w:rPr>
          <w:bCs/>
          <w:szCs w:val="24"/>
        </w:rPr>
      </w:pPr>
      <w:proofErr w:type="spellStart"/>
      <w:r w:rsidRPr="00B46D18">
        <w:rPr>
          <w:szCs w:val="24"/>
        </w:rPr>
        <w:t>Charmley</w:t>
      </w:r>
      <w:proofErr w:type="spellEnd"/>
      <w:r w:rsidRPr="00B46D18">
        <w:rPr>
          <w:szCs w:val="24"/>
        </w:rPr>
        <w:t xml:space="preserve">, J. (1996) </w:t>
      </w:r>
      <w:r w:rsidRPr="00855D33">
        <w:rPr>
          <w:szCs w:val="24"/>
        </w:rPr>
        <w:t>A History of Conservative Politics 1900-96</w:t>
      </w:r>
      <w:r w:rsidR="00855D33" w:rsidRPr="00855D33">
        <w:rPr>
          <w:szCs w:val="24"/>
        </w:rPr>
        <w:t>.</w:t>
      </w:r>
      <w:r w:rsidRPr="00855D33">
        <w:rPr>
          <w:szCs w:val="24"/>
        </w:rPr>
        <w:t xml:space="preserve"> Basingstoke: Macmillan. </w:t>
      </w:r>
    </w:p>
    <w:p w14:paraId="61A12609" w14:textId="3FD13589" w:rsidR="006C75C3" w:rsidRPr="00B46D18" w:rsidRDefault="006C75C3" w:rsidP="004141E7">
      <w:pPr>
        <w:spacing w:after="0" w:line="480" w:lineRule="auto"/>
        <w:contextualSpacing/>
        <w:jc w:val="both"/>
        <w:rPr>
          <w:rFonts w:ascii="Times New Roman" w:hAnsi="Times New Roman" w:cs="Times New Roman"/>
          <w:bCs/>
          <w:sz w:val="24"/>
          <w:szCs w:val="24"/>
          <w:lang w:val="en-GB"/>
        </w:rPr>
      </w:pPr>
      <w:proofErr w:type="spellStart"/>
      <w:r w:rsidRPr="00855D33">
        <w:rPr>
          <w:rFonts w:ascii="Times New Roman" w:hAnsi="Times New Roman" w:cs="Times New Roman"/>
          <w:bCs/>
          <w:sz w:val="24"/>
          <w:szCs w:val="24"/>
          <w:lang w:val="en-GB"/>
        </w:rPr>
        <w:t>Charmley</w:t>
      </w:r>
      <w:proofErr w:type="spellEnd"/>
      <w:r w:rsidRPr="00855D33">
        <w:rPr>
          <w:rFonts w:ascii="Times New Roman" w:hAnsi="Times New Roman" w:cs="Times New Roman"/>
          <w:bCs/>
          <w:sz w:val="24"/>
          <w:szCs w:val="24"/>
          <w:lang w:val="en-GB"/>
        </w:rPr>
        <w:t xml:space="preserve">, J. (2007) </w:t>
      </w:r>
      <w:r w:rsidRPr="00855D33">
        <w:rPr>
          <w:rFonts w:ascii="Times New Roman" w:hAnsi="Times New Roman" w:cs="Times New Roman"/>
          <w:bCs/>
          <w:iCs/>
          <w:sz w:val="24"/>
          <w:szCs w:val="24"/>
          <w:lang w:val="en-GB"/>
        </w:rPr>
        <w:t>A History of Conservative Politics since 1830</w:t>
      </w:r>
      <w:r w:rsidR="00855D33" w:rsidRPr="00855D33">
        <w:rPr>
          <w:rFonts w:ascii="Times New Roman" w:hAnsi="Times New Roman" w:cs="Times New Roman"/>
          <w:bCs/>
          <w:sz w:val="24"/>
          <w:szCs w:val="24"/>
          <w:lang w:val="en-GB"/>
        </w:rPr>
        <w:t>.</w:t>
      </w:r>
      <w:r w:rsidRPr="00855D33">
        <w:rPr>
          <w:rFonts w:ascii="Times New Roman" w:hAnsi="Times New Roman" w:cs="Times New Roman"/>
          <w:bCs/>
          <w:sz w:val="24"/>
          <w:szCs w:val="24"/>
          <w:lang w:val="en-GB"/>
        </w:rPr>
        <w:t xml:space="preserve"> Basingstoke</w:t>
      </w:r>
      <w:r w:rsidRPr="00B46D18">
        <w:rPr>
          <w:rFonts w:ascii="Times New Roman" w:hAnsi="Times New Roman" w:cs="Times New Roman"/>
          <w:bCs/>
          <w:sz w:val="24"/>
          <w:szCs w:val="24"/>
          <w:lang w:val="en-GB"/>
        </w:rPr>
        <w:t xml:space="preserve">: Palgrave. </w:t>
      </w:r>
    </w:p>
    <w:p w14:paraId="71B1E54D" w14:textId="22C13D51" w:rsidR="007951DF" w:rsidRPr="00B46D18" w:rsidRDefault="004009B9" w:rsidP="004141E7">
      <w:pPr>
        <w:spacing w:after="0" w:line="480" w:lineRule="auto"/>
        <w:contextualSpacing/>
        <w:jc w:val="both"/>
        <w:rPr>
          <w:rFonts w:ascii="Times New Roman" w:eastAsia="Times New Roman" w:hAnsi="Times New Roman" w:cs="Times New Roman"/>
          <w:bCs/>
          <w:kern w:val="36"/>
          <w:sz w:val="24"/>
          <w:szCs w:val="24"/>
          <w:lang w:val="en-GB" w:eastAsia="en-GB"/>
        </w:rPr>
      </w:pPr>
      <w:bookmarkStart w:id="4" w:name="_Hlk5270584"/>
      <w:proofErr w:type="spellStart"/>
      <w:r w:rsidRPr="00855D33">
        <w:rPr>
          <w:rFonts w:ascii="Times New Roman" w:eastAsia="Times New Roman" w:hAnsi="Times New Roman" w:cs="Times New Roman"/>
          <w:bCs/>
          <w:kern w:val="36"/>
          <w:sz w:val="24"/>
          <w:szCs w:val="24"/>
          <w:lang w:val="en-GB" w:eastAsia="en-GB"/>
        </w:rPr>
        <w:t>Coopey</w:t>
      </w:r>
      <w:proofErr w:type="spellEnd"/>
      <w:r w:rsidRPr="00855D33">
        <w:rPr>
          <w:rFonts w:ascii="Times New Roman" w:eastAsia="Times New Roman" w:hAnsi="Times New Roman" w:cs="Times New Roman"/>
          <w:bCs/>
          <w:kern w:val="36"/>
          <w:sz w:val="24"/>
          <w:szCs w:val="24"/>
          <w:lang w:val="en-GB" w:eastAsia="en-GB"/>
        </w:rPr>
        <w:t xml:space="preserve">, R., Fielding, S. and </w:t>
      </w:r>
      <w:proofErr w:type="spellStart"/>
      <w:r w:rsidRPr="00855D33">
        <w:rPr>
          <w:rFonts w:ascii="Times New Roman" w:eastAsia="Times New Roman" w:hAnsi="Times New Roman" w:cs="Times New Roman"/>
          <w:bCs/>
          <w:kern w:val="36"/>
          <w:sz w:val="24"/>
          <w:szCs w:val="24"/>
          <w:lang w:val="en-GB" w:eastAsia="en-GB"/>
        </w:rPr>
        <w:t>Tiratsoo</w:t>
      </w:r>
      <w:proofErr w:type="spellEnd"/>
      <w:r w:rsidRPr="00855D33">
        <w:rPr>
          <w:rFonts w:ascii="Times New Roman" w:eastAsia="Times New Roman" w:hAnsi="Times New Roman" w:cs="Times New Roman"/>
          <w:bCs/>
          <w:kern w:val="36"/>
          <w:sz w:val="24"/>
          <w:szCs w:val="24"/>
          <w:lang w:val="en-GB" w:eastAsia="en-GB"/>
        </w:rPr>
        <w:t>, N. (eds</w:t>
      </w:r>
      <w:r w:rsidR="00855D33" w:rsidRPr="00855D33">
        <w:rPr>
          <w:rFonts w:ascii="Times New Roman" w:eastAsia="Times New Roman" w:hAnsi="Times New Roman" w:cs="Times New Roman"/>
          <w:bCs/>
          <w:kern w:val="36"/>
          <w:sz w:val="24"/>
          <w:szCs w:val="24"/>
          <w:lang w:val="en-GB" w:eastAsia="en-GB"/>
        </w:rPr>
        <w:t>.)</w:t>
      </w:r>
      <w:r w:rsidRPr="00855D33">
        <w:rPr>
          <w:rFonts w:ascii="Times New Roman" w:eastAsia="Times New Roman" w:hAnsi="Times New Roman" w:cs="Times New Roman"/>
          <w:bCs/>
          <w:kern w:val="36"/>
          <w:sz w:val="24"/>
          <w:szCs w:val="24"/>
          <w:lang w:val="en-GB" w:eastAsia="en-GB"/>
        </w:rPr>
        <w:t xml:space="preserve"> (1993) </w:t>
      </w:r>
      <w:bookmarkEnd w:id="4"/>
      <w:r w:rsidRPr="00855D33">
        <w:rPr>
          <w:rFonts w:ascii="Times New Roman" w:eastAsia="Times New Roman" w:hAnsi="Times New Roman" w:cs="Times New Roman"/>
          <w:bCs/>
          <w:kern w:val="36"/>
          <w:sz w:val="24"/>
          <w:szCs w:val="24"/>
          <w:lang w:val="en-GB" w:eastAsia="en-GB"/>
        </w:rPr>
        <w:t>The Wilson Governments 1964-70</w:t>
      </w:r>
      <w:r w:rsidR="00855D33" w:rsidRPr="00855D33">
        <w:rPr>
          <w:rFonts w:ascii="Times New Roman" w:eastAsia="Times New Roman" w:hAnsi="Times New Roman" w:cs="Times New Roman"/>
          <w:bCs/>
          <w:kern w:val="36"/>
          <w:sz w:val="24"/>
          <w:szCs w:val="24"/>
          <w:lang w:val="en-GB" w:eastAsia="en-GB"/>
        </w:rPr>
        <w:t>.</w:t>
      </w:r>
      <w:r w:rsidRPr="00855D33">
        <w:rPr>
          <w:rFonts w:ascii="Times New Roman" w:eastAsia="Times New Roman" w:hAnsi="Times New Roman" w:cs="Times New Roman"/>
          <w:bCs/>
          <w:kern w:val="36"/>
          <w:sz w:val="24"/>
          <w:szCs w:val="24"/>
          <w:lang w:val="en-GB" w:eastAsia="en-GB"/>
        </w:rPr>
        <w:t xml:space="preserve"> London: Pinter.</w:t>
      </w:r>
    </w:p>
    <w:p w14:paraId="398183AC" w14:textId="06589D7A" w:rsidR="001121D3" w:rsidRPr="00B46D18" w:rsidRDefault="001121D3" w:rsidP="004141E7">
      <w:pPr>
        <w:spacing w:after="0" w:line="480" w:lineRule="auto"/>
        <w:contextualSpacing/>
        <w:jc w:val="both"/>
        <w:rPr>
          <w:rFonts w:ascii="Times New Roman" w:eastAsia="Times New Roman" w:hAnsi="Times New Roman" w:cs="Times New Roman"/>
          <w:bCs/>
          <w:kern w:val="36"/>
          <w:sz w:val="24"/>
          <w:szCs w:val="24"/>
          <w:lang w:val="en-GB" w:eastAsia="en-GB"/>
        </w:rPr>
      </w:pPr>
      <w:r w:rsidRPr="00B46D18">
        <w:rPr>
          <w:rFonts w:ascii="Times New Roman" w:eastAsia="Times New Roman" w:hAnsi="Times New Roman" w:cs="Times New Roman"/>
          <w:bCs/>
          <w:kern w:val="36"/>
          <w:sz w:val="24"/>
          <w:szCs w:val="24"/>
          <w:lang w:val="en-GB" w:eastAsia="en-GB"/>
        </w:rPr>
        <w:t xml:space="preserve">Cowley, P. and Kavanagh, D. (2018) </w:t>
      </w:r>
      <w:r w:rsidRPr="00855D33">
        <w:rPr>
          <w:rFonts w:ascii="Times New Roman" w:eastAsia="Times New Roman" w:hAnsi="Times New Roman" w:cs="Times New Roman"/>
          <w:bCs/>
          <w:iCs/>
          <w:kern w:val="36"/>
          <w:sz w:val="24"/>
          <w:szCs w:val="24"/>
          <w:lang w:val="en-GB" w:eastAsia="en-GB"/>
        </w:rPr>
        <w:t>The B</w:t>
      </w:r>
      <w:r w:rsidR="00855D33">
        <w:rPr>
          <w:rFonts w:ascii="Times New Roman" w:eastAsia="Times New Roman" w:hAnsi="Times New Roman" w:cs="Times New Roman"/>
          <w:bCs/>
          <w:iCs/>
          <w:kern w:val="36"/>
          <w:sz w:val="24"/>
          <w:szCs w:val="24"/>
          <w:lang w:val="en-GB" w:eastAsia="en-GB"/>
        </w:rPr>
        <w:t>ritish General Election of 2017.</w:t>
      </w:r>
      <w:r w:rsidRPr="00855D33">
        <w:rPr>
          <w:rFonts w:ascii="Times New Roman" w:eastAsia="Times New Roman" w:hAnsi="Times New Roman" w:cs="Times New Roman"/>
          <w:bCs/>
          <w:kern w:val="36"/>
          <w:sz w:val="24"/>
          <w:szCs w:val="24"/>
          <w:lang w:val="en-GB" w:eastAsia="en-GB"/>
        </w:rPr>
        <w:t xml:space="preserve"> </w:t>
      </w:r>
      <w:r w:rsidRPr="00B46D18">
        <w:rPr>
          <w:rFonts w:ascii="Times New Roman" w:eastAsia="Times New Roman" w:hAnsi="Times New Roman" w:cs="Times New Roman"/>
          <w:bCs/>
          <w:kern w:val="36"/>
          <w:sz w:val="24"/>
          <w:szCs w:val="24"/>
          <w:lang w:val="en-GB" w:eastAsia="en-GB"/>
        </w:rPr>
        <w:t>Basingstoke: Palgrave.</w:t>
      </w:r>
    </w:p>
    <w:p w14:paraId="704C379F" w14:textId="0D46FB3F" w:rsidR="007951DF" w:rsidRPr="00B46D18" w:rsidRDefault="00855D33" w:rsidP="004141E7">
      <w:pPr>
        <w:spacing w:after="0" w:line="480" w:lineRule="auto"/>
        <w:contextualSpacing/>
        <w:jc w:val="both"/>
        <w:rPr>
          <w:rFonts w:ascii="Times New Roman" w:eastAsia="Times New Roman" w:hAnsi="Times New Roman" w:cs="Times New Roman"/>
          <w:bCs/>
          <w:kern w:val="36"/>
          <w:sz w:val="24"/>
          <w:szCs w:val="24"/>
          <w:lang w:val="en-GB" w:eastAsia="en-GB"/>
        </w:rPr>
      </w:pPr>
      <w:r>
        <w:rPr>
          <w:rFonts w:ascii="Times New Roman" w:eastAsia="Calibri" w:hAnsi="Times New Roman" w:cs="Times New Roman"/>
          <w:bCs/>
          <w:sz w:val="24"/>
          <w:szCs w:val="24"/>
          <w:lang w:val="en-GB"/>
        </w:rPr>
        <w:t xml:space="preserve">Critchley, J. (1973) </w:t>
      </w:r>
      <w:r w:rsidR="007951DF" w:rsidRPr="00B46D18">
        <w:rPr>
          <w:rFonts w:ascii="Times New Roman" w:eastAsia="Calibri" w:hAnsi="Times New Roman" w:cs="Times New Roman"/>
          <w:bCs/>
          <w:sz w:val="24"/>
          <w:szCs w:val="24"/>
          <w:lang w:val="en-GB"/>
        </w:rPr>
        <w:t>Stresses and Str</w:t>
      </w:r>
      <w:r>
        <w:rPr>
          <w:rFonts w:ascii="Times New Roman" w:eastAsia="Calibri" w:hAnsi="Times New Roman" w:cs="Times New Roman"/>
          <w:bCs/>
          <w:sz w:val="24"/>
          <w:szCs w:val="24"/>
          <w:lang w:val="en-GB"/>
        </w:rPr>
        <w:t>ains in the Conservative Party.</w:t>
      </w:r>
      <w:r w:rsidR="007951DF" w:rsidRPr="00B46D18">
        <w:rPr>
          <w:rFonts w:ascii="Times New Roman" w:eastAsia="Calibri" w:hAnsi="Times New Roman" w:cs="Times New Roman"/>
          <w:bCs/>
          <w:sz w:val="24"/>
          <w:szCs w:val="24"/>
          <w:lang w:val="en-GB"/>
        </w:rPr>
        <w:t xml:space="preserve"> </w:t>
      </w:r>
      <w:r w:rsidR="007951DF" w:rsidRPr="00855D33">
        <w:rPr>
          <w:rFonts w:ascii="Times New Roman" w:eastAsia="Calibri" w:hAnsi="Times New Roman" w:cs="Times New Roman"/>
          <w:bCs/>
          <w:sz w:val="24"/>
          <w:szCs w:val="24"/>
          <w:lang w:val="en-GB"/>
        </w:rPr>
        <w:t>Political Quarterly</w:t>
      </w:r>
      <w:r w:rsidR="007951DF" w:rsidRPr="00B46D18">
        <w:rPr>
          <w:rFonts w:ascii="Times New Roman" w:eastAsia="Calibri" w:hAnsi="Times New Roman" w:cs="Times New Roman"/>
          <w:bCs/>
          <w:sz w:val="24"/>
          <w:szCs w:val="24"/>
          <w:lang w:val="en-GB"/>
        </w:rPr>
        <w:t xml:space="preserve"> 44 (4):  401-30. </w:t>
      </w:r>
    </w:p>
    <w:p w14:paraId="71D2DA68" w14:textId="54FAE348" w:rsidR="007951DF" w:rsidRPr="00B46D18" w:rsidRDefault="00A72E81" w:rsidP="004141E7">
      <w:pPr>
        <w:spacing w:after="0"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bCs/>
          <w:sz w:val="24"/>
          <w:szCs w:val="24"/>
          <w:lang w:val="en-GB"/>
        </w:rPr>
        <w:t xml:space="preserve">Crowson, N. (2007) </w:t>
      </w:r>
      <w:r w:rsidR="007951DF" w:rsidRPr="00855D33">
        <w:rPr>
          <w:rFonts w:ascii="Times New Roman" w:hAnsi="Times New Roman" w:cs="Times New Roman"/>
          <w:iCs/>
          <w:sz w:val="24"/>
          <w:szCs w:val="24"/>
          <w:lang w:val="en-GB"/>
        </w:rPr>
        <w:t>The Conservative Party and European Integration since 1945: At the Heart of Europe?</w:t>
      </w:r>
      <w:r w:rsidR="00855D33">
        <w:rPr>
          <w:rFonts w:ascii="Times New Roman" w:hAnsi="Times New Roman" w:cs="Times New Roman"/>
          <w:sz w:val="24"/>
          <w:szCs w:val="24"/>
          <w:shd w:val="clear" w:color="auto" w:fill="FFFFFF"/>
          <w:lang w:val="en-GB"/>
        </w:rPr>
        <w:t xml:space="preserve"> </w:t>
      </w:r>
      <w:r w:rsidR="007951DF" w:rsidRPr="00B46D18">
        <w:rPr>
          <w:rFonts w:ascii="Times New Roman" w:hAnsi="Times New Roman" w:cs="Times New Roman"/>
          <w:sz w:val="24"/>
          <w:szCs w:val="24"/>
          <w:shd w:val="clear" w:color="auto" w:fill="FFFFFF"/>
          <w:lang w:val="en-GB"/>
        </w:rPr>
        <w:t>London: Routledge.</w:t>
      </w:r>
    </w:p>
    <w:p w14:paraId="602A0B38" w14:textId="488DCC45" w:rsidR="005E5AD0" w:rsidRPr="00B46D18" w:rsidRDefault="005E5AD0" w:rsidP="004141E7">
      <w:pPr>
        <w:autoSpaceDE w:val="0"/>
        <w:autoSpaceDN w:val="0"/>
        <w:adjustRightInd w:val="0"/>
        <w:spacing w:line="480" w:lineRule="auto"/>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Davies, A. (1996) </w:t>
      </w:r>
      <w:r w:rsidRPr="00855D33">
        <w:rPr>
          <w:rFonts w:ascii="Times New Roman" w:hAnsi="Times New Roman" w:cs="Times New Roman"/>
          <w:sz w:val="24"/>
          <w:szCs w:val="24"/>
          <w:lang w:val="en-GB"/>
        </w:rPr>
        <w:t>We the Nation: The Conservative Party and the Pursuit of Power</w:t>
      </w:r>
      <w:r w:rsidR="00855D33">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London: Abacus. </w:t>
      </w:r>
    </w:p>
    <w:p w14:paraId="20978977" w14:textId="3D3782C4" w:rsidR="007310EE" w:rsidRPr="00B46D18" w:rsidRDefault="007310EE" w:rsidP="004141E7">
      <w:pPr>
        <w:spacing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sz w:val="24"/>
          <w:szCs w:val="24"/>
          <w:shd w:val="clear" w:color="auto" w:fill="FFFFFF"/>
          <w:lang w:val="en-GB"/>
        </w:rPr>
        <w:t xml:space="preserve">Dorey, P. (1995) </w:t>
      </w:r>
      <w:r w:rsidRPr="00855D33">
        <w:rPr>
          <w:rFonts w:ascii="Times New Roman" w:hAnsi="Times New Roman" w:cs="Times New Roman"/>
          <w:iCs/>
          <w:sz w:val="24"/>
          <w:szCs w:val="24"/>
          <w:shd w:val="clear" w:color="auto" w:fill="FFFFFF"/>
          <w:lang w:val="en-GB"/>
        </w:rPr>
        <w:t>The Conservative Party and the Trade Unions</w:t>
      </w:r>
      <w:r w:rsidR="00855D33">
        <w:rPr>
          <w:rFonts w:ascii="Times New Roman" w:hAnsi="Times New Roman" w:cs="Times New Roman"/>
          <w:sz w:val="24"/>
          <w:szCs w:val="24"/>
          <w:shd w:val="clear" w:color="auto" w:fill="FFFFFF"/>
          <w:lang w:val="en-GB"/>
        </w:rPr>
        <w:t xml:space="preserve">. </w:t>
      </w:r>
      <w:r w:rsidRPr="00B46D18">
        <w:rPr>
          <w:rFonts w:ascii="Times New Roman" w:hAnsi="Times New Roman" w:cs="Times New Roman"/>
          <w:sz w:val="24"/>
          <w:szCs w:val="24"/>
          <w:shd w:val="clear" w:color="auto" w:fill="FFFFFF"/>
          <w:lang w:val="en-GB"/>
        </w:rPr>
        <w:t>London: Routledge.</w:t>
      </w:r>
    </w:p>
    <w:p w14:paraId="45D02A3C" w14:textId="472558C6" w:rsidR="004009B9" w:rsidRPr="00B46D18" w:rsidRDefault="004009B9" w:rsidP="004141E7">
      <w:pPr>
        <w:spacing w:after="0" w:line="480" w:lineRule="auto"/>
        <w:contextualSpacing/>
        <w:jc w:val="both"/>
        <w:rPr>
          <w:rFonts w:ascii="Times New Roman" w:eastAsia="Times New Roman" w:hAnsi="Times New Roman" w:cs="Times New Roman"/>
          <w:bCs/>
          <w:kern w:val="36"/>
          <w:sz w:val="24"/>
          <w:szCs w:val="24"/>
          <w:lang w:val="en-GB" w:eastAsia="en-GB"/>
        </w:rPr>
      </w:pPr>
      <w:r w:rsidRPr="00B46D18">
        <w:rPr>
          <w:rFonts w:ascii="Times New Roman" w:eastAsia="Times New Roman" w:hAnsi="Times New Roman" w:cs="Times New Roman"/>
          <w:bCs/>
          <w:kern w:val="36"/>
          <w:sz w:val="24"/>
          <w:szCs w:val="24"/>
          <w:lang w:val="en-GB" w:eastAsia="en-GB"/>
        </w:rPr>
        <w:t xml:space="preserve">Dorey, P. (ed.) (2006) </w:t>
      </w:r>
      <w:r w:rsidRPr="00855D33">
        <w:rPr>
          <w:rFonts w:ascii="Times New Roman" w:eastAsia="Times New Roman" w:hAnsi="Times New Roman" w:cs="Times New Roman"/>
          <w:bCs/>
          <w:kern w:val="36"/>
          <w:sz w:val="24"/>
          <w:szCs w:val="24"/>
          <w:lang w:val="en-GB" w:eastAsia="en-GB"/>
        </w:rPr>
        <w:t>The Labour Governments 1964-1970</w:t>
      </w:r>
      <w:r w:rsidR="00855D33">
        <w:rPr>
          <w:rFonts w:ascii="Times New Roman" w:eastAsia="Times New Roman" w:hAnsi="Times New Roman" w:cs="Times New Roman"/>
          <w:bCs/>
          <w:kern w:val="36"/>
          <w:sz w:val="24"/>
          <w:szCs w:val="24"/>
          <w:lang w:val="en-GB" w:eastAsia="en-GB"/>
        </w:rPr>
        <w:t>.</w:t>
      </w:r>
      <w:r w:rsidRPr="00B46D18">
        <w:rPr>
          <w:rFonts w:ascii="Times New Roman" w:eastAsia="Times New Roman" w:hAnsi="Times New Roman" w:cs="Times New Roman"/>
          <w:bCs/>
          <w:kern w:val="36"/>
          <w:sz w:val="24"/>
          <w:szCs w:val="24"/>
          <w:lang w:val="en-GB" w:eastAsia="en-GB"/>
        </w:rPr>
        <w:t xml:space="preserve"> Abington: Routledge.</w:t>
      </w:r>
    </w:p>
    <w:p w14:paraId="3B4E4C41" w14:textId="21B6600F" w:rsidR="004009B9" w:rsidRPr="00B46D18" w:rsidRDefault="004009B9" w:rsidP="004141E7">
      <w:pPr>
        <w:spacing w:after="0" w:line="480" w:lineRule="auto"/>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Dorey, P. (2019) </w:t>
      </w:r>
      <w:r w:rsidRPr="00855D33">
        <w:rPr>
          <w:rFonts w:ascii="Times New Roman" w:hAnsi="Times New Roman" w:cs="Times New Roman"/>
          <w:sz w:val="24"/>
          <w:szCs w:val="24"/>
          <w:lang w:val="en-GB"/>
        </w:rPr>
        <w:t>Comrades in Conflict: Labour, the Trade Unions and the 1969 In Place of Strife</w:t>
      </w:r>
      <w:r w:rsidR="00855D33">
        <w:rPr>
          <w:rFonts w:ascii="Times New Roman" w:hAnsi="Times New Roman" w:cs="Times New Roman"/>
          <w:sz w:val="24"/>
          <w:szCs w:val="24"/>
          <w:lang w:val="en-GB"/>
        </w:rPr>
        <w:t>.</w:t>
      </w:r>
      <w:r w:rsidR="00E40C0A" w:rsidRPr="00B46D18">
        <w:rPr>
          <w:rFonts w:ascii="Times New Roman" w:hAnsi="Times New Roman" w:cs="Times New Roman"/>
          <w:sz w:val="24"/>
          <w:szCs w:val="24"/>
          <w:lang w:val="en-GB"/>
        </w:rPr>
        <w:t xml:space="preserve"> </w:t>
      </w:r>
      <w:r w:rsidRPr="00B46D18">
        <w:rPr>
          <w:rFonts w:ascii="Times New Roman" w:hAnsi="Times New Roman" w:cs="Times New Roman"/>
          <w:sz w:val="24"/>
          <w:szCs w:val="24"/>
          <w:lang w:val="en-GB"/>
        </w:rPr>
        <w:t xml:space="preserve">Manchester: Manchester University Press. </w:t>
      </w:r>
    </w:p>
    <w:p w14:paraId="4F460FBD" w14:textId="403A753E" w:rsidR="006C75C3" w:rsidRPr="00B46D18" w:rsidRDefault="00C54E49"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sz w:val="24"/>
          <w:szCs w:val="24"/>
          <w:shd w:val="clear" w:color="auto" w:fill="FFFFFF"/>
          <w:lang w:val="en-GB"/>
        </w:rPr>
        <w:t xml:space="preserve">Dutton, D. (1997) </w:t>
      </w:r>
      <w:r w:rsidRPr="00A91E42">
        <w:rPr>
          <w:rFonts w:ascii="Times New Roman" w:hAnsi="Times New Roman" w:cs="Times New Roman"/>
          <w:iCs/>
          <w:sz w:val="24"/>
          <w:szCs w:val="24"/>
          <w:lang w:val="en-GB"/>
        </w:rPr>
        <w:t>British Politics Since 1945: The Rise, Fall and Rebirth of Consensus</w:t>
      </w:r>
      <w:r w:rsidR="00A91E42">
        <w:rPr>
          <w:rFonts w:ascii="Times New Roman" w:hAnsi="Times New Roman" w:cs="Times New Roman"/>
          <w:iCs/>
          <w:sz w:val="24"/>
          <w:szCs w:val="24"/>
          <w:lang w:val="en-GB"/>
        </w:rPr>
        <w:t>.</w:t>
      </w:r>
      <w:r w:rsidRPr="00B46D18">
        <w:rPr>
          <w:rFonts w:ascii="Times New Roman" w:hAnsi="Times New Roman" w:cs="Times New Roman"/>
          <w:sz w:val="24"/>
          <w:szCs w:val="24"/>
          <w:shd w:val="clear" w:color="auto" w:fill="FFFFFF"/>
          <w:lang w:val="en-GB"/>
        </w:rPr>
        <w:t xml:space="preserve"> London: Blackwell. </w:t>
      </w:r>
    </w:p>
    <w:p w14:paraId="61087B5D" w14:textId="1A496F0A" w:rsidR="00334BB6" w:rsidRPr="00B46D18" w:rsidRDefault="006C75C3"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Evans, B. and Taylor, A. (1996) </w:t>
      </w:r>
      <w:r w:rsidRPr="00A91E42">
        <w:rPr>
          <w:rFonts w:ascii="Times New Roman" w:hAnsi="Times New Roman" w:cs="Times New Roman"/>
          <w:bCs/>
          <w:iCs/>
          <w:sz w:val="24"/>
          <w:szCs w:val="24"/>
          <w:lang w:val="en-GB"/>
        </w:rPr>
        <w:t>From Salisbury to Major: Continuity and Change in Conservative Politics</w:t>
      </w:r>
      <w:r w:rsidR="00A91E42">
        <w:rPr>
          <w:rFonts w:ascii="Times New Roman" w:hAnsi="Times New Roman" w:cs="Times New Roman"/>
          <w:bCs/>
          <w:iCs/>
          <w:sz w:val="24"/>
          <w:szCs w:val="24"/>
          <w:lang w:val="en-GB"/>
        </w:rPr>
        <w:t>.</w:t>
      </w:r>
      <w:r w:rsidRPr="00B46D18">
        <w:rPr>
          <w:rFonts w:ascii="Times New Roman" w:hAnsi="Times New Roman" w:cs="Times New Roman"/>
          <w:bCs/>
          <w:sz w:val="24"/>
          <w:szCs w:val="24"/>
          <w:lang w:val="en-GB"/>
        </w:rPr>
        <w:t xml:space="preserve"> Manchester: Manchester University Press.</w:t>
      </w:r>
    </w:p>
    <w:p w14:paraId="032B5C4F" w14:textId="3A96E19B" w:rsidR="001121D3" w:rsidRPr="00B46D18" w:rsidRDefault="001121D3" w:rsidP="004141E7">
      <w:pPr>
        <w:spacing w:after="0" w:line="480" w:lineRule="auto"/>
        <w:contextualSpacing/>
        <w:jc w:val="both"/>
        <w:rPr>
          <w:rFonts w:ascii="Times New Roman" w:eastAsia="Times New Roman" w:hAnsi="Times New Roman" w:cs="Times New Roman"/>
          <w:bCs/>
          <w:kern w:val="36"/>
          <w:sz w:val="24"/>
          <w:szCs w:val="24"/>
          <w:lang w:val="en-GB" w:eastAsia="en-GB"/>
        </w:rPr>
      </w:pPr>
      <w:r w:rsidRPr="00B46D18">
        <w:rPr>
          <w:rFonts w:ascii="Times New Roman" w:eastAsia="Times New Roman" w:hAnsi="Times New Roman" w:cs="Times New Roman"/>
          <w:bCs/>
          <w:kern w:val="36"/>
          <w:sz w:val="24"/>
          <w:szCs w:val="24"/>
          <w:lang w:val="en-GB" w:eastAsia="en-GB"/>
        </w:rPr>
        <w:t xml:space="preserve">Ford, R. and Jennings, W. (2020) </w:t>
      </w:r>
      <w:r w:rsidRPr="00A91E42">
        <w:rPr>
          <w:rFonts w:ascii="Times New Roman" w:eastAsia="Times New Roman" w:hAnsi="Times New Roman" w:cs="Times New Roman"/>
          <w:bCs/>
          <w:iCs/>
          <w:kern w:val="36"/>
          <w:sz w:val="24"/>
          <w:szCs w:val="24"/>
          <w:lang w:val="en-GB" w:eastAsia="en-GB"/>
        </w:rPr>
        <w:t>The British General Election of 2019</w:t>
      </w:r>
      <w:r w:rsidR="00A91E42">
        <w:rPr>
          <w:rFonts w:ascii="Times New Roman" w:eastAsia="Times New Roman" w:hAnsi="Times New Roman" w:cs="Times New Roman"/>
          <w:bCs/>
          <w:i/>
          <w:iCs/>
          <w:kern w:val="36"/>
          <w:sz w:val="24"/>
          <w:szCs w:val="24"/>
          <w:lang w:val="en-GB" w:eastAsia="en-GB"/>
        </w:rPr>
        <w:t>.</w:t>
      </w:r>
      <w:r w:rsidRPr="00B46D18">
        <w:rPr>
          <w:rFonts w:ascii="Times New Roman" w:eastAsia="Times New Roman" w:hAnsi="Times New Roman" w:cs="Times New Roman"/>
          <w:bCs/>
          <w:i/>
          <w:iCs/>
          <w:kern w:val="36"/>
          <w:sz w:val="24"/>
          <w:szCs w:val="24"/>
          <w:lang w:val="en-GB" w:eastAsia="en-GB"/>
        </w:rPr>
        <w:t xml:space="preserve"> </w:t>
      </w:r>
      <w:r w:rsidRPr="00B46D18">
        <w:rPr>
          <w:rFonts w:ascii="Times New Roman" w:eastAsia="Times New Roman" w:hAnsi="Times New Roman" w:cs="Times New Roman"/>
          <w:bCs/>
          <w:kern w:val="36"/>
          <w:sz w:val="24"/>
          <w:szCs w:val="24"/>
          <w:lang w:val="en-GB" w:eastAsia="en-GB"/>
        </w:rPr>
        <w:t>Basingstoke: Palgrave.</w:t>
      </w:r>
    </w:p>
    <w:p w14:paraId="6680D836" w14:textId="708DC605" w:rsidR="00334BB6" w:rsidRPr="00B46D18" w:rsidRDefault="00334BB6" w:rsidP="004141E7">
      <w:pPr>
        <w:spacing w:after="0" w:line="480" w:lineRule="auto"/>
        <w:contextualSpacing/>
        <w:jc w:val="both"/>
        <w:rPr>
          <w:rFonts w:ascii="Times New Roman" w:hAnsi="Times New Roman" w:cs="Times New Roman"/>
          <w:bCs/>
          <w:sz w:val="24"/>
          <w:szCs w:val="24"/>
          <w:lang w:val="en-GB"/>
        </w:rPr>
      </w:pPr>
      <w:r w:rsidRPr="00B46D18">
        <w:rPr>
          <w:rStyle w:val="hlfld-contribauthor"/>
          <w:rFonts w:ascii="Times New Roman" w:hAnsi="Times New Roman" w:cs="Times New Roman"/>
          <w:sz w:val="24"/>
          <w:szCs w:val="24"/>
          <w:lang w:val="en-GB"/>
        </w:rPr>
        <w:t xml:space="preserve">Franklin, </w:t>
      </w:r>
      <w:r w:rsidRPr="00B46D18">
        <w:rPr>
          <w:rStyle w:val="nlmgiven-names"/>
          <w:rFonts w:ascii="Times New Roman" w:hAnsi="Times New Roman" w:cs="Times New Roman"/>
          <w:sz w:val="24"/>
          <w:szCs w:val="24"/>
          <w:lang w:val="en-GB"/>
        </w:rPr>
        <w:t>M.</w:t>
      </w:r>
      <w:r w:rsidRPr="00B46D18">
        <w:rPr>
          <w:rFonts w:ascii="Times New Roman" w:hAnsi="Times New Roman" w:cs="Times New Roman"/>
          <w:sz w:val="24"/>
          <w:szCs w:val="24"/>
          <w:shd w:val="clear" w:color="auto" w:fill="FFFFFF"/>
          <w:lang w:val="en-GB"/>
        </w:rPr>
        <w:t xml:space="preserve">, </w:t>
      </w:r>
      <w:r w:rsidRPr="00B46D18">
        <w:rPr>
          <w:rStyle w:val="hlfld-contribauthor"/>
          <w:rFonts w:ascii="Times New Roman" w:hAnsi="Times New Roman" w:cs="Times New Roman"/>
          <w:sz w:val="24"/>
          <w:szCs w:val="24"/>
          <w:lang w:val="en-GB"/>
        </w:rPr>
        <w:t>Baxter</w:t>
      </w:r>
      <w:r w:rsidRPr="00B46D18">
        <w:rPr>
          <w:rFonts w:ascii="Times New Roman" w:hAnsi="Times New Roman" w:cs="Times New Roman"/>
          <w:sz w:val="24"/>
          <w:szCs w:val="24"/>
          <w:shd w:val="clear" w:color="auto" w:fill="FFFFFF"/>
          <w:lang w:val="en-GB"/>
        </w:rPr>
        <w:t xml:space="preserve">, A. and </w:t>
      </w:r>
      <w:r w:rsidRPr="00B46D18">
        <w:rPr>
          <w:rStyle w:val="hlfld-contribauthor"/>
          <w:rFonts w:ascii="Times New Roman" w:hAnsi="Times New Roman" w:cs="Times New Roman"/>
          <w:sz w:val="24"/>
          <w:szCs w:val="24"/>
          <w:lang w:val="en-GB"/>
        </w:rPr>
        <w:t>Jordan</w:t>
      </w:r>
      <w:r w:rsidR="00A91E42">
        <w:rPr>
          <w:rFonts w:ascii="Times New Roman" w:hAnsi="Times New Roman" w:cs="Times New Roman"/>
          <w:sz w:val="24"/>
          <w:szCs w:val="24"/>
          <w:shd w:val="clear" w:color="auto" w:fill="FFFFFF"/>
          <w:lang w:val="en-GB"/>
        </w:rPr>
        <w:t xml:space="preserve">, M. (1986) </w:t>
      </w:r>
      <w:r w:rsidRPr="00B46D18">
        <w:rPr>
          <w:rStyle w:val="nlmarticle-title"/>
          <w:rFonts w:ascii="Times New Roman" w:hAnsi="Times New Roman" w:cs="Times New Roman"/>
          <w:sz w:val="24"/>
          <w:szCs w:val="24"/>
          <w:lang w:val="en-GB"/>
        </w:rPr>
        <w:t>Who Were the Rebels? Dissent in the House of Commons 1970–74</w:t>
      </w:r>
      <w:r w:rsidR="00A91E42">
        <w:rPr>
          <w:rFonts w:ascii="Times New Roman" w:hAnsi="Times New Roman" w:cs="Times New Roman"/>
          <w:sz w:val="24"/>
          <w:szCs w:val="24"/>
          <w:shd w:val="clear" w:color="auto" w:fill="FFFFFF"/>
          <w:lang w:val="en-GB"/>
        </w:rPr>
        <w:t>.</w:t>
      </w:r>
      <w:r w:rsidRPr="00B46D18">
        <w:rPr>
          <w:rFonts w:ascii="Times New Roman" w:hAnsi="Times New Roman" w:cs="Times New Roman"/>
          <w:sz w:val="24"/>
          <w:szCs w:val="24"/>
          <w:shd w:val="clear" w:color="auto" w:fill="FFFFFF"/>
          <w:lang w:val="en-GB"/>
        </w:rPr>
        <w:t xml:space="preserve"> </w:t>
      </w:r>
      <w:r w:rsidRPr="00A91E42">
        <w:rPr>
          <w:rFonts w:ascii="Times New Roman" w:hAnsi="Times New Roman" w:cs="Times New Roman"/>
          <w:iCs/>
          <w:sz w:val="24"/>
          <w:szCs w:val="24"/>
          <w:shd w:val="clear" w:color="auto" w:fill="FFFFFF"/>
          <w:lang w:val="en-GB"/>
        </w:rPr>
        <w:t>Legislative Studies Quarterly</w:t>
      </w:r>
      <w:r w:rsidR="00A91E42">
        <w:rPr>
          <w:rFonts w:ascii="Times New Roman" w:hAnsi="Times New Roman" w:cs="Times New Roman"/>
          <w:sz w:val="24"/>
          <w:szCs w:val="24"/>
          <w:shd w:val="clear" w:color="auto" w:fill="FFFFFF"/>
          <w:lang w:val="en-GB"/>
        </w:rPr>
        <w:t xml:space="preserve"> </w:t>
      </w:r>
      <w:r w:rsidRPr="00B46D18">
        <w:rPr>
          <w:rFonts w:ascii="Times New Roman" w:hAnsi="Times New Roman" w:cs="Times New Roman"/>
          <w:sz w:val="24"/>
          <w:szCs w:val="24"/>
          <w:shd w:val="clear" w:color="auto" w:fill="FFFFFF"/>
          <w:lang w:val="en-GB"/>
        </w:rPr>
        <w:t xml:space="preserve">11 (2): </w:t>
      </w:r>
      <w:r w:rsidRPr="00B46D18">
        <w:rPr>
          <w:rStyle w:val="nlmfpage"/>
          <w:rFonts w:ascii="Times New Roman" w:hAnsi="Times New Roman" w:cs="Times New Roman"/>
          <w:sz w:val="24"/>
          <w:szCs w:val="24"/>
          <w:lang w:val="en-GB"/>
        </w:rPr>
        <w:t>143</w:t>
      </w:r>
      <w:r w:rsidRPr="00B46D18">
        <w:rPr>
          <w:rFonts w:ascii="Times New Roman" w:hAnsi="Times New Roman" w:cs="Times New Roman"/>
          <w:sz w:val="24"/>
          <w:szCs w:val="24"/>
          <w:shd w:val="clear" w:color="auto" w:fill="FFFFFF"/>
          <w:lang w:val="en-GB"/>
        </w:rPr>
        <w:t>–</w:t>
      </w:r>
      <w:r w:rsidRPr="00B46D18">
        <w:rPr>
          <w:rStyle w:val="nlmlpage"/>
          <w:rFonts w:ascii="Times New Roman" w:hAnsi="Times New Roman" w:cs="Times New Roman"/>
          <w:sz w:val="24"/>
          <w:szCs w:val="24"/>
          <w:lang w:val="en-GB"/>
        </w:rPr>
        <w:t>59</w:t>
      </w:r>
      <w:r w:rsidRPr="00B46D18">
        <w:rPr>
          <w:rFonts w:ascii="Times New Roman" w:hAnsi="Times New Roman" w:cs="Times New Roman"/>
          <w:sz w:val="24"/>
          <w:szCs w:val="24"/>
          <w:shd w:val="clear" w:color="auto" w:fill="FFFFFF"/>
          <w:lang w:val="en-GB"/>
        </w:rPr>
        <w:t>.</w:t>
      </w:r>
    </w:p>
    <w:p w14:paraId="1BFE436E" w14:textId="39565DAD" w:rsidR="00E24374" w:rsidRPr="00B46D18" w:rsidRDefault="00C55DFD" w:rsidP="004141E7">
      <w:pPr>
        <w:spacing w:after="0" w:line="480" w:lineRule="auto"/>
        <w:contextualSpacing/>
        <w:jc w:val="both"/>
        <w:rPr>
          <w:rFonts w:ascii="Times New Roman" w:hAnsi="Times New Roman" w:cs="Times New Roman"/>
          <w:sz w:val="24"/>
          <w:szCs w:val="24"/>
          <w:lang w:val="en-GB"/>
        </w:rPr>
      </w:pPr>
      <w:r w:rsidRPr="00B46D18">
        <w:rPr>
          <w:rFonts w:ascii="Times New Roman" w:eastAsia="Times New Roman" w:hAnsi="Times New Roman" w:cs="Times New Roman"/>
          <w:sz w:val="24"/>
          <w:szCs w:val="24"/>
          <w:lang w:val="en-GB" w:eastAsia="en-GB"/>
        </w:rPr>
        <w:t xml:space="preserve">Fry, G. (2005) </w:t>
      </w:r>
      <w:r w:rsidRPr="00A91E42">
        <w:rPr>
          <w:rFonts w:ascii="Times New Roman" w:hAnsi="Times New Roman" w:cs="Times New Roman"/>
          <w:sz w:val="24"/>
          <w:szCs w:val="24"/>
          <w:lang w:val="en-GB"/>
        </w:rPr>
        <w:t>The Politics of Decline: An Interpretation of British Politics from the 1940s to the 1970s</w:t>
      </w:r>
      <w:r w:rsidR="00A91E42">
        <w:rPr>
          <w:rFonts w:ascii="Times New Roman" w:hAnsi="Times New Roman" w:cs="Times New Roman"/>
          <w:sz w:val="24"/>
          <w:szCs w:val="24"/>
          <w:lang w:val="en-GB"/>
        </w:rPr>
        <w:t xml:space="preserve">. </w:t>
      </w:r>
      <w:r w:rsidRPr="00B46D18">
        <w:rPr>
          <w:rFonts w:ascii="Times New Roman" w:hAnsi="Times New Roman" w:cs="Times New Roman"/>
          <w:sz w:val="24"/>
          <w:szCs w:val="24"/>
          <w:lang w:val="en-GB"/>
        </w:rPr>
        <w:t>Basingstoke: Palgrave</w:t>
      </w:r>
      <w:r w:rsidR="005E5AD0" w:rsidRPr="00B46D18">
        <w:rPr>
          <w:rFonts w:ascii="Times New Roman" w:hAnsi="Times New Roman" w:cs="Times New Roman"/>
          <w:sz w:val="24"/>
          <w:szCs w:val="24"/>
          <w:lang w:val="en-GB"/>
        </w:rPr>
        <w:t xml:space="preserve">. </w:t>
      </w:r>
    </w:p>
    <w:p w14:paraId="4543C4C5" w14:textId="641644BD" w:rsidR="00E24374" w:rsidRPr="00B46D18" w:rsidRDefault="00E24374" w:rsidP="004141E7">
      <w:pPr>
        <w:spacing w:after="0" w:line="480" w:lineRule="auto"/>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Gamble, A. (1988) </w:t>
      </w:r>
      <w:r w:rsidRPr="00A91E42">
        <w:rPr>
          <w:rFonts w:ascii="Times New Roman" w:hAnsi="Times New Roman" w:cs="Times New Roman"/>
          <w:sz w:val="24"/>
          <w:szCs w:val="24"/>
          <w:lang w:val="en-GB"/>
        </w:rPr>
        <w:t>The Free Economy and the Strong State</w:t>
      </w:r>
      <w:r w:rsidR="00A91E42">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London: Macmillan. </w:t>
      </w:r>
    </w:p>
    <w:p w14:paraId="0FACD178" w14:textId="57D939D5" w:rsidR="005E5AD0" w:rsidRPr="00B46D18" w:rsidRDefault="005E5AD0" w:rsidP="004141E7">
      <w:pPr>
        <w:autoSpaceDE w:val="0"/>
        <w:autoSpaceDN w:val="0"/>
        <w:adjustRightInd w:val="0"/>
        <w:spacing w:line="480" w:lineRule="auto"/>
        <w:contextualSpacing/>
        <w:jc w:val="both"/>
        <w:rPr>
          <w:rFonts w:ascii="Times New Roman" w:hAnsi="Times New Roman" w:cs="Times New Roman"/>
          <w:i/>
          <w:sz w:val="24"/>
          <w:szCs w:val="24"/>
          <w:lang w:val="en-GB"/>
        </w:rPr>
      </w:pPr>
      <w:bookmarkStart w:id="5" w:name="_Hlk30488867"/>
      <w:r w:rsidRPr="00B46D18">
        <w:rPr>
          <w:rFonts w:ascii="Times New Roman" w:hAnsi="Times New Roman" w:cs="Times New Roman"/>
          <w:sz w:val="24"/>
          <w:szCs w:val="24"/>
          <w:lang w:val="en-GB"/>
        </w:rPr>
        <w:t xml:space="preserve">Gilmour, I. and Garnett, M. (1998) </w:t>
      </w:r>
      <w:r w:rsidRPr="00A91E42">
        <w:rPr>
          <w:rFonts w:ascii="Times New Roman" w:hAnsi="Times New Roman" w:cs="Times New Roman"/>
          <w:sz w:val="24"/>
          <w:szCs w:val="24"/>
          <w:lang w:val="en-GB"/>
        </w:rPr>
        <w:t>Whatever Happened to the Tories? The Conservatives since 1945</w:t>
      </w:r>
      <w:r w:rsidR="00A91E42">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London: Fourth Estate. </w:t>
      </w:r>
    </w:p>
    <w:bookmarkEnd w:id="5"/>
    <w:p w14:paraId="13340C61" w14:textId="0363F80A" w:rsidR="002D54FF" w:rsidRDefault="002D54FF" w:rsidP="004141E7">
      <w:pPr>
        <w:spacing w:after="0" w:line="48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Harmon, M. (</w:t>
      </w:r>
      <w:r w:rsidRPr="00B46D18">
        <w:rPr>
          <w:rStyle w:val="nlmyear"/>
          <w:rFonts w:ascii="Times New Roman" w:hAnsi="Times New Roman" w:cs="Times New Roman"/>
          <w:sz w:val="24"/>
          <w:szCs w:val="24"/>
          <w:lang w:val="en-GB"/>
        </w:rPr>
        <w:t>1997</w:t>
      </w:r>
      <w:r w:rsidRPr="00B46D18">
        <w:rPr>
          <w:rFonts w:ascii="Times New Roman" w:hAnsi="Times New Roman" w:cs="Times New Roman"/>
          <w:sz w:val="24"/>
          <w:szCs w:val="24"/>
          <w:lang w:val="en-GB"/>
        </w:rPr>
        <w:t xml:space="preserve">) </w:t>
      </w:r>
      <w:r w:rsidRPr="00A91E42">
        <w:rPr>
          <w:rFonts w:ascii="Times New Roman" w:hAnsi="Times New Roman" w:cs="Times New Roman"/>
          <w:sz w:val="24"/>
          <w:szCs w:val="24"/>
          <w:lang w:val="en-GB"/>
        </w:rPr>
        <w:t>The British Labour Government and the 1976 IMF Crisis</w:t>
      </w:r>
      <w:r w:rsidR="00A91E42">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w:t>
      </w:r>
      <w:r w:rsidRPr="00B46D18">
        <w:rPr>
          <w:rStyle w:val="nlmpublisher-loc"/>
          <w:rFonts w:ascii="Times New Roman" w:hAnsi="Times New Roman" w:cs="Times New Roman"/>
          <w:sz w:val="24"/>
          <w:szCs w:val="24"/>
          <w:lang w:val="en-GB"/>
        </w:rPr>
        <w:t>Basingstoke</w:t>
      </w:r>
      <w:r w:rsidRPr="00B46D18">
        <w:rPr>
          <w:rFonts w:ascii="Times New Roman" w:hAnsi="Times New Roman" w:cs="Times New Roman"/>
          <w:sz w:val="24"/>
          <w:szCs w:val="24"/>
          <w:lang w:val="en-GB"/>
        </w:rPr>
        <w:t xml:space="preserve">: </w:t>
      </w:r>
      <w:r w:rsidRPr="00B46D18">
        <w:rPr>
          <w:rStyle w:val="nlmpublisher-name"/>
          <w:rFonts w:ascii="Times New Roman" w:hAnsi="Times New Roman" w:cs="Times New Roman"/>
          <w:sz w:val="24"/>
          <w:szCs w:val="24"/>
          <w:lang w:val="en-GB"/>
        </w:rPr>
        <w:t>Macmillan</w:t>
      </w:r>
      <w:r w:rsidRPr="00B46D18">
        <w:rPr>
          <w:rFonts w:ascii="Times New Roman" w:hAnsi="Times New Roman" w:cs="Times New Roman"/>
          <w:sz w:val="24"/>
          <w:szCs w:val="24"/>
          <w:lang w:val="en-GB"/>
        </w:rPr>
        <w:t xml:space="preserve">. </w:t>
      </w:r>
    </w:p>
    <w:p w14:paraId="3CB07841" w14:textId="0B2799EC" w:rsidR="00161892" w:rsidRPr="00B46D18" w:rsidRDefault="006C75C3" w:rsidP="004141E7">
      <w:pPr>
        <w:spacing w:after="0" w:line="480" w:lineRule="auto"/>
        <w:contextualSpacing/>
        <w:jc w:val="both"/>
        <w:rPr>
          <w:rFonts w:ascii="Times New Roman" w:hAnsi="Times New Roman" w:cs="Times New Roman"/>
          <w:bCs/>
          <w:sz w:val="24"/>
          <w:szCs w:val="24"/>
          <w:lang w:val="en-GB"/>
        </w:rPr>
      </w:pPr>
      <w:bookmarkStart w:id="6" w:name="_Hlk30488882"/>
      <w:r w:rsidRPr="00B46D18">
        <w:rPr>
          <w:rFonts w:ascii="Times New Roman" w:hAnsi="Times New Roman" w:cs="Times New Roman"/>
          <w:bCs/>
          <w:sz w:val="24"/>
          <w:szCs w:val="24"/>
          <w:lang w:val="en-GB"/>
        </w:rPr>
        <w:t xml:space="preserve">Heppell, T. (2014) </w:t>
      </w:r>
      <w:r w:rsidRPr="00A91E42">
        <w:rPr>
          <w:rFonts w:ascii="Times New Roman" w:hAnsi="Times New Roman" w:cs="Times New Roman"/>
          <w:bCs/>
          <w:iCs/>
          <w:sz w:val="24"/>
          <w:szCs w:val="24"/>
          <w:lang w:val="en-GB"/>
        </w:rPr>
        <w:t>The Tories from Winston Churchill to David Cameron</w:t>
      </w:r>
      <w:r w:rsidR="00A91E42">
        <w:rPr>
          <w:rFonts w:ascii="Times New Roman" w:hAnsi="Times New Roman" w:cs="Times New Roman"/>
          <w:bCs/>
          <w:iCs/>
          <w:sz w:val="24"/>
          <w:szCs w:val="24"/>
          <w:lang w:val="en-GB"/>
        </w:rPr>
        <w:t>.</w:t>
      </w:r>
      <w:r w:rsidRPr="00B46D18">
        <w:rPr>
          <w:rFonts w:ascii="Times New Roman" w:hAnsi="Times New Roman" w:cs="Times New Roman"/>
          <w:bCs/>
          <w:sz w:val="24"/>
          <w:szCs w:val="24"/>
          <w:lang w:val="en-GB"/>
        </w:rPr>
        <w:t xml:space="preserve"> London: Bloomsbury.</w:t>
      </w:r>
    </w:p>
    <w:bookmarkEnd w:id="6"/>
    <w:p w14:paraId="6B7FEA83" w14:textId="4840BE27" w:rsidR="00161892" w:rsidRDefault="00A91E42" w:rsidP="004141E7">
      <w:pPr>
        <w:spacing w:after="0" w:line="480" w:lineRule="auto"/>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Heppell, T. and Hill, M. (2015) </w:t>
      </w:r>
      <w:r w:rsidR="00161892" w:rsidRPr="00B46D18">
        <w:rPr>
          <w:rStyle w:val="title-with-parent"/>
          <w:rFonts w:ascii="Times New Roman" w:hAnsi="Times New Roman" w:cs="Times New Roman"/>
          <w:sz w:val="24"/>
          <w:szCs w:val="24"/>
          <w:lang w:val="en-GB"/>
        </w:rPr>
        <w:t>Prime ministerial powers of patronage: ministerial appointments and</w:t>
      </w:r>
      <w:r>
        <w:rPr>
          <w:rStyle w:val="title-with-parent"/>
          <w:rFonts w:ascii="Times New Roman" w:hAnsi="Times New Roman" w:cs="Times New Roman"/>
          <w:sz w:val="24"/>
          <w:szCs w:val="24"/>
          <w:lang w:val="en-GB"/>
        </w:rPr>
        <w:t xml:space="preserve"> dismissals under Edward Heath. </w:t>
      </w:r>
      <w:r w:rsidR="00161892" w:rsidRPr="00A91E42">
        <w:rPr>
          <w:rStyle w:val="journal"/>
          <w:rFonts w:ascii="Times New Roman" w:hAnsi="Times New Roman" w:cs="Times New Roman"/>
          <w:iCs/>
          <w:sz w:val="24"/>
          <w:szCs w:val="24"/>
          <w:lang w:val="en-GB"/>
        </w:rPr>
        <w:t>Contemporary British History</w:t>
      </w:r>
      <w:r w:rsidR="00161892" w:rsidRPr="00A91E42">
        <w:rPr>
          <w:rFonts w:ascii="Times New Roman" w:hAnsi="Times New Roman" w:cs="Times New Roman"/>
          <w:sz w:val="24"/>
          <w:szCs w:val="24"/>
          <w:shd w:val="clear" w:color="auto" w:fill="FFFFFF"/>
          <w:lang w:val="en-GB"/>
        </w:rPr>
        <w:t xml:space="preserve"> </w:t>
      </w:r>
      <w:r w:rsidR="00161892" w:rsidRPr="00B46D18">
        <w:rPr>
          <w:rStyle w:val="volume"/>
          <w:rFonts w:ascii="Times New Roman" w:hAnsi="Times New Roman" w:cs="Times New Roman"/>
          <w:sz w:val="24"/>
          <w:szCs w:val="24"/>
          <w:lang w:val="en-GB"/>
        </w:rPr>
        <w:t xml:space="preserve">29 </w:t>
      </w:r>
      <w:r w:rsidR="00161892" w:rsidRPr="00B46D18">
        <w:rPr>
          <w:rStyle w:val="issue"/>
          <w:rFonts w:ascii="Times New Roman" w:hAnsi="Times New Roman" w:cs="Times New Roman"/>
          <w:sz w:val="24"/>
          <w:szCs w:val="24"/>
          <w:lang w:val="en-GB"/>
        </w:rPr>
        <w:t>(4)</w:t>
      </w:r>
      <w:r w:rsidR="00161892" w:rsidRPr="00B46D18">
        <w:rPr>
          <w:rFonts w:ascii="Times New Roman" w:hAnsi="Times New Roman" w:cs="Times New Roman"/>
          <w:sz w:val="24"/>
          <w:szCs w:val="24"/>
          <w:shd w:val="clear" w:color="auto" w:fill="FFFFFF"/>
          <w:lang w:val="en-GB"/>
        </w:rPr>
        <w:t>: 464-85</w:t>
      </w:r>
      <w:r w:rsidR="00161892" w:rsidRPr="00B46D18">
        <w:rPr>
          <w:rFonts w:ascii="Times New Roman" w:hAnsi="Times New Roman" w:cs="Times New Roman"/>
          <w:bCs/>
          <w:sz w:val="24"/>
          <w:szCs w:val="24"/>
          <w:lang w:val="en-GB"/>
        </w:rPr>
        <w:t xml:space="preserve">. </w:t>
      </w:r>
    </w:p>
    <w:p w14:paraId="029F2D6B" w14:textId="7CF8463C" w:rsidR="00C21CC6" w:rsidRPr="00B46D18" w:rsidRDefault="00C21CC6" w:rsidP="004141E7">
      <w:pPr>
        <w:spacing w:after="0" w:line="480" w:lineRule="auto"/>
        <w:jc w:val="both"/>
        <w:rPr>
          <w:rFonts w:ascii="Times New Roman" w:hAnsi="Times New Roman" w:cs="Times New Roman"/>
          <w:sz w:val="24"/>
          <w:szCs w:val="24"/>
          <w:shd w:val="clear" w:color="auto" w:fill="FCFCFC"/>
          <w:lang w:val="en-GB"/>
        </w:rPr>
      </w:pPr>
      <w:r w:rsidRPr="00B46D18">
        <w:rPr>
          <w:rFonts w:ascii="Times New Roman" w:hAnsi="Times New Roman" w:cs="Times New Roman"/>
          <w:sz w:val="24"/>
          <w:szCs w:val="24"/>
          <w:shd w:val="clear" w:color="auto" w:fill="FCFCFC"/>
          <w:lang w:val="en-GB"/>
        </w:rPr>
        <w:lastRenderedPageBreak/>
        <w:t xml:space="preserve">Hickson, K. (2005a) </w:t>
      </w:r>
      <w:r w:rsidRPr="00A91E42">
        <w:rPr>
          <w:rStyle w:val="Emphasis"/>
          <w:rFonts w:ascii="Times New Roman" w:hAnsi="Times New Roman" w:cs="Times New Roman"/>
          <w:i w:val="0"/>
          <w:sz w:val="24"/>
          <w:szCs w:val="24"/>
          <w:lang w:val="en-GB"/>
        </w:rPr>
        <w:t>IMF Crisis of 1976 and British Politics</w:t>
      </w:r>
      <w:r w:rsidRPr="00B46D18">
        <w:rPr>
          <w:rFonts w:ascii="Times New Roman" w:hAnsi="Times New Roman" w:cs="Times New Roman"/>
          <w:sz w:val="24"/>
          <w:szCs w:val="24"/>
          <w:shd w:val="clear" w:color="auto" w:fill="FCFCFC"/>
          <w:lang w:val="en-GB"/>
        </w:rPr>
        <w:t>. London: I.B. Tauris.</w:t>
      </w:r>
    </w:p>
    <w:p w14:paraId="6458A26A" w14:textId="6F8C8C81" w:rsidR="00C21CC6" w:rsidRPr="00B46D18" w:rsidRDefault="00A91E42" w:rsidP="004141E7">
      <w:pPr>
        <w:spacing w:after="0" w:line="480" w:lineRule="auto"/>
        <w:contextualSpacing/>
        <w:jc w:val="both"/>
        <w:rPr>
          <w:rFonts w:ascii="Times New Roman" w:hAnsi="Times New Roman" w:cs="Times New Roman"/>
          <w:bCs/>
          <w:sz w:val="24"/>
          <w:szCs w:val="24"/>
          <w:lang w:val="en-GB"/>
        </w:rPr>
      </w:pPr>
      <w:r>
        <w:rPr>
          <w:rFonts w:ascii="Times New Roman" w:hAnsi="Times New Roman" w:cs="Times New Roman"/>
          <w:sz w:val="24"/>
          <w:szCs w:val="24"/>
          <w:lang w:val="en-GB"/>
        </w:rPr>
        <w:t>Hickson, K. (2005b) Inequality. I</w:t>
      </w:r>
      <w:r w:rsidR="00C21CC6" w:rsidRPr="00B46D18">
        <w:rPr>
          <w:rFonts w:ascii="Times New Roman" w:hAnsi="Times New Roman" w:cs="Times New Roman"/>
          <w:sz w:val="24"/>
          <w:szCs w:val="24"/>
          <w:lang w:val="en-GB"/>
        </w:rPr>
        <w:t>n</w:t>
      </w:r>
      <w:r>
        <w:rPr>
          <w:rFonts w:ascii="Times New Roman" w:hAnsi="Times New Roman" w:cs="Times New Roman"/>
          <w:sz w:val="24"/>
          <w:szCs w:val="24"/>
          <w:lang w:val="en-GB"/>
        </w:rPr>
        <w:t>:</w:t>
      </w:r>
      <w:r w:rsidR="00C21CC6" w:rsidRPr="00B46D18">
        <w:rPr>
          <w:rFonts w:ascii="Times New Roman" w:hAnsi="Times New Roman" w:cs="Times New Roman"/>
          <w:sz w:val="24"/>
          <w:szCs w:val="24"/>
          <w:lang w:val="en-GB"/>
        </w:rPr>
        <w:t xml:space="preserve"> </w:t>
      </w:r>
      <w:r w:rsidR="00487B35">
        <w:rPr>
          <w:rFonts w:ascii="Times New Roman" w:hAnsi="Times New Roman" w:cs="Times New Roman"/>
          <w:sz w:val="24"/>
          <w:szCs w:val="24"/>
          <w:lang w:val="en-GB"/>
        </w:rPr>
        <w:t xml:space="preserve">K. </w:t>
      </w:r>
      <w:r w:rsidR="00C21CC6" w:rsidRPr="00B46D18">
        <w:rPr>
          <w:rFonts w:ascii="Times New Roman" w:hAnsi="Times New Roman" w:cs="Times New Roman"/>
          <w:sz w:val="24"/>
          <w:szCs w:val="24"/>
          <w:lang w:val="en-GB"/>
        </w:rPr>
        <w:t>Hickson</w:t>
      </w:r>
      <w:r>
        <w:rPr>
          <w:rFonts w:ascii="Times New Roman" w:hAnsi="Times New Roman" w:cs="Times New Roman"/>
          <w:sz w:val="24"/>
          <w:szCs w:val="24"/>
          <w:lang w:val="en-GB"/>
        </w:rPr>
        <w:t xml:space="preserve"> (ed.) </w:t>
      </w:r>
      <w:r w:rsidR="00C21CC6" w:rsidRPr="00A91E42">
        <w:rPr>
          <w:rFonts w:ascii="Times New Roman" w:hAnsi="Times New Roman" w:cs="Times New Roman"/>
          <w:sz w:val="24"/>
          <w:szCs w:val="24"/>
          <w:lang w:val="en-GB"/>
        </w:rPr>
        <w:t>The Political Thought of the Conservative Party since 1945</w:t>
      </w:r>
      <w:r>
        <w:rPr>
          <w:rFonts w:ascii="Times New Roman" w:hAnsi="Times New Roman" w:cs="Times New Roman"/>
          <w:sz w:val="24"/>
          <w:szCs w:val="24"/>
          <w:lang w:val="en-GB"/>
        </w:rPr>
        <w:t>.</w:t>
      </w:r>
      <w:r w:rsidR="00C21CC6" w:rsidRPr="00B46D18">
        <w:rPr>
          <w:rFonts w:ascii="Times New Roman" w:hAnsi="Times New Roman" w:cs="Times New Roman"/>
          <w:sz w:val="24"/>
          <w:szCs w:val="24"/>
          <w:lang w:val="en-GB"/>
        </w:rPr>
        <w:t xml:space="preserve"> Basingstoke: Palgrave.</w:t>
      </w:r>
    </w:p>
    <w:p w14:paraId="5526B247" w14:textId="55CBFB08" w:rsidR="00E40C66" w:rsidRPr="00B46D18" w:rsidRDefault="00E40C66" w:rsidP="004141E7">
      <w:pPr>
        <w:spacing w:after="0" w:line="480" w:lineRule="auto"/>
        <w:contextualSpacing/>
        <w:jc w:val="both"/>
        <w:rPr>
          <w:rFonts w:ascii="Times New Roman" w:hAnsi="Times New Roman" w:cs="Times New Roman"/>
          <w:sz w:val="24"/>
          <w:szCs w:val="24"/>
          <w:lang w:val="en-GB"/>
        </w:rPr>
      </w:pPr>
      <w:r w:rsidRPr="00B46D18">
        <w:rPr>
          <w:rFonts w:ascii="Times New Roman" w:eastAsia="Times New Roman" w:hAnsi="Times New Roman" w:cs="Times New Roman"/>
          <w:sz w:val="24"/>
          <w:szCs w:val="24"/>
          <w:lang w:val="en-GB" w:eastAsia="en-GB"/>
        </w:rPr>
        <w:t>Hi</w:t>
      </w:r>
      <w:r w:rsidR="00A91E42">
        <w:rPr>
          <w:rFonts w:ascii="Times New Roman" w:eastAsia="Times New Roman" w:hAnsi="Times New Roman" w:cs="Times New Roman"/>
          <w:sz w:val="24"/>
          <w:szCs w:val="24"/>
          <w:lang w:val="en-GB" w:eastAsia="en-GB"/>
        </w:rPr>
        <w:t>ckson, K. and Seldon, A. (eds.)</w:t>
      </w:r>
      <w:r w:rsidRPr="00B46D18">
        <w:rPr>
          <w:rFonts w:ascii="Times New Roman" w:eastAsia="Times New Roman" w:hAnsi="Times New Roman" w:cs="Times New Roman"/>
          <w:sz w:val="24"/>
          <w:szCs w:val="24"/>
          <w:lang w:val="en-GB" w:eastAsia="en-GB"/>
        </w:rPr>
        <w:t xml:space="preserve"> (2004) </w:t>
      </w:r>
      <w:r w:rsidRPr="00A91E42">
        <w:rPr>
          <w:rFonts w:ascii="Times New Roman" w:eastAsia="Times New Roman" w:hAnsi="Times New Roman" w:cs="Times New Roman"/>
          <w:iCs/>
          <w:sz w:val="24"/>
          <w:szCs w:val="24"/>
          <w:lang w:val="en-GB" w:eastAsia="en-GB"/>
        </w:rPr>
        <w:t>New Labour, Old Labour: The Wilson and Callaghan Governments 1974–1979</w:t>
      </w:r>
      <w:r w:rsidR="00A91E42">
        <w:rPr>
          <w:rFonts w:ascii="Times New Roman" w:eastAsia="Times New Roman" w:hAnsi="Times New Roman" w:cs="Times New Roman"/>
          <w:iCs/>
          <w:sz w:val="24"/>
          <w:szCs w:val="24"/>
          <w:lang w:val="en-GB" w:eastAsia="en-GB"/>
        </w:rPr>
        <w:t>.</w:t>
      </w:r>
      <w:r w:rsidRPr="00B46D18">
        <w:rPr>
          <w:rFonts w:ascii="Times New Roman" w:eastAsia="Times New Roman" w:hAnsi="Times New Roman" w:cs="Times New Roman"/>
          <w:sz w:val="24"/>
          <w:szCs w:val="24"/>
          <w:lang w:val="en-GB" w:eastAsia="en-GB"/>
        </w:rPr>
        <w:t xml:space="preserve"> London: Routledge. </w:t>
      </w:r>
    </w:p>
    <w:p w14:paraId="6CACEE08" w14:textId="0F5E45D4" w:rsidR="007E2637" w:rsidRPr="00B46D18" w:rsidRDefault="007E2637" w:rsidP="004141E7">
      <w:pPr>
        <w:spacing w:after="0" w:line="480" w:lineRule="auto"/>
        <w:contextualSpacing/>
        <w:jc w:val="both"/>
        <w:rPr>
          <w:rFonts w:ascii="Times New Roman" w:eastAsia="Times New Roman" w:hAnsi="Times New Roman" w:cs="Times New Roman"/>
          <w:sz w:val="24"/>
          <w:szCs w:val="24"/>
          <w:lang w:val="en-GB" w:eastAsia="en-GB"/>
        </w:rPr>
      </w:pPr>
      <w:r w:rsidRPr="00B46D18">
        <w:rPr>
          <w:rFonts w:ascii="Times New Roman" w:eastAsia="Times New Roman" w:hAnsi="Times New Roman" w:cs="Times New Roman"/>
          <w:sz w:val="24"/>
          <w:szCs w:val="24"/>
          <w:lang w:val="en-GB" w:eastAsia="en-GB"/>
        </w:rPr>
        <w:t xml:space="preserve">Holmes, M. (1982) </w:t>
      </w:r>
      <w:r w:rsidRPr="00A91E42">
        <w:rPr>
          <w:rFonts w:ascii="Times New Roman" w:eastAsia="Times New Roman" w:hAnsi="Times New Roman" w:cs="Times New Roman"/>
          <w:iCs/>
          <w:sz w:val="24"/>
          <w:szCs w:val="24"/>
          <w:lang w:val="en-GB" w:eastAsia="en-GB"/>
        </w:rPr>
        <w:t>Political Pressure and Economic Policy: British Government 1970-1974</w:t>
      </w:r>
      <w:r w:rsidR="00A91E42">
        <w:rPr>
          <w:rFonts w:ascii="Times New Roman" w:eastAsia="Times New Roman" w:hAnsi="Times New Roman" w:cs="Times New Roman"/>
          <w:iCs/>
          <w:sz w:val="24"/>
          <w:szCs w:val="24"/>
          <w:lang w:val="en-GB" w:eastAsia="en-GB"/>
        </w:rPr>
        <w:t>.</w:t>
      </w:r>
      <w:r w:rsidRPr="00B46D18">
        <w:rPr>
          <w:rFonts w:ascii="Times New Roman" w:eastAsia="Times New Roman" w:hAnsi="Times New Roman" w:cs="Times New Roman"/>
          <w:sz w:val="24"/>
          <w:szCs w:val="24"/>
          <w:lang w:val="en-GB" w:eastAsia="en-GB"/>
        </w:rPr>
        <w:t xml:space="preserve"> London: Butterworth.</w:t>
      </w:r>
    </w:p>
    <w:p w14:paraId="5A9E5F6A" w14:textId="3CCC8D40" w:rsidR="00E40C66" w:rsidRPr="00B46D18" w:rsidRDefault="00E40C66" w:rsidP="004141E7">
      <w:pPr>
        <w:spacing w:after="0" w:line="480" w:lineRule="auto"/>
        <w:contextualSpacing/>
        <w:jc w:val="both"/>
        <w:rPr>
          <w:rFonts w:ascii="Times New Roman" w:eastAsia="Times New Roman" w:hAnsi="Times New Roman" w:cs="Times New Roman"/>
          <w:sz w:val="24"/>
          <w:szCs w:val="24"/>
          <w:lang w:val="en-GB" w:eastAsia="en-GB"/>
        </w:rPr>
      </w:pPr>
      <w:r w:rsidRPr="00B46D18">
        <w:rPr>
          <w:rFonts w:ascii="Times New Roman" w:eastAsia="Times New Roman" w:hAnsi="Times New Roman" w:cs="Times New Roman"/>
          <w:sz w:val="24"/>
          <w:szCs w:val="24"/>
          <w:lang w:val="en-GB" w:eastAsia="en-GB"/>
        </w:rPr>
        <w:t xml:space="preserve">Holmes, M. (1985) </w:t>
      </w:r>
      <w:r w:rsidRPr="00A91E42">
        <w:rPr>
          <w:rFonts w:ascii="Times New Roman" w:eastAsia="Times New Roman" w:hAnsi="Times New Roman" w:cs="Times New Roman"/>
          <w:iCs/>
          <w:sz w:val="24"/>
          <w:szCs w:val="24"/>
          <w:lang w:val="en-GB" w:eastAsia="en-GB"/>
        </w:rPr>
        <w:t>The Labour Government, 1974–79: Political Aims and Economic Reality</w:t>
      </w:r>
      <w:r w:rsidR="00A91E42">
        <w:rPr>
          <w:rFonts w:ascii="Times New Roman" w:eastAsia="Times New Roman" w:hAnsi="Times New Roman" w:cs="Times New Roman"/>
          <w:sz w:val="24"/>
          <w:szCs w:val="24"/>
          <w:lang w:val="en-GB" w:eastAsia="en-GB"/>
        </w:rPr>
        <w:t xml:space="preserve">. </w:t>
      </w:r>
      <w:r w:rsidRPr="00B46D18">
        <w:rPr>
          <w:rFonts w:ascii="Times New Roman" w:eastAsia="Times New Roman" w:hAnsi="Times New Roman" w:cs="Times New Roman"/>
          <w:sz w:val="24"/>
          <w:szCs w:val="24"/>
          <w:lang w:val="en-GB" w:eastAsia="en-GB"/>
        </w:rPr>
        <w:t>London: Macmillan.</w:t>
      </w:r>
    </w:p>
    <w:p w14:paraId="598A832B" w14:textId="6DDDDDD4" w:rsidR="00C55DFD" w:rsidRDefault="00C55DFD" w:rsidP="004141E7">
      <w:pPr>
        <w:spacing w:after="0" w:line="480" w:lineRule="auto"/>
        <w:contextualSpacing/>
        <w:jc w:val="both"/>
        <w:rPr>
          <w:rFonts w:ascii="Times New Roman" w:eastAsia="Times New Roman" w:hAnsi="Times New Roman" w:cs="Times New Roman"/>
          <w:sz w:val="24"/>
          <w:szCs w:val="24"/>
          <w:lang w:val="en-GB" w:eastAsia="en-GB"/>
        </w:rPr>
      </w:pPr>
      <w:r w:rsidRPr="00B46D18">
        <w:rPr>
          <w:rFonts w:ascii="Times New Roman" w:eastAsia="Times New Roman" w:hAnsi="Times New Roman" w:cs="Times New Roman"/>
          <w:sz w:val="24"/>
          <w:szCs w:val="24"/>
          <w:lang w:val="en-GB" w:eastAsia="en-GB"/>
        </w:rPr>
        <w:t>H</w:t>
      </w:r>
      <w:r w:rsidR="00E40C66" w:rsidRPr="00B46D18">
        <w:rPr>
          <w:rFonts w:ascii="Times New Roman" w:eastAsia="Times New Roman" w:hAnsi="Times New Roman" w:cs="Times New Roman"/>
          <w:sz w:val="24"/>
          <w:szCs w:val="24"/>
          <w:lang w:val="en-GB" w:eastAsia="en-GB"/>
        </w:rPr>
        <w:t>o</w:t>
      </w:r>
      <w:r w:rsidRPr="00B46D18">
        <w:rPr>
          <w:rFonts w:ascii="Times New Roman" w:eastAsia="Times New Roman" w:hAnsi="Times New Roman" w:cs="Times New Roman"/>
          <w:sz w:val="24"/>
          <w:szCs w:val="24"/>
          <w:lang w:val="en-GB" w:eastAsia="en-GB"/>
        </w:rPr>
        <w:t xml:space="preserve">lmes, M. (1997) </w:t>
      </w:r>
      <w:r w:rsidRPr="00A91E42">
        <w:rPr>
          <w:rFonts w:ascii="Times New Roman" w:eastAsia="Times New Roman" w:hAnsi="Times New Roman" w:cs="Times New Roman"/>
          <w:sz w:val="24"/>
          <w:szCs w:val="24"/>
          <w:lang w:val="en-GB" w:eastAsia="en-GB"/>
        </w:rPr>
        <w:t>The Failure of the Heath Government.</w:t>
      </w:r>
      <w:r w:rsidRPr="00B46D18">
        <w:rPr>
          <w:rFonts w:ascii="Times New Roman" w:eastAsia="Times New Roman" w:hAnsi="Times New Roman" w:cs="Times New Roman"/>
          <w:sz w:val="24"/>
          <w:szCs w:val="24"/>
          <w:lang w:val="en-GB" w:eastAsia="en-GB"/>
        </w:rPr>
        <w:t xml:space="preserve"> London: Macmillan. </w:t>
      </w:r>
    </w:p>
    <w:p w14:paraId="2B8D6620" w14:textId="61EB8D1B" w:rsidR="00A91E42" w:rsidRDefault="00157BCC" w:rsidP="00A91E42">
      <w:pPr>
        <w:spacing w:line="480" w:lineRule="auto"/>
        <w:jc w:val="both"/>
        <w:rPr>
          <w:rFonts w:ascii="Times New Roman" w:hAnsi="Times New Roman" w:cs="Times New Roman"/>
          <w:iCs/>
          <w:sz w:val="24"/>
          <w:szCs w:val="24"/>
          <w:lang w:val="en-GB"/>
        </w:rPr>
      </w:pPr>
      <w:r w:rsidRPr="00B46D18">
        <w:rPr>
          <w:rFonts w:ascii="Times New Roman" w:hAnsi="Times New Roman" w:cs="Times New Roman"/>
          <w:bCs/>
          <w:sz w:val="24"/>
          <w:szCs w:val="24"/>
          <w:lang w:val="en-GB"/>
        </w:rPr>
        <w:t xml:space="preserve">Kavanagh, D. (1996) </w:t>
      </w:r>
      <w:r w:rsidR="00A91E42">
        <w:rPr>
          <w:rFonts w:ascii="Times New Roman" w:hAnsi="Times New Roman" w:cs="Times New Roman"/>
          <w:sz w:val="24"/>
          <w:szCs w:val="24"/>
          <w:lang w:val="en-GB"/>
        </w:rPr>
        <w:t>1970-1974. In:</w:t>
      </w:r>
      <w:r w:rsidR="002D54FF" w:rsidRPr="00B46D18">
        <w:rPr>
          <w:rFonts w:ascii="Times New Roman" w:hAnsi="Times New Roman" w:cs="Times New Roman"/>
          <w:sz w:val="24"/>
          <w:szCs w:val="24"/>
          <w:lang w:val="en-GB"/>
        </w:rPr>
        <w:t xml:space="preserve"> </w:t>
      </w:r>
      <w:r w:rsidR="00487B35">
        <w:rPr>
          <w:rFonts w:ascii="Times New Roman" w:hAnsi="Times New Roman" w:cs="Times New Roman"/>
          <w:sz w:val="24"/>
          <w:szCs w:val="24"/>
          <w:lang w:val="en-GB"/>
        </w:rPr>
        <w:t>A. Seldon</w:t>
      </w:r>
      <w:r w:rsidR="002D54FF" w:rsidRPr="00B46D18">
        <w:rPr>
          <w:rFonts w:ascii="Times New Roman" w:hAnsi="Times New Roman" w:cs="Times New Roman"/>
          <w:sz w:val="24"/>
          <w:szCs w:val="24"/>
          <w:lang w:val="en-GB"/>
        </w:rPr>
        <w:t xml:space="preserve"> (ed.) </w:t>
      </w:r>
      <w:r w:rsidR="002D54FF" w:rsidRPr="00A91E42">
        <w:rPr>
          <w:rFonts w:ascii="Times New Roman" w:hAnsi="Times New Roman" w:cs="Times New Roman"/>
          <w:iCs/>
          <w:sz w:val="24"/>
          <w:szCs w:val="24"/>
          <w:lang w:val="en-GB"/>
        </w:rPr>
        <w:t>How Tory Governments Fall: The Tory Party in Power since 1783</w:t>
      </w:r>
      <w:r w:rsidR="00A91E42">
        <w:rPr>
          <w:rFonts w:ascii="Times New Roman" w:hAnsi="Times New Roman" w:cs="Times New Roman"/>
          <w:iCs/>
          <w:sz w:val="24"/>
          <w:szCs w:val="24"/>
          <w:lang w:val="en-GB"/>
        </w:rPr>
        <w:t>.</w:t>
      </w:r>
      <w:r w:rsidR="002D54FF" w:rsidRPr="00A91E42">
        <w:rPr>
          <w:rFonts w:ascii="Times New Roman" w:hAnsi="Times New Roman" w:cs="Times New Roman"/>
          <w:iCs/>
          <w:sz w:val="24"/>
          <w:szCs w:val="24"/>
          <w:lang w:val="en-GB"/>
        </w:rPr>
        <w:t xml:space="preserve"> </w:t>
      </w:r>
      <w:r w:rsidR="002D54FF" w:rsidRPr="00B46D18">
        <w:rPr>
          <w:rFonts w:ascii="Times New Roman" w:hAnsi="Times New Roman" w:cs="Times New Roman"/>
          <w:iCs/>
          <w:sz w:val="24"/>
          <w:szCs w:val="24"/>
          <w:lang w:val="en-GB"/>
        </w:rPr>
        <w:t xml:space="preserve">London: Longman. </w:t>
      </w:r>
    </w:p>
    <w:p w14:paraId="69817B5A" w14:textId="77777777" w:rsidR="00A91E42" w:rsidRDefault="00C54E49" w:rsidP="00A91E42">
      <w:pPr>
        <w:spacing w:line="48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Kavanagh, D. and Morris, P. (1994) </w:t>
      </w:r>
      <w:r w:rsidRPr="00A91E42">
        <w:rPr>
          <w:rFonts w:ascii="Times New Roman" w:hAnsi="Times New Roman" w:cs="Times New Roman"/>
          <w:iCs/>
          <w:sz w:val="24"/>
          <w:szCs w:val="24"/>
          <w:lang w:val="en-GB"/>
        </w:rPr>
        <w:t>Consensus Politics from Attlee to Major</w:t>
      </w:r>
      <w:r w:rsidR="00A91E42">
        <w:rPr>
          <w:rFonts w:ascii="Times New Roman" w:hAnsi="Times New Roman" w:cs="Times New Roman"/>
          <w:sz w:val="24"/>
          <w:szCs w:val="24"/>
          <w:lang w:val="en-GB"/>
        </w:rPr>
        <w:t>.</w:t>
      </w:r>
      <w:r w:rsidR="008922F4" w:rsidRPr="00B46D18">
        <w:rPr>
          <w:rFonts w:ascii="Times New Roman" w:hAnsi="Times New Roman" w:cs="Times New Roman"/>
          <w:sz w:val="24"/>
          <w:szCs w:val="24"/>
          <w:lang w:val="en-GB"/>
        </w:rPr>
        <w:t xml:space="preserve"> </w:t>
      </w:r>
      <w:r w:rsidRPr="00B46D18">
        <w:rPr>
          <w:rFonts w:ascii="Times New Roman" w:hAnsi="Times New Roman" w:cs="Times New Roman"/>
          <w:sz w:val="24"/>
          <w:szCs w:val="24"/>
          <w:lang w:val="en-GB"/>
        </w:rPr>
        <w:t xml:space="preserve">Oxford: Blackwell.  </w:t>
      </w:r>
    </w:p>
    <w:p w14:paraId="3D02972F" w14:textId="01572E9F" w:rsidR="008922F4" w:rsidRPr="00A91E42" w:rsidRDefault="00A91E42" w:rsidP="00A91E42">
      <w:pPr>
        <w:spacing w:line="480" w:lineRule="auto"/>
        <w:jc w:val="both"/>
        <w:rPr>
          <w:rFonts w:ascii="Times New Roman" w:hAnsi="Times New Roman" w:cs="Times New Roman"/>
          <w:sz w:val="24"/>
          <w:szCs w:val="24"/>
          <w:lang w:val="en-GB"/>
        </w:rPr>
      </w:pPr>
      <w:r>
        <w:rPr>
          <w:rFonts w:ascii="Times New Roman" w:hAnsi="Times New Roman"/>
          <w:sz w:val="24"/>
          <w:szCs w:val="24"/>
          <w:lang w:val="en-GB"/>
        </w:rPr>
        <w:t xml:space="preserve">King, A. (1975) </w:t>
      </w:r>
      <w:r w:rsidR="008922F4" w:rsidRPr="00B46D18">
        <w:rPr>
          <w:rFonts w:ascii="Times New Roman" w:hAnsi="Times New Roman"/>
          <w:sz w:val="24"/>
          <w:szCs w:val="24"/>
          <w:lang w:val="en-GB"/>
        </w:rPr>
        <w:t>Overload: Problems of Governing in the 1970s</w:t>
      </w:r>
      <w:r>
        <w:rPr>
          <w:rFonts w:ascii="Times New Roman" w:hAnsi="Times New Roman"/>
          <w:sz w:val="24"/>
          <w:szCs w:val="24"/>
          <w:lang w:val="en-GB"/>
        </w:rPr>
        <w:t>.</w:t>
      </w:r>
      <w:r w:rsidR="008922F4" w:rsidRPr="00B46D18">
        <w:rPr>
          <w:rFonts w:ascii="Times New Roman" w:hAnsi="Times New Roman"/>
          <w:sz w:val="24"/>
          <w:szCs w:val="24"/>
          <w:lang w:val="en-GB"/>
        </w:rPr>
        <w:t xml:space="preserve"> </w:t>
      </w:r>
      <w:r w:rsidR="008922F4" w:rsidRPr="00A91E42">
        <w:rPr>
          <w:rFonts w:ascii="Times New Roman" w:hAnsi="Times New Roman"/>
          <w:iCs/>
          <w:sz w:val="24"/>
          <w:szCs w:val="24"/>
          <w:lang w:val="en-GB"/>
        </w:rPr>
        <w:t>Political Studies</w:t>
      </w:r>
      <w:r w:rsidR="008922F4" w:rsidRPr="00B46D18">
        <w:rPr>
          <w:rFonts w:ascii="Times New Roman" w:hAnsi="Times New Roman"/>
          <w:sz w:val="24"/>
          <w:szCs w:val="24"/>
          <w:lang w:val="en-GB"/>
        </w:rPr>
        <w:t xml:space="preserve"> 23 (2-3): 284–96. </w:t>
      </w:r>
    </w:p>
    <w:p w14:paraId="66BE0EEE" w14:textId="200D5BFE" w:rsidR="008B5D4D" w:rsidRPr="00B46D18" w:rsidRDefault="008B5D4D" w:rsidP="004141E7">
      <w:pPr>
        <w:spacing w:after="0" w:line="480" w:lineRule="auto"/>
        <w:jc w:val="both"/>
        <w:rPr>
          <w:rFonts w:ascii="Times New Roman" w:eastAsia="Times New Roman" w:hAnsi="Times New Roman" w:cs="Times New Roman"/>
          <w:sz w:val="24"/>
          <w:szCs w:val="24"/>
          <w:lang w:val="en-GB" w:eastAsia="en-GB"/>
        </w:rPr>
      </w:pPr>
      <w:r w:rsidRPr="00B46D18">
        <w:rPr>
          <w:rFonts w:ascii="Times New Roman" w:eastAsia="Times New Roman" w:hAnsi="Times New Roman" w:cs="Times New Roman"/>
          <w:sz w:val="24"/>
          <w:szCs w:val="24"/>
          <w:lang w:val="en-GB" w:eastAsia="en-GB"/>
        </w:rPr>
        <w:t xml:space="preserve">Kitzinger, U. (1973) </w:t>
      </w:r>
      <w:r w:rsidRPr="00A91E42">
        <w:rPr>
          <w:rFonts w:ascii="Times New Roman" w:eastAsia="Times New Roman" w:hAnsi="Times New Roman" w:cs="Times New Roman"/>
          <w:iCs/>
          <w:sz w:val="24"/>
          <w:szCs w:val="24"/>
          <w:lang w:val="en-GB" w:eastAsia="en-GB"/>
        </w:rPr>
        <w:t>Diplomacy and Persuasion: How Britain joined the Common Market</w:t>
      </w:r>
      <w:r w:rsidR="00A91E42">
        <w:rPr>
          <w:rFonts w:ascii="Times New Roman" w:eastAsia="Times New Roman" w:hAnsi="Times New Roman" w:cs="Times New Roman"/>
          <w:iCs/>
          <w:sz w:val="24"/>
          <w:szCs w:val="24"/>
          <w:lang w:val="en-GB" w:eastAsia="en-GB"/>
        </w:rPr>
        <w:t>.</w:t>
      </w:r>
      <w:r w:rsidRPr="00B46D18">
        <w:rPr>
          <w:rFonts w:ascii="Times New Roman" w:eastAsia="Times New Roman" w:hAnsi="Times New Roman" w:cs="Times New Roman"/>
          <w:sz w:val="24"/>
          <w:szCs w:val="24"/>
          <w:lang w:val="en-GB" w:eastAsia="en-GB"/>
        </w:rPr>
        <w:t xml:space="preserve"> London: Thames and Hudson. </w:t>
      </w:r>
    </w:p>
    <w:p w14:paraId="755AA26F" w14:textId="09E1D9C3" w:rsidR="005E5AD0" w:rsidRPr="00B46D18" w:rsidRDefault="00A72E81" w:rsidP="004141E7">
      <w:pPr>
        <w:spacing w:after="0"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bCs/>
          <w:sz w:val="24"/>
          <w:szCs w:val="24"/>
          <w:lang w:val="en-GB"/>
        </w:rPr>
        <w:t xml:space="preserve">Lord, C. (1993) </w:t>
      </w:r>
      <w:r w:rsidR="007B5F8D" w:rsidRPr="00A91E42">
        <w:rPr>
          <w:rFonts w:ascii="Times New Roman" w:hAnsi="Times New Roman" w:cs="Times New Roman"/>
          <w:iCs/>
          <w:sz w:val="24"/>
          <w:szCs w:val="24"/>
          <w:lang w:val="en-GB"/>
        </w:rPr>
        <w:t>British Entry to the European Community under the Heath Government,</w:t>
      </w:r>
      <w:r w:rsidR="007B5F8D" w:rsidRPr="00B46D18">
        <w:rPr>
          <w:rFonts w:ascii="Times New Roman" w:hAnsi="Times New Roman" w:cs="Times New Roman"/>
          <w:i/>
          <w:iCs/>
          <w:sz w:val="24"/>
          <w:szCs w:val="24"/>
          <w:lang w:val="en-GB"/>
        </w:rPr>
        <w:t xml:space="preserve"> </w:t>
      </w:r>
      <w:r w:rsidR="007B5F8D" w:rsidRPr="00A91E42">
        <w:rPr>
          <w:rFonts w:ascii="Times New Roman" w:hAnsi="Times New Roman" w:cs="Times New Roman"/>
          <w:iCs/>
          <w:sz w:val="24"/>
          <w:szCs w:val="24"/>
          <w:lang w:val="en-GB"/>
        </w:rPr>
        <w:t>1970–74</w:t>
      </w:r>
      <w:r w:rsidR="00A91E42" w:rsidRPr="00A91E42">
        <w:rPr>
          <w:rFonts w:ascii="Times New Roman" w:hAnsi="Times New Roman" w:cs="Times New Roman"/>
          <w:iCs/>
          <w:sz w:val="24"/>
          <w:szCs w:val="24"/>
          <w:lang w:val="en-GB"/>
        </w:rPr>
        <w:t>.</w:t>
      </w:r>
      <w:r w:rsidR="007B5F8D" w:rsidRPr="00B46D18">
        <w:rPr>
          <w:rFonts w:ascii="Times New Roman" w:hAnsi="Times New Roman" w:cs="Times New Roman"/>
          <w:sz w:val="24"/>
          <w:szCs w:val="24"/>
          <w:shd w:val="clear" w:color="auto" w:fill="FFFFFF"/>
          <w:lang w:val="en-GB"/>
        </w:rPr>
        <w:t xml:space="preserve"> </w:t>
      </w:r>
      <w:r w:rsidR="00E24374" w:rsidRPr="00B46D18">
        <w:rPr>
          <w:rFonts w:ascii="Times New Roman" w:hAnsi="Times New Roman" w:cs="Times New Roman"/>
          <w:sz w:val="24"/>
          <w:szCs w:val="24"/>
          <w:lang w:val="en-GB"/>
        </w:rPr>
        <w:t>Aldershot</w:t>
      </w:r>
      <w:r w:rsidR="00A91E42">
        <w:rPr>
          <w:rFonts w:ascii="Times New Roman" w:hAnsi="Times New Roman" w:cs="Times New Roman"/>
          <w:sz w:val="24"/>
          <w:szCs w:val="24"/>
          <w:lang w:val="en-GB"/>
        </w:rPr>
        <w:t>:</w:t>
      </w:r>
      <w:r w:rsidR="00E24374" w:rsidRPr="00B46D18">
        <w:rPr>
          <w:rFonts w:ascii="Times New Roman" w:hAnsi="Times New Roman" w:cs="Times New Roman"/>
          <w:sz w:val="24"/>
          <w:szCs w:val="24"/>
          <w:lang w:val="en-GB"/>
        </w:rPr>
        <w:t xml:space="preserve"> Dartmouth.</w:t>
      </w:r>
    </w:p>
    <w:p w14:paraId="783F7E91" w14:textId="090C2F79" w:rsidR="005E5AD0" w:rsidRPr="00B46D18" w:rsidRDefault="005E5AD0" w:rsidP="004141E7">
      <w:pPr>
        <w:spacing w:after="0" w:line="480" w:lineRule="auto"/>
        <w:contextualSpacing/>
        <w:jc w:val="both"/>
        <w:rPr>
          <w:rFonts w:ascii="Times New Roman" w:hAnsi="Times New Roman" w:cs="Times New Roman"/>
          <w:sz w:val="24"/>
          <w:szCs w:val="24"/>
          <w:shd w:val="clear" w:color="auto" w:fill="FFFFFF"/>
          <w:lang w:val="en-GB"/>
        </w:rPr>
      </w:pPr>
      <w:r w:rsidRPr="00B46D18">
        <w:rPr>
          <w:rFonts w:ascii="Times New Roman" w:hAnsi="Times New Roman" w:cs="Times New Roman"/>
          <w:sz w:val="24"/>
          <w:szCs w:val="24"/>
          <w:lang w:val="en-GB"/>
        </w:rPr>
        <w:t>M</w:t>
      </w:r>
      <w:r w:rsidR="00E24374" w:rsidRPr="00B46D18">
        <w:rPr>
          <w:rFonts w:ascii="Times New Roman" w:hAnsi="Times New Roman" w:cs="Times New Roman"/>
          <w:sz w:val="24"/>
          <w:szCs w:val="24"/>
          <w:lang w:val="en-GB"/>
        </w:rPr>
        <w:t>a</w:t>
      </w:r>
      <w:r w:rsidR="00A91E42">
        <w:rPr>
          <w:rFonts w:ascii="Times New Roman" w:hAnsi="Times New Roman" w:cs="Times New Roman"/>
          <w:sz w:val="24"/>
          <w:szCs w:val="24"/>
          <w:lang w:val="en-GB"/>
        </w:rPr>
        <w:t xml:space="preserve">rsh, D. (2012) </w:t>
      </w:r>
      <w:r w:rsidRPr="00B46D18">
        <w:rPr>
          <w:rFonts w:ascii="Times New Roman" w:hAnsi="Times New Roman" w:cs="Times New Roman"/>
          <w:sz w:val="24"/>
          <w:szCs w:val="24"/>
          <w:lang w:val="en-GB"/>
        </w:rPr>
        <w:t>Bri</w:t>
      </w:r>
      <w:r w:rsidR="00A91E42">
        <w:rPr>
          <w:rFonts w:ascii="Times New Roman" w:hAnsi="Times New Roman" w:cs="Times New Roman"/>
          <w:sz w:val="24"/>
          <w:szCs w:val="24"/>
          <w:lang w:val="en-GB"/>
        </w:rPr>
        <w:t xml:space="preserve">tish politics: A view from afar. </w:t>
      </w:r>
      <w:r w:rsidRPr="00A91E42">
        <w:rPr>
          <w:rFonts w:ascii="Times New Roman" w:hAnsi="Times New Roman" w:cs="Times New Roman"/>
          <w:iCs/>
          <w:sz w:val="24"/>
          <w:szCs w:val="24"/>
          <w:lang w:val="en-GB"/>
        </w:rPr>
        <w:t>British Politics</w:t>
      </w:r>
      <w:r w:rsidRPr="00B46D18">
        <w:rPr>
          <w:rFonts w:ascii="Times New Roman" w:hAnsi="Times New Roman" w:cs="Times New Roman"/>
          <w:sz w:val="24"/>
          <w:szCs w:val="24"/>
          <w:lang w:val="en-GB"/>
        </w:rPr>
        <w:t xml:space="preserve"> 7 (1): 43-54.</w:t>
      </w:r>
    </w:p>
    <w:p w14:paraId="4E61B2D1" w14:textId="3540C455" w:rsidR="003B0E6D" w:rsidRPr="00B46D18" w:rsidRDefault="003B0E6D" w:rsidP="004141E7">
      <w:pPr>
        <w:spacing w:after="0" w:line="480" w:lineRule="auto"/>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 xml:space="preserve">McDaid, S. (2013) </w:t>
      </w:r>
      <w:r w:rsidRPr="00A91E42">
        <w:rPr>
          <w:rFonts w:ascii="Times New Roman" w:hAnsi="Times New Roman" w:cs="Times New Roman"/>
          <w:sz w:val="24"/>
          <w:szCs w:val="24"/>
          <w:lang w:val="en-GB"/>
        </w:rPr>
        <w:t>Template for Peace: Northern Ireland, 1972-75</w:t>
      </w:r>
      <w:r w:rsidR="00A91E42">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Manchester: Manchester University Press. </w:t>
      </w:r>
    </w:p>
    <w:p w14:paraId="763057D1" w14:textId="186BD2E1" w:rsidR="005E3D90" w:rsidRPr="00B46D18" w:rsidRDefault="005E3D90" w:rsidP="004141E7">
      <w:pPr>
        <w:spacing w:after="0" w:line="480" w:lineRule="auto"/>
        <w:contextualSpacing/>
        <w:jc w:val="both"/>
        <w:rPr>
          <w:rFonts w:ascii="Times New Roman" w:hAnsi="Times New Roman" w:cs="Times New Roman"/>
          <w:bCs/>
          <w:sz w:val="24"/>
          <w:szCs w:val="24"/>
          <w:lang w:val="en-GB"/>
        </w:rPr>
      </w:pPr>
      <w:bookmarkStart w:id="7" w:name="_Hlk30488913"/>
      <w:r w:rsidRPr="00B46D18">
        <w:rPr>
          <w:rFonts w:ascii="Times New Roman" w:hAnsi="Times New Roman" w:cs="Times New Roman"/>
          <w:bCs/>
          <w:sz w:val="24"/>
          <w:szCs w:val="24"/>
          <w:lang w:val="en-GB"/>
        </w:rPr>
        <w:t xml:space="preserve">Moran, M. (1977) </w:t>
      </w:r>
      <w:r w:rsidRPr="00A91E42">
        <w:rPr>
          <w:rFonts w:ascii="Times New Roman" w:hAnsi="Times New Roman" w:cs="Times New Roman"/>
          <w:bCs/>
          <w:iCs/>
          <w:sz w:val="24"/>
          <w:szCs w:val="24"/>
          <w:lang w:val="en-GB"/>
        </w:rPr>
        <w:t>Politics of Industrial Relations: The Origins, Life and Death of the 1971 Industrial Relations Act</w:t>
      </w:r>
      <w:r w:rsidR="00A91E42">
        <w:rPr>
          <w:rFonts w:ascii="Times New Roman" w:hAnsi="Times New Roman" w:cs="Times New Roman"/>
          <w:bCs/>
          <w:sz w:val="24"/>
          <w:szCs w:val="24"/>
          <w:lang w:val="en-GB"/>
        </w:rPr>
        <w:t>.</w:t>
      </w:r>
      <w:r w:rsidRPr="00B46D18">
        <w:rPr>
          <w:rFonts w:ascii="Times New Roman" w:hAnsi="Times New Roman" w:cs="Times New Roman"/>
          <w:bCs/>
          <w:sz w:val="24"/>
          <w:szCs w:val="24"/>
          <w:lang w:val="en-GB"/>
        </w:rPr>
        <w:t xml:space="preserve"> London: Macmillan.</w:t>
      </w:r>
    </w:p>
    <w:bookmarkEnd w:id="7"/>
    <w:p w14:paraId="07682A7D" w14:textId="52917BA5" w:rsidR="0084735C" w:rsidRPr="00B46D18" w:rsidRDefault="0084735C" w:rsidP="004141E7">
      <w:pPr>
        <w:spacing w:after="0" w:line="480" w:lineRule="auto"/>
        <w:contextualSpacing/>
        <w:jc w:val="both"/>
        <w:rPr>
          <w:rFonts w:ascii="Times New Roman" w:hAnsi="Times New Roman" w:cs="Times New Roman"/>
          <w:sz w:val="24"/>
          <w:szCs w:val="24"/>
          <w:lang w:val="en-GB"/>
        </w:rPr>
      </w:pPr>
      <w:r w:rsidRPr="00B46D18">
        <w:rPr>
          <w:rFonts w:ascii="Times New Roman" w:eastAsia="Palatino-RomanJ" w:hAnsi="Times New Roman" w:cs="Times New Roman"/>
          <w:sz w:val="24"/>
          <w:szCs w:val="24"/>
          <w:lang w:val="en-GB"/>
        </w:rPr>
        <w:t xml:space="preserve">Norton, P. (1978) </w:t>
      </w:r>
      <w:r w:rsidRPr="00A91E42">
        <w:rPr>
          <w:rFonts w:ascii="Times New Roman" w:hAnsi="Times New Roman" w:cs="Times New Roman"/>
          <w:sz w:val="24"/>
          <w:szCs w:val="24"/>
          <w:lang w:val="en-GB"/>
        </w:rPr>
        <w:t>Conservative Dissidents: Dissent within the Parliamentary Conservative Party 1970-74</w:t>
      </w:r>
      <w:r w:rsidR="00A91E42">
        <w:rPr>
          <w:rFonts w:ascii="Times New Roman" w:hAnsi="Times New Roman" w:cs="Times New Roman"/>
          <w:sz w:val="24"/>
          <w:szCs w:val="24"/>
          <w:lang w:val="en-GB"/>
        </w:rPr>
        <w:t>.</w:t>
      </w:r>
      <w:r w:rsidRPr="00B46D18">
        <w:rPr>
          <w:rFonts w:ascii="Times New Roman" w:hAnsi="Times New Roman" w:cs="Times New Roman"/>
          <w:sz w:val="24"/>
          <w:szCs w:val="24"/>
          <w:lang w:val="en-GB"/>
        </w:rPr>
        <w:t xml:space="preserve"> London: Temple Smith. </w:t>
      </w:r>
    </w:p>
    <w:p w14:paraId="6B1EA664" w14:textId="39420F98" w:rsidR="002D54FF" w:rsidRPr="00B46D18" w:rsidRDefault="002D54FF" w:rsidP="004141E7">
      <w:pPr>
        <w:spacing w:after="0" w:line="480" w:lineRule="auto"/>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O’Hara, G. and Parr, H. (eds.)</w:t>
      </w:r>
      <w:r w:rsidR="00487B35">
        <w:rPr>
          <w:rFonts w:ascii="Times New Roman" w:hAnsi="Times New Roman" w:cs="Times New Roman"/>
          <w:sz w:val="24"/>
          <w:szCs w:val="24"/>
          <w:lang w:val="en-GB"/>
        </w:rPr>
        <w:t xml:space="preserve"> (2006)</w:t>
      </w:r>
      <w:r w:rsidRPr="00B46D18">
        <w:rPr>
          <w:rFonts w:ascii="Times New Roman" w:hAnsi="Times New Roman" w:cs="Times New Roman"/>
          <w:sz w:val="24"/>
          <w:szCs w:val="24"/>
          <w:lang w:val="en-GB"/>
        </w:rPr>
        <w:t xml:space="preserve"> </w:t>
      </w:r>
      <w:r w:rsidRPr="00487B35">
        <w:rPr>
          <w:rFonts w:ascii="Times New Roman" w:hAnsi="Times New Roman" w:cs="Times New Roman"/>
          <w:iCs/>
          <w:sz w:val="24"/>
          <w:szCs w:val="24"/>
          <w:lang w:val="en-GB"/>
        </w:rPr>
        <w:t>The Wilson Governments 1964-1970 Reconsidered</w:t>
      </w:r>
      <w:r w:rsidR="00487B35">
        <w:rPr>
          <w:rFonts w:ascii="Times New Roman" w:hAnsi="Times New Roman" w:cs="Times New Roman"/>
          <w:sz w:val="24"/>
          <w:szCs w:val="24"/>
          <w:lang w:val="en-GB"/>
        </w:rPr>
        <w:t xml:space="preserve">. </w:t>
      </w:r>
      <w:r w:rsidRPr="00B46D18">
        <w:rPr>
          <w:rFonts w:ascii="Times New Roman" w:hAnsi="Times New Roman" w:cs="Times New Roman"/>
          <w:sz w:val="24"/>
          <w:szCs w:val="24"/>
          <w:lang w:val="en-GB"/>
        </w:rPr>
        <w:t>London: Routledg</w:t>
      </w:r>
      <w:r w:rsidR="00487B35">
        <w:rPr>
          <w:rFonts w:ascii="Times New Roman" w:hAnsi="Times New Roman" w:cs="Times New Roman"/>
          <w:sz w:val="24"/>
          <w:szCs w:val="24"/>
          <w:lang w:val="en-GB"/>
        </w:rPr>
        <w:t>e</w:t>
      </w:r>
      <w:r w:rsidRPr="00B46D18">
        <w:rPr>
          <w:rFonts w:ascii="Times New Roman" w:hAnsi="Times New Roman" w:cs="Times New Roman"/>
          <w:sz w:val="24"/>
          <w:szCs w:val="24"/>
          <w:lang w:val="en-GB"/>
        </w:rPr>
        <w:t>.</w:t>
      </w:r>
    </w:p>
    <w:p w14:paraId="44404E96" w14:textId="2AC9B76B" w:rsidR="0013739B" w:rsidRPr="00B46D18" w:rsidRDefault="00487B35" w:rsidP="004141E7">
      <w:pPr>
        <w:spacing w:line="480" w:lineRule="auto"/>
        <w:contextualSpacing/>
        <w:jc w:val="both"/>
        <w:rPr>
          <w:rFonts w:ascii="Times New Roman" w:eastAsia="SimSun" w:hAnsi="Times New Roman" w:cs="Times New Roman"/>
          <w:sz w:val="24"/>
          <w:szCs w:val="24"/>
          <w:lang w:val="en-GB" w:eastAsia="zh-CN"/>
        </w:rPr>
      </w:pPr>
      <w:r>
        <w:rPr>
          <w:rFonts w:ascii="Times New Roman" w:hAnsi="Times New Roman" w:cs="Times New Roman"/>
          <w:bCs/>
          <w:sz w:val="24"/>
          <w:szCs w:val="24"/>
          <w:lang w:val="en-GB"/>
        </w:rPr>
        <w:t xml:space="preserve">Phillips, J. (2006) </w:t>
      </w:r>
      <w:r w:rsidR="0013739B" w:rsidRPr="00B46D18">
        <w:rPr>
          <w:rFonts w:ascii="Times New Roman" w:hAnsi="Times New Roman" w:cs="Times New Roman"/>
          <w:bCs/>
          <w:sz w:val="24"/>
          <w:szCs w:val="24"/>
          <w:lang w:val="en-GB"/>
        </w:rPr>
        <w:t xml:space="preserve">The 1972 Miners' Strike: Popular Agency and </w:t>
      </w:r>
      <w:r>
        <w:rPr>
          <w:rFonts w:ascii="Times New Roman" w:hAnsi="Times New Roman" w:cs="Times New Roman"/>
          <w:bCs/>
          <w:sz w:val="24"/>
          <w:szCs w:val="24"/>
          <w:lang w:val="en-GB"/>
        </w:rPr>
        <w:t>Industrial Politics in Britain.</w:t>
      </w:r>
      <w:r w:rsidR="0013739B" w:rsidRPr="00B46D18">
        <w:rPr>
          <w:rFonts w:ascii="Times New Roman" w:hAnsi="Times New Roman" w:cs="Times New Roman"/>
          <w:bCs/>
          <w:sz w:val="24"/>
          <w:szCs w:val="24"/>
          <w:lang w:val="en-GB"/>
        </w:rPr>
        <w:t xml:space="preserve"> </w:t>
      </w:r>
      <w:r w:rsidR="0013739B" w:rsidRPr="00487B35">
        <w:rPr>
          <w:rFonts w:ascii="Times New Roman" w:hAnsi="Times New Roman" w:cs="Times New Roman"/>
          <w:bCs/>
          <w:iCs/>
          <w:sz w:val="24"/>
          <w:szCs w:val="24"/>
          <w:lang w:val="en-GB"/>
        </w:rPr>
        <w:t>Contemporary British History</w:t>
      </w:r>
      <w:r w:rsidR="0013739B" w:rsidRPr="00B46D18">
        <w:rPr>
          <w:rFonts w:ascii="Times New Roman" w:hAnsi="Times New Roman" w:cs="Times New Roman"/>
          <w:bCs/>
          <w:sz w:val="24"/>
          <w:szCs w:val="24"/>
          <w:lang w:val="en-GB"/>
        </w:rPr>
        <w:t xml:space="preserve"> 20 (2): </w:t>
      </w:r>
      <w:r w:rsidR="0013739B" w:rsidRPr="00B46D18">
        <w:rPr>
          <w:rFonts w:ascii="Times New Roman" w:eastAsia="SimSun" w:hAnsi="Times New Roman" w:cs="Times New Roman"/>
          <w:sz w:val="24"/>
          <w:szCs w:val="24"/>
          <w:lang w:val="en-GB" w:eastAsia="zh-CN"/>
        </w:rPr>
        <w:t xml:space="preserve">187-207. </w:t>
      </w:r>
    </w:p>
    <w:p w14:paraId="6FA5BC93" w14:textId="3B275909" w:rsidR="0013739B" w:rsidRPr="00B46D18" w:rsidRDefault="00487B35" w:rsidP="004141E7">
      <w:pPr>
        <w:spacing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lastRenderedPageBreak/>
        <w:t xml:space="preserve">Phillips, J. (2007) </w:t>
      </w:r>
      <w:r w:rsidR="0013739B" w:rsidRPr="00B46D18">
        <w:rPr>
          <w:rFonts w:ascii="Times New Roman" w:hAnsi="Times New Roman" w:cs="Times New Roman"/>
          <w:sz w:val="24"/>
          <w:szCs w:val="24"/>
          <w:shd w:val="clear" w:color="auto" w:fill="FFFFFF"/>
          <w:lang w:val="en-GB"/>
        </w:rPr>
        <w:t>Industrial relations, historical contingencies and political economy: Britain in the 1960</w:t>
      </w:r>
      <w:r>
        <w:rPr>
          <w:rFonts w:ascii="Times New Roman" w:hAnsi="Times New Roman" w:cs="Times New Roman"/>
          <w:sz w:val="24"/>
          <w:szCs w:val="24"/>
          <w:shd w:val="clear" w:color="auto" w:fill="FFFFFF"/>
          <w:lang w:val="en-GB"/>
        </w:rPr>
        <w:t>s and 1970s.</w:t>
      </w:r>
      <w:r w:rsidR="0013739B" w:rsidRPr="00B46D18">
        <w:rPr>
          <w:rFonts w:ascii="Times New Roman" w:hAnsi="Times New Roman" w:cs="Times New Roman"/>
          <w:sz w:val="24"/>
          <w:szCs w:val="24"/>
          <w:shd w:val="clear" w:color="auto" w:fill="FFFFFF"/>
          <w:lang w:val="en-GB"/>
        </w:rPr>
        <w:t xml:space="preserve"> </w:t>
      </w:r>
      <w:r w:rsidR="0013739B" w:rsidRPr="00487B35">
        <w:rPr>
          <w:rFonts w:ascii="Times New Roman" w:hAnsi="Times New Roman" w:cs="Times New Roman"/>
          <w:iCs/>
          <w:sz w:val="24"/>
          <w:szCs w:val="24"/>
          <w:lang w:val="en-GB"/>
        </w:rPr>
        <w:t>Labour History Review</w:t>
      </w:r>
      <w:r w:rsidR="0013739B" w:rsidRPr="00B46D18">
        <w:rPr>
          <w:rFonts w:ascii="Times New Roman" w:hAnsi="Times New Roman" w:cs="Times New Roman"/>
          <w:sz w:val="24"/>
          <w:szCs w:val="24"/>
          <w:shd w:val="clear" w:color="auto" w:fill="FFFFFF"/>
          <w:lang w:val="en-GB"/>
        </w:rPr>
        <w:t xml:space="preserve"> 72 (3): 215-33.</w:t>
      </w:r>
    </w:p>
    <w:p w14:paraId="675FCD17" w14:textId="4690DEA7" w:rsidR="004009B9" w:rsidRPr="00B46D18" w:rsidRDefault="004009B9" w:rsidP="004141E7">
      <w:pPr>
        <w:spacing w:after="0" w:line="480" w:lineRule="auto"/>
        <w:contextualSpacing/>
        <w:jc w:val="both"/>
        <w:rPr>
          <w:rStyle w:val="personname"/>
          <w:rFonts w:ascii="Times New Roman" w:hAnsi="Times New Roman" w:cs="Times New Roman"/>
          <w:sz w:val="24"/>
          <w:szCs w:val="24"/>
          <w:bdr w:val="none" w:sz="0" w:space="0" w:color="auto" w:frame="1"/>
          <w:lang w:val="en-GB"/>
        </w:rPr>
      </w:pPr>
      <w:r w:rsidRPr="00B46D18">
        <w:rPr>
          <w:rFonts w:ascii="Times New Roman" w:hAnsi="Times New Roman" w:cs="Times New Roman"/>
          <w:sz w:val="24"/>
          <w:szCs w:val="24"/>
          <w:lang w:val="en-GB"/>
        </w:rPr>
        <w:t xml:space="preserve">Ponting, C. (1990) </w:t>
      </w:r>
      <w:r w:rsidRPr="00487B35">
        <w:rPr>
          <w:rStyle w:val="personname"/>
          <w:rFonts w:ascii="Times New Roman" w:hAnsi="Times New Roman" w:cs="Times New Roman"/>
          <w:sz w:val="24"/>
          <w:szCs w:val="24"/>
          <w:bdr w:val="none" w:sz="0" w:space="0" w:color="auto" w:frame="1"/>
          <w:lang w:val="en-GB"/>
        </w:rPr>
        <w:t>Breach of Promise: Labour in Power 1964–1970</w:t>
      </w:r>
      <w:r w:rsidR="00487B35">
        <w:rPr>
          <w:rStyle w:val="personname"/>
          <w:rFonts w:ascii="Times New Roman" w:hAnsi="Times New Roman" w:cs="Times New Roman"/>
          <w:sz w:val="24"/>
          <w:szCs w:val="24"/>
          <w:bdr w:val="none" w:sz="0" w:space="0" w:color="auto" w:frame="1"/>
          <w:lang w:val="en-GB"/>
        </w:rPr>
        <w:t xml:space="preserve">. </w:t>
      </w:r>
      <w:r w:rsidRPr="00B46D18">
        <w:rPr>
          <w:rStyle w:val="personname"/>
          <w:rFonts w:ascii="Times New Roman" w:hAnsi="Times New Roman" w:cs="Times New Roman"/>
          <w:sz w:val="24"/>
          <w:szCs w:val="24"/>
          <w:bdr w:val="none" w:sz="0" w:space="0" w:color="auto" w:frame="1"/>
          <w:lang w:val="en-GB"/>
        </w:rPr>
        <w:t>London: Harmondsworth.</w:t>
      </w:r>
    </w:p>
    <w:p w14:paraId="2B71453C" w14:textId="17987A71" w:rsidR="005E5AD0" w:rsidRPr="00B46D18" w:rsidRDefault="005E5AD0" w:rsidP="004141E7">
      <w:pPr>
        <w:spacing w:after="0" w:line="480" w:lineRule="auto"/>
        <w:contextualSpacing/>
        <w:jc w:val="both"/>
        <w:rPr>
          <w:rFonts w:ascii="Times New Roman" w:hAnsi="Times New Roman" w:cs="Times New Roman"/>
          <w:i/>
          <w:sz w:val="24"/>
          <w:szCs w:val="24"/>
          <w:lang w:val="en-GB"/>
        </w:rPr>
      </w:pPr>
      <w:r w:rsidRPr="00B46D18">
        <w:rPr>
          <w:rFonts w:ascii="Times New Roman" w:hAnsi="Times New Roman" w:cs="Times New Roman"/>
          <w:sz w:val="24"/>
          <w:szCs w:val="24"/>
          <w:lang w:val="en-GB"/>
        </w:rPr>
        <w:t xml:space="preserve">Ramsden, J. (1995) </w:t>
      </w:r>
      <w:r w:rsidRPr="00487B35">
        <w:rPr>
          <w:rFonts w:ascii="Times New Roman" w:hAnsi="Times New Roman" w:cs="Times New Roman"/>
          <w:sz w:val="24"/>
          <w:szCs w:val="24"/>
          <w:lang w:val="en-GB"/>
        </w:rPr>
        <w:t>The Age of Churchill and Eden 1940-1957</w:t>
      </w:r>
      <w:r w:rsidR="00487B35">
        <w:rPr>
          <w:rFonts w:ascii="Times New Roman" w:hAnsi="Times New Roman" w:cs="Times New Roman"/>
          <w:sz w:val="24"/>
          <w:szCs w:val="24"/>
          <w:lang w:val="en-GB"/>
        </w:rPr>
        <w:t>.</w:t>
      </w:r>
      <w:r w:rsidRPr="00B46D18">
        <w:rPr>
          <w:rFonts w:ascii="Times New Roman" w:hAnsi="Times New Roman" w:cs="Times New Roman"/>
          <w:i/>
          <w:sz w:val="24"/>
          <w:szCs w:val="24"/>
          <w:lang w:val="en-GB"/>
        </w:rPr>
        <w:t xml:space="preserve"> </w:t>
      </w:r>
      <w:r w:rsidRPr="00B46D18">
        <w:rPr>
          <w:rFonts w:ascii="Times New Roman" w:hAnsi="Times New Roman" w:cs="Times New Roman"/>
          <w:sz w:val="24"/>
          <w:szCs w:val="24"/>
          <w:lang w:val="en-GB"/>
        </w:rPr>
        <w:t>London: Longman.</w:t>
      </w:r>
    </w:p>
    <w:p w14:paraId="3379DD19" w14:textId="79E00F08" w:rsidR="005E5AD0" w:rsidRPr="00B46D18" w:rsidRDefault="005E5AD0" w:rsidP="004141E7">
      <w:pPr>
        <w:spacing w:line="480" w:lineRule="auto"/>
        <w:contextualSpacing/>
        <w:jc w:val="both"/>
        <w:rPr>
          <w:rFonts w:ascii="Times New Roman" w:eastAsia="Calibri" w:hAnsi="Times New Roman" w:cs="Times New Roman"/>
          <w:sz w:val="24"/>
          <w:szCs w:val="24"/>
          <w:lang w:val="en-GB"/>
        </w:rPr>
      </w:pPr>
      <w:bookmarkStart w:id="8" w:name="_Hlk30488940"/>
      <w:r w:rsidRPr="00B46D18">
        <w:rPr>
          <w:rFonts w:ascii="Times New Roman" w:eastAsia="Calibri" w:hAnsi="Times New Roman" w:cs="Times New Roman"/>
          <w:sz w:val="24"/>
          <w:szCs w:val="24"/>
          <w:lang w:val="en-GB"/>
        </w:rPr>
        <w:t xml:space="preserve">Ramsden, J. (1996) </w:t>
      </w:r>
      <w:r w:rsidRPr="00487B35">
        <w:rPr>
          <w:rFonts w:ascii="Times New Roman" w:eastAsia="Calibri" w:hAnsi="Times New Roman" w:cs="Times New Roman"/>
          <w:sz w:val="24"/>
          <w:szCs w:val="24"/>
          <w:lang w:val="en-GB"/>
        </w:rPr>
        <w:t>The Winds of Change: Macmillan and Heath 1957-1975</w:t>
      </w:r>
      <w:r w:rsidR="00487B35">
        <w:rPr>
          <w:rFonts w:ascii="Times New Roman" w:eastAsia="Calibri" w:hAnsi="Times New Roman" w:cs="Times New Roman"/>
          <w:sz w:val="24"/>
          <w:szCs w:val="24"/>
          <w:lang w:val="en-GB"/>
        </w:rPr>
        <w:t>.</w:t>
      </w:r>
      <w:r w:rsidRPr="00B46D18">
        <w:rPr>
          <w:rFonts w:ascii="Times New Roman" w:eastAsia="Calibri" w:hAnsi="Times New Roman" w:cs="Times New Roman"/>
          <w:sz w:val="24"/>
          <w:szCs w:val="24"/>
          <w:lang w:val="en-GB"/>
        </w:rPr>
        <w:t xml:space="preserve"> London: Longman. </w:t>
      </w:r>
    </w:p>
    <w:bookmarkEnd w:id="8"/>
    <w:p w14:paraId="6523DACD" w14:textId="55718D06" w:rsidR="005E5AD0" w:rsidRPr="00B46D18" w:rsidRDefault="005E5AD0" w:rsidP="004141E7">
      <w:pPr>
        <w:spacing w:after="0" w:line="480" w:lineRule="auto"/>
        <w:contextualSpacing/>
        <w:jc w:val="both"/>
        <w:rPr>
          <w:rFonts w:ascii="Times New Roman" w:eastAsia="Calibri" w:hAnsi="Times New Roman" w:cs="Times New Roman"/>
          <w:sz w:val="24"/>
          <w:szCs w:val="24"/>
          <w:lang w:val="en-GB"/>
        </w:rPr>
      </w:pPr>
      <w:r w:rsidRPr="00B46D18">
        <w:rPr>
          <w:rFonts w:ascii="Times New Roman" w:eastAsia="Calibri" w:hAnsi="Times New Roman" w:cs="Times New Roman"/>
          <w:sz w:val="24"/>
          <w:szCs w:val="24"/>
          <w:lang w:val="en-GB"/>
        </w:rPr>
        <w:t xml:space="preserve">Ramsden, J. (1998) </w:t>
      </w:r>
      <w:r w:rsidRPr="00487B35">
        <w:rPr>
          <w:rFonts w:ascii="Times New Roman" w:eastAsia="Calibri" w:hAnsi="Times New Roman" w:cs="Times New Roman"/>
          <w:sz w:val="24"/>
          <w:szCs w:val="24"/>
          <w:lang w:val="en-GB"/>
        </w:rPr>
        <w:t>An Appetite for Power: The History of the Conservative Party</w:t>
      </w:r>
      <w:r w:rsidR="00487B35">
        <w:rPr>
          <w:rFonts w:ascii="Times New Roman" w:eastAsia="Calibri" w:hAnsi="Times New Roman" w:cs="Times New Roman"/>
          <w:sz w:val="24"/>
          <w:szCs w:val="24"/>
          <w:lang w:val="en-GB"/>
        </w:rPr>
        <w:t>.</w:t>
      </w:r>
      <w:r w:rsidRPr="00B46D18">
        <w:rPr>
          <w:rFonts w:ascii="Times New Roman" w:eastAsia="Calibri" w:hAnsi="Times New Roman" w:cs="Times New Roman"/>
          <w:sz w:val="24"/>
          <w:szCs w:val="24"/>
          <w:lang w:val="en-GB"/>
        </w:rPr>
        <w:t xml:space="preserve"> London: Harper Collins. </w:t>
      </w:r>
    </w:p>
    <w:p w14:paraId="7EA0A58D" w14:textId="724DD5BB" w:rsidR="00333623" w:rsidRPr="00B46D18" w:rsidRDefault="00487B35" w:rsidP="004141E7">
      <w:pPr>
        <w:spacing w:after="0" w:line="48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Rose, R. (1964) </w:t>
      </w:r>
      <w:r w:rsidR="00333623" w:rsidRPr="00B46D18">
        <w:rPr>
          <w:rFonts w:ascii="Times New Roman" w:eastAsia="Calibri" w:hAnsi="Times New Roman" w:cs="Times New Roman"/>
          <w:sz w:val="24"/>
          <w:szCs w:val="24"/>
          <w:lang w:val="en-GB"/>
        </w:rPr>
        <w:t>Pa</w:t>
      </w:r>
      <w:r>
        <w:rPr>
          <w:rFonts w:ascii="Times New Roman" w:eastAsia="Calibri" w:hAnsi="Times New Roman" w:cs="Times New Roman"/>
          <w:sz w:val="24"/>
          <w:szCs w:val="24"/>
          <w:lang w:val="en-GB"/>
        </w:rPr>
        <w:t>rties, Tendencies and Factions.</w:t>
      </w:r>
      <w:r w:rsidR="00333623" w:rsidRPr="00B46D18">
        <w:rPr>
          <w:rFonts w:ascii="Times New Roman" w:eastAsia="Calibri" w:hAnsi="Times New Roman" w:cs="Times New Roman"/>
          <w:sz w:val="24"/>
          <w:szCs w:val="24"/>
          <w:lang w:val="en-GB"/>
        </w:rPr>
        <w:t xml:space="preserve"> </w:t>
      </w:r>
      <w:r w:rsidR="00333623" w:rsidRPr="00487B35">
        <w:rPr>
          <w:rFonts w:ascii="Times New Roman" w:eastAsia="Calibri" w:hAnsi="Times New Roman" w:cs="Times New Roman"/>
          <w:sz w:val="24"/>
          <w:szCs w:val="24"/>
          <w:lang w:val="en-GB"/>
        </w:rPr>
        <w:t>Political Studies</w:t>
      </w:r>
      <w:r w:rsidR="00333623" w:rsidRPr="00B46D18">
        <w:rPr>
          <w:rFonts w:ascii="Times New Roman" w:eastAsia="Calibri" w:hAnsi="Times New Roman" w:cs="Times New Roman"/>
          <w:sz w:val="24"/>
          <w:szCs w:val="24"/>
          <w:lang w:val="en-GB"/>
        </w:rPr>
        <w:t xml:space="preserve"> 12 (1): 33-46.</w:t>
      </w:r>
    </w:p>
    <w:p w14:paraId="1452F5BC" w14:textId="2C6647A3" w:rsidR="00D616BF" w:rsidRPr="00B46D18" w:rsidRDefault="00157BCC"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Sandbrook, D. </w:t>
      </w:r>
      <w:r w:rsidR="009442D5" w:rsidRPr="00B46D18">
        <w:rPr>
          <w:rFonts w:ascii="Times New Roman" w:hAnsi="Times New Roman" w:cs="Times New Roman"/>
          <w:bCs/>
          <w:sz w:val="24"/>
          <w:szCs w:val="24"/>
          <w:lang w:val="en-GB"/>
        </w:rPr>
        <w:t xml:space="preserve">(2010) </w:t>
      </w:r>
      <w:r w:rsidR="009442D5" w:rsidRPr="00487B35">
        <w:rPr>
          <w:rFonts w:ascii="Times New Roman" w:hAnsi="Times New Roman" w:cs="Times New Roman"/>
          <w:bCs/>
          <w:iCs/>
          <w:sz w:val="24"/>
          <w:szCs w:val="24"/>
          <w:lang w:val="en-GB"/>
        </w:rPr>
        <w:t>State of Emergency: The Way We Were, Britain 1970-1974</w:t>
      </w:r>
      <w:r w:rsidR="00487B35">
        <w:rPr>
          <w:rFonts w:ascii="Times New Roman" w:hAnsi="Times New Roman" w:cs="Times New Roman"/>
          <w:bCs/>
          <w:iCs/>
          <w:sz w:val="24"/>
          <w:szCs w:val="24"/>
          <w:lang w:val="en-GB"/>
        </w:rPr>
        <w:t>.</w:t>
      </w:r>
      <w:r w:rsidR="009442D5" w:rsidRPr="00B46D18">
        <w:rPr>
          <w:rFonts w:ascii="Times New Roman" w:hAnsi="Times New Roman" w:cs="Times New Roman"/>
          <w:bCs/>
          <w:sz w:val="24"/>
          <w:szCs w:val="24"/>
          <w:lang w:val="en-GB"/>
        </w:rPr>
        <w:t xml:space="preserve"> London: Allen Lane.</w:t>
      </w:r>
    </w:p>
    <w:p w14:paraId="5338C2EF" w14:textId="2D8C85B3" w:rsidR="0013739B" w:rsidRPr="00B46D18" w:rsidRDefault="0013739B" w:rsidP="004141E7">
      <w:pPr>
        <w:spacing w:after="0" w:line="480" w:lineRule="auto"/>
        <w:jc w:val="both"/>
        <w:rPr>
          <w:rFonts w:ascii="Times New Roman" w:hAnsi="Times New Roman" w:cs="Times New Roman"/>
          <w:sz w:val="24"/>
          <w:szCs w:val="24"/>
          <w:lang w:val="en-GB"/>
        </w:rPr>
      </w:pPr>
      <w:bookmarkStart w:id="9" w:name="_Hlk30488971"/>
      <w:r w:rsidRPr="00B46D18">
        <w:rPr>
          <w:rStyle w:val="authors"/>
          <w:rFonts w:ascii="Times New Roman" w:hAnsi="Times New Roman" w:cs="Times New Roman"/>
          <w:sz w:val="24"/>
          <w:szCs w:val="24"/>
          <w:lang w:val="en-GB"/>
        </w:rPr>
        <w:t>Seldon</w:t>
      </w:r>
      <w:r w:rsidRPr="00B46D18">
        <w:rPr>
          <w:rFonts w:ascii="Times New Roman" w:hAnsi="Times New Roman" w:cs="Times New Roman"/>
          <w:sz w:val="24"/>
          <w:szCs w:val="24"/>
          <w:shd w:val="clear" w:color="auto" w:fill="FFFFFF"/>
          <w:lang w:val="en-GB"/>
        </w:rPr>
        <w:t xml:space="preserve">, A. </w:t>
      </w:r>
      <w:r w:rsidRPr="00B46D18">
        <w:rPr>
          <w:rStyle w:val="Date1"/>
          <w:rFonts w:ascii="Times New Roman" w:hAnsi="Times New Roman" w:cs="Times New Roman"/>
          <w:sz w:val="24"/>
          <w:szCs w:val="24"/>
          <w:lang w:val="en-GB"/>
        </w:rPr>
        <w:t>(1988)</w:t>
      </w:r>
      <w:r w:rsidR="00487B35">
        <w:rPr>
          <w:rFonts w:ascii="Times New Roman" w:hAnsi="Times New Roman" w:cs="Times New Roman"/>
          <w:sz w:val="24"/>
          <w:szCs w:val="24"/>
          <w:shd w:val="clear" w:color="auto" w:fill="FFFFFF"/>
          <w:lang w:val="en-GB"/>
        </w:rPr>
        <w:t xml:space="preserve"> </w:t>
      </w:r>
      <w:r w:rsidRPr="00B46D18">
        <w:rPr>
          <w:rStyle w:val="arttitle"/>
          <w:rFonts w:ascii="Times New Roman" w:hAnsi="Times New Roman" w:cs="Times New Roman"/>
          <w:sz w:val="24"/>
          <w:szCs w:val="24"/>
          <w:lang w:val="en-GB"/>
        </w:rPr>
        <w:t xml:space="preserve">The </w:t>
      </w:r>
      <w:r w:rsidR="00B4228B" w:rsidRPr="00B46D18">
        <w:rPr>
          <w:rStyle w:val="arttitle"/>
          <w:rFonts w:ascii="Times New Roman" w:hAnsi="Times New Roman" w:cs="Times New Roman"/>
          <w:sz w:val="24"/>
          <w:szCs w:val="24"/>
          <w:lang w:val="en-GB"/>
        </w:rPr>
        <w:t>T</w:t>
      </w:r>
      <w:r w:rsidRPr="00B46D18">
        <w:rPr>
          <w:rStyle w:val="arttitle"/>
          <w:rFonts w:ascii="Times New Roman" w:hAnsi="Times New Roman" w:cs="Times New Roman"/>
          <w:sz w:val="24"/>
          <w:szCs w:val="24"/>
          <w:lang w:val="en-GB"/>
        </w:rPr>
        <w:t xml:space="preserve">rade </w:t>
      </w:r>
      <w:r w:rsidR="00B4228B" w:rsidRPr="00B46D18">
        <w:rPr>
          <w:rStyle w:val="arttitle"/>
          <w:rFonts w:ascii="Times New Roman" w:hAnsi="Times New Roman" w:cs="Times New Roman"/>
          <w:sz w:val="24"/>
          <w:szCs w:val="24"/>
          <w:lang w:val="en-GB"/>
        </w:rPr>
        <w:t>U</w:t>
      </w:r>
      <w:r w:rsidRPr="00B46D18">
        <w:rPr>
          <w:rStyle w:val="arttitle"/>
          <w:rFonts w:ascii="Times New Roman" w:hAnsi="Times New Roman" w:cs="Times New Roman"/>
          <w:sz w:val="24"/>
          <w:szCs w:val="24"/>
          <w:lang w:val="en-GB"/>
        </w:rPr>
        <w:t xml:space="preserve">nions and </w:t>
      </w:r>
      <w:r w:rsidR="00B4228B" w:rsidRPr="00B46D18">
        <w:rPr>
          <w:rStyle w:val="arttitle"/>
          <w:rFonts w:ascii="Times New Roman" w:hAnsi="Times New Roman" w:cs="Times New Roman"/>
          <w:sz w:val="24"/>
          <w:szCs w:val="24"/>
          <w:lang w:val="en-GB"/>
        </w:rPr>
        <w:t>F</w:t>
      </w:r>
      <w:r w:rsidRPr="00B46D18">
        <w:rPr>
          <w:rStyle w:val="arttitle"/>
          <w:rFonts w:ascii="Times New Roman" w:hAnsi="Times New Roman" w:cs="Times New Roman"/>
          <w:sz w:val="24"/>
          <w:szCs w:val="24"/>
          <w:lang w:val="en-GB"/>
        </w:rPr>
        <w:t xml:space="preserve">all of the </w:t>
      </w:r>
      <w:r w:rsidR="00B4228B" w:rsidRPr="00B46D18">
        <w:rPr>
          <w:rStyle w:val="arttitle"/>
          <w:rFonts w:ascii="Times New Roman" w:hAnsi="Times New Roman" w:cs="Times New Roman"/>
          <w:sz w:val="24"/>
          <w:szCs w:val="24"/>
          <w:lang w:val="en-GB"/>
        </w:rPr>
        <w:t>H</w:t>
      </w:r>
      <w:r w:rsidR="00487B35">
        <w:rPr>
          <w:rStyle w:val="arttitle"/>
          <w:rFonts w:ascii="Times New Roman" w:hAnsi="Times New Roman" w:cs="Times New Roman"/>
          <w:sz w:val="24"/>
          <w:szCs w:val="24"/>
          <w:lang w:val="en-GB"/>
        </w:rPr>
        <w:t>eath government.</w:t>
      </w:r>
      <w:r w:rsidRPr="00B46D18">
        <w:rPr>
          <w:rFonts w:ascii="Times New Roman" w:hAnsi="Times New Roman" w:cs="Times New Roman"/>
          <w:sz w:val="24"/>
          <w:szCs w:val="24"/>
          <w:shd w:val="clear" w:color="auto" w:fill="FFFFFF"/>
          <w:lang w:val="en-GB"/>
        </w:rPr>
        <w:t xml:space="preserve"> </w:t>
      </w:r>
      <w:r w:rsidRPr="00487B35">
        <w:rPr>
          <w:rStyle w:val="serialtitle"/>
          <w:rFonts w:ascii="Times New Roman" w:hAnsi="Times New Roman" w:cs="Times New Roman"/>
          <w:iCs/>
          <w:sz w:val="24"/>
          <w:szCs w:val="24"/>
          <w:lang w:val="en-GB"/>
        </w:rPr>
        <w:t>Contemporary Record</w:t>
      </w:r>
      <w:r w:rsidRPr="00B46D18">
        <w:rPr>
          <w:rFonts w:ascii="Times New Roman" w:hAnsi="Times New Roman" w:cs="Times New Roman"/>
          <w:sz w:val="24"/>
          <w:szCs w:val="24"/>
          <w:shd w:val="clear" w:color="auto" w:fill="FFFFFF"/>
          <w:lang w:val="en-GB"/>
        </w:rPr>
        <w:t xml:space="preserve"> </w:t>
      </w:r>
      <w:r w:rsidRPr="00B46D18">
        <w:rPr>
          <w:rStyle w:val="volumeissue"/>
          <w:rFonts w:ascii="Times New Roman" w:hAnsi="Times New Roman" w:cs="Times New Roman"/>
          <w:sz w:val="24"/>
          <w:szCs w:val="24"/>
          <w:lang w:val="en-GB"/>
        </w:rPr>
        <w:t>2 (1):</w:t>
      </w:r>
      <w:r w:rsidRPr="00B46D18">
        <w:rPr>
          <w:rFonts w:ascii="Times New Roman" w:hAnsi="Times New Roman" w:cs="Times New Roman"/>
          <w:sz w:val="24"/>
          <w:szCs w:val="24"/>
          <w:shd w:val="clear" w:color="auto" w:fill="FFFFFF"/>
          <w:lang w:val="en-GB"/>
        </w:rPr>
        <w:t xml:space="preserve"> </w:t>
      </w:r>
      <w:r w:rsidRPr="00B46D18">
        <w:rPr>
          <w:rStyle w:val="pagerange"/>
          <w:rFonts w:ascii="Times New Roman" w:hAnsi="Times New Roman" w:cs="Times New Roman"/>
          <w:sz w:val="24"/>
          <w:szCs w:val="24"/>
          <w:lang w:val="en-GB"/>
        </w:rPr>
        <w:t>36-46</w:t>
      </w:r>
    </w:p>
    <w:bookmarkEnd w:id="9"/>
    <w:p w14:paraId="3A4A5870" w14:textId="52901DDE" w:rsidR="00D616BF" w:rsidRPr="00B46D18" w:rsidRDefault="00D616BF"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Seldon</w:t>
      </w:r>
      <w:r w:rsidR="00487B35">
        <w:rPr>
          <w:rFonts w:ascii="Times New Roman" w:hAnsi="Times New Roman" w:cs="Times New Roman"/>
          <w:bCs/>
          <w:sz w:val="24"/>
          <w:szCs w:val="24"/>
          <w:lang w:val="en-GB"/>
        </w:rPr>
        <w:t>, A. (1996) The Heath Government in History. In: S. Ball</w:t>
      </w:r>
      <w:r w:rsidRPr="00B46D18">
        <w:rPr>
          <w:rFonts w:ascii="Times New Roman" w:hAnsi="Times New Roman" w:cs="Times New Roman"/>
          <w:bCs/>
          <w:sz w:val="24"/>
          <w:szCs w:val="24"/>
          <w:lang w:val="en-GB"/>
        </w:rPr>
        <w:t xml:space="preserve"> and </w:t>
      </w:r>
      <w:r w:rsidR="00487B35">
        <w:rPr>
          <w:rFonts w:ascii="Times New Roman" w:hAnsi="Times New Roman" w:cs="Times New Roman"/>
          <w:bCs/>
          <w:sz w:val="24"/>
          <w:szCs w:val="24"/>
          <w:lang w:val="en-GB"/>
        </w:rPr>
        <w:t xml:space="preserve">A. </w:t>
      </w:r>
      <w:r w:rsidRPr="00B46D18">
        <w:rPr>
          <w:rFonts w:ascii="Times New Roman" w:hAnsi="Times New Roman" w:cs="Times New Roman"/>
          <w:bCs/>
          <w:sz w:val="24"/>
          <w:szCs w:val="24"/>
          <w:lang w:val="en-GB"/>
        </w:rPr>
        <w:t xml:space="preserve">Seldon (eds.) </w:t>
      </w:r>
      <w:r w:rsidRPr="00487B35">
        <w:rPr>
          <w:rFonts w:ascii="Times New Roman" w:hAnsi="Times New Roman" w:cs="Times New Roman"/>
          <w:bCs/>
          <w:iCs/>
          <w:sz w:val="24"/>
          <w:szCs w:val="24"/>
          <w:lang w:val="en-GB"/>
        </w:rPr>
        <w:t>The Heath Gov</w:t>
      </w:r>
      <w:r w:rsidR="00487B35">
        <w:rPr>
          <w:rFonts w:ascii="Times New Roman" w:hAnsi="Times New Roman" w:cs="Times New Roman"/>
          <w:bCs/>
          <w:iCs/>
          <w:sz w:val="24"/>
          <w:szCs w:val="24"/>
          <w:lang w:val="en-GB"/>
        </w:rPr>
        <w:t>ernment 1970-1974: A Reappraisal.</w:t>
      </w:r>
      <w:r w:rsidRPr="00B46D18">
        <w:rPr>
          <w:rFonts w:ascii="Times New Roman" w:hAnsi="Times New Roman" w:cs="Times New Roman"/>
          <w:bCs/>
          <w:i/>
          <w:iCs/>
          <w:sz w:val="24"/>
          <w:szCs w:val="24"/>
          <w:lang w:val="en-GB"/>
        </w:rPr>
        <w:t xml:space="preserve"> </w:t>
      </w:r>
      <w:r w:rsidRPr="00B46D18">
        <w:rPr>
          <w:rFonts w:ascii="Times New Roman" w:hAnsi="Times New Roman" w:cs="Times New Roman"/>
          <w:bCs/>
          <w:sz w:val="24"/>
          <w:szCs w:val="24"/>
          <w:lang w:val="en-GB"/>
        </w:rPr>
        <w:t xml:space="preserve">London: Longman. </w:t>
      </w:r>
    </w:p>
    <w:p w14:paraId="12A2A057" w14:textId="38C940A5" w:rsidR="007A180B" w:rsidRPr="00B46D18" w:rsidRDefault="007A180B" w:rsidP="004141E7">
      <w:pPr>
        <w:spacing w:after="0" w:line="480" w:lineRule="auto"/>
        <w:contextualSpacing/>
        <w:jc w:val="both"/>
        <w:rPr>
          <w:rFonts w:ascii="Times New Roman" w:hAnsi="Times New Roman" w:cs="Times New Roman"/>
          <w:sz w:val="24"/>
          <w:szCs w:val="24"/>
          <w:lang w:val="en-GB"/>
        </w:rPr>
      </w:pPr>
      <w:r w:rsidRPr="00B46D18">
        <w:rPr>
          <w:rFonts w:ascii="Times New Roman" w:hAnsi="Times New Roman" w:cs="Times New Roman"/>
          <w:sz w:val="24"/>
          <w:szCs w:val="24"/>
          <w:lang w:val="en-GB"/>
        </w:rPr>
        <w:t>Seldo</w:t>
      </w:r>
      <w:r w:rsidR="00487B35">
        <w:rPr>
          <w:rFonts w:ascii="Times New Roman" w:hAnsi="Times New Roman" w:cs="Times New Roman"/>
          <w:sz w:val="24"/>
          <w:szCs w:val="24"/>
          <w:lang w:val="en-GB"/>
        </w:rPr>
        <w:t xml:space="preserve">n, A. and </w:t>
      </w:r>
      <w:proofErr w:type="spellStart"/>
      <w:r w:rsidR="00487B35">
        <w:rPr>
          <w:rFonts w:ascii="Times New Roman" w:hAnsi="Times New Roman" w:cs="Times New Roman"/>
          <w:sz w:val="24"/>
          <w:szCs w:val="24"/>
          <w:lang w:val="en-GB"/>
        </w:rPr>
        <w:t>Sanklecha</w:t>
      </w:r>
      <w:proofErr w:type="spellEnd"/>
      <w:r w:rsidR="00487B35">
        <w:rPr>
          <w:rFonts w:ascii="Times New Roman" w:hAnsi="Times New Roman" w:cs="Times New Roman"/>
          <w:sz w:val="24"/>
          <w:szCs w:val="24"/>
          <w:lang w:val="en-GB"/>
        </w:rPr>
        <w:t xml:space="preserve">, P. (2004) </w:t>
      </w:r>
      <w:r w:rsidRPr="00B46D18">
        <w:rPr>
          <w:rFonts w:ascii="Times New Roman" w:hAnsi="Times New Roman" w:cs="Times New Roman"/>
          <w:sz w:val="24"/>
          <w:szCs w:val="24"/>
          <w:lang w:val="en-GB"/>
        </w:rPr>
        <w:t>United Kingdom: A Comparative case study of Conservative Prime Ministers H</w:t>
      </w:r>
      <w:r w:rsidR="00487B35">
        <w:rPr>
          <w:rFonts w:ascii="Times New Roman" w:hAnsi="Times New Roman" w:cs="Times New Roman"/>
          <w:sz w:val="24"/>
          <w:szCs w:val="24"/>
          <w:lang w:val="en-GB"/>
        </w:rPr>
        <w:t>eath, Thatcher and Major.</w:t>
      </w:r>
      <w:r w:rsidRPr="00B46D18">
        <w:rPr>
          <w:rFonts w:ascii="Times New Roman" w:hAnsi="Times New Roman" w:cs="Times New Roman"/>
          <w:sz w:val="24"/>
          <w:szCs w:val="24"/>
          <w:lang w:val="en-GB"/>
        </w:rPr>
        <w:t xml:space="preserve"> </w:t>
      </w:r>
      <w:r w:rsidRPr="00487B35">
        <w:rPr>
          <w:rFonts w:ascii="Times New Roman" w:hAnsi="Times New Roman" w:cs="Times New Roman"/>
          <w:sz w:val="24"/>
          <w:szCs w:val="24"/>
          <w:lang w:val="en-GB"/>
        </w:rPr>
        <w:t>Journal of Legislative Studies</w:t>
      </w:r>
      <w:r w:rsidRPr="00B46D18">
        <w:rPr>
          <w:rFonts w:ascii="Times New Roman" w:hAnsi="Times New Roman" w:cs="Times New Roman"/>
          <w:sz w:val="24"/>
          <w:szCs w:val="24"/>
          <w:lang w:val="en-GB"/>
        </w:rPr>
        <w:t xml:space="preserve"> 10 (2-3): 53-65</w:t>
      </w:r>
      <w:r w:rsidR="00875C8B" w:rsidRPr="00B46D18">
        <w:rPr>
          <w:rFonts w:ascii="Times New Roman" w:hAnsi="Times New Roman" w:cs="Times New Roman"/>
          <w:sz w:val="24"/>
          <w:szCs w:val="24"/>
          <w:lang w:val="en-GB"/>
        </w:rPr>
        <w:t>.</w:t>
      </w:r>
    </w:p>
    <w:p w14:paraId="3F5991C7" w14:textId="6B9BF272" w:rsidR="00E40C66" w:rsidRPr="00B46D18" w:rsidRDefault="00E40C66" w:rsidP="004141E7">
      <w:pPr>
        <w:spacing w:after="0" w:line="480" w:lineRule="auto"/>
        <w:contextualSpacing/>
        <w:jc w:val="both"/>
        <w:rPr>
          <w:rFonts w:ascii="Times New Roman" w:hAnsi="Times New Roman" w:cs="Times New Roman"/>
          <w:sz w:val="24"/>
          <w:szCs w:val="24"/>
          <w:shd w:val="clear" w:color="auto" w:fill="FFFFFF"/>
          <w:lang w:val="en-GB"/>
        </w:rPr>
      </w:pPr>
      <w:r w:rsidRPr="00B46D18">
        <w:rPr>
          <w:rFonts w:ascii="Times New Roman" w:eastAsia="Times New Roman" w:hAnsi="Times New Roman" w:cs="Times New Roman"/>
          <w:sz w:val="24"/>
          <w:szCs w:val="24"/>
          <w:lang w:val="en-GB" w:eastAsia="en-GB"/>
        </w:rPr>
        <w:t xml:space="preserve">Shepherd, J. (2013) </w:t>
      </w:r>
      <w:r w:rsidRPr="00487B35">
        <w:rPr>
          <w:rFonts w:ascii="Times New Roman" w:hAnsi="Times New Roman" w:cs="Times New Roman"/>
          <w:iCs/>
          <w:sz w:val="24"/>
          <w:szCs w:val="24"/>
          <w:lang w:val="en-GB"/>
        </w:rPr>
        <w:t>Crisis: What crisis? The Callaghan Government and the British Winter of Discontent</w:t>
      </w:r>
      <w:r w:rsidR="00487B35">
        <w:rPr>
          <w:rFonts w:ascii="Times New Roman" w:hAnsi="Times New Roman" w:cs="Times New Roman"/>
          <w:sz w:val="24"/>
          <w:szCs w:val="24"/>
          <w:shd w:val="clear" w:color="auto" w:fill="FFFFFF"/>
          <w:lang w:val="en-GB"/>
        </w:rPr>
        <w:t xml:space="preserve">. </w:t>
      </w:r>
      <w:r w:rsidRPr="00B46D18">
        <w:rPr>
          <w:rFonts w:ascii="Times New Roman" w:hAnsi="Times New Roman" w:cs="Times New Roman"/>
          <w:sz w:val="24"/>
          <w:szCs w:val="24"/>
          <w:shd w:val="clear" w:color="auto" w:fill="FFFFFF"/>
          <w:lang w:val="en-GB"/>
        </w:rPr>
        <w:t>Manchester: Manchester University Press.</w:t>
      </w:r>
    </w:p>
    <w:p w14:paraId="33F12CD1" w14:textId="5C27C299" w:rsidR="00C21CC6" w:rsidRPr="00B46D18" w:rsidRDefault="00487B35" w:rsidP="004141E7">
      <w:pPr>
        <w:spacing w:after="0" w:line="480" w:lineRule="auto"/>
        <w:contextualSpacing/>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Smith, J. (2007) </w:t>
      </w:r>
      <w:r w:rsidR="00565D2D" w:rsidRPr="00B46D18">
        <w:rPr>
          <w:rFonts w:ascii="Times New Roman" w:hAnsi="Times New Roman" w:cs="Times New Roman"/>
          <w:sz w:val="24"/>
          <w:szCs w:val="24"/>
          <w:shd w:val="clear" w:color="auto" w:fill="FFFFFF"/>
          <w:lang w:val="en-GB"/>
        </w:rPr>
        <w:t xml:space="preserve">Walking a Real Tight-rope of Difficulties’: Sir Edward Heath and the Search for Stability in Northern </w:t>
      </w:r>
      <w:r>
        <w:rPr>
          <w:rFonts w:ascii="Times New Roman" w:hAnsi="Times New Roman" w:cs="Times New Roman"/>
          <w:sz w:val="24"/>
          <w:szCs w:val="24"/>
          <w:shd w:val="clear" w:color="auto" w:fill="FFFFFF"/>
          <w:lang w:val="en-GB"/>
        </w:rPr>
        <w:t>Ireland, June 1970 – March 1971.</w:t>
      </w:r>
      <w:r w:rsidR="00565D2D" w:rsidRPr="00B46D18">
        <w:rPr>
          <w:rFonts w:ascii="Times New Roman" w:hAnsi="Times New Roman" w:cs="Times New Roman"/>
          <w:sz w:val="24"/>
          <w:szCs w:val="24"/>
          <w:shd w:val="clear" w:color="auto" w:fill="FFFFFF"/>
          <w:lang w:val="en-GB"/>
        </w:rPr>
        <w:t xml:space="preserve"> </w:t>
      </w:r>
      <w:r w:rsidR="00565D2D" w:rsidRPr="00487B35">
        <w:rPr>
          <w:rFonts w:ascii="Times New Roman" w:hAnsi="Times New Roman" w:cs="Times New Roman"/>
          <w:iCs/>
          <w:sz w:val="24"/>
          <w:szCs w:val="24"/>
          <w:lang w:val="en-GB"/>
        </w:rPr>
        <w:t>Twentieth Century British History</w:t>
      </w:r>
      <w:r>
        <w:rPr>
          <w:rFonts w:ascii="Times New Roman" w:hAnsi="Times New Roman" w:cs="Times New Roman"/>
          <w:iCs/>
          <w:sz w:val="24"/>
          <w:szCs w:val="24"/>
          <w:lang w:val="en-GB"/>
        </w:rPr>
        <w:t>.</w:t>
      </w:r>
      <w:r w:rsidR="00565D2D" w:rsidRPr="00B46D18">
        <w:rPr>
          <w:rFonts w:ascii="Times New Roman" w:hAnsi="Times New Roman" w:cs="Times New Roman"/>
          <w:sz w:val="24"/>
          <w:szCs w:val="24"/>
          <w:shd w:val="clear" w:color="auto" w:fill="FFFFFF"/>
          <w:lang w:val="en-GB"/>
        </w:rPr>
        <w:t xml:space="preserve"> 18 (2): 219–53. </w:t>
      </w:r>
    </w:p>
    <w:p w14:paraId="55B1C652" w14:textId="76CBEBA7" w:rsidR="00C21CC6" w:rsidRPr="00B46D18" w:rsidRDefault="00487B35" w:rsidP="004141E7">
      <w:pPr>
        <w:spacing w:after="0" w:line="480" w:lineRule="auto"/>
        <w:contextualSpacing/>
        <w:jc w:val="both"/>
        <w:rPr>
          <w:rFonts w:ascii="Times New Roman" w:hAnsi="Times New Roman" w:cs="Times New Roman"/>
          <w:sz w:val="24"/>
          <w:szCs w:val="24"/>
          <w:lang w:val="en-GB"/>
        </w:rPr>
      </w:pPr>
      <w:bookmarkStart w:id="10" w:name="_Hlk27993592"/>
      <w:r>
        <w:rPr>
          <w:rFonts w:ascii="Times New Roman" w:hAnsi="Times New Roman" w:cs="Times New Roman"/>
          <w:sz w:val="24"/>
          <w:szCs w:val="24"/>
          <w:lang w:val="en-GB"/>
        </w:rPr>
        <w:t xml:space="preserve">Stevens, C. (2002) </w:t>
      </w:r>
      <w:r w:rsidR="00C21CC6" w:rsidRPr="00B46D18">
        <w:rPr>
          <w:rFonts w:ascii="Times New Roman" w:hAnsi="Times New Roman" w:cs="Times New Roman"/>
          <w:sz w:val="24"/>
          <w:szCs w:val="24"/>
          <w:lang w:val="en-GB"/>
        </w:rPr>
        <w:t xml:space="preserve">Thatcherism, </w:t>
      </w:r>
      <w:proofErr w:type="spellStart"/>
      <w:r w:rsidR="00C21CC6" w:rsidRPr="00B46D18">
        <w:rPr>
          <w:rFonts w:ascii="Times New Roman" w:hAnsi="Times New Roman" w:cs="Times New Roman"/>
          <w:sz w:val="24"/>
          <w:szCs w:val="24"/>
          <w:lang w:val="en-GB"/>
        </w:rPr>
        <w:t>Majorism</w:t>
      </w:r>
      <w:proofErr w:type="spellEnd"/>
      <w:r w:rsidR="00C21CC6" w:rsidRPr="00B46D18">
        <w:rPr>
          <w:rFonts w:ascii="Times New Roman" w:hAnsi="Times New Roman" w:cs="Times New Roman"/>
          <w:sz w:val="24"/>
          <w:szCs w:val="24"/>
          <w:lang w:val="en-GB"/>
        </w:rPr>
        <w:t xml:space="preserve"> and </w:t>
      </w:r>
      <w:r>
        <w:rPr>
          <w:rFonts w:ascii="Times New Roman" w:hAnsi="Times New Roman" w:cs="Times New Roman"/>
          <w:sz w:val="24"/>
          <w:szCs w:val="24"/>
          <w:lang w:val="en-GB"/>
        </w:rPr>
        <w:t>the Collapse of Tory Statecraft.</w:t>
      </w:r>
      <w:r w:rsidR="00C21CC6" w:rsidRPr="00B46D18">
        <w:rPr>
          <w:rFonts w:ascii="Times New Roman" w:hAnsi="Times New Roman" w:cs="Times New Roman"/>
          <w:sz w:val="24"/>
          <w:szCs w:val="24"/>
          <w:lang w:val="en-GB"/>
        </w:rPr>
        <w:t xml:space="preserve"> </w:t>
      </w:r>
      <w:r w:rsidR="00C21CC6" w:rsidRPr="00487B35">
        <w:rPr>
          <w:rFonts w:ascii="Times New Roman" w:hAnsi="Times New Roman" w:cs="Times New Roman"/>
          <w:sz w:val="24"/>
          <w:szCs w:val="24"/>
          <w:lang w:val="en-GB"/>
        </w:rPr>
        <w:t>Contemporary British History</w:t>
      </w:r>
      <w:r w:rsidR="00C21CC6" w:rsidRPr="00B46D18">
        <w:rPr>
          <w:rFonts w:ascii="Times New Roman" w:hAnsi="Times New Roman" w:cs="Times New Roman"/>
          <w:sz w:val="24"/>
          <w:szCs w:val="24"/>
          <w:lang w:val="en-GB"/>
        </w:rPr>
        <w:t xml:space="preserve"> 16 (1): 119-50. </w:t>
      </w:r>
    </w:p>
    <w:bookmarkEnd w:id="10"/>
    <w:p w14:paraId="519DAFD5" w14:textId="611090FD" w:rsidR="004C6588" w:rsidRPr="00B46D18" w:rsidRDefault="00487B35" w:rsidP="004141E7">
      <w:pPr>
        <w:spacing w:after="0"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Taylor, A. (2005) Economic Statecraft. In: K. Hickson (ed.) </w:t>
      </w:r>
      <w:r w:rsidR="004C6588" w:rsidRPr="00487B35">
        <w:rPr>
          <w:rFonts w:ascii="Times New Roman" w:hAnsi="Times New Roman" w:cs="Times New Roman"/>
          <w:iCs/>
          <w:sz w:val="24"/>
          <w:szCs w:val="24"/>
          <w:lang w:val="en-GB"/>
        </w:rPr>
        <w:t>The Political Thought of the Conservative Party since 1945</w:t>
      </w:r>
      <w:r>
        <w:rPr>
          <w:rFonts w:ascii="Times New Roman" w:hAnsi="Times New Roman" w:cs="Times New Roman"/>
          <w:sz w:val="24"/>
          <w:szCs w:val="24"/>
          <w:lang w:val="en-GB"/>
        </w:rPr>
        <w:t>.</w:t>
      </w:r>
      <w:r w:rsidR="004C6588" w:rsidRPr="00B46D18">
        <w:rPr>
          <w:rFonts w:ascii="Times New Roman" w:hAnsi="Times New Roman" w:cs="Times New Roman"/>
          <w:sz w:val="24"/>
          <w:szCs w:val="24"/>
          <w:lang w:val="en-GB"/>
        </w:rPr>
        <w:t xml:space="preserve"> Basingstoke: Palgrave.</w:t>
      </w:r>
    </w:p>
    <w:p w14:paraId="037F1072" w14:textId="69D9F082" w:rsidR="005C2105" w:rsidRPr="00B46D18" w:rsidRDefault="005C2105" w:rsidP="004141E7">
      <w:pPr>
        <w:spacing w:line="480" w:lineRule="auto"/>
        <w:contextualSpacing/>
        <w:jc w:val="both"/>
        <w:rPr>
          <w:rFonts w:ascii="Times New Roman" w:hAnsi="Times New Roman" w:cs="Times New Roman"/>
          <w:sz w:val="24"/>
          <w:szCs w:val="24"/>
          <w:lang w:val="en-GB"/>
        </w:rPr>
      </w:pPr>
      <w:r w:rsidRPr="00B46D18">
        <w:rPr>
          <w:rStyle w:val="hlfld-contribauthor"/>
          <w:rFonts w:ascii="Times New Roman" w:hAnsi="Times New Roman" w:cs="Times New Roman"/>
          <w:sz w:val="24"/>
          <w:szCs w:val="24"/>
          <w:lang w:val="en-GB"/>
        </w:rPr>
        <w:t xml:space="preserve">Taylor, </w:t>
      </w:r>
      <w:r w:rsidRPr="00B46D18">
        <w:rPr>
          <w:rStyle w:val="nlmgiven-names"/>
          <w:rFonts w:ascii="Times New Roman" w:hAnsi="Times New Roman" w:cs="Times New Roman"/>
          <w:sz w:val="24"/>
          <w:szCs w:val="24"/>
          <w:lang w:val="en-GB"/>
        </w:rPr>
        <w:t>R</w:t>
      </w:r>
      <w:r w:rsidRPr="00B46D18">
        <w:rPr>
          <w:rFonts w:ascii="Times New Roman" w:hAnsi="Times New Roman" w:cs="Times New Roman"/>
          <w:sz w:val="24"/>
          <w:szCs w:val="24"/>
          <w:shd w:val="clear" w:color="auto" w:fill="FFFFFF"/>
          <w:lang w:val="en-GB"/>
        </w:rPr>
        <w:t>. (</w:t>
      </w:r>
      <w:r w:rsidRPr="00B46D18">
        <w:rPr>
          <w:rStyle w:val="nlmyear"/>
          <w:rFonts w:ascii="Times New Roman" w:hAnsi="Times New Roman" w:cs="Times New Roman"/>
          <w:sz w:val="24"/>
          <w:szCs w:val="24"/>
          <w:lang w:val="en-GB"/>
        </w:rPr>
        <w:t>1993</w:t>
      </w:r>
      <w:r w:rsidRPr="00B46D18">
        <w:rPr>
          <w:rFonts w:ascii="Times New Roman" w:hAnsi="Times New Roman" w:cs="Times New Roman"/>
          <w:sz w:val="24"/>
          <w:szCs w:val="24"/>
          <w:shd w:val="clear" w:color="auto" w:fill="FFFFFF"/>
          <w:lang w:val="en-GB"/>
        </w:rPr>
        <w:t xml:space="preserve">) </w:t>
      </w:r>
      <w:r w:rsidRPr="00487B35">
        <w:rPr>
          <w:rFonts w:ascii="Times New Roman" w:hAnsi="Times New Roman" w:cs="Times New Roman"/>
          <w:iCs/>
          <w:sz w:val="24"/>
          <w:szCs w:val="24"/>
          <w:lang w:val="en-GB"/>
        </w:rPr>
        <w:t>The Trade Union Question in British Politics</w:t>
      </w:r>
      <w:r w:rsidR="00487B35">
        <w:rPr>
          <w:rFonts w:ascii="Times New Roman" w:hAnsi="Times New Roman" w:cs="Times New Roman"/>
          <w:sz w:val="24"/>
          <w:szCs w:val="24"/>
          <w:shd w:val="clear" w:color="auto" w:fill="FFFFFF"/>
          <w:lang w:val="en-GB"/>
        </w:rPr>
        <w:t>.</w:t>
      </w:r>
      <w:r w:rsidRPr="00B46D18">
        <w:rPr>
          <w:rFonts w:ascii="Times New Roman" w:hAnsi="Times New Roman" w:cs="Times New Roman"/>
          <w:sz w:val="24"/>
          <w:szCs w:val="24"/>
          <w:shd w:val="clear" w:color="auto" w:fill="FFFFFF"/>
          <w:lang w:val="en-GB"/>
        </w:rPr>
        <w:t xml:space="preserve"> </w:t>
      </w:r>
      <w:r w:rsidRPr="00B46D18">
        <w:rPr>
          <w:rStyle w:val="nlmpublisher-loc"/>
          <w:rFonts w:ascii="Times New Roman" w:hAnsi="Times New Roman" w:cs="Times New Roman"/>
          <w:sz w:val="24"/>
          <w:szCs w:val="24"/>
          <w:lang w:val="en-GB"/>
        </w:rPr>
        <w:t>Oxford</w:t>
      </w:r>
      <w:r w:rsidRPr="00B46D18">
        <w:rPr>
          <w:rFonts w:ascii="Times New Roman" w:hAnsi="Times New Roman" w:cs="Times New Roman"/>
          <w:sz w:val="24"/>
          <w:szCs w:val="24"/>
          <w:shd w:val="clear" w:color="auto" w:fill="FFFFFF"/>
          <w:lang w:val="en-GB"/>
        </w:rPr>
        <w:t xml:space="preserve">: </w:t>
      </w:r>
      <w:r w:rsidRPr="00B46D18">
        <w:rPr>
          <w:rStyle w:val="nlmpublisher-name"/>
          <w:rFonts w:ascii="Times New Roman" w:hAnsi="Times New Roman" w:cs="Times New Roman"/>
          <w:sz w:val="24"/>
          <w:szCs w:val="24"/>
          <w:lang w:val="en-GB"/>
        </w:rPr>
        <w:t>Blackwell.</w:t>
      </w:r>
    </w:p>
    <w:p w14:paraId="1D614AC0" w14:textId="3BB17D7D" w:rsidR="0013739B" w:rsidRDefault="0013739B" w:rsidP="004141E7">
      <w:pPr>
        <w:spacing w:after="0" w:line="480" w:lineRule="auto"/>
        <w:jc w:val="both"/>
        <w:rPr>
          <w:rFonts w:ascii="Times New Roman" w:hAnsi="Times New Roman" w:cs="Times New Roman"/>
          <w:sz w:val="24"/>
          <w:szCs w:val="24"/>
          <w:lang w:val="en-GB"/>
        </w:rPr>
      </w:pPr>
      <w:bookmarkStart w:id="11" w:name="_Hlk30488993"/>
      <w:r w:rsidRPr="00B46D18">
        <w:rPr>
          <w:rStyle w:val="hlfld-contribauthor"/>
          <w:rFonts w:ascii="Times New Roman" w:hAnsi="Times New Roman" w:cs="Times New Roman"/>
          <w:sz w:val="24"/>
          <w:szCs w:val="24"/>
          <w:lang w:val="en-GB"/>
        </w:rPr>
        <w:t xml:space="preserve">Taylor, </w:t>
      </w:r>
      <w:r w:rsidRPr="00B46D18">
        <w:rPr>
          <w:rStyle w:val="nlmgiven-names"/>
          <w:rFonts w:ascii="Times New Roman" w:hAnsi="Times New Roman" w:cs="Times New Roman"/>
          <w:sz w:val="24"/>
          <w:szCs w:val="24"/>
          <w:lang w:val="en-GB"/>
        </w:rPr>
        <w:t>R.</w:t>
      </w:r>
      <w:r w:rsidRPr="00B46D18">
        <w:rPr>
          <w:rFonts w:ascii="Times New Roman" w:hAnsi="Times New Roman" w:cs="Times New Roman"/>
          <w:sz w:val="24"/>
          <w:szCs w:val="24"/>
          <w:shd w:val="clear" w:color="auto" w:fill="FFFFFF"/>
          <w:lang w:val="en-GB"/>
        </w:rPr>
        <w:t xml:space="preserve"> (</w:t>
      </w:r>
      <w:r w:rsidRPr="00B46D18">
        <w:rPr>
          <w:rStyle w:val="nlmyear"/>
          <w:rFonts w:ascii="Times New Roman" w:hAnsi="Times New Roman" w:cs="Times New Roman"/>
          <w:sz w:val="24"/>
          <w:szCs w:val="24"/>
          <w:lang w:val="en-GB"/>
        </w:rPr>
        <w:t>1996</w:t>
      </w:r>
      <w:r w:rsidR="00487B35">
        <w:rPr>
          <w:rFonts w:ascii="Times New Roman" w:hAnsi="Times New Roman" w:cs="Times New Roman"/>
          <w:sz w:val="24"/>
          <w:szCs w:val="24"/>
          <w:shd w:val="clear" w:color="auto" w:fill="FFFFFF"/>
          <w:lang w:val="en-GB"/>
        </w:rPr>
        <w:t xml:space="preserve">) </w:t>
      </w:r>
      <w:r w:rsidRPr="00B46D18">
        <w:rPr>
          <w:rFonts w:ascii="Times New Roman" w:hAnsi="Times New Roman" w:cs="Times New Roman"/>
          <w:sz w:val="24"/>
          <w:szCs w:val="24"/>
          <w:shd w:val="clear" w:color="auto" w:fill="FFFFFF"/>
          <w:lang w:val="en-GB"/>
        </w:rPr>
        <w:t>T</w:t>
      </w:r>
      <w:r w:rsidRPr="00B46D18">
        <w:rPr>
          <w:rStyle w:val="nlmarticle-title"/>
          <w:rFonts w:ascii="Times New Roman" w:hAnsi="Times New Roman" w:cs="Times New Roman"/>
          <w:sz w:val="24"/>
          <w:szCs w:val="24"/>
          <w:lang w:val="en-GB"/>
        </w:rPr>
        <w:t>he Heath Government and Industrial Relations: Myth and Reality</w:t>
      </w:r>
      <w:r w:rsidR="00487B35">
        <w:rPr>
          <w:rFonts w:ascii="Times New Roman" w:hAnsi="Times New Roman" w:cs="Times New Roman"/>
          <w:sz w:val="24"/>
          <w:szCs w:val="24"/>
          <w:shd w:val="clear" w:color="auto" w:fill="FFFFFF"/>
          <w:lang w:val="en-GB"/>
        </w:rPr>
        <w:t xml:space="preserve">. In: S. Ball </w:t>
      </w:r>
      <w:r w:rsidRPr="00B46D18">
        <w:rPr>
          <w:rFonts w:ascii="Times New Roman" w:hAnsi="Times New Roman" w:cs="Times New Roman"/>
          <w:sz w:val="24"/>
          <w:szCs w:val="24"/>
          <w:shd w:val="clear" w:color="auto" w:fill="FFFFFF"/>
          <w:lang w:val="en-GB"/>
        </w:rPr>
        <w:t xml:space="preserve">and </w:t>
      </w:r>
      <w:r w:rsidR="00487B35">
        <w:rPr>
          <w:rFonts w:ascii="Times New Roman" w:hAnsi="Times New Roman" w:cs="Times New Roman"/>
          <w:sz w:val="24"/>
          <w:szCs w:val="24"/>
          <w:shd w:val="clear" w:color="auto" w:fill="FFFFFF"/>
          <w:lang w:val="en-GB"/>
        </w:rPr>
        <w:t>A. Seldon (eds.)</w:t>
      </w:r>
      <w:r w:rsidRPr="00B46D18">
        <w:rPr>
          <w:rFonts w:ascii="Times New Roman" w:hAnsi="Times New Roman" w:cs="Times New Roman"/>
          <w:sz w:val="24"/>
          <w:szCs w:val="24"/>
          <w:shd w:val="clear" w:color="auto" w:fill="FFFFFF"/>
          <w:lang w:val="en-GB"/>
        </w:rPr>
        <w:t xml:space="preserve"> </w:t>
      </w:r>
      <w:r w:rsidRPr="00487B35">
        <w:rPr>
          <w:rFonts w:ascii="Times New Roman" w:hAnsi="Times New Roman" w:cs="Times New Roman"/>
          <w:iCs/>
          <w:sz w:val="24"/>
          <w:szCs w:val="24"/>
          <w:lang w:val="en-GB"/>
        </w:rPr>
        <w:t>The Heath Government, 1970–1974: A Reappraisal</w:t>
      </w:r>
      <w:r w:rsidR="00487B35">
        <w:rPr>
          <w:rFonts w:ascii="Times New Roman" w:hAnsi="Times New Roman" w:cs="Times New Roman"/>
          <w:sz w:val="24"/>
          <w:szCs w:val="24"/>
          <w:shd w:val="clear" w:color="auto" w:fill="FFFFFF"/>
          <w:lang w:val="en-GB"/>
        </w:rPr>
        <w:t>.</w:t>
      </w:r>
      <w:r w:rsidRPr="00B46D18">
        <w:rPr>
          <w:rFonts w:ascii="Times New Roman" w:hAnsi="Times New Roman" w:cs="Times New Roman"/>
          <w:sz w:val="24"/>
          <w:szCs w:val="24"/>
          <w:shd w:val="clear" w:color="auto" w:fill="FFFFFF"/>
          <w:lang w:val="en-GB"/>
        </w:rPr>
        <w:t xml:space="preserve"> </w:t>
      </w:r>
      <w:r w:rsidRPr="00B46D18">
        <w:rPr>
          <w:rStyle w:val="nlmpublisher-loc"/>
          <w:rFonts w:ascii="Times New Roman" w:hAnsi="Times New Roman" w:cs="Times New Roman"/>
          <w:sz w:val="24"/>
          <w:szCs w:val="24"/>
          <w:lang w:val="en-GB"/>
        </w:rPr>
        <w:t>London</w:t>
      </w:r>
      <w:r w:rsidRPr="00B46D18">
        <w:rPr>
          <w:rFonts w:ascii="Times New Roman" w:hAnsi="Times New Roman" w:cs="Times New Roman"/>
          <w:sz w:val="24"/>
          <w:szCs w:val="24"/>
          <w:shd w:val="clear" w:color="auto" w:fill="FFFFFF"/>
          <w:lang w:val="en-GB"/>
        </w:rPr>
        <w:t xml:space="preserve">: </w:t>
      </w:r>
      <w:r w:rsidRPr="00B46D18">
        <w:rPr>
          <w:rStyle w:val="nlmpublisher-name"/>
          <w:rFonts w:ascii="Times New Roman" w:hAnsi="Times New Roman" w:cs="Times New Roman"/>
          <w:sz w:val="24"/>
          <w:szCs w:val="24"/>
          <w:lang w:val="en-GB"/>
        </w:rPr>
        <w:t>Longman</w:t>
      </w:r>
      <w:r w:rsidRPr="00B46D18">
        <w:rPr>
          <w:rFonts w:ascii="Times New Roman" w:hAnsi="Times New Roman" w:cs="Times New Roman"/>
          <w:sz w:val="24"/>
          <w:szCs w:val="24"/>
          <w:lang w:val="en-GB"/>
        </w:rPr>
        <w:t xml:space="preserve">. </w:t>
      </w:r>
    </w:p>
    <w:bookmarkEnd w:id="11"/>
    <w:p w14:paraId="08342E8B" w14:textId="4CCE05C9" w:rsidR="008922F4" w:rsidRPr="00B46D18" w:rsidRDefault="008922F4" w:rsidP="004141E7">
      <w:pPr>
        <w:spacing w:after="0" w:line="480" w:lineRule="auto"/>
        <w:contextualSpacing/>
        <w:jc w:val="both"/>
        <w:rPr>
          <w:rFonts w:ascii="Times New Roman" w:hAnsi="Times New Roman" w:cs="Times New Roman"/>
          <w:bCs/>
          <w:sz w:val="24"/>
          <w:szCs w:val="24"/>
          <w:lang w:val="en-GB"/>
        </w:rPr>
      </w:pPr>
      <w:r w:rsidRPr="00B46D18">
        <w:rPr>
          <w:rStyle w:val="hlfld-contribauthor"/>
          <w:rFonts w:ascii="Times New Roman" w:hAnsi="Times New Roman" w:cs="Times New Roman"/>
          <w:sz w:val="24"/>
          <w:szCs w:val="24"/>
          <w:lang w:val="en-GB"/>
        </w:rPr>
        <w:t xml:space="preserve">Tomlinson, </w:t>
      </w:r>
      <w:r w:rsidRPr="00B46D18">
        <w:rPr>
          <w:rStyle w:val="nlmgiven-names"/>
          <w:rFonts w:ascii="Times New Roman" w:hAnsi="Times New Roman" w:cs="Times New Roman"/>
          <w:sz w:val="24"/>
          <w:szCs w:val="24"/>
          <w:lang w:val="en-GB"/>
        </w:rPr>
        <w:t>J.</w:t>
      </w:r>
      <w:r w:rsidRPr="00B46D18">
        <w:rPr>
          <w:rFonts w:ascii="Times New Roman" w:hAnsi="Times New Roman" w:cs="Times New Roman"/>
          <w:sz w:val="24"/>
          <w:szCs w:val="24"/>
          <w:shd w:val="clear" w:color="auto" w:fill="FFFFFF"/>
          <w:lang w:val="en-GB"/>
        </w:rPr>
        <w:t xml:space="preserve"> (</w:t>
      </w:r>
      <w:r w:rsidRPr="00B46D18">
        <w:rPr>
          <w:rStyle w:val="nlmyear"/>
          <w:rFonts w:ascii="Times New Roman" w:hAnsi="Times New Roman" w:cs="Times New Roman"/>
          <w:sz w:val="24"/>
          <w:szCs w:val="24"/>
          <w:lang w:val="en-GB"/>
        </w:rPr>
        <w:t>2000)</w:t>
      </w:r>
      <w:r w:rsidRPr="00B46D18">
        <w:rPr>
          <w:rFonts w:ascii="Times New Roman" w:hAnsi="Times New Roman" w:cs="Times New Roman"/>
          <w:sz w:val="24"/>
          <w:szCs w:val="24"/>
          <w:shd w:val="clear" w:color="auto" w:fill="FFFFFF"/>
          <w:lang w:val="en-GB"/>
        </w:rPr>
        <w:t xml:space="preserve"> </w:t>
      </w:r>
      <w:r w:rsidRPr="00487B35">
        <w:rPr>
          <w:rFonts w:ascii="Times New Roman" w:hAnsi="Times New Roman" w:cs="Times New Roman"/>
          <w:iCs/>
          <w:sz w:val="24"/>
          <w:szCs w:val="24"/>
          <w:lang w:val="en-GB"/>
        </w:rPr>
        <w:t>The Politics of Decline: Understanding Post-war Britain</w:t>
      </w:r>
      <w:r w:rsidR="00487B35">
        <w:rPr>
          <w:rFonts w:ascii="Times New Roman" w:hAnsi="Times New Roman" w:cs="Times New Roman"/>
          <w:sz w:val="24"/>
          <w:szCs w:val="24"/>
          <w:shd w:val="clear" w:color="auto" w:fill="FFFFFF"/>
          <w:lang w:val="en-GB"/>
        </w:rPr>
        <w:t>.</w:t>
      </w:r>
      <w:r w:rsidRPr="00B46D18">
        <w:rPr>
          <w:rFonts w:ascii="Times New Roman" w:hAnsi="Times New Roman" w:cs="Times New Roman"/>
          <w:sz w:val="24"/>
          <w:szCs w:val="24"/>
          <w:shd w:val="clear" w:color="auto" w:fill="FFFFFF"/>
          <w:lang w:val="en-GB"/>
        </w:rPr>
        <w:t xml:space="preserve"> </w:t>
      </w:r>
      <w:r w:rsidRPr="00B46D18">
        <w:rPr>
          <w:rStyle w:val="nlmpublisher-loc"/>
          <w:rFonts w:ascii="Times New Roman" w:hAnsi="Times New Roman" w:cs="Times New Roman"/>
          <w:sz w:val="24"/>
          <w:szCs w:val="24"/>
          <w:lang w:val="en-GB"/>
        </w:rPr>
        <w:t>Harlow</w:t>
      </w:r>
      <w:r w:rsidRPr="00B46D18">
        <w:rPr>
          <w:rFonts w:ascii="Times New Roman" w:hAnsi="Times New Roman" w:cs="Times New Roman"/>
          <w:sz w:val="24"/>
          <w:szCs w:val="24"/>
          <w:shd w:val="clear" w:color="auto" w:fill="FFFFFF"/>
          <w:lang w:val="en-GB"/>
        </w:rPr>
        <w:t xml:space="preserve">: </w:t>
      </w:r>
      <w:r w:rsidRPr="00B46D18">
        <w:rPr>
          <w:rStyle w:val="nlmpublisher-name"/>
          <w:rFonts w:ascii="Times New Roman" w:hAnsi="Times New Roman" w:cs="Times New Roman"/>
          <w:sz w:val="24"/>
          <w:szCs w:val="24"/>
          <w:lang w:val="en-GB"/>
        </w:rPr>
        <w:t>Longman</w:t>
      </w:r>
      <w:r w:rsidRPr="00B46D18">
        <w:rPr>
          <w:rFonts w:ascii="Times New Roman" w:hAnsi="Times New Roman" w:cs="Times New Roman"/>
          <w:bCs/>
          <w:sz w:val="24"/>
          <w:szCs w:val="24"/>
          <w:lang w:val="en-GB"/>
        </w:rPr>
        <w:t>.</w:t>
      </w:r>
    </w:p>
    <w:p w14:paraId="37355A5E" w14:textId="7FD88E63" w:rsidR="00157BCC" w:rsidRPr="00B46D18" w:rsidRDefault="00A72E81" w:rsidP="004141E7">
      <w:pPr>
        <w:spacing w:after="0" w:line="480" w:lineRule="auto"/>
        <w:contextualSpacing/>
        <w:jc w:val="both"/>
        <w:rPr>
          <w:rFonts w:ascii="Times New Roman" w:hAnsi="Times New Roman" w:cs="Times New Roman"/>
          <w:bCs/>
          <w:sz w:val="24"/>
          <w:szCs w:val="24"/>
          <w:lang w:val="en-GB"/>
        </w:rPr>
      </w:pPr>
      <w:r w:rsidRPr="00B46D18">
        <w:rPr>
          <w:rFonts w:ascii="Times New Roman" w:hAnsi="Times New Roman" w:cs="Times New Roman"/>
          <w:bCs/>
          <w:sz w:val="24"/>
          <w:szCs w:val="24"/>
          <w:lang w:val="en-GB"/>
        </w:rPr>
        <w:t xml:space="preserve">Wall, S. (2013) </w:t>
      </w:r>
      <w:r w:rsidRPr="00487B35">
        <w:rPr>
          <w:rFonts w:ascii="Times New Roman" w:hAnsi="Times New Roman" w:cs="Times New Roman"/>
          <w:bCs/>
          <w:iCs/>
          <w:sz w:val="24"/>
          <w:szCs w:val="24"/>
          <w:lang w:val="en-GB"/>
        </w:rPr>
        <w:t>The Official History of Britain and the European Community, Volume II: From Rejection to Referendum, 1963-1975</w:t>
      </w:r>
      <w:r w:rsidR="00487B35">
        <w:rPr>
          <w:rFonts w:ascii="Times New Roman" w:hAnsi="Times New Roman" w:cs="Times New Roman"/>
          <w:bCs/>
          <w:sz w:val="24"/>
          <w:szCs w:val="24"/>
          <w:lang w:val="en-GB"/>
        </w:rPr>
        <w:t>.</w:t>
      </w:r>
      <w:r w:rsidRPr="00B46D18">
        <w:rPr>
          <w:rFonts w:ascii="Times New Roman" w:hAnsi="Times New Roman" w:cs="Times New Roman"/>
          <w:bCs/>
          <w:sz w:val="24"/>
          <w:szCs w:val="24"/>
          <w:lang w:val="en-GB"/>
        </w:rPr>
        <w:t xml:space="preserve"> London: Routledge.</w:t>
      </w:r>
    </w:p>
    <w:p w14:paraId="5E7E3186" w14:textId="4B330F89" w:rsidR="00392367" w:rsidRPr="00B46D18" w:rsidRDefault="00157BCC" w:rsidP="007C437A">
      <w:pPr>
        <w:spacing w:after="0" w:line="480" w:lineRule="auto"/>
        <w:contextualSpacing/>
        <w:jc w:val="both"/>
        <w:rPr>
          <w:lang w:val="en-GB"/>
        </w:rPr>
      </w:pPr>
      <w:r w:rsidRPr="00B46D18">
        <w:rPr>
          <w:rFonts w:ascii="Times New Roman" w:hAnsi="Times New Roman" w:cs="Times New Roman"/>
          <w:sz w:val="24"/>
          <w:szCs w:val="24"/>
          <w:lang w:val="en-GB"/>
        </w:rPr>
        <w:t xml:space="preserve">Whitehead, P. (1985) </w:t>
      </w:r>
      <w:r w:rsidRPr="00487B35">
        <w:rPr>
          <w:rFonts w:ascii="Times New Roman" w:hAnsi="Times New Roman" w:cs="Times New Roman"/>
          <w:iCs/>
          <w:sz w:val="24"/>
          <w:szCs w:val="24"/>
          <w:lang w:val="en-GB"/>
        </w:rPr>
        <w:t>The Writing on the Wall: Britain in the Seventies</w:t>
      </w:r>
      <w:r w:rsidR="00487B35">
        <w:rPr>
          <w:rFonts w:ascii="Times New Roman" w:hAnsi="Times New Roman" w:cs="Times New Roman"/>
          <w:sz w:val="24"/>
          <w:szCs w:val="24"/>
          <w:lang w:val="en-GB"/>
        </w:rPr>
        <w:t>.</w:t>
      </w:r>
      <w:r w:rsidR="007C437A">
        <w:rPr>
          <w:rFonts w:ascii="Times New Roman" w:hAnsi="Times New Roman" w:cs="Times New Roman"/>
          <w:sz w:val="24"/>
          <w:szCs w:val="24"/>
          <w:lang w:val="en-GB"/>
        </w:rPr>
        <w:t xml:space="preserve"> London: Michael Joseph.</w:t>
      </w:r>
    </w:p>
    <w:sectPr w:rsidR="00392367" w:rsidRPr="00B46D18" w:rsidSect="004141E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A0A1" w14:textId="77777777" w:rsidR="00046756" w:rsidRDefault="00046756" w:rsidP="003721BF">
      <w:pPr>
        <w:spacing w:after="0" w:line="240" w:lineRule="auto"/>
      </w:pPr>
      <w:r>
        <w:separator/>
      </w:r>
    </w:p>
  </w:endnote>
  <w:endnote w:type="continuationSeparator" w:id="0">
    <w:p w14:paraId="2ABAF745" w14:textId="77777777" w:rsidR="00046756" w:rsidRDefault="00046756" w:rsidP="0037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J">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6F35" w14:textId="77777777" w:rsidR="00046756" w:rsidRDefault="00046756" w:rsidP="003721BF">
      <w:pPr>
        <w:spacing w:after="0" w:line="240" w:lineRule="auto"/>
      </w:pPr>
      <w:r>
        <w:separator/>
      </w:r>
    </w:p>
  </w:footnote>
  <w:footnote w:type="continuationSeparator" w:id="0">
    <w:p w14:paraId="098C1B84" w14:textId="77777777" w:rsidR="00046756" w:rsidRDefault="00046756" w:rsidP="003721BF">
      <w:pPr>
        <w:spacing w:after="0" w:line="240" w:lineRule="auto"/>
      </w:pPr>
      <w:r>
        <w:continuationSeparator/>
      </w:r>
    </w:p>
  </w:footnote>
  <w:footnote w:id="1">
    <w:p w14:paraId="445899A4" w14:textId="65CA3720" w:rsidR="00BB0E04" w:rsidRPr="00BB0E04" w:rsidRDefault="00BB0E04" w:rsidP="007978B7">
      <w:pPr>
        <w:spacing w:after="0" w:line="480" w:lineRule="auto"/>
        <w:ind w:firstLine="720"/>
        <w:jc w:val="both"/>
        <w:rPr>
          <w:rFonts w:ascii="Times New Roman" w:hAnsi="Times New Roman" w:cs="Times New Roman"/>
          <w:sz w:val="24"/>
          <w:szCs w:val="24"/>
          <w:lang w:val="en-GB"/>
        </w:rPr>
      </w:pPr>
      <w:r w:rsidRPr="00BB0E04">
        <w:rPr>
          <w:rStyle w:val="FootnoteReference"/>
          <w:sz w:val="24"/>
          <w:szCs w:val="24"/>
        </w:rPr>
        <w:footnoteRef/>
      </w:r>
      <w:r w:rsidRPr="00BB0E04">
        <w:rPr>
          <w:sz w:val="24"/>
          <w:szCs w:val="24"/>
        </w:rPr>
        <w:t xml:space="preserve"> </w:t>
      </w:r>
      <w:r w:rsidRPr="00BB0E04">
        <w:rPr>
          <w:rFonts w:ascii="Times New Roman" w:hAnsi="Times New Roman" w:cs="Times New Roman"/>
          <w:sz w:val="24"/>
          <w:szCs w:val="24"/>
          <w:lang w:val="en-GB"/>
        </w:rPr>
        <w:t>The European Communities were comprised of three entities: the European Economic Community, European Coal and Steel Community, and the European Atomic Energy Community (Euratom).</w:t>
      </w:r>
      <w:r w:rsidR="007978B7">
        <w:rPr>
          <w:rFonts w:ascii="Times New Roman" w:hAnsi="Times New Roman" w:cs="Times New Roman"/>
          <w:sz w:val="24"/>
          <w:szCs w:val="24"/>
          <w:lang w:val="en-GB"/>
        </w:rPr>
        <w:t xml:space="preserve"> It was the first of these that</w:t>
      </w:r>
      <w:r w:rsidRPr="00BB0E04">
        <w:rPr>
          <w:rFonts w:ascii="Times New Roman" w:hAnsi="Times New Roman" w:cs="Times New Roman"/>
          <w:sz w:val="24"/>
          <w:szCs w:val="24"/>
          <w:lang w:val="en-GB"/>
        </w:rPr>
        <w:t xml:space="preserve"> was most prominent – often referred to as the ‘Common Market’– and the main focus of the UK application to join. However, for the sake of consistency and to avoid confusion, we will refer</w:t>
      </w:r>
      <w:r>
        <w:rPr>
          <w:rFonts w:ascii="Times New Roman" w:hAnsi="Times New Roman" w:cs="Times New Roman"/>
          <w:sz w:val="24"/>
          <w:szCs w:val="24"/>
          <w:lang w:val="en-GB"/>
        </w:rPr>
        <w:t xml:space="preserve"> to it as the European Community </w:t>
      </w:r>
      <w:r w:rsidR="007978B7">
        <w:rPr>
          <w:rFonts w:ascii="Times New Roman" w:hAnsi="Times New Roman" w:cs="Times New Roman"/>
          <w:sz w:val="24"/>
          <w:szCs w:val="24"/>
          <w:lang w:val="en-GB"/>
        </w:rPr>
        <w:t>(</w:t>
      </w:r>
      <w:r>
        <w:rPr>
          <w:rFonts w:ascii="Times New Roman" w:hAnsi="Times New Roman" w:cs="Times New Roman"/>
          <w:sz w:val="24"/>
          <w:szCs w:val="24"/>
          <w:lang w:val="en-GB"/>
        </w:rPr>
        <w:t>or EC</w:t>
      </w:r>
      <w:r w:rsidR="007978B7">
        <w:rPr>
          <w:rFonts w:ascii="Times New Roman" w:hAnsi="Times New Roman" w:cs="Times New Roman"/>
          <w:sz w:val="24"/>
          <w:szCs w:val="24"/>
          <w:lang w:val="en-GB"/>
        </w:rPr>
        <w:t>)</w:t>
      </w:r>
      <w:r w:rsidRPr="00BB0E04">
        <w:rPr>
          <w:rFonts w:ascii="Times New Roman" w:hAnsi="Times New Roman" w:cs="Times New Roman"/>
          <w:sz w:val="24"/>
          <w:szCs w:val="24"/>
          <w:lang w:val="en-GB"/>
        </w:rPr>
        <w:t xml:space="preserve"> throughout this book</w:t>
      </w:r>
      <w:r>
        <w:rPr>
          <w:rFonts w:ascii="Times New Roman" w:hAnsi="Times New Roman" w:cs="Times New Roman"/>
          <w:sz w:val="24"/>
          <w:szCs w:val="24"/>
          <w:lang w:val="en-GB"/>
        </w:rPr>
        <w:t xml:space="preserve">. </w:t>
      </w:r>
      <w:r w:rsidRPr="00BB0E04">
        <w:rPr>
          <w:rFonts w:ascii="Times New Roman" w:hAnsi="Times New Roman" w:cs="Times New Roman"/>
          <w:sz w:val="24"/>
          <w:szCs w:val="24"/>
          <w:lang w:val="en-GB"/>
        </w:rPr>
        <w:t xml:space="preserve">  </w:t>
      </w:r>
    </w:p>
  </w:footnote>
  <w:footnote w:id="2">
    <w:p w14:paraId="65D02D06" w14:textId="37A70CF4" w:rsidR="002E2987" w:rsidRPr="001121D3" w:rsidRDefault="002E2987" w:rsidP="007978B7">
      <w:pPr>
        <w:spacing w:after="0" w:line="480" w:lineRule="auto"/>
        <w:ind w:firstLine="720"/>
        <w:contextualSpacing/>
        <w:jc w:val="both"/>
        <w:rPr>
          <w:rFonts w:ascii="Times New Roman" w:eastAsia="Times New Roman" w:hAnsi="Times New Roman" w:cs="Times New Roman"/>
          <w:sz w:val="24"/>
          <w:szCs w:val="24"/>
          <w:lang w:eastAsia="en-GB"/>
        </w:rPr>
      </w:pPr>
      <w:r>
        <w:rPr>
          <w:rStyle w:val="FootnoteReference"/>
        </w:rPr>
        <w:footnoteRef/>
      </w:r>
      <w:r>
        <w:t xml:space="preserve"> </w:t>
      </w:r>
      <w:r w:rsidR="007978B7">
        <w:rPr>
          <w:rFonts w:ascii="Times New Roman" w:eastAsia="Times New Roman" w:hAnsi="Times New Roman" w:cs="Times New Roman"/>
          <w:color w:val="000000"/>
          <w:sz w:val="24"/>
          <w:szCs w:val="24"/>
          <w:lang w:eastAsia="en-GB"/>
        </w:rPr>
        <w:t xml:space="preserve">In an overt piece of </w:t>
      </w:r>
      <w:r>
        <w:rPr>
          <w:rFonts w:ascii="Times New Roman" w:eastAsia="Times New Roman" w:hAnsi="Times New Roman" w:cs="Times New Roman"/>
          <w:color w:val="000000"/>
          <w:sz w:val="24"/>
          <w:szCs w:val="24"/>
          <w:lang w:eastAsia="en-GB"/>
        </w:rPr>
        <w:t>pre-election campaigning, Prime Minister Harold Wilson contributed to the impression of Heath as a hard-faced economically liberal and social authoritarian Conservative. Naming Heath as ‘Selsdon Man’ - after the Selsdon Park Hotel where the Conservatives held a policy review session in January</w:t>
      </w:r>
      <w:r w:rsidR="00B46D18">
        <w:rPr>
          <w:rFonts w:ascii="Times New Roman" w:eastAsia="Times New Roman" w:hAnsi="Times New Roman" w:cs="Times New Roman"/>
          <w:color w:val="000000"/>
          <w:sz w:val="24"/>
          <w:szCs w:val="24"/>
          <w:lang w:eastAsia="en-GB"/>
        </w:rPr>
        <w:t xml:space="preserve"> 1970,</w:t>
      </w:r>
      <w:r>
        <w:rPr>
          <w:rFonts w:ascii="Times New Roman" w:eastAsia="Times New Roman" w:hAnsi="Times New Roman" w:cs="Times New Roman"/>
          <w:color w:val="000000"/>
          <w:sz w:val="24"/>
          <w:szCs w:val="24"/>
          <w:lang w:eastAsia="en-GB"/>
        </w:rPr>
        <w:t xml:space="preserve"> Wilson argued that Heath had ‘an atavistic desire to reverse the course of 25 years of social revolution; </w:t>
      </w:r>
      <w:r w:rsidRPr="00E068C0">
        <w:rPr>
          <w:rFonts w:ascii="Times New Roman" w:eastAsia="Times New Roman" w:hAnsi="Times New Roman" w:cs="Times New Roman"/>
          <w:color w:val="000000"/>
          <w:sz w:val="24"/>
          <w:szCs w:val="24"/>
          <w:lang w:eastAsia="en-GB"/>
        </w:rPr>
        <w:t xml:space="preserve">what they are planning is a wanton, calculated and deliberate return to greater inequality’ </w:t>
      </w:r>
      <w:r w:rsidRPr="00E068C0">
        <w:rPr>
          <w:rFonts w:ascii="Times New Roman" w:eastAsia="Times New Roman" w:hAnsi="Times New Roman" w:cs="Times New Roman"/>
          <w:sz w:val="24"/>
          <w:szCs w:val="24"/>
          <w:lang w:eastAsia="en-GB"/>
        </w:rPr>
        <w:t>(Campbell 1993: 265).</w:t>
      </w:r>
    </w:p>
  </w:footnote>
  <w:footnote w:id="3">
    <w:p w14:paraId="38D83FFB" w14:textId="4620AA14" w:rsidR="00DB712D" w:rsidRPr="008E7DBD" w:rsidRDefault="00DB712D" w:rsidP="007978B7">
      <w:pPr>
        <w:spacing w:after="0" w:line="480" w:lineRule="auto"/>
        <w:ind w:firstLine="720"/>
        <w:contextualSpacing/>
        <w:jc w:val="both"/>
        <w:rPr>
          <w:rFonts w:ascii="Times New Roman" w:hAnsi="Times New Roman" w:cs="Times New Roman"/>
          <w:sz w:val="24"/>
          <w:szCs w:val="24"/>
          <w:shd w:val="clear" w:color="auto" w:fill="FFFFFF"/>
        </w:rPr>
      </w:pPr>
      <w:r w:rsidRPr="008E7DBD">
        <w:rPr>
          <w:rStyle w:val="FootnoteReference"/>
        </w:rPr>
        <w:footnoteRef/>
      </w:r>
      <w:r w:rsidRPr="008E7DBD">
        <w:t xml:space="preserve"> </w:t>
      </w:r>
      <w:r w:rsidRPr="008E7DBD">
        <w:rPr>
          <w:rFonts w:ascii="Times New Roman" w:hAnsi="Times New Roman" w:cs="Times New Roman"/>
          <w:sz w:val="24"/>
          <w:szCs w:val="24"/>
          <w:shd w:val="clear" w:color="auto" w:fill="FFFFFF"/>
        </w:rPr>
        <w:t xml:space="preserve">This commitment to reducing intervention in the economy was reinforced by the intervention of John Davies, President of the Board of Trade, in November 1970. He said that the Heath premiership was determined to make </w:t>
      </w:r>
      <w:r w:rsidRPr="008E7DBD">
        <w:rPr>
          <w:rFonts w:ascii="Times New Roman" w:eastAsia="SimSun" w:hAnsi="Times New Roman" w:cs="Times New Roman"/>
          <w:sz w:val="24"/>
          <w:szCs w:val="24"/>
          <w:lang w:eastAsia="zh-CN"/>
        </w:rPr>
        <w:t>‘industry stand on its own two feet or go to the wall’, and that the ‘consequence of treating the whole country as lame ducks was national decadence’</w:t>
      </w:r>
      <w:r w:rsidR="00552319" w:rsidRPr="008E7DBD">
        <w:rPr>
          <w:rFonts w:ascii="Times New Roman" w:eastAsia="SimSun" w:hAnsi="Times New Roman" w:cs="Times New Roman"/>
          <w:sz w:val="24"/>
          <w:szCs w:val="24"/>
          <w:lang w:eastAsia="zh-CN"/>
        </w:rPr>
        <w:t xml:space="preserve"> (HC Debates, Vol. 805, Col. 1211-8, 4</w:t>
      </w:r>
      <w:r w:rsidR="00552319" w:rsidRPr="008E7DBD">
        <w:rPr>
          <w:rFonts w:ascii="Times New Roman" w:eastAsia="SimSun" w:hAnsi="Times New Roman" w:cs="Times New Roman"/>
          <w:sz w:val="24"/>
          <w:szCs w:val="24"/>
          <w:vertAlign w:val="superscript"/>
          <w:lang w:eastAsia="zh-CN"/>
        </w:rPr>
        <w:t>th</w:t>
      </w:r>
      <w:r w:rsidR="00552319" w:rsidRPr="008E7DBD">
        <w:rPr>
          <w:rFonts w:ascii="Times New Roman" w:eastAsia="SimSun" w:hAnsi="Times New Roman" w:cs="Times New Roman"/>
          <w:sz w:val="24"/>
          <w:szCs w:val="24"/>
          <w:lang w:eastAsia="zh-CN"/>
        </w:rPr>
        <w:t xml:space="preserve"> November 1970</w:t>
      </w:r>
      <w:r w:rsidRPr="008E7DBD">
        <w:rPr>
          <w:rFonts w:ascii="Times New Roman" w:eastAsia="SimSun" w:hAnsi="Times New Roman" w:cs="Times New Roman"/>
          <w:sz w:val="24"/>
          <w:szCs w:val="24"/>
          <w:lang w:eastAsia="zh-CN"/>
        </w:rPr>
        <w:t>).</w:t>
      </w:r>
    </w:p>
    <w:p w14:paraId="4715E25F" w14:textId="5B1B5680" w:rsidR="00DB712D" w:rsidRPr="00DB712D" w:rsidRDefault="00DB712D">
      <w:pPr>
        <w:pStyle w:val="FootnoteText"/>
        <w:rPr>
          <w:lang w:val="en-GB"/>
        </w:rPr>
      </w:pPr>
    </w:p>
  </w:footnote>
  <w:footnote w:id="4">
    <w:p w14:paraId="1D5F73B3" w14:textId="73F4717A" w:rsidR="00E24374" w:rsidRPr="00146E26" w:rsidRDefault="00E24374" w:rsidP="00146E26">
      <w:pPr>
        <w:spacing w:after="0" w:line="480" w:lineRule="auto"/>
        <w:ind w:firstLine="720"/>
        <w:contextualSpacing/>
        <w:jc w:val="both"/>
        <w:rPr>
          <w:rFonts w:ascii="Times New Roman" w:eastAsia="SimSun" w:hAnsi="Times New Roman" w:cs="Times New Roman"/>
          <w:sz w:val="24"/>
          <w:szCs w:val="24"/>
          <w:lang w:val="en-GB" w:eastAsia="zh-CN"/>
        </w:rPr>
      </w:pPr>
      <w:r w:rsidRPr="00146E26">
        <w:rPr>
          <w:rStyle w:val="FootnoteReference"/>
          <w:lang w:val="en-GB"/>
        </w:rPr>
        <w:footnoteRef/>
      </w:r>
      <w:r w:rsidRPr="00146E26">
        <w:rPr>
          <w:lang w:val="en-GB"/>
        </w:rPr>
        <w:t xml:space="preserve"> </w:t>
      </w:r>
      <w:r w:rsidRPr="00146E26">
        <w:rPr>
          <w:rFonts w:ascii="Times New Roman" w:hAnsi="Times New Roman" w:cs="Times New Roman"/>
          <w:sz w:val="24"/>
          <w:szCs w:val="24"/>
          <w:lang w:val="en-GB"/>
        </w:rPr>
        <w:t>The Heath premiershi</w:t>
      </w:r>
      <w:r w:rsidR="00146E26">
        <w:rPr>
          <w:rFonts w:ascii="Times New Roman" w:hAnsi="Times New Roman" w:cs="Times New Roman"/>
          <w:sz w:val="24"/>
          <w:szCs w:val="24"/>
          <w:lang w:val="en-GB"/>
        </w:rPr>
        <w:t>p also coincided with destabilis</w:t>
      </w:r>
      <w:r w:rsidRPr="00146E26">
        <w:rPr>
          <w:rFonts w:ascii="Times New Roman" w:hAnsi="Times New Roman" w:cs="Times New Roman"/>
          <w:sz w:val="24"/>
          <w:szCs w:val="24"/>
          <w:lang w:val="en-GB"/>
        </w:rPr>
        <w:t xml:space="preserve">ing international economic circumstances. The </w:t>
      </w:r>
      <w:r w:rsidRPr="00146E26">
        <w:rPr>
          <w:rFonts w:ascii="Times New Roman" w:eastAsia="SimSun" w:hAnsi="Times New Roman" w:cs="Times New Roman"/>
          <w:sz w:val="24"/>
          <w:szCs w:val="24"/>
          <w:lang w:val="en-GB" w:eastAsia="zh-CN"/>
        </w:rPr>
        <w:t xml:space="preserve">ending of the Bretton Wood system of fixed exchange rates intensified the uncertainty and the weakened British economy of the early 1970s was ill prepared to deal with the outbreak of the Yom Kippur War between Israel and </w:t>
      </w:r>
      <w:r w:rsidRPr="008E7DBD">
        <w:rPr>
          <w:rFonts w:ascii="Times New Roman" w:eastAsia="SimSun" w:hAnsi="Times New Roman" w:cs="Times New Roman"/>
          <w:sz w:val="24"/>
          <w:szCs w:val="24"/>
          <w:lang w:val="en-GB" w:eastAsia="zh-CN"/>
        </w:rPr>
        <w:t>Arab states (October 1973), which ‘led to the quadrupling of oil prices by OPEC countries’ (Kavanagh</w:t>
      </w:r>
      <w:r w:rsidR="00502776">
        <w:rPr>
          <w:rFonts w:ascii="Times New Roman" w:eastAsia="SimSun" w:hAnsi="Times New Roman" w:cs="Times New Roman"/>
          <w:sz w:val="24"/>
          <w:szCs w:val="24"/>
          <w:lang w:val="en-GB" w:eastAsia="zh-CN"/>
        </w:rPr>
        <w:t>,</w:t>
      </w:r>
      <w:r w:rsidRPr="008E7DBD">
        <w:rPr>
          <w:rFonts w:ascii="Times New Roman" w:eastAsia="SimSun" w:hAnsi="Times New Roman" w:cs="Times New Roman"/>
          <w:sz w:val="24"/>
          <w:szCs w:val="24"/>
          <w:lang w:val="en-GB" w:eastAsia="zh-CN"/>
        </w:rPr>
        <w:t xml:space="preserve"> 1996: 380).</w:t>
      </w:r>
      <w:r w:rsidRPr="00146E26">
        <w:rPr>
          <w:rFonts w:ascii="Times New Roman" w:eastAsia="SimSun" w:hAnsi="Times New Roman" w:cs="Times New Roman"/>
          <w:sz w:val="24"/>
          <w:szCs w:val="24"/>
          <w:lang w:val="en-GB" w:eastAsia="zh-CN"/>
        </w:rPr>
        <w:t xml:space="preserve"> </w:t>
      </w:r>
    </w:p>
    <w:p w14:paraId="4B09D5D1" w14:textId="71E653DF" w:rsidR="00E24374" w:rsidRPr="00E24374" w:rsidRDefault="00E24374">
      <w:pPr>
        <w:pStyle w:val="FootnoteText"/>
        <w:rPr>
          <w:lang w:val="en-GB"/>
        </w:rPr>
      </w:pPr>
    </w:p>
  </w:footnote>
  <w:footnote w:id="5">
    <w:p w14:paraId="36A8757D" w14:textId="17C5BEB4" w:rsidR="00904860" w:rsidRPr="0059788E" w:rsidRDefault="00904860" w:rsidP="000340DF">
      <w:pPr>
        <w:pStyle w:val="FootnoteText"/>
        <w:spacing w:line="480" w:lineRule="auto"/>
        <w:ind w:firstLine="720"/>
        <w:contextualSpacing/>
        <w:jc w:val="both"/>
        <w:rPr>
          <w:lang w:val="en-GB"/>
        </w:rPr>
      </w:pPr>
      <w:r>
        <w:rPr>
          <w:rStyle w:val="FootnoteReference"/>
        </w:rPr>
        <w:footnoteRef/>
      </w:r>
      <w:r>
        <w:t xml:space="preserve"> </w:t>
      </w:r>
      <w:r w:rsidRPr="008E7DBD">
        <w:rPr>
          <w:rFonts w:ascii="Times New Roman" w:hAnsi="Times New Roman" w:cs="Times New Roman"/>
          <w:bCs/>
          <w:color w:val="000000"/>
          <w:sz w:val="24"/>
          <w:szCs w:val="24"/>
        </w:rPr>
        <w:t>For academic discussions on the strengths and limitations of the statecraft approach, see Stevens</w:t>
      </w:r>
      <w:r w:rsidR="006D5CE1">
        <w:rPr>
          <w:rFonts w:ascii="Times New Roman" w:hAnsi="Times New Roman" w:cs="Times New Roman"/>
          <w:bCs/>
          <w:color w:val="000000"/>
          <w:sz w:val="24"/>
          <w:szCs w:val="24"/>
        </w:rPr>
        <w:t>,</w:t>
      </w:r>
      <w:r w:rsidRPr="008E7DBD">
        <w:rPr>
          <w:rFonts w:ascii="Times New Roman" w:hAnsi="Times New Roman" w:cs="Times New Roman"/>
          <w:bCs/>
          <w:color w:val="000000"/>
          <w:sz w:val="24"/>
          <w:szCs w:val="24"/>
        </w:rPr>
        <w:t xml:space="preserve"> 2002:</w:t>
      </w:r>
      <w:r w:rsidR="006D5CE1">
        <w:rPr>
          <w:rFonts w:ascii="Times New Roman" w:hAnsi="Times New Roman" w:cs="Times New Roman"/>
          <w:bCs/>
          <w:color w:val="000000"/>
          <w:sz w:val="24"/>
          <w:szCs w:val="24"/>
        </w:rPr>
        <w:t xml:space="preserve"> </w:t>
      </w:r>
      <w:r w:rsidRPr="008E7DBD">
        <w:rPr>
          <w:rFonts w:ascii="Times New Roman" w:hAnsi="Times New Roman" w:cs="Times New Roman"/>
          <w:bCs/>
          <w:color w:val="000000"/>
          <w:sz w:val="24"/>
          <w:szCs w:val="24"/>
        </w:rPr>
        <w:t>119-150; Buller</w:t>
      </w:r>
      <w:r w:rsidR="006D5CE1">
        <w:rPr>
          <w:rFonts w:ascii="Times New Roman" w:hAnsi="Times New Roman" w:cs="Times New Roman"/>
          <w:bCs/>
          <w:color w:val="000000"/>
          <w:sz w:val="24"/>
          <w:szCs w:val="24"/>
        </w:rPr>
        <w:t>,</w:t>
      </w:r>
      <w:r w:rsidRPr="00E068C0">
        <w:rPr>
          <w:rFonts w:ascii="Times New Roman" w:hAnsi="Times New Roman" w:cs="Times New Roman"/>
          <w:bCs/>
          <w:color w:val="000000"/>
          <w:sz w:val="24"/>
          <w:szCs w:val="24"/>
        </w:rPr>
        <w:t xml:space="preserve"> 1999: 691-712; and Buller</w:t>
      </w:r>
      <w:r w:rsidR="006D5CE1">
        <w:rPr>
          <w:rFonts w:ascii="Times New Roman" w:hAnsi="Times New Roman" w:cs="Times New Roman"/>
          <w:bCs/>
          <w:color w:val="000000"/>
          <w:sz w:val="24"/>
          <w:szCs w:val="24"/>
        </w:rPr>
        <w:t>,</w:t>
      </w:r>
      <w:r w:rsidRPr="00E068C0">
        <w:rPr>
          <w:rFonts w:ascii="Times New Roman" w:hAnsi="Times New Roman" w:cs="Times New Roman"/>
          <w:bCs/>
          <w:color w:val="000000"/>
          <w:sz w:val="24"/>
          <w:szCs w:val="24"/>
        </w:rPr>
        <w:t xml:space="preserve"> 2000: 319-27.</w:t>
      </w:r>
    </w:p>
  </w:footnote>
  <w:footnote w:id="6">
    <w:p w14:paraId="749E289C" w14:textId="441397E9" w:rsidR="00904860" w:rsidRDefault="00904860" w:rsidP="000340DF">
      <w:pPr>
        <w:pStyle w:val="NormalWeb"/>
        <w:spacing w:before="0" w:beforeAutospacing="0" w:after="0" w:afterAutospacing="0" w:line="480" w:lineRule="auto"/>
        <w:ind w:firstLine="720"/>
        <w:contextualSpacing/>
        <w:jc w:val="both"/>
      </w:pPr>
      <w:r>
        <w:rPr>
          <w:rStyle w:val="FootnoteReference"/>
        </w:rPr>
        <w:footnoteRef/>
      </w:r>
      <w:r>
        <w:t xml:space="preserve"> Marsh has </w:t>
      </w:r>
      <w:r w:rsidRPr="007C437A">
        <w:t>acknowledged that statecraft theory is a key approach through to understanding British government and politics (Marsh, 2012: 48-9).</w:t>
      </w:r>
    </w:p>
    <w:p w14:paraId="1231D0AB" w14:textId="7288D5FD" w:rsidR="00904860" w:rsidRPr="005E5AD0" w:rsidRDefault="00904860" w:rsidP="005E5AD0">
      <w:pPr>
        <w:pStyle w:val="FootnoteText"/>
        <w:rPr>
          <w:lang w:val="en-GB"/>
        </w:rPr>
      </w:pPr>
    </w:p>
  </w:footnote>
  <w:footnote w:id="7">
    <w:p w14:paraId="7B8C4C71" w14:textId="5FED84E8" w:rsidR="00904860" w:rsidRPr="000340DF" w:rsidRDefault="00904860" w:rsidP="000340DF">
      <w:pPr>
        <w:pStyle w:val="FootnoteText"/>
        <w:spacing w:line="480" w:lineRule="auto"/>
        <w:ind w:firstLine="720"/>
        <w:jc w:val="both"/>
        <w:rPr>
          <w:rFonts w:ascii="Times New Roman" w:hAnsi="Times New Roman" w:cs="Times New Roman"/>
          <w:sz w:val="24"/>
          <w:szCs w:val="24"/>
          <w:lang w:val="en-GB"/>
        </w:rPr>
      </w:pPr>
      <w:r w:rsidRPr="000340DF">
        <w:rPr>
          <w:rStyle w:val="FootnoteReference"/>
          <w:rFonts w:ascii="Times New Roman" w:hAnsi="Times New Roman" w:cs="Times New Roman"/>
          <w:sz w:val="24"/>
          <w:szCs w:val="24"/>
          <w:lang w:val="en-GB"/>
        </w:rPr>
        <w:footnoteRef/>
      </w:r>
      <w:r w:rsidRPr="000340DF">
        <w:rPr>
          <w:rFonts w:ascii="Times New Roman" w:hAnsi="Times New Roman" w:cs="Times New Roman"/>
          <w:sz w:val="24"/>
          <w:szCs w:val="24"/>
          <w:lang w:val="en-GB"/>
        </w:rPr>
        <w:t xml:space="preserve"> Writing in 1964</w:t>
      </w:r>
      <w:r w:rsidR="000340DF" w:rsidRPr="000340DF">
        <w:rPr>
          <w:rFonts w:ascii="Times New Roman" w:hAnsi="Times New Roman" w:cs="Times New Roman"/>
          <w:sz w:val="24"/>
          <w:szCs w:val="24"/>
          <w:lang w:val="en-GB"/>
        </w:rPr>
        <w:t>,</w:t>
      </w:r>
      <w:r w:rsidRPr="000340DF">
        <w:rPr>
          <w:rFonts w:ascii="Times New Roman" w:hAnsi="Times New Roman" w:cs="Times New Roman"/>
          <w:sz w:val="24"/>
          <w:szCs w:val="24"/>
          <w:lang w:val="en-GB"/>
        </w:rPr>
        <w:t xml:space="preserve"> Richard Rose concluded that the Labour Party were a party of factions – i.e.  </w:t>
      </w:r>
      <w:r w:rsidRPr="000340DF">
        <w:rPr>
          <w:rFonts w:ascii="Times New Roman" w:hAnsi="Times New Roman" w:cs="Times New Roman"/>
          <w:sz w:val="24"/>
          <w:szCs w:val="24"/>
          <w:lang w:val="en-GB"/>
        </w:rPr>
        <w:t>involv</w:t>
      </w:r>
      <w:r w:rsidR="000340DF" w:rsidRPr="000340DF">
        <w:rPr>
          <w:rFonts w:ascii="Times New Roman" w:hAnsi="Times New Roman" w:cs="Times New Roman"/>
          <w:sz w:val="24"/>
          <w:szCs w:val="24"/>
          <w:lang w:val="en-GB"/>
        </w:rPr>
        <w:t>ing stable, cohesive and organis</w:t>
      </w:r>
      <w:r w:rsidRPr="000340DF">
        <w:rPr>
          <w:rFonts w:ascii="Times New Roman" w:hAnsi="Times New Roman" w:cs="Times New Roman"/>
          <w:sz w:val="24"/>
          <w:szCs w:val="24"/>
          <w:lang w:val="en-GB"/>
        </w:rPr>
        <w:t xml:space="preserve">ed groups that sought to advance specific policies and leaders. The Conservative Party, in </w:t>
      </w:r>
      <w:r w:rsidRPr="007C437A">
        <w:rPr>
          <w:rFonts w:ascii="Times New Roman" w:hAnsi="Times New Roman" w:cs="Times New Roman"/>
          <w:sz w:val="24"/>
          <w:szCs w:val="24"/>
          <w:lang w:val="en-GB"/>
        </w:rPr>
        <w:t>contrast, were a party of non-aligned tendencies, based on fluctuating alignments amongst parliamentarians, but these were transient alignments that lacked the cohesiveness of the more factional Labour Party (Rose, 1964: 33-46)</w:t>
      </w:r>
      <w:r w:rsidRPr="000340DF">
        <w:rPr>
          <w:rFonts w:ascii="Times New Roman" w:hAnsi="Times New Roman" w:cs="Times New Roman"/>
          <w:sz w:val="24"/>
          <w:szCs w:val="24"/>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9BF"/>
    <w:multiLevelType w:val="multilevel"/>
    <w:tmpl w:val="EBC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D44"/>
    <w:multiLevelType w:val="hybridMultilevel"/>
    <w:tmpl w:val="C948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B32F0"/>
    <w:multiLevelType w:val="hybridMultilevel"/>
    <w:tmpl w:val="9F1A1F90"/>
    <w:lvl w:ilvl="0" w:tplc="477858AA">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039FC"/>
    <w:multiLevelType w:val="hybridMultilevel"/>
    <w:tmpl w:val="65CC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10F79"/>
    <w:multiLevelType w:val="hybridMultilevel"/>
    <w:tmpl w:val="9DA43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EC3E6F"/>
    <w:multiLevelType w:val="hybridMultilevel"/>
    <w:tmpl w:val="5D56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D0843"/>
    <w:multiLevelType w:val="hybridMultilevel"/>
    <w:tmpl w:val="6C06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046CC"/>
    <w:multiLevelType w:val="hybridMultilevel"/>
    <w:tmpl w:val="CEEC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158C8"/>
    <w:multiLevelType w:val="hybridMultilevel"/>
    <w:tmpl w:val="95823F04"/>
    <w:lvl w:ilvl="0" w:tplc="504CF188">
      <w:start w:val="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F23DB"/>
    <w:multiLevelType w:val="hybridMultilevel"/>
    <w:tmpl w:val="BFF6B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133D9"/>
    <w:multiLevelType w:val="hybridMultilevel"/>
    <w:tmpl w:val="980C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54796"/>
    <w:multiLevelType w:val="hybridMultilevel"/>
    <w:tmpl w:val="3D2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1"/>
  </w:num>
  <w:num w:numId="6">
    <w:abstractNumId w:val="0"/>
  </w:num>
  <w:num w:numId="7">
    <w:abstractNumId w:val="3"/>
  </w:num>
  <w:num w:numId="8">
    <w:abstractNumId w:val="8"/>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4F"/>
    <w:rsid w:val="0002768A"/>
    <w:rsid w:val="00031726"/>
    <w:rsid w:val="000340DF"/>
    <w:rsid w:val="0004618E"/>
    <w:rsid w:val="00046756"/>
    <w:rsid w:val="00077189"/>
    <w:rsid w:val="000872BD"/>
    <w:rsid w:val="00096B77"/>
    <w:rsid w:val="000A48E5"/>
    <w:rsid w:val="000A4ED8"/>
    <w:rsid w:val="000C56DB"/>
    <w:rsid w:val="000E2AA8"/>
    <w:rsid w:val="001121D3"/>
    <w:rsid w:val="0013739B"/>
    <w:rsid w:val="0014031F"/>
    <w:rsid w:val="00144385"/>
    <w:rsid w:val="00146871"/>
    <w:rsid w:val="00146E26"/>
    <w:rsid w:val="001564ED"/>
    <w:rsid w:val="00157BCC"/>
    <w:rsid w:val="00161892"/>
    <w:rsid w:val="00180AF4"/>
    <w:rsid w:val="001850AF"/>
    <w:rsid w:val="001B2748"/>
    <w:rsid w:val="001C2E0B"/>
    <w:rsid w:val="002024CD"/>
    <w:rsid w:val="00206C7C"/>
    <w:rsid w:val="0022456C"/>
    <w:rsid w:val="00251DE2"/>
    <w:rsid w:val="00257EA1"/>
    <w:rsid w:val="002675BF"/>
    <w:rsid w:val="0027550E"/>
    <w:rsid w:val="002C21D7"/>
    <w:rsid w:val="002C452C"/>
    <w:rsid w:val="002D54FF"/>
    <w:rsid w:val="002E2987"/>
    <w:rsid w:val="002F2EB4"/>
    <w:rsid w:val="003013CC"/>
    <w:rsid w:val="00304401"/>
    <w:rsid w:val="00331F28"/>
    <w:rsid w:val="00333623"/>
    <w:rsid w:val="00334BB6"/>
    <w:rsid w:val="00341E5F"/>
    <w:rsid w:val="003721BF"/>
    <w:rsid w:val="00392367"/>
    <w:rsid w:val="003A78BB"/>
    <w:rsid w:val="003B0E6D"/>
    <w:rsid w:val="003B0F0E"/>
    <w:rsid w:val="003B66C0"/>
    <w:rsid w:val="003F2960"/>
    <w:rsid w:val="003F584C"/>
    <w:rsid w:val="004009B9"/>
    <w:rsid w:val="004141E7"/>
    <w:rsid w:val="0042119C"/>
    <w:rsid w:val="004336BF"/>
    <w:rsid w:val="00472D0B"/>
    <w:rsid w:val="00485E0E"/>
    <w:rsid w:val="00487B35"/>
    <w:rsid w:val="00495F84"/>
    <w:rsid w:val="004A3E88"/>
    <w:rsid w:val="004B4380"/>
    <w:rsid w:val="004C56F6"/>
    <w:rsid w:val="004C6588"/>
    <w:rsid w:val="004E578E"/>
    <w:rsid w:val="0050222E"/>
    <w:rsid w:val="00502776"/>
    <w:rsid w:val="00515661"/>
    <w:rsid w:val="00552319"/>
    <w:rsid w:val="005536A0"/>
    <w:rsid w:val="00565D2D"/>
    <w:rsid w:val="0059788E"/>
    <w:rsid w:val="005A3832"/>
    <w:rsid w:val="005C2105"/>
    <w:rsid w:val="005D7FE3"/>
    <w:rsid w:val="005E3D90"/>
    <w:rsid w:val="005E5AD0"/>
    <w:rsid w:val="005F5005"/>
    <w:rsid w:val="00616771"/>
    <w:rsid w:val="00670EF2"/>
    <w:rsid w:val="00674210"/>
    <w:rsid w:val="00682892"/>
    <w:rsid w:val="00684B3D"/>
    <w:rsid w:val="006C3883"/>
    <w:rsid w:val="006C75C3"/>
    <w:rsid w:val="006D5CE1"/>
    <w:rsid w:val="006E09C3"/>
    <w:rsid w:val="00700F3A"/>
    <w:rsid w:val="00715175"/>
    <w:rsid w:val="00725746"/>
    <w:rsid w:val="007310EE"/>
    <w:rsid w:val="00751E1E"/>
    <w:rsid w:val="00760B1B"/>
    <w:rsid w:val="00765961"/>
    <w:rsid w:val="00767E16"/>
    <w:rsid w:val="007739D7"/>
    <w:rsid w:val="007951DF"/>
    <w:rsid w:val="007978B7"/>
    <w:rsid w:val="007A180B"/>
    <w:rsid w:val="007A5527"/>
    <w:rsid w:val="007B3E6A"/>
    <w:rsid w:val="007B5F8D"/>
    <w:rsid w:val="007C437A"/>
    <w:rsid w:val="007D0C4B"/>
    <w:rsid w:val="007E2637"/>
    <w:rsid w:val="007E4718"/>
    <w:rsid w:val="007E53FC"/>
    <w:rsid w:val="00804427"/>
    <w:rsid w:val="00820D87"/>
    <w:rsid w:val="0083501D"/>
    <w:rsid w:val="00841DB7"/>
    <w:rsid w:val="0084735C"/>
    <w:rsid w:val="00855D33"/>
    <w:rsid w:val="00875C8B"/>
    <w:rsid w:val="00886A83"/>
    <w:rsid w:val="008922F4"/>
    <w:rsid w:val="008B144C"/>
    <w:rsid w:val="008B1D59"/>
    <w:rsid w:val="008B5D4D"/>
    <w:rsid w:val="008C52FC"/>
    <w:rsid w:val="008D5B30"/>
    <w:rsid w:val="008E18D8"/>
    <w:rsid w:val="008E7DBD"/>
    <w:rsid w:val="008F43F8"/>
    <w:rsid w:val="009040AB"/>
    <w:rsid w:val="00904860"/>
    <w:rsid w:val="009442D5"/>
    <w:rsid w:val="0095564F"/>
    <w:rsid w:val="00956F1F"/>
    <w:rsid w:val="0095777F"/>
    <w:rsid w:val="00971558"/>
    <w:rsid w:val="009965C9"/>
    <w:rsid w:val="009B42B0"/>
    <w:rsid w:val="009E7FA3"/>
    <w:rsid w:val="00A263CE"/>
    <w:rsid w:val="00A47C7E"/>
    <w:rsid w:val="00A63029"/>
    <w:rsid w:val="00A67713"/>
    <w:rsid w:val="00A72E81"/>
    <w:rsid w:val="00A91E42"/>
    <w:rsid w:val="00A942D8"/>
    <w:rsid w:val="00A96CC7"/>
    <w:rsid w:val="00A96DF2"/>
    <w:rsid w:val="00AB2E18"/>
    <w:rsid w:val="00AC52EA"/>
    <w:rsid w:val="00AD4C06"/>
    <w:rsid w:val="00AD67A7"/>
    <w:rsid w:val="00AD799B"/>
    <w:rsid w:val="00B10FBF"/>
    <w:rsid w:val="00B4228B"/>
    <w:rsid w:val="00B46D18"/>
    <w:rsid w:val="00BB0E04"/>
    <w:rsid w:val="00BB4477"/>
    <w:rsid w:val="00BB5069"/>
    <w:rsid w:val="00BB6C58"/>
    <w:rsid w:val="00BB7989"/>
    <w:rsid w:val="00BC31CC"/>
    <w:rsid w:val="00BE6ADD"/>
    <w:rsid w:val="00C21CC6"/>
    <w:rsid w:val="00C232B3"/>
    <w:rsid w:val="00C52C58"/>
    <w:rsid w:val="00C54E49"/>
    <w:rsid w:val="00C55DFD"/>
    <w:rsid w:val="00C92727"/>
    <w:rsid w:val="00CA053F"/>
    <w:rsid w:val="00CA5A20"/>
    <w:rsid w:val="00CB298A"/>
    <w:rsid w:val="00CD4256"/>
    <w:rsid w:val="00CE368E"/>
    <w:rsid w:val="00CE5910"/>
    <w:rsid w:val="00D25DF3"/>
    <w:rsid w:val="00D401CC"/>
    <w:rsid w:val="00D4046B"/>
    <w:rsid w:val="00D616BF"/>
    <w:rsid w:val="00DA23AD"/>
    <w:rsid w:val="00DA6C83"/>
    <w:rsid w:val="00DB00A4"/>
    <w:rsid w:val="00DB6EC8"/>
    <w:rsid w:val="00DB712D"/>
    <w:rsid w:val="00DC43EB"/>
    <w:rsid w:val="00DE4FC7"/>
    <w:rsid w:val="00DF092D"/>
    <w:rsid w:val="00DF7D1A"/>
    <w:rsid w:val="00E068C0"/>
    <w:rsid w:val="00E24374"/>
    <w:rsid w:val="00E26D40"/>
    <w:rsid w:val="00E40C0A"/>
    <w:rsid w:val="00E40C66"/>
    <w:rsid w:val="00E61EF5"/>
    <w:rsid w:val="00E90A14"/>
    <w:rsid w:val="00EA5F4B"/>
    <w:rsid w:val="00ED4236"/>
    <w:rsid w:val="00F0301D"/>
    <w:rsid w:val="00F15D1F"/>
    <w:rsid w:val="00F328B4"/>
    <w:rsid w:val="00F82084"/>
    <w:rsid w:val="00F903FF"/>
    <w:rsid w:val="00FF024E"/>
    <w:rsid w:val="00FF08D4"/>
    <w:rsid w:val="00FF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F134"/>
  <w15:chartTrackingRefBased/>
  <w15:docId w15:val="{CF309E31-177C-4402-8E90-E8FF5C06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67"/>
    <w:pPr>
      <w:spacing w:after="200" w:line="276" w:lineRule="auto"/>
    </w:pPr>
    <w:rPr>
      <w:lang w:val="en-US"/>
    </w:rPr>
  </w:style>
  <w:style w:type="paragraph" w:styleId="Heading1">
    <w:name w:val="heading 1"/>
    <w:basedOn w:val="Normal"/>
    <w:next w:val="Normal"/>
    <w:link w:val="Heading1Char"/>
    <w:uiPriority w:val="9"/>
    <w:qFormat/>
    <w:rsid w:val="00202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3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37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721BF"/>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3721BF"/>
    <w:rPr>
      <w:sz w:val="20"/>
      <w:szCs w:val="20"/>
    </w:rPr>
  </w:style>
  <w:style w:type="character" w:styleId="EndnoteReference">
    <w:name w:val="endnote reference"/>
    <w:basedOn w:val="DefaultParagraphFont"/>
    <w:uiPriority w:val="99"/>
    <w:semiHidden/>
    <w:unhideWhenUsed/>
    <w:rsid w:val="003721BF"/>
    <w:rPr>
      <w:vertAlign w:val="superscript"/>
    </w:rPr>
  </w:style>
  <w:style w:type="paragraph" w:styleId="FootnoteText">
    <w:name w:val="footnote text"/>
    <w:basedOn w:val="Normal"/>
    <w:link w:val="FootnoteTextChar"/>
    <w:uiPriority w:val="99"/>
    <w:semiHidden/>
    <w:unhideWhenUsed/>
    <w:rsid w:val="004A3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E88"/>
    <w:rPr>
      <w:sz w:val="20"/>
      <w:szCs w:val="20"/>
      <w:lang w:val="en-US"/>
    </w:rPr>
  </w:style>
  <w:style w:type="character" w:styleId="FootnoteReference">
    <w:name w:val="footnote reference"/>
    <w:basedOn w:val="DefaultParagraphFont"/>
    <w:uiPriority w:val="99"/>
    <w:semiHidden/>
    <w:unhideWhenUsed/>
    <w:rsid w:val="004A3E88"/>
    <w:rPr>
      <w:vertAlign w:val="superscript"/>
    </w:rPr>
  </w:style>
  <w:style w:type="paragraph" w:styleId="ListParagraph">
    <w:name w:val="List Paragraph"/>
    <w:basedOn w:val="Normal"/>
    <w:uiPriority w:val="34"/>
    <w:qFormat/>
    <w:rsid w:val="004A3E88"/>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E4FC7"/>
    <w:rPr>
      <w:color w:val="0000FF"/>
      <w:u w:val="single"/>
    </w:rPr>
  </w:style>
  <w:style w:type="character" w:styleId="Emphasis">
    <w:name w:val="Emphasis"/>
    <w:basedOn w:val="DefaultParagraphFont"/>
    <w:uiPriority w:val="20"/>
    <w:qFormat/>
    <w:rsid w:val="009442D5"/>
    <w:rPr>
      <w:i/>
      <w:iCs/>
    </w:rPr>
  </w:style>
  <w:style w:type="character" w:customStyle="1" w:styleId="Heading1Char">
    <w:name w:val="Heading 1 Char"/>
    <w:basedOn w:val="DefaultParagraphFont"/>
    <w:link w:val="Heading1"/>
    <w:uiPriority w:val="9"/>
    <w:rsid w:val="002024CD"/>
    <w:rPr>
      <w:rFonts w:asciiTheme="majorHAnsi" w:eastAsiaTheme="majorEastAsia" w:hAnsiTheme="majorHAnsi" w:cstheme="majorBidi"/>
      <w:color w:val="2F5496" w:themeColor="accent1" w:themeShade="BF"/>
      <w:sz w:val="32"/>
      <w:szCs w:val="32"/>
      <w:lang w:val="en-US"/>
    </w:rPr>
  </w:style>
  <w:style w:type="character" w:customStyle="1" w:styleId="nlmyear">
    <w:name w:val="nlm_year"/>
    <w:basedOn w:val="DefaultParagraphFont"/>
    <w:rsid w:val="00CE5910"/>
  </w:style>
  <w:style w:type="character" w:customStyle="1" w:styleId="nlmpublisher-loc">
    <w:name w:val="nlm_publisher-loc"/>
    <w:basedOn w:val="DefaultParagraphFont"/>
    <w:rsid w:val="00CE5910"/>
  </w:style>
  <w:style w:type="character" w:customStyle="1" w:styleId="nlmpublisher-name">
    <w:name w:val="nlm_publisher-name"/>
    <w:basedOn w:val="DefaultParagraphFont"/>
    <w:rsid w:val="00CE5910"/>
  </w:style>
  <w:style w:type="character" w:customStyle="1" w:styleId="personname">
    <w:name w:val="person_name"/>
    <w:basedOn w:val="DefaultParagraphFont"/>
    <w:rsid w:val="00CE5910"/>
  </w:style>
  <w:style w:type="character" w:customStyle="1" w:styleId="api-publication-authors">
    <w:name w:val="api-publication-authors"/>
    <w:basedOn w:val="DefaultParagraphFont"/>
    <w:rsid w:val="004009B9"/>
  </w:style>
  <w:style w:type="character" w:styleId="Strong">
    <w:name w:val="Strong"/>
    <w:basedOn w:val="DefaultParagraphFont"/>
    <w:uiPriority w:val="22"/>
    <w:qFormat/>
    <w:rsid w:val="004009B9"/>
    <w:rPr>
      <w:b/>
      <w:bCs/>
    </w:rPr>
  </w:style>
  <w:style w:type="character" w:customStyle="1" w:styleId="hlfld-contribauthor">
    <w:name w:val="hlfld-contribauthor"/>
    <w:basedOn w:val="DefaultParagraphFont"/>
    <w:rsid w:val="00334BB6"/>
  </w:style>
  <w:style w:type="character" w:customStyle="1" w:styleId="nlmgiven-names">
    <w:name w:val="nlm_given-names"/>
    <w:basedOn w:val="DefaultParagraphFont"/>
    <w:rsid w:val="00334BB6"/>
  </w:style>
  <w:style w:type="character" w:customStyle="1" w:styleId="nlmarticle-title">
    <w:name w:val="nlm_article-title"/>
    <w:basedOn w:val="DefaultParagraphFont"/>
    <w:rsid w:val="00334BB6"/>
  </w:style>
  <w:style w:type="character" w:customStyle="1" w:styleId="nlmfpage">
    <w:name w:val="nlm_fpage"/>
    <w:basedOn w:val="DefaultParagraphFont"/>
    <w:rsid w:val="00334BB6"/>
  </w:style>
  <w:style w:type="character" w:customStyle="1" w:styleId="nlmlpage">
    <w:name w:val="nlm_lpage"/>
    <w:basedOn w:val="DefaultParagraphFont"/>
    <w:rsid w:val="00334BB6"/>
  </w:style>
  <w:style w:type="character" w:customStyle="1" w:styleId="nlmchapter-title">
    <w:name w:val="nlm_chapter-title"/>
    <w:basedOn w:val="DefaultParagraphFont"/>
    <w:rsid w:val="00334BB6"/>
  </w:style>
  <w:style w:type="character" w:customStyle="1" w:styleId="foreign">
    <w:name w:val="foreign"/>
    <w:basedOn w:val="DefaultParagraphFont"/>
    <w:rsid w:val="00C232B3"/>
  </w:style>
  <w:style w:type="character" w:customStyle="1" w:styleId="authors">
    <w:name w:val="authors"/>
    <w:basedOn w:val="DefaultParagraphFont"/>
    <w:rsid w:val="0013739B"/>
  </w:style>
  <w:style w:type="character" w:customStyle="1" w:styleId="Date1">
    <w:name w:val="Date1"/>
    <w:basedOn w:val="DefaultParagraphFont"/>
    <w:rsid w:val="0013739B"/>
  </w:style>
  <w:style w:type="character" w:customStyle="1" w:styleId="arttitle">
    <w:name w:val="art_title"/>
    <w:basedOn w:val="DefaultParagraphFont"/>
    <w:rsid w:val="0013739B"/>
  </w:style>
  <w:style w:type="character" w:customStyle="1" w:styleId="serialtitle">
    <w:name w:val="serial_title"/>
    <w:basedOn w:val="DefaultParagraphFont"/>
    <w:rsid w:val="0013739B"/>
  </w:style>
  <w:style w:type="character" w:customStyle="1" w:styleId="volumeissue">
    <w:name w:val="volume_issue"/>
    <w:basedOn w:val="DefaultParagraphFont"/>
    <w:rsid w:val="0013739B"/>
  </w:style>
  <w:style w:type="character" w:customStyle="1" w:styleId="pagerange">
    <w:name w:val="page_range"/>
    <w:basedOn w:val="DefaultParagraphFont"/>
    <w:rsid w:val="0013739B"/>
  </w:style>
  <w:style w:type="paragraph" w:styleId="Bibliography">
    <w:name w:val="Bibliography"/>
    <w:basedOn w:val="Normal"/>
    <w:next w:val="Normal"/>
    <w:uiPriority w:val="37"/>
    <w:semiHidden/>
    <w:unhideWhenUsed/>
    <w:rsid w:val="005C2105"/>
  </w:style>
  <w:style w:type="paragraph" w:styleId="BodyText">
    <w:name w:val="Body Text"/>
    <w:basedOn w:val="Normal"/>
    <w:link w:val="BodyTextChar"/>
    <w:rsid w:val="0059788E"/>
    <w:pPr>
      <w:widowControl w:val="0"/>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59788E"/>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2E2987"/>
    <w:rPr>
      <w:color w:val="605E5C"/>
      <w:shd w:val="clear" w:color="auto" w:fill="E1DFDD"/>
    </w:rPr>
  </w:style>
  <w:style w:type="character" w:customStyle="1" w:styleId="Date2">
    <w:name w:val="Date2"/>
    <w:basedOn w:val="DefaultParagraphFont"/>
    <w:rsid w:val="00A47C7E"/>
  </w:style>
  <w:style w:type="character" w:customStyle="1" w:styleId="year">
    <w:name w:val="year"/>
    <w:basedOn w:val="DefaultParagraphFont"/>
    <w:rsid w:val="00161892"/>
  </w:style>
  <w:style w:type="character" w:customStyle="1" w:styleId="title-with-parent">
    <w:name w:val="title-with-parent"/>
    <w:basedOn w:val="DefaultParagraphFont"/>
    <w:rsid w:val="00161892"/>
  </w:style>
  <w:style w:type="character" w:customStyle="1" w:styleId="journal">
    <w:name w:val="journal"/>
    <w:basedOn w:val="DefaultParagraphFont"/>
    <w:rsid w:val="00161892"/>
  </w:style>
  <w:style w:type="character" w:customStyle="1" w:styleId="volume">
    <w:name w:val="volume"/>
    <w:basedOn w:val="DefaultParagraphFont"/>
    <w:rsid w:val="00161892"/>
  </w:style>
  <w:style w:type="character" w:customStyle="1" w:styleId="issue">
    <w:name w:val="issue"/>
    <w:basedOn w:val="DefaultParagraphFont"/>
    <w:rsid w:val="00161892"/>
  </w:style>
  <w:style w:type="character" w:customStyle="1" w:styleId="eop">
    <w:name w:val="eop"/>
    <w:basedOn w:val="DefaultParagraphFont"/>
    <w:rsid w:val="00F9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1488">
      <w:bodyDiv w:val="1"/>
      <w:marLeft w:val="0"/>
      <w:marRight w:val="0"/>
      <w:marTop w:val="0"/>
      <w:marBottom w:val="0"/>
      <w:divBdr>
        <w:top w:val="none" w:sz="0" w:space="0" w:color="auto"/>
        <w:left w:val="none" w:sz="0" w:space="0" w:color="auto"/>
        <w:bottom w:val="none" w:sz="0" w:space="0" w:color="auto"/>
        <w:right w:val="none" w:sz="0" w:space="0" w:color="auto"/>
      </w:divBdr>
    </w:div>
    <w:div w:id="408309735">
      <w:bodyDiv w:val="1"/>
      <w:marLeft w:val="0"/>
      <w:marRight w:val="0"/>
      <w:marTop w:val="0"/>
      <w:marBottom w:val="0"/>
      <w:divBdr>
        <w:top w:val="none" w:sz="0" w:space="0" w:color="auto"/>
        <w:left w:val="none" w:sz="0" w:space="0" w:color="auto"/>
        <w:bottom w:val="none" w:sz="0" w:space="0" w:color="auto"/>
        <w:right w:val="none" w:sz="0" w:space="0" w:color="auto"/>
      </w:divBdr>
    </w:div>
    <w:div w:id="723336849">
      <w:bodyDiv w:val="1"/>
      <w:marLeft w:val="0"/>
      <w:marRight w:val="0"/>
      <w:marTop w:val="0"/>
      <w:marBottom w:val="0"/>
      <w:divBdr>
        <w:top w:val="none" w:sz="0" w:space="0" w:color="auto"/>
        <w:left w:val="none" w:sz="0" w:space="0" w:color="auto"/>
        <w:bottom w:val="none" w:sz="0" w:space="0" w:color="auto"/>
        <w:right w:val="none" w:sz="0" w:space="0" w:color="auto"/>
      </w:divBdr>
    </w:div>
    <w:div w:id="764228657">
      <w:bodyDiv w:val="1"/>
      <w:marLeft w:val="0"/>
      <w:marRight w:val="0"/>
      <w:marTop w:val="0"/>
      <w:marBottom w:val="0"/>
      <w:divBdr>
        <w:top w:val="none" w:sz="0" w:space="0" w:color="auto"/>
        <w:left w:val="none" w:sz="0" w:space="0" w:color="auto"/>
        <w:bottom w:val="none" w:sz="0" w:space="0" w:color="auto"/>
        <w:right w:val="none" w:sz="0" w:space="0" w:color="auto"/>
      </w:divBdr>
    </w:div>
    <w:div w:id="1632403229">
      <w:bodyDiv w:val="1"/>
      <w:marLeft w:val="0"/>
      <w:marRight w:val="0"/>
      <w:marTop w:val="0"/>
      <w:marBottom w:val="0"/>
      <w:divBdr>
        <w:top w:val="none" w:sz="0" w:space="0" w:color="auto"/>
        <w:left w:val="none" w:sz="0" w:space="0" w:color="auto"/>
        <w:bottom w:val="none" w:sz="0" w:space="0" w:color="auto"/>
        <w:right w:val="none" w:sz="0" w:space="0" w:color="auto"/>
      </w:divBdr>
    </w:div>
    <w:div w:id="20861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46A6-E193-4BD7-B6E2-937C6B16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Brook</dc:creator>
  <cp:keywords/>
  <dc:description/>
  <cp:lastModifiedBy>Andrew Scott Roe-Crines</cp:lastModifiedBy>
  <cp:revision>2</cp:revision>
  <dcterms:created xsi:type="dcterms:W3CDTF">2020-04-17T10:27:00Z</dcterms:created>
  <dcterms:modified xsi:type="dcterms:W3CDTF">2020-04-17T10:27:00Z</dcterms:modified>
</cp:coreProperties>
</file>