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F3A9" w14:textId="79557610" w:rsidR="00414469" w:rsidRPr="0045431D" w:rsidRDefault="19D56359" w:rsidP="0045431D">
      <w:pPr>
        <w:spacing w:line="360" w:lineRule="auto"/>
        <w:jc w:val="both"/>
        <w:rPr>
          <w:lang w:val="en-GB"/>
        </w:rPr>
      </w:pPr>
      <w:r w:rsidRPr="0045431D">
        <w:rPr>
          <w:rFonts w:ascii="Calibri" w:eastAsia="Calibri" w:hAnsi="Calibri" w:cs="Calibri"/>
          <w:b/>
          <w:bCs/>
          <w:sz w:val="32"/>
          <w:szCs w:val="32"/>
          <w:lang w:val="en-GB"/>
        </w:rPr>
        <w:t xml:space="preserve">Quantitation </w:t>
      </w:r>
      <w:r w:rsidR="5FAEF865" w:rsidRPr="0045431D">
        <w:rPr>
          <w:rFonts w:ascii="Calibri" w:eastAsia="Calibri" w:hAnsi="Calibri" w:cs="Calibri"/>
          <w:b/>
          <w:bCs/>
          <w:sz w:val="32"/>
          <w:szCs w:val="32"/>
          <w:lang w:val="en-GB"/>
        </w:rPr>
        <w:t xml:space="preserve">of </w:t>
      </w:r>
      <w:r w:rsidR="2457A6E8" w:rsidRPr="0045431D">
        <w:rPr>
          <w:rFonts w:ascii="Calibri" w:eastAsia="Calibri" w:hAnsi="Calibri" w:cs="Calibri"/>
          <w:b/>
          <w:bCs/>
          <w:sz w:val="32"/>
          <w:szCs w:val="32"/>
          <w:lang w:val="en-GB"/>
        </w:rPr>
        <w:t>tizoxanide</w:t>
      </w:r>
      <w:r w:rsidR="6874BA2C" w:rsidRPr="0045431D">
        <w:rPr>
          <w:rFonts w:ascii="Calibri" w:eastAsia="Calibri" w:hAnsi="Calibri" w:cs="Calibri"/>
          <w:b/>
          <w:bCs/>
          <w:sz w:val="32"/>
          <w:szCs w:val="32"/>
          <w:lang w:val="en-GB"/>
        </w:rPr>
        <w:t xml:space="preserve"> </w:t>
      </w:r>
      <w:r w:rsidR="2457A6E8" w:rsidRPr="0045431D">
        <w:rPr>
          <w:rFonts w:ascii="Calibri" w:eastAsia="Calibri" w:hAnsi="Calibri" w:cs="Calibri"/>
          <w:b/>
          <w:bCs/>
          <w:sz w:val="32"/>
          <w:szCs w:val="32"/>
          <w:lang w:val="en-GB"/>
        </w:rPr>
        <w:t xml:space="preserve">in multiple matrices to </w:t>
      </w:r>
      <w:r w:rsidR="5FAEF865" w:rsidRPr="0045431D">
        <w:rPr>
          <w:rFonts w:ascii="Calibri" w:eastAsia="Calibri" w:hAnsi="Calibri" w:cs="Calibri"/>
          <w:b/>
          <w:bCs/>
          <w:sz w:val="32"/>
          <w:szCs w:val="32"/>
          <w:lang w:val="en-GB"/>
        </w:rPr>
        <w:t xml:space="preserve">support </w:t>
      </w:r>
      <w:r w:rsidR="009E7C65">
        <w:rPr>
          <w:rFonts w:ascii="Calibri" w:eastAsia="Calibri" w:hAnsi="Calibri" w:cs="Calibri"/>
          <w:b/>
          <w:bCs/>
          <w:sz w:val="32"/>
          <w:szCs w:val="32"/>
          <w:lang w:val="en-GB"/>
        </w:rPr>
        <w:t>cell</w:t>
      </w:r>
      <w:r w:rsidR="5FAEF865" w:rsidRPr="0045431D">
        <w:rPr>
          <w:rFonts w:ascii="Calibri" w:eastAsia="Calibri" w:hAnsi="Calibri" w:cs="Calibri"/>
          <w:b/>
          <w:bCs/>
          <w:sz w:val="32"/>
          <w:szCs w:val="32"/>
          <w:lang w:val="en-GB"/>
        </w:rPr>
        <w:t xml:space="preserve"> </w:t>
      </w:r>
      <w:r w:rsidR="5CBF88AB" w:rsidRPr="0045431D">
        <w:rPr>
          <w:rFonts w:ascii="Calibri" w:eastAsia="Calibri" w:hAnsi="Calibri" w:cs="Calibri"/>
          <w:b/>
          <w:bCs/>
          <w:sz w:val="32"/>
          <w:szCs w:val="32"/>
          <w:lang w:val="en-GB"/>
        </w:rPr>
        <w:t xml:space="preserve">culture, </w:t>
      </w:r>
      <w:r w:rsidR="5FAEF865" w:rsidRPr="0045431D">
        <w:rPr>
          <w:rFonts w:ascii="Calibri" w:eastAsia="Calibri" w:hAnsi="Calibri" w:cs="Calibri"/>
          <w:b/>
          <w:bCs/>
          <w:sz w:val="32"/>
          <w:szCs w:val="32"/>
          <w:lang w:val="en-GB"/>
        </w:rPr>
        <w:t>animal and human research.</w:t>
      </w:r>
    </w:p>
    <w:p w14:paraId="5A19B27F" w14:textId="08F38FBF" w:rsidR="00BC0E21" w:rsidRPr="0045431D" w:rsidRDefault="00BC0E21" w:rsidP="0045431D">
      <w:pPr>
        <w:pStyle w:val="CommentText"/>
        <w:rPr>
          <w:lang w:val="en-GB"/>
        </w:rPr>
      </w:pPr>
      <w:r w:rsidRPr="0045431D">
        <w:rPr>
          <w:lang w:val="en-GB"/>
        </w:rPr>
        <w:t>Megan Neary</w:t>
      </w:r>
      <w:r w:rsidRPr="0045431D">
        <w:rPr>
          <w:vertAlign w:val="superscript"/>
          <w:lang w:val="en-GB"/>
        </w:rPr>
        <w:t>1,3</w:t>
      </w:r>
      <w:r w:rsidRPr="0045431D">
        <w:rPr>
          <w:lang w:val="en-GB"/>
        </w:rPr>
        <w:t>, Usman Arshad</w:t>
      </w:r>
      <w:r w:rsidRPr="0045431D">
        <w:rPr>
          <w:vertAlign w:val="superscript"/>
          <w:lang w:val="en-GB"/>
        </w:rPr>
        <w:t>1,3</w:t>
      </w:r>
      <w:r w:rsidRPr="0045431D">
        <w:rPr>
          <w:lang w:val="en-GB"/>
        </w:rPr>
        <w:t>, Lee Tatham</w:t>
      </w:r>
      <w:r w:rsidRPr="0045431D">
        <w:rPr>
          <w:vertAlign w:val="superscript"/>
          <w:lang w:val="en-GB"/>
        </w:rPr>
        <w:t>1,3</w:t>
      </w:r>
      <w:r w:rsidRPr="0045431D">
        <w:rPr>
          <w:lang w:val="en-GB"/>
        </w:rPr>
        <w:t>, Henry Pertinez</w:t>
      </w:r>
      <w:r w:rsidRPr="0045431D">
        <w:rPr>
          <w:vertAlign w:val="superscript"/>
          <w:lang w:val="en-GB"/>
        </w:rPr>
        <w:t>1,3</w:t>
      </w:r>
      <w:r w:rsidRPr="0045431D">
        <w:rPr>
          <w:lang w:val="en-GB"/>
        </w:rPr>
        <w:t>, Helen Box</w:t>
      </w:r>
      <w:r w:rsidRPr="0045431D">
        <w:rPr>
          <w:vertAlign w:val="superscript"/>
          <w:lang w:val="en-GB"/>
        </w:rPr>
        <w:t>1,3</w:t>
      </w:r>
      <w:r w:rsidRPr="0045431D">
        <w:rPr>
          <w:lang w:val="en-GB"/>
        </w:rPr>
        <w:t xml:space="preserve">, </w:t>
      </w:r>
      <w:proofErr w:type="spellStart"/>
      <w:r w:rsidRPr="0045431D">
        <w:rPr>
          <w:lang w:val="en-GB"/>
        </w:rPr>
        <w:t>Rajith</w:t>
      </w:r>
      <w:proofErr w:type="spellEnd"/>
      <w:r w:rsidRPr="0045431D">
        <w:rPr>
          <w:lang w:val="en-GB"/>
        </w:rPr>
        <w:t xml:space="preserve"> KR Rajoli</w:t>
      </w:r>
      <w:r w:rsidRPr="0045431D">
        <w:rPr>
          <w:vertAlign w:val="superscript"/>
          <w:lang w:val="en-GB"/>
        </w:rPr>
        <w:t>1,3</w:t>
      </w:r>
      <w:r w:rsidRPr="0045431D">
        <w:rPr>
          <w:lang w:val="en-GB"/>
        </w:rPr>
        <w:t>, Anthony Valentijn</w:t>
      </w:r>
      <w:r w:rsidRPr="0045431D">
        <w:rPr>
          <w:vertAlign w:val="superscript"/>
          <w:lang w:val="en-GB"/>
        </w:rPr>
        <w:t>1,3</w:t>
      </w:r>
      <w:r w:rsidRPr="0045431D">
        <w:rPr>
          <w:lang w:val="en-GB"/>
        </w:rPr>
        <w:t>, Joanne Sharp</w:t>
      </w:r>
      <w:r w:rsidRPr="0045431D">
        <w:rPr>
          <w:vertAlign w:val="superscript"/>
          <w:lang w:val="en-GB"/>
        </w:rPr>
        <w:t>1,3</w:t>
      </w:r>
      <w:r w:rsidRPr="0045431D">
        <w:rPr>
          <w:lang w:val="en-GB"/>
        </w:rPr>
        <w:t>, Steve P Rannard</w:t>
      </w:r>
      <w:r w:rsidRPr="0045431D">
        <w:rPr>
          <w:vertAlign w:val="superscript"/>
          <w:lang w:val="en-GB"/>
        </w:rPr>
        <w:t>2,3</w:t>
      </w:r>
      <w:r w:rsidRPr="0045431D">
        <w:rPr>
          <w:lang w:val="en-GB"/>
        </w:rPr>
        <w:t xml:space="preserve">, </w:t>
      </w:r>
      <w:r w:rsidR="00FC39ED">
        <w:rPr>
          <w:lang w:val="en-GB"/>
        </w:rPr>
        <w:t>Giancarlo A Biagini,</w:t>
      </w:r>
      <w:r w:rsidR="00FC39ED" w:rsidRPr="00FC39ED">
        <w:rPr>
          <w:vertAlign w:val="superscript"/>
          <w:lang w:val="en-GB"/>
        </w:rPr>
        <w:t>4</w:t>
      </w:r>
      <w:r w:rsidR="00FC39ED">
        <w:rPr>
          <w:lang w:val="en-GB"/>
        </w:rPr>
        <w:t xml:space="preserve"> </w:t>
      </w:r>
      <w:r w:rsidRPr="0045431D">
        <w:rPr>
          <w:lang w:val="en-GB"/>
        </w:rPr>
        <w:t>Paul Curley</w:t>
      </w:r>
      <w:r w:rsidRPr="0045431D">
        <w:rPr>
          <w:vertAlign w:val="superscript"/>
          <w:lang w:val="en-GB"/>
        </w:rPr>
        <w:t>1,3</w:t>
      </w:r>
      <w:r w:rsidRPr="0045431D">
        <w:rPr>
          <w:lang w:val="en-GB"/>
        </w:rPr>
        <w:t>, Andrew Owen</w:t>
      </w:r>
      <w:r w:rsidRPr="0045431D">
        <w:rPr>
          <w:vertAlign w:val="superscript"/>
          <w:lang w:val="en-GB"/>
        </w:rPr>
        <w:t>1,3</w:t>
      </w:r>
      <w:r w:rsidRPr="0045431D">
        <w:rPr>
          <w:lang w:val="en-GB"/>
        </w:rPr>
        <w:t>.</w:t>
      </w:r>
    </w:p>
    <w:p w14:paraId="26E19665" w14:textId="77777777" w:rsidR="00BC0E21" w:rsidRPr="0089571C" w:rsidRDefault="00BC0E21" w:rsidP="0045431D">
      <w:pPr>
        <w:spacing w:line="240" w:lineRule="auto"/>
        <w:jc w:val="both"/>
        <w:rPr>
          <w:b/>
          <w:bCs/>
          <w:sz w:val="2"/>
          <w:szCs w:val="2"/>
          <w:lang w:val="en-GB"/>
        </w:rPr>
      </w:pPr>
    </w:p>
    <w:p w14:paraId="37535584" w14:textId="77777777" w:rsidR="00BC0E21" w:rsidRPr="0045431D" w:rsidRDefault="00BC0E21" w:rsidP="0045431D">
      <w:pPr>
        <w:spacing w:line="240" w:lineRule="auto"/>
        <w:jc w:val="both"/>
        <w:rPr>
          <w:sz w:val="18"/>
          <w:szCs w:val="18"/>
          <w:lang w:val="en-GB"/>
        </w:rPr>
      </w:pPr>
      <w:r w:rsidRPr="0045431D">
        <w:rPr>
          <w:sz w:val="18"/>
          <w:szCs w:val="18"/>
          <w:vertAlign w:val="superscript"/>
          <w:lang w:val="en-GB"/>
        </w:rPr>
        <w:t>1</w:t>
      </w:r>
      <w:r w:rsidRPr="0045431D">
        <w:rPr>
          <w:sz w:val="18"/>
          <w:szCs w:val="18"/>
          <w:lang w:val="en-GB"/>
        </w:rPr>
        <w:t>Department of Pharmacology and Therapeutics, University of Liverpool, Liverpool, L7 3NY, UK</w:t>
      </w:r>
    </w:p>
    <w:p w14:paraId="130484F8" w14:textId="77777777" w:rsidR="00BC0E21" w:rsidRPr="0045431D" w:rsidRDefault="00BC0E21" w:rsidP="0045431D">
      <w:pPr>
        <w:spacing w:line="240" w:lineRule="auto"/>
        <w:jc w:val="both"/>
        <w:rPr>
          <w:sz w:val="18"/>
          <w:szCs w:val="18"/>
          <w:lang w:val="en-GB"/>
        </w:rPr>
      </w:pPr>
      <w:r w:rsidRPr="0045431D">
        <w:rPr>
          <w:sz w:val="18"/>
          <w:szCs w:val="18"/>
          <w:vertAlign w:val="superscript"/>
          <w:lang w:val="en-GB"/>
        </w:rPr>
        <w:t>2</w:t>
      </w:r>
      <w:r w:rsidRPr="0045431D">
        <w:rPr>
          <w:sz w:val="18"/>
          <w:szCs w:val="18"/>
          <w:lang w:val="en-GB"/>
        </w:rPr>
        <w:t>Department of Chemistry, University of Liverpool, Liverpool, L69 3BX, UK</w:t>
      </w:r>
    </w:p>
    <w:p w14:paraId="73EBE398" w14:textId="02DE49EA" w:rsidR="002C491A" w:rsidRDefault="00BC0E21" w:rsidP="002C491A">
      <w:pPr>
        <w:spacing w:line="240" w:lineRule="auto"/>
        <w:jc w:val="both"/>
        <w:rPr>
          <w:sz w:val="18"/>
          <w:szCs w:val="18"/>
          <w:lang w:val="en-GB"/>
        </w:rPr>
      </w:pPr>
      <w:r w:rsidRPr="0045431D">
        <w:rPr>
          <w:sz w:val="18"/>
          <w:szCs w:val="18"/>
          <w:vertAlign w:val="superscript"/>
          <w:lang w:val="en-GB"/>
        </w:rPr>
        <w:t>3</w:t>
      </w:r>
      <w:r w:rsidRPr="0045431D">
        <w:rPr>
          <w:sz w:val="18"/>
          <w:szCs w:val="18"/>
          <w:lang w:val="en-GB"/>
        </w:rPr>
        <w:t>Centre of Excellence in Long-acting Therapeutics (CELT), University of Liverpool, Liverpool, L7 3NY, UK</w:t>
      </w:r>
    </w:p>
    <w:p w14:paraId="24C6457A" w14:textId="53E30DDB" w:rsidR="00FC39ED" w:rsidRDefault="00FC39ED" w:rsidP="002C491A">
      <w:pPr>
        <w:spacing w:line="240" w:lineRule="auto"/>
        <w:jc w:val="both"/>
        <w:rPr>
          <w:sz w:val="18"/>
          <w:szCs w:val="18"/>
          <w:lang w:val="en-GB"/>
        </w:rPr>
      </w:pPr>
      <w:r w:rsidRPr="00FC39ED">
        <w:rPr>
          <w:sz w:val="18"/>
          <w:szCs w:val="18"/>
          <w:vertAlign w:val="superscript"/>
        </w:rPr>
        <w:t>4</w:t>
      </w:r>
      <w:r w:rsidRPr="00FC39ED">
        <w:rPr>
          <w:sz w:val="18"/>
          <w:szCs w:val="18"/>
        </w:rPr>
        <w:t xml:space="preserve">Centre for Drugs and Diagnostics, Liverpool School of Tropical Medicine, Liverpool L3 5QA, </w:t>
      </w:r>
      <w:r>
        <w:rPr>
          <w:sz w:val="18"/>
          <w:szCs w:val="18"/>
        </w:rPr>
        <w:t>UK</w:t>
      </w:r>
      <w:r w:rsidRPr="00FC39ED">
        <w:rPr>
          <w:sz w:val="18"/>
          <w:szCs w:val="18"/>
        </w:rPr>
        <w:t>.</w:t>
      </w:r>
    </w:p>
    <w:p w14:paraId="382AED98" w14:textId="77777777" w:rsidR="00281A0F" w:rsidRDefault="00281A0F" w:rsidP="00281A0F">
      <w:pPr>
        <w:spacing w:line="240" w:lineRule="auto"/>
        <w:jc w:val="both"/>
        <w:rPr>
          <w:rFonts w:ascii="Calibri" w:eastAsia="Calibri" w:hAnsi="Calibri" w:cs="Calibri"/>
          <w:b/>
          <w:bCs/>
          <w:lang w:val="en-GB"/>
        </w:rPr>
      </w:pPr>
    </w:p>
    <w:p w14:paraId="5E3277B4" w14:textId="4E233812" w:rsidR="00414469" w:rsidRPr="0045431D" w:rsidRDefault="5FAEF865" w:rsidP="00281A0F">
      <w:pPr>
        <w:spacing w:line="240" w:lineRule="auto"/>
        <w:jc w:val="both"/>
        <w:rPr>
          <w:lang w:val="en-GB"/>
        </w:rPr>
      </w:pPr>
      <w:r w:rsidRPr="0045431D">
        <w:rPr>
          <w:rFonts w:ascii="Calibri" w:eastAsia="Calibri" w:hAnsi="Calibri" w:cs="Calibri"/>
          <w:b/>
          <w:bCs/>
          <w:lang w:val="en-GB"/>
        </w:rPr>
        <w:t>Author for correspondence:</w:t>
      </w:r>
    </w:p>
    <w:p w14:paraId="656F0747" w14:textId="696905EF" w:rsidR="00414469" w:rsidRPr="0045431D" w:rsidRDefault="5FAEF865" w:rsidP="0045431D">
      <w:pPr>
        <w:jc w:val="both"/>
        <w:rPr>
          <w:lang w:val="en-GB"/>
        </w:rPr>
      </w:pPr>
      <w:r w:rsidRPr="0045431D">
        <w:rPr>
          <w:rFonts w:ascii="Calibri" w:eastAsia="Calibri" w:hAnsi="Calibri" w:cs="Calibri"/>
          <w:lang w:val="en-GB"/>
        </w:rPr>
        <w:t>Dr Paul Curley</w:t>
      </w:r>
    </w:p>
    <w:p w14:paraId="25C42EBB" w14:textId="41895021" w:rsidR="00414469" w:rsidRPr="0045431D" w:rsidRDefault="5FAEF865" w:rsidP="0045431D">
      <w:pPr>
        <w:jc w:val="both"/>
        <w:rPr>
          <w:lang w:val="en-GB"/>
        </w:rPr>
      </w:pPr>
      <w:r w:rsidRPr="0045431D">
        <w:rPr>
          <w:rFonts w:ascii="Calibri" w:eastAsia="Calibri" w:hAnsi="Calibri" w:cs="Calibri"/>
          <w:lang w:val="en-GB"/>
        </w:rPr>
        <w:t>Department of Pharmacology and Therapeutics</w:t>
      </w:r>
    </w:p>
    <w:p w14:paraId="2068896C" w14:textId="5AFEFF46" w:rsidR="00414469" w:rsidRPr="0045431D" w:rsidRDefault="5FAEF865" w:rsidP="0045431D">
      <w:pPr>
        <w:jc w:val="both"/>
        <w:rPr>
          <w:lang w:val="en-GB"/>
        </w:rPr>
      </w:pPr>
      <w:r w:rsidRPr="0045431D">
        <w:rPr>
          <w:rFonts w:ascii="Calibri" w:eastAsia="Calibri" w:hAnsi="Calibri" w:cs="Calibri"/>
          <w:lang w:val="en-GB"/>
        </w:rPr>
        <w:t>Centre of Excellence in Long-acting Therapeutics (CELT)</w:t>
      </w:r>
    </w:p>
    <w:p w14:paraId="080B993D" w14:textId="36D26695" w:rsidR="00414469" w:rsidRPr="0045431D" w:rsidRDefault="5FAEF865" w:rsidP="0045431D">
      <w:pPr>
        <w:jc w:val="both"/>
        <w:rPr>
          <w:lang w:val="en-GB"/>
        </w:rPr>
      </w:pPr>
      <w:r w:rsidRPr="0045431D">
        <w:rPr>
          <w:rFonts w:ascii="Calibri" w:eastAsia="Calibri" w:hAnsi="Calibri" w:cs="Calibri"/>
          <w:lang w:val="en-GB"/>
        </w:rPr>
        <w:t>University of Liverpool</w:t>
      </w:r>
    </w:p>
    <w:p w14:paraId="72417F32" w14:textId="2FC0ABEB" w:rsidR="00414469" w:rsidRPr="0045431D" w:rsidRDefault="5FAEF865" w:rsidP="0045431D">
      <w:pPr>
        <w:jc w:val="both"/>
        <w:rPr>
          <w:lang w:val="en-GB"/>
        </w:rPr>
      </w:pPr>
      <w:r w:rsidRPr="0045431D">
        <w:rPr>
          <w:rFonts w:ascii="Calibri" w:eastAsia="Calibri" w:hAnsi="Calibri" w:cs="Calibri"/>
          <w:lang w:val="en-GB"/>
        </w:rPr>
        <w:t xml:space="preserve">United Kingdom </w:t>
      </w:r>
    </w:p>
    <w:p w14:paraId="68C44C63" w14:textId="08F9AE85" w:rsidR="00414469" w:rsidRPr="0045431D" w:rsidRDefault="5FAEF865" w:rsidP="0045431D">
      <w:pPr>
        <w:jc w:val="both"/>
        <w:rPr>
          <w:lang w:val="en-GB"/>
        </w:rPr>
      </w:pPr>
      <w:r w:rsidRPr="0045431D">
        <w:rPr>
          <w:rFonts w:ascii="Calibri" w:eastAsia="Calibri" w:hAnsi="Calibri" w:cs="Calibri"/>
          <w:lang w:val="en-GB"/>
        </w:rPr>
        <w:t>Tel: +44 (0) 151 795 8560</w:t>
      </w:r>
    </w:p>
    <w:p w14:paraId="374A74CC" w14:textId="509CDC55" w:rsidR="00414469" w:rsidRPr="00071853" w:rsidRDefault="5FAEF865" w:rsidP="0045431D">
      <w:pPr>
        <w:jc w:val="both"/>
        <w:rPr>
          <w:lang w:val="it-IT"/>
        </w:rPr>
      </w:pPr>
      <w:r w:rsidRPr="00071853">
        <w:rPr>
          <w:rFonts w:ascii="Calibri" w:eastAsia="Calibri" w:hAnsi="Calibri" w:cs="Calibri"/>
          <w:lang w:val="it-IT"/>
        </w:rPr>
        <w:t xml:space="preserve">E-mail: </w:t>
      </w:r>
      <w:hyperlink r:id="rId9">
        <w:r w:rsidRPr="00071853">
          <w:rPr>
            <w:rStyle w:val="Hyperlink"/>
            <w:rFonts w:ascii="Calibri" w:eastAsia="Calibri" w:hAnsi="Calibri" w:cs="Calibri"/>
            <w:lang w:val="it-IT"/>
          </w:rPr>
          <w:t>pcurley@liverpool.ac.uk</w:t>
        </w:r>
      </w:hyperlink>
    </w:p>
    <w:p w14:paraId="6875B0E8" w14:textId="694B5EF9" w:rsidR="00414469" w:rsidRPr="00071853" w:rsidRDefault="5FAEF865" w:rsidP="0045431D">
      <w:pPr>
        <w:jc w:val="both"/>
        <w:rPr>
          <w:sz w:val="16"/>
          <w:szCs w:val="16"/>
          <w:lang w:val="it-IT"/>
        </w:rPr>
      </w:pPr>
      <w:r w:rsidRPr="00071853">
        <w:rPr>
          <w:rFonts w:ascii="Calibri" w:eastAsia="Calibri" w:hAnsi="Calibri" w:cs="Calibri"/>
          <w:b/>
          <w:bCs/>
          <w:lang w:val="it-IT"/>
        </w:rPr>
        <w:t xml:space="preserve"> </w:t>
      </w:r>
    </w:p>
    <w:p w14:paraId="1E0A9820" w14:textId="12BC858F" w:rsidR="00414469" w:rsidRPr="0045431D" w:rsidRDefault="5FAEF865" w:rsidP="0045431D">
      <w:pPr>
        <w:jc w:val="both"/>
        <w:rPr>
          <w:lang w:val="en-GB"/>
        </w:rPr>
      </w:pPr>
      <w:r w:rsidRPr="0045431D">
        <w:rPr>
          <w:rFonts w:ascii="Calibri" w:eastAsia="Calibri" w:hAnsi="Calibri" w:cs="Calibri"/>
          <w:b/>
          <w:bCs/>
          <w:lang w:val="en-GB"/>
        </w:rPr>
        <w:t>Key words:</w:t>
      </w:r>
      <w:r w:rsidRPr="0045431D">
        <w:rPr>
          <w:rFonts w:ascii="Calibri" w:eastAsia="Calibri" w:hAnsi="Calibri" w:cs="Calibri"/>
          <w:lang w:val="en-GB"/>
        </w:rPr>
        <w:t xml:space="preserve"> </w:t>
      </w:r>
      <w:r w:rsidR="00BC0E21" w:rsidRPr="0045431D">
        <w:rPr>
          <w:rFonts w:ascii="Calibri" w:eastAsia="Calibri" w:hAnsi="Calibri" w:cs="Calibri"/>
          <w:lang w:val="en-GB"/>
        </w:rPr>
        <w:t>Tizoxanide</w:t>
      </w:r>
      <w:r w:rsidRPr="0045431D">
        <w:rPr>
          <w:rFonts w:ascii="Calibri" w:eastAsia="Calibri" w:hAnsi="Calibri" w:cs="Calibri"/>
          <w:lang w:val="en-GB"/>
        </w:rPr>
        <w:t>, LC-MS/MS, plasma, SARS-CoV-2, COVID-19</w:t>
      </w:r>
    </w:p>
    <w:p w14:paraId="58A62423" w14:textId="3084459B" w:rsidR="00414469" w:rsidRPr="0089571C" w:rsidRDefault="5FAEF865" w:rsidP="0045431D">
      <w:pPr>
        <w:jc w:val="both"/>
        <w:rPr>
          <w:sz w:val="16"/>
          <w:szCs w:val="16"/>
          <w:lang w:val="en-GB"/>
        </w:rPr>
      </w:pPr>
      <w:r w:rsidRPr="0045431D">
        <w:rPr>
          <w:rFonts w:ascii="Calibri" w:eastAsia="Calibri" w:hAnsi="Calibri" w:cs="Calibri"/>
          <w:b/>
          <w:bCs/>
          <w:lang w:val="en-GB"/>
        </w:rPr>
        <w:t xml:space="preserve"> </w:t>
      </w:r>
    </w:p>
    <w:p w14:paraId="1E623565" w14:textId="7C99715C" w:rsidR="00414469" w:rsidRPr="0045431D" w:rsidRDefault="5FAEF865" w:rsidP="0045431D">
      <w:pPr>
        <w:spacing w:line="360" w:lineRule="auto"/>
        <w:jc w:val="both"/>
        <w:rPr>
          <w:lang w:val="en-GB"/>
        </w:rPr>
      </w:pPr>
      <w:r w:rsidRPr="0045431D">
        <w:rPr>
          <w:rFonts w:ascii="Calibri" w:eastAsia="Calibri" w:hAnsi="Calibri" w:cs="Calibri"/>
          <w:b/>
          <w:bCs/>
          <w:lang w:val="en-GB"/>
        </w:rPr>
        <w:t>Conflicts of interest statement</w:t>
      </w:r>
    </w:p>
    <w:p w14:paraId="302DE02A" w14:textId="58EA1547" w:rsidR="00414469" w:rsidRPr="0045431D" w:rsidRDefault="5FAEF865" w:rsidP="0045431D">
      <w:pPr>
        <w:spacing w:line="360" w:lineRule="auto"/>
        <w:jc w:val="both"/>
        <w:rPr>
          <w:lang w:val="en-GB"/>
        </w:rPr>
      </w:pPr>
      <w:r w:rsidRPr="0045431D">
        <w:rPr>
          <w:rFonts w:ascii="Calibri" w:eastAsia="Calibri" w:hAnsi="Calibri" w:cs="Calibri"/>
          <w:lang w:val="en-GB"/>
        </w:rPr>
        <w:t xml:space="preserve">AO and SR have received research funding from AstraZeneca and </w:t>
      </w:r>
      <w:proofErr w:type="spellStart"/>
      <w:r w:rsidRPr="0045431D">
        <w:rPr>
          <w:rFonts w:ascii="Calibri" w:eastAsia="Calibri" w:hAnsi="Calibri" w:cs="Calibri"/>
          <w:lang w:val="en-GB"/>
        </w:rPr>
        <w:t>ViiV</w:t>
      </w:r>
      <w:proofErr w:type="spellEnd"/>
      <w:r w:rsidRPr="0045431D">
        <w:rPr>
          <w:rFonts w:ascii="Calibri" w:eastAsia="Calibri" w:hAnsi="Calibri" w:cs="Calibri"/>
          <w:lang w:val="en-GB"/>
        </w:rPr>
        <w:t xml:space="preserve"> and consultancies from Gilead; AO has additionally received funding from Merck and Janssen and consultancies from </w:t>
      </w:r>
      <w:proofErr w:type="spellStart"/>
      <w:r w:rsidRPr="0045431D">
        <w:rPr>
          <w:rFonts w:ascii="Calibri" w:eastAsia="Calibri" w:hAnsi="Calibri" w:cs="Calibri"/>
          <w:lang w:val="en-GB"/>
        </w:rPr>
        <w:t>ViiV</w:t>
      </w:r>
      <w:proofErr w:type="spellEnd"/>
      <w:r w:rsidRPr="0045431D">
        <w:rPr>
          <w:rFonts w:ascii="Calibri" w:eastAsia="Calibri" w:hAnsi="Calibri" w:cs="Calibri"/>
          <w:lang w:val="en-GB"/>
        </w:rPr>
        <w:t xml:space="preserve"> and Merck not related to the current paper. No other conflicts are declared by the authors.</w:t>
      </w:r>
    </w:p>
    <w:p w14:paraId="0998574D" w14:textId="3A1A6410" w:rsidR="00414469" w:rsidRPr="0089571C" w:rsidRDefault="5FAEF865" w:rsidP="0045431D">
      <w:pPr>
        <w:spacing w:line="360" w:lineRule="auto"/>
        <w:jc w:val="both"/>
        <w:rPr>
          <w:sz w:val="16"/>
          <w:szCs w:val="16"/>
          <w:lang w:val="en-GB"/>
        </w:rPr>
      </w:pPr>
      <w:r w:rsidRPr="0045431D">
        <w:rPr>
          <w:rFonts w:ascii="Calibri" w:eastAsia="Calibri" w:hAnsi="Calibri" w:cs="Calibri"/>
          <w:lang w:val="en-GB"/>
        </w:rPr>
        <w:t xml:space="preserve"> </w:t>
      </w:r>
    </w:p>
    <w:p w14:paraId="6EE860CC" w14:textId="5BB8046B" w:rsidR="00414469" w:rsidRPr="0045431D" w:rsidRDefault="5FAEF865" w:rsidP="0045431D">
      <w:pPr>
        <w:spacing w:line="360" w:lineRule="auto"/>
        <w:jc w:val="both"/>
        <w:rPr>
          <w:lang w:val="en-GB"/>
        </w:rPr>
      </w:pPr>
      <w:r w:rsidRPr="0045431D">
        <w:rPr>
          <w:rFonts w:ascii="Calibri" w:eastAsia="Calibri" w:hAnsi="Calibri" w:cs="Calibri"/>
          <w:b/>
          <w:bCs/>
          <w:lang w:val="en-GB"/>
        </w:rPr>
        <w:t>Funding</w:t>
      </w:r>
    </w:p>
    <w:p w14:paraId="247B25D8" w14:textId="1C13BBC6" w:rsidR="007F5C47" w:rsidRDefault="5FAEF865" w:rsidP="00B41DA2">
      <w:pPr>
        <w:spacing w:line="360" w:lineRule="auto"/>
        <w:jc w:val="both"/>
        <w:rPr>
          <w:rFonts w:ascii="Calibri" w:eastAsia="Calibri" w:hAnsi="Calibri" w:cs="Calibri"/>
          <w:lang w:val="en-GB"/>
        </w:rPr>
      </w:pPr>
      <w:r w:rsidRPr="0045431D">
        <w:rPr>
          <w:rFonts w:ascii="Calibri" w:eastAsia="Calibri" w:hAnsi="Calibri" w:cs="Calibri"/>
          <w:lang w:val="en-GB"/>
        </w:rPr>
        <w:t xml:space="preserve">This work was funded by UKRI using funding repositioned from EP/R024804/1 as part of the UK emergency response to COVID-19. The authors also acknowledge research funding from EPSRC (EP/S012265/1), NIH (R01AI134091; R24AI118397), European Commission (761104) and </w:t>
      </w:r>
      <w:proofErr w:type="spellStart"/>
      <w:r w:rsidRPr="0045431D">
        <w:rPr>
          <w:rFonts w:ascii="Calibri" w:eastAsia="Calibri" w:hAnsi="Calibri" w:cs="Calibri"/>
          <w:lang w:val="en-GB"/>
        </w:rPr>
        <w:t>Unitaid</w:t>
      </w:r>
      <w:proofErr w:type="spellEnd"/>
      <w:r w:rsidRPr="0045431D">
        <w:rPr>
          <w:rFonts w:ascii="Calibri" w:eastAsia="Calibri" w:hAnsi="Calibri" w:cs="Calibri"/>
          <w:lang w:val="en-GB"/>
        </w:rPr>
        <w:t xml:space="preserve"> (project LONGEVITY).</w:t>
      </w:r>
    </w:p>
    <w:p w14:paraId="3C17541A" w14:textId="109BD411" w:rsidR="00294413" w:rsidRPr="00294413" w:rsidRDefault="00294413" w:rsidP="00B41DA2">
      <w:pPr>
        <w:spacing w:line="360" w:lineRule="auto"/>
        <w:jc w:val="both"/>
        <w:rPr>
          <w:rFonts w:ascii="Calibri" w:eastAsia="Calibri" w:hAnsi="Calibri" w:cs="Calibri"/>
          <w:b/>
          <w:bCs/>
          <w:lang w:val="en-GB"/>
        </w:rPr>
      </w:pPr>
      <w:r w:rsidRPr="00294413">
        <w:rPr>
          <w:rFonts w:ascii="Calibri" w:eastAsia="Calibri" w:hAnsi="Calibri" w:cs="Calibri"/>
          <w:b/>
          <w:bCs/>
          <w:lang w:val="en-GB"/>
        </w:rPr>
        <w:lastRenderedPageBreak/>
        <w:t>Author statement</w:t>
      </w:r>
    </w:p>
    <w:p w14:paraId="0D1276B2" w14:textId="681E5BE2" w:rsidR="00294413" w:rsidRDefault="00294413" w:rsidP="00294413">
      <w:pPr>
        <w:pStyle w:val="CommentText"/>
        <w:rPr>
          <w:lang w:val="en-GB"/>
        </w:rPr>
      </w:pPr>
      <w:r w:rsidRPr="0045431D">
        <w:rPr>
          <w:lang w:val="en-GB"/>
        </w:rPr>
        <w:t>Megan Neary</w:t>
      </w:r>
      <w:r w:rsidRPr="0045431D">
        <w:rPr>
          <w:vertAlign w:val="superscript"/>
          <w:lang w:val="en-GB"/>
        </w:rPr>
        <w:t>1,3</w:t>
      </w:r>
      <w:r>
        <w:rPr>
          <w:lang w:val="en-GB"/>
        </w:rPr>
        <w:t>:</w:t>
      </w:r>
      <w:r w:rsidRPr="0045431D">
        <w:rPr>
          <w:lang w:val="en-GB"/>
        </w:rPr>
        <w:t xml:space="preserve"> </w:t>
      </w:r>
      <w:r>
        <w:rPr>
          <w:lang w:val="en-GB"/>
        </w:rPr>
        <w:t xml:space="preserve">Conceptualization, validation, formal analysis, investigation, data curation, writing – original draft, writing – reviewing and editing, </w:t>
      </w:r>
      <w:r w:rsidR="00672363">
        <w:rPr>
          <w:lang w:val="en-GB"/>
        </w:rPr>
        <w:t>visualisation.</w:t>
      </w:r>
    </w:p>
    <w:p w14:paraId="47C98DDC" w14:textId="76816E45" w:rsidR="00294413" w:rsidRPr="00294413" w:rsidRDefault="00294413" w:rsidP="00294413">
      <w:pPr>
        <w:pStyle w:val="CommentText"/>
        <w:rPr>
          <w:lang w:val="en-GB"/>
        </w:rPr>
      </w:pPr>
      <w:r w:rsidRPr="0045431D">
        <w:rPr>
          <w:lang w:val="en-GB"/>
        </w:rPr>
        <w:t>Usman Arshad</w:t>
      </w:r>
      <w:r w:rsidRPr="0045431D">
        <w:rPr>
          <w:vertAlign w:val="superscript"/>
          <w:lang w:val="en-GB"/>
        </w:rPr>
        <w:t>1,3</w:t>
      </w:r>
      <w:r>
        <w:rPr>
          <w:lang w:val="en-GB"/>
        </w:rPr>
        <w:t>: Validation, formal analysis, investigation, data curation</w:t>
      </w:r>
      <w:r w:rsidR="00313126">
        <w:rPr>
          <w:lang w:val="en-GB"/>
        </w:rPr>
        <w:t xml:space="preserve">, writing- review and editing, visualisation </w:t>
      </w:r>
    </w:p>
    <w:p w14:paraId="58320F0C" w14:textId="2C125B94" w:rsidR="00294413" w:rsidRPr="00313126" w:rsidRDefault="00294413" w:rsidP="00294413">
      <w:pPr>
        <w:pStyle w:val="CommentText"/>
        <w:rPr>
          <w:lang w:val="en-GB"/>
        </w:rPr>
      </w:pPr>
      <w:r w:rsidRPr="0045431D">
        <w:rPr>
          <w:lang w:val="en-GB"/>
        </w:rPr>
        <w:t>Lee Tatham</w:t>
      </w:r>
      <w:r w:rsidRPr="0045431D">
        <w:rPr>
          <w:vertAlign w:val="superscript"/>
          <w:lang w:val="en-GB"/>
        </w:rPr>
        <w:t>1,3</w:t>
      </w:r>
      <w:r w:rsidR="00313126">
        <w:rPr>
          <w:lang w:val="en-GB"/>
        </w:rPr>
        <w:t xml:space="preserve">: </w:t>
      </w:r>
      <w:r w:rsidR="00E16EC3">
        <w:rPr>
          <w:lang w:val="en-GB"/>
        </w:rPr>
        <w:t>D</w:t>
      </w:r>
      <w:r w:rsidR="00313126">
        <w:rPr>
          <w:lang w:val="en-GB"/>
        </w:rPr>
        <w:t xml:space="preserve">ata curation, investigation, writing - reviewing and </w:t>
      </w:r>
      <w:r w:rsidR="00672363">
        <w:rPr>
          <w:lang w:val="en-GB"/>
        </w:rPr>
        <w:t>editing.</w:t>
      </w:r>
    </w:p>
    <w:p w14:paraId="018BF137" w14:textId="738718BF" w:rsidR="00294413" w:rsidRPr="00313126" w:rsidRDefault="00294413" w:rsidP="00294413">
      <w:pPr>
        <w:pStyle w:val="CommentText"/>
        <w:rPr>
          <w:lang w:val="en-GB"/>
        </w:rPr>
      </w:pPr>
      <w:r w:rsidRPr="00313126">
        <w:rPr>
          <w:lang w:val="en-GB"/>
        </w:rPr>
        <w:t>Henry Pertinez</w:t>
      </w:r>
      <w:r w:rsidRPr="00313126">
        <w:rPr>
          <w:vertAlign w:val="superscript"/>
          <w:lang w:val="en-GB"/>
        </w:rPr>
        <w:t>1,3</w:t>
      </w:r>
      <w:r w:rsidR="00313126" w:rsidRPr="00313126">
        <w:rPr>
          <w:lang w:val="en-GB"/>
        </w:rPr>
        <w:t xml:space="preserve">: </w:t>
      </w:r>
      <w:r w:rsidR="00E16EC3">
        <w:rPr>
          <w:lang w:val="en-GB"/>
        </w:rPr>
        <w:t>D</w:t>
      </w:r>
      <w:r w:rsidR="00313126" w:rsidRPr="00313126">
        <w:rPr>
          <w:lang w:val="en-GB"/>
        </w:rPr>
        <w:t>ata curation, formal analy</w:t>
      </w:r>
      <w:r w:rsidR="00313126">
        <w:rPr>
          <w:lang w:val="en-GB"/>
        </w:rPr>
        <w:t xml:space="preserve">sis, writing – reviewing and </w:t>
      </w:r>
      <w:r w:rsidR="00672363">
        <w:rPr>
          <w:lang w:val="en-GB"/>
        </w:rPr>
        <w:t>editing.</w:t>
      </w:r>
    </w:p>
    <w:p w14:paraId="51C526F9" w14:textId="13A3DA50" w:rsidR="00294413" w:rsidRPr="00313126" w:rsidRDefault="00294413" w:rsidP="00294413">
      <w:pPr>
        <w:pStyle w:val="CommentText"/>
        <w:rPr>
          <w:lang w:val="en-GB"/>
        </w:rPr>
      </w:pPr>
      <w:r w:rsidRPr="00313126">
        <w:rPr>
          <w:lang w:val="en-GB"/>
        </w:rPr>
        <w:t>Helen Box</w:t>
      </w:r>
      <w:r w:rsidRPr="00313126">
        <w:rPr>
          <w:vertAlign w:val="superscript"/>
          <w:lang w:val="en-GB"/>
        </w:rPr>
        <w:t>1,3</w:t>
      </w:r>
      <w:r w:rsidR="00313126">
        <w:rPr>
          <w:lang w:val="en-GB"/>
        </w:rPr>
        <w:t>:</w:t>
      </w:r>
      <w:r w:rsidR="00313126" w:rsidRPr="00313126">
        <w:rPr>
          <w:lang w:val="en-GB"/>
        </w:rPr>
        <w:t xml:space="preserve"> </w:t>
      </w:r>
      <w:r w:rsidR="00E16EC3">
        <w:rPr>
          <w:lang w:val="en-GB"/>
        </w:rPr>
        <w:t>V</w:t>
      </w:r>
      <w:r w:rsidR="00313126" w:rsidRPr="00313126">
        <w:rPr>
          <w:lang w:val="en-GB"/>
        </w:rPr>
        <w:t>isualisation, wri</w:t>
      </w:r>
      <w:r w:rsidR="00313126">
        <w:rPr>
          <w:lang w:val="en-GB"/>
        </w:rPr>
        <w:t xml:space="preserve">ting – reviewing and </w:t>
      </w:r>
      <w:r w:rsidR="00672363">
        <w:rPr>
          <w:lang w:val="en-GB"/>
        </w:rPr>
        <w:t>editing.</w:t>
      </w:r>
    </w:p>
    <w:p w14:paraId="482706D2" w14:textId="0C8A646E" w:rsidR="00294413" w:rsidRPr="00313126" w:rsidRDefault="00294413" w:rsidP="00294413">
      <w:pPr>
        <w:pStyle w:val="CommentText"/>
        <w:rPr>
          <w:lang w:val="en-GB"/>
        </w:rPr>
      </w:pPr>
      <w:proofErr w:type="spellStart"/>
      <w:r w:rsidRPr="00313126">
        <w:rPr>
          <w:lang w:val="en-GB"/>
        </w:rPr>
        <w:t>Rajith</w:t>
      </w:r>
      <w:proofErr w:type="spellEnd"/>
      <w:r w:rsidRPr="00313126">
        <w:rPr>
          <w:lang w:val="en-GB"/>
        </w:rPr>
        <w:t xml:space="preserve"> KR Rajoli</w:t>
      </w:r>
      <w:r w:rsidRPr="00313126">
        <w:rPr>
          <w:vertAlign w:val="superscript"/>
          <w:lang w:val="en-GB"/>
        </w:rPr>
        <w:t>1,3</w:t>
      </w:r>
      <w:r w:rsidR="00313126" w:rsidRPr="00313126">
        <w:rPr>
          <w:lang w:val="en-GB"/>
        </w:rPr>
        <w:t>:</w:t>
      </w:r>
      <w:r w:rsidR="00E16EC3">
        <w:rPr>
          <w:lang w:val="en-GB"/>
        </w:rPr>
        <w:t xml:space="preserve"> Data curation, writing – reviewing and </w:t>
      </w:r>
      <w:r w:rsidR="00672363">
        <w:rPr>
          <w:lang w:val="en-GB"/>
        </w:rPr>
        <w:t>editing.</w:t>
      </w:r>
      <w:r w:rsidR="00313126">
        <w:rPr>
          <w:lang w:val="en-GB"/>
        </w:rPr>
        <w:t xml:space="preserve"> </w:t>
      </w:r>
    </w:p>
    <w:p w14:paraId="51D2308D" w14:textId="429F6EB2" w:rsidR="00294413" w:rsidRPr="00E16EC3" w:rsidRDefault="00294413" w:rsidP="00294413">
      <w:pPr>
        <w:pStyle w:val="CommentText"/>
        <w:rPr>
          <w:lang w:val="en-GB"/>
        </w:rPr>
      </w:pPr>
      <w:r w:rsidRPr="0045431D">
        <w:rPr>
          <w:lang w:val="en-GB"/>
        </w:rPr>
        <w:t>Anthony Valentijn</w:t>
      </w:r>
      <w:r w:rsidRPr="0045431D">
        <w:rPr>
          <w:vertAlign w:val="superscript"/>
          <w:lang w:val="en-GB"/>
        </w:rPr>
        <w:t>1,3</w:t>
      </w:r>
      <w:r w:rsidR="00E16EC3">
        <w:rPr>
          <w:lang w:val="en-GB"/>
        </w:rPr>
        <w:t xml:space="preserve">: Investigation, formal analysis, writing – reviewing and </w:t>
      </w:r>
      <w:r w:rsidR="00672363">
        <w:rPr>
          <w:lang w:val="en-GB"/>
        </w:rPr>
        <w:t>editing.</w:t>
      </w:r>
    </w:p>
    <w:p w14:paraId="547978FA" w14:textId="2ECEF890" w:rsidR="00294413" w:rsidRPr="00E16EC3" w:rsidRDefault="00294413" w:rsidP="00294413">
      <w:pPr>
        <w:pStyle w:val="CommentText"/>
        <w:rPr>
          <w:lang w:val="en-GB"/>
        </w:rPr>
      </w:pPr>
      <w:r w:rsidRPr="00E16EC3">
        <w:rPr>
          <w:lang w:val="en-GB"/>
        </w:rPr>
        <w:t>Joanne Sharp</w:t>
      </w:r>
      <w:r w:rsidRPr="00E16EC3">
        <w:rPr>
          <w:vertAlign w:val="superscript"/>
          <w:lang w:val="en-GB"/>
        </w:rPr>
        <w:t>1,3</w:t>
      </w:r>
      <w:r w:rsidR="00E16EC3">
        <w:rPr>
          <w:lang w:val="en-GB"/>
        </w:rPr>
        <w:t xml:space="preserve">: Conceptualization, project administration, writing – reviewing and </w:t>
      </w:r>
      <w:r w:rsidR="00672363">
        <w:rPr>
          <w:lang w:val="en-GB"/>
        </w:rPr>
        <w:t>editing.</w:t>
      </w:r>
    </w:p>
    <w:p w14:paraId="47E3CC7C" w14:textId="0145E45F" w:rsidR="00294413" w:rsidRPr="00E16EC3" w:rsidRDefault="00294413" w:rsidP="00294413">
      <w:pPr>
        <w:pStyle w:val="CommentText"/>
        <w:rPr>
          <w:lang w:val="en-GB"/>
        </w:rPr>
      </w:pPr>
      <w:r w:rsidRPr="00E16EC3">
        <w:rPr>
          <w:lang w:val="en-GB"/>
        </w:rPr>
        <w:t>Steve P Rannard</w:t>
      </w:r>
      <w:r w:rsidRPr="00E16EC3">
        <w:rPr>
          <w:vertAlign w:val="superscript"/>
          <w:lang w:val="en-GB"/>
        </w:rPr>
        <w:t>2,3</w:t>
      </w:r>
      <w:r w:rsidR="00E16EC3" w:rsidRPr="00E16EC3">
        <w:rPr>
          <w:lang w:val="en-GB"/>
        </w:rPr>
        <w:t xml:space="preserve">: Conceptualisation, </w:t>
      </w:r>
      <w:r w:rsidR="00E16EC3">
        <w:rPr>
          <w:lang w:val="en-GB"/>
        </w:rPr>
        <w:t>f</w:t>
      </w:r>
      <w:r w:rsidR="00E16EC3" w:rsidRPr="00E16EC3">
        <w:rPr>
          <w:lang w:val="en-GB"/>
        </w:rPr>
        <w:t>unding acquisition, w</w:t>
      </w:r>
      <w:r w:rsidR="00E16EC3">
        <w:rPr>
          <w:lang w:val="en-GB"/>
        </w:rPr>
        <w:t xml:space="preserve">riting – reviewing and </w:t>
      </w:r>
      <w:r w:rsidR="00672363">
        <w:rPr>
          <w:lang w:val="en-GB"/>
        </w:rPr>
        <w:t>editing.</w:t>
      </w:r>
    </w:p>
    <w:p w14:paraId="762AF831" w14:textId="41960576" w:rsidR="00294413" w:rsidRPr="00E16EC3" w:rsidRDefault="00294413" w:rsidP="00294413">
      <w:pPr>
        <w:pStyle w:val="CommentText"/>
        <w:rPr>
          <w:lang w:val="en-GB"/>
        </w:rPr>
      </w:pPr>
      <w:r w:rsidRPr="00E16EC3">
        <w:rPr>
          <w:lang w:val="en-GB"/>
        </w:rPr>
        <w:t>Giancarlo A Biagini</w:t>
      </w:r>
      <w:r w:rsidRPr="00E16EC3">
        <w:rPr>
          <w:vertAlign w:val="superscript"/>
          <w:lang w:val="en-GB"/>
        </w:rPr>
        <w:t>4</w:t>
      </w:r>
      <w:r w:rsidR="00E16EC3" w:rsidRPr="00E16EC3">
        <w:rPr>
          <w:lang w:val="en-GB"/>
        </w:rPr>
        <w:t xml:space="preserve">: </w:t>
      </w:r>
      <w:r w:rsidRPr="00E16EC3">
        <w:rPr>
          <w:lang w:val="en-GB"/>
        </w:rPr>
        <w:t xml:space="preserve"> </w:t>
      </w:r>
      <w:r w:rsidR="00E16EC3" w:rsidRPr="00E16EC3">
        <w:rPr>
          <w:lang w:val="en-GB"/>
        </w:rPr>
        <w:t xml:space="preserve">Conceptualisation, </w:t>
      </w:r>
      <w:r w:rsidR="00E16EC3">
        <w:rPr>
          <w:lang w:val="en-GB"/>
        </w:rPr>
        <w:t>f</w:t>
      </w:r>
      <w:r w:rsidR="00E16EC3" w:rsidRPr="00E16EC3">
        <w:rPr>
          <w:lang w:val="en-GB"/>
        </w:rPr>
        <w:t>unding acquisition, w</w:t>
      </w:r>
      <w:r w:rsidR="00E16EC3">
        <w:rPr>
          <w:lang w:val="en-GB"/>
        </w:rPr>
        <w:t xml:space="preserve">riting – reviewing and </w:t>
      </w:r>
      <w:r w:rsidR="00672363">
        <w:rPr>
          <w:lang w:val="en-GB"/>
        </w:rPr>
        <w:t>editing.</w:t>
      </w:r>
    </w:p>
    <w:p w14:paraId="01D7CB34" w14:textId="1B94F8F0" w:rsidR="00294413" w:rsidRPr="00E16EC3" w:rsidRDefault="00294413" w:rsidP="00294413">
      <w:pPr>
        <w:pStyle w:val="CommentText"/>
        <w:rPr>
          <w:lang w:val="en-GB"/>
        </w:rPr>
      </w:pPr>
      <w:r w:rsidRPr="00294413">
        <w:rPr>
          <w:lang w:val="en-GB"/>
        </w:rPr>
        <w:t>Paul Curley</w:t>
      </w:r>
      <w:r w:rsidRPr="00294413">
        <w:rPr>
          <w:vertAlign w:val="superscript"/>
          <w:lang w:val="en-GB"/>
        </w:rPr>
        <w:t>1,3</w:t>
      </w:r>
      <w:r w:rsidR="00E16EC3">
        <w:rPr>
          <w:lang w:val="en-GB"/>
        </w:rPr>
        <w:t xml:space="preserve">: Conceptualization, validation, formal analysis, investigation, data curation, writing – original draft, writing – reviewing and editing, visualisation, supervision, project </w:t>
      </w:r>
      <w:r w:rsidR="00672363">
        <w:rPr>
          <w:lang w:val="en-GB"/>
        </w:rPr>
        <w:t>administration.</w:t>
      </w:r>
    </w:p>
    <w:p w14:paraId="01621C89" w14:textId="49F4F8DE" w:rsidR="00294413" w:rsidRPr="00294413" w:rsidRDefault="00294413" w:rsidP="00E16EC3">
      <w:pPr>
        <w:pStyle w:val="CommentText"/>
        <w:tabs>
          <w:tab w:val="left" w:pos="1860"/>
        </w:tabs>
        <w:rPr>
          <w:lang w:val="en-GB"/>
        </w:rPr>
      </w:pPr>
      <w:r w:rsidRPr="00294413">
        <w:rPr>
          <w:lang w:val="en-GB"/>
        </w:rPr>
        <w:t>Andrew Owen</w:t>
      </w:r>
      <w:r w:rsidRPr="00294413">
        <w:rPr>
          <w:vertAlign w:val="superscript"/>
          <w:lang w:val="en-GB"/>
        </w:rPr>
        <w:t>1,3</w:t>
      </w:r>
      <w:r w:rsidR="00E16EC3">
        <w:rPr>
          <w:lang w:val="en-GB"/>
        </w:rPr>
        <w:t xml:space="preserve">: </w:t>
      </w:r>
      <w:r w:rsidR="00E16EC3" w:rsidRPr="00E16EC3">
        <w:rPr>
          <w:lang w:val="en-GB"/>
        </w:rPr>
        <w:t xml:space="preserve">Conceptualisation, </w:t>
      </w:r>
      <w:r w:rsidR="00E16EC3">
        <w:rPr>
          <w:lang w:val="en-GB"/>
        </w:rPr>
        <w:t>f</w:t>
      </w:r>
      <w:r w:rsidR="00E16EC3" w:rsidRPr="00E16EC3">
        <w:rPr>
          <w:lang w:val="en-GB"/>
        </w:rPr>
        <w:t xml:space="preserve">unding acquisition, </w:t>
      </w:r>
      <w:r w:rsidR="00E16EC3">
        <w:rPr>
          <w:lang w:val="en-GB"/>
        </w:rPr>
        <w:t xml:space="preserve">resources, project administration, </w:t>
      </w:r>
      <w:r w:rsidR="00E16EC3" w:rsidRPr="00E16EC3">
        <w:rPr>
          <w:lang w:val="en-GB"/>
        </w:rPr>
        <w:t>w</w:t>
      </w:r>
      <w:r w:rsidR="00E16EC3">
        <w:rPr>
          <w:lang w:val="en-GB"/>
        </w:rPr>
        <w:t xml:space="preserve">riting – reviewing and </w:t>
      </w:r>
      <w:r w:rsidR="00672363">
        <w:rPr>
          <w:lang w:val="en-GB"/>
        </w:rPr>
        <w:t>editing.</w:t>
      </w:r>
    </w:p>
    <w:p w14:paraId="45233BDC" w14:textId="77777777" w:rsidR="00294413" w:rsidRPr="00294413" w:rsidRDefault="00294413" w:rsidP="00B41DA2">
      <w:pPr>
        <w:spacing w:line="360" w:lineRule="auto"/>
        <w:jc w:val="both"/>
        <w:rPr>
          <w:lang w:val="en-GB"/>
        </w:rPr>
      </w:pPr>
    </w:p>
    <w:p w14:paraId="4FDD93B2" w14:textId="77777777" w:rsidR="00294413" w:rsidRPr="00294413" w:rsidRDefault="00294413">
      <w:pPr>
        <w:rPr>
          <w:rFonts w:ascii="Calibri" w:eastAsia="Calibri" w:hAnsi="Calibri" w:cs="Calibri"/>
          <w:b/>
          <w:lang w:val="en-GB"/>
        </w:rPr>
      </w:pPr>
      <w:r w:rsidRPr="00294413">
        <w:rPr>
          <w:rFonts w:ascii="Calibri" w:eastAsia="Calibri" w:hAnsi="Calibri" w:cs="Calibri"/>
          <w:b/>
          <w:lang w:val="en-GB"/>
        </w:rPr>
        <w:br w:type="page"/>
      </w:r>
    </w:p>
    <w:p w14:paraId="1B84E929" w14:textId="2BED763C" w:rsidR="00D26509" w:rsidRDefault="00D26509" w:rsidP="0089571C">
      <w:pPr>
        <w:jc w:val="both"/>
        <w:rPr>
          <w:rFonts w:ascii="Calibri" w:eastAsia="Calibri" w:hAnsi="Calibri" w:cs="Calibri"/>
          <w:b/>
          <w:lang w:val="en-GB"/>
        </w:rPr>
      </w:pPr>
      <w:r>
        <w:rPr>
          <w:rFonts w:ascii="Calibri" w:eastAsia="Calibri" w:hAnsi="Calibri" w:cs="Calibri"/>
          <w:b/>
          <w:lang w:val="en-GB"/>
        </w:rPr>
        <w:lastRenderedPageBreak/>
        <w:t>Abstract</w:t>
      </w:r>
    </w:p>
    <w:p w14:paraId="22C1230B" w14:textId="27626DB6" w:rsidR="0055725D" w:rsidRPr="000C4339" w:rsidRDefault="00D26509" w:rsidP="000C4339">
      <w:pPr>
        <w:spacing w:line="360" w:lineRule="auto"/>
        <w:jc w:val="both"/>
        <w:rPr>
          <w:b/>
          <w:bCs/>
          <w:lang w:val="en-GB"/>
        </w:rPr>
      </w:pPr>
      <w:r w:rsidRPr="0045431D">
        <w:rPr>
          <w:lang w:val="en-GB"/>
        </w:rPr>
        <w:t xml:space="preserve">Currently </w:t>
      </w:r>
      <w:r w:rsidR="00304D44">
        <w:rPr>
          <w:lang w:val="en-GB"/>
        </w:rPr>
        <w:t>nitazoxanide</w:t>
      </w:r>
      <w:r w:rsidRPr="0045431D">
        <w:rPr>
          <w:lang w:val="en-GB"/>
        </w:rPr>
        <w:t xml:space="preserve"> is being assessed as a candidate </w:t>
      </w:r>
      <w:r>
        <w:rPr>
          <w:lang w:val="en-GB"/>
        </w:rPr>
        <w:t>therapeutic for</w:t>
      </w:r>
      <w:r w:rsidRPr="0045431D">
        <w:rPr>
          <w:lang w:val="en-GB"/>
        </w:rPr>
        <w:t xml:space="preserve"> SARS-CoV-2</w:t>
      </w:r>
      <w:r w:rsidR="00304D44">
        <w:rPr>
          <w:lang w:val="en-GB"/>
        </w:rPr>
        <w:t xml:space="preserve">. </w:t>
      </w:r>
      <w:r w:rsidR="00E05977">
        <w:rPr>
          <w:lang w:val="en-GB"/>
        </w:rPr>
        <w:t xml:space="preserve">Nitazoxanide is rapidly broken down to its active metabolite tizoxanide upon </w:t>
      </w:r>
      <w:r w:rsidR="00672363">
        <w:rPr>
          <w:lang w:val="en-GB"/>
        </w:rPr>
        <w:t>administration.</w:t>
      </w:r>
      <w:r w:rsidR="00E05977">
        <w:rPr>
          <w:lang w:val="en-GB"/>
        </w:rPr>
        <w:t xml:space="preserve"> </w:t>
      </w:r>
      <w:r>
        <w:rPr>
          <w:lang w:val="en-GB"/>
        </w:rPr>
        <w:t xml:space="preserve">Unlike many other candidates being </w:t>
      </w:r>
      <w:r w:rsidR="007004B0">
        <w:rPr>
          <w:lang w:val="en-GB"/>
        </w:rPr>
        <w:t>investigated,</w:t>
      </w:r>
      <w:r w:rsidRPr="0045431D">
        <w:rPr>
          <w:lang w:val="en-GB"/>
        </w:rPr>
        <w:t xml:space="preserve"> </w:t>
      </w:r>
      <w:r w:rsidR="00304D44">
        <w:rPr>
          <w:lang w:val="en-GB"/>
        </w:rPr>
        <w:t xml:space="preserve">tizoxanide </w:t>
      </w:r>
      <w:r>
        <w:rPr>
          <w:lang w:val="en-GB"/>
        </w:rPr>
        <w:t>plasma concentration</w:t>
      </w:r>
      <w:r w:rsidR="00304D44">
        <w:rPr>
          <w:lang w:val="en-GB"/>
        </w:rPr>
        <w:t>s</w:t>
      </w:r>
      <w:r>
        <w:rPr>
          <w:lang w:val="en-GB"/>
        </w:rPr>
        <w:t xml:space="preserve"> achieve antiviral levels after administration of the approved dose</w:t>
      </w:r>
      <w:r w:rsidRPr="0045431D">
        <w:rPr>
          <w:lang w:val="en-GB"/>
        </w:rPr>
        <w:t>,</w:t>
      </w:r>
      <w:r w:rsidR="003C0AF0">
        <w:rPr>
          <w:lang w:val="en-GB"/>
        </w:rPr>
        <w:t xml:space="preserve"> </w:t>
      </w:r>
      <w:r>
        <w:rPr>
          <w:lang w:val="en-GB"/>
        </w:rPr>
        <w:t xml:space="preserve">although higher doses are expected to be needed to maintain these concentrations across the dosing interval in </w:t>
      </w:r>
      <w:proofErr w:type="gramStart"/>
      <w:r>
        <w:rPr>
          <w:lang w:val="en-GB"/>
        </w:rPr>
        <w:t>the majority of</w:t>
      </w:r>
      <w:proofErr w:type="gramEnd"/>
      <w:r>
        <w:rPr>
          <w:lang w:val="en-GB"/>
        </w:rPr>
        <w:t xml:space="preserve"> patients.</w:t>
      </w:r>
      <w:r w:rsidR="0055725D">
        <w:rPr>
          <w:lang w:val="en-GB"/>
        </w:rPr>
        <w:t xml:space="preserve"> Here</w:t>
      </w:r>
      <w:r w:rsidR="0055725D" w:rsidRPr="0045431D">
        <w:rPr>
          <w:lang w:val="en-GB"/>
        </w:rPr>
        <w:t xml:space="preserve"> a</w:t>
      </w:r>
      <w:r w:rsidR="0055725D">
        <w:rPr>
          <w:lang w:val="en-GB"/>
        </w:rPr>
        <w:t xml:space="preserve">n </w:t>
      </w:r>
      <w:r w:rsidR="0055725D" w:rsidRPr="0045431D">
        <w:rPr>
          <w:lang w:val="en-GB"/>
        </w:rPr>
        <w:t>LC-MS/MS assay</w:t>
      </w:r>
      <w:r w:rsidR="0055725D">
        <w:rPr>
          <w:lang w:val="en-GB"/>
        </w:rPr>
        <w:t xml:space="preserve"> is described that has been validated</w:t>
      </w:r>
      <w:r w:rsidR="0055725D" w:rsidRPr="0045431D">
        <w:rPr>
          <w:lang w:val="en-GB"/>
        </w:rPr>
        <w:t xml:space="preserve"> in accordance with Food and Drug Administration (FDA) guidelines</w:t>
      </w:r>
      <w:r w:rsidR="0055725D">
        <w:rPr>
          <w:lang w:val="en-GB"/>
        </w:rPr>
        <w:t>. F</w:t>
      </w:r>
      <w:r w:rsidR="0055725D" w:rsidRPr="0045431D">
        <w:rPr>
          <w:lang w:val="en-GB"/>
        </w:rPr>
        <w:t>undamental parameters have been evaluated, and these included accuracy, precision and sensitivity.</w:t>
      </w:r>
      <w:r w:rsidR="0055725D">
        <w:rPr>
          <w:lang w:val="en-GB"/>
        </w:rPr>
        <w:t xml:space="preserve"> The</w:t>
      </w:r>
      <w:r w:rsidR="0055725D" w:rsidRPr="0045431D">
        <w:rPr>
          <w:lang w:val="en-GB"/>
        </w:rPr>
        <w:t xml:space="preserve"> assay was validated for human </w:t>
      </w:r>
      <w:r w:rsidR="0055725D">
        <w:rPr>
          <w:lang w:val="en-GB"/>
        </w:rPr>
        <w:t xml:space="preserve">plasma, </w:t>
      </w:r>
      <w:r w:rsidR="0055725D" w:rsidRPr="0045431D">
        <w:rPr>
          <w:lang w:val="en-GB"/>
        </w:rPr>
        <w:t>mouse plasma</w:t>
      </w:r>
      <w:r w:rsidR="0055725D">
        <w:rPr>
          <w:lang w:val="en-GB"/>
        </w:rPr>
        <w:t xml:space="preserve"> and </w:t>
      </w:r>
      <w:r w:rsidR="00354AE4" w:rsidRPr="0045431D">
        <w:rPr>
          <w:lang w:val="en-GB"/>
        </w:rPr>
        <w:t>Dulbecco’s</w:t>
      </w:r>
      <w:r w:rsidR="0055725D" w:rsidRPr="0045431D">
        <w:rPr>
          <w:lang w:val="en-GB"/>
        </w:rPr>
        <w:t xml:space="preserve"> Modified Eagles Medium (DMEM) containing varying concentrations of Foetal Bovine Serum (FBS). </w:t>
      </w:r>
      <w:r w:rsidR="0055725D">
        <w:rPr>
          <w:lang w:val="en-GB"/>
        </w:rPr>
        <w:t>M</w:t>
      </w:r>
      <w:r w:rsidR="0055725D" w:rsidRPr="0045431D">
        <w:rPr>
          <w:lang w:val="en-GB"/>
        </w:rPr>
        <w:t>atrix effects are a well-documented source of concern for chromatographic analysis, with the potential to impact various stages of the analytical process, including suppression or enhancement of ionisation</w:t>
      </w:r>
      <w:r w:rsidR="0055725D">
        <w:rPr>
          <w:lang w:val="en-GB"/>
        </w:rPr>
        <w:t xml:space="preserve">. </w:t>
      </w:r>
      <w:r w:rsidR="003245A5">
        <w:rPr>
          <w:lang w:val="en-GB"/>
        </w:rPr>
        <w:t xml:space="preserve">Herein a </w:t>
      </w:r>
      <w:r w:rsidR="0055725D" w:rsidRPr="0045431D">
        <w:rPr>
          <w:lang w:val="en-GB"/>
        </w:rPr>
        <w:t>validated LC-MS/MS analytical method</w:t>
      </w:r>
      <w:r w:rsidR="0055725D">
        <w:rPr>
          <w:lang w:val="en-GB"/>
        </w:rPr>
        <w:t xml:space="preserve"> is presented</w:t>
      </w:r>
      <w:r w:rsidR="0055725D" w:rsidRPr="0045431D">
        <w:rPr>
          <w:lang w:val="en-GB"/>
        </w:rPr>
        <w:t xml:space="preserve"> capable of quantifying </w:t>
      </w:r>
      <w:r w:rsidR="00304D44">
        <w:rPr>
          <w:lang w:val="en-GB"/>
        </w:rPr>
        <w:t>tizoxanide</w:t>
      </w:r>
      <w:r w:rsidR="0055725D" w:rsidRPr="0045431D">
        <w:rPr>
          <w:lang w:val="en-GB"/>
        </w:rPr>
        <w:t xml:space="preserve"> in multiple matrices with minimal impact of matrix effects. </w:t>
      </w:r>
      <w:r w:rsidR="00304D44">
        <w:rPr>
          <w:rFonts w:ascii="Calibri" w:hAnsi="Calibri" w:cs="Calibri"/>
          <w:lang w:val="en-GB"/>
        </w:rPr>
        <w:t xml:space="preserve">The validated </w:t>
      </w:r>
      <w:r w:rsidR="0055725D" w:rsidRPr="00D2654A">
        <w:rPr>
          <w:rFonts w:ascii="Calibri" w:hAnsi="Calibri" w:cs="Calibri"/>
          <w:lang w:val="en-GB"/>
        </w:rPr>
        <w:t xml:space="preserve">assay presented </w:t>
      </w:r>
      <w:r w:rsidR="00304D44">
        <w:rPr>
          <w:rFonts w:ascii="Calibri" w:hAnsi="Calibri" w:cs="Calibri"/>
          <w:lang w:val="en-GB"/>
        </w:rPr>
        <w:t>here</w:t>
      </w:r>
      <w:r w:rsidR="0055725D" w:rsidRPr="00D2654A">
        <w:rPr>
          <w:rFonts w:ascii="Calibri" w:hAnsi="Calibri" w:cs="Calibri"/>
          <w:lang w:val="en-GB"/>
        </w:rPr>
        <w:t xml:space="preserve"> was linear from </w:t>
      </w:r>
      <w:r w:rsidR="003C0AF0">
        <w:rPr>
          <w:rFonts w:cstheme="minorHAnsi"/>
          <w:lang w:val="en-GB"/>
        </w:rPr>
        <w:t>15.6</w:t>
      </w:r>
      <w:r w:rsidR="003C0AF0" w:rsidRPr="00E16BE9">
        <w:rPr>
          <w:rFonts w:cstheme="minorHAnsi"/>
          <w:lang w:val="en-GB"/>
        </w:rPr>
        <w:t xml:space="preserve">ng/mL to </w:t>
      </w:r>
      <w:r w:rsidR="003C0AF0">
        <w:rPr>
          <w:rFonts w:cstheme="minorHAnsi"/>
          <w:lang w:val="en-GB"/>
        </w:rPr>
        <w:t>100</w:t>
      </w:r>
      <w:r w:rsidR="003C0AF0" w:rsidRPr="00E16BE9">
        <w:rPr>
          <w:rFonts w:cstheme="minorHAnsi"/>
          <w:lang w:val="en-GB"/>
        </w:rPr>
        <w:t>0ng/</w:t>
      </w:r>
      <w:proofErr w:type="spellStart"/>
      <w:r w:rsidR="003C0AF0" w:rsidRPr="00E16BE9">
        <w:rPr>
          <w:rFonts w:cstheme="minorHAnsi"/>
          <w:lang w:val="en-GB"/>
        </w:rPr>
        <w:t>mL.</w:t>
      </w:r>
      <w:proofErr w:type="spellEnd"/>
      <w:r w:rsidR="0055725D" w:rsidRPr="00D2654A">
        <w:rPr>
          <w:lang w:val="en-GB"/>
        </w:rPr>
        <w:t xml:space="preserve"> </w:t>
      </w:r>
      <w:r w:rsidR="0055725D" w:rsidRPr="00D2654A">
        <w:rPr>
          <w:rFonts w:ascii="Calibri" w:hAnsi="Calibri" w:cs="Calibri"/>
          <w:lang w:val="en-GB"/>
        </w:rPr>
        <w:t xml:space="preserve">The presented assay </w:t>
      </w:r>
      <w:r w:rsidR="0055725D">
        <w:rPr>
          <w:rFonts w:ascii="Calibri" w:hAnsi="Calibri" w:cs="Calibri"/>
          <w:lang w:val="en-GB"/>
        </w:rPr>
        <w:t xml:space="preserve">here has applications in both pre-clinical and clinical research and may be used to facilitate further investigations into the application of </w:t>
      </w:r>
      <w:r w:rsidR="00304D44">
        <w:rPr>
          <w:rFonts w:ascii="Calibri" w:hAnsi="Calibri" w:cs="Calibri"/>
          <w:lang w:val="en-GB"/>
        </w:rPr>
        <w:t>nitazoxanide</w:t>
      </w:r>
      <w:r w:rsidR="0055725D">
        <w:rPr>
          <w:rFonts w:ascii="Calibri" w:hAnsi="Calibri" w:cs="Calibri"/>
          <w:lang w:val="en-GB"/>
        </w:rPr>
        <w:t xml:space="preserve"> against SARS-CoV-2</w:t>
      </w:r>
      <w:r w:rsidR="0055725D" w:rsidRPr="00D2654A">
        <w:rPr>
          <w:rFonts w:ascii="Calibri" w:hAnsi="Calibri" w:cs="Calibri"/>
          <w:lang w:val="en-GB"/>
        </w:rPr>
        <w:t>.</w:t>
      </w:r>
    </w:p>
    <w:p w14:paraId="53D4DCB9" w14:textId="77777777" w:rsidR="00D26509" w:rsidRDefault="00D26509" w:rsidP="0089571C">
      <w:pPr>
        <w:jc w:val="both"/>
        <w:rPr>
          <w:rFonts w:ascii="Calibri" w:eastAsia="Calibri" w:hAnsi="Calibri" w:cs="Calibri"/>
          <w:b/>
          <w:lang w:val="en-GB"/>
        </w:rPr>
      </w:pPr>
    </w:p>
    <w:p w14:paraId="797C3913" w14:textId="77777777" w:rsidR="00887D3C" w:rsidRDefault="00887D3C">
      <w:pPr>
        <w:rPr>
          <w:rFonts w:ascii="Calibri" w:eastAsia="Calibri" w:hAnsi="Calibri" w:cs="Calibri"/>
          <w:b/>
          <w:lang w:val="en-GB"/>
        </w:rPr>
      </w:pPr>
      <w:r>
        <w:rPr>
          <w:rFonts w:ascii="Calibri" w:eastAsia="Calibri" w:hAnsi="Calibri" w:cs="Calibri"/>
          <w:b/>
          <w:lang w:val="en-GB"/>
        </w:rPr>
        <w:br w:type="page"/>
      </w:r>
    </w:p>
    <w:p w14:paraId="6BD4B196" w14:textId="7D712A99" w:rsidR="003F1104" w:rsidRPr="0045431D" w:rsidRDefault="00071853" w:rsidP="0089571C">
      <w:pPr>
        <w:jc w:val="both"/>
        <w:rPr>
          <w:rFonts w:ascii="Calibri" w:eastAsia="Calibri" w:hAnsi="Calibri" w:cs="Calibri"/>
          <w:b/>
          <w:lang w:val="en-GB"/>
        </w:rPr>
      </w:pPr>
      <w:r>
        <w:rPr>
          <w:rFonts w:ascii="Calibri" w:eastAsia="Calibri" w:hAnsi="Calibri" w:cs="Calibri"/>
          <w:b/>
          <w:lang w:val="en-GB"/>
        </w:rPr>
        <w:lastRenderedPageBreak/>
        <w:t xml:space="preserve">1.0 </w:t>
      </w:r>
      <w:r w:rsidR="003F1104" w:rsidRPr="0045431D">
        <w:rPr>
          <w:rFonts w:ascii="Calibri" w:eastAsia="Calibri" w:hAnsi="Calibri" w:cs="Calibri"/>
          <w:b/>
          <w:lang w:val="en-GB"/>
        </w:rPr>
        <w:t>Introduction</w:t>
      </w:r>
    </w:p>
    <w:p w14:paraId="6B9B7564" w14:textId="4E5FD8FB" w:rsidR="00751B87" w:rsidRPr="0045431D" w:rsidRDefault="00001025" w:rsidP="0045431D">
      <w:pPr>
        <w:spacing w:line="360" w:lineRule="auto"/>
        <w:jc w:val="both"/>
        <w:rPr>
          <w:lang w:val="en-GB"/>
        </w:rPr>
      </w:pPr>
      <w:r w:rsidRPr="0045431D">
        <w:rPr>
          <w:lang w:val="en-GB"/>
        </w:rPr>
        <w:t xml:space="preserve">Nitazoxanide (NTZ) is a </w:t>
      </w:r>
      <w:proofErr w:type="spellStart"/>
      <w:r w:rsidRPr="0045431D">
        <w:rPr>
          <w:lang w:val="en-GB"/>
        </w:rPr>
        <w:t>thiazolide</w:t>
      </w:r>
      <w:proofErr w:type="spellEnd"/>
      <w:r w:rsidRPr="0045431D">
        <w:rPr>
          <w:lang w:val="en-GB"/>
        </w:rPr>
        <w:t xml:space="preserve"> anti-protozoal drug, approved to treat diarrhoea caused by </w:t>
      </w:r>
      <w:r w:rsidR="00EA13E6" w:rsidRPr="0045431D">
        <w:rPr>
          <w:lang w:val="en-GB"/>
        </w:rPr>
        <w:t xml:space="preserve">the parasites </w:t>
      </w:r>
      <w:r w:rsidRPr="0045431D">
        <w:rPr>
          <w:i/>
          <w:lang w:val="en-GB"/>
        </w:rPr>
        <w:t xml:space="preserve">Cryptosporidium </w:t>
      </w:r>
      <w:r w:rsidR="00EA13E6" w:rsidRPr="0045431D">
        <w:rPr>
          <w:lang w:val="en-GB"/>
        </w:rPr>
        <w:t>and</w:t>
      </w:r>
      <w:r w:rsidRPr="0045431D">
        <w:rPr>
          <w:lang w:val="en-GB"/>
        </w:rPr>
        <w:t xml:space="preserve"> </w:t>
      </w:r>
      <w:r w:rsidRPr="0045431D">
        <w:rPr>
          <w:i/>
          <w:lang w:val="en-GB"/>
        </w:rPr>
        <w:t>Giardia</w:t>
      </w:r>
      <w:r w:rsidR="00593DC8" w:rsidRPr="0045431D">
        <w:rPr>
          <w:lang w:val="en-GB"/>
        </w:rPr>
        <w:t xml:space="preserve"> in children and adults</w:t>
      </w:r>
      <w:r w:rsidRPr="0045431D">
        <w:rPr>
          <w:lang w:val="en-GB"/>
        </w:rPr>
        <w:t xml:space="preserve"> </w:t>
      </w:r>
      <w:r w:rsidRPr="0045431D">
        <w:rPr>
          <w:lang w:val="en-GB"/>
        </w:rPr>
        <w:fldChar w:fldCharType="begin"/>
      </w:r>
      <w:r w:rsidR="00E06C25">
        <w:rPr>
          <w:lang w:val="en-GB"/>
        </w:rPr>
        <w:instrText xml:space="preserve"> ADDIN EN.CITE &lt;EndNote&gt;&lt;Cite&gt;&lt;Author&gt;Anderson&lt;/Author&gt;&lt;Year&gt;2007&lt;/Year&gt;&lt;RecNum&gt;1129&lt;/RecNum&gt;&lt;DisplayText&gt;[1, 2]&lt;/DisplayText&gt;&lt;record&gt;&lt;rec-number&gt;1129&lt;/rec-number&gt;&lt;foreign-keys&gt;&lt;key app="EN" db-id="09sztrdrjsd2r6e9x96psvsbrd9ate929dar" timestamp="1611746420"&gt;1129&lt;/key&gt;&lt;/foreign-keys&gt;&lt;ref-type name="Journal Article"&gt;17&lt;/ref-type&gt;&lt;contributors&gt;&lt;authors&gt;&lt;author&gt;Anderson, Vanessa R&lt;/author&gt;&lt;author&gt;Curran, Monique P&lt;/author&gt;&lt;/authors&gt;&lt;/contributors&gt;&lt;titles&gt;&lt;title&gt;Nitazoxanide&lt;/title&gt;&lt;secondary-title&gt;Drugs&lt;/secondary-title&gt;&lt;/titles&gt;&lt;periodical&gt;&lt;full-title&gt;Drugs&lt;/full-title&gt;&lt;/periodical&gt;&lt;pages&gt;1947-1967&lt;/pages&gt;&lt;volume&gt;67&lt;/volume&gt;&lt;number&gt;13&lt;/number&gt;&lt;dates&gt;&lt;year&gt;2007&lt;/year&gt;&lt;/dates&gt;&lt;isbn&gt;1179-1950&lt;/isbn&gt;&lt;urls&gt;&lt;/urls&gt;&lt;/record&gt;&lt;/Cite&gt;&lt;Cite&gt;&lt;Author&gt;FDA&lt;/Author&gt;&lt;Year&gt;2002&lt;/Year&gt;&lt;RecNum&gt;1136&lt;/RecNum&gt;&lt;record&gt;&lt;rec-number&gt;1136&lt;/rec-number&gt;&lt;foreign-keys&gt;&lt;key app="EN" db-id="09sztrdrjsd2r6e9x96psvsbrd9ate929dar" timestamp="1611749422"&gt;1136&lt;/key&gt;&lt;/foreign-keys&gt;&lt;ref-type name="Web Page"&gt;12&lt;/ref-type&gt;&lt;contributors&gt;&lt;authors&gt;&lt;author&gt;FDA&lt;/author&gt;&lt;/authors&gt;&lt;/contributors&gt;&lt;titles&gt;&lt;title&gt;ALINIA Nitazoxanide drug label highlights of prescribing information. Reference ID: 3956992 &lt;/title&gt;&lt;/titles&gt;&lt;dates&gt;&lt;year&gt;2002&lt;/year&gt;&lt;/dates&gt;&lt;urls&gt;&lt;related-urls&gt;&lt;url&gt;https://www.accessdata.fda.gov/drugsatfda_docs/label/2016/021497s001,021498s004lbl.pdf&lt;/url&gt;&lt;/related-urls&gt;&lt;/urls&gt;&lt;/record&gt;&lt;/Cite&gt;&lt;/EndNote&gt;</w:instrText>
      </w:r>
      <w:r w:rsidRPr="0045431D">
        <w:rPr>
          <w:lang w:val="en-GB"/>
        </w:rPr>
        <w:fldChar w:fldCharType="separate"/>
      </w:r>
      <w:r w:rsidR="00E05977">
        <w:rPr>
          <w:noProof/>
          <w:lang w:val="en-GB"/>
        </w:rPr>
        <w:t>[1, 2]</w:t>
      </w:r>
      <w:r w:rsidRPr="0045431D">
        <w:rPr>
          <w:lang w:val="en-GB"/>
        </w:rPr>
        <w:fldChar w:fldCharType="end"/>
      </w:r>
      <w:r w:rsidR="00871556" w:rsidRPr="0045431D">
        <w:rPr>
          <w:lang w:val="en-GB"/>
        </w:rPr>
        <w:t>,</w:t>
      </w:r>
      <w:r w:rsidRPr="0045431D">
        <w:rPr>
          <w:lang w:val="en-GB"/>
        </w:rPr>
        <w:t xml:space="preserve"> </w:t>
      </w:r>
      <w:r w:rsidR="00593DC8" w:rsidRPr="0045431D">
        <w:rPr>
          <w:lang w:val="en-GB"/>
        </w:rPr>
        <w:t>and is a</w:t>
      </w:r>
      <w:r w:rsidR="00EA13E6" w:rsidRPr="0045431D">
        <w:rPr>
          <w:lang w:val="en-GB"/>
        </w:rPr>
        <w:t>dministered o</w:t>
      </w:r>
      <w:r w:rsidR="00593DC8" w:rsidRPr="0045431D">
        <w:rPr>
          <w:lang w:val="en-GB"/>
        </w:rPr>
        <w:t xml:space="preserve">rally as a suspension or tablet twice daily with food </w:t>
      </w:r>
      <w:r w:rsidR="00593DC8" w:rsidRPr="0045431D">
        <w:rPr>
          <w:lang w:val="en-GB"/>
        </w:rPr>
        <w:fldChar w:fldCharType="begin"/>
      </w:r>
      <w:r w:rsidR="00E06C25">
        <w:rPr>
          <w:lang w:val="en-GB"/>
        </w:rPr>
        <w:instrText xml:space="preserve"> ADDIN EN.CITE &lt;EndNote&gt;&lt;Cite&gt;&lt;Author&gt;FDA&lt;/Author&gt;&lt;Year&gt;2002&lt;/Year&gt;&lt;RecNum&gt;1136&lt;/RecNum&gt;&lt;DisplayText&gt;[2]&lt;/DisplayText&gt;&lt;record&gt;&lt;rec-number&gt;1136&lt;/rec-number&gt;&lt;foreign-keys&gt;&lt;key app="EN" db-id="09sztrdrjsd2r6e9x96psvsbrd9ate929dar" timestamp="1611749422"&gt;1136&lt;/key&gt;&lt;/foreign-keys&gt;&lt;ref-type name="Web Page"&gt;12&lt;/ref-type&gt;&lt;contributors&gt;&lt;authors&gt;&lt;author&gt;FDA&lt;/author&gt;&lt;/authors&gt;&lt;/contributors&gt;&lt;titles&gt;&lt;title&gt;ALINIA Nitazoxanide drug label highlights of prescribing information. Reference ID: 3956992 &lt;/title&gt;&lt;/titles&gt;&lt;dates&gt;&lt;year&gt;2002&lt;/year&gt;&lt;/dates&gt;&lt;urls&gt;&lt;related-urls&gt;&lt;url&gt;https://www.accessdata.fda.gov/drugsatfda_docs/label/2016/021497s001,021498s004lbl.pdf&lt;/url&gt;&lt;/related-urls&gt;&lt;/urls&gt;&lt;/record&gt;&lt;/Cite&gt;&lt;/EndNote&gt;</w:instrText>
      </w:r>
      <w:r w:rsidR="00593DC8" w:rsidRPr="0045431D">
        <w:rPr>
          <w:lang w:val="en-GB"/>
        </w:rPr>
        <w:fldChar w:fldCharType="separate"/>
      </w:r>
      <w:r w:rsidR="00E05977">
        <w:rPr>
          <w:noProof/>
          <w:lang w:val="en-GB"/>
        </w:rPr>
        <w:t>[2]</w:t>
      </w:r>
      <w:r w:rsidR="00593DC8" w:rsidRPr="0045431D">
        <w:rPr>
          <w:lang w:val="en-GB"/>
        </w:rPr>
        <w:fldChar w:fldCharType="end"/>
      </w:r>
      <w:r w:rsidR="00871556" w:rsidRPr="0045431D">
        <w:rPr>
          <w:lang w:val="en-GB"/>
        </w:rPr>
        <w:t>.</w:t>
      </w:r>
      <w:r w:rsidR="00E05977">
        <w:rPr>
          <w:lang w:val="en-GB"/>
        </w:rPr>
        <w:t xml:space="preserve"> </w:t>
      </w:r>
      <w:r w:rsidR="00593DC8" w:rsidRPr="0045431D">
        <w:rPr>
          <w:lang w:val="en-GB"/>
        </w:rPr>
        <w:t xml:space="preserve"> A</w:t>
      </w:r>
      <w:r w:rsidRPr="0045431D">
        <w:rPr>
          <w:lang w:val="en-GB"/>
        </w:rPr>
        <w:t xml:space="preserve">dditional efficacy </w:t>
      </w:r>
      <w:r w:rsidR="00593DC8" w:rsidRPr="0045431D">
        <w:rPr>
          <w:lang w:val="en-GB"/>
        </w:rPr>
        <w:t xml:space="preserve">has been </w:t>
      </w:r>
      <w:r w:rsidRPr="0045431D">
        <w:rPr>
          <w:lang w:val="en-GB"/>
        </w:rPr>
        <w:t xml:space="preserve">demonstrated both </w:t>
      </w:r>
      <w:r w:rsidRPr="0045431D">
        <w:rPr>
          <w:i/>
          <w:lang w:val="en-GB"/>
        </w:rPr>
        <w:t>in vitro</w:t>
      </w:r>
      <w:r w:rsidRPr="0045431D">
        <w:rPr>
          <w:lang w:val="en-GB"/>
        </w:rPr>
        <w:t xml:space="preserve"> and </w:t>
      </w:r>
      <w:r w:rsidRPr="0045431D">
        <w:rPr>
          <w:i/>
          <w:lang w:val="en-GB"/>
        </w:rPr>
        <w:t>in vivo</w:t>
      </w:r>
      <w:r w:rsidRPr="0045431D">
        <w:rPr>
          <w:lang w:val="en-GB"/>
        </w:rPr>
        <w:t xml:space="preserve"> against a </w:t>
      </w:r>
      <w:r w:rsidR="00EA13E6" w:rsidRPr="0045431D">
        <w:rPr>
          <w:lang w:val="en-GB"/>
        </w:rPr>
        <w:t xml:space="preserve">wide </w:t>
      </w:r>
      <w:r w:rsidRPr="0045431D">
        <w:rPr>
          <w:lang w:val="en-GB"/>
        </w:rPr>
        <w:t xml:space="preserve">range of parasites, bacteria, fungi and viruses </w:t>
      </w:r>
      <w:r w:rsidRPr="0045431D">
        <w:rPr>
          <w:lang w:val="en-GB"/>
        </w:rPr>
        <w:fldChar w:fldCharType="begin">
          <w:fldData xml:space="preserve">PEVuZE5vdGU+PENpdGU+PEF1dGhvcj5Ccm9la2h1eXNlbjwvQXV0aG9yPjxZZWFyPjIwMDA8L1ll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</w:fldData>
        </w:fldChar>
      </w:r>
      <w:r w:rsidR="00E06C25">
        <w:rPr>
          <w:lang w:val="en-GB"/>
        </w:rPr>
        <w:instrText xml:space="preserve"> ADDIN EN.CITE </w:instrText>
      </w:r>
      <w:r w:rsidR="00E06C25">
        <w:rPr>
          <w:lang w:val="en-GB"/>
        </w:rPr>
        <w:fldChar w:fldCharType="begin">
          <w:fldData xml:space="preserve">PEVuZE5vdGU+PENpdGU+PEF1dGhvcj5Ccm9la2h1eXNlbjwvQXV0aG9yPjxZZWFyPjIwMDA8L1ll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</w:fldData>
        </w:fldChar>
      </w:r>
      <w:r w:rsidR="00E06C25">
        <w:rPr>
          <w:lang w:val="en-GB"/>
        </w:rPr>
        <w:instrText xml:space="preserve"> ADDIN EN.CITE.DATA </w:instrText>
      </w:r>
      <w:r w:rsidR="00E06C25">
        <w:rPr>
          <w:lang w:val="en-GB"/>
        </w:rPr>
      </w:r>
      <w:r w:rsidR="00E06C25">
        <w:rPr>
          <w:lang w:val="en-GB"/>
        </w:rPr>
        <w:fldChar w:fldCharType="end"/>
      </w:r>
      <w:r w:rsidRPr="0045431D">
        <w:rPr>
          <w:lang w:val="en-GB"/>
        </w:rPr>
      </w:r>
      <w:r w:rsidRPr="0045431D">
        <w:rPr>
          <w:lang w:val="en-GB"/>
        </w:rPr>
        <w:fldChar w:fldCharType="separate"/>
      </w:r>
      <w:r w:rsidR="00E05977">
        <w:rPr>
          <w:noProof/>
          <w:lang w:val="en-GB"/>
        </w:rPr>
        <w:t>[3-9]</w:t>
      </w:r>
      <w:r w:rsidRPr="0045431D">
        <w:rPr>
          <w:lang w:val="en-GB"/>
        </w:rPr>
        <w:fldChar w:fldCharType="end"/>
      </w:r>
      <w:r w:rsidR="00871556" w:rsidRPr="0045431D">
        <w:rPr>
          <w:lang w:val="en-GB"/>
        </w:rPr>
        <w:t>.</w:t>
      </w:r>
      <w:r w:rsidRPr="0045431D">
        <w:rPr>
          <w:lang w:val="en-GB"/>
        </w:rPr>
        <w:t xml:space="preserve"> This broad-spectrum of activity is </w:t>
      </w:r>
      <w:r w:rsidR="00EA13E6" w:rsidRPr="0045431D">
        <w:rPr>
          <w:lang w:val="en-GB"/>
        </w:rPr>
        <w:t xml:space="preserve">in part </w:t>
      </w:r>
      <w:r w:rsidRPr="0045431D">
        <w:rPr>
          <w:lang w:val="en-GB"/>
        </w:rPr>
        <w:t>attributed to NTZs rapid transformation into its deacetylated active metabolit</w:t>
      </w:r>
      <w:r w:rsidR="00871556" w:rsidRPr="0045431D">
        <w:rPr>
          <w:lang w:val="en-GB"/>
        </w:rPr>
        <w:t>e tizoxanide (TIZ)</w:t>
      </w:r>
      <w:r w:rsidR="00E05977">
        <w:rPr>
          <w:lang w:val="en-GB"/>
        </w:rPr>
        <w:t xml:space="preserve"> upon administration</w:t>
      </w:r>
      <w:r w:rsidR="00871556" w:rsidRPr="0045431D">
        <w:rPr>
          <w:lang w:val="en-GB"/>
        </w:rPr>
        <w:t xml:space="preserve"> </w:t>
      </w:r>
      <w:r w:rsidR="00EA13E6" w:rsidRPr="0045431D">
        <w:rPr>
          <w:lang w:val="en-GB"/>
        </w:rPr>
        <w:fldChar w:fldCharType="begin"/>
      </w:r>
      <w:r w:rsidR="00E06C25">
        <w:rPr>
          <w:lang w:val="en-GB"/>
        </w:rPr>
        <w:instrText xml:space="preserve"> ADDIN EN.CITE &lt;EndNote&gt;&lt;Cite&gt;&lt;Author&gt;Esposito&lt;/Author&gt;&lt;Year&gt;2007&lt;/Year&gt;&lt;RecNum&gt;1130&lt;/RecNum&gt;&lt;DisplayText&gt;[4]&lt;/DisplayText&gt;&lt;record&gt;&lt;rec-number&gt;1130&lt;/rec-number&gt;&lt;foreign-keys&gt;&lt;key app="EN" db-id="09sztrdrjsd2r6e9x96psvsbrd9ate929dar" timestamp="1611747190"&gt;1130&lt;/key&gt;&lt;/foreign-keys&gt;&lt;ref-type name="Journal Article"&gt;17&lt;/ref-type&gt;&lt;contributors&gt;&lt;authors&gt;&lt;author&gt;Esposito, Marco&lt;/author&gt;&lt;author&gt;Moores, Shelley&lt;/author&gt;&lt;author&gt;Naguleswaran, Arunasalam&lt;/author&gt;&lt;author&gt;Müller, Joachim&lt;/author&gt;&lt;author&gt;Hemphill, Andrew&lt;/author&gt;&lt;/authors&gt;&lt;/contributors&gt;&lt;titles&gt;&lt;title&gt;Induction of tachyzoite egress from cells infected with the protozoan Neospora caninum by nitro-and bromo-thiazolides, a class of broad-spectrum anti-parasitic drugs&lt;/title&gt;&lt;secondary-title&gt;International journal for parasitology&lt;/secondary-title&gt;&lt;/titles&gt;&lt;pages&gt;1143-1152&lt;/pages&gt;&lt;volume&gt;37&lt;/volume&gt;&lt;number&gt;10&lt;/number&gt;&lt;dates&gt;&lt;year&gt;2007&lt;/year&gt;&lt;/dates&gt;&lt;isbn&gt;0020-7519&lt;/isbn&gt;&lt;urls&gt;&lt;/urls&gt;&lt;/record&gt;&lt;/Cite&gt;&lt;/EndNote&gt;</w:instrText>
      </w:r>
      <w:r w:rsidR="00EA13E6" w:rsidRPr="0045431D">
        <w:rPr>
          <w:lang w:val="en-GB"/>
        </w:rPr>
        <w:fldChar w:fldCharType="separate"/>
      </w:r>
      <w:r w:rsidR="00E05977">
        <w:rPr>
          <w:noProof/>
          <w:lang w:val="en-GB"/>
        </w:rPr>
        <w:t>[4]</w:t>
      </w:r>
      <w:r w:rsidR="00EA13E6" w:rsidRPr="0045431D">
        <w:rPr>
          <w:lang w:val="en-GB"/>
        </w:rPr>
        <w:fldChar w:fldCharType="end"/>
      </w:r>
      <w:r w:rsidR="00871556" w:rsidRPr="0045431D">
        <w:rPr>
          <w:lang w:val="en-GB"/>
        </w:rPr>
        <w:t>.</w:t>
      </w:r>
      <w:r w:rsidR="00593DC8" w:rsidRPr="0045431D">
        <w:rPr>
          <w:lang w:val="en-GB"/>
        </w:rPr>
        <w:t xml:space="preserve"> </w:t>
      </w:r>
      <w:r w:rsidR="00763DCC" w:rsidRPr="0045431D">
        <w:rPr>
          <w:lang w:val="en-GB"/>
        </w:rPr>
        <w:t>NTZ has previously been considered for drug repurposing to treat respiratory viral infections</w:t>
      </w:r>
      <w:r w:rsidR="00871556" w:rsidRPr="0045431D">
        <w:rPr>
          <w:lang w:val="en-GB"/>
        </w:rPr>
        <w:t xml:space="preserve"> </w:t>
      </w:r>
      <w:r w:rsidR="00840062" w:rsidRPr="0045431D">
        <w:rPr>
          <w:lang w:val="en-GB"/>
        </w:rPr>
        <w:fldChar w:fldCharType="begin"/>
      </w:r>
      <w:r w:rsidR="00E05977">
        <w:rPr>
          <w:lang w:val="en-GB"/>
        </w:rPr>
        <w:instrText xml:space="preserve"> ADDIN EN.CITE &lt;EndNote&gt;&lt;Cite&gt;&lt;Author&gt;Mahmoud&lt;/Author&gt;&lt;Year&gt;2020&lt;/Year&gt;&lt;RecNum&gt;9&lt;/RecNum&gt;&lt;DisplayText&gt;[9]&lt;/DisplayText&gt;&lt;record&gt;&lt;rec-number&gt;9&lt;/rec-number&gt;&lt;foreign-keys&gt;&lt;key app="EN" db-id="9tzxpps0ie05dde0af9x0d220paepv0xxvpa" timestamp="1612002706"&gt;9&lt;/key&gt;&lt;/foreign-keys&gt;&lt;ref-type name="Journal Article"&gt;17&lt;/ref-type&gt;&lt;contributors&gt;&lt;authors&gt;&lt;author&gt;Mahmoud, Dina B&lt;/author&gt;&lt;author&gt;Shitu, Zayyanu&lt;/author&gt;&lt;author&gt;Mostafa, Ahmed&lt;/author&gt;&lt;/authors&gt;&lt;/contributors&gt;&lt;titles&gt;&lt;title&gt;Drug repurposing of nitazoxanide: can it be an effective therapy for COVID-19?&lt;/title&gt;&lt;secondary-title&gt;Journal of Genetic Engineering and Biotechnology&lt;/secondary-title&gt;&lt;/titles&gt;&lt;periodical&gt;&lt;full-title&gt;Journal of Genetic Engineering and Biotechnology&lt;/full-title&gt;&lt;/periodical&gt;&lt;pages&gt;1-10&lt;/pages&gt;&lt;volume&gt;18&lt;/volume&gt;&lt;number&gt;1&lt;/number&gt;&lt;dates&gt;&lt;year&gt;2020&lt;/year&gt;&lt;/dates&gt;&lt;isbn&gt;2090-5920&lt;/isbn&gt;&lt;urls&gt;&lt;/urls&gt;&lt;/record&gt;&lt;/Cite&gt;&lt;/EndNote&gt;</w:instrText>
      </w:r>
      <w:r w:rsidR="00840062" w:rsidRPr="0045431D">
        <w:rPr>
          <w:lang w:val="en-GB"/>
        </w:rPr>
        <w:fldChar w:fldCharType="separate"/>
      </w:r>
      <w:r w:rsidR="00E05977">
        <w:rPr>
          <w:noProof/>
          <w:lang w:val="en-GB"/>
        </w:rPr>
        <w:t>[9]</w:t>
      </w:r>
      <w:r w:rsidR="00840062" w:rsidRPr="0045431D">
        <w:rPr>
          <w:lang w:val="en-GB"/>
        </w:rPr>
        <w:fldChar w:fldCharType="end"/>
      </w:r>
      <w:r w:rsidR="00871556" w:rsidRPr="0045431D">
        <w:rPr>
          <w:lang w:val="en-GB"/>
        </w:rPr>
        <w:t>,</w:t>
      </w:r>
      <w:r w:rsidR="00763DCC" w:rsidRPr="0045431D">
        <w:rPr>
          <w:lang w:val="en-GB"/>
        </w:rPr>
        <w:t xml:space="preserve"> </w:t>
      </w:r>
      <w:r w:rsidR="00A83B42" w:rsidRPr="0045431D">
        <w:rPr>
          <w:lang w:val="en-GB"/>
        </w:rPr>
        <w:t>including Middle Eastern respiratory syndrome (MERS)</w:t>
      </w:r>
      <w:r w:rsidR="00871556" w:rsidRPr="0045431D">
        <w:rPr>
          <w:lang w:val="en-GB"/>
        </w:rPr>
        <w:t xml:space="preserve"> </w:t>
      </w:r>
      <w:r w:rsidR="00A83B42" w:rsidRPr="0045431D">
        <w:rPr>
          <w:lang w:val="en-GB"/>
        </w:rPr>
        <w:fldChar w:fldCharType="begin"/>
      </w:r>
      <w:r w:rsidR="00E06C25">
        <w:rPr>
          <w:lang w:val="en-GB"/>
        </w:rPr>
        <w:instrText xml:space="preserve"> ADDIN EN.CITE &lt;EndNote&gt;&lt;Cite&gt;&lt;Author&gt;Rossignol&lt;/Author&gt;&lt;Year&gt;2016&lt;/Year&gt;&lt;RecNum&gt;1138&lt;/RecNum&gt;&lt;DisplayText&gt;[10]&lt;/DisplayText&gt;&lt;record&gt;&lt;rec-number&gt;1138&lt;/rec-number&gt;&lt;foreign-keys&gt;&lt;key app="EN" db-id="09sztrdrjsd2r6e9x96psvsbrd9ate929dar" timestamp="1611750539"&gt;1138&lt;/key&gt;&lt;/foreign-keys&gt;&lt;ref-type name="Journal Article"&gt;17&lt;/ref-type&gt;&lt;contributors&gt;&lt;authors&gt;&lt;author&gt;Rossignol, Jean-François&lt;/author&gt;&lt;/authors&gt;&lt;/contributors&gt;&lt;titles&gt;&lt;title&gt;Nitazoxanide, a new drug candidate for the treatment of Middle East respiratory syndrome coronavirus&lt;/title&gt;&lt;secondary-title&gt;Journal of infection and public health&lt;/secondary-title&gt;&lt;/titles&gt;&lt;pages&gt;227-230&lt;/pages&gt;&lt;volume&gt;9&lt;/volume&gt;&lt;number&gt;3&lt;/number&gt;&lt;dates&gt;&lt;year&gt;2016&lt;/year&gt;&lt;/dates&gt;&lt;isbn&gt;1876-0341&lt;/isbn&gt;&lt;urls&gt;&lt;/urls&gt;&lt;/record&gt;&lt;/Cite&gt;&lt;/EndNote&gt;</w:instrText>
      </w:r>
      <w:r w:rsidR="00A83B42" w:rsidRPr="0045431D">
        <w:rPr>
          <w:lang w:val="en-GB"/>
        </w:rPr>
        <w:fldChar w:fldCharType="separate"/>
      </w:r>
      <w:r w:rsidR="00E05977">
        <w:rPr>
          <w:noProof/>
          <w:lang w:val="en-GB"/>
        </w:rPr>
        <w:t>[10]</w:t>
      </w:r>
      <w:r w:rsidR="00A83B42" w:rsidRPr="0045431D">
        <w:rPr>
          <w:lang w:val="en-GB"/>
        </w:rPr>
        <w:fldChar w:fldCharType="end"/>
      </w:r>
      <w:r w:rsidR="00871556" w:rsidRPr="0045431D">
        <w:rPr>
          <w:lang w:val="en-GB"/>
        </w:rPr>
        <w:t>,</w:t>
      </w:r>
      <w:r w:rsidR="00840062" w:rsidRPr="0045431D">
        <w:rPr>
          <w:lang w:val="en-GB"/>
        </w:rPr>
        <w:t xml:space="preserve"> </w:t>
      </w:r>
      <w:r w:rsidR="00763DCC" w:rsidRPr="0045431D">
        <w:rPr>
          <w:lang w:val="en-GB"/>
        </w:rPr>
        <w:t xml:space="preserve">with clinical trials </w:t>
      </w:r>
      <w:r w:rsidR="00BA4F8B">
        <w:rPr>
          <w:lang w:val="en-GB"/>
        </w:rPr>
        <w:t xml:space="preserve">having </w:t>
      </w:r>
      <w:r w:rsidR="00763DCC" w:rsidRPr="0045431D">
        <w:rPr>
          <w:lang w:val="en-GB"/>
        </w:rPr>
        <w:t>assess</w:t>
      </w:r>
      <w:r w:rsidR="00BA4F8B">
        <w:rPr>
          <w:lang w:val="en-GB"/>
        </w:rPr>
        <w:t>ed</w:t>
      </w:r>
      <w:r w:rsidR="00763DCC" w:rsidRPr="0045431D">
        <w:rPr>
          <w:lang w:val="en-GB"/>
        </w:rPr>
        <w:t xml:space="preserve"> its suitability to treat</w:t>
      </w:r>
      <w:r w:rsidR="00A83B42" w:rsidRPr="0045431D">
        <w:rPr>
          <w:lang w:val="en-GB"/>
        </w:rPr>
        <w:t xml:space="preserve"> acute</w:t>
      </w:r>
      <w:r w:rsidR="00763DCC" w:rsidRPr="0045431D">
        <w:rPr>
          <w:lang w:val="en-GB"/>
        </w:rPr>
        <w:t xml:space="preserve"> influenza </w:t>
      </w:r>
      <w:r w:rsidR="00763DCC" w:rsidRPr="0045431D">
        <w:rPr>
          <w:lang w:val="en-GB"/>
        </w:rPr>
        <w:fldChar w:fldCharType="begin">
          <w:fldData xml:space="preserve">PEVuZE5vdGU+PENpdGU+PEF1dGhvcj5IYWZmaXp1bGxhPC9BdXRob3I+PFllYXI+MjAxNDwvWWVh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</w:fldData>
        </w:fldChar>
      </w:r>
      <w:r w:rsidR="00E06C25">
        <w:rPr>
          <w:lang w:val="en-GB"/>
        </w:rPr>
        <w:instrText xml:space="preserve"> ADDIN EN.CITE </w:instrText>
      </w:r>
      <w:r w:rsidR="00E06C25">
        <w:rPr>
          <w:lang w:val="en-GB"/>
        </w:rPr>
        <w:fldChar w:fldCharType="begin">
          <w:fldData xml:space="preserve">PEVuZE5vdGU+PENpdGU+PEF1dGhvcj5IYWZmaXp1bGxhPC9BdXRob3I+PFllYXI+MjAxNDwvWWVh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</w:fldData>
        </w:fldChar>
      </w:r>
      <w:r w:rsidR="00E06C25">
        <w:rPr>
          <w:lang w:val="en-GB"/>
        </w:rPr>
        <w:instrText xml:space="preserve"> ADDIN EN.CITE.DATA </w:instrText>
      </w:r>
      <w:r w:rsidR="00E06C25">
        <w:rPr>
          <w:lang w:val="en-GB"/>
        </w:rPr>
      </w:r>
      <w:r w:rsidR="00E06C25">
        <w:rPr>
          <w:lang w:val="en-GB"/>
        </w:rPr>
        <w:fldChar w:fldCharType="end"/>
      </w:r>
      <w:r w:rsidR="00763DCC" w:rsidRPr="0045431D">
        <w:rPr>
          <w:lang w:val="en-GB"/>
        </w:rPr>
      </w:r>
      <w:r w:rsidR="00763DCC" w:rsidRPr="0045431D">
        <w:rPr>
          <w:lang w:val="en-GB"/>
        </w:rPr>
        <w:fldChar w:fldCharType="separate"/>
      </w:r>
      <w:r w:rsidR="00E05977">
        <w:rPr>
          <w:noProof/>
          <w:lang w:val="en-GB"/>
        </w:rPr>
        <w:t>[11, 12]</w:t>
      </w:r>
      <w:r w:rsidR="00763DCC" w:rsidRPr="0045431D">
        <w:rPr>
          <w:lang w:val="en-GB"/>
        </w:rPr>
        <w:fldChar w:fldCharType="end"/>
      </w:r>
      <w:r w:rsidR="00871556" w:rsidRPr="0045431D">
        <w:rPr>
          <w:lang w:val="en-GB"/>
        </w:rPr>
        <w:t>.</w:t>
      </w:r>
      <w:r w:rsidR="00840062" w:rsidRPr="0045431D">
        <w:rPr>
          <w:lang w:val="en-GB"/>
        </w:rPr>
        <w:t xml:space="preserve"> </w:t>
      </w:r>
    </w:p>
    <w:p w14:paraId="54A5508E" w14:textId="1C114D19" w:rsidR="0099133B" w:rsidRPr="0045431D" w:rsidRDefault="00840062" w:rsidP="0045431D">
      <w:pPr>
        <w:spacing w:line="360" w:lineRule="auto"/>
        <w:jc w:val="both"/>
        <w:rPr>
          <w:lang w:val="en-GB"/>
        </w:rPr>
      </w:pPr>
      <w:r w:rsidRPr="0045431D">
        <w:rPr>
          <w:lang w:val="en-GB"/>
        </w:rPr>
        <w:t xml:space="preserve">NTZ </w:t>
      </w:r>
      <w:r w:rsidR="00E64F07">
        <w:rPr>
          <w:lang w:val="en-GB"/>
        </w:rPr>
        <w:t>has been</w:t>
      </w:r>
      <w:r w:rsidRPr="0045431D">
        <w:rPr>
          <w:lang w:val="en-GB"/>
        </w:rPr>
        <w:t xml:space="preserve"> assessed as a candidate </w:t>
      </w:r>
      <w:r w:rsidR="00867358">
        <w:rPr>
          <w:lang w:val="en-GB"/>
        </w:rPr>
        <w:t>therapeutic for</w:t>
      </w:r>
      <w:r w:rsidRPr="0045431D">
        <w:rPr>
          <w:lang w:val="en-GB"/>
        </w:rPr>
        <w:t xml:space="preserve"> severe acute respiratory syndrome coronavirus 2 (SARS-CoV-2), with </w:t>
      </w:r>
      <w:r w:rsidR="00BD5BD1" w:rsidRPr="0045431D">
        <w:rPr>
          <w:lang w:val="en-GB"/>
        </w:rPr>
        <w:t>2</w:t>
      </w:r>
      <w:r w:rsidR="00BD5BD1">
        <w:rPr>
          <w:lang w:val="en-GB"/>
        </w:rPr>
        <w:t>5</w:t>
      </w:r>
      <w:r w:rsidR="00BD5BD1" w:rsidRPr="0045431D">
        <w:rPr>
          <w:lang w:val="en-GB"/>
        </w:rPr>
        <w:t xml:space="preserve"> </w:t>
      </w:r>
      <w:r w:rsidR="00871556" w:rsidRPr="0045431D">
        <w:rPr>
          <w:lang w:val="en-GB"/>
        </w:rPr>
        <w:t>trials listed on clinicaltrials.gov</w:t>
      </w:r>
      <w:r w:rsidRPr="0045431D">
        <w:rPr>
          <w:lang w:val="en-GB"/>
        </w:rPr>
        <w:t xml:space="preserve"> </w:t>
      </w:r>
      <w:r w:rsidRPr="0045431D">
        <w:rPr>
          <w:lang w:val="en-GB"/>
        </w:rPr>
        <w:fldChar w:fldCharType="begin"/>
      </w:r>
      <w:r w:rsidR="00E06C25">
        <w:rPr>
          <w:lang w:val="en-GB"/>
        </w:rPr>
        <w:instrText xml:space="preserve"> ADDIN EN.CITE &lt;EndNote&gt;&lt;Cite&gt;&lt;Author&gt;ClinicalTrials.gov.&lt;/Author&gt;&lt;Year&gt; 2021&lt;/Year&gt;&lt;RecNum&gt;1149&lt;/RecNum&gt;&lt;DisplayText&gt;[13]&lt;/DisplayText&gt;&lt;record&gt;&lt;rec-number&gt;1149&lt;/rec-number&gt;&lt;foreign-keys&gt;&lt;key app="EN" db-id="09sztrdrjsd2r6e9x96psvsbrd9ate929dar" timestamp="1611754463"&gt;1149&lt;/key&gt;&lt;/foreign-keys&gt;&lt;ref-type name="Web Page"&gt;12&lt;/ref-type&gt;&lt;contributors&gt;&lt;authors&gt;&lt;author&gt;ClinicalTrials.gov. &lt;/author&gt;&lt;/authors&gt;&lt;/contributors&gt;&lt;titles&gt;&lt;title&gt;ClinicalTrials.gov. Clinical Trials. 2021 SARS-CoV-2 nitazoxanide clincal trials search&lt;/title&gt;&lt;/titles&gt;&lt;dates&gt;&lt;year&gt; 2021&lt;/year&gt;&lt;/dates&gt;&lt;urls&gt;&lt;related-urls&gt;&lt;url&gt;https://clinicaltrials.gov/ct2/results?cond=sars-cov-2&amp;amp;term=nitazoxanide&amp;amp;cntry=&amp;amp;state=&amp;amp;city=&amp;amp;dist=&lt;/url&gt;&lt;/related-urls&gt;&lt;/urls&gt;&lt;/record&gt;&lt;/Cite&gt;&lt;/EndNote&gt;</w:instrText>
      </w:r>
      <w:r w:rsidRPr="0045431D">
        <w:rPr>
          <w:lang w:val="en-GB"/>
        </w:rPr>
        <w:fldChar w:fldCharType="separate"/>
      </w:r>
      <w:r w:rsidR="00E05977">
        <w:rPr>
          <w:noProof/>
          <w:lang w:val="en-GB"/>
        </w:rPr>
        <w:t>[13]</w:t>
      </w:r>
      <w:r w:rsidRPr="0045431D">
        <w:rPr>
          <w:lang w:val="en-GB"/>
        </w:rPr>
        <w:fldChar w:fldCharType="end"/>
      </w:r>
      <w:r w:rsidR="00871556" w:rsidRPr="0045431D">
        <w:rPr>
          <w:lang w:val="en-GB"/>
        </w:rPr>
        <w:t>.</w:t>
      </w:r>
      <w:r w:rsidRPr="0045431D">
        <w:rPr>
          <w:lang w:val="en-GB"/>
        </w:rPr>
        <w:t xml:space="preserve"> </w:t>
      </w:r>
      <w:r w:rsidR="0039262D" w:rsidRPr="0045431D">
        <w:rPr>
          <w:i/>
          <w:lang w:val="en-GB"/>
        </w:rPr>
        <w:t>In vitro</w:t>
      </w:r>
      <w:r w:rsidR="0039262D" w:rsidRPr="0045431D">
        <w:rPr>
          <w:lang w:val="en-GB"/>
        </w:rPr>
        <w:t xml:space="preserve"> evaluation of the activity of NTZ against SARS-CoV-2 in Vero E6 cells generated an EC</w:t>
      </w:r>
      <w:r w:rsidR="0039262D" w:rsidRPr="0045431D">
        <w:rPr>
          <w:vertAlign w:val="subscript"/>
          <w:lang w:val="en-GB"/>
        </w:rPr>
        <w:t>90</w:t>
      </w:r>
      <w:r w:rsidR="0039262D" w:rsidRPr="0045431D">
        <w:rPr>
          <w:lang w:val="en-GB"/>
        </w:rPr>
        <w:t xml:space="preserve"> estimated at 4.65 </w:t>
      </w:r>
      <w:r w:rsidR="0039262D" w:rsidRPr="0045431D">
        <w:rPr>
          <w:rFonts w:cstheme="minorHAnsi"/>
          <w:lang w:val="en-GB"/>
        </w:rPr>
        <w:t>µ</w:t>
      </w:r>
      <w:r w:rsidR="0039262D" w:rsidRPr="0045431D">
        <w:rPr>
          <w:lang w:val="en-GB"/>
        </w:rPr>
        <w:t>M</w:t>
      </w:r>
      <w:r w:rsidR="00336BEB">
        <w:rPr>
          <w:lang w:val="en-GB"/>
        </w:rPr>
        <w:t xml:space="preserve"> </w:t>
      </w:r>
      <w:r w:rsidR="00C3113C">
        <w:rPr>
          <w:lang w:val="en-GB"/>
        </w:rPr>
        <w:fldChar w:fldCharType="begin"/>
      </w:r>
      <w:r w:rsidR="00E06C25">
        <w:rPr>
          <w:lang w:val="en-GB"/>
        </w:rPr>
        <w:instrText xml:space="preserve"> ADDIN EN.CITE &lt;EndNote&gt;&lt;Cite&gt;&lt;Author&gt;Arshad&lt;/Author&gt;&lt;Year&gt;2020&lt;/Year&gt;&lt;RecNum&gt;1151&lt;/RecNum&gt;&lt;DisplayText&gt;[14, 15]&lt;/DisplayText&gt;&lt;record&gt;&lt;rec-number&gt;1151&lt;/rec-number&gt;&lt;foreign-keys&gt;&lt;key app="EN" db-id="wdzsexa2pe2pzre5dwypew9grf9sxszaatt2" timestamp="1611767488"&gt;1151&lt;/key&gt;&lt;/foreign-keys&gt;&lt;ref-type name="Journal Article"&gt;17&lt;/ref-type&gt;&lt;contributors&gt;&lt;authors&gt;&lt;author&gt;Arshad, Usman&lt;/author&gt;&lt;author&gt;Pertinez, Henry&lt;/author&gt;&lt;author&gt;Box, Helen&lt;/author&gt;&lt;author&gt;Tatham, Lee&lt;/author&gt;&lt;author&gt;Rajoli, Rajith KR&lt;/author&gt;&lt;author&gt;Curley, Paul&lt;/author&gt;&lt;author&gt;Neary, Megan&lt;/author&gt;&lt;author&gt;Sharp, Joanne&lt;/author&gt;&lt;author&gt;Liptrott, Neill J&lt;/author&gt;&lt;author&gt;Valentijn, Anthony&lt;/author&gt;&lt;/authors&gt;&lt;/contributors&gt;&lt;titles&gt;&lt;title&gt;Prioritisation of potential anti-SARS-CoV-2 drug repurposing opportunities based on ability to achieve adequate target site concentrations derived from their established human pharmacokinetics&lt;/title&gt;&lt;secondary-title&gt;medRxiv&lt;/secondary-title&gt;&lt;/titles&gt;&lt;periodical&gt;&lt;full-title&gt;medRxiv&lt;/full-title&gt;&lt;/periodical&gt;&lt;dates&gt;&lt;year&gt;2020&lt;/year&gt;&lt;/dates&gt;&lt;urls&gt;&lt;/urls&gt;&lt;/record&gt;&lt;/Cite&gt;&lt;Cite&gt;&lt;Author&gt;Wang&lt;/Author&gt;&lt;Year&gt;2020&lt;/Year&gt;&lt;RecNum&gt;1159&lt;/RecNum&gt;&lt;record&gt;&lt;rec-number&gt;1159&lt;/rec-number&gt;&lt;foreign-keys&gt;&lt;key app="EN" db-id="09sztrdrjsd2r6e9x96psvsbrd9ate929dar" timestamp="1612635545"&gt;1159&lt;/key&gt;&lt;/foreign-keys&gt;&lt;ref-type name="Journal Article"&gt;17&lt;/ref-type&gt;&lt;contributors&gt;&lt;authors&gt;&lt;author&gt;Wang, Manli&lt;/author&gt;&lt;author&gt;Cao, Ruiyuan&lt;/author&gt;&lt;author&gt;Zhang, Leike&lt;/author&gt;&lt;author&gt;Yang, Xinglou&lt;/author&gt;&lt;author&gt;Liu, Jia&lt;/author&gt;&lt;author&gt;Xu, Mingyue&lt;/author&gt;&lt;author&gt;Shi, Zhengli&lt;/author&gt;&lt;author&gt;Hu, Zhihong&lt;/author&gt;&lt;author&gt;Zhong, Wu&lt;/author&gt;&lt;author&gt;Xiao, Gengfu&lt;/author&gt;&lt;/authors&gt;&lt;/contributors&gt;&lt;titles&gt;&lt;title&gt;Remdesivir and chloroquine effectively inhibit the recently emerged novel coronavirus (2019-nCoV) in vitro&lt;/title&gt;&lt;secondary-title&gt;Cell research&lt;/secondary-title&gt;&lt;/titles&gt;&lt;pages&gt;269-271&lt;/pages&gt;&lt;volume&gt;30&lt;/volume&gt;&lt;number&gt;3&lt;/number&gt;&lt;dates&gt;&lt;year&gt;2020&lt;/year&gt;&lt;/dates&gt;&lt;isbn&gt;1748-7838&lt;/isbn&gt;&lt;urls&gt;&lt;/urls&gt;&lt;/record&gt;&lt;/Cite&gt;&lt;/EndNote&gt;</w:instrText>
      </w:r>
      <w:r w:rsidR="00C3113C">
        <w:rPr>
          <w:lang w:val="en-GB"/>
        </w:rPr>
        <w:fldChar w:fldCharType="separate"/>
      </w:r>
      <w:r w:rsidR="00E05977">
        <w:rPr>
          <w:noProof/>
          <w:lang w:val="en-GB"/>
        </w:rPr>
        <w:t>[14, 15]</w:t>
      </w:r>
      <w:r w:rsidR="00C3113C">
        <w:rPr>
          <w:lang w:val="en-GB"/>
        </w:rPr>
        <w:fldChar w:fldCharType="end"/>
      </w:r>
      <w:r w:rsidR="00336BEB">
        <w:rPr>
          <w:lang w:val="en-GB"/>
        </w:rPr>
        <w:t>. Subsequently</w:t>
      </w:r>
      <w:r w:rsidR="0039262D" w:rsidRPr="0045431D">
        <w:rPr>
          <w:lang w:val="en-GB"/>
        </w:rPr>
        <w:t>, TIZ</w:t>
      </w:r>
      <w:r w:rsidR="00336BEB">
        <w:rPr>
          <w:lang w:val="en-GB"/>
        </w:rPr>
        <w:t xml:space="preserve"> was additionally confirmed to have antiviral activity with an</w:t>
      </w:r>
      <w:r w:rsidR="0039262D" w:rsidRPr="0045431D">
        <w:rPr>
          <w:lang w:val="en-GB"/>
        </w:rPr>
        <w:t xml:space="preserve"> EC</w:t>
      </w:r>
      <w:r w:rsidR="0039262D" w:rsidRPr="0045431D">
        <w:rPr>
          <w:vertAlign w:val="subscript"/>
          <w:lang w:val="en-GB"/>
        </w:rPr>
        <w:t>90</w:t>
      </w:r>
      <w:r w:rsidR="0039262D" w:rsidRPr="0045431D">
        <w:rPr>
          <w:lang w:val="en-GB"/>
        </w:rPr>
        <w:t xml:space="preserve"> 3.16</w:t>
      </w:r>
      <w:r w:rsidR="0039262D" w:rsidRPr="0045431D">
        <w:rPr>
          <w:rFonts w:cstheme="minorHAnsi"/>
          <w:lang w:val="en-GB"/>
        </w:rPr>
        <w:t xml:space="preserve"> µ</w:t>
      </w:r>
      <w:r w:rsidR="0039262D" w:rsidRPr="0045431D">
        <w:rPr>
          <w:lang w:val="en-GB"/>
        </w:rPr>
        <w:t xml:space="preserve">M under </w:t>
      </w:r>
      <w:r w:rsidR="00336BEB">
        <w:rPr>
          <w:lang w:val="en-GB"/>
        </w:rPr>
        <w:t>similar</w:t>
      </w:r>
      <w:r w:rsidR="0039262D" w:rsidRPr="0045431D">
        <w:rPr>
          <w:lang w:val="en-GB"/>
        </w:rPr>
        <w:t xml:space="preserve"> assay conditions </w:t>
      </w:r>
      <w:r w:rsidR="00C7025F" w:rsidRPr="0045431D">
        <w:rPr>
          <w:lang w:val="en-GB"/>
        </w:rPr>
        <w:fldChar w:fldCharType="begin"/>
      </w:r>
      <w:r w:rsidR="00E06C25">
        <w:rPr>
          <w:lang w:val="en-GB"/>
        </w:rPr>
        <w:instrText xml:space="preserve"> ADDIN EN.CITE &lt;EndNote&gt;&lt;Cite&gt;&lt;Author&gt;Stachulski&lt;/Author&gt;&lt;Year&gt;2020&lt;/Year&gt;&lt;RecNum&gt;1150&lt;/RecNum&gt;&lt;DisplayText&gt;[16]&lt;/DisplayText&gt;&lt;record&gt;&lt;rec-number&gt;1150&lt;/rec-number&gt;&lt;foreign-keys&gt;&lt;key app="EN" db-id="09sztrdrjsd2r6e9x96psvsbrd9ate929dar" timestamp="1611767454"&gt;1150&lt;/key&gt;&lt;/foreign-keys&gt;&lt;ref-type name="Journal Article"&gt;17&lt;/ref-type&gt;&lt;contributors&gt;&lt;authors&gt;&lt;author&gt;Stachulski, Andrew V&lt;/author&gt;&lt;author&gt;Taujanskas, Joshua&lt;/author&gt;&lt;author&gt;Pate, Sophie L&lt;/author&gt;&lt;author&gt;Rajoli, Rajith KR&lt;/author&gt;&lt;author&gt;Aljayyoussi, Ghaith&lt;/author&gt;&lt;author&gt;Pennington, Shaun H&lt;/author&gt;&lt;author&gt;Ward, Stephen A&lt;/author&gt;&lt;author&gt;Hong, Weiqian David&lt;/author&gt;&lt;author&gt;Biagini, Giancarlo A&lt;/author&gt;&lt;author&gt;Owen, Andrew&lt;/author&gt;&lt;/authors&gt;&lt;/contributors&gt;&lt;titles&gt;&lt;title&gt;Therapeutic Potential of Nitazoxanide: An Appropriate Choice for Repurposing versus SARS-CoV-2?&lt;/title&gt;&lt;secondary-title&gt;ACS infectious diseases&lt;/secondary-title&gt;&lt;/titles&gt;&lt;dates&gt;&lt;year&gt;2020&lt;/year&gt;&lt;/dates&gt;&lt;isbn&gt;2373-8227&lt;/isbn&gt;&lt;urls&gt;&lt;/urls&gt;&lt;/record&gt;&lt;/Cite&gt;&lt;/EndNote&gt;</w:instrText>
      </w:r>
      <w:r w:rsidR="00C7025F" w:rsidRPr="0045431D">
        <w:rPr>
          <w:lang w:val="en-GB"/>
        </w:rPr>
        <w:fldChar w:fldCharType="separate"/>
      </w:r>
      <w:r w:rsidR="00E05977">
        <w:rPr>
          <w:noProof/>
          <w:lang w:val="en-GB"/>
        </w:rPr>
        <w:t>[16]</w:t>
      </w:r>
      <w:r w:rsidR="00C7025F" w:rsidRPr="0045431D">
        <w:rPr>
          <w:lang w:val="en-GB"/>
        </w:rPr>
        <w:fldChar w:fldCharType="end"/>
      </w:r>
      <w:r w:rsidR="0039262D" w:rsidRPr="0045431D">
        <w:rPr>
          <w:lang w:val="en-GB"/>
        </w:rPr>
        <w:t xml:space="preserve">. </w:t>
      </w:r>
      <w:r w:rsidR="00336BEB">
        <w:rPr>
          <w:lang w:val="en-GB"/>
        </w:rPr>
        <w:t xml:space="preserve">Unlike many other candidates </w:t>
      </w:r>
      <w:r w:rsidR="00E64F07">
        <w:rPr>
          <w:lang w:val="en-GB"/>
        </w:rPr>
        <w:t>which have been</w:t>
      </w:r>
      <w:r w:rsidR="00336BEB">
        <w:rPr>
          <w:lang w:val="en-GB"/>
        </w:rPr>
        <w:t xml:space="preserve"> investigated</w:t>
      </w:r>
      <w:r w:rsidR="00C7025F" w:rsidRPr="0045431D">
        <w:rPr>
          <w:lang w:val="en-GB"/>
        </w:rPr>
        <w:t xml:space="preserve">, </w:t>
      </w:r>
      <w:r w:rsidR="00336BEB">
        <w:rPr>
          <w:lang w:val="en-GB"/>
        </w:rPr>
        <w:t xml:space="preserve">TIZ plasma concentration achieve antiviral levels after administration of the approved dose </w:t>
      </w:r>
      <w:r w:rsidR="00C7025F" w:rsidRPr="0045431D">
        <w:rPr>
          <w:lang w:val="en-GB"/>
        </w:rPr>
        <w:fldChar w:fldCharType="begin"/>
      </w:r>
      <w:r w:rsidR="00E05977">
        <w:rPr>
          <w:lang w:val="en-GB"/>
        </w:rPr>
        <w:instrText xml:space="preserve"> ADDIN EN.CITE &lt;EndNote&gt;&lt;Cite&gt;&lt;Author&gt;Arshad&lt;/Author&gt;&lt;Year&gt;2020&lt;/Year&gt;&lt;RecNum&gt;19&lt;/RecNum&gt;&lt;DisplayText&gt;[14]&lt;/DisplayText&gt;&lt;record&gt;&lt;rec-number&gt;19&lt;/rec-number&gt;&lt;foreign-keys&gt;&lt;key app="EN" db-id="9tzxpps0ie05dde0af9x0d220paepv0xxvpa" timestamp="1612002706"&gt;19&lt;/key&gt;&lt;/foreign-keys&gt;&lt;ref-type name="Journal Article"&gt;17&lt;/ref-type&gt;&lt;contributors&gt;&lt;authors&gt;&lt;author&gt;Arshad, Usman&lt;/author&gt;&lt;author&gt;Pertinez, Henry&lt;/author&gt;&lt;author&gt;Box, Helen&lt;/author&gt;&lt;author&gt;Tatham, Lee&lt;/author&gt;&lt;author&gt;Rajoli, Rajith KR&lt;/author&gt;&lt;author&gt;Curley, Paul&lt;/author&gt;&lt;author&gt;Neary, Megan&lt;/author&gt;&lt;author&gt;Sharp, Joanne&lt;/author&gt;&lt;author&gt;Liptrott, Neill J&lt;/author&gt;&lt;author&gt;Valentijn, Anthony&lt;/author&gt;&lt;/authors&gt;&lt;/contributors&gt;&lt;titles&gt;&lt;title&gt;Prioritisation of potential anti-SARS-CoV-2 drug repurposing opportunities based on ability to achieve adequate target site concentrations derived from their established human pharmacokinetics&lt;/title&gt;&lt;secondary-title&gt;medRxiv&lt;/secondary-title&gt;&lt;/titles&gt;&lt;periodical&gt;&lt;full-title&gt;medRxiv&lt;/full-title&gt;&lt;/periodical&gt;&lt;dates&gt;&lt;year&gt;2020&lt;/year&gt;&lt;/dates&gt;&lt;urls&gt;&lt;/urls&gt;&lt;/record&gt;&lt;/Cite&gt;&lt;/EndNote&gt;</w:instrText>
      </w:r>
      <w:r w:rsidR="00C7025F" w:rsidRPr="0045431D">
        <w:rPr>
          <w:lang w:val="en-GB"/>
        </w:rPr>
        <w:fldChar w:fldCharType="separate"/>
      </w:r>
      <w:r w:rsidR="00E05977">
        <w:rPr>
          <w:noProof/>
          <w:lang w:val="en-GB"/>
        </w:rPr>
        <w:t>[14]</w:t>
      </w:r>
      <w:r w:rsidR="00C7025F" w:rsidRPr="0045431D">
        <w:rPr>
          <w:lang w:val="en-GB"/>
        </w:rPr>
        <w:fldChar w:fldCharType="end"/>
      </w:r>
      <w:r w:rsidR="00C7025F" w:rsidRPr="0045431D">
        <w:rPr>
          <w:lang w:val="en-GB"/>
        </w:rPr>
        <w:t>,</w:t>
      </w:r>
      <w:r w:rsidR="009B3569">
        <w:rPr>
          <w:lang w:val="en-GB"/>
        </w:rPr>
        <w:t xml:space="preserve"> </w:t>
      </w:r>
      <w:r w:rsidR="00336BEB">
        <w:rPr>
          <w:lang w:val="en-GB"/>
        </w:rPr>
        <w:t xml:space="preserve">although higher doses are expected to be needed to maintain these concentrations across the dosing interval in the majority of patients </w:t>
      </w:r>
      <w:r w:rsidR="00F91449">
        <w:rPr>
          <w:lang w:val="en-GB"/>
        </w:rPr>
        <w:fldChar w:fldCharType="begin"/>
      </w:r>
      <w:r w:rsidR="00E06C25">
        <w:rPr>
          <w:lang w:val="en-GB"/>
        </w:rPr>
        <w:instrText xml:space="preserve"> ADDIN EN.CITE &lt;EndNote&gt;&lt;Cite&gt;&lt;Author&gt;Rajoli&lt;/Author&gt;&lt;Year&gt;2020&lt;/Year&gt;&lt;RecNum&gt;1142&lt;/RecNum&gt;&lt;DisplayText&gt;[17]&lt;/DisplayText&gt;&lt;record&gt;&lt;rec-number&gt;1142&lt;/rec-number&gt;&lt;foreign-keys&gt;&lt;key app="EN" db-id="09sztrdrjsd2r6e9x96psvsbrd9ate929dar" timestamp="1611752125"&gt;1142&lt;/key&gt;&lt;/foreign-keys&gt;&lt;ref-type name="Journal Article"&gt;17&lt;/ref-type&gt;&lt;contributors&gt;&lt;authors&gt;&lt;author&gt;Rajoli, Rajith KR&lt;/author&gt;&lt;author&gt;Pertinez, Henry&lt;/author&gt;&lt;author&gt;Arshad, Usman&lt;/author&gt;&lt;author&gt;Box, Helen&lt;/author&gt;&lt;author&gt;Tatham, Lee&lt;/author&gt;&lt;author&gt;Curley, Paul&lt;/author&gt;&lt;author&gt;Neary, Megan&lt;/author&gt;&lt;author&gt;Sharp, Joanne&lt;/author&gt;&lt;author&gt;Liptrott, Neill J&lt;/author&gt;&lt;author&gt;Valentijn, Anthony&lt;/author&gt;&lt;/authors&gt;&lt;/contributors&gt;&lt;titles&gt;&lt;title&gt;Dose prediction for repurposing nitazoxanide in SARS‐CoV‐2 treatment or chemoprophylaxis&lt;/title&gt;&lt;secondary-title&gt;British Journal of Clinical Pharmacology&lt;/secondary-title&gt;&lt;/titles&gt;&lt;periodical&gt;&lt;full-title&gt;British journal of clinical pharmacology&lt;/full-title&gt;&lt;/periodical&gt;&lt;dates&gt;&lt;year&gt;2020&lt;/year&gt;&lt;/dates&gt;&lt;isbn&gt;0306-5251&lt;/isbn&gt;&lt;urls&gt;&lt;/urls&gt;&lt;/record&gt;&lt;/Cite&gt;&lt;/EndNote&gt;</w:instrText>
      </w:r>
      <w:r w:rsidR="00F91449">
        <w:rPr>
          <w:lang w:val="en-GB"/>
        </w:rPr>
        <w:fldChar w:fldCharType="separate"/>
      </w:r>
      <w:r w:rsidR="00E05977">
        <w:rPr>
          <w:noProof/>
          <w:lang w:val="en-GB"/>
        </w:rPr>
        <w:t>[17]</w:t>
      </w:r>
      <w:r w:rsidR="00F91449">
        <w:rPr>
          <w:lang w:val="en-GB"/>
        </w:rPr>
        <w:fldChar w:fldCharType="end"/>
      </w:r>
      <w:r w:rsidR="00336BEB">
        <w:rPr>
          <w:lang w:val="en-GB"/>
        </w:rPr>
        <w:t>.</w:t>
      </w:r>
      <w:r w:rsidR="00C7025F" w:rsidRPr="0045431D">
        <w:rPr>
          <w:lang w:val="en-GB"/>
        </w:rPr>
        <w:t xml:space="preserve"> </w:t>
      </w:r>
      <w:r w:rsidR="00336BEB">
        <w:rPr>
          <w:lang w:val="en-GB"/>
        </w:rPr>
        <w:t>Several</w:t>
      </w:r>
      <w:r w:rsidRPr="0045431D">
        <w:rPr>
          <w:lang w:val="en-GB"/>
        </w:rPr>
        <w:t xml:space="preserve"> </w:t>
      </w:r>
      <w:r w:rsidR="00D35966" w:rsidRPr="0045431D">
        <w:rPr>
          <w:lang w:val="en-GB"/>
        </w:rPr>
        <w:t xml:space="preserve">mechanisms of action </w:t>
      </w:r>
      <w:r w:rsidR="007F7493" w:rsidRPr="0045431D">
        <w:rPr>
          <w:lang w:val="en-GB"/>
        </w:rPr>
        <w:t>for</w:t>
      </w:r>
      <w:r w:rsidR="00D35966" w:rsidRPr="0045431D">
        <w:rPr>
          <w:lang w:val="en-GB"/>
        </w:rPr>
        <w:t xml:space="preserve"> NTZ against</w:t>
      </w:r>
      <w:r w:rsidRPr="0045431D">
        <w:rPr>
          <w:lang w:val="en-GB"/>
        </w:rPr>
        <w:t xml:space="preserve"> </w:t>
      </w:r>
      <w:r w:rsidR="00D35966" w:rsidRPr="0045431D">
        <w:rPr>
          <w:lang w:val="en-GB"/>
        </w:rPr>
        <w:t>SARS-CoV-2</w:t>
      </w:r>
      <w:r w:rsidR="00336BEB">
        <w:rPr>
          <w:lang w:val="en-GB"/>
        </w:rPr>
        <w:t xml:space="preserve"> have been proposed and are summarised by </w:t>
      </w:r>
      <w:proofErr w:type="spellStart"/>
      <w:r w:rsidR="00D35966" w:rsidRPr="0045431D">
        <w:rPr>
          <w:lang w:val="en-GB"/>
        </w:rPr>
        <w:t>Lokhande</w:t>
      </w:r>
      <w:proofErr w:type="spellEnd"/>
      <w:r w:rsidR="00D35966" w:rsidRPr="0045431D">
        <w:rPr>
          <w:lang w:val="en-GB"/>
        </w:rPr>
        <w:t xml:space="preserve"> </w:t>
      </w:r>
      <w:r w:rsidR="00D35966" w:rsidRPr="0045431D">
        <w:rPr>
          <w:i/>
          <w:lang w:val="en-GB"/>
        </w:rPr>
        <w:t>et al.</w:t>
      </w:r>
      <w:r w:rsidR="00D35966" w:rsidRPr="0045431D">
        <w:rPr>
          <w:lang w:val="en-GB"/>
        </w:rPr>
        <w:t xml:space="preserve"> </w:t>
      </w:r>
      <w:r w:rsidR="00D35966" w:rsidRPr="0045431D">
        <w:rPr>
          <w:lang w:val="en-GB"/>
        </w:rPr>
        <w:fldChar w:fldCharType="begin"/>
      </w:r>
      <w:r w:rsidR="00E05977">
        <w:rPr>
          <w:lang w:val="en-GB"/>
        </w:rPr>
        <w:instrText xml:space="preserve"> ADDIN EN.CITE &lt;EndNote&gt;&lt;Cite&gt;&lt;Author&gt;Lokhande&lt;/Author&gt;&lt;Year&gt;2020&lt;/Year&gt;&lt;RecNum&gt;14&lt;/RecNum&gt;&lt;DisplayText&gt;[18]&lt;/DisplayText&gt;&lt;record&gt;&lt;rec-number&gt;14&lt;/rec-number&gt;&lt;foreign-keys&gt;&lt;key app="EN" db-id="9tzxpps0ie05dde0af9x0d220paepv0xxvpa" timestamp="1612002706"&gt;14&lt;/key&gt;&lt;/foreign-keys&gt;&lt;ref-type name="Journal Article"&gt;17&lt;/ref-type&gt;&lt;contributors&gt;&lt;authors&gt;&lt;author&gt;Lokhande, Amit S&lt;/author&gt;&lt;author&gt;Devarajan, Padma V&lt;/author&gt;&lt;/authors&gt;&lt;/contributors&gt;&lt;titles&gt;&lt;title&gt;A review on possible mechanistic insights of Nitazoxanide for repurposing in COVID-19&lt;/title&gt;&lt;secondary-title&gt;European Journal of Pharmacology&lt;/secondary-title&gt;&lt;/titles&gt;&lt;periodical&gt;&lt;full-title&gt;European Journal of Pharmacology&lt;/full-title&gt;&lt;/periodical&gt;&lt;pages&gt;173748&lt;/pages&gt;&lt;dates&gt;&lt;year&gt;2020&lt;/year&gt;&lt;/dates&gt;&lt;isbn&gt;0014-2999&lt;/isbn&gt;&lt;urls&gt;&lt;/urls&gt;&lt;/record&gt;&lt;/Cite&gt;&lt;/EndNote&gt;</w:instrText>
      </w:r>
      <w:r w:rsidR="00D35966" w:rsidRPr="0045431D">
        <w:rPr>
          <w:lang w:val="en-GB"/>
        </w:rPr>
        <w:fldChar w:fldCharType="separate"/>
      </w:r>
      <w:r w:rsidR="00E05977">
        <w:rPr>
          <w:noProof/>
          <w:lang w:val="en-GB"/>
        </w:rPr>
        <w:t>[18]</w:t>
      </w:r>
      <w:r w:rsidR="00D35966" w:rsidRPr="0045431D">
        <w:rPr>
          <w:lang w:val="en-GB"/>
        </w:rPr>
        <w:fldChar w:fldCharType="end"/>
      </w:r>
      <w:r w:rsidR="00871556" w:rsidRPr="0045431D">
        <w:rPr>
          <w:lang w:val="en-GB"/>
        </w:rPr>
        <w:t>.</w:t>
      </w:r>
      <w:r w:rsidR="009B3569">
        <w:rPr>
          <w:lang w:val="en-GB"/>
        </w:rPr>
        <w:t xml:space="preserve"> </w:t>
      </w:r>
      <w:r w:rsidR="00336BEB">
        <w:rPr>
          <w:lang w:val="en-GB"/>
        </w:rPr>
        <w:t>NTZ</w:t>
      </w:r>
      <w:r w:rsidR="005F2CDD" w:rsidRPr="0045431D">
        <w:rPr>
          <w:lang w:val="en-GB"/>
        </w:rPr>
        <w:t xml:space="preserve"> has </w:t>
      </w:r>
      <w:r w:rsidR="00B94FDC" w:rsidRPr="0045431D">
        <w:rPr>
          <w:lang w:val="en-GB"/>
        </w:rPr>
        <w:t xml:space="preserve">previously </w:t>
      </w:r>
      <w:r w:rsidR="005F2CDD" w:rsidRPr="0045431D">
        <w:rPr>
          <w:lang w:val="en-GB"/>
        </w:rPr>
        <w:t xml:space="preserve">been demonstrated </w:t>
      </w:r>
      <w:r w:rsidR="00336BEB">
        <w:rPr>
          <w:lang w:val="en-GB"/>
        </w:rPr>
        <w:t>to</w:t>
      </w:r>
      <w:r w:rsidR="005F2CDD" w:rsidRPr="0045431D">
        <w:rPr>
          <w:lang w:val="en-GB"/>
        </w:rPr>
        <w:t xml:space="preserve"> inhibit production of pro-inflammatory cytokines and interleukin-6 in peripheral blood mononuclear cells</w:t>
      </w:r>
      <w:r w:rsidR="00BD5BD1">
        <w:rPr>
          <w:lang w:val="en-GB"/>
        </w:rPr>
        <w:t xml:space="preserve"> </w:t>
      </w:r>
      <w:r w:rsidR="00BD5BD1" w:rsidRPr="0089571C">
        <w:rPr>
          <w:i/>
          <w:iCs/>
          <w:lang w:val="en-GB"/>
        </w:rPr>
        <w:t>in vitro</w:t>
      </w:r>
      <w:r w:rsidR="00871556" w:rsidRPr="0045431D">
        <w:rPr>
          <w:lang w:val="en-GB"/>
        </w:rPr>
        <w:t xml:space="preserve"> </w:t>
      </w:r>
      <w:r w:rsidR="00751B87" w:rsidRPr="0045431D">
        <w:rPr>
          <w:lang w:val="en-GB"/>
        </w:rPr>
        <w:fldChar w:fldCharType="begin"/>
      </w:r>
      <w:r w:rsidR="00E06C25">
        <w:rPr>
          <w:lang w:val="en-GB"/>
        </w:rPr>
        <w:instrText xml:space="preserve"> ADDIN EN.CITE &lt;EndNote&gt;&lt;Cite&gt;&lt;Author&gt;Clerici&lt;/Author&gt;&lt;Year&gt;2011&lt;/Year&gt;&lt;RecNum&gt;1147&lt;/RecNum&gt;&lt;DisplayText&gt;[19]&lt;/DisplayText&gt;&lt;record&gt;&lt;rec-number&gt;1147&lt;/rec-number&gt;&lt;foreign-keys&gt;&lt;key app="EN" db-id="09sztrdrjsd2r6e9x96psvsbrd9ate929dar" timestamp="1611752514"&gt;1147&lt;/key&gt;&lt;/foreign-keys&gt;&lt;ref-type name="Generic"&gt;13&lt;/ref-type&gt;&lt;contributors&gt;&lt;authors&gt;&lt;author&gt;Clerici, Mario&lt;/author&gt;&lt;author&gt;Trabattoni, Daria&lt;/author&gt;&lt;author&gt;Pacei, Michela&lt;/author&gt;&lt;author&gt;Biasin, Mara&lt;/author&gt;&lt;author&gt;Rossignol, Jean-Francois&lt;/author&gt;&lt;/authors&gt;&lt;/contributors&gt;&lt;titles&gt;&lt;title&gt;The anti-infective Nitazoxanide shows strong immumodulating effects (155.21)&lt;/title&gt;&lt;/titles&gt;&lt;dates&gt;&lt;year&gt;2011&lt;/year&gt;&lt;/dates&gt;&lt;publisher&gt;Am Assoc Immnol&lt;/publisher&gt;&lt;isbn&gt;0022-1767&lt;/isbn&gt;&lt;urls&gt;&lt;/urls&gt;&lt;/record&gt;&lt;/Cite&gt;&lt;/EndNote&gt;</w:instrText>
      </w:r>
      <w:r w:rsidR="00751B87" w:rsidRPr="0045431D">
        <w:rPr>
          <w:lang w:val="en-GB"/>
        </w:rPr>
        <w:fldChar w:fldCharType="separate"/>
      </w:r>
      <w:r w:rsidR="00E05977">
        <w:rPr>
          <w:noProof/>
          <w:lang w:val="en-GB"/>
        </w:rPr>
        <w:t>[19]</w:t>
      </w:r>
      <w:r w:rsidR="00751B87" w:rsidRPr="0045431D">
        <w:rPr>
          <w:lang w:val="en-GB"/>
        </w:rPr>
        <w:fldChar w:fldCharType="end"/>
      </w:r>
      <w:r w:rsidR="00871556" w:rsidRPr="0045431D">
        <w:rPr>
          <w:lang w:val="en-GB"/>
        </w:rPr>
        <w:t>,</w:t>
      </w:r>
      <w:r w:rsidR="005F2CDD" w:rsidRPr="0045431D">
        <w:rPr>
          <w:lang w:val="en-GB"/>
        </w:rPr>
        <w:t xml:space="preserve"> and reduce interleukin-6 plasma levels in mice </w:t>
      </w:r>
      <w:r w:rsidRPr="0045431D">
        <w:rPr>
          <w:lang w:val="en-GB"/>
        </w:rPr>
        <w:fldChar w:fldCharType="begin"/>
      </w:r>
      <w:r w:rsidR="00E06C25">
        <w:rPr>
          <w:lang w:val="en-GB"/>
        </w:rPr>
        <w:instrText xml:space="preserve"> ADDIN EN.CITE &lt;EndNote&gt;&lt;Cite&gt;&lt;Author&gt;Hong&lt;/Author&gt;&lt;Year&gt;2012&lt;/Year&gt;&lt;RecNum&gt;1140&lt;/RecNum&gt;&lt;DisplayText&gt;[20]&lt;/DisplayText&gt;&lt;record&gt;&lt;rec-number&gt;1140&lt;/rec-number&gt;&lt;foreign-keys&gt;&lt;key app="EN" db-id="09sztrdrjsd2r6e9x96psvsbrd9ate929dar" timestamp="1611751663"&gt;1140&lt;/key&gt;&lt;/foreign-keys&gt;&lt;ref-type name="Journal Article"&gt;17&lt;/ref-type&gt;&lt;contributors&gt;&lt;authors&gt;&lt;author&gt;Hong, Seong Keun&lt;/author&gt;&lt;author&gt;Kim, Hee Joo&lt;/author&gt;&lt;author&gt;Song, Chang Seon&lt;/author&gt;&lt;author&gt;Choi, In Soo&lt;/author&gt;&lt;author&gt;Lee, Joong Bok&lt;/author&gt;&lt;author&gt;Park, Seung Yong&lt;/author&gt;&lt;/authors&gt;&lt;/contributors&gt;&lt;titles&gt;&lt;title&gt;Nitazoxanide suppresses IL-6 production in LPS-stimulated mouse macrophages and TG-injected mice&lt;/title&gt;&lt;secondary-title&gt;International immunopharmacology&lt;/secondary-title&gt;&lt;/titles&gt;&lt;pages&gt;23-27&lt;/pages&gt;&lt;volume&gt;13&lt;/volume&gt;&lt;number&gt;1&lt;/number&gt;&lt;dates&gt;&lt;year&gt;2012&lt;/year&gt;&lt;/dates&gt;&lt;isbn&gt;1567-5769&lt;/isbn&gt;&lt;urls&gt;&lt;/urls&gt;&lt;/record&gt;&lt;/Cite&gt;&lt;/EndNote&gt;</w:instrText>
      </w:r>
      <w:r w:rsidRPr="0045431D">
        <w:rPr>
          <w:lang w:val="en-GB"/>
        </w:rPr>
        <w:fldChar w:fldCharType="separate"/>
      </w:r>
      <w:r w:rsidR="00E05977">
        <w:rPr>
          <w:noProof/>
          <w:lang w:val="en-GB"/>
        </w:rPr>
        <w:t>[20]</w:t>
      </w:r>
      <w:r w:rsidRPr="0045431D">
        <w:rPr>
          <w:lang w:val="en-GB"/>
        </w:rPr>
        <w:fldChar w:fldCharType="end"/>
      </w:r>
      <w:r w:rsidR="00871556" w:rsidRPr="0045431D">
        <w:rPr>
          <w:lang w:val="en-GB"/>
        </w:rPr>
        <w:t>.</w:t>
      </w:r>
      <w:r w:rsidRPr="0045431D">
        <w:rPr>
          <w:lang w:val="en-GB"/>
        </w:rPr>
        <w:t xml:space="preserve"> </w:t>
      </w:r>
      <w:r w:rsidR="000924F5" w:rsidRPr="0045431D">
        <w:rPr>
          <w:lang w:val="en-GB"/>
        </w:rPr>
        <w:t>It has been hypothesi</w:t>
      </w:r>
      <w:r w:rsidR="00D35966" w:rsidRPr="0045431D">
        <w:rPr>
          <w:lang w:val="en-GB"/>
        </w:rPr>
        <w:t>s</w:t>
      </w:r>
      <w:r w:rsidR="000924F5" w:rsidRPr="0045431D">
        <w:rPr>
          <w:lang w:val="en-GB"/>
        </w:rPr>
        <w:t>ed that t</w:t>
      </w:r>
      <w:r w:rsidRPr="0045431D">
        <w:rPr>
          <w:lang w:val="en-GB"/>
        </w:rPr>
        <w:t xml:space="preserve">his may </w:t>
      </w:r>
      <w:r w:rsidR="000924F5" w:rsidRPr="0045431D">
        <w:rPr>
          <w:lang w:val="en-GB"/>
        </w:rPr>
        <w:t>assist</w:t>
      </w:r>
      <w:r w:rsidRPr="0045431D">
        <w:rPr>
          <w:lang w:val="en-GB"/>
        </w:rPr>
        <w:t xml:space="preserve"> host anti-inflammatory responses during SARS-CoV-2 disease progression and </w:t>
      </w:r>
      <w:r w:rsidR="000924F5" w:rsidRPr="0045431D">
        <w:rPr>
          <w:lang w:val="en-GB"/>
        </w:rPr>
        <w:t xml:space="preserve">thus </w:t>
      </w:r>
      <w:r w:rsidRPr="0045431D">
        <w:rPr>
          <w:lang w:val="en-GB"/>
        </w:rPr>
        <w:t>les</w:t>
      </w:r>
      <w:r w:rsidR="000924F5" w:rsidRPr="0045431D">
        <w:rPr>
          <w:lang w:val="en-GB"/>
        </w:rPr>
        <w:t>sen</w:t>
      </w:r>
      <w:r w:rsidRPr="0045431D">
        <w:rPr>
          <w:lang w:val="en-GB"/>
        </w:rPr>
        <w:t xml:space="preserve"> </w:t>
      </w:r>
      <w:r w:rsidR="00D35966" w:rsidRPr="0045431D">
        <w:rPr>
          <w:lang w:val="en-GB"/>
        </w:rPr>
        <w:t xml:space="preserve">the SARS-CoV-2 </w:t>
      </w:r>
      <w:r w:rsidRPr="0045431D">
        <w:rPr>
          <w:lang w:val="en-GB"/>
        </w:rPr>
        <w:t xml:space="preserve">cytokine storm </w:t>
      </w:r>
      <w:r w:rsidR="00D35966" w:rsidRPr="0045431D">
        <w:rPr>
          <w:lang w:val="en-GB"/>
        </w:rPr>
        <w:fldChar w:fldCharType="begin"/>
      </w:r>
      <w:r w:rsidR="00E05977">
        <w:rPr>
          <w:lang w:val="en-GB"/>
        </w:rPr>
        <w:instrText xml:space="preserve"> ADDIN EN.CITE &lt;EndNote&gt;&lt;Cite&gt;&lt;Author&gt;Lokhande&lt;/Author&gt;&lt;Year&gt;2020&lt;/Year&gt;&lt;RecNum&gt;14&lt;/RecNum&gt;&lt;DisplayText&gt;[9, 18]&lt;/DisplayText&gt;&lt;record&gt;&lt;rec-number&gt;14&lt;/rec-number&gt;&lt;foreign-keys&gt;&lt;key app="EN" db-id="9tzxpps0ie05dde0af9x0d220paepv0xxvpa" timestamp="1612002706"&gt;14&lt;/key&gt;&lt;/foreign-keys&gt;&lt;ref-type name="Journal Article"&gt;17&lt;/ref-type&gt;&lt;contributors&gt;&lt;authors&gt;&lt;author&gt;Lokhande, Amit S&lt;/author&gt;&lt;author&gt;Devarajan, Padma V&lt;/author&gt;&lt;/authors&gt;&lt;/contributors&gt;&lt;titles&gt;&lt;title&gt;A review on possible mechanistic insights of Nitazoxanide for repurposing in COVID-19&lt;/title&gt;&lt;secondary-title&gt;European Journal of Pharmacology&lt;/secondary-title&gt;&lt;/titles&gt;&lt;periodical&gt;&lt;full-title&gt;European Journal of Pharmacology&lt;/full-title&gt;&lt;/periodical&gt;&lt;pages&gt;173748&lt;/pages&gt;&lt;dates&gt;&lt;year&gt;2020&lt;/year&gt;&lt;/dates&gt;&lt;isbn&gt;0014-2999&lt;/isbn&gt;&lt;urls&gt;&lt;/urls&gt;&lt;/record&gt;&lt;/Cite&gt;&lt;Cite&gt;&lt;Author&gt;Mahmoud&lt;/Author&gt;&lt;Year&gt;2020&lt;/Year&gt;&lt;RecNum&gt;9&lt;/RecNum&gt;&lt;record&gt;&lt;rec-number&gt;9&lt;/rec-number&gt;&lt;foreign-keys&gt;&lt;key app="EN" db-id="9tzxpps0ie05dde0af9x0d220paepv0xxvpa" timestamp="1612002706"&gt;9&lt;/key&gt;&lt;/foreign-keys&gt;&lt;ref-type name="Journal Article"&gt;17&lt;/ref-type&gt;&lt;contributors&gt;&lt;authors&gt;&lt;author&gt;Mahmoud, Dina B&lt;/author&gt;&lt;author&gt;Shitu, Zayyanu&lt;/author&gt;&lt;author&gt;Mostafa, Ahmed&lt;/author&gt;&lt;/authors&gt;&lt;/contributors&gt;&lt;titles&gt;&lt;title&gt;Drug repurposing of nitazoxanide: can it be an effective therapy for COVID-19?&lt;/title&gt;&lt;secondary-title&gt;Journal of Genetic Engineering and Biotechnology&lt;/secondary-title&gt;&lt;/titles&gt;&lt;periodical&gt;&lt;full-title&gt;Journal of Genetic Engineering and Biotechnology&lt;/full-title&gt;&lt;/periodical&gt;&lt;pages&gt;1-10&lt;/pages&gt;&lt;volume&gt;18&lt;/volume&gt;&lt;number&gt;1&lt;/number&gt;&lt;dates&gt;&lt;year&gt;2020&lt;/year&gt;&lt;/dates&gt;&lt;isbn&gt;2090-5920&lt;/isbn&gt;&lt;urls&gt;&lt;/urls&gt;&lt;/record&gt;&lt;/Cite&gt;&lt;/EndNote&gt;</w:instrText>
      </w:r>
      <w:r w:rsidR="00D35966" w:rsidRPr="0045431D">
        <w:rPr>
          <w:lang w:val="en-GB"/>
        </w:rPr>
        <w:fldChar w:fldCharType="separate"/>
      </w:r>
      <w:r w:rsidR="00E05977">
        <w:rPr>
          <w:noProof/>
          <w:lang w:val="en-GB"/>
        </w:rPr>
        <w:t>[9, 18]</w:t>
      </w:r>
      <w:r w:rsidR="00D35966" w:rsidRPr="0045431D">
        <w:rPr>
          <w:lang w:val="en-GB"/>
        </w:rPr>
        <w:fldChar w:fldCharType="end"/>
      </w:r>
      <w:r w:rsidR="00871556" w:rsidRPr="0045431D">
        <w:rPr>
          <w:lang w:val="en-GB"/>
        </w:rPr>
        <w:t>.</w:t>
      </w:r>
      <w:r w:rsidR="007F7493" w:rsidRPr="0045431D">
        <w:rPr>
          <w:lang w:val="en-GB"/>
        </w:rPr>
        <w:t xml:space="preserve"> </w:t>
      </w:r>
    </w:p>
    <w:p w14:paraId="1C5E9FFB" w14:textId="665C009E" w:rsidR="00E06C25" w:rsidRDefault="0099133B" w:rsidP="0045431D">
      <w:pPr>
        <w:spacing w:line="360" w:lineRule="auto"/>
        <w:jc w:val="both"/>
        <w:rPr>
          <w:lang w:val="en-GB"/>
        </w:rPr>
      </w:pPr>
      <w:r w:rsidRPr="0045431D">
        <w:rPr>
          <w:lang w:val="en-GB"/>
        </w:rPr>
        <w:t>Research</w:t>
      </w:r>
      <w:r w:rsidR="007F7493" w:rsidRPr="0045431D">
        <w:rPr>
          <w:lang w:val="en-GB"/>
        </w:rPr>
        <w:t xml:space="preserve"> </w:t>
      </w:r>
      <w:r w:rsidRPr="0045431D">
        <w:rPr>
          <w:lang w:val="en-GB"/>
        </w:rPr>
        <w:t>i</w:t>
      </w:r>
      <w:r w:rsidR="007F7493" w:rsidRPr="0045431D">
        <w:rPr>
          <w:lang w:val="en-GB"/>
        </w:rPr>
        <w:t>nto the suitability of NTZ as a treatment for SARS-CoV-2</w:t>
      </w:r>
      <w:r w:rsidRPr="0045431D">
        <w:rPr>
          <w:lang w:val="en-GB"/>
        </w:rPr>
        <w:t xml:space="preserve"> includes</w:t>
      </w:r>
      <w:r w:rsidR="007E17DF" w:rsidRPr="0045431D">
        <w:rPr>
          <w:lang w:val="en-GB"/>
        </w:rPr>
        <w:t xml:space="preserve"> dose optimis</w:t>
      </w:r>
      <w:r w:rsidR="007F7493" w:rsidRPr="0045431D">
        <w:rPr>
          <w:lang w:val="en-GB"/>
        </w:rPr>
        <w:t xml:space="preserve">ation, tolerability and drug-interaction studies </w:t>
      </w:r>
      <w:r w:rsidRPr="0045431D">
        <w:rPr>
          <w:lang w:val="en-GB"/>
        </w:rPr>
        <w:fldChar w:fldCharType="begin"/>
      </w:r>
      <w:r w:rsidR="00E06C25">
        <w:rPr>
          <w:lang w:val="en-GB"/>
        </w:rPr>
        <w:instrText xml:space="preserve"> ADDIN EN.CITE &lt;EndNote&gt;&lt;Cite&gt;&lt;Author&gt;Rajoli&lt;/Author&gt;&lt;Year&gt;2020&lt;/Year&gt;&lt;RecNum&gt;1142&lt;/RecNum&gt;&lt;DisplayText&gt;[17, 21]&lt;/DisplayText&gt;&lt;record&gt;&lt;rec-number&gt;1142&lt;/rec-number&gt;&lt;foreign-keys&gt;&lt;key app="EN" db-id="09sztrdrjsd2r6e9x96psvsbrd9ate929dar" timestamp="1611752125"&gt;1142&lt;/key&gt;&lt;/foreign-keys&gt;&lt;ref-type name="Journal Article"&gt;17&lt;/ref-type&gt;&lt;contributors&gt;&lt;authors&gt;&lt;author&gt;Rajoli, Rajith KR&lt;/author&gt;&lt;author&gt;Pertinez, Henry&lt;/author&gt;&lt;author&gt;Arshad, Usman&lt;/author&gt;&lt;author&gt;Box, Helen&lt;/author&gt;&lt;author&gt;Tatham, Lee&lt;/author&gt;&lt;author&gt;Curley, Paul&lt;/author&gt;&lt;author&gt;Neary, Megan&lt;/author&gt;&lt;author&gt;Sharp, Joanne&lt;/author&gt;&lt;author&gt;Liptrott, Neill J&lt;/author&gt;&lt;author&gt;Valentijn, Anthony&lt;/author&gt;&lt;/authors&gt;&lt;/contributors&gt;&lt;titles&gt;&lt;title&gt;Dose prediction for repurposing nitazoxanide in SARS‐CoV‐2 treatment or chemoprophylaxis&lt;/title&gt;&lt;secondary-title&gt;British Journal of Clinical Pharmacology&lt;/secondary-title&gt;&lt;/titles&gt;&lt;periodical&gt;&lt;full-title&gt;British journal of clinical pharmacology&lt;/full-title&gt;&lt;/periodical&gt;&lt;dates&gt;&lt;year&gt;2020&lt;/year&gt;&lt;/dates&gt;&lt;isbn&gt;0306-5251&lt;/isbn&gt;&lt;urls&gt;&lt;/urls&gt;&lt;/record&gt;&lt;/Cite&gt;&lt;Cite&gt;&lt;Author&gt;Pepperrell&lt;/Author&gt;&lt;Year&gt;2020&lt;/Year&gt;&lt;RecNum&gt;1144&lt;/RecNum&gt;&lt;record&gt;&lt;rec-number&gt;1144&lt;/rec-number&gt;&lt;foreign-keys&gt;&lt;key app="EN" db-id="09sztrdrjsd2r6e9x96psvsbrd9ate929dar" timestamp="1611752377"&gt;1144&lt;/key&gt;&lt;/foreign-keys&gt;&lt;ref-type name="Journal Article"&gt;17&lt;/ref-type&gt;&lt;contributors&gt;&lt;authors&gt;&lt;author&gt;Pepperrell, Toby&lt;/author&gt;&lt;author&gt;Pilkington, Victoria&lt;/author&gt;&lt;author&gt;Owen, Andrew&lt;/author&gt;&lt;author&gt;Wang, Junzheng&lt;/author&gt;&lt;author&gt;Hill, Andrew M&lt;/author&gt;&lt;/authors&gt;&lt;/contributors&gt;&lt;titles&gt;&lt;title&gt;Review of safety and minimum pricing of nitazoxanide for potential treatment of COVID-19&lt;/title&gt;&lt;secondary-title&gt;Journal of virus eradication&lt;/secondary-title&gt;&lt;/titles&gt;&lt;pages&gt;52-60&lt;/pages&gt;&lt;volume&gt;6&lt;/volume&gt;&lt;number&gt;2&lt;/number&gt;&lt;dates&gt;&lt;year&gt;2020&lt;/year&gt;&lt;/dates&gt;&lt;isbn&gt;2055-6640&lt;/isbn&gt;&lt;urls&gt;&lt;/urls&gt;&lt;/record&gt;&lt;/Cite&gt;&lt;/EndNote&gt;</w:instrText>
      </w:r>
      <w:r w:rsidRPr="0045431D">
        <w:rPr>
          <w:lang w:val="en-GB"/>
        </w:rPr>
        <w:fldChar w:fldCharType="separate"/>
      </w:r>
      <w:r w:rsidR="00E05977">
        <w:rPr>
          <w:noProof/>
          <w:lang w:val="en-GB"/>
        </w:rPr>
        <w:t>[17, 21]</w:t>
      </w:r>
      <w:r w:rsidRPr="0045431D">
        <w:rPr>
          <w:lang w:val="en-GB"/>
        </w:rPr>
        <w:fldChar w:fldCharType="end"/>
      </w:r>
      <w:r w:rsidR="00871556" w:rsidRPr="0045431D">
        <w:rPr>
          <w:lang w:val="en-GB"/>
        </w:rPr>
        <w:t>.</w:t>
      </w:r>
      <w:r w:rsidR="00CE1560" w:rsidRPr="0045431D">
        <w:rPr>
          <w:lang w:val="en-GB"/>
        </w:rPr>
        <w:t xml:space="preserve"> </w:t>
      </w:r>
      <w:r w:rsidR="00BD5BD1">
        <w:rPr>
          <w:lang w:val="en-GB"/>
        </w:rPr>
        <w:t xml:space="preserve">One uncertainty relating to the putative utility of NTZ is that TIZ is highly protein bound in </w:t>
      </w:r>
      <w:r w:rsidR="009B3569">
        <w:rPr>
          <w:lang w:val="en-GB"/>
        </w:rPr>
        <w:t xml:space="preserve">the </w:t>
      </w:r>
      <w:r w:rsidR="00BD5BD1">
        <w:rPr>
          <w:lang w:val="en-GB"/>
        </w:rPr>
        <w:t xml:space="preserve">plasma of humans </w:t>
      </w:r>
      <w:r w:rsidR="00F91449">
        <w:rPr>
          <w:lang w:val="en-GB"/>
        </w:rPr>
        <w:fldChar w:fldCharType="begin"/>
      </w:r>
      <w:r w:rsidR="00E05977">
        <w:rPr>
          <w:lang w:val="en-GB"/>
        </w:rPr>
        <w:instrText xml:space="preserve"> ADDIN EN.CITE &lt;EndNote&gt;&lt;Cite&gt;&lt;Author&gt;Zhao&lt;/Author&gt;&lt;Year&gt;2010&lt;/Year&gt;&lt;RecNum&gt;29&lt;/RecNum&gt;&lt;DisplayText&gt;[22]&lt;/DisplayText&gt;&lt;record&gt;&lt;rec-number&gt;29&lt;/rec-number&gt;&lt;foreign-keys&gt;&lt;key app="EN" db-id="9tzxpps0ie05dde0af9x0d220paepv0xxvpa" timestamp="1612556520"&gt;29&lt;/key&gt;&lt;/foreign-keys&gt;&lt;ref-type name="Journal Article"&gt;17&lt;/ref-type&gt;&lt;contributors&gt;&lt;authors&gt;&lt;author&gt;Zhao, Z.&lt;/author&gt;&lt;author&gt;Xue, F.&lt;/author&gt;&lt;author&gt;Zhang, L.&lt;/author&gt;&lt;author&gt;Zhang, K.&lt;/author&gt;&lt;author&gt;Fei, C.&lt;/author&gt;&lt;author&gt;Zheng, W.&lt;/author&gt;&lt;author&gt;Wang, X.&lt;/author&gt;&lt;author&gt;Wang, M.&lt;/author&gt;&lt;author&gt;Zhao, Z.&lt;/author&gt;&lt;author&gt;Meng, X.&lt;/author&gt;&lt;/authors&gt;&lt;/contributors&gt;&lt;auth-address&gt;Department of Pharmacy, Key Laboratory for Veterinary Drug Safety Evaluation and Residue Research, Chinese Academy of Agricultural Sciences, Shanghai, China.&lt;/auth-address&gt;&lt;titles&gt;&lt;title&gt;The pharmacokinetics of nitazoxanide active metabolite (tizoxanide) in goats and its protein binding ability in vitro&lt;/title&gt;&lt;secondary-title&gt;J Vet Pharmacol Ther&lt;/secondary-title&gt;&lt;/titles&gt;&lt;periodical&gt;&lt;full-title&gt;J Vet Pharmacol Ther&lt;/full-title&gt;&lt;/periodical&gt;&lt;pages&gt;147-53&lt;/pages&gt;&lt;volume&gt;33&lt;/volume&gt;&lt;number&gt;2&lt;/number&gt;&lt;edition&gt;2010/05/07&lt;/edition&gt;&lt;keywords&gt;&lt;keyword&gt;Animals&lt;/keyword&gt;&lt;keyword&gt;Antiparasitic Agents/administration &amp;amp; dosage/blood/metabolism/*pharmacokinetics&lt;/keyword&gt;&lt;keyword&gt;Blood Proteins/*metabolism&lt;/keyword&gt;&lt;keyword&gt;Goats/*metabolism&lt;/keyword&gt;&lt;keyword&gt;Male&lt;/keyword&gt;&lt;keyword&gt;Protein Binding&lt;/keyword&gt;&lt;keyword&gt;Thiazoles/administration &amp;amp; dosage/blood/metabolism/*pharmacokinetics&lt;/keyword&gt;&lt;/keywords&gt;&lt;dates&gt;&lt;year&gt;2010&lt;/year&gt;&lt;pub-dates&gt;&lt;date&gt;Apr&lt;/date&gt;&lt;/pub-dates&gt;&lt;/dates&gt;&lt;isbn&gt;1365-2885 (Electronic)&amp;#xD;0140-7783 (Linking)&lt;/isbn&gt;&lt;accession-num&gt;20444039&lt;/accession-num&gt;&lt;urls&gt;&lt;related-urls&gt;&lt;url&gt;https://www.ncbi.nlm.nih.gov/pubmed/20444039&lt;/url&gt;&lt;/related-urls&gt;&lt;/urls&gt;&lt;electronic-resource-num&gt;10.1111/j.1365-2885.2009.01119.x&lt;/electronic-resource-num&gt;&lt;/record&gt;&lt;/Cite&gt;&lt;/EndNote&gt;</w:instrText>
      </w:r>
      <w:r w:rsidR="00F91449">
        <w:rPr>
          <w:lang w:val="en-GB"/>
        </w:rPr>
        <w:fldChar w:fldCharType="separate"/>
      </w:r>
      <w:r w:rsidR="00E05977">
        <w:rPr>
          <w:noProof/>
          <w:lang w:val="en-GB"/>
        </w:rPr>
        <w:t>[22]</w:t>
      </w:r>
      <w:r w:rsidR="00F91449">
        <w:rPr>
          <w:lang w:val="en-GB"/>
        </w:rPr>
        <w:fldChar w:fldCharType="end"/>
      </w:r>
      <w:r w:rsidR="00BD5BD1">
        <w:rPr>
          <w:lang w:val="en-GB"/>
        </w:rPr>
        <w:t xml:space="preserve">. However, whether this binding is high affinity / low capacity or low affinity / high capacity is currently unknown and could have a profound impact upon the probability of success </w:t>
      </w:r>
      <w:r w:rsidR="004265D0">
        <w:rPr>
          <w:lang w:val="en-GB"/>
        </w:rPr>
        <w:fldChar w:fldCharType="begin">
          <w:fldData xml:space="preserve">PEVuZE5vdGU+PENpdGU+PEF1dGhvcj5Cb2ZmaXRvPC9BdXRob3I+PFllYXI+MjAyMDwvWWVhcj48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</w:fldData>
        </w:fldChar>
      </w:r>
      <w:r w:rsidR="00E05977">
        <w:rPr>
          <w:lang w:val="en-GB"/>
        </w:rPr>
        <w:instrText xml:space="preserve"> ADDIN EN.CITE </w:instrText>
      </w:r>
      <w:r w:rsidR="00E05977">
        <w:rPr>
          <w:lang w:val="en-GB"/>
        </w:rPr>
        <w:fldChar w:fldCharType="begin">
          <w:fldData xml:space="preserve">PEVuZE5vdGU+PENpdGU+PEF1dGhvcj5Cb2ZmaXRvPC9BdXRob3I+PFllYXI+MjAyMDwvWWVhcj48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</w:fldData>
        </w:fldChar>
      </w:r>
      <w:r w:rsidR="00E05977">
        <w:rPr>
          <w:lang w:val="en-GB"/>
        </w:rPr>
        <w:instrText xml:space="preserve"> ADDIN EN.CITE.DATA </w:instrText>
      </w:r>
      <w:r w:rsidR="00E05977">
        <w:rPr>
          <w:lang w:val="en-GB"/>
        </w:rPr>
      </w:r>
      <w:r w:rsidR="00E05977">
        <w:rPr>
          <w:lang w:val="en-GB"/>
        </w:rPr>
        <w:fldChar w:fldCharType="end"/>
      </w:r>
      <w:r w:rsidR="004265D0">
        <w:rPr>
          <w:lang w:val="en-GB"/>
        </w:rPr>
      </w:r>
      <w:r w:rsidR="004265D0">
        <w:rPr>
          <w:lang w:val="en-GB"/>
        </w:rPr>
        <w:fldChar w:fldCharType="separate"/>
      </w:r>
      <w:r w:rsidR="00E05977">
        <w:rPr>
          <w:noProof/>
          <w:lang w:val="en-GB"/>
        </w:rPr>
        <w:t>[23, 24]</w:t>
      </w:r>
      <w:r w:rsidR="004265D0">
        <w:rPr>
          <w:lang w:val="en-GB"/>
        </w:rPr>
        <w:fldChar w:fldCharType="end"/>
      </w:r>
      <w:r w:rsidR="00BD5BD1">
        <w:rPr>
          <w:lang w:val="en-GB"/>
        </w:rPr>
        <w:t>. Methods for q</w:t>
      </w:r>
      <w:r w:rsidR="007F7493" w:rsidRPr="0045431D">
        <w:rPr>
          <w:lang w:val="en-GB"/>
        </w:rPr>
        <w:t xml:space="preserve">uantification of concentrations of TIZ in </w:t>
      </w:r>
      <w:r w:rsidR="00CE1560" w:rsidRPr="0045431D">
        <w:rPr>
          <w:lang w:val="en-GB"/>
        </w:rPr>
        <w:t xml:space="preserve">a variety of </w:t>
      </w:r>
      <w:r w:rsidR="007F7493" w:rsidRPr="0045431D">
        <w:rPr>
          <w:lang w:val="en-GB"/>
        </w:rPr>
        <w:t xml:space="preserve">matrices </w:t>
      </w:r>
      <w:r w:rsidR="00BD5BD1">
        <w:rPr>
          <w:lang w:val="en-GB"/>
        </w:rPr>
        <w:t>are</w:t>
      </w:r>
      <w:r w:rsidR="00BD5BD1" w:rsidRPr="0045431D">
        <w:rPr>
          <w:lang w:val="en-GB"/>
        </w:rPr>
        <w:t xml:space="preserve"> </w:t>
      </w:r>
      <w:r w:rsidR="007E17DF" w:rsidRPr="0045431D">
        <w:rPr>
          <w:lang w:val="en-GB"/>
        </w:rPr>
        <w:t>required</w:t>
      </w:r>
      <w:r w:rsidR="007F7493" w:rsidRPr="0045431D">
        <w:rPr>
          <w:lang w:val="en-GB"/>
        </w:rPr>
        <w:t xml:space="preserve"> </w:t>
      </w:r>
      <w:r w:rsidR="00BD5BD1">
        <w:rPr>
          <w:lang w:val="en-GB"/>
        </w:rPr>
        <w:t xml:space="preserve">to better understand the exposure-response relationship, </w:t>
      </w:r>
      <w:r w:rsidR="00BD5BD1" w:rsidRPr="0089571C">
        <w:rPr>
          <w:i/>
          <w:iCs/>
          <w:lang w:val="en-GB"/>
        </w:rPr>
        <w:t>in vitro, in vivo</w:t>
      </w:r>
      <w:r w:rsidR="00BD5BD1">
        <w:rPr>
          <w:lang w:val="en-GB"/>
        </w:rPr>
        <w:t xml:space="preserve"> and in humans</w:t>
      </w:r>
      <w:r w:rsidR="007E17DF" w:rsidRPr="0045431D">
        <w:rPr>
          <w:lang w:val="en-GB"/>
        </w:rPr>
        <w:t xml:space="preserve">. </w:t>
      </w:r>
    </w:p>
    <w:p w14:paraId="17B46EAA" w14:textId="4ABEC69B" w:rsidR="005F2CDD" w:rsidRPr="0045431D" w:rsidRDefault="007E17DF" w:rsidP="0045431D">
      <w:pPr>
        <w:spacing w:line="360" w:lineRule="auto"/>
        <w:jc w:val="both"/>
        <w:rPr>
          <w:rFonts w:ascii="Calibri" w:hAnsi="Calibri" w:cs="Calibri"/>
          <w:lang w:val="en-GB"/>
        </w:rPr>
      </w:pPr>
      <w:r w:rsidRPr="0045431D">
        <w:rPr>
          <w:lang w:val="en-GB"/>
        </w:rPr>
        <w:t xml:space="preserve">Currently few validated </w:t>
      </w:r>
      <w:r w:rsidRPr="0045431D">
        <w:rPr>
          <w:rFonts w:ascii="Calibri" w:hAnsi="Calibri" w:cs="Calibri"/>
          <w:lang w:val="en-GB"/>
        </w:rPr>
        <w:t>liquid chromatography tandem mass spectrometry (LC-MS/MS) assays are available</w:t>
      </w:r>
      <w:r w:rsidR="00B42283" w:rsidRPr="0045431D">
        <w:rPr>
          <w:rFonts w:ascii="Calibri" w:hAnsi="Calibri" w:cs="Calibri"/>
          <w:lang w:val="en-GB"/>
        </w:rPr>
        <w:t xml:space="preserve"> to quantify NTZ and TIZ</w:t>
      </w:r>
      <w:r w:rsidRPr="0045431D">
        <w:rPr>
          <w:rFonts w:ascii="Calibri" w:hAnsi="Calibri" w:cs="Calibri"/>
          <w:lang w:val="en-GB"/>
        </w:rPr>
        <w:t xml:space="preserve"> in relevant biological matrices</w:t>
      </w:r>
      <w:r w:rsidR="00E06C25">
        <w:rPr>
          <w:rFonts w:ascii="Calibri" w:hAnsi="Calibri" w:cs="Calibri"/>
          <w:lang w:val="en-GB"/>
        </w:rPr>
        <w:t xml:space="preserve"> </w:t>
      </w:r>
      <w:r w:rsidR="00E06C25">
        <w:rPr>
          <w:rFonts w:ascii="Calibri" w:hAnsi="Calibri" w:cs="Calibri"/>
          <w:lang w:val="en-GB"/>
        </w:rPr>
        <w:fldChar w:fldCharType="begin">
          <w:fldData xml:space="preserve">PEVuZE5vdGU+PENpdGU+PEF1dGhvcj5MaXU8L0F1dGhvcj48WWVhcj4yMDE2PC9ZZWFyPjxSZWNO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</w:fldData>
        </w:fldChar>
      </w:r>
      <w:r w:rsidR="00E06C25">
        <w:rPr>
          <w:rFonts w:ascii="Calibri" w:hAnsi="Calibri" w:cs="Calibri"/>
          <w:lang w:val="en-GB"/>
        </w:rPr>
        <w:instrText xml:space="preserve"> ADDIN EN.CITE </w:instrText>
      </w:r>
      <w:r w:rsidR="00E06C25">
        <w:rPr>
          <w:rFonts w:ascii="Calibri" w:hAnsi="Calibri" w:cs="Calibri"/>
          <w:lang w:val="en-GB"/>
        </w:rPr>
        <w:fldChar w:fldCharType="begin">
          <w:fldData xml:space="preserve">PEVuZE5vdGU+PENpdGU+PEF1dGhvcj5MaXU8L0F1dGhvcj48WWVhcj4yMDE2PC9ZZWFyPjxSZWNO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</w:fldData>
        </w:fldChar>
      </w:r>
      <w:r w:rsidR="00E06C25">
        <w:rPr>
          <w:rFonts w:ascii="Calibri" w:hAnsi="Calibri" w:cs="Calibri"/>
          <w:lang w:val="en-GB"/>
        </w:rPr>
        <w:instrText xml:space="preserve"> ADDIN EN.CITE.DATA </w:instrText>
      </w:r>
      <w:r w:rsidR="00E06C25">
        <w:rPr>
          <w:rFonts w:ascii="Calibri" w:hAnsi="Calibri" w:cs="Calibri"/>
          <w:lang w:val="en-GB"/>
        </w:rPr>
      </w:r>
      <w:r w:rsidR="00E06C25">
        <w:rPr>
          <w:rFonts w:ascii="Calibri" w:hAnsi="Calibri" w:cs="Calibri"/>
          <w:lang w:val="en-GB"/>
        </w:rPr>
        <w:fldChar w:fldCharType="end"/>
      </w:r>
      <w:r w:rsidR="00E06C25">
        <w:rPr>
          <w:rFonts w:ascii="Calibri" w:hAnsi="Calibri" w:cs="Calibri"/>
          <w:lang w:val="en-GB"/>
        </w:rPr>
      </w:r>
      <w:r w:rsidR="00E06C25">
        <w:rPr>
          <w:rFonts w:ascii="Calibri" w:hAnsi="Calibri" w:cs="Calibri"/>
          <w:lang w:val="en-GB"/>
        </w:rPr>
        <w:fldChar w:fldCharType="separate"/>
      </w:r>
      <w:r w:rsidR="00E06C25">
        <w:rPr>
          <w:rFonts w:ascii="Calibri" w:hAnsi="Calibri" w:cs="Calibri"/>
          <w:noProof/>
          <w:lang w:val="en-GB"/>
        </w:rPr>
        <w:t>[25-27]</w:t>
      </w:r>
      <w:r w:rsidR="00E06C25">
        <w:rPr>
          <w:rFonts w:ascii="Calibri" w:hAnsi="Calibri" w:cs="Calibri"/>
          <w:lang w:val="en-GB"/>
        </w:rPr>
        <w:fldChar w:fldCharType="end"/>
      </w:r>
      <w:r w:rsidRPr="0045431D">
        <w:rPr>
          <w:rFonts w:ascii="Calibri" w:hAnsi="Calibri" w:cs="Calibri"/>
          <w:lang w:val="en-GB"/>
        </w:rPr>
        <w:t>. P</w:t>
      </w:r>
      <w:r w:rsidR="00B42283" w:rsidRPr="0045431D">
        <w:rPr>
          <w:rFonts w:ascii="Calibri" w:hAnsi="Calibri" w:cs="Calibri"/>
          <w:lang w:val="en-GB"/>
        </w:rPr>
        <w:t xml:space="preserve">revious studies include </w:t>
      </w:r>
      <w:r w:rsidR="003A2BC4" w:rsidRPr="0045431D">
        <w:rPr>
          <w:rFonts w:ascii="Calibri" w:hAnsi="Calibri" w:cs="Calibri"/>
          <w:lang w:val="en-GB"/>
        </w:rPr>
        <w:t>a validated LC-MS method for quantifying NTZ and TIZ in mouse plasma</w:t>
      </w:r>
      <w:r w:rsidR="00AE3EE8" w:rsidRPr="0045431D">
        <w:rPr>
          <w:rFonts w:ascii="Calibri" w:hAnsi="Calibri" w:cs="Calibri"/>
          <w:lang w:val="en-GB"/>
        </w:rPr>
        <w:t>, lung, BAL cells, liver, spleen kidney and heart</w:t>
      </w:r>
      <w:r w:rsidR="003A2BC4" w:rsidRPr="0045431D">
        <w:rPr>
          <w:rFonts w:ascii="Calibri" w:hAnsi="Calibri" w:cs="Calibri"/>
          <w:lang w:val="en-GB"/>
        </w:rPr>
        <w:t xml:space="preserve"> with a limit of quantification </w:t>
      </w:r>
      <w:r w:rsidR="00AE3EE8" w:rsidRPr="0045431D">
        <w:rPr>
          <w:rFonts w:ascii="Calibri" w:hAnsi="Calibri" w:cs="Calibri"/>
          <w:lang w:val="en-GB"/>
        </w:rPr>
        <w:t xml:space="preserve">(LOQ) </w:t>
      </w:r>
      <w:r w:rsidR="003A2BC4" w:rsidRPr="0045431D">
        <w:rPr>
          <w:rFonts w:ascii="Calibri" w:hAnsi="Calibri" w:cs="Calibri"/>
          <w:lang w:val="en-GB"/>
        </w:rPr>
        <w:t>of 0.97 ng/mL</w:t>
      </w:r>
      <w:r w:rsidR="00AE3EE8" w:rsidRPr="0045431D">
        <w:rPr>
          <w:rFonts w:ascii="Calibri" w:hAnsi="Calibri" w:cs="Calibri"/>
          <w:lang w:val="en-GB"/>
        </w:rPr>
        <w:t xml:space="preserve"> </w:t>
      </w:r>
      <w:r w:rsidR="00AE3EE8" w:rsidRPr="0045431D">
        <w:rPr>
          <w:rFonts w:ascii="Calibri" w:hAnsi="Calibri" w:cs="Calibri"/>
          <w:lang w:val="en-GB"/>
        </w:rPr>
        <w:fldChar w:fldCharType="begin"/>
      </w:r>
      <w:r w:rsidR="00E06C25">
        <w:rPr>
          <w:rFonts w:ascii="Calibri" w:hAnsi="Calibri" w:cs="Calibri"/>
          <w:lang w:val="en-GB"/>
        </w:rPr>
        <w:instrText xml:space="preserve"> ADDIN EN.CITE &lt;EndNote&gt;&lt;Cite&gt;&lt;Author&gt;Gupta&lt;/Author&gt;&lt;Year&gt;2017&lt;/Year&gt;&lt;RecNum&gt;1153&lt;/RecNum&gt;&lt;DisplayText&gt;[26]&lt;/DisplayText&gt;&lt;record&gt;&lt;rec-number&gt;1153&lt;/rec-number&gt;&lt;foreign-keys&gt;&lt;key app="EN" db-id="09sztrdrjsd2r6e9x96psvsbrd9ate929dar" timestamp="1611769110"&gt;1153&lt;/key&gt;&lt;/foreign-keys&gt;&lt;ref-type name="Journal Article"&gt;17&lt;/ref-type&gt;&lt;contributors&gt;&lt;authors&gt;&lt;author&gt;Gupta, Anuradha&lt;/author&gt;&lt;author&gt;Tulsankar, Sachin L&lt;/author&gt;&lt;author&gt;Bhatta, Rabi S&lt;/author&gt;&lt;author&gt;Misra, Amit&lt;/author&gt;&lt;/authors&gt;&lt;/contributors&gt;&lt;titles&gt;&lt;title&gt;Pharmacokinetics, Metabolism, and Partial Biodistribution of “Pincer Therapeutic” Nitazoxanide in Mice following Pulmonary Delivery of Inhalable Particles&lt;/title&gt;&lt;secondary-title&gt;Molecular pharmaceutics&lt;/secondary-title&gt;&lt;/titles&gt;&lt;pages&gt;1204-1211&lt;/pages&gt;&lt;volume&gt;14&lt;/volume&gt;&lt;number&gt;4&lt;/number&gt;&lt;dates&gt;&lt;year&gt;2017&lt;/year&gt;&lt;/dates&gt;&lt;isbn&gt;1543-8384&lt;/isbn&gt;&lt;urls&gt;&lt;/urls&gt;&lt;/record&gt;&lt;/Cite&gt;&lt;/EndNote&gt;</w:instrText>
      </w:r>
      <w:r w:rsidR="00AE3EE8" w:rsidRPr="0045431D">
        <w:rPr>
          <w:rFonts w:ascii="Calibri" w:hAnsi="Calibri" w:cs="Calibri"/>
          <w:lang w:val="en-GB"/>
        </w:rPr>
        <w:fldChar w:fldCharType="separate"/>
      </w:r>
      <w:r w:rsidR="00E06C25">
        <w:rPr>
          <w:rFonts w:ascii="Calibri" w:hAnsi="Calibri" w:cs="Calibri"/>
          <w:noProof/>
          <w:lang w:val="en-GB"/>
        </w:rPr>
        <w:t>[26]</w:t>
      </w:r>
      <w:r w:rsidR="00AE3EE8" w:rsidRPr="0045431D">
        <w:rPr>
          <w:rFonts w:ascii="Calibri" w:hAnsi="Calibri" w:cs="Calibri"/>
          <w:lang w:val="en-GB"/>
        </w:rPr>
        <w:fldChar w:fldCharType="end"/>
      </w:r>
      <w:r w:rsidR="00AE3EE8" w:rsidRPr="0045431D">
        <w:rPr>
          <w:rFonts w:ascii="Calibri" w:hAnsi="Calibri" w:cs="Calibri"/>
          <w:lang w:val="en-GB"/>
        </w:rPr>
        <w:t>.</w:t>
      </w:r>
      <w:r w:rsidR="003A2BC4" w:rsidRPr="0045431D">
        <w:rPr>
          <w:rFonts w:ascii="Calibri" w:hAnsi="Calibri" w:cs="Calibri"/>
          <w:lang w:val="en-GB"/>
        </w:rPr>
        <w:t xml:space="preserve"> </w:t>
      </w:r>
      <w:r w:rsidR="00AE3EE8" w:rsidRPr="0045431D">
        <w:rPr>
          <w:rFonts w:ascii="Calibri" w:hAnsi="Calibri" w:cs="Calibri"/>
          <w:lang w:val="en-GB"/>
        </w:rPr>
        <w:t xml:space="preserve">As well as </w:t>
      </w:r>
      <w:r w:rsidR="00B42283" w:rsidRPr="0045431D">
        <w:rPr>
          <w:rFonts w:ascii="Calibri" w:hAnsi="Calibri" w:cs="Calibri"/>
          <w:lang w:val="en-GB"/>
        </w:rPr>
        <w:t xml:space="preserve">a </w:t>
      </w:r>
      <w:r w:rsidR="00AE3EE8" w:rsidRPr="0045431D">
        <w:rPr>
          <w:rFonts w:ascii="Calibri" w:hAnsi="Calibri" w:cs="Calibri"/>
          <w:lang w:val="en-GB"/>
        </w:rPr>
        <w:t xml:space="preserve">LC-MS/MS methods validated </w:t>
      </w:r>
      <w:r w:rsidR="00B42283" w:rsidRPr="0045431D">
        <w:rPr>
          <w:rFonts w:ascii="Calibri" w:hAnsi="Calibri" w:cs="Calibri"/>
          <w:lang w:val="en-GB"/>
        </w:rPr>
        <w:lastRenderedPageBreak/>
        <w:t>in</w:t>
      </w:r>
      <w:r w:rsidR="00AE3EE8" w:rsidRPr="0045431D">
        <w:rPr>
          <w:rFonts w:ascii="Calibri" w:hAnsi="Calibri" w:cs="Calibri"/>
          <w:lang w:val="en-GB"/>
        </w:rPr>
        <w:t xml:space="preserve"> goat faeces with a limit of detection of 5ng/g </w:t>
      </w:r>
      <w:r w:rsidR="00AE3EE8" w:rsidRPr="0045431D">
        <w:rPr>
          <w:rFonts w:ascii="Calibri" w:hAnsi="Calibri" w:cs="Calibri"/>
          <w:lang w:val="en-GB"/>
        </w:rPr>
        <w:fldChar w:fldCharType="begin"/>
      </w:r>
      <w:r w:rsidR="00E06C25">
        <w:rPr>
          <w:rFonts w:ascii="Calibri" w:hAnsi="Calibri" w:cs="Calibri"/>
          <w:lang w:val="en-GB"/>
        </w:rPr>
        <w:instrText xml:space="preserve"> ADDIN EN.CITE &lt;EndNote&gt;&lt;Cite&gt;&lt;Author&gt;Zhao&lt;/Author&gt;&lt;Year&gt;2008&lt;/Year&gt;&lt;RecNum&gt;1155&lt;/RecNum&gt;&lt;DisplayText&gt;[27]&lt;/DisplayText&gt;&lt;record&gt;&lt;rec-number&gt;1155&lt;/rec-number&gt;&lt;foreign-keys&gt;&lt;key app="EN" db-id="09sztrdrjsd2r6e9x96psvsbrd9ate929dar" timestamp="1611769527"&gt;1155&lt;/key&gt;&lt;/foreign-keys&gt;&lt;ref-type name="Journal Article"&gt;17&lt;/ref-type&gt;&lt;contributors&gt;&lt;authors&gt;&lt;author&gt;Zhao, Zhanzhong&lt;/author&gt;&lt;author&gt;Zhang, Lifang&lt;/author&gt;&lt;author&gt;Xue, Feiqun&lt;/author&gt;&lt;author&gt;Zhang, Tao&lt;/author&gt;&lt;/authors&gt;&lt;/contributors&gt;&lt;titles&gt;&lt;title&gt;Metabolic profile of nitazoxanide in goat feces&lt;/title&gt;&lt;secondary-title&gt;Chromatographia&lt;/secondary-title&gt;&lt;/titles&gt;&lt;pages&gt;731-738&lt;/pages&gt;&lt;volume&gt;68&lt;/volume&gt;&lt;number&gt;9&lt;/number&gt;&lt;dates&gt;&lt;year&gt;2008&lt;/year&gt;&lt;/dates&gt;&lt;isbn&gt;1612-1112&lt;/isbn&gt;&lt;urls&gt;&lt;/urls&gt;&lt;/record&gt;&lt;/Cite&gt;&lt;/EndNote&gt;</w:instrText>
      </w:r>
      <w:r w:rsidR="00AE3EE8" w:rsidRPr="0045431D">
        <w:rPr>
          <w:rFonts w:ascii="Calibri" w:hAnsi="Calibri" w:cs="Calibri"/>
          <w:lang w:val="en-GB"/>
        </w:rPr>
        <w:fldChar w:fldCharType="separate"/>
      </w:r>
      <w:r w:rsidR="00E06C25">
        <w:rPr>
          <w:rFonts w:ascii="Calibri" w:hAnsi="Calibri" w:cs="Calibri"/>
          <w:noProof/>
          <w:lang w:val="en-GB"/>
        </w:rPr>
        <w:t>[27]</w:t>
      </w:r>
      <w:r w:rsidR="00AE3EE8" w:rsidRPr="0045431D">
        <w:rPr>
          <w:rFonts w:ascii="Calibri" w:hAnsi="Calibri" w:cs="Calibri"/>
          <w:lang w:val="en-GB"/>
        </w:rPr>
        <w:fldChar w:fldCharType="end"/>
      </w:r>
      <w:r w:rsidR="00385B47" w:rsidRPr="0045431D">
        <w:rPr>
          <w:rFonts w:ascii="Calibri" w:hAnsi="Calibri" w:cs="Calibri"/>
          <w:lang w:val="en-GB"/>
        </w:rPr>
        <w:t xml:space="preserve">. </w:t>
      </w:r>
      <w:r w:rsidR="00BF70D2">
        <w:rPr>
          <w:rFonts w:ascii="Calibri" w:hAnsi="Calibri" w:cs="Calibri"/>
          <w:lang w:val="en-GB"/>
        </w:rPr>
        <w:t>H</w:t>
      </w:r>
      <w:r w:rsidR="00385B47" w:rsidRPr="0045431D">
        <w:rPr>
          <w:rFonts w:ascii="Calibri" w:hAnsi="Calibri" w:cs="Calibri"/>
          <w:lang w:val="en-GB"/>
        </w:rPr>
        <w:t xml:space="preserve">igh performance liquid chromatography (HPLC) </w:t>
      </w:r>
      <w:r w:rsidR="000F0C53" w:rsidRPr="0045431D">
        <w:rPr>
          <w:rFonts w:ascii="Calibri" w:hAnsi="Calibri" w:cs="Calibri"/>
          <w:lang w:val="en-GB"/>
        </w:rPr>
        <w:t>method has</w:t>
      </w:r>
      <w:r w:rsidR="00385B47" w:rsidRPr="0045431D">
        <w:rPr>
          <w:rFonts w:ascii="Calibri" w:hAnsi="Calibri" w:cs="Calibri"/>
          <w:lang w:val="en-GB"/>
        </w:rPr>
        <w:t xml:space="preserve"> </w:t>
      </w:r>
      <w:r w:rsidR="00BF6DDF">
        <w:rPr>
          <w:rFonts w:ascii="Calibri" w:hAnsi="Calibri" w:cs="Calibri"/>
          <w:lang w:val="en-GB"/>
        </w:rPr>
        <w:t xml:space="preserve">also </w:t>
      </w:r>
      <w:r w:rsidR="00385B47" w:rsidRPr="0045431D">
        <w:rPr>
          <w:rFonts w:ascii="Calibri" w:hAnsi="Calibri" w:cs="Calibri"/>
          <w:lang w:val="en-GB"/>
        </w:rPr>
        <w:t xml:space="preserve">been validated for NTZ and TIZ in </w:t>
      </w:r>
      <w:r w:rsidR="00E06C25">
        <w:rPr>
          <w:rFonts w:ascii="Calibri" w:hAnsi="Calibri" w:cs="Calibri"/>
          <w:lang w:val="en-GB"/>
        </w:rPr>
        <w:t xml:space="preserve">rat plasma and human </w:t>
      </w:r>
      <w:r w:rsidR="00385B47" w:rsidRPr="0045431D">
        <w:rPr>
          <w:rFonts w:ascii="Calibri" w:hAnsi="Calibri" w:cs="Calibri"/>
          <w:lang w:val="en-GB"/>
        </w:rPr>
        <w:t>plasma</w:t>
      </w:r>
      <w:r w:rsidR="00E06C25">
        <w:rPr>
          <w:rFonts w:ascii="Calibri" w:hAnsi="Calibri" w:cs="Calibri"/>
          <w:lang w:val="en-GB"/>
        </w:rPr>
        <w:t>, urine and breast milk</w:t>
      </w:r>
      <w:r w:rsidR="00385B47" w:rsidRPr="0045431D">
        <w:rPr>
          <w:rFonts w:ascii="Calibri" w:hAnsi="Calibri" w:cs="Calibri"/>
          <w:lang w:val="en-GB"/>
        </w:rPr>
        <w:t xml:space="preserve"> </w:t>
      </w:r>
      <w:r w:rsidR="000F0C53" w:rsidRPr="0045431D">
        <w:rPr>
          <w:rFonts w:ascii="Calibri" w:hAnsi="Calibri" w:cs="Calibri"/>
          <w:lang w:val="en-GB"/>
        </w:rPr>
        <w:fldChar w:fldCharType="begin"/>
      </w:r>
      <w:r w:rsidR="00E06C25">
        <w:rPr>
          <w:rFonts w:ascii="Calibri" w:hAnsi="Calibri" w:cs="Calibri"/>
          <w:lang w:val="en-GB"/>
        </w:rPr>
        <w:instrText xml:space="preserve"> ADDIN EN.CITE &lt;EndNote&gt;&lt;Cite&gt;&lt;Author&gt;Ruiz-Olmedo&lt;/Author&gt;&lt;Year&gt;2009&lt;/Year&gt;&lt;RecNum&gt;1156&lt;/RecNum&gt;&lt;DisplayText&gt;[28, 29]&lt;/DisplayText&gt;&lt;record&gt;&lt;rec-number&gt;1156&lt;/rec-number&gt;&lt;foreign-keys&gt;&lt;key app="EN" db-id="09sztrdrjsd2r6e9x96psvsbrd9ate929dar" timestamp="1611770636"&gt;1156&lt;/key&gt;&lt;/foreign-keys&gt;&lt;ref-type name="Journal Article"&gt;17&lt;/ref-type&gt;&lt;contributors&gt;&lt;authors&gt;&lt;author&gt;Ruiz-Olmedo, MI&lt;/author&gt;&lt;author&gt;Gallegos-Perez, JL&lt;/author&gt;&lt;author&gt;Calderon-Gonzalez, KG&lt;/author&gt;&lt;author&gt;Franco-Perez, J&lt;/author&gt;&lt;author&gt;Jung-Cook, H&lt;/author&gt;&lt;/authors&gt;&lt;/contributors&gt;&lt;titles&gt;&lt;title&gt;Sensitive high performance liquid chromatographic assay for nitazoxanide metabolite in plasma&lt;/title&gt;&lt;secondary-title&gt;Die Pharmazie-An International Journal of Pharmaceutical Sciences&lt;/secondary-title&gt;&lt;/titles&gt;&lt;pages&gt;419-422&lt;/pages&gt;&lt;volume&gt;64&lt;/volume&gt;&lt;number&gt;7&lt;/number&gt;&lt;dates&gt;&lt;year&gt;2009&lt;/year&gt;&lt;/dates&gt;&lt;isbn&gt;0031-7144&lt;/isbn&gt;&lt;urls&gt;&lt;/urls&gt;&lt;/record&gt;&lt;/Cite&gt;&lt;Cite&gt;&lt;Author&gt;Hadad&lt;/Author&gt;&lt;Year&gt;2012&lt;/Year&gt;&lt;RecNum&gt;1892&lt;/RecNum&gt;&lt;record&gt;&lt;rec-number&gt;1892&lt;/rec-number&gt;&lt;foreign-keys&gt;&lt;key app="EN" db-id="09sztrdrjsd2r6e9x96psvsbrd9ate929dar" timestamp="1682681042"&gt;1892&lt;/key&gt;&lt;/foreign-keys&gt;&lt;ref-type name="Journal Article"&gt;17&lt;/ref-type&gt;&lt;contributors&gt;&lt;authors&gt;&lt;author&gt;Hadad, Ghada M&lt;/author&gt;&lt;author&gt;Abdel Salam, Randa A&lt;/author&gt;&lt;author&gt;Emara, Samy&lt;/author&gt;&lt;/authors&gt;&lt;/contributors&gt;&lt;titles&gt;&lt;title&gt;Validated and optimized high-performance liquid chromatographic determination of tizoxanide, the main active metabolite of nitazoxanide in human urine, plasma and breast milk&lt;/title&gt;&lt;secondary-title&gt;Journal of chromatographic science&lt;/secondary-title&gt;&lt;/titles&gt;&lt;periodical&gt;&lt;full-title&gt;Journal of chromatographic science&lt;/full-title&gt;&lt;/periodical&gt;&lt;pages&gt;509-515&lt;/pages&gt;&lt;volume&gt;50&lt;/volume&gt;&lt;number&gt;6&lt;/number&gt;&lt;dates&gt;&lt;year&gt;2012&lt;/year&gt;&lt;/dates&gt;&lt;isbn&gt;1945-239X&lt;/isbn&gt;&lt;urls&gt;&lt;/urls&gt;&lt;/record&gt;&lt;/Cite&gt;&lt;/EndNote&gt;</w:instrText>
      </w:r>
      <w:r w:rsidR="000F0C53" w:rsidRPr="0045431D">
        <w:rPr>
          <w:rFonts w:ascii="Calibri" w:hAnsi="Calibri" w:cs="Calibri"/>
          <w:lang w:val="en-GB"/>
        </w:rPr>
        <w:fldChar w:fldCharType="separate"/>
      </w:r>
      <w:r w:rsidR="00E06C25">
        <w:rPr>
          <w:rFonts w:ascii="Calibri" w:hAnsi="Calibri" w:cs="Calibri"/>
          <w:noProof/>
          <w:lang w:val="en-GB"/>
        </w:rPr>
        <w:t>[28, 29]</w:t>
      </w:r>
      <w:r w:rsidR="000F0C53" w:rsidRPr="0045431D">
        <w:rPr>
          <w:rFonts w:ascii="Calibri" w:hAnsi="Calibri" w:cs="Calibri"/>
          <w:lang w:val="en-GB"/>
        </w:rPr>
        <w:fldChar w:fldCharType="end"/>
      </w:r>
      <w:r w:rsidR="000F0C53" w:rsidRPr="0045431D">
        <w:rPr>
          <w:rFonts w:ascii="Calibri" w:hAnsi="Calibri" w:cs="Calibri"/>
          <w:lang w:val="en-GB"/>
        </w:rPr>
        <w:t xml:space="preserve">. </w:t>
      </w:r>
    </w:p>
    <w:p w14:paraId="530DA405" w14:textId="747D030C" w:rsidR="0008163E" w:rsidRPr="0045431D" w:rsidRDefault="00BD5BD1" w:rsidP="0045431D">
      <w:pPr>
        <w:spacing w:line="360" w:lineRule="auto"/>
        <w:jc w:val="both"/>
        <w:rPr>
          <w:color w:val="FF0000"/>
          <w:lang w:val="en-GB"/>
        </w:rPr>
      </w:pPr>
      <w:r>
        <w:rPr>
          <w:lang w:val="en-GB"/>
        </w:rPr>
        <w:t>Here</w:t>
      </w:r>
      <w:r w:rsidR="00FF23C9" w:rsidRPr="0045431D">
        <w:rPr>
          <w:lang w:val="en-GB"/>
        </w:rPr>
        <w:t xml:space="preserve"> a</w:t>
      </w:r>
      <w:r>
        <w:rPr>
          <w:lang w:val="en-GB"/>
        </w:rPr>
        <w:t>n</w:t>
      </w:r>
      <w:r w:rsidR="006D78AD">
        <w:rPr>
          <w:lang w:val="en-GB"/>
        </w:rPr>
        <w:t xml:space="preserve"> </w:t>
      </w:r>
      <w:r w:rsidR="00FF23C9" w:rsidRPr="0045431D">
        <w:rPr>
          <w:lang w:val="en-GB"/>
        </w:rPr>
        <w:t>LC-MS/MS assay</w:t>
      </w:r>
      <w:r>
        <w:rPr>
          <w:lang w:val="en-GB"/>
        </w:rPr>
        <w:t xml:space="preserve"> is described that has been validated</w:t>
      </w:r>
      <w:r w:rsidR="00FF23C9" w:rsidRPr="0045431D">
        <w:rPr>
          <w:lang w:val="en-GB"/>
        </w:rPr>
        <w:t xml:space="preserve"> </w:t>
      </w:r>
      <w:r w:rsidR="007E17DF" w:rsidRPr="0045431D">
        <w:rPr>
          <w:lang w:val="en-GB"/>
        </w:rPr>
        <w:t>in accordance with Food and Drug Administration (FDA) guidelines</w:t>
      </w:r>
      <w:r>
        <w:rPr>
          <w:lang w:val="en-GB"/>
        </w:rPr>
        <w:t xml:space="preserve"> </w:t>
      </w:r>
      <w:r w:rsidR="007E17DF" w:rsidRPr="0045431D">
        <w:rPr>
          <w:lang w:val="en-GB"/>
        </w:rPr>
        <w:fldChar w:fldCharType="begin"/>
      </w:r>
      <w:r w:rsidR="00E06C25">
        <w:rPr>
          <w:lang w:val="en-GB"/>
        </w:rPr>
        <w:instrText xml:space="preserve"> ADDIN EN.CITE &lt;EndNote&gt;&lt;Cite&gt;&lt;Author&gt;Administration&lt;/Author&gt;&lt;Year&gt;2018&lt;/Year&gt;&lt;RecNum&gt;1108&lt;/RecNum&gt;&lt;DisplayText&gt;[30]&lt;/DisplayText&gt;&lt;record&gt;&lt;rec-number&gt;1108&lt;/rec-number&gt;&lt;foreign-keys&gt;&lt;key app="EN" db-id="09sztrdrjsd2r6e9x96psvsbrd9ate929dar" timestamp="1591699718"&gt;1108&lt;/key&gt;&lt;/foreign-keys&gt;&lt;ref-type name="Government Document"&gt;46&lt;/ref-type&gt;&lt;contributors&gt;&lt;authors&gt;&lt;author&gt;U.S. Department of Health and Human Services Food and Drug Administration&lt;/author&gt;&lt;/authors&gt;&lt;secondary-authors&gt;&lt;author&gt;U.S. Department of Health and Human Services Food and Drug Administration Center for Drug Evaluation and Research (CDER) Center for Veterinary Medicine (CVM)&lt;/author&gt;&lt;/secondary-authors&gt;&lt;/contributors&gt;&lt;titles&gt;&lt;title&gt;Bioanalytical Method Validation Guidance for Industry&lt;/title&gt;&lt;/titles&gt;&lt;pages&gt;44&lt;/pages&gt;&lt;dates&gt;&lt;year&gt;2018&lt;/year&gt;&lt;/dates&gt;&lt;urls&gt;&lt;/urls&gt;&lt;/record&gt;&lt;/Cite&gt;&lt;/EndNote&gt;</w:instrText>
      </w:r>
      <w:r w:rsidR="007E17DF" w:rsidRPr="0045431D">
        <w:rPr>
          <w:lang w:val="en-GB"/>
        </w:rPr>
        <w:fldChar w:fldCharType="separate"/>
      </w:r>
      <w:r w:rsidR="00E06C25">
        <w:rPr>
          <w:noProof/>
          <w:lang w:val="en-GB"/>
        </w:rPr>
        <w:t>[30]</w:t>
      </w:r>
      <w:r w:rsidR="007E17DF" w:rsidRPr="0045431D">
        <w:rPr>
          <w:lang w:val="en-GB"/>
        </w:rPr>
        <w:fldChar w:fldCharType="end"/>
      </w:r>
      <w:r>
        <w:rPr>
          <w:lang w:val="en-GB"/>
        </w:rPr>
        <w:t>. F</w:t>
      </w:r>
      <w:r w:rsidR="007E17DF" w:rsidRPr="0045431D">
        <w:rPr>
          <w:lang w:val="en-GB"/>
        </w:rPr>
        <w:t>undamental parameters</w:t>
      </w:r>
      <w:r w:rsidR="00FF23C9" w:rsidRPr="0045431D">
        <w:rPr>
          <w:lang w:val="en-GB"/>
        </w:rPr>
        <w:t xml:space="preserve"> </w:t>
      </w:r>
      <w:r w:rsidR="00003908" w:rsidRPr="0045431D">
        <w:rPr>
          <w:lang w:val="en-GB"/>
        </w:rPr>
        <w:t>have been</w:t>
      </w:r>
      <w:r w:rsidR="007E17DF" w:rsidRPr="0045431D">
        <w:rPr>
          <w:lang w:val="en-GB"/>
        </w:rPr>
        <w:t xml:space="preserve"> </w:t>
      </w:r>
      <w:r w:rsidRPr="0045431D">
        <w:rPr>
          <w:lang w:val="en-GB"/>
        </w:rPr>
        <w:t>evaluated</w:t>
      </w:r>
      <w:r w:rsidR="007E17DF" w:rsidRPr="0045431D">
        <w:rPr>
          <w:lang w:val="en-GB"/>
        </w:rPr>
        <w:t>,</w:t>
      </w:r>
      <w:r w:rsidR="00FF23C9" w:rsidRPr="0045431D">
        <w:rPr>
          <w:lang w:val="en-GB"/>
        </w:rPr>
        <w:t xml:space="preserve"> and these included </w:t>
      </w:r>
      <w:r w:rsidR="007E17DF" w:rsidRPr="0045431D">
        <w:rPr>
          <w:lang w:val="en-GB"/>
        </w:rPr>
        <w:t xml:space="preserve">accuracy, precision and sensitivity. </w:t>
      </w:r>
      <w:r>
        <w:rPr>
          <w:lang w:val="en-GB"/>
        </w:rPr>
        <w:t>Other</w:t>
      </w:r>
      <w:r w:rsidRPr="0045431D">
        <w:rPr>
          <w:lang w:val="en-GB"/>
        </w:rPr>
        <w:t xml:space="preserve"> </w:t>
      </w:r>
      <w:r w:rsidR="00FF23C9" w:rsidRPr="0045431D">
        <w:rPr>
          <w:lang w:val="en-GB"/>
        </w:rPr>
        <w:t>validation criteria</w:t>
      </w:r>
      <w:r w:rsidR="00003908" w:rsidRPr="0045431D">
        <w:rPr>
          <w:lang w:val="en-GB"/>
        </w:rPr>
        <w:t xml:space="preserve"> also</w:t>
      </w:r>
      <w:r w:rsidR="00FF23C9" w:rsidRPr="0045431D">
        <w:rPr>
          <w:lang w:val="en-GB"/>
        </w:rPr>
        <w:t xml:space="preserve"> included</w:t>
      </w:r>
      <w:r w:rsidR="007E17DF" w:rsidRPr="0045431D">
        <w:rPr>
          <w:lang w:val="en-GB"/>
        </w:rPr>
        <w:t xml:space="preserve"> linearity, </w:t>
      </w:r>
      <w:r w:rsidR="005B1D08" w:rsidRPr="0045431D">
        <w:rPr>
          <w:lang w:val="en-GB"/>
        </w:rPr>
        <w:t>recovery</w:t>
      </w:r>
      <w:r w:rsidR="00A1753B">
        <w:rPr>
          <w:lang w:val="en-GB"/>
        </w:rPr>
        <w:t xml:space="preserve"> and</w:t>
      </w:r>
      <w:r w:rsidR="005B1D08" w:rsidRPr="0045431D">
        <w:rPr>
          <w:lang w:val="en-GB"/>
        </w:rPr>
        <w:t xml:space="preserve"> re</w:t>
      </w:r>
      <w:r w:rsidR="00DE174E">
        <w:rPr>
          <w:lang w:val="en-GB"/>
        </w:rPr>
        <w:t>peatability</w:t>
      </w:r>
      <w:r w:rsidR="005B1D08" w:rsidRPr="0045431D">
        <w:rPr>
          <w:lang w:val="en-GB"/>
        </w:rPr>
        <w:t xml:space="preserve"> of TIZ within selected matrices. </w:t>
      </w:r>
      <w:r>
        <w:rPr>
          <w:lang w:val="en-GB"/>
        </w:rPr>
        <w:t>The</w:t>
      </w:r>
      <w:r w:rsidRPr="0045431D">
        <w:rPr>
          <w:lang w:val="en-GB"/>
        </w:rPr>
        <w:t xml:space="preserve"> </w:t>
      </w:r>
      <w:r w:rsidR="005B1D08" w:rsidRPr="0045431D">
        <w:rPr>
          <w:lang w:val="en-GB"/>
        </w:rPr>
        <w:t xml:space="preserve">assay was validated for </w:t>
      </w:r>
      <w:r w:rsidR="00C61F5A" w:rsidRPr="0045431D">
        <w:rPr>
          <w:lang w:val="en-GB"/>
        </w:rPr>
        <w:t xml:space="preserve">human </w:t>
      </w:r>
      <w:r w:rsidR="00386502">
        <w:rPr>
          <w:lang w:val="en-GB"/>
        </w:rPr>
        <w:t xml:space="preserve">plasma, </w:t>
      </w:r>
      <w:r w:rsidR="00C61F5A" w:rsidRPr="0045431D">
        <w:rPr>
          <w:lang w:val="en-GB"/>
        </w:rPr>
        <w:t>mouse plasma</w:t>
      </w:r>
      <w:r w:rsidR="00E5605F">
        <w:rPr>
          <w:lang w:val="en-GB"/>
        </w:rPr>
        <w:t xml:space="preserve"> and </w:t>
      </w:r>
      <w:r w:rsidR="00354AE4" w:rsidRPr="0045431D">
        <w:rPr>
          <w:lang w:val="en-GB"/>
        </w:rPr>
        <w:t>Dulbecco’s</w:t>
      </w:r>
      <w:r w:rsidR="00C61F5A" w:rsidRPr="0045431D">
        <w:rPr>
          <w:lang w:val="en-GB"/>
        </w:rPr>
        <w:t xml:space="preserve"> Modified Eagles Medium (DMEM) containing varying concentrations of </w:t>
      </w:r>
      <w:r w:rsidR="000939EA" w:rsidRPr="0045431D">
        <w:rPr>
          <w:lang w:val="en-GB"/>
        </w:rPr>
        <w:t>Foetal</w:t>
      </w:r>
      <w:r w:rsidR="00C61F5A" w:rsidRPr="0045431D">
        <w:rPr>
          <w:lang w:val="en-GB"/>
        </w:rPr>
        <w:t xml:space="preserve"> </w:t>
      </w:r>
      <w:r w:rsidR="00F05A34" w:rsidRPr="0045431D">
        <w:rPr>
          <w:lang w:val="en-GB"/>
        </w:rPr>
        <w:t>B</w:t>
      </w:r>
      <w:r w:rsidR="00C61F5A" w:rsidRPr="0045431D">
        <w:rPr>
          <w:lang w:val="en-GB"/>
        </w:rPr>
        <w:t xml:space="preserve">ovine </w:t>
      </w:r>
      <w:r w:rsidR="00F05A34" w:rsidRPr="0045431D">
        <w:rPr>
          <w:lang w:val="en-GB"/>
        </w:rPr>
        <w:t>S</w:t>
      </w:r>
      <w:r w:rsidR="00C61F5A" w:rsidRPr="0045431D">
        <w:rPr>
          <w:lang w:val="en-GB"/>
        </w:rPr>
        <w:t>erum (FBS)</w:t>
      </w:r>
      <w:r w:rsidR="005B1D08" w:rsidRPr="0045431D">
        <w:rPr>
          <w:lang w:val="en-GB"/>
        </w:rPr>
        <w:t xml:space="preserve">. </w:t>
      </w:r>
      <w:r w:rsidR="000939EA">
        <w:rPr>
          <w:lang w:val="en-GB"/>
        </w:rPr>
        <w:t>M</w:t>
      </w:r>
      <w:r w:rsidR="007E17DF" w:rsidRPr="0045431D">
        <w:rPr>
          <w:lang w:val="en-GB"/>
        </w:rPr>
        <w:t>atrix effects are a well-documented source of concern</w:t>
      </w:r>
      <w:r w:rsidR="0008163E" w:rsidRPr="0045431D">
        <w:rPr>
          <w:lang w:val="en-GB"/>
        </w:rPr>
        <w:t xml:space="preserve"> for chromatographic analysis, with the potential to impact various stages of the analytical process</w:t>
      </w:r>
      <w:r w:rsidR="007E17DF" w:rsidRPr="0045431D">
        <w:rPr>
          <w:lang w:val="en-GB"/>
        </w:rPr>
        <w:t xml:space="preserve"> </w:t>
      </w:r>
      <w:r w:rsidR="007E17DF" w:rsidRPr="0045431D">
        <w:rPr>
          <w:lang w:val="en-GB"/>
        </w:rPr>
        <w:fldChar w:fldCharType="begin"/>
      </w:r>
      <w:r w:rsidR="00E06C25">
        <w:rPr>
          <w:lang w:val="en-GB"/>
        </w:rPr>
        <w:instrText xml:space="preserve"> ADDIN EN.CITE &lt;EndNote&gt;&lt;Cite&gt;&lt;Author&gt;Hewavitharana&lt;/Author&gt;&lt;Year&gt;2014&lt;/Year&gt;&lt;RecNum&gt;26&lt;/RecNum&gt;&lt;DisplayText&gt;[31]&lt;/DisplayText&gt;&lt;record&gt;&lt;rec-number&gt;26&lt;/rec-number&gt;&lt;foreign-keys&gt;&lt;key app="EN" db-id="9tzxpps0ie05dde0af9x0d220paepv0xxvpa" timestamp="1612002706"&gt;26&lt;/key&gt;&lt;/foreign-keys&gt;&lt;ref-type name="Journal Article"&gt;17&lt;/ref-type&gt;&lt;contributors&gt;&lt;authors&gt;&lt;author&gt;Hewavitharana, A. K.&lt;/author&gt;&lt;author&gt;Tan, S. K.&lt;/author&gt;&lt;author&gt;Shaw, P. N.&lt;/author&gt;&lt;/authors&gt;&lt;/contributors&gt;&lt;auth-address&gt;Univ Queensland, Sch Pharm, Brisbane, Qld, Australia&lt;/auth-address&gt;&lt;titles&gt;&lt;title&gt;Strategies for the Detection and Elimination of Matrix Effects in Quantitative LC-MS Analysis&lt;/title&gt;&lt;secondary-title&gt;Lc Gc North America&lt;/secondary-title&gt;&lt;alt-title&gt;Lc Gc N Am&lt;/alt-title&gt;&lt;/titles&gt;&lt;periodical&gt;&lt;full-title&gt;Lc Gc North America&lt;/full-title&gt;&lt;abbr-1&gt;Lc Gc N Am&lt;/abbr-1&gt;&lt;/periodical&gt;&lt;alt-periodical&gt;&lt;full-title&gt;Lc Gc North America&lt;/full-title&gt;&lt;abbr-1&gt;Lc Gc N Am&lt;/abbr-1&gt;&lt;/alt-periodical&gt;&lt;pages&gt;54-+&lt;/pages&gt;&lt;volume&gt;32&lt;/volume&gt;&lt;number&gt;1&lt;/number&gt;&lt;keywords&gt;&lt;keyword&gt;tandem mass-spectrometry&lt;/keyword&gt;&lt;keyword&gt;performance liquid-chromatography&lt;/keyword&gt;&lt;keyword&gt;ion suppression&lt;/keyword&gt;&lt;keyword&gt;standard addition&lt;/keyword&gt;&lt;keyword&gt;electrospray-ionization&lt;/keyword&gt;&lt;keyword&gt;calibration methods&lt;/keyword&gt;&lt;keyword&gt;quantification&lt;/keyword&gt;&lt;keyword&gt;creatinine&lt;/keyword&gt;&lt;keyword&gt;water&lt;/keyword&gt;&lt;keyword&gt;lc/ms/ms&lt;/keyword&gt;&lt;/keywords&gt;&lt;dates&gt;&lt;year&gt;2014&lt;/year&gt;&lt;pub-dates&gt;&lt;date&gt;Jan&lt;/date&gt;&lt;/pub-dates&gt;&lt;/dates&gt;&lt;isbn&gt;1527-5949&lt;/isbn&gt;&lt;accession-num&gt;WOS:000330205400005&lt;/accession-num&gt;&lt;urls&gt;&lt;related-urls&gt;&lt;url&gt;&amp;lt;Go to ISI&amp;gt;://WOS:000330205400005&lt;/url&gt;&lt;/related-urls&gt;&lt;/urls&gt;&lt;language&gt;English&lt;/language&gt;&lt;/record&gt;&lt;/Cite&gt;&lt;/EndNote&gt;</w:instrText>
      </w:r>
      <w:r w:rsidR="007E17DF" w:rsidRPr="0045431D">
        <w:rPr>
          <w:lang w:val="en-GB"/>
        </w:rPr>
        <w:fldChar w:fldCharType="separate"/>
      </w:r>
      <w:r w:rsidR="00E06C25">
        <w:rPr>
          <w:noProof/>
          <w:lang w:val="en-GB"/>
        </w:rPr>
        <w:t>[31]</w:t>
      </w:r>
      <w:r w:rsidR="007E17DF" w:rsidRPr="0045431D">
        <w:rPr>
          <w:lang w:val="en-GB"/>
        </w:rPr>
        <w:fldChar w:fldCharType="end"/>
      </w:r>
      <w:r w:rsidR="0008163E" w:rsidRPr="0045431D">
        <w:rPr>
          <w:lang w:val="en-GB"/>
        </w:rPr>
        <w:t xml:space="preserve">, including suppression or enhancement of ionisation </w:t>
      </w:r>
      <w:r w:rsidR="0008163E" w:rsidRPr="0045431D">
        <w:rPr>
          <w:lang w:val="en-GB"/>
        </w:rPr>
        <w:fldChar w:fldCharType="begin"/>
      </w:r>
      <w:r w:rsidR="00E06C25">
        <w:rPr>
          <w:lang w:val="en-GB"/>
        </w:rPr>
        <w:instrText xml:space="preserve"> ADDIN EN.CITE &lt;EndNote&gt;&lt;Cite&gt;&lt;Author&gt;Administration&lt;/Author&gt;&lt;Year&gt;2018&lt;/Year&gt;&lt;RecNum&gt;1108&lt;/RecNum&gt;&lt;DisplayText&gt;[30]&lt;/DisplayText&gt;&lt;record&gt;&lt;rec-number&gt;1108&lt;/rec-number&gt;&lt;foreign-keys&gt;&lt;key app="EN" db-id="09sztrdrjsd2r6e9x96psvsbrd9ate929dar" timestamp="1591699718"&gt;1108&lt;/key&gt;&lt;/foreign-keys&gt;&lt;ref-type name="Government Document"&gt;46&lt;/ref-type&gt;&lt;contributors&gt;&lt;authors&gt;&lt;author&gt;U.S. Department of Health and Human Services Food and Drug Administration&lt;/author&gt;&lt;/authors&gt;&lt;secondary-authors&gt;&lt;author&gt;U.S. Department of Health and Human Services Food and Drug Administration Center for Drug Evaluation and Research (CDER) Center for Veterinary Medicine (CVM)&lt;/author&gt;&lt;/secondary-authors&gt;&lt;/contributors&gt;&lt;titles&gt;&lt;title&gt;Bioanalytical Method Validation Guidance for Industry&lt;/title&gt;&lt;/titles&gt;&lt;pages&gt;44&lt;/pages&gt;&lt;dates&gt;&lt;year&gt;2018&lt;/year&gt;&lt;/dates&gt;&lt;urls&gt;&lt;/urls&gt;&lt;/record&gt;&lt;/Cite&gt;&lt;/EndNote&gt;</w:instrText>
      </w:r>
      <w:r w:rsidR="0008163E" w:rsidRPr="0045431D">
        <w:rPr>
          <w:lang w:val="en-GB"/>
        </w:rPr>
        <w:fldChar w:fldCharType="separate"/>
      </w:r>
      <w:r w:rsidR="00E06C25">
        <w:rPr>
          <w:noProof/>
          <w:lang w:val="en-GB"/>
        </w:rPr>
        <w:t>[30]</w:t>
      </w:r>
      <w:r w:rsidR="0008163E" w:rsidRPr="0045431D">
        <w:rPr>
          <w:lang w:val="en-GB"/>
        </w:rPr>
        <w:fldChar w:fldCharType="end"/>
      </w:r>
      <w:r w:rsidR="000939EA">
        <w:rPr>
          <w:lang w:val="en-GB"/>
        </w:rPr>
        <w:t>. Therefore</w:t>
      </w:r>
      <w:r w:rsidR="006510EF" w:rsidRPr="0045431D">
        <w:rPr>
          <w:lang w:val="en-GB"/>
        </w:rPr>
        <w:t xml:space="preserve">, a validated LC-MS/MS </w:t>
      </w:r>
      <w:r w:rsidR="00003908" w:rsidRPr="0045431D">
        <w:rPr>
          <w:lang w:val="en-GB"/>
        </w:rPr>
        <w:t>analytical method</w:t>
      </w:r>
      <w:r w:rsidR="000939EA">
        <w:rPr>
          <w:lang w:val="en-GB"/>
        </w:rPr>
        <w:t xml:space="preserve"> is presented</w:t>
      </w:r>
      <w:r w:rsidR="00003908" w:rsidRPr="0045431D">
        <w:rPr>
          <w:lang w:val="en-GB"/>
        </w:rPr>
        <w:t xml:space="preserve"> capa</w:t>
      </w:r>
      <w:r w:rsidR="00F05A34" w:rsidRPr="0045431D">
        <w:rPr>
          <w:lang w:val="en-GB"/>
        </w:rPr>
        <w:t xml:space="preserve">ble of quantifying </w:t>
      </w:r>
      <w:r w:rsidR="00003908" w:rsidRPr="0045431D">
        <w:rPr>
          <w:lang w:val="en-GB"/>
        </w:rPr>
        <w:t>TIZ in multiple matrices with minimal impact of matrix effects.</w:t>
      </w:r>
      <w:r w:rsidR="00F05A34" w:rsidRPr="0045431D">
        <w:rPr>
          <w:lang w:val="en-GB"/>
        </w:rPr>
        <w:t xml:space="preserve"> </w:t>
      </w:r>
    </w:p>
    <w:p w14:paraId="7A3DD788" w14:textId="77777777" w:rsidR="006510EF" w:rsidRPr="0045431D" w:rsidRDefault="006510EF" w:rsidP="0045431D">
      <w:pPr>
        <w:spacing w:line="360" w:lineRule="auto"/>
        <w:jc w:val="both"/>
        <w:rPr>
          <w:rFonts w:cstheme="minorHAnsi"/>
          <w:b/>
          <w:bCs/>
          <w:lang w:val="en-GB"/>
        </w:rPr>
      </w:pPr>
    </w:p>
    <w:p w14:paraId="6D348611" w14:textId="77777777" w:rsidR="00D47A87" w:rsidRPr="0045431D" w:rsidRDefault="00D47A87" w:rsidP="0045431D">
      <w:pPr>
        <w:jc w:val="both"/>
        <w:rPr>
          <w:rFonts w:cstheme="minorHAnsi"/>
          <w:b/>
          <w:bCs/>
          <w:lang w:val="en-GB"/>
        </w:rPr>
      </w:pPr>
      <w:r w:rsidRPr="0045431D">
        <w:rPr>
          <w:rFonts w:cstheme="minorHAnsi"/>
          <w:b/>
          <w:bCs/>
          <w:lang w:val="en-GB"/>
        </w:rPr>
        <w:br w:type="page"/>
      </w:r>
    </w:p>
    <w:p w14:paraId="092DE438" w14:textId="7A3FDA0E" w:rsidR="007E17DF" w:rsidRPr="0045431D" w:rsidRDefault="00071853" w:rsidP="0045431D">
      <w:pPr>
        <w:spacing w:line="360" w:lineRule="auto"/>
        <w:jc w:val="both"/>
        <w:rPr>
          <w:rFonts w:eastAsia="Times New Roman" w:cstheme="minorHAnsi"/>
          <w:b/>
          <w:bCs/>
          <w:lang w:val="en-GB"/>
        </w:rPr>
      </w:pPr>
      <w:r>
        <w:rPr>
          <w:rFonts w:cstheme="minorHAnsi"/>
          <w:b/>
          <w:bCs/>
          <w:lang w:val="en-GB"/>
        </w:rPr>
        <w:lastRenderedPageBreak/>
        <w:t xml:space="preserve">2.0 </w:t>
      </w:r>
      <w:r w:rsidR="007E17DF" w:rsidRPr="0045431D">
        <w:rPr>
          <w:rFonts w:cstheme="minorHAnsi"/>
          <w:b/>
          <w:bCs/>
          <w:lang w:val="en-GB"/>
        </w:rPr>
        <w:t>Methods and Materials</w:t>
      </w:r>
    </w:p>
    <w:p w14:paraId="4098DE55" w14:textId="153B04F7" w:rsidR="007E17DF" w:rsidRPr="0045431D" w:rsidRDefault="00071853" w:rsidP="0045431D">
      <w:pPr>
        <w:spacing w:line="360" w:lineRule="auto"/>
        <w:jc w:val="both"/>
        <w:rPr>
          <w:rFonts w:cstheme="minorHAnsi"/>
          <w:b/>
          <w:bCs/>
          <w:lang w:val="en-GB"/>
        </w:rPr>
      </w:pPr>
      <w:r>
        <w:rPr>
          <w:rFonts w:cstheme="minorHAnsi"/>
          <w:b/>
          <w:bCs/>
          <w:lang w:val="en-GB"/>
        </w:rPr>
        <w:t xml:space="preserve">2.1 </w:t>
      </w:r>
      <w:r w:rsidR="007E17DF" w:rsidRPr="0045431D">
        <w:rPr>
          <w:rFonts w:cstheme="minorHAnsi"/>
          <w:b/>
          <w:bCs/>
          <w:lang w:val="en-GB"/>
        </w:rPr>
        <w:t>Materials</w:t>
      </w:r>
    </w:p>
    <w:p w14:paraId="6C41661B" w14:textId="4793FA9F" w:rsidR="007E17DF" w:rsidRPr="00A62F56" w:rsidRDefault="0045431D" w:rsidP="0045431D">
      <w:pPr>
        <w:spacing w:line="360" w:lineRule="auto"/>
        <w:jc w:val="both"/>
        <w:rPr>
          <w:lang w:val="en-GB"/>
        </w:rPr>
      </w:pPr>
      <w:r>
        <w:rPr>
          <w:lang w:val="en-GB"/>
        </w:rPr>
        <w:t>TIZ</w:t>
      </w:r>
      <w:r w:rsidRPr="00D2654A">
        <w:rPr>
          <w:lang w:val="en-GB"/>
        </w:rPr>
        <w:t xml:space="preserve"> and the internal standard (IS) </w:t>
      </w:r>
      <w:r>
        <w:rPr>
          <w:lang w:val="en-GB"/>
        </w:rPr>
        <w:t>TIZ-D4</w:t>
      </w:r>
      <w:r w:rsidRPr="00D2654A">
        <w:rPr>
          <w:lang w:val="en-GB"/>
        </w:rPr>
        <w:t xml:space="preserve"> were purchased from </w:t>
      </w:r>
      <w:r>
        <w:rPr>
          <w:lang w:val="en-GB"/>
        </w:rPr>
        <w:t xml:space="preserve">Toronto Research Chemicals </w:t>
      </w:r>
      <w:proofErr w:type="spellStart"/>
      <w:r>
        <w:rPr>
          <w:lang w:val="en-GB"/>
        </w:rPr>
        <w:t>inc</w:t>
      </w:r>
      <w:proofErr w:type="spellEnd"/>
      <w:r>
        <w:rPr>
          <w:lang w:val="en-GB"/>
        </w:rPr>
        <w:t xml:space="preserve"> </w:t>
      </w:r>
      <w:r w:rsidRPr="00D2654A">
        <w:rPr>
          <w:lang w:val="en-GB"/>
        </w:rPr>
        <w:t>(</w:t>
      </w:r>
      <w:r>
        <w:rPr>
          <w:lang w:val="en-GB"/>
        </w:rPr>
        <w:t>Toronto, Canada</w:t>
      </w:r>
      <w:r w:rsidRPr="00D2654A">
        <w:rPr>
          <w:lang w:val="en-GB"/>
        </w:rPr>
        <w:t xml:space="preserve">). Drug free </w:t>
      </w:r>
      <w:r>
        <w:rPr>
          <w:lang w:val="en-GB"/>
        </w:rPr>
        <w:t xml:space="preserve">mouse plasma and human </w:t>
      </w:r>
      <w:r w:rsidRPr="00D2654A">
        <w:rPr>
          <w:lang w:val="en-GB"/>
        </w:rPr>
        <w:t xml:space="preserve">plasma with lithium heparin </w:t>
      </w:r>
      <w:r>
        <w:rPr>
          <w:lang w:val="en-GB"/>
        </w:rPr>
        <w:t>were</w:t>
      </w:r>
      <w:r w:rsidRPr="00D2654A">
        <w:rPr>
          <w:lang w:val="en-GB"/>
        </w:rPr>
        <w:t xml:space="preserve"> purchased from VWR International (PA, USA). LCMS grade acetonitrile (ACN) was purchased from Fisher Scientific (MA,</w:t>
      </w:r>
      <w:r>
        <w:rPr>
          <w:lang w:val="en-GB"/>
        </w:rPr>
        <w:t xml:space="preserve"> </w:t>
      </w:r>
      <w:r w:rsidRPr="00D2654A">
        <w:rPr>
          <w:lang w:val="en-GB"/>
        </w:rPr>
        <w:t>USA). All other consumables were purchased from Merck Life Science UK LTD (Gillingham, UK) and were of LC-MS grade.</w:t>
      </w:r>
    </w:p>
    <w:p w14:paraId="762B4A6F" w14:textId="297D524B" w:rsidR="007E17DF" w:rsidRPr="0045431D" w:rsidRDefault="00071853" w:rsidP="0045431D">
      <w:pPr>
        <w:spacing w:line="360" w:lineRule="auto"/>
        <w:jc w:val="both"/>
        <w:rPr>
          <w:rFonts w:cstheme="minorHAnsi"/>
          <w:b/>
          <w:bCs/>
          <w:lang w:val="en-GB"/>
        </w:rPr>
      </w:pPr>
      <w:r>
        <w:rPr>
          <w:rFonts w:cstheme="minorHAnsi"/>
          <w:b/>
          <w:bCs/>
          <w:lang w:val="en-GB"/>
        </w:rPr>
        <w:t xml:space="preserve">2.2 </w:t>
      </w:r>
      <w:r w:rsidR="007E17DF" w:rsidRPr="0045431D">
        <w:rPr>
          <w:rFonts w:cstheme="minorHAnsi"/>
          <w:b/>
          <w:bCs/>
          <w:lang w:val="en-GB"/>
        </w:rPr>
        <w:t>Tuning for Tizoxanide and Internal Standard</w:t>
      </w:r>
    </w:p>
    <w:p w14:paraId="58DEC026" w14:textId="64019B5C" w:rsidR="007E17DF" w:rsidRPr="00B476B4" w:rsidRDefault="00B476B4" w:rsidP="0045431D">
      <w:pPr>
        <w:spacing w:line="360" w:lineRule="auto"/>
        <w:jc w:val="both"/>
        <w:rPr>
          <w:rFonts w:cstheme="minorHAnsi"/>
          <w:lang w:val="en-GB"/>
        </w:rPr>
      </w:pPr>
      <w:r w:rsidRPr="00B476B4">
        <w:rPr>
          <w:rFonts w:cstheme="minorHAnsi"/>
          <w:lang w:val="en-GB"/>
        </w:rPr>
        <w:t xml:space="preserve">A </w:t>
      </w:r>
      <w:r>
        <w:rPr>
          <w:rFonts w:cstheme="minorHAnsi"/>
          <w:lang w:val="en-GB"/>
        </w:rPr>
        <w:t xml:space="preserve">stock solution of 1mg/mL of TIZ or TIZ-D4 was prepared in ACN. From this stock a solution of 10ng/mL was prepared in </w:t>
      </w:r>
      <w:r w:rsidR="00672363">
        <w:rPr>
          <w:rFonts w:cstheme="minorHAnsi"/>
          <w:lang w:val="en-GB"/>
        </w:rPr>
        <w:t>H2O: methanol</w:t>
      </w:r>
      <w:r w:rsidR="00A62F56">
        <w:rPr>
          <w:rFonts w:cstheme="minorHAnsi"/>
          <w:lang w:val="en-GB"/>
        </w:rPr>
        <w:t xml:space="preserve"> (50:50) for tuning. Detection was performed using a SCIEX 6500+ </w:t>
      </w:r>
      <w:proofErr w:type="spellStart"/>
      <w:r w:rsidR="00A62F56">
        <w:rPr>
          <w:rFonts w:cstheme="minorHAnsi"/>
          <w:lang w:val="en-GB"/>
        </w:rPr>
        <w:t>Qtrap</w:t>
      </w:r>
      <w:proofErr w:type="spellEnd"/>
      <w:r w:rsidR="00A62F56">
        <w:rPr>
          <w:rFonts w:cstheme="minorHAnsi"/>
          <w:lang w:val="en-GB"/>
        </w:rPr>
        <w:t xml:space="preserve"> (</w:t>
      </w:r>
      <w:r w:rsidR="00A62F56" w:rsidRPr="006D63B6">
        <w:rPr>
          <w:lang w:val="en-GB"/>
        </w:rPr>
        <w:t>SCIEX</w:t>
      </w:r>
      <w:r w:rsidR="00A62F56">
        <w:rPr>
          <w:rFonts w:cstheme="minorHAnsi"/>
          <w:lang w:val="en-GB"/>
        </w:rPr>
        <w:t xml:space="preserve"> </w:t>
      </w:r>
      <w:r w:rsidR="00354AE4">
        <w:rPr>
          <w:rFonts w:cstheme="minorHAnsi"/>
          <w:lang w:val="en-GB"/>
        </w:rPr>
        <w:t>MA, USA</w:t>
      </w:r>
      <w:r w:rsidR="00A62F56">
        <w:rPr>
          <w:rFonts w:cstheme="minorHAnsi"/>
          <w:lang w:val="en-GB"/>
        </w:rPr>
        <w:t xml:space="preserve">) operating in negative mode. TIZ or TIZ-D4 was infused at 10µL/min in order to optimise </w:t>
      </w:r>
      <w:r w:rsidR="00A62F56" w:rsidRPr="00A62F56">
        <w:rPr>
          <w:rFonts w:cstheme="minorHAnsi"/>
          <w:lang w:val="en-GB"/>
        </w:rPr>
        <w:t>compound-specific parameters (</w:t>
      </w:r>
      <w:proofErr w:type="spellStart"/>
      <w:r w:rsidR="00A62F56" w:rsidRPr="00A62F56">
        <w:rPr>
          <w:rFonts w:cstheme="minorHAnsi"/>
          <w:lang w:val="en-GB"/>
        </w:rPr>
        <w:t>declustering</w:t>
      </w:r>
      <w:proofErr w:type="spellEnd"/>
      <w:r w:rsidR="00A62F56" w:rsidRPr="00A62F56">
        <w:rPr>
          <w:rFonts w:cstheme="minorHAnsi"/>
          <w:lang w:val="en-GB"/>
        </w:rPr>
        <w:t xml:space="preserve"> potential, collision energy and collision exit potential) and source specific parameters (curtain gas, ionisation voltage, temperature, nebuliser gas and auxiliary gas).</w:t>
      </w:r>
    </w:p>
    <w:p w14:paraId="4E36E4B9" w14:textId="66E3A45D" w:rsidR="007E17DF" w:rsidRPr="0045431D" w:rsidRDefault="00071853" w:rsidP="0045431D">
      <w:pPr>
        <w:spacing w:line="360" w:lineRule="auto"/>
        <w:jc w:val="both"/>
        <w:rPr>
          <w:rFonts w:cstheme="minorHAnsi"/>
          <w:b/>
          <w:bCs/>
          <w:lang w:val="en-GB"/>
        </w:rPr>
      </w:pPr>
      <w:r>
        <w:rPr>
          <w:rFonts w:cstheme="minorHAnsi"/>
          <w:b/>
          <w:bCs/>
          <w:lang w:val="en-GB"/>
        </w:rPr>
        <w:t xml:space="preserve">2.3 </w:t>
      </w:r>
      <w:r w:rsidR="007E17DF" w:rsidRPr="0045431D">
        <w:rPr>
          <w:rFonts w:cstheme="minorHAnsi"/>
          <w:b/>
          <w:bCs/>
          <w:lang w:val="en-GB"/>
        </w:rPr>
        <w:t>Chromatographic Separation</w:t>
      </w:r>
    </w:p>
    <w:p w14:paraId="6A2A6C0F" w14:textId="7E2899BB" w:rsidR="007E17DF" w:rsidRPr="00A62F56" w:rsidRDefault="00A62F56" w:rsidP="0045431D">
      <w:pPr>
        <w:spacing w:line="360" w:lineRule="auto"/>
        <w:jc w:val="both"/>
        <w:rPr>
          <w:rFonts w:cstheme="minorHAnsi"/>
          <w:lang w:val="en-GB"/>
        </w:rPr>
      </w:pPr>
      <w:r w:rsidRPr="00A62F56">
        <w:rPr>
          <w:rFonts w:cstheme="minorHAnsi"/>
          <w:lang w:val="en-GB"/>
        </w:rPr>
        <w:t>TIZ</w:t>
      </w:r>
      <w:r>
        <w:rPr>
          <w:rFonts w:cstheme="minorHAnsi"/>
          <w:lang w:val="en-GB"/>
        </w:rPr>
        <w:t xml:space="preserve"> was resolved using a </w:t>
      </w:r>
      <w:proofErr w:type="spellStart"/>
      <w:r>
        <w:rPr>
          <w:rFonts w:cstheme="minorHAnsi"/>
          <w:lang w:val="en-GB"/>
        </w:rPr>
        <w:t>kinetex</w:t>
      </w:r>
      <w:proofErr w:type="spellEnd"/>
      <w:r>
        <w:rPr>
          <w:rFonts w:cstheme="minorHAnsi"/>
          <w:lang w:val="en-GB"/>
        </w:rPr>
        <w:t xml:space="preserve"> C18 column (2.7µ</w:t>
      </w:r>
      <w:r w:rsidR="00DE174E">
        <w:rPr>
          <w:rFonts w:cstheme="minorHAnsi"/>
          <w:lang w:val="en-GB"/>
        </w:rPr>
        <w:t>m</w:t>
      </w:r>
      <w:r>
        <w:rPr>
          <w:rFonts w:cstheme="minorHAnsi"/>
          <w:lang w:val="en-GB"/>
        </w:rPr>
        <w:t xml:space="preserve">, 2.1x100mm Phenomenex </w:t>
      </w:r>
      <w:r w:rsidR="00C72D0A">
        <w:rPr>
          <w:rFonts w:cstheme="minorHAnsi"/>
          <w:lang w:val="en-GB"/>
        </w:rPr>
        <w:t>CA, USA)</w:t>
      </w:r>
      <w:r w:rsidR="00E524D3">
        <w:rPr>
          <w:rFonts w:cstheme="minorHAnsi"/>
          <w:lang w:val="en-GB"/>
        </w:rPr>
        <w:t xml:space="preserve"> using a 5µL injection</w:t>
      </w:r>
      <w:r w:rsidR="005860F7">
        <w:rPr>
          <w:rFonts w:cstheme="minorHAnsi"/>
          <w:lang w:val="en-GB"/>
        </w:rPr>
        <w:t>. The following multistep gradient was used with H</w:t>
      </w:r>
      <w:r w:rsidR="005860F7" w:rsidRPr="005860F7">
        <w:rPr>
          <w:rFonts w:cstheme="minorHAnsi"/>
          <w:vertAlign w:val="subscript"/>
          <w:lang w:val="en-GB"/>
        </w:rPr>
        <w:t>2</w:t>
      </w:r>
      <w:r w:rsidR="005860F7">
        <w:rPr>
          <w:rFonts w:cstheme="minorHAnsi"/>
          <w:lang w:val="en-GB"/>
        </w:rPr>
        <w:t>O + 0.1% formic acid (mobile phase A) and ACN + 0.1% formic acid (mobile phase B)</w:t>
      </w:r>
      <w:r w:rsidR="002A1770">
        <w:rPr>
          <w:rFonts w:cstheme="minorHAnsi"/>
          <w:lang w:val="en-GB"/>
        </w:rPr>
        <w:t xml:space="preserve"> at a flow rate of 0.4mL/min</w:t>
      </w:r>
      <w:r w:rsidR="005860F7">
        <w:rPr>
          <w:rFonts w:cstheme="minorHAnsi"/>
          <w:lang w:val="en-GB"/>
        </w:rPr>
        <w:t>:</w:t>
      </w:r>
      <w:r w:rsidR="002A1770">
        <w:rPr>
          <w:rFonts w:cstheme="minorHAnsi"/>
          <w:lang w:val="en-GB"/>
        </w:rPr>
        <w:t xml:space="preserve"> the initial conditions were </w:t>
      </w:r>
      <w:r w:rsidR="00DE174E">
        <w:rPr>
          <w:rFonts w:cstheme="minorHAnsi"/>
          <w:lang w:val="en-GB"/>
        </w:rPr>
        <w:t>9</w:t>
      </w:r>
      <w:r w:rsidR="002A1770">
        <w:rPr>
          <w:rFonts w:cstheme="minorHAnsi"/>
          <w:lang w:val="en-GB"/>
        </w:rPr>
        <w:t xml:space="preserve">5% A and 5% B and held for 1 minute. Mobile phase B was rapidly increased to 80% over 0.5 mins. The gradient was then slowly increased to 95% B till 4 mins. This was held for 0.5 mins </w:t>
      </w:r>
      <w:r w:rsidR="00386502">
        <w:rPr>
          <w:rFonts w:cstheme="minorHAnsi"/>
          <w:lang w:val="en-GB"/>
        </w:rPr>
        <w:t>when</w:t>
      </w:r>
      <w:r w:rsidR="002A1770">
        <w:rPr>
          <w:rFonts w:cstheme="minorHAnsi"/>
          <w:lang w:val="en-GB"/>
        </w:rPr>
        <w:t xml:space="preserve"> the initial conditions were returned and held for 0.5mins.</w:t>
      </w:r>
    </w:p>
    <w:p w14:paraId="0BE273D3" w14:textId="6E5B0C8D" w:rsidR="007E17DF" w:rsidRPr="0045431D" w:rsidRDefault="00071853" w:rsidP="0045431D">
      <w:pPr>
        <w:spacing w:line="360" w:lineRule="auto"/>
        <w:jc w:val="both"/>
        <w:rPr>
          <w:rFonts w:cstheme="minorHAnsi"/>
          <w:b/>
          <w:bCs/>
          <w:lang w:val="en-GB"/>
        </w:rPr>
      </w:pPr>
      <w:r>
        <w:rPr>
          <w:rFonts w:cstheme="minorHAnsi"/>
          <w:b/>
          <w:bCs/>
          <w:lang w:val="en-GB"/>
        </w:rPr>
        <w:t xml:space="preserve">2.4 </w:t>
      </w:r>
      <w:r w:rsidR="007E17DF" w:rsidRPr="0045431D">
        <w:rPr>
          <w:rFonts w:cstheme="minorHAnsi"/>
          <w:b/>
          <w:bCs/>
          <w:lang w:val="en-GB"/>
        </w:rPr>
        <w:t xml:space="preserve">Extraction from </w:t>
      </w:r>
      <w:r w:rsidR="002A1770">
        <w:rPr>
          <w:rFonts w:cstheme="minorHAnsi"/>
          <w:b/>
          <w:bCs/>
          <w:lang w:val="en-GB"/>
        </w:rPr>
        <w:t>mouse plasma, human plasma and foetal bovine serum</w:t>
      </w:r>
      <w:r w:rsidR="007E17DF" w:rsidRPr="0045431D">
        <w:rPr>
          <w:rFonts w:cstheme="minorHAnsi"/>
          <w:b/>
          <w:bCs/>
          <w:lang w:val="en-GB"/>
        </w:rPr>
        <w:t xml:space="preserve"> </w:t>
      </w:r>
    </w:p>
    <w:p w14:paraId="30E8605E" w14:textId="594B8A23" w:rsidR="004265D0" w:rsidRPr="002A1770" w:rsidRDefault="002A1770" w:rsidP="0045431D">
      <w:pPr>
        <w:spacing w:line="360" w:lineRule="auto"/>
        <w:jc w:val="both"/>
        <w:rPr>
          <w:rFonts w:cstheme="minorHAnsi"/>
          <w:lang w:val="en-GB"/>
        </w:rPr>
      </w:pPr>
      <w:r>
        <w:rPr>
          <w:rFonts w:cstheme="minorHAnsi"/>
          <w:lang w:val="en-GB"/>
        </w:rPr>
        <w:t xml:space="preserve">The assay described here was developed to quantify TIZ from </w:t>
      </w:r>
      <w:r w:rsidRPr="002A1770">
        <w:rPr>
          <w:rFonts w:cstheme="minorHAnsi"/>
          <w:i/>
          <w:iCs/>
          <w:lang w:val="en-GB"/>
        </w:rPr>
        <w:t>in vitro</w:t>
      </w:r>
      <w:r>
        <w:rPr>
          <w:rFonts w:cstheme="minorHAnsi"/>
          <w:lang w:val="en-GB"/>
        </w:rPr>
        <w:t xml:space="preserve"> </w:t>
      </w:r>
      <w:r w:rsidR="00517FE8">
        <w:rPr>
          <w:rFonts w:cstheme="minorHAnsi"/>
          <w:lang w:val="en-GB"/>
        </w:rPr>
        <w:t xml:space="preserve">(DMEM plus </w:t>
      </w:r>
      <w:r w:rsidR="00330840">
        <w:rPr>
          <w:rFonts w:cstheme="minorHAnsi"/>
          <w:lang w:val="en-GB"/>
        </w:rPr>
        <w:t>50</w:t>
      </w:r>
      <w:r w:rsidR="00517FE8">
        <w:rPr>
          <w:rFonts w:cstheme="minorHAnsi"/>
          <w:lang w:val="en-GB"/>
        </w:rPr>
        <w:t>%</w:t>
      </w:r>
      <w:r w:rsidR="00330840">
        <w:rPr>
          <w:rFonts w:cstheme="minorHAnsi"/>
          <w:lang w:val="en-GB"/>
        </w:rPr>
        <w:t>, 25%, 12%, 10%, 5%</w:t>
      </w:r>
      <w:r w:rsidR="00517FE8">
        <w:rPr>
          <w:rFonts w:cstheme="minorHAnsi"/>
          <w:lang w:val="en-GB"/>
        </w:rPr>
        <w:t xml:space="preserve"> and </w:t>
      </w:r>
      <w:r w:rsidR="00330840">
        <w:rPr>
          <w:rFonts w:cstheme="minorHAnsi"/>
          <w:lang w:val="en-GB"/>
        </w:rPr>
        <w:t>2%</w:t>
      </w:r>
      <w:r w:rsidR="00517FE8" w:rsidRPr="00517FE8">
        <w:rPr>
          <w:rFonts w:cstheme="minorHAnsi"/>
          <w:b/>
          <w:bCs/>
          <w:lang w:val="en-GB"/>
        </w:rPr>
        <w:t xml:space="preserve"> </w:t>
      </w:r>
      <w:r w:rsidR="00E5605F">
        <w:rPr>
          <w:rFonts w:cstheme="minorHAnsi"/>
          <w:lang w:val="en-GB"/>
        </w:rPr>
        <w:t>FBS</w:t>
      </w:r>
      <w:r w:rsidR="00F71E91">
        <w:rPr>
          <w:rFonts w:cstheme="minorHAnsi"/>
          <w:lang w:val="en-GB"/>
        </w:rPr>
        <w:t xml:space="preserve"> </w:t>
      </w:r>
      <w:r w:rsidR="00330840">
        <w:rPr>
          <w:rFonts w:cstheme="minorHAnsi"/>
          <w:lang w:val="en-GB"/>
        </w:rPr>
        <w:t>or</w:t>
      </w:r>
      <w:r w:rsidR="00F71E91">
        <w:rPr>
          <w:rFonts w:cstheme="minorHAnsi"/>
          <w:lang w:val="en-GB"/>
        </w:rPr>
        <w:t xml:space="preserve"> </w:t>
      </w:r>
      <w:r w:rsidR="00330840">
        <w:rPr>
          <w:rFonts w:cstheme="minorHAnsi"/>
          <w:lang w:val="en-GB"/>
        </w:rPr>
        <w:t>50% and 10% human plasma</w:t>
      </w:r>
      <w:r w:rsidR="00517FE8">
        <w:rPr>
          <w:rFonts w:cstheme="minorHAnsi"/>
          <w:lang w:val="en-GB"/>
        </w:rPr>
        <w:t xml:space="preserve">) </w:t>
      </w:r>
      <w:r>
        <w:rPr>
          <w:rFonts w:cstheme="minorHAnsi"/>
          <w:lang w:val="en-GB"/>
        </w:rPr>
        <w:t xml:space="preserve">and </w:t>
      </w:r>
      <w:r w:rsidRPr="002A1770">
        <w:rPr>
          <w:rFonts w:cstheme="minorHAnsi"/>
          <w:i/>
          <w:iCs/>
          <w:lang w:val="en-GB"/>
        </w:rPr>
        <w:t>in vivo</w:t>
      </w:r>
      <w:r>
        <w:rPr>
          <w:rFonts w:cstheme="minorHAnsi"/>
          <w:lang w:val="en-GB"/>
        </w:rPr>
        <w:t xml:space="preserve"> </w:t>
      </w:r>
      <w:r w:rsidR="00517FE8">
        <w:rPr>
          <w:rFonts w:cstheme="minorHAnsi"/>
          <w:lang w:val="en-GB"/>
        </w:rPr>
        <w:t xml:space="preserve">(mouse plasma and human plasma) </w:t>
      </w:r>
      <w:r>
        <w:rPr>
          <w:rFonts w:cstheme="minorHAnsi"/>
          <w:lang w:val="en-GB"/>
        </w:rPr>
        <w:t xml:space="preserve">matrices </w:t>
      </w:r>
      <w:r w:rsidR="00517FE8">
        <w:rPr>
          <w:rFonts w:cstheme="minorHAnsi"/>
          <w:lang w:val="en-GB"/>
        </w:rPr>
        <w:t xml:space="preserve">to support SARS-CoV-2 preclinical research. </w:t>
      </w:r>
      <w:r w:rsidR="0064387D">
        <w:rPr>
          <w:rFonts w:cstheme="minorHAnsi"/>
          <w:lang w:val="en-GB"/>
        </w:rPr>
        <w:t xml:space="preserve">100µL of standard quality control (QC) sample or untreated matrix was pipetted into 7mL glass tubes. 500µL of ACN containing </w:t>
      </w:r>
      <w:r w:rsidR="00A62F56" w:rsidRPr="002A1770">
        <w:rPr>
          <w:rFonts w:cstheme="minorHAnsi"/>
          <w:lang w:val="en-GB"/>
        </w:rPr>
        <w:t xml:space="preserve">IS </w:t>
      </w:r>
      <w:r w:rsidR="0064387D">
        <w:rPr>
          <w:rFonts w:cstheme="minorHAnsi"/>
          <w:lang w:val="en-GB"/>
        </w:rPr>
        <w:t>(</w:t>
      </w:r>
      <w:r w:rsidR="00A62F56" w:rsidRPr="002A1770">
        <w:rPr>
          <w:rFonts w:cstheme="minorHAnsi"/>
          <w:lang w:val="en-GB"/>
        </w:rPr>
        <w:t>20ng/mL</w:t>
      </w:r>
      <w:r w:rsidR="0064387D">
        <w:rPr>
          <w:rFonts w:cstheme="minorHAnsi"/>
          <w:lang w:val="en-GB"/>
        </w:rPr>
        <w:t xml:space="preserve">) was added to each tube and thoroughly vortexed. Following </w:t>
      </w:r>
      <w:proofErr w:type="spellStart"/>
      <w:r w:rsidR="0064387D">
        <w:rPr>
          <w:rFonts w:cstheme="minorHAnsi"/>
          <w:lang w:val="en-GB"/>
        </w:rPr>
        <w:t>vortexing</w:t>
      </w:r>
      <w:proofErr w:type="spellEnd"/>
      <w:r w:rsidR="0064387D">
        <w:rPr>
          <w:rFonts w:cstheme="minorHAnsi"/>
          <w:lang w:val="en-GB"/>
        </w:rPr>
        <w:t xml:space="preserve">, the samples were centrifuged at 3500rpm for 5mins at 4°C. 500µL of supernatant was then transferred to fresh 7mL tubes and the samples were evaporated to dryness under a gentle stream of nitrogen. All samples were reconstituted in 100µL of reconstitution </w:t>
      </w:r>
      <w:r w:rsidR="0064387D">
        <w:rPr>
          <w:rFonts w:cstheme="minorHAnsi"/>
          <w:lang w:val="en-GB"/>
        </w:rPr>
        <w:lastRenderedPageBreak/>
        <w:t>buffer (30% H</w:t>
      </w:r>
      <w:r w:rsidR="0064387D" w:rsidRPr="0064387D">
        <w:rPr>
          <w:rFonts w:cstheme="minorHAnsi"/>
          <w:vertAlign w:val="subscript"/>
          <w:lang w:val="en-GB"/>
        </w:rPr>
        <w:t>2</w:t>
      </w:r>
      <w:r w:rsidR="0064387D">
        <w:rPr>
          <w:rFonts w:cstheme="minorHAnsi"/>
          <w:lang w:val="en-GB"/>
        </w:rPr>
        <w:t xml:space="preserve">O, </w:t>
      </w:r>
      <w:r w:rsidR="00E5605F">
        <w:rPr>
          <w:rFonts w:cstheme="minorHAnsi"/>
          <w:lang w:val="en-GB"/>
        </w:rPr>
        <w:t>49%</w:t>
      </w:r>
      <w:r w:rsidR="0064387D">
        <w:rPr>
          <w:rFonts w:cstheme="minorHAnsi"/>
          <w:lang w:val="en-GB"/>
        </w:rPr>
        <w:t xml:space="preserve"> ACN and </w:t>
      </w:r>
      <w:r w:rsidR="00E5605F">
        <w:rPr>
          <w:rFonts w:cstheme="minorHAnsi"/>
          <w:lang w:val="en-GB"/>
        </w:rPr>
        <w:t>21%</w:t>
      </w:r>
      <w:r w:rsidR="0064387D">
        <w:rPr>
          <w:rFonts w:cstheme="minorHAnsi"/>
          <w:lang w:val="en-GB"/>
        </w:rPr>
        <w:t xml:space="preserve"> DMF). 50µL was the transferred to chromatography vials and analysed.</w:t>
      </w:r>
    </w:p>
    <w:p w14:paraId="16693C03" w14:textId="769E9537" w:rsidR="007E17DF" w:rsidRPr="0045431D" w:rsidRDefault="00071853" w:rsidP="0045431D">
      <w:pPr>
        <w:spacing w:line="360" w:lineRule="auto"/>
        <w:jc w:val="both"/>
        <w:rPr>
          <w:rFonts w:cstheme="minorHAnsi"/>
          <w:b/>
          <w:bCs/>
          <w:lang w:val="en-GB"/>
        </w:rPr>
      </w:pPr>
      <w:r>
        <w:rPr>
          <w:rFonts w:cstheme="minorHAnsi"/>
          <w:b/>
          <w:bCs/>
          <w:lang w:val="en-GB"/>
        </w:rPr>
        <w:t xml:space="preserve">2.5 </w:t>
      </w:r>
      <w:r w:rsidR="00DE174E">
        <w:rPr>
          <w:rFonts w:cstheme="minorHAnsi"/>
          <w:b/>
          <w:bCs/>
          <w:lang w:val="en-GB"/>
        </w:rPr>
        <w:t>Calibration curve</w:t>
      </w:r>
    </w:p>
    <w:p w14:paraId="5231B7ED" w14:textId="7A540581" w:rsidR="007E17DF" w:rsidRPr="0064387D" w:rsidRDefault="00544FD0" w:rsidP="0045431D">
      <w:pPr>
        <w:spacing w:line="360" w:lineRule="auto"/>
        <w:jc w:val="both"/>
        <w:rPr>
          <w:rFonts w:cstheme="minorHAnsi"/>
          <w:lang w:val="en-GB"/>
        </w:rPr>
      </w:pPr>
      <w:r>
        <w:rPr>
          <w:rFonts w:cstheme="minorHAnsi"/>
          <w:lang w:val="en-GB"/>
        </w:rPr>
        <w:t xml:space="preserve">A </w:t>
      </w:r>
      <w:r w:rsidR="00A367C8">
        <w:rPr>
          <w:rFonts w:cstheme="minorHAnsi"/>
          <w:lang w:val="en-GB"/>
        </w:rPr>
        <w:t>nine-point</w:t>
      </w:r>
      <w:r>
        <w:rPr>
          <w:rFonts w:cstheme="minorHAnsi"/>
          <w:lang w:val="en-GB"/>
        </w:rPr>
        <w:t xml:space="preserve"> c</w:t>
      </w:r>
      <w:r w:rsidR="00E16BE9" w:rsidRPr="00E16BE9">
        <w:rPr>
          <w:rFonts w:cstheme="minorHAnsi"/>
          <w:lang w:val="en-GB"/>
        </w:rPr>
        <w:t>alibrat</w:t>
      </w:r>
      <w:r>
        <w:rPr>
          <w:rFonts w:cstheme="minorHAnsi"/>
          <w:lang w:val="en-GB"/>
        </w:rPr>
        <w:t xml:space="preserve">ion curve </w:t>
      </w:r>
      <w:r w:rsidRPr="00E16BE9">
        <w:rPr>
          <w:rFonts w:cstheme="minorHAnsi"/>
          <w:lang w:val="en-GB"/>
        </w:rPr>
        <w:t xml:space="preserve">ranging from </w:t>
      </w:r>
      <w:r>
        <w:rPr>
          <w:rFonts w:cstheme="minorHAnsi"/>
          <w:lang w:val="en-GB"/>
        </w:rPr>
        <w:t>15.6</w:t>
      </w:r>
      <w:r w:rsidRPr="00E16BE9">
        <w:rPr>
          <w:rFonts w:cstheme="minorHAnsi"/>
          <w:lang w:val="en-GB"/>
        </w:rPr>
        <w:t xml:space="preserve">ng/mL to </w:t>
      </w:r>
      <w:r>
        <w:rPr>
          <w:rFonts w:cstheme="minorHAnsi"/>
          <w:lang w:val="en-GB"/>
        </w:rPr>
        <w:t>100</w:t>
      </w:r>
      <w:r w:rsidRPr="00E16BE9">
        <w:rPr>
          <w:rFonts w:cstheme="minorHAnsi"/>
          <w:lang w:val="en-GB"/>
        </w:rPr>
        <w:t>0ng/mL</w:t>
      </w:r>
      <w:r>
        <w:rPr>
          <w:rFonts w:cstheme="minorHAnsi"/>
          <w:lang w:val="en-GB"/>
        </w:rPr>
        <w:t xml:space="preserve">, was </w:t>
      </w:r>
      <w:r w:rsidR="00E16BE9" w:rsidRPr="00E16BE9">
        <w:rPr>
          <w:rFonts w:cstheme="minorHAnsi"/>
          <w:lang w:val="en-GB"/>
        </w:rPr>
        <w:t xml:space="preserve">prepared by spiking untreated matrix with </w:t>
      </w:r>
      <w:r w:rsidR="00CC4C9A">
        <w:rPr>
          <w:rFonts w:cstheme="minorHAnsi"/>
          <w:lang w:val="en-GB"/>
        </w:rPr>
        <w:t>TIZ</w:t>
      </w:r>
      <w:r w:rsidR="00CC4C9A" w:rsidRPr="00E16BE9">
        <w:rPr>
          <w:rFonts w:cstheme="minorHAnsi"/>
          <w:lang w:val="en-GB"/>
        </w:rPr>
        <w:t xml:space="preserve"> </w:t>
      </w:r>
      <w:r w:rsidR="00E16BE9" w:rsidRPr="00E16BE9">
        <w:rPr>
          <w:rFonts w:cstheme="minorHAnsi"/>
          <w:lang w:val="en-GB"/>
        </w:rPr>
        <w:t>followed by serial dilution</w:t>
      </w:r>
      <w:r w:rsidR="00A367C8">
        <w:rPr>
          <w:rFonts w:cstheme="minorHAnsi"/>
          <w:lang w:val="en-GB"/>
        </w:rPr>
        <w:t xml:space="preserve"> in untreated matrix. </w:t>
      </w:r>
      <w:r>
        <w:rPr>
          <w:rFonts w:cstheme="minorHAnsi"/>
          <w:lang w:val="en-GB"/>
        </w:rPr>
        <w:t xml:space="preserve">A blank untreated matrix sample was also included. TIZ calibrator and QC samples were prepared from the same stock solution of 1mg/mL of TIZ prepared in ACN. </w:t>
      </w:r>
      <w:r w:rsidR="00E16BE9" w:rsidRPr="00E16BE9">
        <w:rPr>
          <w:rFonts w:cstheme="minorHAnsi"/>
          <w:lang w:val="en-GB"/>
        </w:rPr>
        <w:t>Linearity was assessed over 3 independent runs. Acceptance criteria were as follows</w:t>
      </w:r>
      <w:r w:rsidR="00E16BE9">
        <w:rPr>
          <w:rFonts w:cstheme="minorHAnsi"/>
          <w:lang w:val="en-GB"/>
        </w:rPr>
        <w:t>;</w:t>
      </w:r>
      <w:r w:rsidR="00E16BE9" w:rsidRPr="00E16BE9">
        <w:rPr>
          <w:rFonts w:cstheme="minorHAnsi"/>
          <w:lang w:val="en-GB"/>
        </w:rPr>
        <w:t xml:space="preserve"> deviation of interpolated </w:t>
      </w:r>
      <w:r w:rsidR="00E16BE9">
        <w:rPr>
          <w:rFonts w:cstheme="minorHAnsi"/>
          <w:lang w:val="en-GB"/>
        </w:rPr>
        <w:t>standards</w:t>
      </w:r>
      <w:r w:rsidR="00E16BE9" w:rsidRPr="00E16BE9">
        <w:rPr>
          <w:rFonts w:cstheme="minorHAnsi"/>
          <w:lang w:val="en-GB"/>
        </w:rPr>
        <w:t xml:space="preserve"> from stated concentration</w:t>
      </w:r>
      <w:r w:rsidR="00E16BE9">
        <w:rPr>
          <w:rFonts w:cstheme="minorHAnsi"/>
          <w:lang w:val="en-GB"/>
        </w:rPr>
        <w:t>s</w:t>
      </w:r>
      <w:r w:rsidR="00E16BE9" w:rsidRPr="00E16BE9">
        <w:rPr>
          <w:rFonts w:cstheme="minorHAnsi"/>
          <w:lang w:val="en-GB"/>
        </w:rPr>
        <w:t xml:space="preserve"> </w:t>
      </w:r>
      <w:r w:rsidR="00E16BE9">
        <w:rPr>
          <w:rFonts w:cstheme="minorHAnsi"/>
          <w:lang w:val="en-GB"/>
        </w:rPr>
        <w:t>were</w:t>
      </w:r>
      <w:r w:rsidR="00E16BE9" w:rsidRPr="00E16BE9">
        <w:rPr>
          <w:rFonts w:cstheme="minorHAnsi"/>
          <w:lang w:val="en-GB"/>
        </w:rPr>
        <w:t xml:space="preserve"> set at 15%, excluding the lower limit of quantification (LLOQ) where deviation was set at no more than 20%. Acceptable R</w:t>
      </w:r>
      <w:r w:rsidR="00E16BE9" w:rsidRPr="00E16BE9">
        <w:rPr>
          <w:rFonts w:cstheme="minorHAnsi"/>
          <w:vertAlign w:val="superscript"/>
          <w:lang w:val="en-GB"/>
        </w:rPr>
        <w:t>2</w:t>
      </w:r>
      <w:r w:rsidR="00E16BE9" w:rsidRPr="00E16BE9">
        <w:rPr>
          <w:rFonts w:cstheme="minorHAnsi"/>
          <w:lang w:val="en-GB"/>
        </w:rPr>
        <w:t xml:space="preserve"> was set at &gt;0.99.</w:t>
      </w:r>
    </w:p>
    <w:p w14:paraId="73A6F1BF" w14:textId="195F8785" w:rsidR="007E17DF" w:rsidRPr="0045431D" w:rsidRDefault="00071853" w:rsidP="0045431D">
      <w:pPr>
        <w:spacing w:line="360" w:lineRule="auto"/>
        <w:jc w:val="both"/>
        <w:rPr>
          <w:rFonts w:cstheme="minorHAnsi"/>
          <w:b/>
          <w:bCs/>
          <w:lang w:val="en-GB"/>
        </w:rPr>
      </w:pPr>
      <w:r>
        <w:rPr>
          <w:rFonts w:cstheme="minorHAnsi"/>
          <w:b/>
          <w:bCs/>
          <w:lang w:val="en-GB"/>
        </w:rPr>
        <w:t xml:space="preserve">2.6 </w:t>
      </w:r>
      <w:r w:rsidR="007E17DF" w:rsidRPr="0045431D">
        <w:rPr>
          <w:rFonts w:cstheme="minorHAnsi"/>
          <w:b/>
          <w:bCs/>
          <w:lang w:val="en-GB"/>
        </w:rPr>
        <w:t>Recovery</w:t>
      </w:r>
    </w:p>
    <w:p w14:paraId="481FC148" w14:textId="0E646996" w:rsidR="00C4440D" w:rsidRDefault="00C4440D" w:rsidP="0045431D">
      <w:pPr>
        <w:spacing w:line="360" w:lineRule="auto"/>
        <w:jc w:val="both"/>
        <w:rPr>
          <w:rFonts w:cstheme="minorHAnsi"/>
          <w:lang w:val="en-GB"/>
        </w:rPr>
      </w:pPr>
      <w:r>
        <w:rPr>
          <w:rFonts w:cstheme="minorHAnsi"/>
          <w:lang w:val="en-GB"/>
        </w:rPr>
        <w:t xml:space="preserve">Recovery was assessed </w:t>
      </w:r>
      <w:r w:rsidR="00A30885">
        <w:rPr>
          <w:rFonts w:cstheme="minorHAnsi"/>
          <w:lang w:val="en-GB"/>
        </w:rPr>
        <w:t xml:space="preserve">at </w:t>
      </w:r>
      <w:r>
        <w:rPr>
          <w:rFonts w:cstheme="minorHAnsi"/>
          <w:lang w:val="en-GB"/>
        </w:rPr>
        <w:t xml:space="preserve">3 concentrations (40ng/mL, 400ng/mL and 800ng/mL) </w:t>
      </w:r>
      <w:r w:rsidR="00A30885">
        <w:rPr>
          <w:rFonts w:cstheme="minorHAnsi"/>
          <w:lang w:val="en-GB"/>
        </w:rPr>
        <w:t>covering the dynamic range of the assay. The peak area of extracted samples was compared to</w:t>
      </w:r>
      <w:r>
        <w:rPr>
          <w:rFonts w:cstheme="minorHAnsi"/>
          <w:lang w:val="en-GB"/>
        </w:rPr>
        <w:t xml:space="preserve"> </w:t>
      </w:r>
      <w:r w:rsidR="00530F09">
        <w:rPr>
          <w:rFonts w:cstheme="minorHAnsi"/>
          <w:lang w:val="en-GB"/>
        </w:rPr>
        <w:t>post-</w:t>
      </w:r>
      <w:r>
        <w:rPr>
          <w:rFonts w:cstheme="minorHAnsi"/>
          <w:lang w:val="en-GB"/>
        </w:rPr>
        <w:t xml:space="preserve">extracted blank matrix spiked with </w:t>
      </w:r>
      <w:r w:rsidR="00530F09">
        <w:rPr>
          <w:rFonts w:cstheme="minorHAnsi"/>
          <w:lang w:val="en-GB"/>
        </w:rPr>
        <w:t>40ng/mL, 400ng/mL and 800ng/</w:t>
      </w:r>
      <w:proofErr w:type="spellStart"/>
      <w:r w:rsidR="00530F09">
        <w:rPr>
          <w:rFonts w:cstheme="minorHAnsi"/>
          <w:lang w:val="en-GB"/>
        </w:rPr>
        <w:t>mL</w:t>
      </w:r>
      <w:r>
        <w:rPr>
          <w:rFonts w:cstheme="minorHAnsi"/>
          <w:lang w:val="en-GB"/>
        </w:rPr>
        <w:t>.</w:t>
      </w:r>
      <w:proofErr w:type="spellEnd"/>
    </w:p>
    <w:p w14:paraId="017DE9D2" w14:textId="6229F6AA" w:rsidR="007E17DF" w:rsidRPr="0045431D" w:rsidRDefault="00071853" w:rsidP="0045431D">
      <w:pPr>
        <w:spacing w:line="360" w:lineRule="auto"/>
        <w:jc w:val="both"/>
        <w:rPr>
          <w:rFonts w:cstheme="minorHAnsi"/>
          <w:b/>
          <w:bCs/>
          <w:lang w:val="en-GB"/>
        </w:rPr>
      </w:pPr>
      <w:r>
        <w:rPr>
          <w:rFonts w:cstheme="minorHAnsi"/>
          <w:b/>
          <w:bCs/>
          <w:lang w:val="en-GB"/>
        </w:rPr>
        <w:t xml:space="preserve">2.7 </w:t>
      </w:r>
      <w:r w:rsidR="00DE174E">
        <w:rPr>
          <w:rFonts w:cstheme="minorHAnsi"/>
          <w:b/>
          <w:bCs/>
          <w:lang w:val="en-GB"/>
        </w:rPr>
        <w:t xml:space="preserve">Selectivity and specificity </w:t>
      </w:r>
    </w:p>
    <w:p w14:paraId="78C56B2C" w14:textId="7EE8CB5E" w:rsidR="007E17DF" w:rsidRDefault="00FC2EFF" w:rsidP="0045431D">
      <w:pPr>
        <w:spacing w:line="360" w:lineRule="auto"/>
        <w:jc w:val="both"/>
        <w:rPr>
          <w:rFonts w:cstheme="minorHAnsi"/>
          <w:lang w:val="en-GB"/>
        </w:rPr>
      </w:pPr>
      <w:bookmarkStart w:id="0" w:name="OLE_LINK5"/>
      <w:bookmarkStart w:id="1" w:name="OLE_LINK6"/>
      <w:r>
        <w:rPr>
          <w:rFonts w:cstheme="minorHAnsi"/>
          <w:lang w:val="en-GB"/>
        </w:rPr>
        <w:t>Specificity</w:t>
      </w:r>
      <w:r w:rsidR="00A30885">
        <w:rPr>
          <w:rFonts w:cstheme="minorHAnsi"/>
          <w:lang w:val="en-GB"/>
        </w:rPr>
        <w:t xml:space="preserve"> was determined by comparing the signal produced by an extracted </w:t>
      </w:r>
      <w:r w:rsidR="000827E4">
        <w:rPr>
          <w:rFonts w:cstheme="minorHAnsi"/>
          <w:lang w:val="en-GB"/>
        </w:rPr>
        <w:t xml:space="preserve">blank </w:t>
      </w:r>
      <w:r w:rsidR="00A30885">
        <w:rPr>
          <w:rFonts w:cstheme="minorHAnsi"/>
          <w:lang w:val="en-GB"/>
        </w:rPr>
        <w:t xml:space="preserve">to the peak produced by the lower limit of quantification (LLOQ). FDA guidelines require the signal of endogenous interference be no more than </w:t>
      </w:r>
      <w:r w:rsidR="006167C9">
        <w:rPr>
          <w:rFonts w:cstheme="minorHAnsi"/>
          <w:lang w:val="en-GB"/>
        </w:rPr>
        <w:t>20% of the LLOQ.</w:t>
      </w:r>
    </w:p>
    <w:bookmarkEnd w:id="0"/>
    <w:bookmarkEnd w:id="1"/>
    <w:p w14:paraId="76DC5836" w14:textId="3895CBE4" w:rsidR="00A51002" w:rsidRPr="00E05D3F" w:rsidRDefault="00A51002" w:rsidP="0045431D">
      <w:pPr>
        <w:spacing w:line="360" w:lineRule="auto"/>
        <w:jc w:val="both"/>
        <w:rPr>
          <w:rFonts w:cstheme="minorHAnsi"/>
          <w:b/>
          <w:bCs/>
          <w:lang w:val="en-GB"/>
        </w:rPr>
      </w:pPr>
      <w:r w:rsidRPr="00E05D3F">
        <w:rPr>
          <w:rFonts w:cstheme="minorHAnsi"/>
          <w:b/>
          <w:bCs/>
          <w:lang w:val="en-GB"/>
        </w:rPr>
        <w:t>2.8 Carryover</w:t>
      </w:r>
    </w:p>
    <w:p w14:paraId="31CCAE5C" w14:textId="4317AF30" w:rsidR="00A51002" w:rsidRPr="0063368F" w:rsidRDefault="00FC2EFF" w:rsidP="00200972">
      <w:pPr>
        <w:spacing w:line="360" w:lineRule="auto"/>
        <w:jc w:val="both"/>
        <w:rPr>
          <w:rFonts w:cstheme="minorHAnsi"/>
          <w:lang w:val="en-GB"/>
        </w:rPr>
      </w:pPr>
      <w:r>
        <w:rPr>
          <w:rFonts w:cstheme="minorHAnsi"/>
          <w:lang w:val="en-GB"/>
        </w:rPr>
        <w:t xml:space="preserve">Carryover was determined by </w:t>
      </w:r>
      <w:r w:rsidR="00AF214A">
        <w:rPr>
          <w:rFonts w:cstheme="minorHAnsi"/>
          <w:lang w:val="en-GB"/>
        </w:rPr>
        <w:t xml:space="preserve">determining </w:t>
      </w:r>
      <w:r>
        <w:rPr>
          <w:rFonts w:cstheme="minorHAnsi"/>
          <w:lang w:val="en-GB"/>
        </w:rPr>
        <w:t xml:space="preserve">the signal produced by a blank </w:t>
      </w:r>
      <w:r w:rsidR="00AF214A">
        <w:rPr>
          <w:rFonts w:cstheme="minorHAnsi"/>
          <w:lang w:val="en-GB"/>
        </w:rPr>
        <w:t>following</w:t>
      </w:r>
      <w:r w:rsidR="00200972">
        <w:rPr>
          <w:rFonts w:cstheme="minorHAnsi"/>
          <w:lang w:val="en-GB"/>
        </w:rPr>
        <w:t xml:space="preserve"> an injection of the upper</w:t>
      </w:r>
      <w:r>
        <w:rPr>
          <w:rFonts w:cstheme="minorHAnsi"/>
          <w:lang w:val="en-GB"/>
        </w:rPr>
        <w:t xml:space="preserve"> limit of quantification (</w:t>
      </w:r>
      <w:r w:rsidR="00200972">
        <w:rPr>
          <w:rFonts w:cstheme="minorHAnsi"/>
          <w:lang w:val="en-GB"/>
        </w:rPr>
        <w:t>U</w:t>
      </w:r>
      <w:r>
        <w:rPr>
          <w:rFonts w:cstheme="minorHAnsi"/>
          <w:lang w:val="en-GB"/>
        </w:rPr>
        <w:t>LOQ). FDA guidelines require the signal of endogenous interference be no more than 20% of the LLOQ.</w:t>
      </w:r>
    </w:p>
    <w:p w14:paraId="7E7BF7C3" w14:textId="78101678" w:rsidR="007E17DF" w:rsidRDefault="00071853" w:rsidP="0045431D">
      <w:pPr>
        <w:spacing w:line="360" w:lineRule="auto"/>
        <w:jc w:val="both"/>
        <w:rPr>
          <w:rFonts w:cstheme="minorHAnsi"/>
          <w:b/>
          <w:bCs/>
          <w:lang w:val="en-GB"/>
        </w:rPr>
      </w:pPr>
      <w:r>
        <w:rPr>
          <w:rFonts w:cstheme="minorHAnsi"/>
          <w:b/>
          <w:bCs/>
          <w:lang w:val="en-GB"/>
        </w:rPr>
        <w:t>2.</w:t>
      </w:r>
      <w:r w:rsidR="009F2034">
        <w:rPr>
          <w:rFonts w:cstheme="minorHAnsi"/>
          <w:b/>
          <w:bCs/>
          <w:lang w:val="en-GB"/>
        </w:rPr>
        <w:t>9</w:t>
      </w:r>
      <w:r>
        <w:rPr>
          <w:rFonts w:cstheme="minorHAnsi"/>
          <w:b/>
          <w:bCs/>
          <w:lang w:val="en-GB"/>
        </w:rPr>
        <w:t xml:space="preserve"> </w:t>
      </w:r>
      <w:r w:rsidR="007E17DF" w:rsidRPr="0045431D">
        <w:rPr>
          <w:rFonts w:cstheme="minorHAnsi"/>
          <w:b/>
          <w:bCs/>
          <w:lang w:val="en-GB"/>
        </w:rPr>
        <w:t>Accuracy and Precision</w:t>
      </w:r>
    </w:p>
    <w:p w14:paraId="4CEF96DA" w14:textId="1C3B039D" w:rsidR="006167C9" w:rsidRDefault="006167C9" w:rsidP="0045431D">
      <w:pPr>
        <w:spacing w:line="360" w:lineRule="auto"/>
        <w:jc w:val="both"/>
        <w:rPr>
          <w:rFonts w:cstheme="minorHAnsi"/>
          <w:lang w:val="en-GB"/>
        </w:rPr>
      </w:pPr>
      <w:r>
        <w:rPr>
          <w:rFonts w:cstheme="minorHAnsi"/>
          <w:lang w:val="en-GB"/>
        </w:rPr>
        <w:t>Accuracy and precision were determined for intra</w:t>
      </w:r>
      <w:r w:rsidR="000939EA">
        <w:rPr>
          <w:rFonts w:cstheme="minorHAnsi"/>
          <w:lang w:val="en-GB"/>
        </w:rPr>
        <w:t>-</w:t>
      </w:r>
      <w:r>
        <w:rPr>
          <w:rFonts w:cstheme="minorHAnsi"/>
          <w:lang w:val="en-GB"/>
        </w:rPr>
        <w:t xml:space="preserve"> and </w:t>
      </w:r>
      <w:r w:rsidR="000939EA">
        <w:rPr>
          <w:rFonts w:cstheme="minorHAnsi"/>
          <w:lang w:val="en-GB"/>
        </w:rPr>
        <w:t>inter-</w:t>
      </w:r>
      <w:r>
        <w:rPr>
          <w:rFonts w:cstheme="minorHAnsi"/>
          <w:lang w:val="en-GB"/>
        </w:rPr>
        <w:t xml:space="preserve">assay variability. The degree of variation </w:t>
      </w:r>
      <w:r w:rsidR="0069090D">
        <w:rPr>
          <w:rFonts w:cstheme="minorHAnsi"/>
          <w:lang w:val="en-GB"/>
        </w:rPr>
        <w:t xml:space="preserve">was calculated </w:t>
      </w:r>
      <w:r w:rsidR="00DF37A3">
        <w:rPr>
          <w:rFonts w:cstheme="minorHAnsi"/>
          <w:lang w:val="en-GB"/>
        </w:rPr>
        <w:t xml:space="preserve">by determining the </w:t>
      </w:r>
      <w:r w:rsidR="0069090D">
        <w:rPr>
          <w:rFonts w:cstheme="minorHAnsi"/>
          <w:lang w:val="en-GB"/>
        </w:rPr>
        <w:t xml:space="preserve">% </w:t>
      </w:r>
      <w:r w:rsidR="00DF37A3">
        <w:rPr>
          <w:rFonts w:cstheme="minorHAnsi"/>
          <w:lang w:val="en-GB"/>
        </w:rPr>
        <w:t xml:space="preserve">of the </w:t>
      </w:r>
      <w:r>
        <w:rPr>
          <w:rFonts w:cstheme="minorHAnsi"/>
          <w:lang w:val="en-GB"/>
        </w:rPr>
        <w:t>interpolated concentration of QCs</w:t>
      </w:r>
      <w:r w:rsidR="00DF37A3">
        <w:rPr>
          <w:rFonts w:cstheme="minorHAnsi"/>
          <w:lang w:val="en-GB"/>
        </w:rPr>
        <w:t xml:space="preserve"> to the expected concentration.</w:t>
      </w:r>
      <w:r w:rsidR="00DF37A3" w:rsidRPr="00DF37A3">
        <w:t xml:space="preserve"> </w:t>
      </w:r>
      <w:r w:rsidR="00DF37A3">
        <w:t xml:space="preserve">Accuracy </w:t>
      </w:r>
      <w:r w:rsidR="00DF37A3" w:rsidRPr="00DF37A3">
        <w:rPr>
          <w:rFonts w:cstheme="minorHAnsi"/>
          <w:lang w:val="en-GB"/>
        </w:rPr>
        <w:t xml:space="preserve">(% variability of accuracy = </w:t>
      </w:r>
      <w:r w:rsidR="00386502">
        <w:rPr>
          <w:rFonts w:cstheme="minorHAnsi"/>
          <w:lang w:val="en-GB"/>
        </w:rPr>
        <w:t>interpolated value</w:t>
      </w:r>
      <w:r w:rsidR="00DF37A3" w:rsidRPr="00DF37A3">
        <w:rPr>
          <w:rFonts w:cstheme="minorHAnsi"/>
          <w:lang w:val="en-GB"/>
        </w:rPr>
        <w:t>/</w:t>
      </w:r>
      <w:r w:rsidR="00386502">
        <w:rPr>
          <w:rFonts w:cstheme="minorHAnsi"/>
          <w:lang w:val="en-GB"/>
        </w:rPr>
        <w:t>expected</w:t>
      </w:r>
      <w:r w:rsidR="00DF37A3" w:rsidRPr="00DF37A3">
        <w:rPr>
          <w:rFonts w:cstheme="minorHAnsi"/>
          <w:lang w:val="en-GB"/>
        </w:rPr>
        <w:t xml:space="preserve"> value*100)</w:t>
      </w:r>
      <w:r w:rsidR="00DF37A3">
        <w:rPr>
          <w:rFonts w:cstheme="minorHAnsi"/>
          <w:lang w:val="en-GB"/>
        </w:rPr>
        <w:t xml:space="preserve"> and precision </w:t>
      </w:r>
      <w:r w:rsidR="00DF37A3" w:rsidRPr="00DF37A3">
        <w:rPr>
          <w:rFonts w:cstheme="minorHAnsi"/>
          <w:lang w:val="en-GB"/>
        </w:rPr>
        <w:t>(%variation of precision = standard deviation/mean value*100)</w:t>
      </w:r>
      <w:r w:rsidR="00DF37A3">
        <w:rPr>
          <w:rFonts w:cstheme="minorHAnsi"/>
          <w:lang w:val="en-GB"/>
        </w:rPr>
        <w:t xml:space="preserve"> were determined at</w:t>
      </w:r>
      <w:r w:rsidR="002F4CEE">
        <w:rPr>
          <w:rFonts w:cstheme="minorHAnsi"/>
          <w:lang w:val="en-GB"/>
        </w:rPr>
        <w:t xml:space="preserve"> 4</w:t>
      </w:r>
      <w:r w:rsidR="00DF37A3">
        <w:rPr>
          <w:rFonts w:cstheme="minorHAnsi"/>
          <w:lang w:val="en-GB"/>
        </w:rPr>
        <w:t xml:space="preserve"> concentrations (</w:t>
      </w:r>
      <w:r w:rsidR="002F4CEE">
        <w:rPr>
          <w:rFonts w:cstheme="minorHAnsi"/>
          <w:lang w:val="en-GB"/>
        </w:rPr>
        <w:t>15.6 ng/mL</w:t>
      </w:r>
      <w:r w:rsidR="00564315">
        <w:rPr>
          <w:rFonts w:cstheme="minorHAnsi"/>
          <w:lang w:val="en-GB"/>
        </w:rPr>
        <w:t xml:space="preserve">, </w:t>
      </w:r>
      <w:r w:rsidR="00DF37A3">
        <w:rPr>
          <w:rFonts w:cstheme="minorHAnsi"/>
          <w:lang w:val="en-GB"/>
        </w:rPr>
        <w:t>40ng/mL, 400ng/mL and 800ng/mL) in triplicate</w:t>
      </w:r>
      <w:r w:rsidR="00DF37A3" w:rsidRPr="00DF37A3">
        <w:rPr>
          <w:rFonts w:cstheme="minorHAnsi"/>
          <w:lang w:val="en-GB"/>
        </w:rPr>
        <w:t>. Acceptable variation for accuracy and precision was set at 15% and at 20% for the lower concentrations.</w:t>
      </w:r>
      <w:r>
        <w:rPr>
          <w:rFonts w:cstheme="minorHAnsi"/>
          <w:lang w:val="en-GB"/>
        </w:rPr>
        <w:t xml:space="preserve"> </w:t>
      </w:r>
    </w:p>
    <w:p w14:paraId="17BEE562" w14:textId="1F0667FE" w:rsidR="00264C7A" w:rsidRDefault="00264C7A" w:rsidP="00264C7A">
      <w:pPr>
        <w:spacing w:line="360" w:lineRule="auto"/>
        <w:jc w:val="both"/>
        <w:rPr>
          <w:rFonts w:cstheme="minorHAnsi"/>
          <w:b/>
          <w:bCs/>
          <w:lang w:val="en-GB"/>
        </w:rPr>
      </w:pPr>
      <w:r>
        <w:rPr>
          <w:rFonts w:cstheme="minorHAnsi"/>
          <w:b/>
          <w:bCs/>
          <w:lang w:val="en-GB"/>
        </w:rPr>
        <w:lastRenderedPageBreak/>
        <w:t>2.</w:t>
      </w:r>
      <w:r w:rsidR="009F2034">
        <w:rPr>
          <w:rFonts w:cstheme="minorHAnsi"/>
          <w:b/>
          <w:bCs/>
          <w:lang w:val="en-GB"/>
        </w:rPr>
        <w:t>10</w:t>
      </w:r>
      <w:r>
        <w:rPr>
          <w:rFonts w:cstheme="minorHAnsi"/>
          <w:b/>
          <w:bCs/>
          <w:lang w:val="en-GB"/>
        </w:rPr>
        <w:t xml:space="preserve"> Tizoxanide concentrations quantified from preclinical study samples</w:t>
      </w:r>
    </w:p>
    <w:p w14:paraId="1172AB29" w14:textId="77777777" w:rsidR="00264C7A" w:rsidRPr="00227417" w:rsidRDefault="00264C7A" w:rsidP="00264C7A">
      <w:pPr>
        <w:spacing w:after="0" w:line="276" w:lineRule="auto"/>
        <w:jc w:val="both"/>
      </w:pPr>
      <w:r w:rsidRPr="00227417">
        <w:t xml:space="preserve">The degree of TIZ protein binding to FBS and Human plasma in DMEM was determined using rapid equilibrium dialysis (RED). Three hundred microliters of DMEM or DMEM supplemented with either 2%, 5%, 10%, 12%, 25%, 50% FBS or 10%, 50%, 100% Human plasma all containing 10 µM TIZ (&lt; 1% DMSO) were placed into separate dialysis chambers with an 8 </w:t>
      </w:r>
      <w:proofErr w:type="spellStart"/>
      <w:r w:rsidRPr="00227417">
        <w:t>KDa</w:t>
      </w:r>
      <w:proofErr w:type="spellEnd"/>
      <w:r w:rsidRPr="00227417">
        <w:t xml:space="preserve"> MWCO (</w:t>
      </w:r>
      <w:proofErr w:type="spellStart"/>
      <w:r w:rsidRPr="00227417">
        <w:t>ThermoFisher</w:t>
      </w:r>
      <w:proofErr w:type="spellEnd"/>
      <w:r w:rsidRPr="00227417">
        <w:t>). Five hundred microliters of PBS, pH 7.4, was placed into each corresponding buffer chamber of the RED insert. Subsequently, the plate was sealed with Parafilm and incubated at 37</w:t>
      </w:r>
      <w:r w:rsidRPr="00227417">
        <w:rPr>
          <w:vertAlign w:val="superscript"/>
        </w:rPr>
        <w:t>o</w:t>
      </w:r>
      <w:r w:rsidRPr="00227417">
        <w:t xml:space="preserve">C, 250 rpm on an orbital shaker (Grant Instruments, UK) for 4 hours. Following incubation 200 </w:t>
      </w:r>
      <w:r w:rsidRPr="00227417">
        <w:rPr>
          <w:rFonts w:cstheme="minorHAnsi"/>
        </w:rPr>
        <w:t>µ</w:t>
      </w:r>
      <w:r w:rsidRPr="00227417">
        <w:t>L of both the dialysis and buffer chambers were sampled and quantified using</w:t>
      </w:r>
      <w:r>
        <w:t xml:space="preserve"> the TIZ</w:t>
      </w:r>
      <w:r w:rsidRPr="00227417">
        <w:t xml:space="preserve"> LC-MS/MS</w:t>
      </w:r>
      <w:r>
        <w:t xml:space="preserve"> method outlined above.</w:t>
      </w:r>
      <w:r w:rsidRPr="00227417">
        <w:t xml:space="preserve"> The fraction of unbound TIZ (</w:t>
      </w:r>
      <w:r w:rsidRPr="00227417">
        <w:rPr>
          <w:i/>
          <w:iCs/>
        </w:rPr>
        <w:t>fu</w:t>
      </w:r>
      <w:r w:rsidRPr="00227417">
        <w:t xml:space="preserve">) was calculated through division of the TIZ concentration in the buffer chamber dialysate over the TIZ concentration remaining in the sample chamber.  </w:t>
      </w:r>
    </w:p>
    <w:p w14:paraId="28ABC53D" w14:textId="77777777" w:rsidR="00264C7A" w:rsidRPr="00264C7A" w:rsidRDefault="00264C7A" w:rsidP="0045431D">
      <w:pPr>
        <w:spacing w:line="360" w:lineRule="auto"/>
        <w:jc w:val="both"/>
        <w:rPr>
          <w:rFonts w:cstheme="minorHAnsi"/>
        </w:rPr>
      </w:pPr>
    </w:p>
    <w:p w14:paraId="3A232A70" w14:textId="2C21897C" w:rsidR="00D47A87" w:rsidRPr="0045431D" w:rsidRDefault="00D47A87" w:rsidP="0045431D">
      <w:pPr>
        <w:jc w:val="both"/>
        <w:rPr>
          <w:rFonts w:cstheme="minorHAnsi"/>
          <w:b/>
          <w:bCs/>
          <w:lang w:val="en-GB"/>
        </w:rPr>
      </w:pPr>
      <w:r w:rsidRPr="0045431D">
        <w:rPr>
          <w:rFonts w:cstheme="minorHAnsi"/>
          <w:b/>
          <w:bCs/>
          <w:lang w:val="en-GB"/>
        </w:rPr>
        <w:br w:type="page"/>
      </w:r>
    </w:p>
    <w:p w14:paraId="506920CD" w14:textId="545C3D45" w:rsidR="007E17DF" w:rsidRPr="0045431D" w:rsidRDefault="00071853" w:rsidP="0045431D">
      <w:pPr>
        <w:spacing w:line="360" w:lineRule="auto"/>
        <w:jc w:val="both"/>
        <w:rPr>
          <w:rFonts w:cstheme="minorHAnsi"/>
          <w:b/>
          <w:bCs/>
          <w:lang w:val="en-GB"/>
        </w:rPr>
      </w:pPr>
      <w:r>
        <w:rPr>
          <w:rFonts w:cstheme="minorHAnsi"/>
          <w:b/>
          <w:bCs/>
          <w:lang w:val="en-GB"/>
        </w:rPr>
        <w:lastRenderedPageBreak/>
        <w:t xml:space="preserve">3.0 </w:t>
      </w:r>
      <w:r w:rsidR="007E17DF" w:rsidRPr="0045431D">
        <w:rPr>
          <w:rFonts w:cstheme="minorHAnsi"/>
          <w:b/>
          <w:bCs/>
          <w:lang w:val="en-GB"/>
        </w:rPr>
        <w:t>Results</w:t>
      </w:r>
    </w:p>
    <w:p w14:paraId="6C1C4198" w14:textId="40C2F6D4" w:rsidR="007E17DF" w:rsidRDefault="00071853" w:rsidP="0045431D">
      <w:pPr>
        <w:spacing w:line="360" w:lineRule="auto"/>
        <w:jc w:val="both"/>
        <w:rPr>
          <w:rFonts w:cstheme="minorHAnsi"/>
          <w:b/>
          <w:bCs/>
          <w:lang w:val="en-GB"/>
        </w:rPr>
      </w:pPr>
      <w:r>
        <w:rPr>
          <w:rFonts w:cstheme="minorHAnsi"/>
          <w:b/>
          <w:bCs/>
          <w:lang w:val="en-GB"/>
        </w:rPr>
        <w:t xml:space="preserve">3.1 </w:t>
      </w:r>
      <w:r w:rsidR="007E17DF" w:rsidRPr="0045431D">
        <w:rPr>
          <w:rFonts w:cstheme="minorHAnsi"/>
          <w:b/>
          <w:bCs/>
          <w:lang w:val="en-GB"/>
        </w:rPr>
        <w:t xml:space="preserve">Recovery of Tizoxanide </w:t>
      </w:r>
    </w:p>
    <w:p w14:paraId="751C07A2" w14:textId="53D03977" w:rsidR="00386502" w:rsidRPr="004C3FD4" w:rsidRDefault="00E524D3" w:rsidP="0045431D">
      <w:pPr>
        <w:spacing w:line="360" w:lineRule="auto"/>
        <w:jc w:val="both"/>
        <w:rPr>
          <w:lang w:val="en-GB"/>
        </w:rPr>
      </w:pPr>
      <w:r>
        <w:rPr>
          <w:rFonts w:cstheme="minorHAnsi"/>
          <w:lang w:val="en-GB"/>
        </w:rPr>
        <w:t xml:space="preserve">TIZ and IS were detected using the optimised analyte specific and global parameters found in table 1. </w:t>
      </w:r>
      <w:r w:rsidRPr="006D63B6">
        <w:rPr>
          <w:lang w:val="en-GB"/>
        </w:rPr>
        <w:t xml:space="preserve">The mean recovery </w:t>
      </w:r>
      <w:r>
        <w:rPr>
          <w:lang w:val="en-GB"/>
        </w:rPr>
        <w:t xml:space="preserve">was </w:t>
      </w:r>
      <w:r w:rsidR="004C3FD4">
        <w:rPr>
          <w:lang w:val="en-GB"/>
        </w:rPr>
        <w:t>57.7</w:t>
      </w:r>
      <w:r>
        <w:rPr>
          <w:lang w:val="en-GB"/>
        </w:rPr>
        <w:t>% ±</w:t>
      </w:r>
      <w:r w:rsidR="004C3FD4">
        <w:rPr>
          <w:lang w:val="en-GB"/>
        </w:rPr>
        <w:t>7.93</w:t>
      </w:r>
      <w:r w:rsidR="005F0A77">
        <w:rPr>
          <w:lang w:val="en-GB"/>
        </w:rPr>
        <w:t xml:space="preserve"> and </w:t>
      </w:r>
      <w:r w:rsidR="004C3FD4">
        <w:rPr>
          <w:lang w:val="en-GB"/>
        </w:rPr>
        <w:t>51.8</w:t>
      </w:r>
      <w:r>
        <w:rPr>
          <w:lang w:val="en-GB"/>
        </w:rPr>
        <w:t>% ±</w:t>
      </w:r>
      <w:r w:rsidR="004C3FD4">
        <w:rPr>
          <w:lang w:val="en-GB"/>
        </w:rPr>
        <w:t>9.50</w:t>
      </w:r>
      <w:r w:rsidR="005F0A77">
        <w:rPr>
          <w:lang w:val="en-GB"/>
        </w:rPr>
        <w:t xml:space="preserve"> </w:t>
      </w:r>
      <w:r>
        <w:rPr>
          <w:lang w:val="en-GB"/>
        </w:rPr>
        <w:t>for mouse plasma</w:t>
      </w:r>
      <w:r w:rsidR="0034515E">
        <w:rPr>
          <w:lang w:val="en-GB"/>
        </w:rPr>
        <w:t xml:space="preserve"> and</w:t>
      </w:r>
      <w:r>
        <w:rPr>
          <w:lang w:val="en-GB"/>
        </w:rPr>
        <w:t xml:space="preserve"> human </w:t>
      </w:r>
      <w:r w:rsidR="005F0A77">
        <w:rPr>
          <w:lang w:val="en-GB"/>
        </w:rPr>
        <w:t>plasma,</w:t>
      </w:r>
      <w:r>
        <w:rPr>
          <w:lang w:val="en-GB"/>
        </w:rPr>
        <w:t xml:space="preserve"> </w:t>
      </w:r>
      <w:r w:rsidR="0034515E">
        <w:rPr>
          <w:lang w:val="en-GB"/>
        </w:rPr>
        <w:t xml:space="preserve">respectively. </w:t>
      </w:r>
      <w:r w:rsidR="005F0A77">
        <w:rPr>
          <w:lang w:val="en-GB"/>
        </w:rPr>
        <w:t xml:space="preserve">Recovery from DMEM with varying percentages of </w:t>
      </w:r>
      <w:r w:rsidR="00785F91">
        <w:rPr>
          <w:lang w:val="en-GB"/>
        </w:rPr>
        <w:t>serum</w:t>
      </w:r>
      <w:r w:rsidR="005F0A77">
        <w:rPr>
          <w:lang w:val="en-GB"/>
        </w:rPr>
        <w:t xml:space="preserve"> was 45.2% ±3.84 (50% FBS), 48.1% ±4.72 (25% FBS), 50.3% ±6.54 (12% FBS), 50.1% ±0.63 (10% FBS), 42.1% ±4.20 (5% FBS), 42.8% ±4.50 (2% FBS)</w:t>
      </w:r>
      <w:r w:rsidR="00785F91">
        <w:rPr>
          <w:lang w:val="en-GB"/>
        </w:rPr>
        <w:t xml:space="preserve">, </w:t>
      </w:r>
      <w:r w:rsidR="005F0A77">
        <w:rPr>
          <w:lang w:val="en-GB"/>
        </w:rPr>
        <w:t>50.5% ±9.80 (</w:t>
      </w:r>
      <w:r w:rsidR="0016096F">
        <w:rPr>
          <w:lang w:val="en-GB"/>
        </w:rPr>
        <w:t>0</w:t>
      </w:r>
      <w:r w:rsidR="005F0A77">
        <w:rPr>
          <w:lang w:val="en-GB"/>
        </w:rPr>
        <w:t>% FBS)</w:t>
      </w:r>
      <w:r w:rsidR="00484DB5">
        <w:rPr>
          <w:lang w:val="en-GB"/>
        </w:rPr>
        <w:t>,</w:t>
      </w:r>
      <w:r w:rsidR="00785F91">
        <w:rPr>
          <w:lang w:val="en-GB"/>
        </w:rPr>
        <w:t xml:space="preserve"> 51.0% ±2.30 (50% human plasma) and 40.5% ±4.68 (10% human plasma)</w:t>
      </w:r>
      <w:r w:rsidR="005F0A77">
        <w:rPr>
          <w:lang w:val="en-GB"/>
        </w:rPr>
        <w:t>.</w:t>
      </w:r>
      <w:r w:rsidR="00785F91">
        <w:rPr>
          <w:lang w:val="en-GB"/>
        </w:rPr>
        <w:t xml:space="preserve"> </w:t>
      </w:r>
      <w:r w:rsidR="00C63927">
        <w:rPr>
          <w:lang w:val="en-GB"/>
        </w:rPr>
        <w:t>While r</w:t>
      </w:r>
      <w:r>
        <w:rPr>
          <w:lang w:val="en-GB"/>
        </w:rPr>
        <w:t>ecovery varied between each matrix</w:t>
      </w:r>
      <w:r w:rsidR="00C63927">
        <w:rPr>
          <w:lang w:val="en-GB"/>
        </w:rPr>
        <w:t>, m</w:t>
      </w:r>
      <w:r>
        <w:rPr>
          <w:lang w:val="en-GB"/>
        </w:rPr>
        <w:t>ean recovery</w:t>
      </w:r>
      <w:r w:rsidR="00F71E91">
        <w:rPr>
          <w:lang w:val="en-GB"/>
        </w:rPr>
        <w:t xml:space="preserve"> within each matrix </w:t>
      </w:r>
      <w:r>
        <w:rPr>
          <w:lang w:val="en-GB"/>
        </w:rPr>
        <w:t>demonstrate</w:t>
      </w:r>
      <w:r w:rsidR="00F71E91">
        <w:rPr>
          <w:lang w:val="en-GB"/>
        </w:rPr>
        <w:t>d</w:t>
      </w:r>
      <w:r>
        <w:rPr>
          <w:lang w:val="en-GB"/>
        </w:rPr>
        <w:t xml:space="preserve"> high </w:t>
      </w:r>
      <w:r w:rsidR="00F71E91">
        <w:rPr>
          <w:lang w:val="en-GB"/>
        </w:rPr>
        <w:t>r</w:t>
      </w:r>
      <w:r w:rsidR="00DE174E">
        <w:rPr>
          <w:lang w:val="en-GB"/>
        </w:rPr>
        <w:t>epeatability</w:t>
      </w:r>
      <w:r>
        <w:rPr>
          <w:lang w:val="en-GB"/>
        </w:rPr>
        <w:t xml:space="preserve"> (</w:t>
      </w:r>
      <w:r w:rsidR="0034515E">
        <w:rPr>
          <w:lang w:val="en-GB"/>
        </w:rPr>
        <w:t xml:space="preserve">example recoveries are shown in </w:t>
      </w:r>
      <w:r>
        <w:rPr>
          <w:lang w:val="en-GB"/>
        </w:rPr>
        <w:t>Figure 1).</w:t>
      </w:r>
    </w:p>
    <w:p w14:paraId="02E97F89" w14:textId="19B0A535" w:rsidR="007E17DF" w:rsidRPr="0045431D" w:rsidRDefault="00071853" w:rsidP="0045431D">
      <w:pPr>
        <w:spacing w:line="360" w:lineRule="auto"/>
        <w:jc w:val="both"/>
        <w:rPr>
          <w:rFonts w:cstheme="minorHAnsi"/>
          <w:b/>
          <w:bCs/>
          <w:lang w:val="en-GB"/>
        </w:rPr>
      </w:pPr>
      <w:r>
        <w:rPr>
          <w:rFonts w:cstheme="minorHAnsi"/>
          <w:b/>
          <w:bCs/>
          <w:lang w:val="en-GB"/>
        </w:rPr>
        <w:t xml:space="preserve">3.2 </w:t>
      </w:r>
      <w:r w:rsidR="007E17DF" w:rsidRPr="0045431D">
        <w:rPr>
          <w:rFonts w:cstheme="minorHAnsi"/>
          <w:b/>
          <w:bCs/>
          <w:lang w:val="en-GB"/>
        </w:rPr>
        <w:t>Linearity</w:t>
      </w:r>
    </w:p>
    <w:p w14:paraId="17166AF9" w14:textId="3D52CDA0" w:rsidR="007E17DF" w:rsidRPr="0045431D" w:rsidRDefault="00F71E91" w:rsidP="00936FD8">
      <w:pPr>
        <w:spacing w:line="360" w:lineRule="auto"/>
        <w:jc w:val="both"/>
        <w:rPr>
          <w:rFonts w:cstheme="minorHAnsi"/>
          <w:lang w:val="en-GB"/>
        </w:rPr>
      </w:pPr>
      <w:r w:rsidRPr="00F71E91">
        <w:rPr>
          <w:rFonts w:cstheme="minorHAnsi"/>
          <w:lang w:val="en-GB"/>
        </w:rPr>
        <w:t>Extracted calibrators demonstrated strong linearity (mouse plasma R</w:t>
      </w:r>
      <w:r w:rsidRPr="00936FD8">
        <w:rPr>
          <w:rFonts w:cstheme="minorHAnsi"/>
          <w:vertAlign w:val="superscript"/>
          <w:lang w:val="en-GB"/>
        </w:rPr>
        <w:t>2</w:t>
      </w:r>
      <w:r w:rsidRPr="00F71E91">
        <w:rPr>
          <w:rFonts w:cstheme="minorHAnsi"/>
          <w:lang w:val="en-GB"/>
        </w:rPr>
        <w:t xml:space="preserve"> = 0.99</w:t>
      </w:r>
      <w:r w:rsidR="00936FD8">
        <w:rPr>
          <w:rFonts w:cstheme="minorHAnsi"/>
          <w:lang w:val="en-GB"/>
        </w:rPr>
        <w:t>97</w:t>
      </w:r>
      <w:r w:rsidRPr="00F71E91">
        <w:rPr>
          <w:rFonts w:cstheme="minorHAnsi"/>
          <w:lang w:val="en-GB"/>
        </w:rPr>
        <w:t>, human plasma R</w:t>
      </w:r>
      <w:r w:rsidRPr="00936FD8">
        <w:rPr>
          <w:rFonts w:cstheme="minorHAnsi"/>
          <w:vertAlign w:val="superscript"/>
          <w:lang w:val="en-GB"/>
        </w:rPr>
        <w:t>2</w:t>
      </w:r>
      <w:r w:rsidRPr="00F71E91">
        <w:rPr>
          <w:rFonts w:cstheme="minorHAnsi"/>
          <w:lang w:val="en-GB"/>
        </w:rPr>
        <w:t xml:space="preserve"> = 0.99</w:t>
      </w:r>
      <w:r w:rsidR="00936FD8">
        <w:rPr>
          <w:rFonts w:cstheme="minorHAnsi"/>
          <w:lang w:val="en-GB"/>
        </w:rPr>
        <w:t>91, 50</w:t>
      </w:r>
      <w:r w:rsidR="0023380B">
        <w:rPr>
          <w:rFonts w:cstheme="minorHAnsi"/>
          <w:lang w:val="en-GB"/>
        </w:rPr>
        <w:t>%</w:t>
      </w:r>
      <w:r w:rsidR="00936FD8">
        <w:rPr>
          <w:rFonts w:cstheme="minorHAnsi"/>
          <w:lang w:val="en-GB"/>
        </w:rPr>
        <w:t xml:space="preserve"> human plasma </w:t>
      </w:r>
      <w:r w:rsidR="00936FD8" w:rsidRPr="00F71E91">
        <w:rPr>
          <w:rFonts w:cstheme="minorHAnsi"/>
          <w:lang w:val="en-GB"/>
        </w:rPr>
        <w:t>R</w:t>
      </w:r>
      <w:r w:rsidR="00936FD8" w:rsidRPr="00936FD8">
        <w:rPr>
          <w:rFonts w:cstheme="minorHAnsi"/>
          <w:vertAlign w:val="superscript"/>
          <w:lang w:val="en-GB"/>
        </w:rPr>
        <w:t>2</w:t>
      </w:r>
      <w:r w:rsidR="00936FD8" w:rsidRPr="00F71E91">
        <w:rPr>
          <w:rFonts w:cstheme="minorHAnsi"/>
          <w:lang w:val="en-GB"/>
        </w:rPr>
        <w:t xml:space="preserve"> = 0.99</w:t>
      </w:r>
      <w:r w:rsidR="00936FD8">
        <w:rPr>
          <w:rFonts w:cstheme="minorHAnsi"/>
          <w:lang w:val="en-GB"/>
        </w:rPr>
        <w:t xml:space="preserve">83, 10% human plasma </w:t>
      </w:r>
      <w:r w:rsidR="00936FD8" w:rsidRPr="00F71E91">
        <w:rPr>
          <w:rFonts w:cstheme="minorHAnsi"/>
          <w:lang w:val="en-GB"/>
        </w:rPr>
        <w:t>R</w:t>
      </w:r>
      <w:r w:rsidR="00936FD8" w:rsidRPr="00936FD8">
        <w:rPr>
          <w:rFonts w:cstheme="minorHAnsi"/>
          <w:vertAlign w:val="superscript"/>
          <w:lang w:val="en-GB"/>
        </w:rPr>
        <w:t>2</w:t>
      </w:r>
      <w:r w:rsidR="00936FD8" w:rsidRPr="00F71E91">
        <w:rPr>
          <w:rFonts w:cstheme="minorHAnsi"/>
          <w:lang w:val="en-GB"/>
        </w:rPr>
        <w:t xml:space="preserve"> = 0.99</w:t>
      </w:r>
      <w:r w:rsidR="00936FD8">
        <w:rPr>
          <w:rFonts w:cstheme="minorHAnsi"/>
          <w:lang w:val="en-GB"/>
        </w:rPr>
        <w:t xml:space="preserve">92, 50% FBS </w:t>
      </w:r>
      <w:r w:rsidR="00936FD8" w:rsidRPr="00F71E91">
        <w:rPr>
          <w:rFonts w:cstheme="minorHAnsi"/>
          <w:lang w:val="en-GB"/>
        </w:rPr>
        <w:t>R</w:t>
      </w:r>
      <w:r w:rsidR="00936FD8" w:rsidRPr="00936FD8">
        <w:rPr>
          <w:rFonts w:cstheme="minorHAnsi"/>
          <w:vertAlign w:val="superscript"/>
          <w:lang w:val="en-GB"/>
        </w:rPr>
        <w:t>2</w:t>
      </w:r>
      <w:r w:rsidR="00936FD8" w:rsidRPr="00F71E91">
        <w:rPr>
          <w:rFonts w:cstheme="minorHAnsi"/>
          <w:lang w:val="en-GB"/>
        </w:rPr>
        <w:t xml:space="preserve"> = 0.997</w:t>
      </w:r>
      <w:r w:rsidR="00936FD8">
        <w:rPr>
          <w:rFonts w:cstheme="minorHAnsi"/>
          <w:lang w:val="en-GB"/>
        </w:rPr>
        <w:t xml:space="preserve">0, 25% FBS </w:t>
      </w:r>
      <w:r w:rsidR="00936FD8" w:rsidRPr="00F71E91">
        <w:rPr>
          <w:rFonts w:cstheme="minorHAnsi"/>
          <w:lang w:val="en-GB"/>
        </w:rPr>
        <w:t>R</w:t>
      </w:r>
      <w:r w:rsidR="00936FD8" w:rsidRPr="00936FD8">
        <w:rPr>
          <w:rFonts w:cstheme="minorHAnsi"/>
          <w:vertAlign w:val="superscript"/>
          <w:lang w:val="en-GB"/>
        </w:rPr>
        <w:t>2</w:t>
      </w:r>
      <w:r w:rsidR="00936FD8" w:rsidRPr="00F71E91">
        <w:rPr>
          <w:rFonts w:cstheme="minorHAnsi"/>
          <w:lang w:val="en-GB"/>
        </w:rPr>
        <w:t xml:space="preserve"> = 0.99</w:t>
      </w:r>
      <w:r w:rsidR="00936FD8">
        <w:rPr>
          <w:rFonts w:cstheme="minorHAnsi"/>
          <w:lang w:val="en-GB"/>
        </w:rPr>
        <w:t xml:space="preserve">92, 12% FBS </w:t>
      </w:r>
      <w:r w:rsidR="00936FD8" w:rsidRPr="00F71E91">
        <w:rPr>
          <w:rFonts w:cstheme="minorHAnsi"/>
          <w:lang w:val="en-GB"/>
        </w:rPr>
        <w:t>R</w:t>
      </w:r>
      <w:r w:rsidR="00936FD8" w:rsidRPr="00936FD8">
        <w:rPr>
          <w:rFonts w:cstheme="minorHAnsi"/>
          <w:vertAlign w:val="superscript"/>
          <w:lang w:val="en-GB"/>
        </w:rPr>
        <w:t>2</w:t>
      </w:r>
      <w:r w:rsidR="00936FD8" w:rsidRPr="00F71E91">
        <w:rPr>
          <w:rFonts w:cstheme="minorHAnsi"/>
          <w:lang w:val="en-GB"/>
        </w:rPr>
        <w:t xml:space="preserve"> = 0.99</w:t>
      </w:r>
      <w:r w:rsidR="00936FD8">
        <w:rPr>
          <w:rFonts w:cstheme="minorHAnsi"/>
          <w:lang w:val="en-GB"/>
        </w:rPr>
        <w:t>96,</w:t>
      </w:r>
      <w:r w:rsidR="00936FD8" w:rsidRPr="00936FD8">
        <w:rPr>
          <w:rFonts w:cstheme="minorHAnsi"/>
          <w:lang w:val="en-GB"/>
        </w:rPr>
        <w:t xml:space="preserve"> </w:t>
      </w:r>
      <w:r w:rsidR="00936FD8">
        <w:rPr>
          <w:rFonts w:cstheme="minorHAnsi"/>
          <w:lang w:val="en-GB"/>
        </w:rPr>
        <w:t xml:space="preserve">10% FBS </w:t>
      </w:r>
      <w:r w:rsidR="00936FD8" w:rsidRPr="00F71E91">
        <w:rPr>
          <w:rFonts w:cstheme="minorHAnsi"/>
          <w:lang w:val="en-GB"/>
        </w:rPr>
        <w:t>R</w:t>
      </w:r>
      <w:r w:rsidR="00936FD8" w:rsidRPr="00936FD8">
        <w:rPr>
          <w:rFonts w:cstheme="minorHAnsi"/>
          <w:vertAlign w:val="superscript"/>
          <w:lang w:val="en-GB"/>
        </w:rPr>
        <w:t>2</w:t>
      </w:r>
      <w:r w:rsidR="00936FD8" w:rsidRPr="00F71E91">
        <w:rPr>
          <w:rFonts w:cstheme="minorHAnsi"/>
          <w:lang w:val="en-GB"/>
        </w:rPr>
        <w:t xml:space="preserve"> = 0.99</w:t>
      </w:r>
      <w:r w:rsidR="00936FD8">
        <w:rPr>
          <w:rFonts w:cstheme="minorHAnsi"/>
          <w:lang w:val="en-GB"/>
        </w:rPr>
        <w:t>92,</w:t>
      </w:r>
      <w:r w:rsidR="00936FD8" w:rsidRPr="00936FD8">
        <w:rPr>
          <w:rFonts w:cstheme="minorHAnsi"/>
          <w:lang w:val="en-GB"/>
        </w:rPr>
        <w:t xml:space="preserve"> </w:t>
      </w:r>
      <w:r w:rsidR="00936FD8">
        <w:rPr>
          <w:rFonts w:cstheme="minorHAnsi"/>
          <w:lang w:val="en-GB"/>
        </w:rPr>
        <w:t xml:space="preserve">5% FBS </w:t>
      </w:r>
      <w:r w:rsidR="00936FD8" w:rsidRPr="00F71E91">
        <w:rPr>
          <w:rFonts w:cstheme="minorHAnsi"/>
          <w:lang w:val="en-GB"/>
        </w:rPr>
        <w:t>R</w:t>
      </w:r>
      <w:r w:rsidR="00936FD8" w:rsidRPr="00936FD8">
        <w:rPr>
          <w:rFonts w:cstheme="minorHAnsi"/>
          <w:vertAlign w:val="superscript"/>
          <w:lang w:val="en-GB"/>
        </w:rPr>
        <w:t>2</w:t>
      </w:r>
      <w:r w:rsidR="00936FD8" w:rsidRPr="00F71E91">
        <w:rPr>
          <w:rFonts w:cstheme="minorHAnsi"/>
          <w:lang w:val="en-GB"/>
        </w:rPr>
        <w:t xml:space="preserve"> = 0.99</w:t>
      </w:r>
      <w:r w:rsidR="00936FD8">
        <w:rPr>
          <w:rFonts w:cstheme="minorHAnsi"/>
          <w:lang w:val="en-GB"/>
        </w:rPr>
        <w:t xml:space="preserve">95 </w:t>
      </w:r>
      <w:r w:rsidR="00BA1EC2">
        <w:rPr>
          <w:rFonts w:cstheme="minorHAnsi"/>
          <w:lang w:val="en-GB"/>
        </w:rPr>
        <w:t xml:space="preserve">and </w:t>
      </w:r>
      <w:r w:rsidR="00936FD8">
        <w:rPr>
          <w:rFonts w:cstheme="minorHAnsi"/>
          <w:lang w:val="en-GB"/>
        </w:rPr>
        <w:t xml:space="preserve">2% FBS </w:t>
      </w:r>
      <w:r w:rsidR="00936FD8" w:rsidRPr="00F71E91">
        <w:rPr>
          <w:rFonts w:cstheme="minorHAnsi"/>
          <w:lang w:val="en-GB"/>
        </w:rPr>
        <w:t>R</w:t>
      </w:r>
      <w:r w:rsidR="00936FD8" w:rsidRPr="00936FD8">
        <w:rPr>
          <w:rFonts w:cstheme="minorHAnsi"/>
          <w:vertAlign w:val="superscript"/>
          <w:lang w:val="en-GB"/>
        </w:rPr>
        <w:t>2</w:t>
      </w:r>
      <w:r w:rsidR="00936FD8" w:rsidRPr="00F71E91">
        <w:rPr>
          <w:rFonts w:cstheme="minorHAnsi"/>
          <w:lang w:val="en-GB"/>
        </w:rPr>
        <w:t xml:space="preserve"> = 0.99</w:t>
      </w:r>
      <w:r w:rsidR="00936FD8">
        <w:rPr>
          <w:rFonts w:cstheme="minorHAnsi"/>
          <w:lang w:val="en-GB"/>
        </w:rPr>
        <w:t>95</w:t>
      </w:r>
      <w:r w:rsidR="00D94343">
        <w:rPr>
          <w:rFonts w:cstheme="minorHAnsi"/>
          <w:lang w:val="en-GB"/>
        </w:rPr>
        <w:t>)</w:t>
      </w:r>
      <w:r w:rsidRPr="00F71E91">
        <w:rPr>
          <w:rFonts w:cstheme="minorHAnsi"/>
          <w:lang w:val="en-GB"/>
        </w:rPr>
        <w:t xml:space="preserve"> meeting all acceptance criteria (Figure 2). The calibration curve was fit to the data using a linear equation with sample weighting of 1/X.</w:t>
      </w:r>
    </w:p>
    <w:p w14:paraId="52500511" w14:textId="36F71F21" w:rsidR="007E17DF" w:rsidRPr="0045431D" w:rsidRDefault="00071853" w:rsidP="0045431D">
      <w:pPr>
        <w:spacing w:line="360" w:lineRule="auto"/>
        <w:jc w:val="both"/>
        <w:rPr>
          <w:rFonts w:cstheme="minorHAnsi"/>
          <w:b/>
          <w:bCs/>
          <w:lang w:val="en-GB"/>
        </w:rPr>
      </w:pPr>
      <w:r>
        <w:rPr>
          <w:rFonts w:cstheme="minorHAnsi"/>
          <w:b/>
          <w:bCs/>
          <w:lang w:val="en-GB"/>
        </w:rPr>
        <w:t xml:space="preserve">3.3 </w:t>
      </w:r>
      <w:r w:rsidR="007E17DF" w:rsidRPr="0045431D">
        <w:rPr>
          <w:rFonts w:cstheme="minorHAnsi"/>
          <w:b/>
          <w:bCs/>
          <w:lang w:val="en-GB"/>
        </w:rPr>
        <w:t>Selectivity</w:t>
      </w:r>
    </w:p>
    <w:p w14:paraId="1AA00826" w14:textId="24E12795" w:rsidR="00233D60" w:rsidRDefault="004C3FD4" w:rsidP="0045431D">
      <w:pPr>
        <w:spacing w:line="360" w:lineRule="auto"/>
        <w:jc w:val="both"/>
        <w:rPr>
          <w:rFonts w:cstheme="minorHAnsi"/>
          <w:lang w:val="en-GB"/>
        </w:rPr>
      </w:pPr>
      <w:bookmarkStart w:id="2" w:name="OLE_LINK7"/>
      <w:bookmarkStart w:id="3" w:name="OLE_LINK8"/>
      <w:r>
        <w:rPr>
          <w:rFonts w:cstheme="minorHAnsi"/>
          <w:lang w:val="en-GB"/>
        </w:rPr>
        <w:t>Interference from endogenous compounds of a matrix is a well-documented confounding effect in bioanalysis. The Peak area produced by the LLOQ was compared to detectable signal at the retention time of TIZ (</w:t>
      </w:r>
      <w:r w:rsidR="00233D60">
        <w:rPr>
          <w:rFonts w:cstheme="minorHAnsi"/>
          <w:lang w:val="en-GB"/>
        </w:rPr>
        <w:t xml:space="preserve">2.46 mins) </w:t>
      </w:r>
      <w:r w:rsidR="00824DDD">
        <w:rPr>
          <w:rFonts w:cstheme="minorHAnsi"/>
          <w:lang w:val="en-GB"/>
        </w:rPr>
        <w:t xml:space="preserve">and expressed as a percentage of the peak area of the LLOQ (Table 2). Representative chromatograms are shown in figure 3. </w:t>
      </w:r>
    </w:p>
    <w:bookmarkEnd w:id="2"/>
    <w:bookmarkEnd w:id="3"/>
    <w:p w14:paraId="66868AC3" w14:textId="528044FD" w:rsidR="00257DAC" w:rsidRPr="00E05D3F" w:rsidRDefault="00257DAC" w:rsidP="0045431D">
      <w:pPr>
        <w:spacing w:line="360" w:lineRule="auto"/>
        <w:jc w:val="both"/>
        <w:rPr>
          <w:rFonts w:cstheme="minorHAnsi"/>
          <w:b/>
          <w:bCs/>
          <w:lang w:val="en-GB"/>
        </w:rPr>
      </w:pPr>
      <w:r w:rsidRPr="00E05D3F">
        <w:rPr>
          <w:rFonts w:cstheme="minorHAnsi"/>
          <w:b/>
          <w:bCs/>
          <w:lang w:val="en-GB"/>
        </w:rPr>
        <w:t>3.4 Carryover</w:t>
      </w:r>
    </w:p>
    <w:p w14:paraId="2C42389B" w14:textId="6EA728AB" w:rsidR="007E17DF" w:rsidRPr="0045431D" w:rsidRDefault="6A3A861A" w:rsidP="0045431D">
      <w:pPr>
        <w:spacing w:line="360" w:lineRule="auto"/>
        <w:jc w:val="both"/>
        <w:rPr>
          <w:rFonts w:cstheme="minorHAnsi"/>
          <w:b/>
          <w:bCs/>
          <w:lang w:val="en-GB"/>
        </w:rPr>
      </w:pPr>
      <w:r w:rsidRPr="497F587A">
        <w:rPr>
          <w:lang w:val="en-GB"/>
        </w:rPr>
        <w:t>Carryover was assessed by comparing the peak area of a blank following an injection of the ULOQ</w:t>
      </w:r>
      <w:r w:rsidR="12A46CBC" w:rsidRPr="497F587A">
        <w:rPr>
          <w:lang w:val="en-GB"/>
        </w:rPr>
        <w:t xml:space="preserve"> to the peak area of </w:t>
      </w:r>
      <w:r w:rsidR="497F587A" w:rsidRPr="497F587A">
        <w:rPr>
          <w:lang w:val="en-GB"/>
        </w:rPr>
        <w:t>the LLOQ</w:t>
      </w:r>
      <w:r w:rsidR="43F5636C" w:rsidRPr="497F587A">
        <w:rPr>
          <w:lang w:val="en-GB"/>
        </w:rPr>
        <w:t xml:space="preserve">. Table 2 shows the % carryover observed in </w:t>
      </w:r>
      <w:proofErr w:type="spellStart"/>
      <w:r w:rsidR="43F5636C" w:rsidRPr="497F587A">
        <w:rPr>
          <w:lang w:val="en-GB"/>
        </w:rPr>
        <w:t>ech</w:t>
      </w:r>
      <w:proofErr w:type="spellEnd"/>
      <w:r w:rsidR="43F5636C" w:rsidRPr="497F587A">
        <w:rPr>
          <w:lang w:val="en-GB"/>
        </w:rPr>
        <w:t xml:space="preserve"> matrix. Although carryover was higher in FBS matrices, all carryover signals were below 20% o</w:t>
      </w:r>
      <w:r w:rsidR="5B1A8A6F" w:rsidRPr="497F587A">
        <w:rPr>
          <w:lang w:val="en-GB"/>
        </w:rPr>
        <w:t>f the LLOQ.</w:t>
      </w:r>
      <w:r w:rsidR="00071853">
        <w:rPr>
          <w:rFonts w:cstheme="minorHAnsi"/>
          <w:b/>
          <w:bCs/>
          <w:lang w:val="en-GB"/>
        </w:rPr>
        <w:t>3.</w:t>
      </w:r>
      <w:r w:rsidR="00F02D26">
        <w:rPr>
          <w:rFonts w:cstheme="minorHAnsi"/>
          <w:b/>
          <w:bCs/>
          <w:lang w:val="en-GB"/>
        </w:rPr>
        <w:t>5</w:t>
      </w:r>
      <w:r w:rsidR="00071853">
        <w:rPr>
          <w:rFonts w:cstheme="minorHAnsi"/>
          <w:b/>
          <w:bCs/>
          <w:lang w:val="en-GB"/>
        </w:rPr>
        <w:t xml:space="preserve"> </w:t>
      </w:r>
      <w:r w:rsidR="007E17DF" w:rsidRPr="0045431D">
        <w:rPr>
          <w:rFonts w:cstheme="minorHAnsi"/>
          <w:b/>
          <w:bCs/>
          <w:lang w:val="en-GB"/>
        </w:rPr>
        <w:t>Accuracy and Precision</w:t>
      </w:r>
    </w:p>
    <w:p w14:paraId="5848712F" w14:textId="1E90DA5E" w:rsidR="00FE2531" w:rsidRDefault="00D816EF" w:rsidP="00D672B0">
      <w:pPr>
        <w:spacing w:line="360" w:lineRule="auto"/>
        <w:jc w:val="both"/>
        <w:rPr>
          <w:rFonts w:cstheme="minorHAnsi"/>
          <w:lang w:val="en-GB"/>
        </w:rPr>
      </w:pPr>
      <w:r>
        <w:rPr>
          <w:rFonts w:cstheme="minorHAnsi"/>
          <w:lang w:val="en-GB"/>
        </w:rPr>
        <w:t>The assay described here was f</w:t>
      </w:r>
      <w:r w:rsidR="00281A0F" w:rsidRPr="00281A0F">
        <w:rPr>
          <w:rFonts w:cstheme="minorHAnsi"/>
          <w:lang w:val="en-GB"/>
        </w:rPr>
        <w:t>ull</w:t>
      </w:r>
      <w:r>
        <w:rPr>
          <w:rFonts w:cstheme="minorHAnsi"/>
          <w:lang w:val="en-GB"/>
        </w:rPr>
        <w:t>y validated</w:t>
      </w:r>
      <w:r w:rsidR="00281A0F" w:rsidRPr="00281A0F">
        <w:rPr>
          <w:rFonts w:cstheme="minorHAnsi"/>
          <w:lang w:val="en-GB"/>
        </w:rPr>
        <w:t xml:space="preserve"> using mouse plasma.</w:t>
      </w:r>
      <w:r>
        <w:rPr>
          <w:rFonts w:cstheme="minorHAnsi"/>
          <w:lang w:val="en-GB"/>
        </w:rPr>
        <w:t xml:space="preserve"> The variation in accuracy and precision was determined within each assay (inter-assay) and across 3 replicates of the assay (intra-assay).</w:t>
      </w:r>
      <w:r w:rsidR="00281A0F" w:rsidRPr="00281A0F">
        <w:rPr>
          <w:rFonts w:cstheme="minorHAnsi"/>
          <w:lang w:val="en-GB"/>
        </w:rPr>
        <w:t xml:space="preserve"> </w:t>
      </w:r>
      <w:r w:rsidR="001C4ADF">
        <w:rPr>
          <w:rFonts w:cstheme="minorHAnsi"/>
          <w:lang w:val="en-GB"/>
        </w:rPr>
        <w:t xml:space="preserve">Variance in accuracy and precision was determined by comparing the interpolated values of extracted </w:t>
      </w:r>
      <w:r w:rsidR="00BD5CB7">
        <w:rPr>
          <w:rFonts w:cstheme="minorHAnsi"/>
          <w:lang w:val="en-GB"/>
        </w:rPr>
        <w:t xml:space="preserve">LLOQ and </w:t>
      </w:r>
      <w:r w:rsidR="001C4ADF">
        <w:rPr>
          <w:rFonts w:cstheme="minorHAnsi"/>
          <w:lang w:val="en-GB"/>
        </w:rPr>
        <w:t xml:space="preserve">QCs to the known values. </w:t>
      </w:r>
      <w:r w:rsidR="00AD39DA">
        <w:rPr>
          <w:rFonts w:cstheme="minorHAnsi"/>
          <w:lang w:val="en-GB"/>
        </w:rPr>
        <w:t>Inter assay fell below 15% for accuracy (range -13.</w:t>
      </w:r>
      <w:r w:rsidR="00DA3B13">
        <w:rPr>
          <w:rFonts w:cstheme="minorHAnsi"/>
          <w:lang w:val="en-GB"/>
        </w:rPr>
        <w:t xml:space="preserve">5% -2.2%) </w:t>
      </w:r>
      <w:r w:rsidR="00AD39DA">
        <w:rPr>
          <w:rFonts w:cstheme="minorHAnsi"/>
          <w:lang w:val="en-GB"/>
        </w:rPr>
        <w:t xml:space="preserve">and </w:t>
      </w:r>
      <w:r w:rsidR="00DA3B13">
        <w:rPr>
          <w:rFonts w:cstheme="minorHAnsi"/>
          <w:lang w:val="en-GB"/>
        </w:rPr>
        <w:t>precision</w:t>
      </w:r>
      <w:r w:rsidR="00AD39DA">
        <w:rPr>
          <w:rFonts w:cstheme="minorHAnsi"/>
          <w:lang w:val="en-GB"/>
        </w:rPr>
        <w:t xml:space="preserve"> (</w:t>
      </w:r>
      <w:r w:rsidR="00DA3B13">
        <w:rPr>
          <w:rFonts w:cstheme="minorHAnsi"/>
          <w:lang w:val="en-GB"/>
        </w:rPr>
        <w:t xml:space="preserve">range </w:t>
      </w:r>
      <w:r w:rsidR="00DA3B13">
        <w:rPr>
          <w:rFonts w:cstheme="minorHAnsi"/>
          <w:lang w:val="en-GB"/>
        </w:rPr>
        <w:lastRenderedPageBreak/>
        <w:t xml:space="preserve">0.9% - 5.4%) </w:t>
      </w:r>
      <w:r w:rsidR="00AD39DA">
        <w:rPr>
          <w:rFonts w:cstheme="minorHAnsi"/>
          <w:lang w:val="en-GB"/>
        </w:rPr>
        <w:t>at all concentrations across each replicate run.</w:t>
      </w:r>
      <w:r w:rsidR="00DA3B13">
        <w:rPr>
          <w:rFonts w:cstheme="minorHAnsi"/>
          <w:lang w:val="en-GB"/>
        </w:rPr>
        <w:t xml:space="preserve"> Mean intra assay variance in accuracy and </w:t>
      </w:r>
      <w:r w:rsidR="00047BD8">
        <w:rPr>
          <w:rFonts w:cstheme="minorHAnsi"/>
          <w:lang w:val="en-GB"/>
        </w:rPr>
        <w:t>precision</w:t>
      </w:r>
      <w:r w:rsidR="00DA3B13">
        <w:rPr>
          <w:rFonts w:cstheme="minorHAnsi"/>
          <w:lang w:val="en-GB"/>
        </w:rPr>
        <w:t xml:space="preserve"> was -</w:t>
      </w:r>
      <w:r w:rsidR="00047BD8">
        <w:rPr>
          <w:rFonts w:cstheme="minorHAnsi"/>
          <w:lang w:val="en-GB"/>
        </w:rPr>
        <w:t>3.1</w:t>
      </w:r>
      <w:r w:rsidR="00DA3B13">
        <w:rPr>
          <w:rFonts w:cstheme="minorHAnsi"/>
          <w:lang w:val="en-GB"/>
        </w:rPr>
        <w:t xml:space="preserve">% and 3.6% respectively. </w:t>
      </w:r>
      <w:r w:rsidR="00281A0F" w:rsidRPr="00281A0F">
        <w:rPr>
          <w:rFonts w:cstheme="minorHAnsi"/>
          <w:lang w:val="en-GB"/>
        </w:rPr>
        <w:t xml:space="preserve">FDA guidelines </w:t>
      </w:r>
      <w:r w:rsidR="00DA3B13">
        <w:rPr>
          <w:rFonts w:cstheme="minorHAnsi"/>
          <w:lang w:val="en-GB"/>
        </w:rPr>
        <w:t>require part validation for minor changes to the assay (</w:t>
      </w:r>
      <w:r w:rsidR="00EC770D">
        <w:rPr>
          <w:rFonts w:cstheme="minorHAnsi"/>
          <w:lang w:val="en-GB"/>
        </w:rPr>
        <w:t>e.g.,</w:t>
      </w:r>
      <w:r w:rsidR="00DA3B13">
        <w:rPr>
          <w:rFonts w:cstheme="minorHAnsi"/>
          <w:lang w:val="en-GB"/>
        </w:rPr>
        <w:t xml:space="preserve"> change of matrix). </w:t>
      </w:r>
      <w:r w:rsidR="00047BD8">
        <w:rPr>
          <w:rFonts w:cstheme="minorHAnsi"/>
          <w:lang w:val="en-GB"/>
        </w:rPr>
        <w:t>The remaining matrices were assessed for inter assay variation</w:t>
      </w:r>
      <w:r w:rsidR="00281A0F" w:rsidRPr="00281A0F">
        <w:rPr>
          <w:rFonts w:cstheme="minorHAnsi"/>
          <w:lang w:val="en-GB"/>
        </w:rPr>
        <w:t xml:space="preserve"> </w:t>
      </w:r>
      <w:r w:rsidR="00915038">
        <w:rPr>
          <w:rFonts w:cstheme="minorHAnsi"/>
          <w:lang w:val="en-GB"/>
        </w:rPr>
        <w:fldChar w:fldCharType="begin"/>
      </w:r>
      <w:r w:rsidR="00E06C25">
        <w:rPr>
          <w:rFonts w:cstheme="minorHAnsi"/>
          <w:lang w:val="en-GB"/>
        </w:rPr>
        <w:instrText xml:space="preserve"> ADDIN EN.CITE &lt;EndNote&gt;&lt;Cite&gt;&lt;Author&gt;Administration&lt;/Author&gt;&lt;Year&gt;2018&lt;/Year&gt;&lt;RecNum&gt;1108&lt;/RecNum&gt;&lt;DisplayText&gt;[30]&lt;/DisplayText&gt;&lt;record&gt;&lt;rec-number&gt;1108&lt;/rec-number&gt;&lt;foreign-keys&gt;&lt;key app="EN" db-id="09sztrdrjsd2r6e9x96psvsbrd9ate929dar" timestamp="1591699718"&gt;1108&lt;/key&gt;&lt;/foreign-keys&gt;&lt;ref-type name="Government Document"&gt;46&lt;/ref-type&gt;&lt;contributors&gt;&lt;authors&gt;&lt;author&gt;U.S. Department of Health and Human Services Food and Drug Administration&lt;/author&gt;&lt;/authors&gt;&lt;secondary-authors&gt;&lt;author&gt;U.S. Department of Health and Human Services Food and Drug Administration Center for Drug Evaluation and Research (CDER) Center for Veterinary Medicine (CVM)&lt;/author&gt;&lt;/secondary-authors&gt;&lt;/contributors&gt;&lt;titles&gt;&lt;title&gt;Bioanalytical Method Validation Guidance for Industry&lt;/title&gt;&lt;/titles&gt;&lt;pages&gt;44&lt;/pages&gt;&lt;dates&gt;&lt;year&gt;2018&lt;/year&gt;&lt;/dates&gt;&lt;urls&gt;&lt;/urls&gt;&lt;/record&gt;&lt;/Cite&gt;&lt;/EndNote&gt;</w:instrText>
      </w:r>
      <w:r w:rsidR="00915038">
        <w:rPr>
          <w:rFonts w:cstheme="minorHAnsi"/>
          <w:lang w:val="en-GB"/>
        </w:rPr>
        <w:fldChar w:fldCharType="separate"/>
      </w:r>
      <w:r w:rsidR="00E06C25">
        <w:rPr>
          <w:rFonts w:cstheme="minorHAnsi"/>
          <w:noProof/>
          <w:lang w:val="en-GB"/>
        </w:rPr>
        <w:t>[30]</w:t>
      </w:r>
      <w:r w:rsidR="00915038">
        <w:rPr>
          <w:rFonts w:cstheme="minorHAnsi"/>
          <w:lang w:val="en-GB"/>
        </w:rPr>
        <w:fldChar w:fldCharType="end"/>
      </w:r>
      <w:r w:rsidR="00915038">
        <w:rPr>
          <w:rFonts w:cstheme="minorHAnsi"/>
          <w:lang w:val="en-GB"/>
        </w:rPr>
        <w:t>.</w:t>
      </w:r>
      <w:r w:rsidR="00281A0F" w:rsidRPr="00281A0F">
        <w:rPr>
          <w:rFonts w:cstheme="minorHAnsi"/>
          <w:lang w:val="en-GB"/>
        </w:rPr>
        <w:t xml:space="preserve"> The intra-assay % error in accuracy was below 15% at all levels in human plasma (</w:t>
      </w:r>
      <w:r w:rsidR="00047BD8">
        <w:rPr>
          <w:rFonts w:cstheme="minorHAnsi"/>
          <w:lang w:val="en-GB"/>
        </w:rPr>
        <w:t>range -3.3 – 8.0</w:t>
      </w:r>
      <w:r w:rsidR="00281A0F" w:rsidRPr="00281A0F">
        <w:rPr>
          <w:rFonts w:cstheme="minorHAnsi"/>
          <w:lang w:val="en-GB"/>
        </w:rPr>
        <w:t xml:space="preserve">) and </w:t>
      </w:r>
      <w:r w:rsidR="00047BD8">
        <w:rPr>
          <w:rFonts w:cstheme="minorHAnsi"/>
          <w:lang w:val="en-GB"/>
        </w:rPr>
        <w:t>FBS</w:t>
      </w:r>
      <w:r w:rsidR="00281A0F" w:rsidRPr="00281A0F">
        <w:rPr>
          <w:rFonts w:cstheme="minorHAnsi"/>
          <w:lang w:val="en-GB"/>
        </w:rPr>
        <w:t xml:space="preserve"> (</w:t>
      </w:r>
      <w:r w:rsidR="00047BD8">
        <w:rPr>
          <w:rFonts w:cstheme="minorHAnsi"/>
          <w:lang w:val="en-GB"/>
        </w:rPr>
        <w:t>range -1.4 – 10.8). I</w:t>
      </w:r>
      <w:r w:rsidR="00281A0F" w:rsidRPr="00281A0F">
        <w:rPr>
          <w:rFonts w:cstheme="minorHAnsi"/>
          <w:lang w:val="en-GB"/>
        </w:rPr>
        <w:t>ntra-assay error of precision also fell below 15% in human plasma (</w:t>
      </w:r>
      <w:r w:rsidR="00D1372A">
        <w:rPr>
          <w:rFonts w:cstheme="minorHAnsi"/>
          <w:lang w:val="en-GB"/>
        </w:rPr>
        <w:t xml:space="preserve">range 1.8 – 7.0) </w:t>
      </w:r>
      <w:r w:rsidR="00281A0F" w:rsidRPr="00281A0F">
        <w:rPr>
          <w:rFonts w:cstheme="minorHAnsi"/>
          <w:lang w:val="en-GB"/>
        </w:rPr>
        <w:t xml:space="preserve">and </w:t>
      </w:r>
      <w:r w:rsidR="00D1372A">
        <w:rPr>
          <w:rFonts w:cstheme="minorHAnsi"/>
          <w:lang w:val="en-GB"/>
        </w:rPr>
        <w:t>F</w:t>
      </w:r>
      <w:r w:rsidR="00281A0F" w:rsidRPr="00281A0F">
        <w:rPr>
          <w:rFonts w:cstheme="minorHAnsi"/>
          <w:lang w:val="en-GB"/>
        </w:rPr>
        <w:t>BS (</w:t>
      </w:r>
      <w:r w:rsidR="00D1372A">
        <w:rPr>
          <w:rFonts w:cstheme="minorHAnsi"/>
          <w:lang w:val="en-GB"/>
        </w:rPr>
        <w:t>range 1.1 – 7.0,</w:t>
      </w:r>
      <w:r w:rsidR="00281A0F" w:rsidRPr="00281A0F">
        <w:rPr>
          <w:rFonts w:cstheme="minorHAnsi"/>
          <w:lang w:val="en-GB"/>
        </w:rPr>
        <w:t xml:space="preserve"> Table 3).</w:t>
      </w:r>
    </w:p>
    <w:p w14:paraId="67EC6B1C" w14:textId="77777777" w:rsidR="00FE2531" w:rsidRDefault="00FE2531" w:rsidP="00D672B0">
      <w:pPr>
        <w:spacing w:line="360" w:lineRule="auto"/>
        <w:jc w:val="both"/>
        <w:rPr>
          <w:rFonts w:cstheme="minorHAnsi"/>
          <w:b/>
          <w:bCs/>
          <w:lang w:val="en-GB"/>
        </w:rPr>
      </w:pPr>
    </w:p>
    <w:p w14:paraId="1121F35F" w14:textId="1DD00F26" w:rsidR="004C1757" w:rsidRDefault="00FE2531" w:rsidP="00264C7A">
      <w:pPr>
        <w:spacing w:line="360" w:lineRule="auto"/>
        <w:jc w:val="both"/>
        <w:rPr>
          <w:b/>
          <w:bCs/>
        </w:rPr>
      </w:pPr>
      <w:r>
        <w:rPr>
          <w:rFonts w:cstheme="minorHAnsi"/>
          <w:b/>
          <w:bCs/>
          <w:lang w:val="en-GB"/>
        </w:rPr>
        <w:t>3.</w:t>
      </w:r>
      <w:r w:rsidR="00F02D26">
        <w:rPr>
          <w:rFonts w:cstheme="minorHAnsi"/>
          <w:b/>
          <w:bCs/>
          <w:lang w:val="en-GB"/>
        </w:rPr>
        <w:t>6</w:t>
      </w:r>
      <w:r>
        <w:rPr>
          <w:rFonts w:cstheme="minorHAnsi"/>
          <w:b/>
          <w:bCs/>
          <w:lang w:val="en-GB"/>
        </w:rPr>
        <w:t xml:space="preserve"> </w:t>
      </w:r>
      <w:proofErr w:type="spellStart"/>
      <w:r w:rsidR="004C1757">
        <w:rPr>
          <w:b/>
          <w:bCs/>
        </w:rPr>
        <w:t>Tizoxanide</w:t>
      </w:r>
      <w:proofErr w:type="spellEnd"/>
      <w:r w:rsidR="004C1757">
        <w:rPr>
          <w:b/>
          <w:bCs/>
        </w:rPr>
        <w:t xml:space="preserve"> </w:t>
      </w:r>
      <w:r w:rsidR="00264C7A">
        <w:rPr>
          <w:b/>
          <w:bCs/>
        </w:rPr>
        <w:t>concentrations quantified from preclinical study samples</w:t>
      </w:r>
      <w:r w:rsidR="004C1757">
        <w:rPr>
          <w:b/>
          <w:bCs/>
        </w:rPr>
        <w:t xml:space="preserve"> </w:t>
      </w:r>
    </w:p>
    <w:p w14:paraId="5E822CB9" w14:textId="10B61A75" w:rsidR="004C1757" w:rsidRDefault="004C1757" w:rsidP="004C1757">
      <w:pPr>
        <w:spacing w:after="0" w:line="276" w:lineRule="auto"/>
        <w:jc w:val="both"/>
      </w:pPr>
      <w:r>
        <w:t xml:space="preserve">The results </w:t>
      </w:r>
      <w:r w:rsidRPr="00A60A52">
        <w:t>in</w:t>
      </w:r>
      <w:r>
        <w:t xml:space="preserve"> </w:t>
      </w:r>
      <w:r w:rsidRPr="00A60A52">
        <w:t xml:space="preserve">Figure </w:t>
      </w:r>
      <w:r w:rsidR="00101FD9">
        <w:t xml:space="preserve">4 </w:t>
      </w:r>
      <w:r w:rsidRPr="00A60A52">
        <w:t>show that TIZ is highly bound to FBS in supplemented DMEM growth media. The degree to which TIZ is bound to FBS appears largely proportional to the percentage supplementation. TIZ was shown to be unbound (</w:t>
      </w:r>
      <w:r w:rsidRPr="00A60A52">
        <w:rPr>
          <w:i/>
          <w:iCs/>
        </w:rPr>
        <w:t xml:space="preserve">fu </w:t>
      </w:r>
      <w:r w:rsidRPr="00A60A52">
        <w:t>0.98) in DMEM alone. A 55% reduction in the TIZ free fraction was observed when co-incubated with 2% FBS (</w:t>
      </w:r>
      <w:r w:rsidRPr="00A60A52">
        <w:rPr>
          <w:i/>
          <w:iCs/>
        </w:rPr>
        <w:t>fu</w:t>
      </w:r>
      <w:r w:rsidRPr="00A60A52">
        <w:t xml:space="preserve"> 0.44). The free fraction declined to 0.03 when co-incubated with 50% FBS. A recent review of preprints and papers investigating the anti-SARS-CoV-2 activity of small molecule drugs revealed most studies reported the use of 2% - 12% serum supplemented media. The majority of these, &gt;85%, reported use of either 2% or 10% serum for efficacy studies</w:t>
      </w:r>
      <w:r w:rsidR="00264C7A">
        <w:t xml:space="preserve"> </w:t>
      </w:r>
      <w:r w:rsidRPr="00A60A52">
        <w:fldChar w:fldCharType="begin"/>
      </w:r>
      <w:r w:rsidR="00E06C25">
        <w:instrText xml:space="preserve"> ADDIN EN.CITE &lt;EndNote&gt;&lt;Cite&gt;&lt;Author&gt;Boffito&lt;/Author&gt;&lt;Year&gt;2020&lt;/Year&gt;&lt;RecNum&gt;105&lt;/RecNum&gt;&lt;DisplayText&gt;[32]&lt;/DisplayText&gt;&lt;record&gt;&lt;rec-number&gt;105&lt;/rec-number&gt;&lt;foreign-keys&gt;&lt;key app="EN" db-id="fp55px02759rfae2pf95e2agwfv2v22xxzzr" timestamp="1611941925" guid="282238e4-ace6-4171-bfcf-e91a317a8e8e"&gt;105&lt;/key&gt;&lt;/foreign-keys&gt;&lt;ref-type name="Journal Article"&gt;17&lt;/ref-type&gt;&lt;contributors&gt;&lt;authors&gt;&lt;author&gt;Boffito, Marta&lt;/author&gt;&lt;author&gt;Back, David J.&lt;/author&gt;&lt;author&gt;Flexner, Charles&lt;/author&gt;&lt;author&gt;Sjö, Peter&lt;/author&gt;&lt;author&gt;Blaschke, Terrence F.&lt;/author&gt;&lt;author&gt;Horby, Peter W.&lt;/author&gt;&lt;author&gt;Cattaneo, Dario&lt;/author&gt;&lt;author&gt;Acosta, Edward P.&lt;/author&gt;&lt;author&gt;Anderson, Peter&lt;/author&gt;&lt;author&gt;Owen, Andrew&lt;/author&gt;&lt;/authors&gt;&lt;/contributors&gt;&lt;titles&gt;&lt;title&gt;Toward Consensus on Correct Interpretation of Protein Binding in Plasma and Other Biological Matrices for COVID‐19 Therapeutic Development&lt;/title&gt;&lt;secondary-title&gt;Clinical Pharmacology &amp;amp; Therapeutics&lt;/secondary-title&gt;&lt;/titles&gt;&lt;periodical&gt;&lt;full-title&gt;Clinical Pharmacology &amp;amp; Therapeutics&lt;/full-title&gt;&lt;/periodical&gt;&lt;dates&gt;&lt;year&gt;2020&lt;/year&gt;&lt;/dates&gt;&lt;publisher&gt;Wiley&lt;/publisher&gt;&lt;isbn&gt;0009-9236&lt;/isbn&gt;&lt;urls&gt;&lt;related-urls&gt;&lt;url&gt;https://dx.doi.org/10.1002/cpt.2099&lt;/url&gt;&lt;/related-urls&gt;&lt;/urls&gt;&lt;electronic-resource-num&gt;10.1002/cpt.2099&lt;/electronic-resource-num&gt;&lt;/record&gt;&lt;/Cite&gt;&lt;/EndNote&gt;</w:instrText>
      </w:r>
      <w:r w:rsidRPr="00A60A52">
        <w:fldChar w:fldCharType="separate"/>
      </w:r>
      <w:r w:rsidR="00E06C25">
        <w:rPr>
          <w:noProof/>
        </w:rPr>
        <w:t>[32]</w:t>
      </w:r>
      <w:r w:rsidRPr="00A60A52">
        <w:fldChar w:fldCharType="end"/>
      </w:r>
      <w:r w:rsidRPr="00A60A52">
        <w:t xml:space="preserve">. </w:t>
      </w:r>
      <w:r>
        <w:t xml:space="preserve">Figure </w:t>
      </w:r>
      <w:r w:rsidR="00101FD9">
        <w:t>4B</w:t>
      </w:r>
      <w:r w:rsidRPr="00A60A52">
        <w:t xml:space="preserve"> shows</w:t>
      </w:r>
      <w:r>
        <w:t xml:space="preserve"> that the free fraction of TIZ is significantly lower when supplemented with 10% (P=0.0007, two-tailed t-test) and 50% (P=0.02, two-tailed t-test) Human plasma in DMEM compared with the corresponding FBS supplemented DMEM. </w:t>
      </w:r>
    </w:p>
    <w:p w14:paraId="14F30336" w14:textId="77777777" w:rsidR="00A367C8" w:rsidRDefault="00A367C8" w:rsidP="00D672B0">
      <w:pPr>
        <w:spacing w:line="360" w:lineRule="auto"/>
        <w:jc w:val="both"/>
        <w:rPr>
          <w:rFonts w:cstheme="minorHAnsi"/>
          <w:b/>
          <w:bCs/>
          <w:lang w:val="en-GB"/>
        </w:rPr>
      </w:pPr>
    </w:p>
    <w:p w14:paraId="2103C18C" w14:textId="77777777" w:rsidR="00A367C8" w:rsidRDefault="00A367C8" w:rsidP="00D672B0">
      <w:pPr>
        <w:spacing w:line="360" w:lineRule="auto"/>
        <w:jc w:val="both"/>
        <w:rPr>
          <w:rFonts w:cstheme="minorHAnsi"/>
          <w:b/>
          <w:bCs/>
          <w:lang w:val="en-GB"/>
        </w:rPr>
      </w:pPr>
    </w:p>
    <w:p w14:paraId="25A7DF23" w14:textId="10563951" w:rsidR="00D47A87" w:rsidRPr="0045431D" w:rsidRDefault="00D47A87" w:rsidP="00D672B0">
      <w:pPr>
        <w:spacing w:line="360" w:lineRule="auto"/>
        <w:jc w:val="both"/>
        <w:rPr>
          <w:rFonts w:cstheme="minorHAnsi"/>
          <w:b/>
          <w:bCs/>
          <w:lang w:val="en-GB"/>
        </w:rPr>
      </w:pPr>
      <w:r w:rsidRPr="0045431D">
        <w:rPr>
          <w:rFonts w:cstheme="minorHAnsi"/>
          <w:b/>
          <w:bCs/>
          <w:lang w:val="en-GB"/>
        </w:rPr>
        <w:br w:type="page"/>
      </w:r>
    </w:p>
    <w:p w14:paraId="47BCD2C6" w14:textId="4EE53AB5" w:rsidR="007E17DF" w:rsidRPr="0045431D" w:rsidRDefault="00071853" w:rsidP="0045431D">
      <w:pPr>
        <w:spacing w:line="360" w:lineRule="auto"/>
        <w:jc w:val="both"/>
        <w:rPr>
          <w:rFonts w:cstheme="minorHAnsi"/>
          <w:b/>
          <w:bCs/>
          <w:lang w:val="en-GB"/>
        </w:rPr>
      </w:pPr>
      <w:r>
        <w:rPr>
          <w:rFonts w:cstheme="minorHAnsi"/>
          <w:b/>
          <w:bCs/>
          <w:lang w:val="en-GB"/>
        </w:rPr>
        <w:lastRenderedPageBreak/>
        <w:t xml:space="preserve">4.0 </w:t>
      </w:r>
      <w:r w:rsidR="007E17DF" w:rsidRPr="0045431D">
        <w:rPr>
          <w:rFonts w:cstheme="minorHAnsi"/>
          <w:b/>
          <w:bCs/>
          <w:lang w:val="en-GB"/>
        </w:rPr>
        <w:t>Discussion</w:t>
      </w:r>
    </w:p>
    <w:p w14:paraId="272D8568" w14:textId="13ED6F22" w:rsidR="000D4E24" w:rsidRDefault="00821495" w:rsidP="0045431D">
      <w:pPr>
        <w:spacing w:line="360" w:lineRule="auto"/>
        <w:jc w:val="both"/>
        <w:rPr>
          <w:rFonts w:cstheme="minorHAnsi"/>
          <w:bCs/>
          <w:lang w:val="en-GB"/>
        </w:rPr>
      </w:pPr>
      <w:r>
        <w:rPr>
          <w:rFonts w:cstheme="minorHAnsi"/>
          <w:bCs/>
          <w:lang w:val="en-GB"/>
        </w:rPr>
        <w:t>T</w:t>
      </w:r>
      <w:r w:rsidR="006723A8" w:rsidRPr="0045431D">
        <w:rPr>
          <w:rFonts w:cstheme="minorHAnsi"/>
          <w:bCs/>
          <w:lang w:val="en-GB"/>
        </w:rPr>
        <w:t xml:space="preserve">he anti-SARS-CoV-2 activity of NTZ is </w:t>
      </w:r>
      <w:r>
        <w:rPr>
          <w:rFonts w:cstheme="minorHAnsi"/>
          <w:bCs/>
          <w:lang w:val="en-GB"/>
        </w:rPr>
        <w:t>being investigated</w:t>
      </w:r>
      <w:r w:rsidR="006723A8" w:rsidRPr="0045431D">
        <w:rPr>
          <w:rFonts w:cstheme="minorHAnsi"/>
          <w:bCs/>
          <w:lang w:val="en-GB"/>
        </w:rPr>
        <w:t xml:space="preserve"> </w:t>
      </w:r>
      <w:r w:rsidR="006723A8" w:rsidRPr="0045431D">
        <w:rPr>
          <w:rFonts w:cstheme="minorHAnsi"/>
          <w:bCs/>
          <w:i/>
          <w:lang w:val="en-GB"/>
        </w:rPr>
        <w:t>in vitro</w:t>
      </w:r>
      <w:r>
        <w:rPr>
          <w:rFonts w:cstheme="minorHAnsi"/>
          <w:bCs/>
          <w:lang w:val="en-GB"/>
        </w:rPr>
        <w:t>,</w:t>
      </w:r>
      <w:r w:rsidR="006723A8" w:rsidRPr="0045431D">
        <w:rPr>
          <w:rFonts w:cstheme="minorHAnsi"/>
          <w:bCs/>
          <w:lang w:val="en-GB"/>
        </w:rPr>
        <w:t xml:space="preserve"> </w:t>
      </w:r>
      <w:r w:rsidR="006723A8" w:rsidRPr="0045431D">
        <w:rPr>
          <w:rFonts w:cstheme="minorHAnsi"/>
          <w:bCs/>
          <w:i/>
          <w:lang w:val="en-GB"/>
        </w:rPr>
        <w:t>in vivo</w:t>
      </w:r>
      <w:r w:rsidR="006723A8" w:rsidRPr="0045431D">
        <w:rPr>
          <w:rFonts w:cstheme="minorHAnsi"/>
          <w:bCs/>
          <w:lang w:val="en-GB"/>
        </w:rPr>
        <w:t>, and</w:t>
      </w:r>
      <w:r>
        <w:rPr>
          <w:rFonts w:cstheme="minorHAnsi"/>
          <w:bCs/>
          <w:lang w:val="en-GB"/>
        </w:rPr>
        <w:t xml:space="preserve"> in clinical trials. Unlike many candidates being explored for direct repurposing as SARS-CoV-2</w:t>
      </w:r>
      <w:r w:rsidR="006723A8" w:rsidRPr="0045431D">
        <w:rPr>
          <w:rFonts w:cstheme="minorHAnsi"/>
          <w:bCs/>
          <w:lang w:val="en-GB"/>
        </w:rPr>
        <w:t xml:space="preserve"> </w:t>
      </w:r>
      <w:r>
        <w:rPr>
          <w:rFonts w:cstheme="minorHAnsi"/>
          <w:bCs/>
          <w:lang w:val="en-GB"/>
        </w:rPr>
        <w:t xml:space="preserve">antivirals, the pharmacokinetics of NTZ do suggest that antiviral concentrations can be achieved in humans when benchmarked against targets derived from </w:t>
      </w:r>
      <w:r w:rsidRPr="0089571C">
        <w:rPr>
          <w:rFonts w:cstheme="minorHAnsi"/>
          <w:bCs/>
          <w:i/>
          <w:iCs/>
          <w:lang w:val="en-GB"/>
        </w:rPr>
        <w:t>in vitro</w:t>
      </w:r>
      <w:r>
        <w:rPr>
          <w:rFonts w:cstheme="minorHAnsi"/>
          <w:bCs/>
          <w:lang w:val="en-GB"/>
        </w:rPr>
        <w:t xml:space="preserve"> studies. However, uncertainty about high protein binding of TIZ in plasma, the specific mechanism of action, and the appropriate dose necessitates a </w:t>
      </w:r>
      <w:r w:rsidR="005133AA">
        <w:rPr>
          <w:rFonts w:cstheme="minorHAnsi"/>
          <w:bCs/>
          <w:lang w:val="en-GB"/>
        </w:rPr>
        <w:t xml:space="preserve">careful understanding of the </w:t>
      </w:r>
      <w:r w:rsidR="000D4E24">
        <w:rPr>
          <w:rFonts w:cstheme="minorHAnsi"/>
          <w:bCs/>
          <w:lang w:val="en-GB"/>
        </w:rPr>
        <w:t xml:space="preserve">exposure-response relationship. A recent </w:t>
      </w:r>
      <w:r w:rsidR="00354AE4" w:rsidRPr="000D4E24">
        <w:rPr>
          <w:rFonts w:cstheme="minorHAnsi"/>
          <w:bCs/>
          <w:lang w:val="en-GB"/>
        </w:rPr>
        <w:t>multicentre</w:t>
      </w:r>
      <w:r w:rsidR="000D4E24" w:rsidRPr="000D4E24">
        <w:rPr>
          <w:rFonts w:cstheme="minorHAnsi"/>
          <w:bCs/>
          <w:lang w:val="en-GB"/>
        </w:rPr>
        <w:t xml:space="preserve">, randomised, double-blind, placebo-controlled trial, </w:t>
      </w:r>
      <w:r w:rsidR="000D4E24">
        <w:rPr>
          <w:rFonts w:cstheme="minorHAnsi"/>
          <w:bCs/>
          <w:lang w:val="en-GB"/>
        </w:rPr>
        <w:t xml:space="preserve">in </w:t>
      </w:r>
      <w:r w:rsidR="000D4E24" w:rsidRPr="000D4E24">
        <w:rPr>
          <w:rFonts w:cstheme="minorHAnsi"/>
          <w:bCs/>
          <w:lang w:val="en-GB"/>
        </w:rPr>
        <w:t xml:space="preserve">adult patients presenting up to 3 days after onset of symptoms </w:t>
      </w:r>
      <w:r w:rsidR="000D4E24">
        <w:rPr>
          <w:rFonts w:cstheme="minorHAnsi"/>
          <w:bCs/>
          <w:lang w:val="en-GB"/>
        </w:rPr>
        <w:t xml:space="preserve">and with PCR-confirmed SARS-CoV-2 infections indicated some antiviral activity at 500mg three times a day </w:t>
      </w:r>
      <w:r w:rsidR="00E547CC">
        <w:rPr>
          <w:rFonts w:cstheme="minorHAnsi"/>
          <w:bCs/>
          <w:lang w:val="en-GB"/>
        </w:rPr>
        <w:fldChar w:fldCharType="begin"/>
      </w:r>
      <w:r w:rsidR="00E06C25">
        <w:rPr>
          <w:rFonts w:cstheme="minorHAnsi"/>
          <w:bCs/>
          <w:lang w:val="en-GB"/>
        </w:rPr>
        <w:instrText xml:space="preserve"> ADDIN EN.CITE &lt;EndNote&gt;&lt;Cite&gt;&lt;Author&gt;Rocco&lt;/Author&gt;&lt;Year&gt;2020&lt;/Year&gt;&lt;RecNum&gt;32&lt;/RecNum&gt;&lt;DisplayText&gt;[33]&lt;/DisplayText&gt;&lt;record&gt;&lt;rec-number&gt;32&lt;/rec-number&gt;&lt;foreign-keys&gt;&lt;key app="EN" db-id="9tzxpps0ie05dde0af9x0d220paepv0xxvpa" timestamp="1612557615"&gt;32&lt;/key&gt;&lt;/foreign-keys&gt;&lt;ref-type name="Journal Article"&gt;17&lt;/ref-type&gt;&lt;contributors&gt;&lt;authors&gt;&lt;author&gt;Rocco, Patricia R. M.&lt;/author&gt;&lt;author&gt;Silva, Pedro L.&lt;/author&gt;&lt;author&gt;Cruz, Fernanda F.&lt;/author&gt;&lt;author&gt;Junior, Marco Antonio C. M.&lt;/author&gt;&lt;author&gt;Tierno, Paulo F. G. M. M.&lt;/author&gt;&lt;author&gt;Moura, Marcos A.&lt;/author&gt;&lt;author&gt;De Oliveira, Luís Frederico G.&lt;/author&gt;&lt;author&gt;Lima, Cristiano C.&lt;/author&gt;&lt;author&gt;Dos Santos, Ezequiel A.&lt;/author&gt;&lt;author&gt;Junior, Walter F.&lt;/author&gt;&lt;author&gt;Fernandes, Ana Paula S. M.&lt;/author&gt;&lt;author&gt;Franchini, Kleber G.&lt;/author&gt;&lt;author&gt;Magri, Erick&lt;/author&gt;&lt;author&gt;de Moraes, Nara F.&lt;/author&gt;&lt;author&gt;Gonçalves, José Mário J.&lt;/author&gt;&lt;author&gt;Carbonieri, Melanie N.&lt;/author&gt;&lt;author&gt;Dos Santos, Ivonise S.&lt;/author&gt;&lt;author&gt;Paes, Natália F.&lt;/author&gt;&lt;author&gt;Maciel, Paula V. M.&lt;/author&gt;&lt;author&gt;Rocha, Raissa P.&lt;/author&gt;&lt;author&gt;de Carvalho, Alex F.&lt;/author&gt;&lt;author&gt;Alves, Pedro Augusto&lt;/author&gt;&lt;author&gt;Modena, José Luiz P.&lt;/author&gt;&lt;author&gt;Cordeiro, Artur T.&lt;/author&gt;&lt;author&gt;Trivella, Daniela B. B.&lt;/author&gt;&lt;author&gt;Marques, Rafael E.&lt;/author&gt;&lt;author&gt;Luiz, Ronir R.&lt;/author&gt;&lt;author&gt;Pelosi, Paolo&lt;/author&gt;&lt;author&gt;Lapa e Silva, Jose Roberto&lt;/author&gt;&lt;/authors&gt;&lt;secondary-authors&gt;&lt;author&gt;,&lt;/author&gt;&lt;/secondary-authors&gt;&lt;/contributors&gt;&lt;titles&gt;&lt;title&gt;Early use of nitazoxanide in mild Covid-19 disease: randomised, placebo-controlled trial&lt;/title&gt;&lt;secondary-title&gt;European Respiratory Journal&lt;/secondary-title&gt;&lt;/titles&gt;&lt;periodical&gt;&lt;full-title&gt;European Respiratory Journal&lt;/full-title&gt;&lt;/periodical&gt;&lt;dates&gt;&lt;year&gt;2020&lt;/year&gt;&lt;pub-dates&gt;&lt;date&gt;2020-01-01 00:00:00&lt;/date&gt;&lt;/pub-dates&gt;&lt;/dates&gt;&lt;urls&gt;&lt;/urls&gt;&lt;/record&gt;&lt;/Cite&gt;&lt;/EndNote&gt;</w:instrText>
      </w:r>
      <w:r w:rsidR="00E547CC">
        <w:rPr>
          <w:rFonts w:cstheme="minorHAnsi"/>
          <w:bCs/>
          <w:lang w:val="en-GB"/>
        </w:rPr>
        <w:fldChar w:fldCharType="separate"/>
      </w:r>
      <w:r w:rsidR="00E06C25">
        <w:rPr>
          <w:rFonts w:cstheme="minorHAnsi"/>
          <w:bCs/>
          <w:noProof/>
          <w:lang w:val="en-GB"/>
        </w:rPr>
        <w:t>[33]</w:t>
      </w:r>
      <w:r w:rsidR="00E547CC">
        <w:rPr>
          <w:rFonts w:cstheme="minorHAnsi"/>
          <w:bCs/>
          <w:lang w:val="en-GB"/>
        </w:rPr>
        <w:fldChar w:fldCharType="end"/>
      </w:r>
      <w:r w:rsidR="000D4E24">
        <w:rPr>
          <w:rFonts w:cstheme="minorHAnsi"/>
          <w:bCs/>
          <w:lang w:val="en-GB"/>
        </w:rPr>
        <w:t xml:space="preserve">. However, much more data are required to support the candidacy of NTZ (including at higher doses), and studies should incorporate an understanding of the pharmacokinetics during SARS-CoV-2 infection. </w:t>
      </w:r>
    </w:p>
    <w:p w14:paraId="1967CB22" w14:textId="55180472" w:rsidR="00BF70D2" w:rsidRDefault="000D4E24" w:rsidP="0045431D">
      <w:pPr>
        <w:spacing w:line="360" w:lineRule="auto"/>
        <w:jc w:val="both"/>
        <w:rPr>
          <w:rFonts w:cstheme="minorHAnsi"/>
          <w:lang w:val="en-GB"/>
        </w:rPr>
      </w:pPr>
      <w:r>
        <w:rPr>
          <w:rFonts w:cstheme="minorHAnsi"/>
          <w:bCs/>
          <w:lang w:val="en-GB"/>
        </w:rPr>
        <w:t xml:space="preserve">A greater understanding of the pharmacokinetic-pharmacodynamic relationship requires </w:t>
      </w:r>
      <w:r w:rsidR="006723A8" w:rsidRPr="0045431D">
        <w:rPr>
          <w:rFonts w:cstheme="minorHAnsi"/>
          <w:bCs/>
          <w:lang w:val="en-GB"/>
        </w:rPr>
        <w:t>validated LC-MS/MS method</w:t>
      </w:r>
      <w:r>
        <w:rPr>
          <w:rFonts w:cstheme="minorHAnsi"/>
          <w:bCs/>
          <w:lang w:val="en-GB"/>
        </w:rPr>
        <w:t>s</w:t>
      </w:r>
      <w:r w:rsidR="006723A8" w:rsidRPr="0045431D">
        <w:rPr>
          <w:rFonts w:cstheme="minorHAnsi"/>
          <w:bCs/>
          <w:lang w:val="en-GB"/>
        </w:rPr>
        <w:t xml:space="preserve"> </w:t>
      </w:r>
      <w:r>
        <w:rPr>
          <w:rFonts w:cstheme="minorHAnsi"/>
          <w:bCs/>
          <w:lang w:val="en-GB"/>
        </w:rPr>
        <w:t>with utility in</w:t>
      </w:r>
      <w:r w:rsidRPr="0045431D">
        <w:rPr>
          <w:rFonts w:cstheme="minorHAnsi"/>
          <w:bCs/>
          <w:lang w:val="en-GB"/>
        </w:rPr>
        <w:t xml:space="preserve"> </w:t>
      </w:r>
      <w:r w:rsidR="006723A8" w:rsidRPr="0045431D">
        <w:rPr>
          <w:rFonts w:cstheme="minorHAnsi"/>
          <w:bCs/>
          <w:lang w:val="en-GB"/>
        </w:rPr>
        <w:t xml:space="preserve">relevant biological matrices. </w:t>
      </w:r>
      <w:r w:rsidR="00D1713F" w:rsidRPr="0045431D">
        <w:rPr>
          <w:rFonts w:cstheme="minorHAnsi"/>
          <w:lang w:val="en-GB"/>
        </w:rPr>
        <w:t xml:space="preserve">The selection of matrices within this study included human and mouse plasma and DMEM </w:t>
      </w:r>
      <w:r w:rsidR="00330840">
        <w:rPr>
          <w:rFonts w:cstheme="minorHAnsi"/>
          <w:lang w:val="en-GB"/>
        </w:rPr>
        <w:t xml:space="preserve">plus </w:t>
      </w:r>
      <w:r w:rsidR="00355801">
        <w:rPr>
          <w:rFonts w:cstheme="minorHAnsi"/>
          <w:lang w:val="en-GB"/>
        </w:rPr>
        <w:t>50</w:t>
      </w:r>
      <w:r w:rsidR="00355801" w:rsidRPr="009E435C">
        <w:rPr>
          <w:rFonts w:cstheme="minorHAnsi"/>
          <w:lang w:val="en-GB"/>
        </w:rPr>
        <w:t>%</w:t>
      </w:r>
      <w:r w:rsidR="005B395D">
        <w:rPr>
          <w:rFonts w:cstheme="minorHAnsi"/>
          <w:lang w:val="en-GB"/>
        </w:rPr>
        <w:t>-2</w:t>
      </w:r>
      <w:r w:rsidR="00355801">
        <w:rPr>
          <w:rFonts w:cstheme="minorHAnsi"/>
          <w:lang w:val="en-GB"/>
        </w:rPr>
        <w:t>%</w:t>
      </w:r>
      <w:r w:rsidR="00355801" w:rsidRPr="0045431D">
        <w:rPr>
          <w:rFonts w:cstheme="minorHAnsi"/>
          <w:lang w:val="en-GB"/>
        </w:rPr>
        <w:t xml:space="preserve"> FBS</w:t>
      </w:r>
      <w:r w:rsidR="00330840">
        <w:rPr>
          <w:rFonts w:cstheme="minorHAnsi"/>
          <w:lang w:val="en-GB"/>
        </w:rPr>
        <w:t xml:space="preserve"> or 50%-10% human plasma</w:t>
      </w:r>
      <w:r w:rsidR="00355801" w:rsidRPr="0045431D">
        <w:rPr>
          <w:rFonts w:cstheme="minorHAnsi"/>
          <w:lang w:val="en-GB"/>
        </w:rPr>
        <w:t>.</w:t>
      </w:r>
      <w:r w:rsidR="00BF70D2">
        <w:rPr>
          <w:rFonts w:cstheme="minorHAnsi"/>
          <w:lang w:val="en-GB"/>
        </w:rPr>
        <w:t xml:space="preserve"> The methods presented here enable quantification of TIZ in a range of matrices </w:t>
      </w:r>
      <w:r w:rsidR="00BF70D2" w:rsidRPr="0045431D">
        <w:rPr>
          <w:rFonts w:cstheme="minorHAnsi"/>
          <w:lang w:val="en-GB"/>
        </w:rPr>
        <w:t xml:space="preserve">chosen for their relevance to clinical, </w:t>
      </w:r>
      <w:r w:rsidR="00BF70D2" w:rsidRPr="0045431D">
        <w:rPr>
          <w:rFonts w:cstheme="minorHAnsi"/>
          <w:i/>
          <w:lang w:val="en-GB"/>
        </w:rPr>
        <w:t>in vitro</w:t>
      </w:r>
      <w:r w:rsidR="00BF70D2" w:rsidRPr="0045431D">
        <w:rPr>
          <w:rFonts w:cstheme="minorHAnsi"/>
          <w:lang w:val="en-GB"/>
        </w:rPr>
        <w:t xml:space="preserve"> and </w:t>
      </w:r>
      <w:r w:rsidR="00BF70D2" w:rsidRPr="0045431D">
        <w:rPr>
          <w:rFonts w:cstheme="minorHAnsi"/>
          <w:i/>
          <w:lang w:val="en-GB"/>
        </w:rPr>
        <w:t>in vivo</w:t>
      </w:r>
      <w:r w:rsidR="00BF70D2" w:rsidRPr="0045431D">
        <w:rPr>
          <w:rFonts w:cstheme="minorHAnsi"/>
          <w:lang w:val="en-GB"/>
        </w:rPr>
        <w:t xml:space="preserve"> investigations of NTZ as a SARS-CoV-2 therapeutic</w:t>
      </w:r>
      <w:r w:rsidR="00187E65">
        <w:rPr>
          <w:rFonts w:cstheme="minorHAnsi"/>
          <w:lang w:val="en-GB"/>
        </w:rPr>
        <w:t xml:space="preserve">. The assay sensitivity enables quantification of TIZ at concentrations relevant to that observed in </w:t>
      </w:r>
      <w:r w:rsidR="00187E65" w:rsidRPr="00187E65">
        <w:rPr>
          <w:rFonts w:cstheme="minorHAnsi"/>
          <w:i/>
          <w:iCs/>
          <w:lang w:val="en-GB"/>
        </w:rPr>
        <w:t>in vitro</w:t>
      </w:r>
      <w:r w:rsidR="00187E65">
        <w:rPr>
          <w:rFonts w:cstheme="minorHAnsi"/>
          <w:lang w:val="en-GB"/>
        </w:rPr>
        <w:t xml:space="preserve"> assays, as demonstrated in the presentation of the results from an </w:t>
      </w:r>
      <w:r w:rsidR="00187E65" w:rsidRPr="00187E65">
        <w:rPr>
          <w:rFonts w:cstheme="minorHAnsi"/>
          <w:i/>
          <w:iCs/>
          <w:lang w:val="en-GB"/>
        </w:rPr>
        <w:t xml:space="preserve">in vitro </w:t>
      </w:r>
      <w:r w:rsidR="00187E65">
        <w:rPr>
          <w:rFonts w:cstheme="minorHAnsi"/>
          <w:lang w:val="en-GB"/>
        </w:rPr>
        <w:t>study, and that observed in human plasma</w:t>
      </w:r>
      <w:r w:rsidR="001319AE">
        <w:rPr>
          <w:rFonts w:cstheme="minorHAnsi"/>
          <w:lang w:val="en-GB"/>
        </w:rPr>
        <w:t xml:space="preserve"> samples taken from other studies </w:t>
      </w:r>
      <w:r w:rsidR="001319AE">
        <w:rPr>
          <w:rFonts w:cstheme="minorHAnsi"/>
          <w:lang w:val="en-GB"/>
        </w:rPr>
        <w:fldChar w:fldCharType="begin"/>
      </w:r>
      <w:r w:rsidR="001319AE">
        <w:rPr>
          <w:rFonts w:cstheme="minorHAnsi"/>
          <w:lang w:val="en-GB"/>
        </w:rPr>
        <w:instrText xml:space="preserve"> ADDIN EN.CITE &lt;EndNote&gt;&lt;Cite&gt;&lt;Author&gt;Hadad&lt;/Author&gt;&lt;Year&gt;2012&lt;/Year&gt;&lt;RecNum&gt;1892&lt;/RecNum&gt;&lt;DisplayText&gt;[29]&lt;/DisplayText&gt;&lt;record&gt;&lt;rec-number&gt;1892&lt;/rec-number&gt;&lt;foreign-keys&gt;&lt;key app="EN" db-id="09sztrdrjsd2r6e9x96psvsbrd9ate929dar" timestamp="1682681042"&gt;1892&lt;/key&gt;&lt;/foreign-keys&gt;&lt;ref-type name="Journal Article"&gt;17&lt;/ref-type&gt;&lt;contributors&gt;&lt;authors&gt;&lt;author&gt;Hadad, Ghada M&lt;/author&gt;&lt;author&gt;Abdel Salam, Randa A&lt;/author&gt;&lt;author&gt;Emara, Samy&lt;/author&gt;&lt;/authors&gt;&lt;/contributors&gt;&lt;titles&gt;&lt;title&gt;Validated and optimized high-performance liquid chromatographic determination of tizoxanide, the main active metabolite of nitazoxanide in human urine, plasma and breast milk&lt;/title&gt;&lt;secondary-title&gt;Journal of chromatographic science&lt;/secondary-title&gt;&lt;/titles&gt;&lt;periodical&gt;&lt;full-title&gt;Journal of chromatographic science&lt;/full-title&gt;&lt;/periodical&gt;&lt;pages&gt;509-515&lt;/pages&gt;&lt;volume&gt;50&lt;/volume&gt;&lt;number&gt;6&lt;/number&gt;&lt;dates&gt;&lt;year&gt;2012&lt;/year&gt;&lt;/dates&gt;&lt;isbn&gt;1945-239X&lt;/isbn&gt;&lt;urls&gt;&lt;/urls&gt;&lt;/record&gt;&lt;/Cite&gt;&lt;/EndNote&gt;</w:instrText>
      </w:r>
      <w:r w:rsidR="001319AE">
        <w:rPr>
          <w:rFonts w:cstheme="minorHAnsi"/>
          <w:lang w:val="en-GB"/>
        </w:rPr>
        <w:fldChar w:fldCharType="separate"/>
      </w:r>
      <w:r w:rsidR="001319AE">
        <w:rPr>
          <w:rFonts w:cstheme="minorHAnsi"/>
          <w:noProof/>
          <w:lang w:val="en-GB"/>
        </w:rPr>
        <w:t>[29]</w:t>
      </w:r>
      <w:r w:rsidR="001319AE">
        <w:rPr>
          <w:rFonts w:cstheme="minorHAnsi"/>
          <w:lang w:val="en-GB"/>
        </w:rPr>
        <w:fldChar w:fldCharType="end"/>
      </w:r>
      <w:r w:rsidR="00187E65">
        <w:rPr>
          <w:rFonts w:cstheme="minorHAnsi"/>
          <w:lang w:val="en-GB"/>
        </w:rPr>
        <w:t xml:space="preserve">. </w:t>
      </w:r>
      <w:r w:rsidR="001319AE">
        <w:rPr>
          <w:rFonts w:cstheme="minorHAnsi"/>
          <w:lang w:val="en-GB"/>
        </w:rPr>
        <w:t>This o</w:t>
      </w:r>
      <w:r w:rsidR="00187E65">
        <w:rPr>
          <w:rFonts w:cstheme="minorHAnsi"/>
          <w:lang w:val="en-GB"/>
        </w:rPr>
        <w:t>ffer</w:t>
      </w:r>
      <w:r w:rsidR="001319AE">
        <w:rPr>
          <w:rFonts w:cstheme="minorHAnsi"/>
          <w:lang w:val="en-GB"/>
        </w:rPr>
        <w:t xml:space="preserve">s </w:t>
      </w:r>
      <w:r w:rsidR="00187E65">
        <w:rPr>
          <w:rFonts w:cstheme="minorHAnsi"/>
          <w:lang w:val="en-GB"/>
        </w:rPr>
        <w:t xml:space="preserve">a novel methodology distinct </w:t>
      </w:r>
      <w:r w:rsidR="001319AE">
        <w:rPr>
          <w:rFonts w:cstheme="minorHAnsi"/>
          <w:lang w:val="en-GB"/>
        </w:rPr>
        <w:t>from what</w:t>
      </w:r>
      <w:r w:rsidR="00187E65">
        <w:rPr>
          <w:rFonts w:cstheme="minorHAnsi"/>
          <w:lang w:val="en-GB"/>
        </w:rPr>
        <w:t xml:space="preserve"> is currently in the literature</w:t>
      </w:r>
      <w:r w:rsidR="001319AE">
        <w:rPr>
          <w:rFonts w:cstheme="minorHAnsi"/>
          <w:lang w:val="en-GB"/>
        </w:rPr>
        <w:t>, where human plasma concentrations of TIZ are only quantifiable at much lower sensitivity through HPLC methods</w:t>
      </w:r>
      <w:r w:rsidR="00187E65">
        <w:rPr>
          <w:rFonts w:cstheme="minorHAnsi"/>
          <w:lang w:val="en-GB"/>
        </w:rPr>
        <w:t xml:space="preserve"> </w:t>
      </w:r>
      <w:r w:rsidR="00187E65">
        <w:rPr>
          <w:rFonts w:cstheme="minorHAnsi"/>
          <w:lang w:val="en-GB"/>
        </w:rPr>
        <w:fldChar w:fldCharType="begin">
          <w:fldData xml:space="preserve">PEVuZE5vdGU+PENpdGU+PEF1dGhvcj5SdWl6LU9sbWVkbzwvQXV0aG9yPjxZZWFyPjIwMDk8L1ll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=
</w:fldData>
        </w:fldChar>
      </w:r>
      <w:r w:rsidR="00187E65">
        <w:rPr>
          <w:rFonts w:cstheme="minorHAnsi"/>
          <w:lang w:val="en-GB"/>
        </w:rPr>
        <w:instrText xml:space="preserve"> ADDIN EN.CITE </w:instrText>
      </w:r>
      <w:r w:rsidR="00187E65">
        <w:rPr>
          <w:rFonts w:cstheme="minorHAnsi"/>
          <w:lang w:val="en-GB"/>
        </w:rPr>
        <w:fldChar w:fldCharType="begin">
          <w:fldData xml:space="preserve">PEVuZE5vdGU+PENpdGU+PEF1dGhvcj5SdWl6LU9sbWVkbzwvQXV0aG9yPjxZZWFyPjIwMDk8L1ll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=
</w:fldData>
        </w:fldChar>
      </w:r>
      <w:r w:rsidR="00187E65">
        <w:rPr>
          <w:rFonts w:cstheme="minorHAnsi"/>
          <w:lang w:val="en-GB"/>
        </w:rPr>
        <w:instrText xml:space="preserve"> ADDIN EN.CITE.DATA </w:instrText>
      </w:r>
      <w:r w:rsidR="00187E65">
        <w:rPr>
          <w:rFonts w:cstheme="minorHAnsi"/>
          <w:lang w:val="en-GB"/>
        </w:rPr>
      </w:r>
      <w:r w:rsidR="00187E65">
        <w:rPr>
          <w:rFonts w:cstheme="minorHAnsi"/>
          <w:lang w:val="en-GB"/>
        </w:rPr>
        <w:fldChar w:fldCharType="end"/>
      </w:r>
      <w:r w:rsidR="00187E65">
        <w:rPr>
          <w:rFonts w:cstheme="minorHAnsi"/>
          <w:lang w:val="en-GB"/>
        </w:rPr>
      </w:r>
      <w:r w:rsidR="00187E65">
        <w:rPr>
          <w:rFonts w:cstheme="minorHAnsi"/>
          <w:lang w:val="en-GB"/>
        </w:rPr>
        <w:fldChar w:fldCharType="separate"/>
      </w:r>
      <w:r w:rsidR="00187E65">
        <w:rPr>
          <w:rFonts w:cstheme="minorHAnsi"/>
          <w:noProof/>
          <w:lang w:val="en-GB"/>
        </w:rPr>
        <w:t>[25-29]</w:t>
      </w:r>
      <w:r w:rsidR="00187E65">
        <w:rPr>
          <w:rFonts w:cstheme="minorHAnsi"/>
          <w:lang w:val="en-GB"/>
        </w:rPr>
        <w:fldChar w:fldCharType="end"/>
      </w:r>
      <w:r w:rsidR="00187E65">
        <w:rPr>
          <w:rFonts w:cstheme="minorHAnsi"/>
          <w:lang w:val="en-GB"/>
        </w:rPr>
        <w:t xml:space="preserve">.  </w:t>
      </w:r>
    </w:p>
    <w:p w14:paraId="1256E9C9" w14:textId="0D9DC6C9" w:rsidR="00367DA2" w:rsidRPr="0045431D" w:rsidRDefault="00355801" w:rsidP="0045431D">
      <w:pPr>
        <w:spacing w:line="360" w:lineRule="auto"/>
        <w:jc w:val="both"/>
        <w:rPr>
          <w:rFonts w:cstheme="minorHAnsi"/>
          <w:lang w:val="en-GB"/>
        </w:rPr>
      </w:pPr>
      <w:r w:rsidRPr="0045431D">
        <w:rPr>
          <w:rFonts w:cstheme="minorHAnsi"/>
          <w:lang w:val="en-GB"/>
        </w:rPr>
        <w:t xml:space="preserve">Although human and mouse plasma have some homogeneity, species differences can lead to changes in assay behaviour. As demonstrated by protein binding being commonly lower in preclinical species than humans </w:t>
      </w:r>
      <w:r w:rsidR="00D1713F" w:rsidRPr="0045431D">
        <w:rPr>
          <w:rFonts w:cstheme="minorHAnsi"/>
          <w:lang w:val="en-GB"/>
        </w:rPr>
        <w:fldChar w:fldCharType="begin"/>
      </w:r>
      <w:r w:rsidR="00E06C25">
        <w:rPr>
          <w:rFonts w:cstheme="minorHAnsi"/>
          <w:lang w:val="en-GB"/>
        </w:rPr>
        <w:instrText xml:space="preserve"> ADDIN EN.CITE &lt;EndNote&gt;&lt;Cite&gt;&lt;Author&gt;Colclough&lt;/Author&gt;&lt;Year&gt;2014&lt;/Year&gt;&lt;RecNum&gt;27&lt;/RecNum&gt;&lt;DisplayText&gt;[34]&lt;/DisplayText&gt;&lt;record&gt;&lt;rec-number&gt;27&lt;/rec-number&gt;&lt;foreign-keys&gt;&lt;key app="EN" db-id="9tzxpps0ie05dde0af9x0d220paepv0xxvpa" timestamp="1612002706"&gt;27&lt;/key&gt;&lt;/foreign-keys&gt;&lt;ref-type name="Journal Article"&gt;17&lt;/ref-type&gt;&lt;contributors&gt;&lt;authors&gt;&lt;author&gt;Colclough, Nicola&lt;/author&gt;&lt;author&gt;Ruston, Linette&lt;/author&gt;&lt;author&gt;Wood, J Matthew&lt;/author&gt;&lt;author&gt;MacFaul, Philip A&lt;/author&gt;&lt;/authors&gt;&lt;/contributors&gt;&lt;titles&gt;&lt;title&gt;Species differences in drug plasma protein binding&lt;/title&gt;&lt;secondary-title&gt;MedChemComm&lt;/secondary-title&gt;&lt;/titles&gt;&lt;periodical&gt;&lt;full-title&gt;MedChemComm&lt;/full-title&gt;&lt;/periodical&gt;&lt;pages&gt;963-967&lt;/pages&gt;&lt;volume&gt;5&lt;/volume&gt;&lt;number&gt;7&lt;/number&gt;&lt;dates&gt;&lt;year&gt;2014&lt;/year&gt;&lt;/dates&gt;&lt;urls&gt;&lt;/urls&gt;&lt;/record&gt;&lt;/Cite&gt;&lt;/EndNote&gt;</w:instrText>
      </w:r>
      <w:r w:rsidR="00D1713F" w:rsidRPr="0045431D">
        <w:rPr>
          <w:rFonts w:cstheme="minorHAnsi"/>
          <w:lang w:val="en-GB"/>
        </w:rPr>
        <w:fldChar w:fldCharType="separate"/>
      </w:r>
      <w:r w:rsidR="00E06C25">
        <w:rPr>
          <w:rFonts w:cstheme="minorHAnsi"/>
          <w:noProof/>
          <w:lang w:val="en-GB"/>
        </w:rPr>
        <w:t>[34]</w:t>
      </w:r>
      <w:r w:rsidR="00D1713F" w:rsidRPr="0045431D">
        <w:rPr>
          <w:rFonts w:cstheme="minorHAnsi"/>
          <w:lang w:val="en-GB"/>
        </w:rPr>
        <w:fldChar w:fldCharType="end"/>
      </w:r>
      <w:r w:rsidRPr="0045431D">
        <w:rPr>
          <w:rFonts w:cstheme="minorHAnsi"/>
          <w:lang w:val="en-GB"/>
        </w:rPr>
        <w:t xml:space="preserve">. </w:t>
      </w:r>
      <w:r w:rsidR="00D672B0" w:rsidRPr="0045431D">
        <w:rPr>
          <w:rFonts w:cstheme="minorHAnsi"/>
          <w:lang w:val="en-GB"/>
        </w:rPr>
        <w:t>Furthermore,</w:t>
      </w:r>
      <w:r w:rsidRPr="0045431D">
        <w:rPr>
          <w:rFonts w:cstheme="minorHAnsi"/>
          <w:lang w:val="en-GB"/>
        </w:rPr>
        <w:t xml:space="preserve"> differences in </w:t>
      </w:r>
      <w:r w:rsidRPr="009E435C">
        <w:rPr>
          <w:rFonts w:cstheme="minorHAnsi"/>
          <w:i/>
          <w:lang w:val="en-GB"/>
        </w:rPr>
        <w:t>in vitro</w:t>
      </w:r>
      <w:r w:rsidRPr="0045431D">
        <w:rPr>
          <w:rFonts w:cstheme="minorHAnsi"/>
          <w:lang w:val="en-GB"/>
        </w:rPr>
        <w:t xml:space="preserve"> methods can often result in differential percentages of FBS being used </w:t>
      </w:r>
      <w:r w:rsidR="000357E1">
        <w:rPr>
          <w:rFonts w:cstheme="minorHAnsi"/>
          <w:lang w:val="en-GB"/>
        </w:rPr>
        <w:t>to supplement</w:t>
      </w:r>
      <w:r w:rsidR="000357E1" w:rsidRPr="0045431D">
        <w:rPr>
          <w:rFonts w:cstheme="minorHAnsi"/>
          <w:lang w:val="en-GB"/>
        </w:rPr>
        <w:t xml:space="preserve"> </w:t>
      </w:r>
      <w:r w:rsidRPr="0045431D">
        <w:rPr>
          <w:rFonts w:cstheme="minorHAnsi"/>
          <w:lang w:val="en-GB"/>
        </w:rPr>
        <w:t xml:space="preserve">DMEM in different studies. Given that previously outlined </w:t>
      </w:r>
      <w:r w:rsidR="00530F09">
        <w:rPr>
          <w:rFonts w:cstheme="minorHAnsi"/>
          <w:lang w:val="en-GB"/>
        </w:rPr>
        <w:t>changes in matrix</w:t>
      </w:r>
      <w:r w:rsidRPr="0045431D">
        <w:rPr>
          <w:rFonts w:cstheme="minorHAnsi"/>
          <w:lang w:val="en-GB"/>
        </w:rPr>
        <w:t xml:space="preserve"> have the potential to impact assay performance</w:t>
      </w:r>
      <w:r w:rsidR="00D97D07">
        <w:rPr>
          <w:rFonts w:cstheme="minorHAnsi"/>
          <w:lang w:val="en-GB"/>
        </w:rPr>
        <w:t xml:space="preserve">, </w:t>
      </w:r>
      <w:r w:rsidRPr="0045431D">
        <w:rPr>
          <w:rFonts w:cstheme="minorHAnsi"/>
          <w:lang w:val="en-GB"/>
        </w:rPr>
        <w:t xml:space="preserve">and that this problem could be further compounded by the high protein binding observed for TIZ, &gt;99.9% in plasma </w:t>
      </w:r>
      <w:r w:rsidR="00367DA2" w:rsidRPr="0045431D">
        <w:rPr>
          <w:rFonts w:cstheme="minorHAnsi"/>
          <w:lang w:val="en-GB"/>
        </w:rPr>
        <w:fldChar w:fldCharType="begin"/>
      </w:r>
      <w:r w:rsidR="00E06C25">
        <w:rPr>
          <w:rFonts w:cstheme="minorHAnsi"/>
          <w:lang w:val="en-GB"/>
        </w:rPr>
        <w:instrText xml:space="preserve"> ADDIN EN.CITE &lt;EndNote&gt;&lt;Cite&gt;&lt;Author&gt;FDA&lt;/Author&gt;&lt;Year&gt;2002&lt;/Year&gt;&lt;RecNum&gt;1136&lt;/RecNum&gt;&lt;DisplayText&gt;[2]&lt;/DisplayText&gt;&lt;record&gt;&lt;rec-number&gt;1136&lt;/rec-number&gt;&lt;foreign-keys&gt;&lt;key app="EN" db-id="09sztrdrjsd2r6e9x96psvsbrd9ate929dar" timestamp="1611749422"&gt;1136&lt;/key&gt;&lt;/foreign-keys&gt;&lt;ref-type name="Web Page"&gt;12&lt;/ref-type&gt;&lt;contributors&gt;&lt;authors&gt;&lt;author&gt;FDA&lt;/author&gt;&lt;/authors&gt;&lt;/contributors&gt;&lt;titles&gt;&lt;title&gt;ALINIA Nitazoxanide drug label highlights of prescribing information. Reference ID: 3956992 &lt;/title&gt;&lt;/titles&gt;&lt;dates&gt;&lt;year&gt;2002&lt;/year&gt;&lt;/dates&gt;&lt;urls&gt;&lt;related-urls&gt;&lt;url&gt;https://www.accessdata.fda.gov/drugsatfda_docs/label/2016/021497s001,021498s004lbl.pdf&lt;/url&gt;&lt;/related-urls&gt;&lt;/urls&gt;&lt;/record&gt;&lt;/Cite&gt;&lt;/EndNote&gt;</w:instrText>
      </w:r>
      <w:r w:rsidR="00367DA2" w:rsidRPr="0045431D">
        <w:rPr>
          <w:rFonts w:cstheme="minorHAnsi"/>
          <w:lang w:val="en-GB"/>
        </w:rPr>
        <w:fldChar w:fldCharType="separate"/>
      </w:r>
      <w:r w:rsidR="00E05977">
        <w:rPr>
          <w:rFonts w:cstheme="minorHAnsi"/>
          <w:noProof/>
          <w:lang w:val="en-GB"/>
        </w:rPr>
        <w:t>[2]</w:t>
      </w:r>
      <w:r w:rsidR="00367DA2" w:rsidRPr="0045431D">
        <w:rPr>
          <w:rFonts w:cstheme="minorHAnsi"/>
          <w:lang w:val="en-GB"/>
        </w:rPr>
        <w:fldChar w:fldCharType="end"/>
      </w:r>
      <w:r w:rsidRPr="0045431D">
        <w:rPr>
          <w:rFonts w:cstheme="minorHAnsi"/>
          <w:lang w:val="en-GB"/>
        </w:rPr>
        <w:t xml:space="preserve">, a thorough investigation of </w:t>
      </w:r>
      <w:r w:rsidR="00530F09">
        <w:rPr>
          <w:rFonts w:cstheme="minorHAnsi"/>
          <w:lang w:val="en-GB"/>
        </w:rPr>
        <w:t xml:space="preserve">multiple </w:t>
      </w:r>
      <w:r w:rsidRPr="0045431D">
        <w:rPr>
          <w:rFonts w:cstheme="minorHAnsi"/>
          <w:lang w:val="en-GB"/>
        </w:rPr>
        <w:t>matr</w:t>
      </w:r>
      <w:r w:rsidR="00530F09">
        <w:rPr>
          <w:rFonts w:cstheme="minorHAnsi"/>
          <w:lang w:val="en-GB"/>
        </w:rPr>
        <w:t>ices</w:t>
      </w:r>
      <w:r w:rsidRPr="0045431D">
        <w:rPr>
          <w:rFonts w:cstheme="minorHAnsi"/>
          <w:lang w:val="en-GB"/>
        </w:rPr>
        <w:t xml:space="preserve"> was warranted. </w:t>
      </w:r>
      <w:r w:rsidR="000D4E24">
        <w:rPr>
          <w:rFonts w:cstheme="minorHAnsi"/>
          <w:lang w:val="en-GB"/>
        </w:rPr>
        <w:t>S</w:t>
      </w:r>
      <w:r w:rsidR="00330840">
        <w:rPr>
          <w:rFonts w:cstheme="minorHAnsi"/>
          <w:lang w:val="en-GB"/>
        </w:rPr>
        <w:t>mall differences in</w:t>
      </w:r>
      <w:r>
        <w:rPr>
          <w:rFonts w:cstheme="minorHAnsi"/>
          <w:lang w:val="en-GB"/>
        </w:rPr>
        <w:t xml:space="preserve"> recovery of TIZ within different matrices</w:t>
      </w:r>
      <w:r w:rsidR="000D4E24">
        <w:rPr>
          <w:rFonts w:cstheme="minorHAnsi"/>
          <w:lang w:val="en-GB"/>
        </w:rPr>
        <w:t xml:space="preserve"> were evident</w:t>
      </w:r>
      <w:r>
        <w:rPr>
          <w:rFonts w:cstheme="minorHAnsi"/>
          <w:lang w:val="en-GB"/>
        </w:rPr>
        <w:t xml:space="preserve">, but all recovery percentages </w:t>
      </w:r>
      <w:r w:rsidR="000D4E24">
        <w:rPr>
          <w:rFonts w:cstheme="minorHAnsi"/>
          <w:lang w:val="en-GB"/>
        </w:rPr>
        <w:t>were</w:t>
      </w:r>
      <w:r>
        <w:rPr>
          <w:rFonts w:cstheme="minorHAnsi"/>
          <w:lang w:val="en-GB"/>
        </w:rPr>
        <w:t xml:space="preserve"> seen to be rep</w:t>
      </w:r>
      <w:r w:rsidR="00DE174E">
        <w:rPr>
          <w:rFonts w:cstheme="minorHAnsi"/>
          <w:lang w:val="en-GB"/>
        </w:rPr>
        <w:t>eatable</w:t>
      </w:r>
      <w:r>
        <w:rPr>
          <w:rFonts w:cstheme="minorHAnsi"/>
          <w:lang w:val="en-GB"/>
        </w:rPr>
        <w:t xml:space="preserve"> for each</w:t>
      </w:r>
      <w:r w:rsidR="000D4E24">
        <w:rPr>
          <w:rFonts w:cstheme="minorHAnsi"/>
          <w:lang w:val="en-GB"/>
        </w:rPr>
        <w:t xml:space="preserve"> of the</w:t>
      </w:r>
      <w:r>
        <w:rPr>
          <w:rFonts w:cstheme="minorHAnsi"/>
          <w:lang w:val="en-GB"/>
        </w:rPr>
        <w:t xml:space="preserve"> matrices</w:t>
      </w:r>
      <w:r w:rsidR="00330840">
        <w:rPr>
          <w:rFonts w:cstheme="minorHAnsi"/>
          <w:lang w:val="en-GB"/>
        </w:rPr>
        <w:t xml:space="preserve"> (deviation &lt;15%)</w:t>
      </w:r>
      <w:r>
        <w:rPr>
          <w:rFonts w:cstheme="minorHAnsi"/>
          <w:lang w:val="en-GB"/>
        </w:rPr>
        <w:t>. Furthermore</w:t>
      </w:r>
      <w:r w:rsidR="000D4E24">
        <w:rPr>
          <w:rFonts w:cstheme="minorHAnsi"/>
          <w:lang w:val="en-GB"/>
        </w:rPr>
        <w:t>,</w:t>
      </w:r>
      <w:r>
        <w:rPr>
          <w:rFonts w:cstheme="minorHAnsi"/>
          <w:lang w:val="en-GB"/>
        </w:rPr>
        <w:t xml:space="preserve"> the endogenous signal from each </w:t>
      </w:r>
      <w:r w:rsidR="00B356CF">
        <w:rPr>
          <w:rFonts w:cstheme="minorHAnsi"/>
          <w:lang w:val="en-GB"/>
        </w:rPr>
        <w:t xml:space="preserve">of the </w:t>
      </w:r>
      <w:r>
        <w:rPr>
          <w:rFonts w:cstheme="minorHAnsi"/>
          <w:lang w:val="en-GB"/>
        </w:rPr>
        <w:t xml:space="preserve">matrices was seen to be less than </w:t>
      </w:r>
      <w:r w:rsidR="00330840">
        <w:rPr>
          <w:rFonts w:cstheme="minorHAnsi"/>
          <w:lang w:val="en-GB"/>
        </w:rPr>
        <w:t>7</w:t>
      </w:r>
      <w:r>
        <w:rPr>
          <w:rFonts w:cstheme="minorHAnsi"/>
          <w:lang w:val="en-GB"/>
        </w:rPr>
        <w:t xml:space="preserve">% of the LLOQ, </w:t>
      </w:r>
      <w:r>
        <w:rPr>
          <w:rFonts w:cstheme="minorHAnsi"/>
          <w:lang w:val="en-GB"/>
        </w:rPr>
        <w:lastRenderedPageBreak/>
        <w:t xml:space="preserve">falling well within the 20% acceptance criteria set out </w:t>
      </w:r>
      <w:r w:rsidR="00B356CF">
        <w:rPr>
          <w:rFonts w:cstheme="minorHAnsi"/>
          <w:lang w:val="en-GB"/>
        </w:rPr>
        <w:t>in</w:t>
      </w:r>
      <w:r>
        <w:rPr>
          <w:rFonts w:cstheme="minorHAnsi"/>
          <w:lang w:val="en-GB"/>
        </w:rPr>
        <w:t xml:space="preserve"> FDA</w:t>
      </w:r>
      <w:r w:rsidR="00B356CF">
        <w:rPr>
          <w:rFonts w:cstheme="minorHAnsi"/>
          <w:lang w:val="en-GB"/>
        </w:rPr>
        <w:t xml:space="preserve"> guidance</w:t>
      </w:r>
      <w:r>
        <w:rPr>
          <w:rFonts w:cstheme="minorHAnsi"/>
          <w:lang w:val="en-GB"/>
        </w:rPr>
        <w:t xml:space="preserve"> </w:t>
      </w:r>
      <w:r w:rsidR="008D63D6">
        <w:rPr>
          <w:rFonts w:cstheme="minorHAnsi"/>
          <w:lang w:val="en-GB"/>
        </w:rPr>
        <w:fldChar w:fldCharType="begin"/>
      </w:r>
      <w:r w:rsidR="00E06C25">
        <w:rPr>
          <w:rFonts w:cstheme="minorHAnsi"/>
          <w:lang w:val="en-GB"/>
        </w:rPr>
        <w:instrText xml:space="preserve"> ADDIN EN.CITE &lt;EndNote&gt;&lt;Cite&gt;&lt;Author&gt;Administration&lt;/Author&gt;&lt;Year&gt;2018&lt;/Year&gt;&lt;RecNum&gt;1108&lt;/RecNum&gt;&lt;DisplayText&gt;[30]&lt;/DisplayText&gt;&lt;record&gt;&lt;rec-number&gt;1108&lt;/rec-number&gt;&lt;foreign-keys&gt;&lt;key app="EN" db-id="09sztrdrjsd2r6e9x96psvsbrd9ate929dar" timestamp="1591699718"&gt;1108&lt;/key&gt;&lt;/foreign-keys&gt;&lt;ref-type name="Government Document"&gt;46&lt;/ref-type&gt;&lt;contributors&gt;&lt;authors&gt;&lt;author&gt;U.S. Department of Health and Human Services Food and Drug Administration&lt;/author&gt;&lt;/authors&gt;&lt;secondary-authors&gt;&lt;author&gt;U.S. Department of Health and Human Services Food and Drug Administration Center for Drug Evaluation and Research (CDER) Center for Veterinary Medicine (CVM)&lt;/author&gt;&lt;/secondary-authors&gt;&lt;/contributors&gt;&lt;titles&gt;&lt;title&gt;Bioanalytical Method Validation Guidance for Industry&lt;/title&gt;&lt;/titles&gt;&lt;pages&gt;44&lt;/pages&gt;&lt;dates&gt;&lt;year&gt;2018&lt;/year&gt;&lt;/dates&gt;&lt;urls&gt;&lt;/urls&gt;&lt;/record&gt;&lt;/Cite&gt;&lt;/EndNote&gt;</w:instrText>
      </w:r>
      <w:r w:rsidR="008D63D6">
        <w:rPr>
          <w:rFonts w:cstheme="minorHAnsi"/>
          <w:lang w:val="en-GB"/>
        </w:rPr>
        <w:fldChar w:fldCharType="separate"/>
      </w:r>
      <w:r w:rsidR="00E06C25">
        <w:rPr>
          <w:rFonts w:cstheme="minorHAnsi"/>
          <w:noProof/>
          <w:lang w:val="en-GB"/>
        </w:rPr>
        <w:t>[30]</w:t>
      </w:r>
      <w:r w:rsidR="008D63D6">
        <w:rPr>
          <w:rFonts w:cstheme="minorHAnsi"/>
          <w:lang w:val="en-GB"/>
        </w:rPr>
        <w:fldChar w:fldCharType="end"/>
      </w:r>
      <w:r w:rsidR="00B356CF">
        <w:rPr>
          <w:rFonts w:cstheme="minorHAnsi"/>
          <w:lang w:val="en-GB"/>
        </w:rPr>
        <w:t>. Thus</w:t>
      </w:r>
      <w:r>
        <w:rPr>
          <w:rFonts w:cstheme="minorHAnsi"/>
          <w:lang w:val="en-GB"/>
        </w:rPr>
        <w:t xml:space="preserve">, </w:t>
      </w:r>
      <w:r w:rsidR="00530F09">
        <w:rPr>
          <w:rFonts w:cstheme="minorHAnsi"/>
          <w:lang w:val="en-GB"/>
        </w:rPr>
        <w:t>the change in</w:t>
      </w:r>
      <w:r>
        <w:rPr>
          <w:rFonts w:cstheme="minorHAnsi"/>
          <w:lang w:val="en-GB"/>
        </w:rPr>
        <w:t xml:space="preserve"> matrix </w:t>
      </w:r>
      <w:r w:rsidR="00B356CF">
        <w:rPr>
          <w:rFonts w:cstheme="minorHAnsi"/>
          <w:lang w:val="en-GB"/>
        </w:rPr>
        <w:t>is unlikely to meaningfully</w:t>
      </w:r>
      <w:r>
        <w:rPr>
          <w:rFonts w:cstheme="minorHAnsi"/>
          <w:lang w:val="en-GB"/>
        </w:rPr>
        <w:t xml:space="preserve"> impact assay performance.</w:t>
      </w:r>
    </w:p>
    <w:p w14:paraId="2B5381E9" w14:textId="2BFBA491" w:rsidR="00355801" w:rsidRPr="0045431D" w:rsidRDefault="00355801" w:rsidP="00355801">
      <w:pPr>
        <w:spacing w:line="360" w:lineRule="auto"/>
        <w:jc w:val="both"/>
        <w:rPr>
          <w:rFonts w:cstheme="minorHAnsi"/>
          <w:lang w:val="en-GB"/>
        </w:rPr>
      </w:pPr>
      <w:r w:rsidRPr="0045431D">
        <w:rPr>
          <w:rFonts w:cstheme="minorHAnsi"/>
          <w:lang w:val="en-GB"/>
        </w:rPr>
        <w:t xml:space="preserve">The decision to focus on TIZ exclusively was driven by the observation that NTZ is rapidly converted to TIZ, and that previous studies have not detected NTZ in plasma, </w:t>
      </w:r>
      <w:r w:rsidR="00B356CF">
        <w:rPr>
          <w:rFonts w:cstheme="minorHAnsi"/>
          <w:lang w:val="en-GB"/>
        </w:rPr>
        <w:t>the</w:t>
      </w:r>
      <w:r w:rsidR="00B356CF" w:rsidRPr="0045431D">
        <w:rPr>
          <w:rFonts w:cstheme="minorHAnsi"/>
          <w:lang w:val="en-GB"/>
        </w:rPr>
        <w:t xml:space="preserve"> </w:t>
      </w:r>
      <w:r w:rsidRPr="0045431D">
        <w:rPr>
          <w:rFonts w:cstheme="minorHAnsi"/>
          <w:lang w:val="en-GB"/>
        </w:rPr>
        <w:t xml:space="preserve">main </w:t>
      </w:r>
      <w:r w:rsidR="00B356CF">
        <w:rPr>
          <w:rFonts w:cstheme="minorHAnsi"/>
          <w:lang w:val="en-GB"/>
        </w:rPr>
        <w:t>matrix</w:t>
      </w:r>
      <w:r w:rsidR="00B356CF" w:rsidRPr="0045431D">
        <w:rPr>
          <w:rFonts w:cstheme="minorHAnsi"/>
          <w:lang w:val="en-GB"/>
        </w:rPr>
        <w:t xml:space="preserve"> </w:t>
      </w:r>
      <w:r w:rsidRPr="0045431D">
        <w:rPr>
          <w:rFonts w:cstheme="minorHAnsi"/>
          <w:lang w:val="en-GB"/>
        </w:rPr>
        <w:t xml:space="preserve">of interest </w:t>
      </w:r>
      <w:r w:rsidRPr="0045431D">
        <w:rPr>
          <w:rFonts w:cstheme="minorHAnsi"/>
          <w:lang w:val="en-GB"/>
        </w:rPr>
        <w:fldChar w:fldCharType="begin"/>
      </w:r>
      <w:r w:rsidR="00E06C25">
        <w:rPr>
          <w:rFonts w:cstheme="minorHAnsi"/>
          <w:lang w:val="en-GB"/>
        </w:rPr>
        <w:instrText xml:space="preserve"> ADDIN EN.CITE &lt;EndNote&gt;&lt;Cite&gt;&lt;Author&gt;Mullokandov&lt;/Author&gt;&lt;Year&gt;2014&lt;/Year&gt;&lt;RecNum&gt;664&lt;/RecNum&gt;&lt;DisplayText&gt;[35]&lt;/DisplayText&gt;&lt;record&gt;&lt;rec-number&gt;664&lt;/rec-number&gt;&lt;foreign-keys&gt;&lt;key app="EN" db-id="v0pxdzew8sdtaredz5bxxwemsszs55wf95ar" timestamp="1673280568"&gt;664&lt;/key&gt;&lt;/foreign-keys&gt;&lt;ref-type name="Journal Article"&gt;17&lt;/ref-type&gt;&lt;contributors&gt;&lt;authors&gt;&lt;author&gt;Mullokandov, Eduard&lt;/author&gt;&lt;author&gt;Ahn, Jennifer&lt;/author&gt;&lt;author&gt;Szalkiewicz, Andrew&lt;/author&gt;&lt;author&gt;Babayeva, Mariana&lt;/author&gt;&lt;/authors&gt;&lt;/contributors&gt;&lt;titles&gt;&lt;title&gt;Protein binding drug-drug interaction between warfarin and tizoxanide in human plasma&lt;/title&gt;&lt;/titles&gt;&lt;dates&gt;&lt;year&gt;2014&lt;/year&gt;&lt;/dates&gt;&lt;urls&gt;&lt;/urls&gt;&lt;/record&gt;&lt;/Cite&gt;&lt;/EndNote&gt;</w:instrText>
      </w:r>
      <w:r w:rsidRPr="0045431D">
        <w:rPr>
          <w:rFonts w:cstheme="minorHAnsi"/>
          <w:lang w:val="en-GB"/>
        </w:rPr>
        <w:fldChar w:fldCharType="separate"/>
      </w:r>
      <w:r w:rsidR="00E06C25">
        <w:rPr>
          <w:rFonts w:cstheme="minorHAnsi"/>
          <w:noProof/>
          <w:lang w:val="en-GB"/>
        </w:rPr>
        <w:t>[35]</w:t>
      </w:r>
      <w:r w:rsidRPr="0045431D">
        <w:rPr>
          <w:rFonts w:cstheme="minorHAnsi"/>
          <w:lang w:val="en-GB"/>
        </w:rPr>
        <w:fldChar w:fldCharType="end"/>
      </w:r>
      <w:r w:rsidRPr="0045431D">
        <w:rPr>
          <w:rFonts w:cstheme="minorHAnsi"/>
          <w:lang w:val="en-GB"/>
        </w:rPr>
        <w:t xml:space="preserve">. </w:t>
      </w:r>
      <w:r w:rsidR="00B356CF">
        <w:rPr>
          <w:rFonts w:cstheme="minorHAnsi"/>
          <w:lang w:val="en-GB"/>
        </w:rPr>
        <w:t>The</w:t>
      </w:r>
      <w:r w:rsidR="00B356CF" w:rsidRPr="0045431D">
        <w:rPr>
          <w:rFonts w:cstheme="minorHAnsi"/>
          <w:lang w:val="en-GB"/>
        </w:rPr>
        <w:t xml:space="preserve"> </w:t>
      </w:r>
      <w:r w:rsidRPr="0045431D">
        <w:rPr>
          <w:rFonts w:cstheme="minorHAnsi"/>
          <w:lang w:val="en-GB"/>
        </w:rPr>
        <w:t>assay was able to quantify TIZ within multiple matrices, generating highly rep</w:t>
      </w:r>
      <w:r w:rsidR="00DE174E">
        <w:rPr>
          <w:rFonts w:cstheme="minorHAnsi"/>
          <w:lang w:val="en-GB"/>
        </w:rPr>
        <w:t>eatable</w:t>
      </w:r>
      <w:r w:rsidRPr="0045431D">
        <w:rPr>
          <w:rFonts w:cstheme="minorHAnsi"/>
          <w:lang w:val="en-GB"/>
        </w:rPr>
        <w:t xml:space="preserve">, precise and accurate results, indicating a tolerance to the negative impact of matrix effects. </w:t>
      </w:r>
      <w:r w:rsidR="005120A0">
        <w:rPr>
          <w:lang w:val="en-GB"/>
        </w:rPr>
        <w:t xml:space="preserve">The </w:t>
      </w:r>
      <w:r w:rsidR="00B356CF">
        <w:rPr>
          <w:lang w:val="en-GB"/>
        </w:rPr>
        <w:t xml:space="preserve">described </w:t>
      </w:r>
      <w:r w:rsidR="005120A0">
        <w:rPr>
          <w:lang w:val="en-GB"/>
        </w:rPr>
        <w:t>assay will be further developed to include the major metabolite of TIZ, tizoxanide glucuronide</w:t>
      </w:r>
      <w:r w:rsidR="005120A0" w:rsidRPr="0045431D">
        <w:rPr>
          <w:lang w:val="en-GB"/>
        </w:rPr>
        <w:t xml:space="preserve">. </w:t>
      </w:r>
      <w:r w:rsidR="00B356CF">
        <w:rPr>
          <w:rFonts w:cstheme="minorHAnsi"/>
          <w:bCs/>
          <w:lang w:val="en-GB"/>
        </w:rPr>
        <w:t xml:space="preserve">In summary, </w:t>
      </w:r>
      <w:r w:rsidRPr="0045431D">
        <w:rPr>
          <w:rFonts w:cstheme="minorHAnsi"/>
          <w:lang w:val="en-GB"/>
        </w:rPr>
        <w:t>a highly sensitive TIZ LC-MS/MS assay</w:t>
      </w:r>
      <w:r w:rsidR="00B356CF">
        <w:rPr>
          <w:rFonts w:cstheme="minorHAnsi"/>
          <w:lang w:val="en-GB"/>
        </w:rPr>
        <w:t xml:space="preserve"> is presented, which</w:t>
      </w:r>
      <w:r w:rsidRPr="0045431D">
        <w:rPr>
          <w:rFonts w:cstheme="minorHAnsi"/>
          <w:lang w:val="en-GB"/>
        </w:rPr>
        <w:t xml:space="preserve"> </w:t>
      </w:r>
      <w:r w:rsidR="00B356CF" w:rsidRPr="0045431D">
        <w:rPr>
          <w:rFonts w:cstheme="minorHAnsi"/>
          <w:lang w:val="en-GB"/>
        </w:rPr>
        <w:t>fully me</w:t>
      </w:r>
      <w:r w:rsidR="00B356CF">
        <w:rPr>
          <w:rFonts w:cstheme="minorHAnsi"/>
          <w:lang w:val="en-GB"/>
        </w:rPr>
        <w:t>e</w:t>
      </w:r>
      <w:r w:rsidR="00B356CF" w:rsidRPr="0045431D">
        <w:rPr>
          <w:rFonts w:cstheme="minorHAnsi"/>
          <w:lang w:val="en-GB"/>
        </w:rPr>
        <w:t>t</w:t>
      </w:r>
      <w:r w:rsidR="00B356CF">
        <w:rPr>
          <w:rFonts w:cstheme="minorHAnsi"/>
          <w:lang w:val="en-GB"/>
        </w:rPr>
        <w:t>s</w:t>
      </w:r>
      <w:r w:rsidR="00B356CF" w:rsidRPr="0045431D">
        <w:rPr>
          <w:rFonts w:cstheme="minorHAnsi"/>
          <w:lang w:val="en-GB"/>
        </w:rPr>
        <w:t xml:space="preserve"> FDA bioanalytical method development guidelines</w:t>
      </w:r>
      <w:r w:rsidR="00B356CF">
        <w:rPr>
          <w:rFonts w:cstheme="minorHAnsi"/>
          <w:lang w:val="en-GB"/>
        </w:rPr>
        <w:t>.</w:t>
      </w:r>
      <w:r w:rsidR="00B356CF" w:rsidRPr="0045431D">
        <w:rPr>
          <w:rFonts w:cstheme="minorHAnsi"/>
          <w:lang w:val="en-GB"/>
        </w:rPr>
        <w:t xml:space="preserve"> </w:t>
      </w:r>
    </w:p>
    <w:p w14:paraId="7FCB3E29" w14:textId="77777777" w:rsidR="00D47A87" w:rsidRPr="0045431D" w:rsidRDefault="00D47A87" w:rsidP="0045431D">
      <w:pPr>
        <w:jc w:val="both"/>
        <w:rPr>
          <w:b/>
          <w:lang w:val="en-GB"/>
        </w:rPr>
      </w:pPr>
      <w:r w:rsidRPr="0045431D">
        <w:rPr>
          <w:b/>
          <w:lang w:val="en-GB"/>
        </w:rPr>
        <w:br w:type="page"/>
      </w:r>
    </w:p>
    <w:p w14:paraId="6A5241DE" w14:textId="789B7B04" w:rsidR="003F1104" w:rsidRPr="0045431D" w:rsidRDefault="003F1104" w:rsidP="0045431D">
      <w:pPr>
        <w:jc w:val="both"/>
        <w:rPr>
          <w:b/>
          <w:lang w:val="en-GB"/>
        </w:rPr>
      </w:pPr>
      <w:r w:rsidRPr="0045431D">
        <w:rPr>
          <w:b/>
          <w:lang w:val="en-GB"/>
        </w:rPr>
        <w:lastRenderedPageBreak/>
        <w:t>References</w:t>
      </w:r>
    </w:p>
    <w:p w14:paraId="36EB2EBB" w14:textId="77777777" w:rsidR="001319AE" w:rsidRPr="001319AE" w:rsidRDefault="003F1104" w:rsidP="001319AE">
      <w:pPr>
        <w:pStyle w:val="EndNoteBibliography"/>
        <w:spacing w:after="0"/>
        <w:ind w:left="720" w:hanging="720"/>
      </w:pPr>
      <w:r w:rsidRPr="0045431D">
        <w:rPr>
          <w:lang w:val="en-GB"/>
        </w:rPr>
        <w:fldChar w:fldCharType="begin"/>
      </w:r>
      <w:r w:rsidRPr="0045431D">
        <w:rPr>
          <w:lang w:val="en-GB"/>
        </w:rPr>
        <w:instrText xml:space="preserve"> ADDIN EN.REFLIST </w:instrText>
      </w:r>
      <w:r w:rsidRPr="0045431D">
        <w:rPr>
          <w:lang w:val="en-GB"/>
        </w:rPr>
        <w:fldChar w:fldCharType="separate"/>
      </w:r>
      <w:r w:rsidR="001319AE" w:rsidRPr="001319AE">
        <w:t>1.</w:t>
      </w:r>
      <w:r w:rsidR="001319AE" w:rsidRPr="001319AE">
        <w:tab/>
        <w:t xml:space="preserve">Anderson, V.R. and M.P. Curran, </w:t>
      </w:r>
      <w:r w:rsidR="001319AE" w:rsidRPr="001319AE">
        <w:rPr>
          <w:i/>
        </w:rPr>
        <w:t>Nitazoxanide.</w:t>
      </w:r>
      <w:r w:rsidR="001319AE" w:rsidRPr="001319AE">
        <w:t xml:space="preserve"> Drugs, 2007. </w:t>
      </w:r>
      <w:r w:rsidR="001319AE" w:rsidRPr="001319AE">
        <w:rPr>
          <w:b/>
        </w:rPr>
        <w:t>67</w:t>
      </w:r>
      <w:r w:rsidR="001319AE" w:rsidRPr="001319AE">
        <w:t>(13): p. 1947-1967.</w:t>
      </w:r>
    </w:p>
    <w:p w14:paraId="10BC4C5E" w14:textId="1F2C1756" w:rsidR="001319AE" w:rsidRPr="001319AE" w:rsidRDefault="001319AE" w:rsidP="001319AE">
      <w:pPr>
        <w:pStyle w:val="EndNoteBibliography"/>
        <w:spacing w:after="0"/>
        <w:ind w:left="720" w:hanging="720"/>
      </w:pPr>
      <w:r w:rsidRPr="001319AE">
        <w:t>2.</w:t>
      </w:r>
      <w:r w:rsidRPr="001319AE">
        <w:tab/>
        <w:t xml:space="preserve">FDA. </w:t>
      </w:r>
      <w:r w:rsidRPr="001319AE">
        <w:rPr>
          <w:i/>
        </w:rPr>
        <w:t xml:space="preserve">ALINIA Nitazoxanide drug label highlights of prescribing information. Reference ID: 3956992 </w:t>
      </w:r>
      <w:r w:rsidRPr="001319AE">
        <w:t xml:space="preserve">2002; Available from: </w:t>
      </w:r>
      <w:hyperlink r:id="rId10" w:history="1">
        <w:r w:rsidRPr="001319AE">
          <w:rPr>
            <w:rStyle w:val="Hyperlink"/>
          </w:rPr>
          <w:t>https://www.accessdata.fda.gov/drugsatfda_docs/label/2016/021497s001,021498s004lbl.pdf</w:t>
        </w:r>
      </w:hyperlink>
      <w:r w:rsidRPr="001319AE">
        <w:t>.</w:t>
      </w:r>
    </w:p>
    <w:p w14:paraId="4B168C5F" w14:textId="77777777" w:rsidR="001319AE" w:rsidRPr="001319AE" w:rsidRDefault="001319AE" w:rsidP="001319AE">
      <w:pPr>
        <w:pStyle w:val="EndNoteBibliography"/>
        <w:spacing w:after="0"/>
        <w:ind w:left="720" w:hanging="720"/>
      </w:pPr>
      <w:r w:rsidRPr="001319AE">
        <w:t>3.</w:t>
      </w:r>
      <w:r w:rsidRPr="001319AE">
        <w:tab/>
        <w:t xml:space="preserve">Broekhuysen, J., et al., </w:t>
      </w:r>
      <w:r w:rsidRPr="001319AE">
        <w:rPr>
          <w:i/>
        </w:rPr>
        <w:t>Nitazoxanide: pharmacokinetics and metabolism in man.</w:t>
      </w:r>
      <w:r w:rsidRPr="001319AE">
        <w:t xml:space="preserve"> International journal of clinical pharmacology and therapeutics, 2000. </w:t>
      </w:r>
      <w:r w:rsidRPr="001319AE">
        <w:rPr>
          <w:b/>
        </w:rPr>
        <w:t>38</w:t>
      </w:r>
      <w:r w:rsidRPr="001319AE">
        <w:t>(8): p. 387-394.</w:t>
      </w:r>
    </w:p>
    <w:p w14:paraId="443F7E2F" w14:textId="77777777" w:rsidR="001319AE" w:rsidRPr="001319AE" w:rsidRDefault="001319AE" w:rsidP="001319AE">
      <w:pPr>
        <w:pStyle w:val="EndNoteBibliography"/>
        <w:spacing w:after="0"/>
        <w:ind w:left="720" w:hanging="720"/>
      </w:pPr>
      <w:r w:rsidRPr="001319AE">
        <w:t>4.</w:t>
      </w:r>
      <w:r w:rsidRPr="001319AE">
        <w:tab/>
        <w:t xml:space="preserve">Esposito, M., et al., </w:t>
      </w:r>
      <w:r w:rsidRPr="001319AE">
        <w:rPr>
          <w:i/>
        </w:rPr>
        <w:t>Induction of tachyzoite egress from cells infected with the protozoan Neospora caninum by nitro-and bromo-thiazolides, a class of broad-spectrum anti-parasitic drugs.</w:t>
      </w:r>
      <w:r w:rsidRPr="001319AE">
        <w:t xml:space="preserve"> International journal for parasitology, 2007. </w:t>
      </w:r>
      <w:r w:rsidRPr="001319AE">
        <w:rPr>
          <w:b/>
        </w:rPr>
        <w:t>37</w:t>
      </w:r>
      <w:r w:rsidRPr="001319AE">
        <w:t>(10): p. 1143-1152.</w:t>
      </w:r>
    </w:p>
    <w:p w14:paraId="56ADACC4" w14:textId="77777777" w:rsidR="001319AE" w:rsidRPr="001319AE" w:rsidRDefault="001319AE" w:rsidP="001319AE">
      <w:pPr>
        <w:pStyle w:val="EndNoteBibliography"/>
        <w:spacing w:after="0"/>
        <w:ind w:left="720" w:hanging="720"/>
      </w:pPr>
      <w:r w:rsidRPr="001319AE">
        <w:t>5.</w:t>
      </w:r>
      <w:r w:rsidRPr="001319AE">
        <w:tab/>
        <w:t xml:space="preserve">Ortiz, J.J., et al., </w:t>
      </w:r>
      <w:r w:rsidRPr="001319AE">
        <w:rPr>
          <w:i/>
        </w:rPr>
        <w:t>Comparative clinical studies of nitazoxanide, albendazole and praziquantel in the treatment of ascariasis, trichuriasis and hymenolepiasis in children from Peru.</w:t>
      </w:r>
      <w:r w:rsidRPr="001319AE">
        <w:t xml:space="preserve"> Transactions of the Royal Society of Tropical Medicine and Hygiene, 2002. </w:t>
      </w:r>
      <w:r w:rsidRPr="001319AE">
        <w:rPr>
          <w:b/>
        </w:rPr>
        <w:t>96</w:t>
      </w:r>
      <w:r w:rsidRPr="001319AE">
        <w:t>(2): p. 193-196.</w:t>
      </w:r>
    </w:p>
    <w:p w14:paraId="6997013D" w14:textId="77777777" w:rsidR="001319AE" w:rsidRPr="001319AE" w:rsidRDefault="001319AE" w:rsidP="001319AE">
      <w:pPr>
        <w:pStyle w:val="EndNoteBibliography"/>
        <w:spacing w:after="0"/>
        <w:ind w:left="720" w:hanging="720"/>
      </w:pPr>
      <w:r w:rsidRPr="001319AE">
        <w:t>6.</w:t>
      </w:r>
      <w:r w:rsidRPr="001319AE">
        <w:tab/>
        <w:t xml:space="preserve">Dubreuil, L., et al., </w:t>
      </w:r>
      <w:r w:rsidRPr="001319AE">
        <w:rPr>
          <w:i/>
        </w:rPr>
        <w:t>In vitro evaluation of activities of nitazoxanide and tizoxanide against anaerobes and aerobic organisms.</w:t>
      </w:r>
      <w:r w:rsidRPr="001319AE">
        <w:t xml:space="preserve"> Antimicrobial agents and chemotherapy, 1996. </w:t>
      </w:r>
      <w:r w:rsidRPr="001319AE">
        <w:rPr>
          <w:b/>
        </w:rPr>
        <w:t>40</w:t>
      </w:r>
      <w:r w:rsidRPr="001319AE">
        <w:t>(10): p. 2266-2270.</w:t>
      </w:r>
    </w:p>
    <w:p w14:paraId="58F96184" w14:textId="77777777" w:rsidR="001319AE" w:rsidRPr="001319AE" w:rsidRDefault="001319AE" w:rsidP="001319AE">
      <w:pPr>
        <w:pStyle w:val="EndNoteBibliography"/>
        <w:spacing w:after="0"/>
        <w:ind w:left="720" w:hanging="720"/>
      </w:pPr>
      <w:r w:rsidRPr="001319AE">
        <w:t>7.</w:t>
      </w:r>
      <w:r w:rsidRPr="001319AE">
        <w:tab/>
        <w:t xml:space="preserve">Rossignol, J.-F., et al., </w:t>
      </w:r>
      <w:r w:rsidRPr="001319AE">
        <w:rPr>
          <w:i/>
        </w:rPr>
        <w:t>Effect of nitazoxanide for treatment of severe rotavirus diarrhoea: randomised double-blind placebo-controlled trial.</w:t>
      </w:r>
      <w:r w:rsidRPr="001319AE">
        <w:t xml:space="preserve"> The Lancet, 2006. </w:t>
      </w:r>
      <w:r w:rsidRPr="001319AE">
        <w:rPr>
          <w:b/>
        </w:rPr>
        <w:t>368</w:t>
      </w:r>
      <w:r w:rsidRPr="001319AE">
        <w:t>(9530): p. 124-129.</w:t>
      </w:r>
    </w:p>
    <w:p w14:paraId="2A2E0469" w14:textId="77777777" w:rsidR="001319AE" w:rsidRPr="001319AE" w:rsidRDefault="001319AE" w:rsidP="001319AE">
      <w:pPr>
        <w:pStyle w:val="EndNoteBibliography"/>
        <w:spacing w:after="0"/>
        <w:ind w:left="720" w:hanging="720"/>
      </w:pPr>
      <w:r w:rsidRPr="001319AE">
        <w:t>8.</w:t>
      </w:r>
      <w:r w:rsidRPr="001319AE">
        <w:tab/>
        <w:t xml:space="preserve">Korba, B.E., et al., </w:t>
      </w:r>
      <w:r w:rsidRPr="001319AE">
        <w:rPr>
          <w:i/>
        </w:rPr>
        <w:t>Nitazoxanide, tizoxanide and other thiazolides are potent inhibitors of hepatitis B virus and hepatitis C virus replication.</w:t>
      </w:r>
      <w:r w:rsidRPr="001319AE">
        <w:t xml:space="preserve"> Antiviral research, 2008. </w:t>
      </w:r>
      <w:r w:rsidRPr="001319AE">
        <w:rPr>
          <w:b/>
        </w:rPr>
        <w:t>77</w:t>
      </w:r>
      <w:r w:rsidRPr="001319AE">
        <w:t>(1): p. 56-63.</w:t>
      </w:r>
    </w:p>
    <w:p w14:paraId="462C75B1" w14:textId="77777777" w:rsidR="001319AE" w:rsidRPr="001319AE" w:rsidRDefault="001319AE" w:rsidP="001319AE">
      <w:pPr>
        <w:pStyle w:val="EndNoteBibliography"/>
        <w:spacing w:after="0"/>
        <w:ind w:left="720" w:hanging="720"/>
      </w:pPr>
      <w:r w:rsidRPr="001319AE">
        <w:t>9.</w:t>
      </w:r>
      <w:r w:rsidRPr="001319AE">
        <w:tab/>
        <w:t xml:space="preserve">Mahmoud, D.B., Z. Shitu, and A. Mostafa, </w:t>
      </w:r>
      <w:r w:rsidRPr="001319AE">
        <w:rPr>
          <w:i/>
        </w:rPr>
        <w:t>Drug repurposing of nitazoxanide: can it be an effective therapy for COVID-19?</w:t>
      </w:r>
      <w:r w:rsidRPr="001319AE">
        <w:t xml:space="preserve"> Journal of Genetic Engineering and Biotechnology, 2020. </w:t>
      </w:r>
      <w:r w:rsidRPr="001319AE">
        <w:rPr>
          <w:b/>
        </w:rPr>
        <w:t>18</w:t>
      </w:r>
      <w:r w:rsidRPr="001319AE">
        <w:t>(1): p. 1-10.</w:t>
      </w:r>
    </w:p>
    <w:p w14:paraId="180A4B5A" w14:textId="77777777" w:rsidR="001319AE" w:rsidRPr="001319AE" w:rsidRDefault="001319AE" w:rsidP="001319AE">
      <w:pPr>
        <w:pStyle w:val="EndNoteBibliography"/>
        <w:spacing w:after="0"/>
        <w:ind w:left="720" w:hanging="720"/>
      </w:pPr>
      <w:r w:rsidRPr="001319AE">
        <w:t>10.</w:t>
      </w:r>
      <w:r w:rsidRPr="001319AE">
        <w:tab/>
        <w:t xml:space="preserve">Rossignol, J.-F., </w:t>
      </w:r>
      <w:r w:rsidRPr="001319AE">
        <w:rPr>
          <w:i/>
        </w:rPr>
        <w:t>Nitazoxanide, a new drug candidate for the treatment of Middle East respiratory syndrome coronavirus.</w:t>
      </w:r>
      <w:r w:rsidRPr="001319AE">
        <w:t xml:space="preserve"> Journal of infection and public health, 2016. </w:t>
      </w:r>
      <w:r w:rsidRPr="001319AE">
        <w:rPr>
          <w:b/>
        </w:rPr>
        <w:t>9</w:t>
      </w:r>
      <w:r w:rsidRPr="001319AE">
        <w:t>(3): p. 227-230.</w:t>
      </w:r>
    </w:p>
    <w:p w14:paraId="41066763" w14:textId="77777777" w:rsidR="001319AE" w:rsidRPr="001319AE" w:rsidRDefault="001319AE" w:rsidP="001319AE">
      <w:pPr>
        <w:pStyle w:val="EndNoteBibliography"/>
        <w:spacing w:after="0"/>
        <w:ind w:left="720" w:hanging="720"/>
      </w:pPr>
      <w:r w:rsidRPr="001319AE">
        <w:t>11.</w:t>
      </w:r>
      <w:r w:rsidRPr="001319AE">
        <w:tab/>
        <w:t xml:space="preserve">Haffizulla, J., et al., </w:t>
      </w:r>
      <w:r w:rsidRPr="001319AE">
        <w:rPr>
          <w:i/>
        </w:rPr>
        <w:t>Effect of nitazoxanide in adults and adolescents with acute uncomplicated influenza: a double-blind, randomised, placebo-controlled, phase 2b/3 trial.</w:t>
      </w:r>
      <w:r w:rsidRPr="001319AE">
        <w:t xml:space="preserve"> The Lancet Infectious diseases, 2014. </w:t>
      </w:r>
      <w:r w:rsidRPr="001319AE">
        <w:rPr>
          <w:b/>
        </w:rPr>
        <w:t>14</w:t>
      </w:r>
      <w:r w:rsidRPr="001319AE">
        <w:t>(7): p. 609-618.</w:t>
      </w:r>
    </w:p>
    <w:p w14:paraId="1612C26A" w14:textId="77777777" w:rsidR="001319AE" w:rsidRPr="001319AE" w:rsidRDefault="001319AE" w:rsidP="001319AE">
      <w:pPr>
        <w:pStyle w:val="EndNoteBibliography"/>
        <w:spacing w:after="0"/>
        <w:ind w:left="720" w:hanging="720"/>
      </w:pPr>
      <w:r w:rsidRPr="001319AE">
        <w:t>12.</w:t>
      </w:r>
      <w:r w:rsidRPr="001319AE">
        <w:tab/>
        <w:t xml:space="preserve">Gamiño-Arroyo, A.E., et al., </w:t>
      </w:r>
      <w:r w:rsidRPr="001319AE">
        <w:rPr>
          <w:i/>
        </w:rPr>
        <w:t>Efficacy and safety of nitazoxanide in addition to standard of care for the treatment of severe acute respiratory illness.</w:t>
      </w:r>
      <w:r w:rsidRPr="001319AE">
        <w:t xml:space="preserve"> Clinical Infectious Diseases, 2019. </w:t>
      </w:r>
      <w:r w:rsidRPr="001319AE">
        <w:rPr>
          <w:b/>
        </w:rPr>
        <w:t>69</w:t>
      </w:r>
      <w:r w:rsidRPr="001319AE">
        <w:t>(11): p. 1903-1911.</w:t>
      </w:r>
    </w:p>
    <w:p w14:paraId="2A4133AD" w14:textId="2B93AE29" w:rsidR="001319AE" w:rsidRPr="001319AE" w:rsidRDefault="001319AE" w:rsidP="001319AE">
      <w:pPr>
        <w:pStyle w:val="EndNoteBibliography"/>
        <w:spacing w:after="0"/>
        <w:ind w:left="720" w:hanging="720"/>
      </w:pPr>
      <w:r w:rsidRPr="001319AE">
        <w:t>13.</w:t>
      </w:r>
      <w:r w:rsidRPr="001319AE">
        <w:tab/>
        <w:t xml:space="preserve">ClinicalTrials.gov. </w:t>
      </w:r>
      <w:r w:rsidRPr="001319AE">
        <w:rPr>
          <w:i/>
        </w:rPr>
        <w:t>ClinicalTrials.gov. Clinical Trials. 2021 SARS-CoV-2 nitazoxanide clincal trials search</w:t>
      </w:r>
      <w:r w:rsidRPr="001319AE">
        <w:t xml:space="preserve">. 2021; Available from: </w:t>
      </w:r>
      <w:hyperlink r:id="rId11" w:history="1">
        <w:r w:rsidRPr="001319AE">
          <w:rPr>
            <w:rStyle w:val="Hyperlink"/>
          </w:rPr>
          <w:t>https://clinicaltrials.gov/ct2/results?cond=sars-cov-2&amp;term=nitazoxanide&amp;cntry=&amp;state=&amp;city=&amp;dist</w:t>
        </w:r>
      </w:hyperlink>
      <w:r w:rsidRPr="001319AE">
        <w:t>=.</w:t>
      </w:r>
    </w:p>
    <w:p w14:paraId="1674DCB2" w14:textId="77777777" w:rsidR="001319AE" w:rsidRPr="001319AE" w:rsidRDefault="001319AE" w:rsidP="001319AE">
      <w:pPr>
        <w:pStyle w:val="EndNoteBibliography"/>
        <w:spacing w:after="0"/>
        <w:ind w:left="720" w:hanging="720"/>
      </w:pPr>
      <w:r w:rsidRPr="001319AE">
        <w:t>14.</w:t>
      </w:r>
      <w:r w:rsidRPr="001319AE">
        <w:tab/>
        <w:t xml:space="preserve">Arshad, U., et al., </w:t>
      </w:r>
      <w:r w:rsidRPr="001319AE">
        <w:rPr>
          <w:i/>
        </w:rPr>
        <w:t>Prioritisation of potential anti-SARS-CoV-2 drug repurposing opportunities based on ability to achieve adequate target site concentrations derived from their established human pharmacokinetics.</w:t>
      </w:r>
      <w:r w:rsidRPr="001319AE">
        <w:t xml:space="preserve"> medRxiv, 2020.</w:t>
      </w:r>
    </w:p>
    <w:p w14:paraId="60AF6600" w14:textId="77777777" w:rsidR="001319AE" w:rsidRPr="001319AE" w:rsidRDefault="001319AE" w:rsidP="001319AE">
      <w:pPr>
        <w:pStyle w:val="EndNoteBibliography"/>
        <w:spacing w:after="0"/>
        <w:ind w:left="720" w:hanging="720"/>
      </w:pPr>
      <w:r w:rsidRPr="001319AE">
        <w:t>15.</w:t>
      </w:r>
      <w:r w:rsidRPr="001319AE">
        <w:tab/>
        <w:t xml:space="preserve">Wang, M., et al., </w:t>
      </w:r>
      <w:r w:rsidRPr="001319AE">
        <w:rPr>
          <w:i/>
        </w:rPr>
        <w:t>Remdesivir and chloroquine effectively inhibit the recently emerged novel coronavirus (2019-nCoV) in vitro.</w:t>
      </w:r>
      <w:r w:rsidRPr="001319AE">
        <w:t xml:space="preserve"> Cell research, 2020. </w:t>
      </w:r>
      <w:r w:rsidRPr="001319AE">
        <w:rPr>
          <w:b/>
        </w:rPr>
        <w:t>30</w:t>
      </w:r>
      <w:r w:rsidRPr="001319AE">
        <w:t>(3): p. 269-271.</w:t>
      </w:r>
    </w:p>
    <w:p w14:paraId="32CB09C3" w14:textId="77777777" w:rsidR="001319AE" w:rsidRPr="001319AE" w:rsidRDefault="001319AE" w:rsidP="001319AE">
      <w:pPr>
        <w:pStyle w:val="EndNoteBibliography"/>
        <w:spacing w:after="0"/>
        <w:ind w:left="720" w:hanging="720"/>
      </w:pPr>
      <w:r w:rsidRPr="001319AE">
        <w:t>16.</w:t>
      </w:r>
      <w:r w:rsidRPr="001319AE">
        <w:tab/>
        <w:t xml:space="preserve">Stachulski, A.V., et al., </w:t>
      </w:r>
      <w:r w:rsidRPr="001319AE">
        <w:rPr>
          <w:i/>
        </w:rPr>
        <w:t>Therapeutic Potential of Nitazoxanide: An Appropriate Choice for Repurposing versus SARS-CoV-2?</w:t>
      </w:r>
      <w:r w:rsidRPr="001319AE">
        <w:t xml:space="preserve"> ACS infectious diseases, 2020.</w:t>
      </w:r>
    </w:p>
    <w:p w14:paraId="39243FC1" w14:textId="77777777" w:rsidR="001319AE" w:rsidRPr="001319AE" w:rsidRDefault="001319AE" w:rsidP="001319AE">
      <w:pPr>
        <w:pStyle w:val="EndNoteBibliography"/>
        <w:spacing w:after="0"/>
        <w:ind w:left="720" w:hanging="720"/>
      </w:pPr>
      <w:r w:rsidRPr="001319AE">
        <w:t>17.</w:t>
      </w:r>
      <w:r w:rsidRPr="001319AE">
        <w:tab/>
        <w:t xml:space="preserve">Rajoli, R.K., et al., </w:t>
      </w:r>
      <w:r w:rsidRPr="001319AE">
        <w:rPr>
          <w:i/>
        </w:rPr>
        <w:t>Dose prediction for repurposing nitazoxanide in SARS‐CoV‐2 treatment or chemoprophylaxis.</w:t>
      </w:r>
      <w:r w:rsidRPr="001319AE">
        <w:t xml:space="preserve"> British Journal of Clinical Pharmacology, 2020.</w:t>
      </w:r>
    </w:p>
    <w:p w14:paraId="4BCE3EBF" w14:textId="77777777" w:rsidR="001319AE" w:rsidRPr="001319AE" w:rsidRDefault="001319AE" w:rsidP="001319AE">
      <w:pPr>
        <w:pStyle w:val="EndNoteBibliography"/>
        <w:spacing w:after="0"/>
        <w:ind w:left="720" w:hanging="720"/>
      </w:pPr>
      <w:r w:rsidRPr="001319AE">
        <w:t>18.</w:t>
      </w:r>
      <w:r w:rsidRPr="001319AE">
        <w:tab/>
        <w:t xml:space="preserve">Lokhande, A.S. and P.V. Devarajan, </w:t>
      </w:r>
      <w:r w:rsidRPr="001319AE">
        <w:rPr>
          <w:i/>
        </w:rPr>
        <w:t>A review on possible mechanistic insights of Nitazoxanide for repurposing in COVID-19.</w:t>
      </w:r>
      <w:r w:rsidRPr="001319AE">
        <w:t xml:space="preserve"> European Journal of Pharmacology, 2020: p. 173748.</w:t>
      </w:r>
    </w:p>
    <w:p w14:paraId="74217D99" w14:textId="77777777" w:rsidR="001319AE" w:rsidRPr="001319AE" w:rsidRDefault="001319AE" w:rsidP="001319AE">
      <w:pPr>
        <w:pStyle w:val="EndNoteBibliography"/>
        <w:spacing w:after="0"/>
        <w:ind w:left="720" w:hanging="720"/>
      </w:pPr>
      <w:r w:rsidRPr="001319AE">
        <w:t>19.</w:t>
      </w:r>
      <w:r w:rsidRPr="001319AE">
        <w:tab/>
        <w:t xml:space="preserve">Clerici, M., et al., </w:t>
      </w:r>
      <w:r w:rsidRPr="001319AE">
        <w:rPr>
          <w:i/>
        </w:rPr>
        <w:t>The anti-infective Nitazoxanide shows strong immumodulating effects (155.21)</w:t>
      </w:r>
      <w:r w:rsidRPr="001319AE">
        <w:t>. 2011, Am Assoc Immnol.</w:t>
      </w:r>
    </w:p>
    <w:p w14:paraId="1EBA9B93" w14:textId="77777777" w:rsidR="001319AE" w:rsidRPr="001319AE" w:rsidRDefault="001319AE" w:rsidP="001319AE">
      <w:pPr>
        <w:pStyle w:val="EndNoteBibliography"/>
        <w:spacing w:after="0"/>
        <w:ind w:left="720" w:hanging="720"/>
      </w:pPr>
      <w:r w:rsidRPr="001319AE">
        <w:lastRenderedPageBreak/>
        <w:t>20.</w:t>
      </w:r>
      <w:r w:rsidRPr="001319AE">
        <w:tab/>
        <w:t xml:space="preserve">Hong, S.K., et al., </w:t>
      </w:r>
      <w:r w:rsidRPr="001319AE">
        <w:rPr>
          <w:i/>
        </w:rPr>
        <w:t>Nitazoxanide suppresses IL-6 production in LPS-stimulated mouse macrophages and TG-injected mice.</w:t>
      </w:r>
      <w:r w:rsidRPr="001319AE">
        <w:t xml:space="preserve"> International immunopharmacology, 2012. </w:t>
      </w:r>
      <w:r w:rsidRPr="001319AE">
        <w:rPr>
          <w:b/>
        </w:rPr>
        <w:t>13</w:t>
      </w:r>
      <w:r w:rsidRPr="001319AE">
        <w:t>(1): p. 23-27.</w:t>
      </w:r>
    </w:p>
    <w:p w14:paraId="29914072" w14:textId="77777777" w:rsidR="001319AE" w:rsidRPr="001319AE" w:rsidRDefault="001319AE" w:rsidP="001319AE">
      <w:pPr>
        <w:pStyle w:val="EndNoteBibliography"/>
        <w:spacing w:after="0"/>
        <w:ind w:left="720" w:hanging="720"/>
      </w:pPr>
      <w:r w:rsidRPr="001319AE">
        <w:t>21.</w:t>
      </w:r>
      <w:r w:rsidRPr="001319AE">
        <w:tab/>
        <w:t xml:space="preserve">Pepperrell, T., et al., </w:t>
      </w:r>
      <w:r w:rsidRPr="001319AE">
        <w:rPr>
          <w:i/>
        </w:rPr>
        <w:t>Review of safety and minimum pricing of nitazoxanide for potential treatment of COVID-19.</w:t>
      </w:r>
      <w:r w:rsidRPr="001319AE">
        <w:t xml:space="preserve"> Journal of virus eradication, 2020. </w:t>
      </w:r>
      <w:r w:rsidRPr="001319AE">
        <w:rPr>
          <w:b/>
        </w:rPr>
        <w:t>6</w:t>
      </w:r>
      <w:r w:rsidRPr="001319AE">
        <w:t>(2): p. 52-60.</w:t>
      </w:r>
    </w:p>
    <w:p w14:paraId="247C9606" w14:textId="77777777" w:rsidR="001319AE" w:rsidRPr="001319AE" w:rsidRDefault="001319AE" w:rsidP="001319AE">
      <w:pPr>
        <w:pStyle w:val="EndNoteBibliography"/>
        <w:spacing w:after="0"/>
        <w:ind w:left="720" w:hanging="720"/>
      </w:pPr>
      <w:r w:rsidRPr="001319AE">
        <w:t>22.</w:t>
      </w:r>
      <w:r w:rsidRPr="001319AE">
        <w:tab/>
        <w:t xml:space="preserve">Zhao, Z., et al., </w:t>
      </w:r>
      <w:r w:rsidRPr="001319AE">
        <w:rPr>
          <w:i/>
        </w:rPr>
        <w:t>The pharmacokinetics of nitazoxanide active metabolite (tizoxanide) in goats and its protein binding ability in vitro.</w:t>
      </w:r>
      <w:r w:rsidRPr="001319AE">
        <w:t xml:space="preserve"> J Vet Pharmacol Ther, 2010. </w:t>
      </w:r>
      <w:r w:rsidRPr="001319AE">
        <w:rPr>
          <w:b/>
        </w:rPr>
        <w:t>33</w:t>
      </w:r>
      <w:r w:rsidRPr="001319AE">
        <w:t>(2): p. 147-53.</w:t>
      </w:r>
    </w:p>
    <w:p w14:paraId="2CF45DAB" w14:textId="77777777" w:rsidR="001319AE" w:rsidRPr="001319AE" w:rsidRDefault="001319AE" w:rsidP="001319AE">
      <w:pPr>
        <w:pStyle w:val="EndNoteBibliography"/>
        <w:spacing w:after="0"/>
        <w:ind w:left="720" w:hanging="720"/>
      </w:pPr>
      <w:r w:rsidRPr="001319AE">
        <w:t>23.</w:t>
      </w:r>
      <w:r w:rsidRPr="001319AE">
        <w:tab/>
        <w:t xml:space="preserve">Boffito, M., et al., </w:t>
      </w:r>
      <w:r w:rsidRPr="001319AE">
        <w:rPr>
          <w:i/>
        </w:rPr>
        <w:t>Toward Consensus on Correct Interpretation of Protein Binding in Plasma and Other Biological Matrices for COVID-19 Therapeutic Development.</w:t>
      </w:r>
      <w:r w:rsidRPr="001319AE">
        <w:t xml:space="preserve"> Clin Pharmacol Ther, 2020.</w:t>
      </w:r>
    </w:p>
    <w:p w14:paraId="457CA1FB" w14:textId="77777777" w:rsidR="001319AE" w:rsidRPr="001319AE" w:rsidRDefault="001319AE" w:rsidP="001319AE">
      <w:pPr>
        <w:pStyle w:val="EndNoteBibliography"/>
        <w:spacing w:after="0"/>
        <w:ind w:left="720" w:hanging="720"/>
      </w:pPr>
      <w:r w:rsidRPr="001319AE">
        <w:t>24.</w:t>
      </w:r>
      <w:r w:rsidRPr="001319AE">
        <w:tab/>
        <w:t xml:space="preserve">Maurer, T.S., </w:t>
      </w:r>
      <w:r w:rsidRPr="001319AE">
        <w:rPr>
          <w:i/>
        </w:rPr>
        <w:t>Nonspecific binding considerations in the rational design and development of small molecule COVID-19 therapeutics.</w:t>
      </w:r>
      <w:r w:rsidRPr="001319AE">
        <w:t xml:space="preserve"> Clin Pharmacol Ther, 2021.</w:t>
      </w:r>
    </w:p>
    <w:p w14:paraId="692D833F" w14:textId="77777777" w:rsidR="001319AE" w:rsidRPr="001319AE" w:rsidRDefault="001319AE" w:rsidP="001319AE">
      <w:pPr>
        <w:pStyle w:val="EndNoteBibliography"/>
        <w:spacing w:after="0"/>
        <w:ind w:left="720" w:hanging="720"/>
      </w:pPr>
      <w:r w:rsidRPr="001319AE">
        <w:t>25.</w:t>
      </w:r>
      <w:r w:rsidRPr="001319AE">
        <w:tab/>
        <w:t xml:space="preserve">Liu, J., et al., </w:t>
      </w:r>
      <w:r w:rsidRPr="001319AE">
        <w:rPr>
          <w:i/>
        </w:rPr>
        <w:t>Simultaneous quantification of tizoxanide and tizoxanide glucuronide in mouse plasma by liquid chromatography–tandem mass spectrometry.</w:t>
      </w:r>
      <w:r w:rsidRPr="001319AE">
        <w:t xml:space="preserve"> Biomedical Chromatography, 2016. </w:t>
      </w:r>
      <w:r w:rsidRPr="001319AE">
        <w:rPr>
          <w:b/>
        </w:rPr>
        <w:t>30</w:t>
      </w:r>
      <w:r w:rsidRPr="001319AE">
        <w:t>(11): p. 1744-1749.</w:t>
      </w:r>
    </w:p>
    <w:p w14:paraId="51D8E328" w14:textId="77777777" w:rsidR="001319AE" w:rsidRPr="001319AE" w:rsidRDefault="001319AE" w:rsidP="001319AE">
      <w:pPr>
        <w:pStyle w:val="EndNoteBibliography"/>
        <w:spacing w:after="0"/>
        <w:ind w:left="720" w:hanging="720"/>
      </w:pPr>
      <w:r w:rsidRPr="001319AE">
        <w:t>26.</w:t>
      </w:r>
      <w:r w:rsidRPr="001319AE">
        <w:tab/>
        <w:t xml:space="preserve">Gupta, A., et al., </w:t>
      </w:r>
      <w:r w:rsidRPr="001319AE">
        <w:rPr>
          <w:i/>
        </w:rPr>
        <w:t>Pharmacokinetics, Metabolism, and Partial Biodistribution of “Pincer Therapeutic” Nitazoxanide in Mice following Pulmonary Delivery of Inhalable Particles.</w:t>
      </w:r>
      <w:r w:rsidRPr="001319AE">
        <w:t xml:space="preserve"> Molecular pharmaceutics, 2017. </w:t>
      </w:r>
      <w:r w:rsidRPr="001319AE">
        <w:rPr>
          <w:b/>
        </w:rPr>
        <w:t>14</w:t>
      </w:r>
      <w:r w:rsidRPr="001319AE">
        <w:t>(4): p. 1204-1211.</w:t>
      </w:r>
    </w:p>
    <w:p w14:paraId="043C4299" w14:textId="77777777" w:rsidR="001319AE" w:rsidRPr="001319AE" w:rsidRDefault="001319AE" w:rsidP="001319AE">
      <w:pPr>
        <w:pStyle w:val="EndNoteBibliography"/>
        <w:spacing w:after="0"/>
        <w:ind w:left="720" w:hanging="720"/>
      </w:pPr>
      <w:r w:rsidRPr="001319AE">
        <w:t>27.</w:t>
      </w:r>
      <w:r w:rsidRPr="001319AE">
        <w:tab/>
        <w:t xml:space="preserve">Zhao, Z., et al., </w:t>
      </w:r>
      <w:r w:rsidRPr="001319AE">
        <w:rPr>
          <w:i/>
        </w:rPr>
        <w:t>Metabolic profile of nitazoxanide in goat feces.</w:t>
      </w:r>
      <w:r w:rsidRPr="001319AE">
        <w:t xml:space="preserve"> Chromatographia, 2008. </w:t>
      </w:r>
      <w:r w:rsidRPr="001319AE">
        <w:rPr>
          <w:b/>
        </w:rPr>
        <w:t>68</w:t>
      </w:r>
      <w:r w:rsidRPr="001319AE">
        <w:t>(9): p. 731-738.</w:t>
      </w:r>
    </w:p>
    <w:p w14:paraId="4F189E4F" w14:textId="77777777" w:rsidR="001319AE" w:rsidRPr="001319AE" w:rsidRDefault="001319AE" w:rsidP="001319AE">
      <w:pPr>
        <w:pStyle w:val="EndNoteBibliography"/>
        <w:spacing w:after="0"/>
        <w:ind w:left="720" w:hanging="720"/>
      </w:pPr>
      <w:r w:rsidRPr="001319AE">
        <w:t>28.</w:t>
      </w:r>
      <w:r w:rsidRPr="001319AE">
        <w:tab/>
        <w:t xml:space="preserve">Ruiz-Olmedo, M., et al., </w:t>
      </w:r>
      <w:r w:rsidRPr="001319AE">
        <w:rPr>
          <w:i/>
        </w:rPr>
        <w:t>Sensitive high performance liquid chromatographic assay for nitazoxanide metabolite in plasma.</w:t>
      </w:r>
      <w:r w:rsidRPr="001319AE">
        <w:t xml:space="preserve"> Die Pharmazie-An International Journal of Pharmaceutical Sciences, 2009. </w:t>
      </w:r>
      <w:r w:rsidRPr="001319AE">
        <w:rPr>
          <w:b/>
        </w:rPr>
        <w:t>64</w:t>
      </w:r>
      <w:r w:rsidRPr="001319AE">
        <w:t>(7): p. 419-422.</w:t>
      </w:r>
    </w:p>
    <w:p w14:paraId="0DF0EE54" w14:textId="77777777" w:rsidR="001319AE" w:rsidRPr="001319AE" w:rsidRDefault="001319AE" w:rsidP="001319AE">
      <w:pPr>
        <w:pStyle w:val="EndNoteBibliography"/>
        <w:spacing w:after="0"/>
        <w:ind w:left="720" w:hanging="720"/>
      </w:pPr>
      <w:r w:rsidRPr="001319AE">
        <w:t>29.</w:t>
      </w:r>
      <w:r w:rsidRPr="001319AE">
        <w:tab/>
        <w:t xml:space="preserve">Hadad, G.M., R.A. Abdel Salam, and S. Emara, </w:t>
      </w:r>
      <w:r w:rsidRPr="001319AE">
        <w:rPr>
          <w:i/>
        </w:rPr>
        <w:t>Validated and optimized high-performance liquid chromatographic determination of tizoxanide, the main active metabolite of nitazoxanide in human urine, plasma and breast milk.</w:t>
      </w:r>
      <w:r w:rsidRPr="001319AE">
        <w:t xml:space="preserve"> Journal of chromatographic science, 2012. </w:t>
      </w:r>
      <w:r w:rsidRPr="001319AE">
        <w:rPr>
          <w:b/>
        </w:rPr>
        <w:t>50</w:t>
      </w:r>
      <w:r w:rsidRPr="001319AE">
        <w:t>(6): p. 509-515.</w:t>
      </w:r>
    </w:p>
    <w:p w14:paraId="16199BF8" w14:textId="77777777" w:rsidR="001319AE" w:rsidRPr="001319AE" w:rsidRDefault="001319AE" w:rsidP="001319AE">
      <w:pPr>
        <w:pStyle w:val="EndNoteBibliography"/>
        <w:spacing w:after="0"/>
        <w:ind w:left="720" w:hanging="720"/>
      </w:pPr>
      <w:r w:rsidRPr="001319AE">
        <w:t>30.</w:t>
      </w:r>
      <w:r w:rsidRPr="001319AE">
        <w:tab/>
        <w:t xml:space="preserve">Administration, U.S.D.o.H.a.H.S.F.a.D., </w:t>
      </w:r>
      <w:r w:rsidRPr="001319AE">
        <w:rPr>
          <w:i/>
        </w:rPr>
        <w:t>Bioanalytical Method Validation Guidance for Industry</w:t>
      </w:r>
      <w:r w:rsidRPr="001319AE">
        <w:t>, U.S.D.o.H.a.H.S.F.a.D.A.C.f.D.E.a.R.C.C.f.V.M. (CVM), Editor. 2018. p. 44.</w:t>
      </w:r>
    </w:p>
    <w:p w14:paraId="7A7D7F88" w14:textId="77777777" w:rsidR="001319AE" w:rsidRPr="001319AE" w:rsidRDefault="001319AE" w:rsidP="001319AE">
      <w:pPr>
        <w:pStyle w:val="EndNoteBibliography"/>
        <w:spacing w:after="0"/>
        <w:ind w:left="720" w:hanging="720"/>
      </w:pPr>
      <w:r w:rsidRPr="001319AE">
        <w:t>31.</w:t>
      </w:r>
      <w:r w:rsidRPr="001319AE">
        <w:tab/>
        <w:t xml:space="preserve">Hewavitharana, A.K., S.K. Tan, and P.N. Shaw, </w:t>
      </w:r>
      <w:r w:rsidRPr="001319AE">
        <w:rPr>
          <w:i/>
        </w:rPr>
        <w:t>Strategies for the Detection and Elimination of Matrix Effects in Quantitative LC-MS Analysis.</w:t>
      </w:r>
      <w:r w:rsidRPr="001319AE">
        <w:t xml:space="preserve"> Lc Gc North America, 2014. </w:t>
      </w:r>
      <w:r w:rsidRPr="001319AE">
        <w:rPr>
          <w:b/>
        </w:rPr>
        <w:t>32</w:t>
      </w:r>
      <w:r w:rsidRPr="001319AE">
        <w:t>(1): p. 54-+.</w:t>
      </w:r>
    </w:p>
    <w:p w14:paraId="2EE67314" w14:textId="77777777" w:rsidR="001319AE" w:rsidRPr="001319AE" w:rsidRDefault="001319AE" w:rsidP="001319AE">
      <w:pPr>
        <w:pStyle w:val="EndNoteBibliography"/>
        <w:spacing w:after="0"/>
        <w:ind w:left="720" w:hanging="720"/>
      </w:pPr>
      <w:r w:rsidRPr="001319AE">
        <w:t>32.</w:t>
      </w:r>
      <w:r w:rsidRPr="001319AE">
        <w:tab/>
        <w:t xml:space="preserve">Boffito, M., et al., </w:t>
      </w:r>
      <w:r w:rsidRPr="001319AE">
        <w:rPr>
          <w:i/>
        </w:rPr>
        <w:t>Toward Consensus on Correct Interpretation of Protein Binding in Plasma and Other Biological Matrices for COVID‐19 Therapeutic Development.</w:t>
      </w:r>
      <w:r w:rsidRPr="001319AE">
        <w:t xml:space="preserve"> Clinical Pharmacology &amp; Therapeutics, 2020.</w:t>
      </w:r>
    </w:p>
    <w:p w14:paraId="0A229D0A" w14:textId="77777777" w:rsidR="001319AE" w:rsidRPr="001319AE" w:rsidRDefault="001319AE" w:rsidP="001319AE">
      <w:pPr>
        <w:pStyle w:val="EndNoteBibliography"/>
        <w:spacing w:after="0"/>
        <w:ind w:left="720" w:hanging="720"/>
      </w:pPr>
      <w:r w:rsidRPr="001319AE">
        <w:t>33.</w:t>
      </w:r>
      <w:r w:rsidRPr="001319AE">
        <w:tab/>
        <w:t xml:space="preserve">Rocco, P.R.M., et al., </w:t>
      </w:r>
      <w:r w:rsidRPr="001319AE">
        <w:rPr>
          <w:i/>
        </w:rPr>
        <w:t>Early use of nitazoxanide in mild Covid-19 disease: randomised, placebo-controlled trial.</w:t>
      </w:r>
      <w:r w:rsidRPr="001319AE">
        <w:t xml:space="preserve"> European Respiratory Journal, 2020.</w:t>
      </w:r>
    </w:p>
    <w:p w14:paraId="51FD9BB4" w14:textId="77777777" w:rsidR="001319AE" w:rsidRPr="001319AE" w:rsidRDefault="001319AE" w:rsidP="001319AE">
      <w:pPr>
        <w:pStyle w:val="EndNoteBibliography"/>
        <w:spacing w:after="0"/>
        <w:ind w:left="720" w:hanging="720"/>
      </w:pPr>
      <w:r w:rsidRPr="001319AE">
        <w:t>34.</w:t>
      </w:r>
      <w:r w:rsidRPr="001319AE">
        <w:tab/>
        <w:t xml:space="preserve">Colclough, N., et al., </w:t>
      </w:r>
      <w:r w:rsidRPr="001319AE">
        <w:rPr>
          <w:i/>
        </w:rPr>
        <w:t>Species differences in drug plasma protein binding.</w:t>
      </w:r>
      <w:r w:rsidRPr="001319AE">
        <w:t xml:space="preserve"> MedChemComm, 2014. </w:t>
      </w:r>
      <w:r w:rsidRPr="001319AE">
        <w:rPr>
          <w:b/>
        </w:rPr>
        <w:t>5</w:t>
      </w:r>
      <w:r w:rsidRPr="001319AE">
        <w:t>(7): p. 963-967.</w:t>
      </w:r>
    </w:p>
    <w:p w14:paraId="26697532" w14:textId="77777777" w:rsidR="001319AE" w:rsidRPr="001319AE" w:rsidRDefault="001319AE" w:rsidP="001319AE">
      <w:pPr>
        <w:pStyle w:val="EndNoteBibliography"/>
        <w:ind w:left="720" w:hanging="720"/>
      </w:pPr>
      <w:r w:rsidRPr="001319AE">
        <w:t>35.</w:t>
      </w:r>
      <w:r w:rsidRPr="001319AE">
        <w:tab/>
        <w:t xml:space="preserve">Mullokandov, E., et al., </w:t>
      </w:r>
      <w:r w:rsidRPr="001319AE">
        <w:rPr>
          <w:i/>
        </w:rPr>
        <w:t>Protein binding drug-drug interaction between warfarin and tizoxanide in human plasma.</w:t>
      </w:r>
      <w:r w:rsidRPr="001319AE">
        <w:t xml:space="preserve"> 2014.</w:t>
      </w:r>
    </w:p>
    <w:p w14:paraId="7C922818" w14:textId="094B3CD5" w:rsidR="00824DDD" w:rsidRDefault="003F1104" w:rsidP="0045431D">
      <w:pPr>
        <w:jc w:val="both"/>
        <w:rPr>
          <w:lang w:val="en-GB"/>
        </w:rPr>
        <w:sectPr w:rsidR="00824DDD">
          <w:pgSz w:w="12240" w:h="15840"/>
          <w:pgMar w:top="1440" w:right="1440" w:bottom="1440" w:left="1440" w:header="720" w:footer="720" w:gutter="0"/>
          <w:cols w:space="720"/>
          <w:docGrid w:linePitch="360"/>
        </w:sectPr>
      </w:pPr>
      <w:r w:rsidRPr="0045431D">
        <w:rPr>
          <w:lang w:val="en-GB"/>
        </w:rPr>
        <w:fldChar w:fldCharType="end"/>
      </w:r>
    </w:p>
    <w:p w14:paraId="2C078E63" w14:textId="72F31DAE" w:rsidR="00414469" w:rsidRDefault="00824DDD" w:rsidP="0045431D">
      <w:pPr>
        <w:jc w:val="both"/>
        <w:rPr>
          <w:b/>
          <w:bCs/>
          <w:lang w:val="en-GB"/>
        </w:rPr>
      </w:pPr>
      <w:r w:rsidRPr="00824DDD">
        <w:rPr>
          <w:b/>
          <w:bCs/>
          <w:lang w:val="en-GB"/>
        </w:rPr>
        <w:lastRenderedPageBreak/>
        <w:t>Tables</w:t>
      </w:r>
    </w:p>
    <w:p w14:paraId="2337F99B" w14:textId="2FFACA60" w:rsidR="00824DDD" w:rsidRPr="00FB4FC8" w:rsidRDefault="00824DDD" w:rsidP="00824DDD">
      <w:pPr>
        <w:rPr>
          <w:b/>
          <w:bCs/>
          <w:lang w:val="en-GB"/>
        </w:rPr>
      </w:pPr>
      <w:r w:rsidRPr="00FB4FC8">
        <w:rPr>
          <w:b/>
          <w:bCs/>
          <w:lang w:val="en-GB"/>
        </w:rPr>
        <w:t xml:space="preserve">Table 1 </w:t>
      </w:r>
      <w:r w:rsidRPr="007D7F5E">
        <w:rPr>
          <w:lang w:val="en-GB"/>
        </w:rPr>
        <w:t xml:space="preserve">shows the optimised parameters used to detect </w:t>
      </w:r>
      <w:r w:rsidR="00625F22">
        <w:rPr>
          <w:lang w:val="en-GB"/>
        </w:rPr>
        <w:t>TIZ</w:t>
      </w:r>
      <w:r w:rsidRPr="007D7F5E">
        <w:rPr>
          <w:lang w:val="en-GB"/>
        </w:rPr>
        <w:t xml:space="preserve"> and </w:t>
      </w:r>
      <w:r w:rsidR="00625F22">
        <w:rPr>
          <w:lang w:val="en-GB"/>
        </w:rPr>
        <w:t>TIZ-D4</w:t>
      </w:r>
      <w:r w:rsidRPr="007D7F5E">
        <w:rPr>
          <w:lang w:val="en-GB"/>
        </w:rPr>
        <w:t xml:space="preserve"> (IS).</w:t>
      </w:r>
    </w:p>
    <w:tbl>
      <w:tblPr>
        <w:tblStyle w:val="PlainTable2"/>
        <w:tblW w:w="0" w:type="auto"/>
        <w:jc w:val="center"/>
        <w:tblBorders>
          <w:top w:val="none" w:sz="0" w:space="0" w:color="auto"/>
          <w:bottom w:val="none" w:sz="0" w:space="0" w:color="auto"/>
        </w:tblBorders>
        <w:tblLook w:val="0420" w:firstRow="1" w:lastRow="0" w:firstColumn="0" w:lastColumn="0" w:noHBand="0" w:noVBand="1"/>
      </w:tblPr>
      <w:tblGrid>
        <w:gridCol w:w="1719"/>
        <w:gridCol w:w="1349"/>
        <w:gridCol w:w="1283"/>
        <w:gridCol w:w="1158"/>
        <w:gridCol w:w="1700"/>
        <w:gridCol w:w="1026"/>
        <w:gridCol w:w="1125"/>
      </w:tblGrid>
      <w:tr w:rsidR="007E2E27" w:rsidRPr="00D2654A" w14:paraId="3429A9FA" w14:textId="77777777" w:rsidTr="00096408">
        <w:trPr>
          <w:cnfStyle w:val="100000000000" w:firstRow="1" w:lastRow="0" w:firstColumn="0" w:lastColumn="0" w:oddVBand="0" w:evenVBand="0" w:oddHBand="0" w:evenHBand="0" w:firstRowFirstColumn="0" w:firstRowLastColumn="0" w:lastRowFirstColumn="0" w:lastRowLastColumn="0"/>
          <w:trHeight w:val="18"/>
          <w:jc w:val="center"/>
        </w:trPr>
        <w:tc>
          <w:tcPr>
            <w:tcW w:w="0" w:type="auto"/>
            <w:tcBorders>
              <w:top w:val="single" w:sz="12" w:space="0" w:color="auto"/>
              <w:bottom w:val="single" w:sz="12" w:space="0" w:color="auto"/>
            </w:tcBorders>
            <w:vAlign w:val="center"/>
            <w:hideMark/>
          </w:tcPr>
          <w:p w14:paraId="356F6B7A" w14:textId="77777777" w:rsidR="00824DDD" w:rsidRPr="00D2654A" w:rsidRDefault="00824DDD" w:rsidP="002029C0">
            <w:pPr>
              <w:spacing w:after="160"/>
              <w:jc w:val="center"/>
              <w:rPr>
                <w:rFonts w:eastAsia="Times New Roman"/>
                <w:lang w:eastAsia="en-GB"/>
              </w:rPr>
            </w:pPr>
            <w:r w:rsidRPr="00D2654A">
              <w:rPr>
                <w:rFonts w:eastAsia="Times New Roman"/>
                <w:kern w:val="24"/>
                <w:lang w:eastAsia="en-GB"/>
              </w:rPr>
              <w:t>Parent (m/z)</w:t>
            </w:r>
          </w:p>
        </w:tc>
        <w:tc>
          <w:tcPr>
            <w:tcW w:w="0" w:type="auto"/>
            <w:tcBorders>
              <w:top w:val="single" w:sz="12" w:space="0" w:color="auto"/>
              <w:bottom w:val="single" w:sz="12" w:space="0" w:color="auto"/>
            </w:tcBorders>
            <w:vAlign w:val="center"/>
            <w:hideMark/>
          </w:tcPr>
          <w:p w14:paraId="0E7AFBB1" w14:textId="77777777" w:rsidR="00824DDD" w:rsidRPr="00D2654A" w:rsidRDefault="00824DDD" w:rsidP="002029C0">
            <w:pPr>
              <w:spacing w:after="160"/>
              <w:jc w:val="center"/>
              <w:rPr>
                <w:rFonts w:eastAsia="Times New Roman"/>
                <w:lang w:eastAsia="en-GB"/>
              </w:rPr>
            </w:pPr>
            <w:r w:rsidRPr="00D2654A">
              <w:rPr>
                <w:rFonts w:eastAsia="Times New Roman"/>
                <w:kern w:val="24"/>
                <w:lang w:eastAsia="en-GB"/>
              </w:rPr>
              <w:t>Product (m/z)</w:t>
            </w:r>
          </w:p>
        </w:tc>
        <w:tc>
          <w:tcPr>
            <w:tcW w:w="0" w:type="auto"/>
            <w:tcBorders>
              <w:top w:val="single" w:sz="12" w:space="0" w:color="auto"/>
              <w:bottom w:val="single" w:sz="12" w:space="0" w:color="auto"/>
            </w:tcBorders>
            <w:vAlign w:val="center"/>
          </w:tcPr>
          <w:p w14:paraId="1F167D02" w14:textId="77777777" w:rsidR="00824DDD" w:rsidRPr="00D2654A" w:rsidRDefault="00824DDD" w:rsidP="002029C0">
            <w:pPr>
              <w:spacing w:after="160"/>
              <w:jc w:val="center"/>
              <w:rPr>
                <w:rFonts w:eastAsia="Times New Roman"/>
                <w:kern w:val="24"/>
                <w:lang w:eastAsia="en-GB"/>
              </w:rPr>
            </w:pPr>
            <w:r w:rsidRPr="00D2654A">
              <w:rPr>
                <w:rFonts w:eastAsia="Times New Roman"/>
                <w:kern w:val="24"/>
                <w:lang w:eastAsia="en-GB"/>
              </w:rPr>
              <w:t>RT (Min)</w:t>
            </w:r>
          </w:p>
        </w:tc>
        <w:tc>
          <w:tcPr>
            <w:tcW w:w="0" w:type="auto"/>
            <w:tcBorders>
              <w:top w:val="single" w:sz="12" w:space="0" w:color="auto"/>
              <w:bottom w:val="single" w:sz="12" w:space="0" w:color="auto"/>
            </w:tcBorders>
            <w:vAlign w:val="center"/>
          </w:tcPr>
          <w:p w14:paraId="3CC6890C" w14:textId="77777777" w:rsidR="00824DDD" w:rsidRPr="00D2654A" w:rsidRDefault="00824DDD" w:rsidP="002029C0">
            <w:pPr>
              <w:spacing w:after="160"/>
              <w:jc w:val="center"/>
              <w:rPr>
                <w:rFonts w:eastAsia="Times New Roman"/>
                <w:kern w:val="24"/>
                <w:lang w:eastAsia="en-GB"/>
              </w:rPr>
            </w:pPr>
            <w:r w:rsidRPr="00D2654A">
              <w:rPr>
                <w:rFonts w:eastAsia="Times New Roman"/>
                <w:kern w:val="24"/>
                <w:lang w:eastAsia="en-GB"/>
              </w:rPr>
              <w:t>DP (Volts)</w:t>
            </w:r>
          </w:p>
        </w:tc>
        <w:tc>
          <w:tcPr>
            <w:tcW w:w="0" w:type="auto"/>
            <w:tcBorders>
              <w:top w:val="single" w:sz="12" w:space="0" w:color="auto"/>
              <w:bottom w:val="single" w:sz="12" w:space="0" w:color="auto"/>
            </w:tcBorders>
            <w:vAlign w:val="center"/>
          </w:tcPr>
          <w:p w14:paraId="27846A9A" w14:textId="77777777" w:rsidR="00824DDD" w:rsidRPr="00D2654A" w:rsidRDefault="00824DDD" w:rsidP="002029C0">
            <w:pPr>
              <w:spacing w:after="160"/>
              <w:jc w:val="center"/>
              <w:rPr>
                <w:rFonts w:eastAsia="Times New Roman"/>
                <w:kern w:val="24"/>
                <w:lang w:eastAsia="en-GB"/>
              </w:rPr>
            </w:pPr>
            <w:r w:rsidRPr="00D2654A">
              <w:rPr>
                <w:rFonts w:eastAsia="Times New Roman"/>
                <w:kern w:val="24"/>
                <w:lang w:eastAsia="en-GB"/>
              </w:rPr>
              <w:t>EP (Volts)</w:t>
            </w:r>
          </w:p>
        </w:tc>
        <w:tc>
          <w:tcPr>
            <w:tcW w:w="0" w:type="auto"/>
            <w:tcBorders>
              <w:top w:val="single" w:sz="12" w:space="0" w:color="auto"/>
              <w:bottom w:val="single" w:sz="12" w:space="0" w:color="auto"/>
            </w:tcBorders>
            <w:vAlign w:val="center"/>
          </w:tcPr>
          <w:p w14:paraId="1DFA563C" w14:textId="77777777" w:rsidR="00824DDD" w:rsidRPr="00D2654A" w:rsidRDefault="00824DDD" w:rsidP="002029C0">
            <w:pPr>
              <w:spacing w:after="160"/>
              <w:jc w:val="center"/>
              <w:rPr>
                <w:rFonts w:eastAsia="Times New Roman"/>
                <w:kern w:val="24"/>
                <w:lang w:eastAsia="en-GB"/>
              </w:rPr>
            </w:pPr>
            <w:r w:rsidRPr="00D2654A">
              <w:rPr>
                <w:rFonts w:eastAsia="Times New Roman"/>
                <w:kern w:val="24"/>
                <w:lang w:eastAsia="en-GB"/>
              </w:rPr>
              <w:t>CE (Volts)</w:t>
            </w:r>
          </w:p>
        </w:tc>
        <w:tc>
          <w:tcPr>
            <w:tcW w:w="0" w:type="auto"/>
            <w:tcBorders>
              <w:top w:val="single" w:sz="12" w:space="0" w:color="auto"/>
              <w:bottom w:val="single" w:sz="12" w:space="0" w:color="auto"/>
            </w:tcBorders>
            <w:vAlign w:val="center"/>
          </w:tcPr>
          <w:p w14:paraId="27CB0FCB" w14:textId="77777777" w:rsidR="00824DDD" w:rsidRPr="00D2654A" w:rsidRDefault="00824DDD" w:rsidP="002029C0">
            <w:pPr>
              <w:spacing w:after="160"/>
              <w:jc w:val="center"/>
              <w:rPr>
                <w:rFonts w:eastAsia="Times New Roman"/>
                <w:kern w:val="24"/>
                <w:lang w:eastAsia="en-GB"/>
              </w:rPr>
            </w:pPr>
            <w:r w:rsidRPr="00D2654A">
              <w:rPr>
                <w:rFonts w:eastAsia="Times New Roman"/>
                <w:kern w:val="24"/>
                <w:lang w:eastAsia="en-GB"/>
              </w:rPr>
              <w:t>CXP (Volts)</w:t>
            </w:r>
          </w:p>
        </w:tc>
      </w:tr>
      <w:tr w:rsidR="007E2E27" w:rsidRPr="00D2654A" w14:paraId="3769602F" w14:textId="77777777" w:rsidTr="00096408">
        <w:trPr>
          <w:cnfStyle w:val="000000100000" w:firstRow="0" w:lastRow="0" w:firstColumn="0" w:lastColumn="0" w:oddVBand="0" w:evenVBand="0" w:oddHBand="1" w:evenHBand="0" w:firstRowFirstColumn="0" w:firstRowLastColumn="0" w:lastRowFirstColumn="0" w:lastRowLastColumn="0"/>
          <w:trHeight w:val="91"/>
          <w:jc w:val="center"/>
        </w:trPr>
        <w:tc>
          <w:tcPr>
            <w:tcW w:w="0" w:type="auto"/>
            <w:vMerge w:val="restart"/>
            <w:tcBorders>
              <w:top w:val="single" w:sz="12" w:space="0" w:color="auto"/>
              <w:bottom w:val="none" w:sz="0" w:space="0" w:color="auto"/>
            </w:tcBorders>
            <w:vAlign w:val="center"/>
          </w:tcPr>
          <w:p w14:paraId="1D8C9D62" w14:textId="77777777" w:rsidR="00096408" w:rsidRDefault="007E2E27" w:rsidP="002029C0">
            <w:pPr>
              <w:spacing w:after="160"/>
              <w:jc w:val="center"/>
              <w:rPr>
                <w:rFonts w:eastAsia="Times New Roman"/>
                <w:b/>
                <w:bCs/>
                <w:lang w:eastAsia="en-GB"/>
              </w:rPr>
            </w:pPr>
            <w:bookmarkStart w:id="4" w:name="_Hlk127525243"/>
            <w:r>
              <w:rPr>
                <w:rFonts w:eastAsia="Times New Roman"/>
                <w:b/>
                <w:bCs/>
                <w:lang w:eastAsia="en-GB"/>
              </w:rPr>
              <w:t>Tizoxanide</w:t>
            </w:r>
          </w:p>
          <w:p w14:paraId="3D6A9D62" w14:textId="0832BD16" w:rsidR="00824DDD" w:rsidRPr="005B05CB" w:rsidRDefault="007E2E27" w:rsidP="002029C0">
            <w:pPr>
              <w:spacing w:after="160"/>
              <w:jc w:val="center"/>
              <w:rPr>
                <w:rFonts w:eastAsia="Times New Roman"/>
                <w:b/>
                <w:bCs/>
                <w:lang w:eastAsia="en-GB"/>
              </w:rPr>
            </w:pPr>
            <w:r>
              <w:rPr>
                <w:rFonts w:eastAsia="Times New Roman"/>
                <w:b/>
                <w:bCs/>
                <w:lang w:eastAsia="en-GB"/>
              </w:rPr>
              <w:t>263.9</w:t>
            </w:r>
          </w:p>
        </w:tc>
        <w:tc>
          <w:tcPr>
            <w:tcW w:w="0" w:type="auto"/>
            <w:tcBorders>
              <w:top w:val="single" w:sz="12" w:space="0" w:color="auto"/>
              <w:bottom w:val="none" w:sz="0" w:space="0" w:color="auto"/>
            </w:tcBorders>
            <w:vAlign w:val="center"/>
            <w:hideMark/>
          </w:tcPr>
          <w:p w14:paraId="3E248FF8" w14:textId="1A104BEF" w:rsidR="00824DDD" w:rsidRPr="00D2654A" w:rsidRDefault="00824DDD" w:rsidP="002029C0">
            <w:pPr>
              <w:spacing w:after="160"/>
              <w:jc w:val="center"/>
              <w:rPr>
                <w:rFonts w:eastAsia="Times New Roman"/>
                <w:lang w:eastAsia="en-GB"/>
              </w:rPr>
            </w:pPr>
            <w:r>
              <w:rPr>
                <w:rFonts w:eastAsia="Times New Roman"/>
                <w:lang w:eastAsia="en-GB"/>
              </w:rPr>
              <w:t>*</w:t>
            </w:r>
            <w:r w:rsidR="007E2E27">
              <w:rPr>
                <w:rFonts w:eastAsia="Times New Roman"/>
                <w:lang w:eastAsia="en-GB"/>
              </w:rPr>
              <w:t>216.8</w:t>
            </w:r>
          </w:p>
        </w:tc>
        <w:tc>
          <w:tcPr>
            <w:tcW w:w="0" w:type="auto"/>
            <w:tcBorders>
              <w:top w:val="single" w:sz="12" w:space="0" w:color="auto"/>
              <w:bottom w:val="none" w:sz="0" w:space="0" w:color="auto"/>
            </w:tcBorders>
            <w:vAlign w:val="center"/>
          </w:tcPr>
          <w:p w14:paraId="1BB3EEFE" w14:textId="52A665E6" w:rsidR="00824DDD" w:rsidRPr="00D2654A" w:rsidRDefault="007E2E27" w:rsidP="002029C0">
            <w:pPr>
              <w:spacing w:after="160"/>
              <w:jc w:val="center"/>
              <w:rPr>
                <w:rFonts w:eastAsia="Times New Roman"/>
                <w:lang w:eastAsia="en-GB"/>
              </w:rPr>
            </w:pPr>
            <w:r>
              <w:rPr>
                <w:rFonts w:eastAsia="Times New Roman"/>
                <w:lang w:eastAsia="en-GB"/>
              </w:rPr>
              <w:t>2.45</w:t>
            </w:r>
          </w:p>
        </w:tc>
        <w:tc>
          <w:tcPr>
            <w:tcW w:w="0" w:type="auto"/>
            <w:tcBorders>
              <w:top w:val="single" w:sz="12" w:space="0" w:color="auto"/>
              <w:bottom w:val="none" w:sz="0" w:space="0" w:color="auto"/>
            </w:tcBorders>
            <w:vAlign w:val="center"/>
          </w:tcPr>
          <w:p w14:paraId="60E44E34" w14:textId="1F8D9AC8" w:rsidR="00824DDD" w:rsidRPr="00D2654A" w:rsidRDefault="007E2E27" w:rsidP="002029C0">
            <w:pPr>
              <w:spacing w:after="160"/>
              <w:jc w:val="center"/>
              <w:rPr>
                <w:rFonts w:eastAsia="Times New Roman"/>
                <w:lang w:eastAsia="en-GB"/>
              </w:rPr>
            </w:pPr>
            <w:r>
              <w:rPr>
                <w:rFonts w:eastAsia="Times New Roman"/>
                <w:lang w:eastAsia="en-GB"/>
              </w:rPr>
              <w:t>-160</w:t>
            </w:r>
          </w:p>
        </w:tc>
        <w:tc>
          <w:tcPr>
            <w:tcW w:w="0" w:type="auto"/>
            <w:tcBorders>
              <w:top w:val="single" w:sz="12" w:space="0" w:color="auto"/>
              <w:bottom w:val="none" w:sz="0" w:space="0" w:color="auto"/>
            </w:tcBorders>
            <w:vAlign w:val="center"/>
          </w:tcPr>
          <w:p w14:paraId="3199091E" w14:textId="34AA54E4" w:rsidR="00824DDD" w:rsidRPr="00D2654A" w:rsidRDefault="007E2E27" w:rsidP="002029C0">
            <w:pPr>
              <w:spacing w:after="160"/>
              <w:jc w:val="center"/>
              <w:rPr>
                <w:rFonts w:eastAsia="Times New Roman"/>
                <w:lang w:eastAsia="en-GB"/>
              </w:rPr>
            </w:pPr>
            <w:r>
              <w:rPr>
                <w:rFonts w:eastAsia="Times New Roman"/>
                <w:lang w:eastAsia="en-GB"/>
              </w:rPr>
              <w:t>-</w:t>
            </w:r>
            <w:r w:rsidR="00824DDD">
              <w:rPr>
                <w:rFonts w:eastAsia="Times New Roman"/>
                <w:lang w:eastAsia="en-GB"/>
              </w:rPr>
              <w:t>10</w:t>
            </w:r>
          </w:p>
        </w:tc>
        <w:tc>
          <w:tcPr>
            <w:tcW w:w="0" w:type="auto"/>
            <w:tcBorders>
              <w:top w:val="single" w:sz="12" w:space="0" w:color="auto"/>
              <w:bottom w:val="none" w:sz="0" w:space="0" w:color="auto"/>
            </w:tcBorders>
            <w:vAlign w:val="center"/>
          </w:tcPr>
          <w:p w14:paraId="56FF90C6" w14:textId="7A465D59" w:rsidR="00824DDD" w:rsidRPr="00D2654A" w:rsidRDefault="007E2E27" w:rsidP="002029C0">
            <w:pPr>
              <w:spacing w:after="160"/>
              <w:jc w:val="center"/>
              <w:rPr>
                <w:rFonts w:eastAsia="Times New Roman"/>
                <w:lang w:eastAsia="en-GB"/>
              </w:rPr>
            </w:pPr>
            <w:r>
              <w:rPr>
                <w:rFonts w:eastAsia="Times New Roman"/>
                <w:lang w:eastAsia="en-GB"/>
              </w:rPr>
              <w:t>-18</w:t>
            </w:r>
          </w:p>
        </w:tc>
        <w:tc>
          <w:tcPr>
            <w:tcW w:w="0" w:type="auto"/>
            <w:tcBorders>
              <w:top w:val="single" w:sz="12" w:space="0" w:color="auto"/>
              <w:bottom w:val="none" w:sz="0" w:space="0" w:color="auto"/>
            </w:tcBorders>
            <w:vAlign w:val="center"/>
          </w:tcPr>
          <w:p w14:paraId="2561E3B5" w14:textId="0DBF3137" w:rsidR="00824DDD" w:rsidRPr="00D2654A" w:rsidRDefault="007E2E27" w:rsidP="002029C0">
            <w:pPr>
              <w:spacing w:after="160"/>
              <w:jc w:val="center"/>
              <w:rPr>
                <w:rFonts w:eastAsia="Times New Roman"/>
                <w:lang w:eastAsia="en-GB"/>
              </w:rPr>
            </w:pPr>
            <w:r>
              <w:rPr>
                <w:rFonts w:eastAsia="Times New Roman"/>
                <w:lang w:eastAsia="en-GB"/>
              </w:rPr>
              <w:t>-23</w:t>
            </w:r>
          </w:p>
        </w:tc>
      </w:tr>
      <w:tr w:rsidR="007E2E27" w:rsidRPr="00D2654A" w14:paraId="73BA3E4A" w14:textId="77777777" w:rsidTr="00096408">
        <w:trPr>
          <w:trHeight w:val="18"/>
          <w:jc w:val="center"/>
        </w:trPr>
        <w:tc>
          <w:tcPr>
            <w:tcW w:w="0" w:type="auto"/>
            <w:vMerge/>
            <w:tcBorders>
              <w:bottom w:val="single" w:sz="12" w:space="0" w:color="auto"/>
            </w:tcBorders>
            <w:vAlign w:val="center"/>
          </w:tcPr>
          <w:p w14:paraId="609BC536" w14:textId="77777777" w:rsidR="00824DDD" w:rsidRPr="00D2654A" w:rsidRDefault="00824DDD" w:rsidP="002029C0">
            <w:pPr>
              <w:spacing w:after="160"/>
              <w:jc w:val="center"/>
              <w:rPr>
                <w:rFonts w:eastAsia="Times New Roman"/>
                <w:lang w:eastAsia="en-GB"/>
              </w:rPr>
            </w:pPr>
          </w:p>
        </w:tc>
        <w:tc>
          <w:tcPr>
            <w:tcW w:w="0" w:type="auto"/>
            <w:tcBorders>
              <w:bottom w:val="single" w:sz="12" w:space="0" w:color="auto"/>
            </w:tcBorders>
            <w:vAlign w:val="center"/>
            <w:hideMark/>
          </w:tcPr>
          <w:p w14:paraId="52E99629" w14:textId="21BF9215" w:rsidR="00824DDD" w:rsidRPr="00D2654A" w:rsidRDefault="00824DDD" w:rsidP="002029C0">
            <w:pPr>
              <w:spacing w:after="160"/>
              <w:jc w:val="center"/>
              <w:rPr>
                <w:rFonts w:eastAsia="Times New Roman"/>
                <w:lang w:eastAsia="en-GB"/>
              </w:rPr>
            </w:pPr>
            <w:r>
              <w:rPr>
                <w:rFonts w:eastAsia="Times New Roman"/>
                <w:lang w:eastAsia="en-GB"/>
              </w:rPr>
              <w:t>**</w:t>
            </w:r>
            <w:r w:rsidR="007E2E27">
              <w:rPr>
                <w:rFonts w:eastAsia="Times New Roman"/>
                <w:lang w:eastAsia="en-GB"/>
              </w:rPr>
              <w:t>113.9</w:t>
            </w:r>
          </w:p>
        </w:tc>
        <w:tc>
          <w:tcPr>
            <w:tcW w:w="0" w:type="auto"/>
            <w:tcBorders>
              <w:bottom w:val="single" w:sz="12" w:space="0" w:color="auto"/>
            </w:tcBorders>
            <w:vAlign w:val="center"/>
          </w:tcPr>
          <w:p w14:paraId="66329229" w14:textId="5BC76186" w:rsidR="00824DDD" w:rsidRPr="00D2654A" w:rsidRDefault="007E2E27" w:rsidP="002029C0">
            <w:pPr>
              <w:spacing w:after="160"/>
              <w:jc w:val="center"/>
              <w:rPr>
                <w:rFonts w:eastAsia="Times New Roman"/>
                <w:lang w:eastAsia="en-GB"/>
              </w:rPr>
            </w:pPr>
            <w:r>
              <w:rPr>
                <w:rFonts w:eastAsia="Times New Roman"/>
                <w:lang w:eastAsia="en-GB"/>
              </w:rPr>
              <w:t>2.45</w:t>
            </w:r>
          </w:p>
        </w:tc>
        <w:tc>
          <w:tcPr>
            <w:tcW w:w="0" w:type="auto"/>
            <w:tcBorders>
              <w:bottom w:val="single" w:sz="12" w:space="0" w:color="auto"/>
            </w:tcBorders>
            <w:vAlign w:val="center"/>
          </w:tcPr>
          <w:p w14:paraId="3D1E24FB" w14:textId="123718BC" w:rsidR="00824DDD" w:rsidRPr="00D2654A" w:rsidRDefault="007E2E27" w:rsidP="002029C0">
            <w:pPr>
              <w:spacing w:after="160"/>
              <w:jc w:val="center"/>
              <w:rPr>
                <w:rFonts w:eastAsia="Times New Roman"/>
                <w:lang w:eastAsia="en-GB"/>
              </w:rPr>
            </w:pPr>
            <w:r>
              <w:rPr>
                <w:rFonts w:eastAsia="Times New Roman"/>
                <w:lang w:eastAsia="en-GB"/>
              </w:rPr>
              <w:t>-1</w:t>
            </w:r>
            <w:r w:rsidR="00824DDD">
              <w:rPr>
                <w:rFonts w:eastAsia="Times New Roman"/>
                <w:lang w:eastAsia="en-GB"/>
              </w:rPr>
              <w:t>60</w:t>
            </w:r>
          </w:p>
        </w:tc>
        <w:tc>
          <w:tcPr>
            <w:tcW w:w="0" w:type="auto"/>
            <w:tcBorders>
              <w:bottom w:val="single" w:sz="12" w:space="0" w:color="auto"/>
            </w:tcBorders>
            <w:vAlign w:val="center"/>
          </w:tcPr>
          <w:p w14:paraId="487D9536" w14:textId="0587847A" w:rsidR="00824DDD" w:rsidRPr="00D2654A" w:rsidRDefault="007E2E27" w:rsidP="002029C0">
            <w:pPr>
              <w:spacing w:after="160"/>
              <w:jc w:val="center"/>
              <w:rPr>
                <w:rFonts w:eastAsia="Times New Roman"/>
                <w:lang w:eastAsia="en-GB"/>
              </w:rPr>
            </w:pPr>
            <w:r>
              <w:rPr>
                <w:rFonts w:eastAsia="Times New Roman"/>
                <w:lang w:eastAsia="en-GB"/>
              </w:rPr>
              <w:t>-</w:t>
            </w:r>
            <w:r w:rsidR="00824DDD">
              <w:rPr>
                <w:rFonts w:eastAsia="Times New Roman"/>
                <w:lang w:eastAsia="en-GB"/>
              </w:rPr>
              <w:t>10</w:t>
            </w:r>
          </w:p>
        </w:tc>
        <w:tc>
          <w:tcPr>
            <w:tcW w:w="0" w:type="auto"/>
            <w:tcBorders>
              <w:bottom w:val="single" w:sz="12" w:space="0" w:color="auto"/>
            </w:tcBorders>
            <w:vAlign w:val="center"/>
          </w:tcPr>
          <w:p w14:paraId="14D22544" w14:textId="4E015805" w:rsidR="00824DDD" w:rsidRPr="00D2654A" w:rsidRDefault="007E2E27" w:rsidP="002029C0">
            <w:pPr>
              <w:spacing w:after="160"/>
              <w:jc w:val="center"/>
              <w:rPr>
                <w:rFonts w:eastAsia="Times New Roman"/>
                <w:lang w:eastAsia="en-GB"/>
              </w:rPr>
            </w:pPr>
            <w:r>
              <w:rPr>
                <w:rFonts w:eastAsia="Times New Roman"/>
                <w:lang w:eastAsia="en-GB"/>
              </w:rPr>
              <w:t>-28</w:t>
            </w:r>
          </w:p>
        </w:tc>
        <w:tc>
          <w:tcPr>
            <w:tcW w:w="0" w:type="auto"/>
            <w:tcBorders>
              <w:bottom w:val="single" w:sz="12" w:space="0" w:color="auto"/>
            </w:tcBorders>
            <w:vAlign w:val="center"/>
          </w:tcPr>
          <w:p w14:paraId="5CEC63B7" w14:textId="7D0167A7" w:rsidR="00824DDD" w:rsidRPr="00D2654A" w:rsidRDefault="007E2E27" w:rsidP="002029C0">
            <w:pPr>
              <w:spacing w:after="160"/>
              <w:jc w:val="center"/>
              <w:rPr>
                <w:rFonts w:eastAsia="Times New Roman"/>
                <w:lang w:eastAsia="en-GB"/>
              </w:rPr>
            </w:pPr>
            <w:r>
              <w:rPr>
                <w:rFonts w:eastAsia="Times New Roman"/>
                <w:lang w:eastAsia="en-GB"/>
              </w:rPr>
              <w:t>-11</w:t>
            </w:r>
          </w:p>
        </w:tc>
      </w:tr>
      <w:bookmarkEnd w:id="4"/>
      <w:tr w:rsidR="007E2E27" w:rsidRPr="00D2654A" w14:paraId="5139D064" w14:textId="77777777" w:rsidTr="00096408">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vAlign w:val="center"/>
          </w:tcPr>
          <w:p w14:paraId="0DF59E0F" w14:textId="77777777" w:rsidR="00096408" w:rsidRDefault="007E2E27" w:rsidP="002029C0">
            <w:pPr>
              <w:spacing w:after="160"/>
              <w:jc w:val="center"/>
              <w:rPr>
                <w:rFonts w:eastAsia="Times New Roman"/>
                <w:b w:val="0"/>
                <w:bCs w:val="0"/>
                <w:lang w:eastAsia="en-GB"/>
              </w:rPr>
            </w:pPr>
            <w:r>
              <w:rPr>
                <w:rFonts w:eastAsia="Times New Roman"/>
                <w:bCs w:val="0"/>
                <w:lang w:eastAsia="en-GB"/>
              </w:rPr>
              <w:t>Tizoxanide-D4</w:t>
            </w:r>
            <w:r w:rsidR="00824DDD" w:rsidRPr="006E20F2">
              <w:rPr>
                <w:rFonts w:eastAsia="Times New Roman"/>
                <w:bCs w:val="0"/>
                <w:lang w:eastAsia="en-GB"/>
              </w:rPr>
              <w:t xml:space="preserve"> (IS)</w:t>
            </w:r>
          </w:p>
          <w:p w14:paraId="4AF4A2C8" w14:textId="6053E7EF" w:rsidR="00824DDD" w:rsidRPr="00D2654A" w:rsidRDefault="007E2E27" w:rsidP="002029C0">
            <w:pPr>
              <w:spacing w:after="160"/>
              <w:jc w:val="center"/>
              <w:rPr>
                <w:rFonts w:eastAsia="Times New Roman"/>
                <w:b w:val="0"/>
                <w:bCs w:val="0"/>
                <w:lang w:eastAsia="en-GB"/>
              </w:rPr>
            </w:pPr>
            <w:r w:rsidRPr="007E2E27">
              <w:rPr>
                <w:rFonts w:eastAsia="Times New Roman"/>
                <w:bCs w:val="0"/>
                <w:lang w:eastAsia="en-GB"/>
              </w:rPr>
              <w:t>267.9</w:t>
            </w:r>
          </w:p>
        </w:tc>
        <w:tc>
          <w:tcPr>
            <w:tcW w:w="0" w:type="auto"/>
            <w:tcBorders>
              <w:top w:val="single" w:sz="12" w:space="0" w:color="auto"/>
              <w:bottom w:val="single" w:sz="12" w:space="0" w:color="auto"/>
            </w:tcBorders>
            <w:vAlign w:val="center"/>
            <w:hideMark/>
          </w:tcPr>
          <w:p w14:paraId="26159CE9" w14:textId="74EC3F5F" w:rsidR="00824DDD" w:rsidRPr="00D2654A" w:rsidRDefault="007E2E27" w:rsidP="002029C0">
            <w:pPr>
              <w:spacing w:after="160"/>
              <w:jc w:val="cente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221.0</w:t>
            </w:r>
          </w:p>
        </w:tc>
        <w:tc>
          <w:tcPr>
            <w:tcW w:w="0" w:type="auto"/>
            <w:tcBorders>
              <w:top w:val="single" w:sz="12" w:space="0" w:color="auto"/>
              <w:bottom w:val="single" w:sz="12" w:space="0" w:color="auto"/>
            </w:tcBorders>
            <w:vAlign w:val="center"/>
          </w:tcPr>
          <w:p w14:paraId="263170B6" w14:textId="662EBC1C" w:rsidR="00824DDD" w:rsidRPr="00D2654A" w:rsidRDefault="007E2E27" w:rsidP="002029C0">
            <w:pPr>
              <w:spacing w:after="160"/>
              <w:jc w:val="cente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2.45</w:t>
            </w:r>
          </w:p>
        </w:tc>
        <w:tc>
          <w:tcPr>
            <w:tcW w:w="0" w:type="auto"/>
            <w:tcBorders>
              <w:top w:val="single" w:sz="12" w:space="0" w:color="auto"/>
              <w:bottom w:val="single" w:sz="12" w:space="0" w:color="auto"/>
            </w:tcBorders>
            <w:vAlign w:val="center"/>
          </w:tcPr>
          <w:p w14:paraId="51BDB654" w14:textId="78E2ECFB" w:rsidR="00824DDD" w:rsidRPr="00D2654A" w:rsidRDefault="007E2E27" w:rsidP="002029C0">
            <w:pPr>
              <w:spacing w:after="160"/>
              <w:jc w:val="cente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-1</w:t>
            </w:r>
            <w:r w:rsidR="00824DDD">
              <w:rPr>
                <w:rFonts w:eastAsia="Times New Roman"/>
                <w:lang w:eastAsia="en-GB"/>
              </w:rPr>
              <w:t>60</w:t>
            </w:r>
          </w:p>
        </w:tc>
        <w:tc>
          <w:tcPr>
            <w:tcW w:w="0" w:type="auto"/>
            <w:tcBorders>
              <w:top w:val="single" w:sz="12" w:space="0" w:color="auto"/>
              <w:bottom w:val="single" w:sz="12" w:space="0" w:color="auto"/>
            </w:tcBorders>
            <w:vAlign w:val="center"/>
          </w:tcPr>
          <w:p w14:paraId="7608A7E7" w14:textId="3AF1E109" w:rsidR="00824DDD" w:rsidRPr="00D2654A" w:rsidRDefault="007E2E27" w:rsidP="002029C0">
            <w:pPr>
              <w:spacing w:after="160"/>
              <w:jc w:val="cente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w:t>
            </w:r>
            <w:r w:rsidR="00824DDD">
              <w:rPr>
                <w:rFonts w:eastAsia="Times New Roman"/>
                <w:lang w:eastAsia="en-GB"/>
              </w:rPr>
              <w:t>10</w:t>
            </w:r>
          </w:p>
        </w:tc>
        <w:tc>
          <w:tcPr>
            <w:tcW w:w="0" w:type="auto"/>
            <w:tcBorders>
              <w:top w:val="single" w:sz="12" w:space="0" w:color="auto"/>
              <w:bottom w:val="single" w:sz="12" w:space="0" w:color="auto"/>
            </w:tcBorders>
            <w:vAlign w:val="center"/>
          </w:tcPr>
          <w:p w14:paraId="451E3EA1" w14:textId="2BA892A4" w:rsidR="00824DDD" w:rsidRPr="00D2654A" w:rsidRDefault="007E2E27" w:rsidP="002029C0">
            <w:pPr>
              <w:spacing w:after="160"/>
              <w:jc w:val="cente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w:t>
            </w:r>
            <w:r w:rsidR="00824DDD">
              <w:rPr>
                <w:rFonts w:eastAsia="Times New Roman"/>
                <w:lang w:eastAsia="en-GB"/>
              </w:rPr>
              <w:t>2</w:t>
            </w:r>
            <w:r>
              <w:rPr>
                <w:rFonts w:eastAsia="Times New Roman"/>
                <w:lang w:eastAsia="en-GB"/>
              </w:rPr>
              <w:t>0</w:t>
            </w:r>
          </w:p>
        </w:tc>
        <w:tc>
          <w:tcPr>
            <w:tcW w:w="0" w:type="auto"/>
            <w:tcBorders>
              <w:top w:val="single" w:sz="12" w:space="0" w:color="auto"/>
              <w:bottom w:val="single" w:sz="12" w:space="0" w:color="auto"/>
            </w:tcBorders>
            <w:vAlign w:val="center"/>
          </w:tcPr>
          <w:p w14:paraId="34558E1D" w14:textId="633C4770" w:rsidR="00824DDD" w:rsidRPr="00D2654A" w:rsidRDefault="007E2E27" w:rsidP="002029C0">
            <w:pPr>
              <w:spacing w:after="160"/>
              <w:jc w:val="cente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-19</w:t>
            </w:r>
          </w:p>
        </w:tc>
      </w:tr>
      <w:tr w:rsidR="007E2E27" w:rsidRPr="00D2654A" w14:paraId="3CA6D52B" w14:textId="77777777" w:rsidTr="00F477B9">
        <w:tblPrEx>
          <w:jc w:val="left"/>
          <w:tblLook w:val="04A0" w:firstRow="1" w:lastRow="0" w:firstColumn="1" w:lastColumn="0" w:noHBand="0" w:noVBand="1"/>
        </w:tblPrEx>
        <w:trPr>
          <w:trHeight w:val="91"/>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vAlign w:val="center"/>
          </w:tcPr>
          <w:p w14:paraId="31FC6EB6" w14:textId="77777777" w:rsidR="00824DDD" w:rsidRDefault="00824DDD" w:rsidP="002029C0">
            <w:pPr>
              <w:jc w:val="center"/>
              <w:rPr>
                <w:rFonts w:eastAsia="Times New Roman"/>
                <w:b w:val="0"/>
                <w:lang w:eastAsia="en-GB"/>
              </w:rPr>
            </w:pPr>
          </w:p>
        </w:tc>
        <w:tc>
          <w:tcPr>
            <w:tcW w:w="0" w:type="auto"/>
            <w:tcBorders>
              <w:top w:val="single" w:sz="12" w:space="0" w:color="auto"/>
            </w:tcBorders>
            <w:vAlign w:val="center"/>
          </w:tcPr>
          <w:p w14:paraId="3C30028D" w14:textId="77777777" w:rsidR="00824DDD" w:rsidRDefault="00824DDD" w:rsidP="002029C0">
            <w:pPr>
              <w:jc w:val="cente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0" w:type="auto"/>
            <w:tcBorders>
              <w:top w:val="single" w:sz="12" w:space="0" w:color="auto"/>
            </w:tcBorders>
            <w:vAlign w:val="center"/>
          </w:tcPr>
          <w:p w14:paraId="18DEAB2D" w14:textId="77777777" w:rsidR="00824DDD" w:rsidRPr="00D2654A" w:rsidRDefault="00824DDD" w:rsidP="002029C0">
            <w:pPr>
              <w:jc w:val="cente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0" w:type="auto"/>
            <w:tcBorders>
              <w:top w:val="single" w:sz="12" w:space="0" w:color="auto"/>
            </w:tcBorders>
            <w:vAlign w:val="center"/>
          </w:tcPr>
          <w:p w14:paraId="3159898E" w14:textId="77777777" w:rsidR="00824DDD" w:rsidRDefault="00824DDD" w:rsidP="002029C0">
            <w:pPr>
              <w:jc w:val="cente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0" w:type="auto"/>
            <w:tcBorders>
              <w:top w:val="single" w:sz="12" w:space="0" w:color="auto"/>
            </w:tcBorders>
            <w:vAlign w:val="center"/>
          </w:tcPr>
          <w:p w14:paraId="52FEECDE" w14:textId="77777777" w:rsidR="00824DDD" w:rsidRDefault="00824DDD" w:rsidP="002029C0">
            <w:pPr>
              <w:jc w:val="cente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0" w:type="auto"/>
            <w:tcBorders>
              <w:top w:val="single" w:sz="12" w:space="0" w:color="auto"/>
            </w:tcBorders>
            <w:vAlign w:val="center"/>
          </w:tcPr>
          <w:p w14:paraId="18D1EA26" w14:textId="77777777" w:rsidR="00824DDD" w:rsidRDefault="00824DDD" w:rsidP="002029C0">
            <w:pPr>
              <w:jc w:val="cente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0" w:type="auto"/>
            <w:tcBorders>
              <w:top w:val="single" w:sz="12" w:space="0" w:color="auto"/>
            </w:tcBorders>
            <w:vAlign w:val="center"/>
          </w:tcPr>
          <w:p w14:paraId="4810840D" w14:textId="77777777" w:rsidR="00824DDD" w:rsidRDefault="00824DDD" w:rsidP="002029C0">
            <w:pPr>
              <w:jc w:val="cente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E2E27" w:rsidRPr="005447E1" w14:paraId="47C267A4" w14:textId="77777777" w:rsidTr="00F477B9">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tcBorders>
            <w:vAlign w:val="center"/>
          </w:tcPr>
          <w:p w14:paraId="24CED726" w14:textId="77777777" w:rsidR="00096408" w:rsidRDefault="00824DDD" w:rsidP="002029C0">
            <w:pPr>
              <w:jc w:val="center"/>
              <w:rPr>
                <w:rFonts w:eastAsia="Times New Roman"/>
                <w:b w:val="0"/>
                <w:lang w:eastAsia="en-GB"/>
              </w:rPr>
            </w:pPr>
            <w:r w:rsidRPr="005447E1">
              <w:rPr>
                <w:rFonts w:eastAsia="Times New Roman"/>
                <w:bCs w:val="0"/>
                <w:lang w:eastAsia="en-GB"/>
              </w:rPr>
              <w:t>Global</w:t>
            </w:r>
          </w:p>
          <w:p w14:paraId="674CA26B" w14:textId="33E9A0E9" w:rsidR="00824DDD" w:rsidRPr="005447E1" w:rsidRDefault="00824DDD" w:rsidP="002029C0">
            <w:pPr>
              <w:jc w:val="center"/>
              <w:rPr>
                <w:rFonts w:eastAsia="Times New Roman"/>
                <w:bCs w:val="0"/>
                <w:lang w:eastAsia="en-GB"/>
              </w:rPr>
            </w:pPr>
            <w:r w:rsidRPr="005447E1">
              <w:rPr>
                <w:rFonts w:eastAsia="Times New Roman"/>
                <w:bCs w:val="0"/>
                <w:lang w:eastAsia="en-GB"/>
              </w:rPr>
              <w:t>Parameters</w:t>
            </w:r>
          </w:p>
        </w:tc>
        <w:tc>
          <w:tcPr>
            <w:tcW w:w="0" w:type="auto"/>
            <w:tcBorders>
              <w:top w:val="none" w:sz="0" w:space="0" w:color="auto"/>
              <w:bottom w:val="single" w:sz="12" w:space="0" w:color="auto"/>
            </w:tcBorders>
            <w:vAlign w:val="center"/>
          </w:tcPr>
          <w:p w14:paraId="01FFCDDF" w14:textId="77777777" w:rsidR="00824DDD" w:rsidRPr="005447E1" w:rsidRDefault="00824DDD" w:rsidP="002029C0">
            <w:pPr>
              <w:jc w:val="center"/>
              <w:cnfStyle w:val="000000100000" w:firstRow="0" w:lastRow="0" w:firstColumn="0" w:lastColumn="0" w:oddVBand="0" w:evenVBand="0" w:oddHBand="1" w:evenHBand="0" w:firstRowFirstColumn="0" w:firstRowLastColumn="0" w:lastRowFirstColumn="0" w:lastRowLastColumn="0"/>
              <w:rPr>
                <w:rFonts w:eastAsia="Times New Roman"/>
                <w:b/>
                <w:lang w:eastAsia="en-GB"/>
              </w:rPr>
            </w:pPr>
            <w:r w:rsidRPr="005447E1">
              <w:rPr>
                <w:rFonts w:eastAsia="Times New Roman"/>
                <w:b/>
                <w:lang w:eastAsia="en-GB"/>
              </w:rPr>
              <w:t>Curtain Gas</w:t>
            </w:r>
          </w:p>
        </w:tc>
        <w:tc>
          <w:tcPr>
            <w:tcW w:w="0" w:type="auto"/>
            <w:tcBorders>
              <w:top w:val="none" w:sz="0" w:space="0" w:color="auto"/>
              <w:bottom w:val="single" w:sz="12" w:space="0" w:color="auto"/>
            </w:tcBorders>
            <w:vAlign w:val="center"/>
          </w:tcPr>
          <w:p w14:paraId="4D89A62C" w14:textId="77777777" w:rsidR="00824DDD" w:rsidRPr="005447E1" w:rsidRDefault="00824DDD" w:rsidP="002029C0">
            <w:pPr>
              <w:jc w:val="center"/>
              <w:cnfStyle w:val="000000100000" w:firstRow="0" w:lastRow="0" w:firstColumn="0" w:lastColumn="0" w:oddVBand="0" w:evenVBand="0" w:oddHBand="1" w:evenHBand="0" w:firstRowFirstColumn="0" w:firstRowLastColumn="0" w:lastRowFirstColumn="0" w:lastRowLastColumn="0"/>
              <w:rPr>
                <w:rFonts w:eastAsia="Times New Roman"/>
                <w:b/>
                <w:lang w:eastAsia="en-GB"/>
              </w:rPr>
            </w:pPr>
            <w:r w:rsidRPr="005447E1">
              <w:rPr>
                <w:rFonts w:eastAsia="Times New Roman"/>
                <w:b/>
                <w:lang w:eastAsia="en-GB"/>
              </w:rPr>
              <w:t>Collision Gas</w:t>
            </w:r>
          </w:p>
        </w:tc>
        <w:tc>
          <w:tcPr>
            <w:tcW w:w="0" w:type="auto"/>
            <w:tcBorders>
              <w:top w:val="none" w:sz="0" w:space="0" w:color="auto"/>
              <w:bottom w:val="single" w:sz="12" w:space="0" w:color="auto"/>
            </w:tcBorders>
            <w:vAlign w:val="center"/>
          </w:tcPr>
          <w:p w14:paraId="34B8CEBD" w14:textId="77777777" w:rsidR="00824DDD" w:rsidRPr="005447E1" w:rsidRDefault="00824DDD" w:rsidP="002029C0">
            <w:pPr>
              <w:jc w:val="center"/>
              <w:cnfStyle w:val="000000100000" w:firstRow="0" w:lastRow="0" w:firstColumn="0" w:lastColumn="0" w:oddVBand="0" w:evenVBand="0" w:oddHBand="1" w:evenHBand="0" w:firstRowFirstColumn="0" w:firstRowLastColumn="0" w:lastRowFirstColumn="0" w:lastRowLastColumn="0"/>
              <w:rPr>
                <w:rFonts w:eastAsia="Times New Roman"/>
                <w:b/>
                <w:lang w:eastAsia="en-GB"/>
              </w:rPr>
            </w:pPr>
            <w:r w:rsidRPr="005447E1">
              <w:rPr>
                <w:rFonts w:eastAsia="Times New Roman"/>
                <w:b/>
                <w:lang w:eastAsia="en-GB"/>
              </w:rPr>
              <w:t>Voltage (V)</w:t>
            </w:r>
          </w:p>
        </w:tc>
        <w:tc>
          <w:tcPr>
            <w:tcW w:w="0" w:type="auto"/>
            <w:tcBorders>
              <w:top w:val="none" w:sz="0" w:space="0" w:color="auto"/>
              <w:bottom w:val="single" w:sz="12" w:space="0" w:color="auto"/>
            </w:tcBorders>
            <w:vAlign w:val="center"/>
          </w:tcPr>
          <w:p w14:paraId="30DFF098" w14:textId="77777777" w:rsidR="00824DDD" w:rsidRPr="005447E1" w:rsidRDefault="00824DDD" w:rsidP="002029C0">
            <w:pPr>
              <w:jc w:val="center"/>
              <w:cnfStyle w:val="000000100000" w:firstRow="0" w:lastRow="0" w:firstColumn="0" w:lastColumn="0" w:oddVBand="0" w:evenVBand="0" w:oddHBand="1" w:evenHBand="0" w:firstRowFirstColumn="0" w:firstRowLastColumn="0" w:lastRowFirstColumn="0" w:lastRowLastColumn="0"/>
              <w:rPr>
                <w:rFonts w:eastAsia="Times New Roman"/>
                <w:b/>
                <w:lang w:eastAsia="en-GB"/>
              </w:rPr>
            </w:pPr>
            <w:r w:rsidRPr="005447E1">
              <w:rPr>
                <w:rFonts w:eastAsia="Times New Roman"/>
                <w:b/>
                <w:lang w:eastAsia="en-GB"/>
              </w:rPr>
              <w:t>Temperature (°C)</w:t>
            </w:r>
          </w:p>
        </w:tc>
        <w:tc>
          <w:tcPr>
            <w:tcW w:w="0" w:type="auto"/>
            <w:tcBorders>
              <w:top w:val="none" w:sz="0" w:space="0" w:color="auto"/>
              <w:bottom w:val="single" w:sz="12" w:space="0" w:color="auto"/>
            </w:tcBorders>
            <w:vAlign w:val="center"/>
          </w:tcPr>
          <w:p w14:paraId="1A1DB915" w14:textId="77777777" w:rsidR="00824DDD" w:rsidRPr="005447E1" w:rsidRDefault="00824DDD" w:rsidP="002029C0">
            <w:pPr>
              <w:jc w:val="center"/>
              <w:cnfStyle w:val="000000100000" w:firstRow="0" w:lastRow="0" w:firstColumn="0" w:lastColumn="0" w:oddVBand="0" w:evenVBand="0" w:oddHBand="1" w:evenHBand="0" w:firstRowFirstColumn="0" w:firstRowLastColumn="0" w:lastRowFirstColumn="0" w:lastRowLastColumn="0"/>
              <w:rPr>
                <w:rFonts w:eastAsia="Times New Roman"/>
                <w:b/>
                <w:lang w:eastAsia="en-GB"/>
              </w:rPr>
            </w:pPr>
            <w:r w:rsidRPr="005447E1">
              <w:rPr>
                <w:rFonts w:eastAsia="Times New Roman"/>
                <w:b/>
                <w:lang w:eastAsia="en-GB"/>
              </w:rPr>
              <w:t>Gas 1</w:t>
            </w:r>
          </w:p>
        </w:tc>
        <w:tc>
          <w:tcPr>
            <w:tcW w:w="0" w:type="auto"/>
            <w:tcBorders>
              <w:top w:val="none" w:sz="0" w:space="0" w:color="auto"/>
              <w:bottom w:val="single" w:sz="12" w:space="0" w:color="auto"/>
            </w:tcBorders>
            <w:vAlign w:val="center"/>
          </w:tcPr>
          <w:p w14:paraId="01522782" w14:textId="77777777" w:rsidR="00824DDD" w:rsidRPr="005447E1" w:rsidRDefault="00824DDD" w:rsidP="002029C0">
            <w:pPr>
              <w:jc w:val="center"/>
              <w:cnfStyle w:val="000000100000" w:firstRow="0" w:lastRow="0" w:firstColumn="0" w:lastColumn="0" w:oddVBand="0" w:evenVBand="0" w:oddHBand="1" w:evenHBand="0" w:firstRowFirstColumn="0" w:firstRowLastColumn="0" w:lastRowFirstColumn="0" w:lastRowLastColumn="0"/>
              <w:rPr>
                <w:rFonts w:eastAsia="Times New Roman"/>
                <w:b/>
                <w:lang w:eastAsia="en-GB"/>
              </w:rPr>
            </w:pPr>
            <w:r w:rsidRPr="005447E1">
              <w:rPr>
                <w:rFonts w:eastAsia="Times New Roman"/>
                <w:b/>
                <w:lang w:eastAsia="en-GB"/>
              </w:rPr>
              <w:t>Gas 2</w:t>
            </w:r>
          </w:p>
        </w:tc>
      </w:tr>
      <w:tr w:rsidR="007E2E27" w:rsidRPr="005447E1" w14:paraId="496EDCA8" w14:textId="77777777" w:rsidTr="00F477B9">
        <w:tblPrEx>
          <w:jc w:val="left"/>
          <w:tblLook w:val="04A0" w:firstRow="1" w:lastRow="0" w:firstColumn="1" w:lastColumn="0" w:noHBand="0" w:noVBand="1"/>
        </w:tblPrEx>
        <w:trPr>
          <w:trHeight w:val="91"/>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12" w:space="0" w:color="auto"/>
            </w:tcBorders>
            <w:vAlign w:val="center"/>
          </w:tcPr>
          <w:p w14:paraId="080EC803" w14:textId="77777777" w:rsidR="00824DDD" w:rsidRPr="005447E1" w:rsidRDefault="00824DDD" w:rsidP="002029C0">
            <w:pPr>
              <w:jc w:val="center"/>
              <w:rPr>
                <w:rFonts w:eastAsia="Times New Roman"/>
                <w:b w:val="0"/>
                <w:lang w:eastAsia="en-GB"/>
              </w:rPr>
            </w:pPr>
          </w:p>
        </w:tc>
        <w:tc>
          <w:tcPr>
            <w:tcW w:w="0" w:type="auto"/>
            <w:tcBorders>
              <w:top w:val="single" w:sz="12" w:space="0" w:color="auto"/>
              <w:bottom w:val="single" w:sz="12" w:space="0" w:color="auto"/>
            </w:tcBorders>
            <w:vAlign w:val="center"/>
          </w:tcPr>
          <w:p w14:paraId="3A1BDA54" w14:textId="2FFF4F3E" w:rsidR="00824DDD" w:rsidRPr="005447E1" w:rsidRDefault="007E2E27" w:rsidP="002029C0">
            <w:pPr>
              <w:jc w:val="center"/>
              <w:cnfStyle w:val="000000000000" w:firstRow="0" w:lastRow="0" w:firstColumn="0" w:lastColumn="0" w:oddVBand="0" w:evenVBand="0" w:oddHBand="0" w:evenHBand="0" w:firstRowFirstColumn="0" w:firstRowLastColumn="0" w:lastRowFirstColumn="0" w:lastRowLastColumn="0"/>
              <w:rPr>
                <w:rFonts w:eastAsia="Times New Roman"/>
                <w:bCs/>
                <w:lang w:eastAsia="en-GB"/>
              </w:rPr>
            </w:pPr>
            <w:r>
              <w:rPr>
                <w:rFonts w:eastAsia="Times New Roman"/>
                <w:bCs/>
                <w:lang w:eastAsia="en-GB"/>
              </w:rPr>
              <w:t>50</w:t>
            </w:r>
          </w:p>
        </w:tc>
        <w:tc>
          <w:tcPr>
            <w:tcW w:w="0" w:type="auto"/>
            <w:tcBorders>
              <w:top w:val="single" w:sz="12" w:space="0" w:color="auto"/>
              <w:bottom w:val="single" w:sz="12" w:space="0" w:color="auto"/>
            </w:tcBorders>
            <w:vAlign w:val="center"/>
          </w:tcPr>
          <w:p w14:paraId="5993AE0B" w14:textId="77777777" w:rsidR="00824DDD" w:rsidRPr="005447E1" w:rsidRDefault="00824DDD" w:rsidP="002029C0">
            <w:pPr>
              <w:jc w:val="center"/>
              <w:cnfStyle w:val="000000000000" w:firstRow="0" w:lastRow="0" w:firstColumn="0" w:lastColumn="0" w:oddVBand="0" w:evenVBand="0" w:oddHBand="0" w:evenHBand="0" w:firstRowFirstColumn="0" w:firstRowLastColumn="0" w:lastRowFirstColumn="0" w:lastRowLastColumn="0"/>
              <w:rPr>
                <w:rFonts w:eastAsia="Times New Roman"/>
                <w:bCs/>
                <w:lang w:eastAsia="en-GB"/>
              </w:rPr>
            </w:pPr>
            <w:r w:rsidRPr="005447E1">
              <w:rPr>
                <w:rFonts w:eastAsia="Times New Roman"/>
                <w:bCs/>
                <w:lang w:eastAsia="en-GB"/>
              </w:rPr>
              <w:t>Medium</w:t>
            </w:r>
          </w:p>
        </w:tc>
        <w:tc>
          <w:tcPr>
            <w:tcW w:w="0" w:type="auto"/>
            <w:tcBorders>
              <w:top w:val="single" w:sz="12" w:space="0" w:color="auto"/>
              <w:bottom w:val="single" w:sz="12" w:space="0" w:color="auto"/>
            </w:tcBorders>
            <w:vAlign w:val="center"/>
          </w:tcPr>
          <w:p w14:paraId="1188BA8F" w14:textId="7103236B" w:rsidR="00824DDD" w:rsidRPr="00B0750B" w:rsidRDefault="007E2E27" w:rsidP="002029C0">
            <w:pPr>
              <w:jc w:val="center"/>
              <w:cnfStyle w:val="000000000000" w:firstRow="0" w:lastRow="0" w:firstColumn="0" w:lastColumn="0" w:oddVBand="0" w:evenVBand="0" w:oddHBand="0" w:evenHBand="0" w:firstRowFirstColumn="0" w:firstRowLastColumn="0" w:lastRowFirstColumn="0" w:lastRowLastColumn="0"/>
              <w:rPr>
                <w:rFonts w:eastAsia="Times New Roman"/>
                <w:bCs/>
                <w:lang w:eastAsia="en-GB"/>
              </w:rPr>
            </w:pPr>
            <w:r>
              <w:rPr>
                <w:rFonts w:eastAsia="Times New Roman"/>
                <w:bCs/>
                <w:lang w:eastAsia="en-GB"/>
              </w:rPr>
              <w:t>-4500</w:t>
            </w:r>
          </w:p>
        </w:tc>
        <w:tc>
          <w:tcPr>
            <w:tcW w:w="0" w:type="auto"/>
            <w:tcBorders>
              <w:top w:val="single" w:sz="12" w:space="0" w:color="auto"/>
              <w:bottom w:val="single" w:sz="12" w:space="0" w:color="auto"/>
            </w:tcBorders>
            <w:vAlign w:val="center"/>
          </w:tcPr>
          <w:p w14:paraId="4569BC44" w14:textId="19C11E68" w:rsidR="00824DDD" w:rsidRPr="00B0750B" w:rsidRDefault="007E2E27" w:rsidP="002029C0">
            <w:pPr>
              <w:jc w:val="center"/>
              <w:cnfStyle w:val="000000000000" w:firstRow="0" w:lastRow="0" w:firstColumn="0" w:lastColumn="0" w:oddVBand="0" w:evenVBand="0" w:oddHBand="0" w:evenHBand="0" w:firstRowFirstColumn="0" w:firstRowLastColumn="0" w:lastRowFirstColumn="0" w:lastRowLastColumn="0"/>
              <w:rPr>
                <w:rFonts w:eastAsia="Times New Roman"/>
                <w:bCs/>
                <w:lang w:eastAsia="en-GB"/>
              </w:rPr>
            </w:pPr>
            <w:r>
              <w:rPr>
                <w:rFonts w:eastAsia="Times New Roman"/>
                <w:bCs/>
                <w:lang w:eastAsia="en-GB"/>
              </w:rPr>
              <w:t>450</w:t>
            </w:r>
          </w:p>
        </w:tc>
        <w:tc>
          <w:tcPr>
            <w:tcW w:w="0" w:type="auto"/>
            <w:tcBorders>
              <w:top w:val="single" w:sz="12" w:space="0" w:color="auto"/>
              <w:bottom w:val="single" w:sz="12" w:space="0" w:color="auto"/>
            </w:tcBorders>
            <w:vAlign w:val="center"/>
          </w:tcPr>
          <w:p w14:paraId="04685F03" w14:textId="5997337F" w:rsidR="00824DDD" w:rsidRPr="00B0750B" w:rsidRDefault="007E2E27" w:rsidP="002029C0">
            <w:pPr>
              <w:jc w:val="center"/>
              <w:cnfStyle w:val="000000000000" w:firstRow="0" w:lastRow="0" w:firstColumn="0" w:lastColumn="0" w:oddVBand="0" w:evenVBand="0" w:oddHBand="0" w:evenHBand="0" w:firstRowFirstColumn="0" w:firstRowLastColumn="0" w:lastRowFirstColumn="0" w:lastRowLastColumn="0"/>
              <w:rPr>
                <w:rFonts w:eastAsia="Times New Roman"/>
                <w:bCs/>
                <w:lang w:eastAsia="en-GB"/>
              </w:rPr>
            </w:pPr>
            <w:r>
              <w:rPr>
                <w:rFonts w:eastAsia="Times New Roman"/>
                <w:bCs/>
                <w:lang w:eastAsia="en-GB"/>
              </w:rPr>
              <w:t>5</w:t>
            </w:r>
            <w:r w:rsidR="00824DDD">
              <w:rPr>
                <w:rFonts w:eastAsia="Times New Roman"/>
                <w:bCs/>
                <w:lang w:eastAsia="en-GB"/>
              </w:rPr>
              <w:t>0</w:t>
            </w:r>
          </w:p>
        </w:tc>
        <w:tc>
          <w:tcPr>
            <w:tcW w:w="0" w:type="auto"/>
            <w:tcBorders>
              <w:top w:val="single" w:sz="12" w:space="0" w:color="auto"/>
              <w:bottom w:val="single" w:sz="12" w:space="0" w:color="auto"/>
            </w:tcBorders>
            <w:vAlign w:val="center"/>
          </w:tcPr>
          <w:p w14:paraId="3311B58E" w14:textId="079D97A8" w:rsidR="00824DDD" w:rsidRPr="00B0750B" w:rsidRDefault="007E2E27" w:rsidP="002029C0">
            <w:pPr>
              <w:jc w:val="center"/>
              <w:cnfStyle w:val="000000000000" w:firstRow="0" w:lastRow="0" w:firstColumn="0" w:lastColumn="0" w:oddVBand="0" w:evenVBand="0" w:oddHBand="0" w:evenHBand="0" w:firstRowFirstColumn="0" w:firstRowLastColumn="0" w:lastRowFirstColumn="0" w:lastRowLastColumn="0"/>
              <w:rPr>
                <w:rFonts w:eastAsia="Times New Roman"/>
                <w:bCs/>
                <w:lang w:eastAsia="en-GB"/>
              </w:rPr>
            </w:pPr>
            <w:r>
              <w:rPr>
                <w:rFonts w:eastAsia="Times New Roman"/>
                <w:bCs/>
                <w:lang w:eastAsia="en-GB"/>
              </w:rPr>
              <w:t>50</w:t>
            </w:r>
          </w:p>
        </w:tc>
      </w:tr>
    </w:tbl>
    <w:p w14:paraId="54E37104" w14:textId="0E84041E" w:rsidR="00F62587" w:rsidRDefault="00F62587" w:rsidP="0045431D">
      <w:pPr>
        <w:jc w:val="both"/>
        <w:rPr>
          <w:b/>
          <w:bCs/>
          <w:lang w:val="en-GB"/>
        </w:rPr>
      </w:pPr>
    </w:p>
    <w:p w14:paraId="799EA46C" w14:textId="77777777" w:rsidR="00F62587" w:rsidRDefault="00F62587">
      <w:pPr>
        <w:rPr>
          <w:b/>
          <w:bCs/>
          <w:lang w:val="en-GB"/>
        </w:rPr>
      </w:pPr>
      <w:r>
        <w:rPr>
          <w:b/>
          <w:bCs/>
          <w:lang w:val="en-GB"/>
        </w:rPr>
        <w:br w:type="page"/>
      </w:r>
    </w:p>
    <w:p w14:paraId="4033F3E0" w14:textId="5EB41D3F" w:rsidR="00824DDD" w:rsidRPr="00C0261A" w:rsidRDefault="00824DDD" w:rsidP="0045431D">
      <w:pPr>
        <w:jc w:val="both"/>
        <w:rPr>
          <w:lang w:val="en-GB"/>
        </w:rPr>
      </w:pPr>
      <w:r>
        <w:rPr>
          <w:b/>
          <w:bCs/>
          <w:lang w:val="en-GB"/>
        </w:rPr>
        <w:lastRenderedPageBreak/>
        <w:t>Table 2</w:t>
      </w:r>
      <w:r w:rsidR="00C0261A">
        <w:rPr>
          <w:lang w:val="en-GB"/>
        </w:rPr>
        <w:t xml:space="preserve"> shows the endogenous signal from an extracted blank compared to the LLOQ of TIZ and the % of the LLOQ. FDA guidelines require the signal produced by an extracted blank be no more than 20% of the LLOQ.</w:t>
      </w:r>
      <w:r w:rsidR="00BF4149">
        <w:rPr>
          <w:lang w:val="en-GB"/>
        </w:rPr>
        <w:t xml:space="preserve"> </w:t>
      </w:r>
      <w:r w:rsidR="00783681">
        <w:rPr>
          <w:lang w:val="en-GB"/>
        </w:rPr>
        <w:t>Mouse plasma and FBS are from pooled sources and human plasma is from a single source.</w:t>
      </w:r>
    </w:p>
    <w:tbl>
      <w:tblPr>
        <w:tblStyle w:val="PlainTable2"/>
        <w:tblW w:w="0" w:type="auto"/>
        <w:jc w:val="center"/>
        <w:tblBorders>
          <w:top w:val="none" w:sz="0" w:space="0" w:color="auto"/>
          <w:bottom w:val="none" w:sz="0" w:space="0" w:color="auto"/>
        </w:tblBorders>
        <w:tblLook w:val="0420" w:firstRow="1" w:lastRow="0" w:firstColumn="0" w:lastColumn="0" w:noHBand="0" w:noVBand="1"/>
      </w:tblPr>
      <w:tblGrid>
        <w:gridCol w:w="2127"/>
        <w:gridCol w:w="1319"/>
        <w:gridCol w:w="1675"/>
        <w:gridCol w:w="1150"/>
        <w:gridCol w:w="1630"/>
        <w:gridCol w:w="1324"/>
      </w:tblGrid>
      <w:tr w:rsidR="00B424B1" w:rsidRPr="00D2654A" w14:paraId="71C418A8" w14:textId="7D1ED135" w:rsidTr="00C6749A">
        <w:trPr>
          <w:cnfStyle w:val="100000000000" w:firstRow="1" w:lastRow="0" w:firstColumn="0" w:lastColumn="0" w:oddVBand="0" w:evenVBand="0" w:oddHBand="0" w:evenHBand="0" w:firstRowFirstColumn="0" w:firstRowLastColumn="0" w:lastRowFirstColumn="0" w:lastRowLastColumn="0"/>
          <w:trHeight w:val="18"/>
          <w:jc w:val="center"/>
        </w:trPr>
        <w:tc>
          <w:tcPr>
            <w:tcW w:w="2127" w:type="dxa"/>
            <w:tcBorders>
              <w:top w:val="single" w:sz="12" w:space="0" w:color="auto"/>
              <w:bottom w:val="single" w:sz="12" w:space="0" w:color="auto"/>
            </w:tcBorders>
            <w:vAlign w:val="center"/>
            <w:hideMark/>
          </w:tcPr>
          <w:p w14:paraId="552DF309" w14:textId="47F7BA7F" w:rsidR="00B424B1" w:rsidRPr="00D2654A" w:rsidRDefault="00B424B1" w:rsidP="002029C0">
            <w:pPr>
              <w:spacing w:after="160"/>
              <w:jc w:val="center"/>
              <w:rPr>
                <w:rFonts w:eastAsia="Times New Roman"/>
                <w:lang w:eastAsia="en-GB"/>
              </w:rPr>
            </w:pPr>
            <w:r>
              <w:rPr>
                <w:rFonts w:eastAsia="Times New Roman"/>
                <w:kern w:val="24"/>
                <w:lang w:eastAsia="en-GB"/>
              </w:rPr>
              <w:t>Matrix</w:t>
            </w:r>
          </w:p>
        </w:tc>
        <w:tc>
          <w:tcPr>
            <w:tcW w:w="0" w:type="auto"/>
            <w:tcBorders>
              <w:top w:val="single" w:sz="12" w:space="0" w:color="auto"/>
              <w:bottom w:val="single" w:sz="12" w:space="0" w:color="auto"/>
            </w:tcBorders>
            <w:vAlign w:val="center"/>
            <w:hideMark/>
          </w:tcPr>
          <w:p w14:paraId="5ED18B6A" w14:textId="768B06D7" w:rsidR="00B424B1" w:rsidRPr="00D2654A" w:rsidRDefault="00B424B1" w:rsidP="002029C0">
            <w:pPr>
              <w:spacing w:after="160"/>
              <w:jc w:val="center"/>
              <w:rPr>
                <w:rFonts w:eastAsia="Times New Roman"/>
                <w:lang w:eastAsia="en-GB"/>
              </w:rPr>
            </w:pPr>
            <w:r>
              <w:rPr>
                <w:rFonts w:eastAsia="Times New Roman"/>
                <w:kern w:val="24"/>
                <w:lang w:eastAsia="en-GB"/>
              </w:rPr>
              <w:t>Blank Signal</w:t>
            </w:r>
          </w:p>
        </w:tc>
        <w:tc>
          <w:tcPr>
            <w:tcW w:w="0" w:type="auto"/>
            <w:tcBorders>
              <w:top w:val="single" w:sz="12" w:space="0" w:color="auto"/>
              <w:bottom w:val="single" w:sz="12" w:space="0" w:color="auto"/>
            </w:tcBorders>
            <w:vAlign w:val="center"/>
          </w:tcPr>
          <w:p w14:paraId="27DE57F9" w14:textId="6308F225" w:rsidR="00B424B1" w:rsidRPr="00D2654A" w:rsidRDefault="00B424B1" w:rsidP="002029C0">
            <w:pPr>
              <w:spacing w:after="160"/>
              <w:jc w:val="center"/>
              <w:rPr>
                <w:rFonts w:eastAsia="Times New Roman"/>
                <w:kern w:val="24"/>
                <w:lang w:eastAsia="en-GB"/>
              </w:rPr>
            </w:pPr>
            <w:r>
              <w:rPr>
                <w:rFonts w:eastAsia="Times New Roman"/>
                <w:kern w:val="24"/>
                <w:lang w:eastAsia="en-GB"/>
              </w:rPr>
              <w:t>LLOQ Peak Area</w:t>
            </w:r>
          </w:p>
        </w:tc>
        <w:tc>
          <w:tcPr>
            <w:tcW w:w="0" w:type="auto"/>
            <w:tcBorders>
              <w:top w:val="single" w:sz="12" w:space="0" w:color="auto"/>
              <w:bottom w:val="single" w:sz="12" w:space="0" w:color="auto"/>
            </w:tcBorders>
            <w:vAlign w:val="center"/>
          </w:tcPr>
          <w:p w14:paraId="17E1A59B" w14:textId="41896BD3" w:rsidR="00B424B1" w:rsidRPr="00D2654A" w:rsidRDefault="00B424B1" w:rsidP="002029C0">
            <w:pPr>
              <w:spacing w:after="160"/>
              <w:jc w:val="center"/>
              <w:rPr>
                <w:rFonts w:eastAsia="Times New Roman"/>
                <w:kern w:val="24"/>
                <w:lang w:eastAsia="en-GB"/>
              </w:rPr>
            </w:pPr>
            <w:r>
              <w:rPr>
                <w:rFonts w:eastAsia="Times New Roman"/>
                <w:kern w:val="24"/>
                <w:lang w:eastAsia="en-GB"/>
              </w:rPr>
              <w:t>% of LLOQ</w:t>
            </w:r>
          </w:p>
        </w:tc>
        <w:tc>
          <w:tcPr>
            <w:tcW w:w="0" w:type="auto"/>
            <w:tcBorders>
              <w:top w:val="single" w:sz="12" w:space="0" w:color="auto"/>
              <w:bottom w:val="single" w:sz="12" w:space="0" w:color="auto"/>
            </w:tcBorders>
          </w:tcPr>
          <w:p w14:paraId="2E2F305F" w14:textId="77777777" w:rsidR="00B424B1" w:rsidRDefault="009774DF" w:rsidP="002029C0">
            <w:pPr>
              <w:jc w:val="center"/>
              <w:rPr>
                <w:rFonts w:eastAsia="Times New Roman"/>
                <w:b w:val="0"/>
                <w:bCs w:val="0"/>
                <w:kern w:val="24"/>
                <w:lang w:eastAsia="en-GB"/>
              </w:rPr>
            </w:pPr>
            <w:r>
              <w:rPr>
                <w:rFonts w:eastAsia="Times New Roman"/>
                <w:kern w:val="24"/>
                <w:lang w:eastAsia="en-GB"/>
              </w:rPr>
              <w:t>Blank following</w:t>
            </w:r>
          </w:p>
          <w:p w14:paraId="56AB9592" w14:textId="130761DF" w:rsidR="009774DF" w:rsidRDefault="009774DF" w:rsidP="002029C0">
            <w:pPr>
              <w:jc w:val="center"/>
              <w:rPr>
                <w:rFonts w:eastAsia="Times New Roman"/>
                <w:kern w:val="24"/>
                <w:lang w:eastAsia="en-GB"/>
              </w:rPr>
            </w:pPr>
            <w:r>
              <w:rPr>
                <w:rFonts w:eastAsia="Times New Roman"/>
                <w:kern w:val="24"/>
                <w:lang w:eastAsia="en-GB"/>
              </w:rPr>
              <w:t>ULOQ</w:t>
            </w:r>
          </w:p>
        </w:tc>
        <w:tc>
          <w:tcPr>
            <w:tcW w:w="0" w:type="auto"/>
            <w:tcBorders>
              <w:top w:val="single" w:sz="12" w:space="0" w:color="auto"/>
              <w:bottom w:val="single" w:sz="12" w:space="0" w:color="auto"/>
            </w:tcBorders>
          </w:tcPr>
          <w:p w14:paraId="059556A7" w14:textId="77777777" w:rsidR="00B424B1" w:rsidRDefault="009774DF" w:rsidP="002029C0">
            <w:pPr>
              <w:jc w:val="center"/>
              <w:rPr>
                <w:rFonts w:eastAsia="Times New Roman"/>
                <w:b w:val="0"/>
                <w:bCs w:val="0"/>
                <w:kern w:val="24"/>
                <w:lang w:eastAsia="en-GB"/>
              </w:rPr>
            </w:pPr>
            <w:r>
              <w:rPr>
                <w:rFonts w:eastAsia="Times New Roman"/>
                <w:kern w:val="24"/>
                <w:lang w:eastAsia="en-GB"/>
              </w:rPr>
              <w:t>% Carryover</w:t>
            </w:r>
          </w:p>
          <w:p w14:paraId="224CEBA5" w14:textId="606E613D" w:rsidR="009774DF" w:rsidRDefault="009774DF" w:rsidP="002029C0">
            <w:pPr>
              <w:jc w:val="center"/>
              <w:rPr>
                <w:rFonts w:eastAsia="Times New Roman"/>
                <w:kern w:val="24"/>
                <w:lang w:eastAsia="en-GB"/>
              </w:rPr>
            </w:pPr>
          </w:p>
        </w:tc>
      </w:tr>
      <w:tr w:rsidR="001E0C58" w:rsidRPr="00D2654A" w14:paraId="1321CF3B" w14:textId="18A5899E" w:rsidTr="00E05D3F">
        <w:trPr>
          <w:cnfStyle w:val="000000100000" w:firstRow="0" w:lastRow="0" w:firstColumn="0" w:lastColumn="0" w:oddVBand="0" w:evenVBand="0" w:oddHBand="1" w:evenHBand="0" w:firstRowFirstColumn="0" w:firstRowLastColumn="0" w:lastRowFirstColumn="0" w:lastRowLastColumn="0"/>
          <w:trHeight w:val="18"/>
          <w:jc w:val="center"/>
        </w:trPr>
        <w:tc>
          <w:tcPr>
            <w:tcW w:w="0" w:type="dxa"/>
            <w:tcBorders>
              <w:top w:val="single" w:sz="12" w:space="0" w:color="auto"/>
              <w:bottom w:val="single" w:sz="12" w:space="0" w:color="auto"/>
            </w:tcBorders>
            <w:vAlign w:val="center"/>
          </w:tcPr>
          <w:p w14:paraId="488B534A" w14:textId="23A5D2F4" w:rsidR="001E0C58" w:rsidRPr="00F62587" w:rsidRDefault="001E0C58" w:rsidP="001E0C58">
            <w:pPr>
              <w:spacing w:line="360" w:lineRule="auto"/>
              <w:jc w:val="center"/>
              <w:rPr>
                <w:rFonts w:eastAsia="Times New Roman"/>
                <w:b/>
                <w:bCs/>
                <w:kern w:val="24"/>
                <w:lang w:eastAsia="en-GB"/>
              </w:rPr>
            </w:pPr>
            <w:bookmarkStart w:id="5" w:name="_Hlk127532444"/>
            <w:r w:rsidRPr="00F62587">
              <w:rPr>
                <w:rFonts w:eastAsia="Times New Roman"/>
                <w:b/>
                <w:bCs/>
                <w:kern w:val="24"/>
                <w:lang w:eastAsia="en-GB"/>
              </w:rPr>
              <w:t>Mouse plasma</w:t>
            </w:r>
          </w:p>
        </w:tc>
        <w:tc>
          <w:tcPr>
            <w:tcW w:w="0" w:type="auto"/>
            <w:tcBorders>
              <w:top w:val="single" w:sz="12" w:space="0" w:color="auto"/>
              <w:bottom w:val="single" w:sz="12" w:space="0" w:color="auto"/>
            </w:tcBorders>
            <w:vAlign w:val="center"/>
          </w:tcPr>
          <w:p w14:paraId="240707D7" w14:textId="5585A5FA" w:rsidR="001E0C58" w:rsidRDefault="001E0C58" w:rsidP="001E0C58">
            <w:pPr>
              <w:spacing w:line="360" w:lineRule="auto"/>
              <w:jc w:val="center"/>
              <w:rPr>
                <w:rFonts w:eastAsia="Times New Roman"/>
                <w:kern w:val="24"/>
                <w:lang w:eastAsia="en-GB"/>
              </w:rPr>
            </w:pPr>
            <w:r>
              <w:rPr>
                <w:rFonts w:eastAsia="Times New Roman"/>
                <w:kern w:val="24"/>
                <w:lang w:eastAsia="en-GB"/>
              </w:rPr>
              <w:t>221</w:t>
            </w:r>
          </w:p>
        </w:tc>
        <w:tc>
          <w:tcPr>
            <w:tcW w:w="0" w:type="auto"/>
            <w:tcBorders>
              <w:top w:val="single" w:sz="12" w:space="0" w:color="auto"/>
              <w:bottom w:val="single" w:sz="12" w:space="0" w:color="auto"/>
            </w:tcBorders>
            <w:vAlign w:val="bottom"/>
          </w:tcPr>
          <w:p w14:paraId="3CC4814C" w14:textId="039043AF" w:rsidR="001E0C58" w:rsidRDefault="001E0C58" w:rsidP="001E0C58">
            <w:pPr>
              <w:spacing w:line="360" w:lineRule="auto"/>
              <w:jc w:val="center"/>
              <w:rPr>
                <w:rFonts w:eastAsia="Times New Roman"/>
                <w:kern w:val="24"/>
                <w:lang w:eastAsia="en-GB"/>
              </w:rPr>
            </w:pPr>
            <w:r>
              <w:rPr>
                <w:rFonts w:ascii="Calibri" w:hAnsi="Calibri" w:cs="Calibri"/>
                <w:color w:val="000000"/>
              </w:rPr>
              <w:t>29787.3</w:t>
            </w:r>
          </w:p>
        </w:tc>
        <w:tc>
          <w:tcPr>
            <w:tcW w:w="0" w:type="auto"/>
            <w:tcBorders>
              <w:top w:val="single" w:sz="12" w:space="0" w:color="auto"/>
              <w:bottom w:val="single" w:sz="12" w:space="0" w:color="auto"/>
            </w:tcBorders>
            <w:vAlign w:val="bottom"/>
          </w:tcPr>
          <w:p w14:paraId="59A1114E" w14:textId="508144A6" w:rsidR="001E0C58" w:rsidRDefault="001E0C58" w:rsidP="001E0C58">
            <w:pPr>
              <w:spacing w:line="360" w:lineRule="auto"/>
              <w:jc w:val="center"/>
              <w:rPr>
                <w:rFonts w:eastAsia="Times New Roman"/>
                <w:kern w:val="24"/>
                <w:lang w:eastAsia="en-GB"/>
              </w:rPr>
            </w:pPr>
            <w:r>
              <w:rPr>
                <w:rFonts w:ascii="Calibri" w:hAnsi="Calibri" w:cs="Calibri"/>
                <w:color w:val="000000"/>
              </w:rPr>
              <w:t>0.7</w:t>
            </w:r>
          </w:p>
        </w:tc>
        <w:tc>
          <w:tcPr>
            <w:tcW w:w="0" w:type="auto"/>
            <w:tcBorders>
              <w:top w:val="single" w:sz="12" w:space="0" w:color="auto"/>
              <w:bottom w:val="single" w:sz="12" w:space="0" w:color="auto"/>
            </w:tcBorders>
            <w:vAlign w:val="bottom"/>
          </w:tcPr>
          <w:p w14:paraId="3BBED309" w14:textId="35CD20D2" w:rsidR="001E0C58" w:rsidRDefault="001E0C58" w:rsidP="001E0C58">
            <w:pPr>
              <w:spacing w:line="360" w:lineRule="auto"/>
              <w:jc w:val="center"/>
              <w:rPr>
                <w:rFonts w:eastAsia="Times New Roman"/>
                <w:kern w:val="24"/>
                <w:lang w:eastAsia="en-GB"/>
              </w:rPr>
            </w:pPr>
            <w:r>
              <w:rPr>
                <w:rFonts w:ascii="Calibri" w:hAnsi="Calibri" w:cs="Calibri"/>
                <w:color w:val="000000"/>
              </w:rPr>
              <w:t>474</w:t>
            </w:r>
          </w:p>
        </w:tc>
        <w:tc>
          <w:tcPr>
            <w:tcW w:w="0" w:type="auto"/>
            <w:tcBorders>
              <w:top w:val="single" w:sz="12" w:space="0" w:color="auto"/>
              <w:bottom w:val="single" w:sz="12" w:space="0" w:color="auto"/>
            </w:tcBorders>
            <w:vAlign w:val="bottom"/>
          </w:tcPr>
          <w:p w14:paraId="219D201B" w14:textId="39A06A3C" w:rsidR="001E0C58" w:rsidRDefault="001E0C58" w:rsidP="001E0C58">
            <w:pPr>
              <w:spacing w:line="360" w:lineRule="auto"/>
              <w:jc w:val="center"/>
              <w:rPr>
                <w:rFonts w:eastAsia="Times New Roman"/>
                <w:kern w:val="24"/>
                <w:lang w:eastAsia="en-GB"/>
              </w:rPr>
            </w:pPr>
            <w:r>
              <w:rPr>
                <w:rFonts w:ascii="Calibri" w:hAnsi="Calibri" w:cs="Calibri"/>
                <w:color w:val="000000"/>
              </w:rPr>
              <w:t>1.6</w:t>
            </w:r>
          </w:p>
        </w:tc>
      </w:tr>
      <w:tr w:rsidR="001E0C58" w:rsidRPr="00D2654A" w14:paraId="46A1E241" w14:textId="7D81D95C" w:rsidTr="00E05D3F">
        <w:trPr>
          <w:trHeight w:val="18"/>
          <w:jc w:val="center"/>
        </w:trPr>
        <w:tc>
          <w:tcPr>
            <w:tcW w:w="0" w:type="dxa"/>
            <w:tcBorders>
              <w:top w:val="single" w:sz="12" w:space="0" w:color="auto"/>
              <w:bottom w:val="single" w:sz="12" w:space="0" w:color="auto"/>
            </w:tcBorders>
            <w:vAlign w:val="center"/>
          </w:tcPr>
          <w:p w14:paraId="0BE77AA3" w14:textId="783851FF" w:rsidR="001E0C58" w:rsidRPr="00F62587" w:rsidRDefault="001E0C58" w:rsidP="001E0C58">
            <w:pPr>
              <w:spacing w:line="360" w:lineRule="auto"/>
              <w:jc w:val="center"/>
              <w:rPr>
                <w:rFonts w:eastAsia="Times New Roman"/>
                <w:b/>
                <w:bCs/>
                <w:kern w:val="24"/>
                <w:lang w:eastAsia="en-GB"/>
              </w:rPr>
            </w:pPr>
            <w:r w:rsidRPr="00F62587">
              <w:rPr>
                <w:rFonts w:eastAsia="Times New Roman"/>
                <w:b/>
                <w:bCs/>
                <w:kern w:val="24"/>
                <w:lang w:eastAsia="en-GB"/>
              </w:rPr>
              <w:t>Human plasma</w:t>
            </w:r>
          </w:p>
        </w:tc>
        <w:tc>
          <w:tcPr>
            <w:tcW w:w="0" w:type="auto"/>
            <w:tcBorders>
              <w:top w:val="single" w:sz="12" w:space="0" w:color="auto"/>
              <w:bottom w:val="single" w:sz="12" w:space="0" w:color="auto"/>
            </w:tcBorders>
            <w:vAlign w:val="center"/>
          </w:tcPr>
          <w:p w14:paraId="4A586D38" w14:textId="22469B29" w:rsidR="001E0C58" w:rsidRDefault="001E0C58" w:rsidP="001E0C58">
            <w:pPr>
              <w:spacing w:line="360" w:lineRule="auto"/>
              <w:jc w:val="center"/>
              <w:rPr>
                <w:rFonts w:eastAsia="Times New Roman"/>
                <w:kern w:val="24"/>
                <w:lang w:eastAsia="en-GB"/>
              </w:rPr>
            </w:pPr>
            <w:r>
              <w:rPr>
                <w:rFonts w:eastAsia="Times New Roman"/>
                <w:kern w:val="24"/>
                <w:lang w:eastAsia="en-GB"/>
              </w:rPr>
              <w:t>1291</w:t>
            </w:r>
          </w:p>
        </w:tc>
        <w:tc>
          <w:tcPr>
            <w:tcW w:w="0" w:type="auto"/>
            <w:tcBorders>
              <w:top w:val="single" w:sz="12" w:space="0" w:color="auto"/>
              <w:bottom w:val="single" w:sz="12" w:space="0" w:color="auto"/>
            </w:tcBorders>
            <w:vAlign w:val="bottom"/>
          </w:tcPr>
          <w:p w14:paraId="3D62EB6A" w14:textId="0A33775D" w:rsidR="001E0C58" w:rsidRDefault="001E0C58" w:rsidP="001E0C58">
            <w:pPr>
              <w:spacing w:line="360" w:lineRule="auto"/>
              <w:jc w:val="center"/>
              <w:rPr>
                <w:rFonts w:eastAsia="Times New Roman"/>
                <w:kern w:val="24"/>
                <w:lang w:eastAsia="en-GB"/>
              </w:rPr>
            </w:pPr>
            <w:r>
              <w:rPr>
                <w:rFonts w:ascii="Calibri" w:hAnsi="Calibri" w:cs="Calibri"/>
                <w:color w:val="000000"/>
              </w:rPr>
              <w:t>89042.2</w:t>
            </w:r>
          </w:p>
        </w:tc>
        <w:tc>
          <w:tcPr>
            <w:tcW w:w="0" w:type="auto"/>
            <w:tcBorders>
              <w:top w:val="single" w:sz="12" w:space="0" w:color="auto"/>
              <w:bottom w:val="single" w:sz="12" w:space="0" w:color="auto"/>
            </w:tcBorders>
            <w:vAlign w:val="bottom"/>
          </w:tcPr>
          <w:p w14:paraId="16EE14D5" w14:textId="7376E334" w:rsidR="001E0C58" w:rsidRDefault="001E0C58" w:rsidP="001E0C58">
            <w:pPr>
              <w:spacing w:line="360" w:lineRule="auto"/>
              <w:jc w:val="center"/>
              <w:rPr>
                <w:rFonts w:eastAsia="Times New Roman"/>
                <w:kern w:val="24"/>
                <w:lang w:eastAsia="en-GB"/>
              </w:rPr>
            </w:pPr>
            <w:r>
              <w:rPr>
                <w:rFonts w:ascii="Calibri" w:hAnsi="Calibri" w:cs="Calibri"/>
                <w:color w:val="000000"/>
              </w:rPr>
              <w:t>1.4</w:t>
            </w:r>
          </w:p>
        </w:tc>
        <w:tc>
          <w:tcPr>
            <w:tcW w:w="0" w:type="auto"/>
            <w:tcBorders>
              <w:top w:val="single" w:sz="12" w:space="0" w:color="auto"/>
              <w:bottom w:val="single" w:sz="12" w:space="0" w:color="auto"/>
            </w:tcBorders>
            <w:vAlign w:val="bottom"/>
          </w:tcPr>
          <w:p w14:paraId="017CF9A7" w14:textId="1970EF49" w:rsidR="001E0C58" w:rsidRDefault="001E0C58" w:rsidP="001E0C58">
            <w:pPr>
              <w:spacing w:line="360" w:lineRule="auto"/>
              <w:jc w:val="center"/>
              <w:rPr>
                <w:rFonts w:eastAsia="Times New Roman"/>
                <w:kern w:val="24"/>
                <w:lang w:eastAsia="en-GB"/>
              </w:rPr>
            </w:pPr>
            <w:r>
              <w:rPr>
                <w:rFonts w:ascii="Calibri" w:hAnsi="Calibri" w:cs="Calibri"/>
                <w:color w:val="000000"/>
              </w:rPr>
              <w:t>13100.2</w:t>
            </w:r>
          </w:p>
        </w:tc>
        <w:tc>
          <w:tcPr>
            <w:tcW w:w="0" w:type="auto"/>
            <w:tcBorders>
              <w:top w:val="single" w:sz="12" w:space="0" w:color="auto"/>
              <w:bottom w:val="single" w:sz="12" w:space="0" w:color="auto"/>
            </w:tcBorders>
            <w:vAlign w:val="bottom"/>
          </w:tcPr>
          <w:p w14:paraId="797C9328" w14:textId="5A18513E" w:rsidR="001E0C58" w:rsidRDefault="001E0C58" w:rsidP="001E0C58">
            <w:pPr>
              <w:spacing w:line="360" w:lineRule="auto"/>
              <w:jc w:val="center"/>
              <w:rPr>
                <w:rFonts w:eastAsia="Times New Roman"/>
                <w:kern w:val="24"/>
                <w:lang w:eastAsia="en-GB"/>
              </w:rPr>
            </w:pPr>
            <w:r>
              <w:rPr>
                <w:rFonts w:ascii="Calibri" w:hAnsi="Calibri" w:cs="Calibri"/>
                <w:color w:val="000000"/>
              </w:rPr>
              <w:t>14.7</w:t>
            </w:r>
          </w:p>
        </w:tc>
      </w:tr>
      <w:tr w:rsidR="001E0C58" w:rsidRPr="00D2654A" w14:paraId="51A6BDCE" w14:textId="462D11EF" w:rsidTr="00E05D3F">
        <w:trPr>
          <w:cnfStyle w:val="000000100000" w:firstRow="0" w:lastRow="0" w:firstColumn="0" w:lastColumn="0" w:oddVBand="0" w:evenVBand="0" w:oddHBand="1" w:evenHBand="0" w:firstRowFirstColumn="0" w:firstRowLastColumn="0" w:lastRowFirstColumn="0" w:lastRowLastColumn="0"/>
          <w:trHeight w:val="18"/>
          <w:jc w:val="center"/>
        </w:trPr>
        <w:tc>
          <w:tcPr>
            <w:tcW w:w="0" w:type="dxa"/>
            <w:tcBorders>
              <w:top w:val="single" w:sz="12" w:space="0" w:color="auto"/>
              <w:bottom w:val="single" w:sz="12" w:space="0" w:color="auto"/>
            </w:tcBorders>
            <w:vAlign w:val="center"/>
          </w:tcPr>
          <w:p w14:paraId="2C7BB680" w14:textId="619F776B" w:rsidR="001E0C58" w:rsidRPr="00F62587" w:rsidRDefault="001E0C58" w:rsidP="001E0C58">
            <w:pPr>
              <w:spacing w:line="360" w:lineRule="auto"/>
              <w:ind w:right="-323"/>
              <w:jc w:val="center"/>
              <w:rPr>
                <w:rFonts w:eastAsia="Times New Roman"/>
                <w:b/>
                <w:bCs/>
                <w:kern w:val="24"/>
                <w:lang w:eastAsia="en-GB"/>
              </w:rPr>
            </w:pPr>
            <w:r w:rsidRPr="00F62587">
              <w:rPr>
                <w:rFonts w:eastAsia="Times New Roman"/>
                <w:b/>
                <w:bCs/>
                <w:kern w:val="24"/>
                <w:lang w:eastAsia="en-GB"/>
              </w:rPr>
              <w:t>50% Human plasma</w:t>
            </w:r>
          </w:p>
        </w:tc>
        <w:tc>
          <w:tcPr>
            <w:tcW w:w="0" w:type="auto"/>
            <w:tcBorders>
              <w:top w:val="single" w:sz="12" w:space="0" w:color="auto"/>
              <w:bottom w:val="single" w:sz="12" w:space="0" w:color="auto"/>
            </w:tcBorders>
            <w:vAlign w:val="center"/>
          </w:tcPr>
          <w:p w14:paraId="21151E66" w14:textId="0816D470" w:rsidR="001E0C58" w:rsidRDefault="001E0C58" w:rsidP="001E0C58">
            <w:pPr>
              <w:spacing w:line="360" w:lineRule="auto"/>
              <w:jc w:val="center"/>
              <w:rPr>
                <w:rFonts w:eastAsia="Times New Roman"/>
                <w:kern w:val="24"/>
                <w:lang w:eastAsia="en-GB"/>
              </w:rPr>
            </w:pPr>
            <w:r>
              <w:rPr>
                <w:rFonts w:eastAsia="Times New Roman"/>
                <w:kern w:val="24"/>
                <w:lang w:eastAsia="en-GB"/>
              </w:rPr>
              <w:t>3134</w:t>
            </w:r>
          </w:p>
        </w:tc>
        <w:tc>
          <w:tcPr>
            <w:tcW w:w="0" w:type="auto"/>
            <w:tcBorders>
              <w:top w:val="single" w:sz="12" w:space="0" w:color="auto"/>
              <w:bottom w:val="single" w:sz="12" w:space="0" w:color="auto"/>
            </w:tcBorders>
            <w:vAlign w:val="bottom"/>
          </w:tcPr>
          <w:p w14:paraId="423BF6FC" w14:textId="32F7397A" w:rsidR="001E0C58" w:rsidRDefault="001E0C58" w:rsidP="001E0C58">
            <w:pPr>
              <w:spacing w:line="360" w:lineRule="auto"/>
              <w:jc w:val="center"/>
              <w:rPr>
                <w:rFonts w:eastAsia="Times New Roman"/>
                <w:kern w:val="24"/>
                <w:lang w:eastAsia="en-GB"/>
              </w:rPr>
            </w:pPr>
            <w:r>
              <w:rPr>
                <w:rFonts w:ascii="Calibri" w:hAnsi="Calibri" w:cs="Calibri"/>
                <w:color w:val="000000"/>
              </w:rPr>
              <w:t>101150.3</w:t>
            </w:r>
          </w:p>
        </w:tc>
        <w:tc>
          <w:tcPr>
            <w:tcW w:w="0" w:type="auto"/>
            <w:tcBorders>
              <w:top w:val="single" w:sz="12" w:space="0" w:color="auto"/>
              <w:bottom w:val="single" w:sz="12" w:space="0" w:color="auto"/>
            </w:tcBorders>
            <w:vAlign w:val="bottom"/>
          </w:tcPr>
          <w:p w14:paraId="117F09C6" w14:textId="5164D343" w:rsidR="001E0C58" w:rsidRDefault="001E0C58" w:rsidP="001E0C58">
            <w:pPr>
              <w:spacing w:line="360" w:lineRule="auto"/>
              <w:jc w:val="center"/>
              <w:rPr>
                <w:rFonts w:eastAsia="Times New Roman"/>
                <w:kern w:val="24"/>
                <w:lang w:eastAsia="en-GB"/>
              </w:rPr>
            </w:pPr>
            <w:r>
              <w:rPr>
                <w:rFonts w:ascii="Calibri" w:hAnsi="Calibri" w:cs="Calibri"/>
                <w:color w:val="000000"/>
              </w:rPr>
              <w:t>3.1</w:t>
            </w:r>
          </w:p>
        </w:tc>
        <w:tc>
          <w:tcPr>
            <w:tcW w:w="0" w:type="auto"/>
            <w:tcBorders>
              <w:top w:val="single" w:sz="12" w:space="0" w:color="auto"/>
              <w:bottom w:val="single" w:sz="12" w:space="0" w:color="auto"/>
            </w:tcBorders>
            <w:vAlign w:val="bottom"/>
          </w:tcPr>
          <w:p w14:paraId="289E5BBB" w14:textId="1C987294" w:rsidR="001E0C58" w:rsidRDefault="001E0C58" w:rsidP="001E0C58">
            <w:pPr>
              <w:spacing w:line="360" w:lineRule="auto"/>
              <w:jc w:val="center"/>
              <w:rPr>
                <w:rFonts w:eastAsia="Times New Roman"/>
                <w:kern w:val="24"/>
                <w:lang w:eastAsia="en-GB"/>
              </w:rPr>
            </w:pPr>
            <w:r>
              <w:rPr>
                <w:rFonts w:ascii="Calibri" w:hAnsi="Calibri" w:cs="Calibri"/>
                <w:color w:val="000000"/>
              </w:rPr>
              <w:t>13192.3</w:t>
            </w:r>
          </w:p>
        </w:tc>
        <w:tc>
          <w:tcPr>
            <w:tcW w:w="0" w:type="auto"/>
            <w:tcBorders>
              <w:top w:val="single" w:sz="12" w:space="0" w:color="auto"/>
              <w:bottom w:val="single" w:sz="12" w:space="0" w:color="auto"/>
            </w:tcBorders>
            <w:vAlign w:val="bottom"/>
          </w:tcPr>
          <w:p w14:paraId="4A15E201" w14:textId="71F1A25E" w:rsidR="001E0C58" w:rsidRDefault="001E0C58" w:rsidP="001E0C58">
            <w:pPr>
              <w:spacing w:line="360" w:lineRule="auto"/>
              <w:jc w:val="center"/>
              <w:rPr>
                <w:rFonts w:eastAsia="Times New Roman"/>
                <w:kern w:val="24"/>
                <w:lang w:eastAsia="en-GB"/>
              </w:rPr>
            </w:pPr>
            <w:r>
              <w:rPr>
                <w:rFonts w:ascii="Calibri" w:hAnsi="Calibri" w:cs="Calibri"/>
                <w:color w:val="000000"/>
              </w:rPr>
              <w:t>13.0</w:t>
            </w:r>
          </w:p>
        </w:tc>
      </w:tr>
      <w:tr w:rsidR="001E0C58" w:rsidRPr="00D2654A" w14:paraId="00A220A0" w14:textId="59587DE7" w:rsidTr="00E05D3F">
        <w:trPr>
          <w:trHeight w:val="18"/>
          <w:jc w:val="center"/>
        </w:trPr>
        <w:tc>
          <w:tcPr>
            <w:tcW w:w="0" w:type="dxa"/>
            <w:tcBorders>
              <w:top w:val="single" w:sz="12" w:space="0" w:color="auto"/>
              <w:bottom w:val="single" w:sz="12" w:space="0" w:color="auto"/>
            </w:tcBorders>
            <w:vAlign w:val="center"/>
          </w:tcPr>
          <w:p w14:paraId="5B792291" w14:textId="59428F07" w:rsidR="001E0C58" w:rsidRPr="00F62587" w:rsidRDefault="001E0C58" w:rsidP="001E0C58">
            <w:pPr>
              <w:spacing w:line="360" w:lineRule="auto"/>
              <w:jc w:val="center"/>
              <w:rPr>
                <w:rFonts w:eastAsia="Times New Roman"/>
                <w:b/>
                <w:bCs/>
                <w:kern w:val="24"/>
                <w:lang w:eastAsia="en-GB"/>
              </w:rPr>
            </w:pPr>
            <w:r w:rsidRPr="00F62587">
              <w:rPr>
                <w:rFonts w:eastAsia="Times New Roman"/>
                <w:b/>
                <w:bCs/>
                <w:kern w:val="24"/>
                <w:lang w:eastAsia="en-GB"/>
              </w:rPr>
              <w:t>10% Human plasma</w:t>
            </w:r>
          </w:p>
        </w:tc>
        <w:tc>
          <w:tcPr>
            <w:tcW w:w="0" w:type="auto"/>
            <w:tcBorders>
              <w:top w:val="single" w:sz="12" w:space="0" w:color="auto"/>
              <w:bottom w:val="single" w:sz="12" w:space="0" w:color="auto"/>
            </w:tcBorders>
            <w:vAlign w:val="center"/>
          </w:tcPr>
          <w:p w14:paraId="51300AC3" w14:textId="35160B01" w:rsidR="001E0C58" w:rsidRDefault="001E0C58" w:rsidP="001E0C58">
            <w:pPr>
              <w:spacing w:line="360" w:lineRule="auto"/>
              <w:jc w:val="center"/>
              <w:rPr>
                <w:rFonts w:eastAsia="Times New Roman"/>
                <w:kern w:val="24"/>
                <w:lang w:eastAsia="en-GB"/>
              </w:rPr>
            </w:pPr>
            <w:r>
              <w:rPr>
                <w:rFonts w:eastAsia="Times New Roman"/>
                <w:kern w:val="24"/>
                <w:lang w:eastAsia="en-GB"/>
              </w:rPr>
              <w:t>3071</w:t>
            </w:r>
          </w:p>
        </w:tc>
        <w:tc>
          <w:tcPr>
            <w:tcW w:w="0" w:type="auto"/>
            <w:tcBorders>
              <w:top w:val="single" w:sz="12" w:space="0" w:color="auto"/>
              <w:bottom w:val="single" w:sz="12" w:space="0" w:color="auto"/>
            </w:tcBorders>
            <w:vAlign w:val="bottom"/>
          </w:tcPr>
          <w:p w14:paraId="3B19BEDF" w14:textId="2409984B" w:rsidR="001E0C58" w:rsidRDefault="001E0C58" w:rsidP="001E0C58">
            <w:pPr>
              <w:spacing w:line="360" w:lineRule="auto"/>
              <w:jc w:val="center"/>
              <w:rPr>
                <w:rFonts w:eastAsia="Times New Roman"/>
                <w:kern w:val="24"/>
                <w:lang w:eastAsia="en-GB"/>
              </w:rPr>
            </w:pPr>
            <w:r>
              <w:rPr>
                <w:rFonts w:ascii="Calibri" w:hAnsi="Calibri" w:cs="Calibri"/>
                <w:color w:val="000000"/>
              </w:rPr>
              <w:t>76959.5</w:t>
            </w:r>
          </w:p>
        </w:tc>
        <w:tc>
          <w:tcPr>
            <w:tcW w:w="0" w:type="auto"/>
            <w:tcBorders>
              <w:top w:val="single" w:sz="12" w:space="0" w:color="auto"/>
              <w:bottom w:val="single" w:sz="12" w:space="0" w:color="auto"/>
            </w:tcBorders>
            <w:vAlign w:val="bottom"/>
          </w:tcPr>
          <w:p w14:paraId="65BC374B" w14:textId="1F243EC1" w:rsidR="001E0C58" w:rsidRDefault="001E0C58" w:rsidP="001E0C58">
            <w:pPr>
              <w:spacing w:line="360" w:lineRule="auto"/>
              <w:jc w:val="center"/>
              <w:rPr>
                <w:rFonts w:eastAsia="Times New Roman"/>
                <w:kern w:val="24"/>
                <w:lang w:eastAsia="en-GB"/>
              </w:rPr>
            </w:pPr>
            <w:r>
              <w:rPr>
                <w:rFonts w:ascii="Calibri" w:hAnsi="Calibri" w:cs="Calibri"/>
                <w:color w:val="000000"/>
              </w:rPr>
              <w:t>4.0</w:t>
            </w:r>
          </w:p>
        </w:tc>
        <w:tc>
          <w:tcPr>
            <w:tcW w:w="0" w:type="auto"/>
            <w:tcBorders>
              <w:top w:val="single" w:sz="12" w:space="0" w:color="auto"/>
              <w:bottom w:val="single" w:sz="12" w:space="0" w:color="auto"/>
            </w:tcBorders>
            <w:vAlign w:val="bottom"/>
          </w:tcPr>
          <w:p w14:paraId="0C320A1E" w14:textId="1F704DF1" w:rsidR="001E0C58" w:rsidRDefault="001E0C58" w:rsidP="001E0C58">
            <w:pPr>
              <w:spacing w:line="360" w:lineRule="auto"/>
              <w:jc w:val="center"/>
              <w:rPr>
                <w:rFonts w:eastAsia="Times New Roman"/>
                <w:kern w:val="24"/>
                <w:lang w:eastAsia="en-GB"/>
              </w:rPr>
            </w:pPr>
            <w:r>
              <w:rPr>
                <w:rFonts w:ascii="Calibri" w:hAnsi="Calibri" w:cs="Calibri"/>
                <w:color w:val="000000"/>
              </w:rPr>
              <w:t>12240.6</w:t>
            </w:r>
          </w:p>
        </w:tc>
        <w:tc>
          <w:tcPr>
            <w:tcW w:w="0" w:type="auto"/>
            <w:tcBorders>
              <w:top w:val="single" w:sz="12" w:space="0" w:color="auto"/>
              <w:bottom w:val="single" w:sz="12" w:space="0" w:color="auto"/>
            </w:tcBorders>
            <w:vAlign w:val="bottom"/>
          </w:tcPr>
          <w:p w14:paraId="32E2DF69" w14:textId="5DEEF119" w:rsidR="001E0C58" w:rsidRDefault="001E0C58" w:rsidP="001E0C58">
            <w:pPr>
              <w:spacing w:line="360" w:lineRule="auto"/>
              <w:jc w:val="center"/>
              <w:rPr>
                <w:rFonts w:eastAsia="Times New Roman"/>
                <w:kern w:val="24"/>
                <w:lang w:eastAsia="en-GB"/>
              </w:rPr>
            </w:pPr>
            <w:r>
              <w:rPr>
                <w:rFonts w:ascii="Calibri" w:hAnsi="Calibri" w:cs="Calibri"/>
                <w:color w:val="000000"/>
              </w:rPr>
              <w:t>15.9</w:t>
            </w:r>
          </w:p>
        </w:tc>
      </w:tr>
      <w:tr w:rsidR="001E0C58" w:rsidRPr="00D2654A" w14:paraId="79CE482F" w14:textId="30BB8BBE" w:rsidTr="00E05D3F">
        <w:trPr>
          <w:cnfStyle w:val="000000100000" w:firstRow="0" w:lastRow="0" w:firstColumn="0" w:lastColumn="0" w:oddVBand="0" w:evenVBand="0" w:oddHBand="1" w:evenHBand="0" w:firstRowFirstColumn="0" w:firstRowLastColumn="0" w:lastRowFirstColumn="0" w:lastRowLastColumn="0"/>
          <w:trHeight w:val="18"/>
          <w:jc w:val="center"/>
        </w:trPr>
        <w:tc>
          <w:tcPr>
            <w:tcW w:w="0" w:type="dxa"/>
            <w:tcBorders>
              <w:top w:val="single" w:sz="12" w:space="0" w:color="auto"/>
              <w:bottom w:val="single" w:sz="12" w:space="0" w:color="auto"/>
            </w:tcBorders>
            <w:vAlign w:val="center"/>
          </w:tcPr>
          <w:p w14:paraId="1F39B85E" w14:textId="007E94C4" w:rsidR="001E0C58" w:rsidRPr="00F62587" w:rsidRDefault="001E0C58" w:rsidP="001E0C58">
            <w:pPr>
              <w:spacing w:line="360" w:lineRule="auto"/>
              <w:jc w:val="center"/>
              <w:rPr>
                <w:rFonts w:eastAsia="Times New Roman"/>
                <w:b/>
                <w:bCs/>
                <w:kern w:val="24"/>
                <w:lang w:eastAsia="en-GB"/>
              </w:rPr>
            </w:pPr>
            <w:r w:rsidRPr="00F62587">
              <w:rPr>
                <w:rFonts w:eastAsia="Times New Roman"/>
                <w:b/>
                <w:bCs/>
                <w:kern w:val="24"/>
                <w:lang w:eastAsia="en-GB"/>
              </w:rPr>
              <w:t>50% FBS</w:t>
            </w:r>
          </w:p>
        </w:tc>
        <w:tc>
          <w:tcPr>
            <w:tcW w:w="0" w:type="auto"/>
            <w:tcBorders>
              <w:top w:val="single" w:sz="12" w:space="0" w:color="auto"/>
              <w:bottom w:val="single" w:sz="12" w:space="0" w:color="auto"/>
            </w:tcBorders>
            <w:vAlign w:val="center"/>
          </w:tcPr>
          <w:p w14:paraId="0462A347" w14:textId="34521010" w:rsidR="001E0C58" w:rsidRDefault="001E0C58" w:rsidP="001E0C58">
            <w:pPr>
              <w:spacing w:line="360" w:lineRule="auto"/>
              <w:jc w:val="center"/>
              <w:rPr>
                <w:rFonts w:eastAsia="Times New Roman"/>
                <w:kern w:val="24"/>
                <w:lang w:eastAsia="en-GB"/>
              </w:rPr>
            </w:pPr>
            <w:r>
              <w:rPr>
                <w:rFonts w:eastAsia="Times New Roman"/>
                <w:kern w:val="24"/>
                <w:lang w:eastAsia="en-GB"/>
              </w:rPr>
              <w:t>1697</w:t>
            </w:r>
          </w:p>
        </w:tc>
        <w:tc>
          <w:tcPr>
            <w:tcW w:w="0" w:type="auto"/>
            <w:tcBorders>
              <w:top w:val="single" w:sz="12" w:space="0" w:color="auto"/>
              <w:bottom w:val="single" w:sz="12" w:space="0" w:color="auto"/>
            </w:tcBorders>
            <w:vAlign w:val="bottom"/>
          </w:tcPr>
          <w:p w14:paraId="571E85F3" w14:textId="4C882CDB" w:rsidR="001E0C58" w:rsidRDefault="001E0C58" w:rsidP="001E0C58">
            <w:pPr>
              <w:spacing w:line="360" w:lineRule="auto"/>
              <w:jc w:val="center"/>
              <w:rPr>
                <w:rFonts w:eastAsia="Times New Roman"/>
                <w:kern w:val="24"/>
                <w:lang w:eastAsia="en-GB"/>
              </w:rPr>
            </w:pPr>
            <w:r>
              <w:rPr>
                <w:rFonts w:ascii="Calibri" w:hAnsi="Calibri" w:cs="Calibri"/>
                <w:color w:val="000000"/>
              </w:rPr>
              <w:t>59069.4</w:t>
            </w:r>
          </w:p>
        </w:tc>
        <w:tc>
          <w:tcPr>
            <w:tcW w:w="0" w:type="auto"/>
            <w:tcBorders>
              <w:top w:val="single" w:sz="12" w:space="0" w:color="auto"/>
              <w:bottom w:val="single" w:sz="12" w:space="0" w:color="auto"/>
            </w:tcBorders>
            <w:vAlign w:val="bottom"/>
          </w:tcPr>
          <w:p w14:paraId="4905AD18" w14:textId="1F2DB6FC" w:rsidR="001E0C58" w:rsidRDefault="001E0C58" w:rsidP="001E0C58">
            <w:pPr>
              <w:spacing w:line="360" w:lineRule="auto"/>
              <w:jc w:val="center"/>
              <w:rPr>
                <w:rFonts w:eastAsia="Times New Roman"/>
                <w:kern w:val="24"/>
                <w:lang w:eastAsia="en-GB"/>
              </w:rPr>
            </w:pPr>
            <w:r>
              <w:rPr>
                <w:rFonts w:ascii="Calibri" w:hAnsi="Calibri" w:cs="Calibri"/>
                <w:color w:val="000000"/>
              </w:rPr>
              <w:t>2.9</w:t>
            </w:r>
          </w:p>
        </w:tc>
        <w:tc>
          <w:tcPr>
            <w:tcW w:w="0" w:type="auto"/>
            <w:tcBorders>
              <w:top w:val="single" w:sz="12" w:space="0" w:color="auto"/>
              <w:bottom w:val="single" w:sz="12" w:space="0" w:color="auto"/>
            </w:tcBorders>
            <w:vAlign w:val="bottom"/>
          </w:tcPr>
          <w:p w14:paraId="2A4FC9C6" w14:textId="131289DF" w:rsidR="001E0C58" w:rsidRDefault="001E0C58" w:rsidP="001E0C58">
            <w:pPr>
              <w:spacing w:line="360" w:lineRule="auto"/>
              <w:jc w:val="center"/>
              <w:rPr>
                <w:rFonts w:eastAsia="Times New Roman"/>
                <w:kern w:val="24"/>
                <w:lang w:eastAsia="en-GB"/>
              </w:rPr>
            </w:pPr>
            <w:r>
              <w:rPr>
                <w:rFonts w:ascii="Calibri" w:hAnsi="Calibri" w:cs="Calibri"/>
                <w:color w:val="000000"/>
              </w:rPr>
              <w:t>1</w:t>
            </w:r>
            <w:r w:rsidR="00A57BAF">
              <w:rPr>
                <w:rFonts w:ascii="Calibri" w:hAnsi="Calibri" w:cs="Calibri"/>
                <w:color w:val="000000"/>
              </w:rPr>
              <w:t>1</w:t>
            </w:r>
            <w:r>
              <w:rPr>
                <w:rFonts w:ascii="Calibri" w:hAnsi="Calibri" w:cs="Calibri"/>
                <w:color w:val="000000"/>
              </w:rPr>
              <w:t>284.6</w:t>
            </w:r>
          </w:p>
        </w:tc>
        <w:tc>
          <w:tcPr>
            <w:tcW w:w="0" w:type="auto"/>
            <w:tcBorders>
              <w:top w:val="single" w:sz="12" w:space="0" w:color="auto"/>
              <w:bottom w:val="single" w:sz="12" w:space="0" w:color="auto"/>
            </w:tcBorders>
            <w:vAlign w:val="bottom"/>
          </w:tcPr>
          <w:p w14:paraId="25ECB671" w14:textId="0823C784" w:rsidR="001E0C58" w:rsidRDefault="004821E0" w:rsidP="001E0C58">
            <w:pPr>
              <w:spacing w:line="360" w:lineRule="auto"/>
              <w:jc w:val="center"/>
              <w:rPr>
                <w:rFonts w:eastAsia="Times New Roman"/>
                <w:kern w:val="24"/>
                <w:lang w:eastAsia="en-GB"/>
              </w:rPr>
            </w:pPr>
            <w:r>
              <w:rPr>
                <w:rFonts w:eastAsia="Times New Roman"/>
                <w:kern w:val="24"/>
                <w:lang w:eastAsia="en-GB"/>
              </w:rPr>
              <w:t>19.1</w:t>
            </w:r>
          </w:p>
        </w:tc>
      </w:tr>
      <w:tr w:rsidR="001E0C58" w:rsidRPr="00D2654A" w14:paraId="655B65AF" w14:textId="35CE52B4" w:rsidTr="00E05D3F">
        <w:trPr>
          <w:trHeight w:val="18"/>
          <w:jc w:val="center"/>
        </w:trPr>
        <w:tc>
          <w:tcPr>
            <w:tcW w:w="0" w:type="dxa"/>
            <w:tcBorders>
              <w:top w:val="single" w:sz="12" w:space="0" w:color="auto"/>
              <w:bottom w:val="single" w:sz="12" w:space="0" w:color="auto"/>
            </w:tcBorders>
            <w:vAlign w:val="center"/>
          </w:tcPr>
          <w:p w14:paraId="029FE3B3" w14:textId="41FD4789" w:rsidR="001E0C58" w:rsidRPr="00F62587" w:rsidRDefault="001E0C58" w:rsidP="001E0C58">
            <w:pPr>
              <w:spacing w:line="360" w:lineRule="auto"/>
              <w:jc w:val="center"/>
              <w:rPr>
                <w:rFonts w:eastAsia="Times New Roman"/>
                <w:b/>
                <w:bCs/>
                <w:kern w:val="24"/>
                <w:lang w:eastAsia="en-GB"/>
              </w:rPr>
            </w:pPr>
            <w:r w:rsidRPr="00F62587">
              <w:rPr>
                <w:rFonts w:eastAsia="Times New Roman"/>
                <w:b/>
                <w:bCs/>
                <w:kern w:val="24"/>
                <w:lang w:eastAsia="en-GB"/>
              </w:rPr>
              <w:t>25% FBS</w:t>
            </w:r>
          </w:p>
        </w:tc>
        <w:tc>
          <w:tcPr>
            <w:tcW w:w="0" w:type="auto"/>
            <w:tcBorders>
              <w:top w:val="single" w:sz="12" w:space="0" w:color="auto"/>
              <w:bottom w:val="single" w:sz="12" w:space="0" w:color="auto"/>
            </w:tcBorders>
            <w:vAlign w:val="center"/>
          </w:tcPr>
          <w:p w14:paraId="4AEEF9E8" w14:textId="7A644D25" w:rsidR="001E0C58" w:rsidRDefault="001E0C58" w:rsidP="001E0C58">
            <w:pPr>
              <w:spacing w:line="360" w:lineRule="auto"/>
              <w:jc w:val="center"/>
              <w:rPr>
                <w:rFonts w:eastAsia="Times New Roman"/>
                <w:kern w:val="24"/>
                <w:lang w:eastAsia="en-GB"/>
              </w:rPr>
            </w:pPr>
            <w:r>
              <w:rPr>
                <w:rFonts w:eastAsia="Times New Roman"/>
                <w:kern w:val="24"/>
                <w:lang w:eastAsia="en-GB"/>
              </w:rPr>
              <w:t>2683</w:t>
            </w:r>
          </w:p>
        </w:tc>
        <w:tc>
          <w:tcPr>
            <w:tcW w:w="0" w:type="auto"/>
            <w:tcBorders>
              <w:top w:val="single" w:sz="12" w:space="0" w:color="auto"/>
              <w:bottom w:val="single" w:sz="12" w:space="0" w:color="auto"/>
            </w:tcBorders>
            <w:vAlign w:val="bottom"/>
          </w:tcPr>
          <w:p w14:paraId="4CF615BF" w14:textId="37D1AAD4" w:rsidR="001E0C58" w:rsidRDefault="001E0C58" w:rsidP="001E0C58">
            <w:pPr>
              <w:spacing w:line="360" w:lineRule="auto"/>
              <w:jc w:val="center"/>
              <w:rPr>
                <w:rFonts w:eastAsia="Times New Roman"/>
                <w:kern w:val="24"/>
                <w:lang w:eastAsia="en-GB"/>
              </w:rPr>
            </w:pPr>
            <w:r>
              <w:rPr>
                <w:rFonts w:ascii="Calibri" w:hAnsi="Calibri" w:cs="Calibri"/>
                <w:color w:val="000000"/>
              </w:rPr>
              <w:t>61746.9</w:t>
            </w:r>
          </w:p>
        </w:tc>
        <w:tc>
          <w:tcPr>
            <w:tcW w:w="0" w:type="auto"/>
            <w:tcBorders>
              <w:top w:val="single" w:sz="12" w:space="0" w:color="auto"/>
              <w:bottom w:val="single" w:sz="12" w:space="0" w:color="auto"/>
            </w:tcBorders>
            <w:vAlign w:val="bottom"/>
          </w:tcPr>
          <w:p w14:paraId="17AD106A" w14:textId="01935339" w:rsidR="001E0C58" w:rsidRDefault="001E0C58" w:rsidP="001E0C58">
            <w:pPr>
              <w:spacing w:line="360" w:lineRule="auto"/>
              <w:jc w:val="center"/>
              <w:rPr>
                <w:rFonts w:eastAsia="Times New Roman"/>
                <w:kern w:val="24"/>
                <w:lang w:eastAsia="en-GB"/>
              </w:rPr>
            </w:pPr>
            <w:r>
              <w:rPr>
                <w:rFonts w:ascii="Calibri" w:hAnsi="Calibri" w:cs="Calibri"/>
                <w:color w:val="000000"/>
              </w:rPr>
              <w:t>4.3</w:t>
            </w:r>
          </w:p>
        </w:tc>
        <w:tc>
          <w:tcPr>
            <w:tcW w:w="0" w:type="auto"/>
            <w:tcBorders>
              <w:top w:val="single" w:sz="12" w:space="0" w:color="auto"/>
              <w:bottom w:val="single" w:sz="12" w:space="0" w:color="auto"/>
            </w:tcBorders>
            <w:vAlign w:val="bottom"/>
          </w:tcPr>
          <w:p w14:paraId="63203B62" w14:textId="47B54A9E" w:rsidR="001E0C58" w:rsidRDefault="001E0C58" w:rsidP="001E0C58">
            <w:pPr>
              <w:spacing w:line="360" w:lineRule="auto"/>
              <w:jc w:val="center"/>
              <w:rPr>
                <w:rFonts w:eastAsia="Times New Roman"/>
                <w:kern w:val="24"/>
                <w:lang w:eastAsia="en-GB"/>
              </w:rPr>
            </w:pPr>
            <w:r>
              <w:rPr>
                <w:rFonts w:ascii="Calibri" w:hAnsi="Calibri" w:cs="Calibri"/>
                <w:color w:val="000000"/>
              </w:rPr>
              <w:t>11950.2</w:t>
            </w:r>
          </w:p>
        </w:tc>
        <w:tc>
          <w:tcPr>
            <w:tcW w:w="0" w:type="auto"/>
            <w:tcBorders>
              <w:top w:val="single" w:sz="12" w:space="0" w:color="auto"/>
              <w:bottom w:val="single" w:sz="12" w:space="0" w:color="auto"/>
            </w:tcBorders>
            <w:vAlign w:val="bottom"/>
          </w:tcPr>
          <w:p w14:paraId="4747A612" w14:textId="61CAB850" w:rsidR="001E0C58" w:rsidRDefault="001E0C58" w:rsidP="001E0C58">
            <w:pPr>
              <w:spacing w:line="360" w:lineRule="auto"/>
              <w:jc w:val="center"/>
              <w:rPr>
                <w:rFonts w:eastAsia="Times New Roman"/>
                <w:kern w:val="24"/>
                <w:lang w:eastAsia="en-GB"/>
              </w:rPr>
            </w:pPr>
            <w:r>
              <w:rPr>
                <w:rFonts w:ascii="Calibri" w:hAnsi="Calibri" w:cs="Calibri"/>
                <w:color w:val="000000"/>
              </w:rPr>
              <w:t>19.4</w:t>
            </w:r>
          </w:p>
        </w:tc>
      </w:tr>
      <w:tr w:rsidR="001E0C58" w:rsidRPr="00D2654A" w14:paraId="335322C2" w14:textId="0E375DAF" w:rsidTr="00E05D3F">
        <w:trPr>
          <w:cnfStyle w:val="000000100000" w:firstRow="0" w:lastRow="0" w:firstColumn="0" w:lastColumn="0" w:oddVBand="0" w:evenVBand="0" w:oddHBand="1" w:evenHBand="0" w:firstRowFirstColumn="0" w:firstRowLastColumn="0" w:lastRowFirstColumn="0" w:lastRowLastColumn="0"/>
          <w:trHeight w:val="18"/>
          <w:jc w:val="center"/>
        </w:trPr>
        <w:tc>
          <w:tcPr>
            <w:tcW w:w="0" w:type="dxa"/>
            <w:tcBorders>
              <w:top w:val="single" w:sz="12" w:space="0" w:color="auto"/>
              <w:bottom w:val="single" w:sz="12" w:space="0" w:color="auto"/>
            </w:tcBorders>
            <w:vAlign w:val="center"/>
          </w:tcPr>
          <w:p w14:paraId="6BD3CD90" w14:textId="4A496981" w:rsidR="001E0C58" w:rsidRPr="00F62587" w:rsidRDefault="001E0C58" w:rsidP="001E0C58">
            <w:pPr>
              <w:spacing w:line="360" w:lineRule="auto"/>
              <w:jc w:val="center"/>
              <w:rPr>
                <w:rFonts w:eastAsia="Times New Roman"/>
                <w:b/>
                <w:bCs/>
                <w:kern w:val="24"/>
                <w:lang w:eastAsia="en-GB"/>
              </w:rPr>
            </w:pPr>
            <w:r w:rsidRPr="00F62587">
              <w:rPr>
                <w:rFonts w:eastAsia="Times New Roman"/>
                <w:b/>
                <w:bCs/>
                <w:kern w:val="24"/>
                <w:lang w:eastAsia="en-GB"/>
              </w:rPr>
              <w:t>12% FBS</w:t>
            </w:r>
          </w:p>
        </w:tc>
        <w:tc>
          <w:tcPr>
            <w:tcW w:w="0" w:type="auto"/>
            <w:tcBorders>
              <w:top w:val="single" w:sz="12" w:space="0" w:color="auto"/>
              <w:bottom w:val="single" w:sz="12" w:space="0" w:color="auto"/>
            </w:tcBorders>
            <w:vAlign w:val="center"/>
          </w:tcPr>
          <w:p w14:paraId="37820D71" w14:textId="3239A810" w:rsidR="001E0C58" w:rsidRDefault="001E0C58" w:rsidP="001E0C58">
            <w:pPr>
              <w:spacing w:line="360" w:lineRule="auto"/>
              <w:jc w:val="center"/>
              <w:rPr>
                <w:rFonts w:eastAsia="Times New Roman"/>
                <w:kern w:val="24"/>
                <w:lang w:eastAsia="en-GB"/>
              </w:rPr>
            </w:pPr>
            <w:r>
              <w:rPr>
                <w:rFonts w:eastAsia="Times New Roman"/>
                <w:kern w:val="24"/>
                <w:lang w:eastAsia="en-GB"/>
              </w:rPr>
              <w:t>2287</w:t>
            </w:r>
          </w:p>
        </w:tc>
        <w:tc>
          <w:tcPr>
            <w:tcW w:w="0" w:type="auto"/>
            <w:tcBorders>
              <w:top w:val="single" w:sz="12" w:space="0" w:color="auto"/>
              <w:bottom w:val="single" w:sz="12" w:space="0" w:color="auto"/>
            </w:tcBorders>
            <w:vAlign w:val="bottom"/>
          </w:tcPr>
          <w:p w14:paraId="134A72E8" w14:textId="0BEC5AC5" w:rsidR="001E0C58" w:rsidRDefault="001E0C58" w:rsidP="001E0C58">
            <w:pPr>
              <w:spacing w:line="360" w:lineRule="auto"/>
              <w:jc w:val="center"/>
              <w:rPr>
                <w:rFonts w:eastAsia="Times New Roman"/>
                <w:kern w:val="24"/>
                <w:lang w:eastAsia="en-GB"/>
              </w:rPr>
            </w:pPr>
            <w:r>
              <w:rPr>
                <w:rFonts w:ascii="Calibri" w:hAnsi="Calibri" w:cs="Calibri"/>
                <w:color w:val="000000"/>
              </w:rPr>
              <w:t>64418.4</w:t>
            </w:r>
          </w:p>
        </w:tc>
        <w:tc>
          <w:tcPr>
            <w:tcW w:w="0" w:type="auto"/>
            <w:tcBorders>
              <w:top w:val="single" w:sz="12" w:space="0" w:color="auto"/>
              <w:bottom w:val="single" w:sz="12" w:space="0" w:color="auto"/>
            </w:tcBorders>
            <w:vAlign w:val="bottom"/>
          </w:tcPr>
          <w:p w14:paraId="2A26F35E" w14:textId="0562FFBA" w:rsidR="001E0C58" w:rsidRDefault="001E0C58" w:rsidP="001E0C58">
            <w:pPr>
              <w:spacing w:line="360" w:lineRule="auto"/>
              <w:jc w:val="center"/>
              <w:rPr>
                <w:rFonts w:eastAsia="Times New Roman"/>
                <w:kern w:val="24"/>
                <w:lang w:eastAsia="en-GB"/>
              </w:rPr>
            </w:pPr>
            <w:r>
              <w:rPr>
                <w:rFonts w:ascii="Calibri" w:hAnsi="Calibri" w:cs="Calibri"/>
                <w:color w:val="000000"/>
              </w:rPr>
              <w:t>3.6</w:t>
            </w:r>
          </w:p>
        </w:tc>
        <w:tc>
          <w:tcPr>
            <w:tcW w:w="0" w:type="auto"/>
            <w:tcBorders>
              <w:top w:val="single" w:sz="12" w:space="0" w:color="auto"/>
              <w:bottom w:val="single" w:sz="12" w:space="0" w:color="auto"/>
            </w:tcBorders>
            <w:vAlign w:val="bottom"/>
          </w:tcPr>
          <w:p w14:paraId="0F674B2D" w14:textId="10FC6B1D" w:rsidR="001E0C58" w:rsidRDefault="001E0C58" w:rsidP="001E0C58">
            <w:pPr>
              <w:spacing w:line="360" w:lineRule="auto"/>
              <w:jc w:val="center"/>
              <w:rPr>
                <w:rFonts w:eastAsia="Times New Roman"/>
                <w:kern w:val="24"/>
                <w:lang w:eastAsia="en-GB"/>
              </w:rPr>
            </w:pPr>
            <w:r>
              <w:rPr>
                <w:rFonts w:ascii="Calibri" w:hAnsi="Calibri" w:cs="Calibri"/>
                <w:color w:val="000000"/>
              </w:rPr>
              <w:t>10691.9</w:t>
            </w:r>
          </w:p>
        </w:tc>
        <w:tc>
          <w:tcPr>
            <w:tcW w:w="0" w:type="auto"/>
            <w:tcBorders>
              <w:top w:val="single" w:sz="12" w:space="0" w:color="auto"/>
              <w:bottom w:val="single" w:sz="12" w:space="0" w:color="auto"/>
            </w:tcBorders>
            <w:vAlign w:val="bottom"/>
          </w:tcPr>
          <w:p w14:paraId="7D11AE8E" w14:textId="390DC947" w:rsidR="001E0C58" w:rsidRDefault="001E0C58" w:rsidP="001E0C58">
            <w:pPr>
              <w:spacing w:line="360" w:lineRule="auto"/>
              <w:jc w:val="center"/>
              <w:rPr>
                <w:rFonts w:eastAsia="Times New Roman"/>
                <w:kern w:val="24"/>
                <w:lang w:eastAsia="en-GB"/>
              </w:rPr>
            </w:pPr>
            <w:r>
              <w:rPr>
                <w:rFonts w:ascii="Calibri" w:hAnsi="Calibri" w:cs="Calibri"/>
                <w:color w:val="000000"/>
              </w:rPr>
              <w:t>16.6</w:t>
            </w:r>
          </w:p>
        </w:tc>
      </w:tr>
      <w:tr w:rsidR="001E0C58" w:rsidRPr="00D2654A" w14:paraId="4433BDDA" w14:textId="7CAD5D51" w:rsidTr="00E05D3F">
        <w:trPr>
          <w:trHeight w:val="18"/>
          <w:jc w:val="center"/>
        </w:trPr>
        <w:tc>
          <w:tcPr>
            <w:tcW w:w="0" w:type="dxa"/>
            <w:tcBorders>
              <w:top w:val="single" w:sz="12" w:space="0" w:color="auto"/>
              <w:bottom w:val="single" w:sz="12" w:space="0" w:color="auto"/>
            </w:tcBorders>
            <w:vAlign w:val="center"/>
          </w:tcPr>
          <w:p w14:paraId="3EE3187D" w14:textId="370CD420" w:rsidR="001E0C58" w:rsidRPr="00F62587" w:rsidRDefault="001E0C58" w:rsidP="001E0C58">
            <w:pPr>
              <w:spacing w:line="360" w:lineRule="auto"/>
              <w:jc w:val="center"/>
              <w:rPr>
                <w:rFonts w:eastAsia="Times New Roman"/>
                <w:b/>
                <w:bCs/>
                <w:kern w:val="24"/>
                <w:lang w:eastAsia="en-GB"/>
              </w:rPr>
            </w:pPr>
            <w:r w:rsidRPr="00F62587">
              <w:rPr>
                <w:rFonts w:eastAsia="Times New Roman"/>
                <w:b/>
                <w:bCs/>
                <w:kern w:val="24"/>
                <w:lang w:eastAsia="en-GB"/>
              </w:rPr>
              <w:t>10% FBS</w:t>
            </w:r>
          </w:p>
        </w:tc>
        <w:tc>
          <w:tcPr>
            <w:tcW w:w="0" w:type="auto"/>
            <w:tcBorders>
              <w:top w:val="single" w:sz="12" w:space="0" w:color="auto"/>
              <w:bottom w:val="single" w:sz="12" w:space="0" w:color="auto"/>
            </w:tcBorders>
            <w:vAlign w:val="center"/>
          </w:tcPr>
          <w:p w14:paraId="292F4D40" w14:textId="3D3FF050" w:rsidR="001E0C58" w:rsidRDefault="001E0C58" w:rsidP="001E0C58">
            <w:pPr>
              <w:spacing w:line="360" w:lineRule="auto"/>
              <w:jc w:val="center"/>
              <w:rPr>
                <w:rFonts w:eastAsia="Times New Roman"/>
                <w:kern w:val="24"/>
                <w:lang w:eastAsia="en-GB"/>
              </w:rPr>
            </w:pPr>
            <w:r>
              <w:rPr>
                <w:rFonts w:eastAsia="Times New Roman"/>
                <w:kern w:val="24"/>
                <w:lang w:eastAsia="en-GB"/>
              </w:rPr>
              <w:t>1641</w:t>
            </w:r>
          </w:p>
        </w:tc>
        <w:tc>
          <w:tcPr>
            <w:tcW w:w="0" w:type="auto"/>
            <w:tcBorders>
              <w:top w:val="single" w:sz="12" w:space="0" w:color="auto"/>
              <w:bottom w:val="single" w:sz="12" w:space="0" w:color="auto"/>
            </w:tcBorders>
            <w:vAlign w:val="bottom"/>
          </w:tcPr>
          <w:p w14:paraId="16B361ED" w14:textId="41F93E7A" w:rsidR="001E0C58" w:rsidRDefault="001E0C58" w:rsidP="001E0C58">
            <w:pPr>
              <w:spacing w:line="360" w:lineRule="auto"/>
              <w:jc w:val="center"/>
              <w:rPr>
                <w:rFonts w:eastAsia="Times New Roman"/>
                <w:kern w:val="24"/>
                <w:lang w:eastAsia="en-GB"/>
              </w:rPr>
            </w:pPr>
            <w:r>
              <w:rPr>
                <w:rFonts w:ascii="Calibri" w:hAnsi="Calibri" w:cs="Calibri"/>
                <w:color w:val="000000"/>
              </w:rPr>
              <w:t>85137.6</w:t>
            </w:r>
          </w:p>
        </w:tc>
        <w:tc>
          <w:tcPr>
            <w:tcW w:w="0" w:type="auto"/>
            <w:tcBorders>
              <w:top w:val="single" w:sz="12" w:space="0" w:color="auto"/>
              <w:bottom w:val="single" w:sz="12" w:space="0" w:color="auto"/>
            </w:tcBorders>
            <w:vAlign w:val="bottom"/>
          </w:tcPr>
          <w:p w14:paraId="7AC0741F" w14:textId="11DE9D7C" w:rsidR="001E0C58" w:rsidRDefault="001E0C58" w:rsidP="001E0C58">
            <w:pPr>
              <w:spacing w:line="360" w:lineRule="auto"/>
              <w:jc w:val="center"/>
              <w:rPr>
                <w:rFonts w:eastAsia="Times New Roman"/>
                <w:kern w:val="24"/>
                <w:lang w:eastAsia="en-GB"/>
              </w:rPr>
            </w:pPr>
            <w:r>
              <w:rPr>
                <w:rFonts w:ascii="Calibri" w:hAnsi="Calibri" w:cs="Calibri"/>
                <w:color w:val="000000"/>
              </w:rPr>
              <w:t>1.9</w:t>
            </w:r>
          </w:p>
        </w:tc>
        <w:tc>
          <w:tcPr>
            <w:tcW w:w="0" w:type="auto"/>
            <w:tcBorders>
              <w:top w:val="single" w:sz="12" w:space="0" w:color="auto"/>
              <w:bottom w:val="single" w:sz="12" w:space="0" w:color="auto"/>
            </w:tcBorders>
            <w:vAlign w:val="bottom"/>
          </w:tcPr>
          <w:p w14:paraId="205DA5AD" w14:textId="3EA5F799" w:rsidR="001E0C58" w:rsidRDefault="001E0C58" w:rsidP="001E0C58">
            <w:pPr>
              <w:spacing w:line="360" w:lineRule="auto"/>
              <w:jc w:val="center"/>
              <w:rPr>
                <w:rFonts w:eastAsia="Times New Roman"/>
                <w:kern w:val="24"/>
                <w:lang w:eastAsia="en-GB"/>
              </w:rPr>
            </w:pPr>
            <w:r>
              <w:rPr>
                <w:rFonts w:ascii="Calibri" w:hAnsi="Calibri" w:cs="Calibri"/>
                <w:color w:val="000000"/>
              </w:rPr>
              <w:t>13799.9</w:t>
            </w:r>
          </w:p>
        </w:tc>
        <w:tc>
          <w:tcPr>
            <w:tcW w:w="0" w:type="auto"/>
            <w:tcBorders>
              <w:top w:val="single" w:sz="12" w:space="0" w:color="auto"/>
              <w:bottom w:val="single" w:sz="12" w:space="0" w:color="auto"/>
            </w:tcBorders>
            <w:vAlign w:val="bottom"/>
          </w:tcPr>
          <w:p w14:paraId="21E1DD32" w14:textId="60EF7811" w:rsidR="001E0C58" w:rsidRDefault="001E0C58" w:rsidP="001E0C58">
            <w:pPr>
              <w:spacing w:line="360" w:lineRule="auto"/>
              <w:jc w:val="center"/>
              <w:rPr>
                <w:rFonts w:eastAsia="Times New Roman"/>
                <w:kern w:val="24"/>
                <w:lang w:eastAsia="en-GB"/>
              </w:rPr>
            </w:pPr>
            <w:r>
              <w:rPr>
                <w:rFonts w:ascii="Calibri" w:hAnsi="Calibri" w:cs="Calibri"/>
                <w:color w:val="000000"/>
              </w:rPr>
              <w:t>16.2</w:t>
            </w:r>
          </w:p>
        </w:tc>
      </w:tr>
      <w:tr w:rsidR="001E0C58" w:rsidRPr="00D2654A" w14:paraId="0DB4D101" w14:textId="5C0582DD" w:rsidTr="00E05D3F">
        <w:trPr>
          <w:cnfStyle w:val="000000100000" w:firstRow="0" w:lastRow="0" w:firstColumn="0" w:lastColumn="0" w:oddVBand="0" w:evenVBand="0" w:oddHBand="1" w:evenHBand="0" w:firstRowFirstColumn="0" w:firstRowLastColumn="0" w:lastRowFirstColumn="0" w:lastRowLastColumn="0"/>
          <w:trHeight w:val="18"/>
          <w:jc w:val="center"/>
        </w:trPr>
        <w:tc>
          <w:tcPr>
            <w:tcW w:w="0" w:type="dxa"/>
            <w:tcBorders>
              <w:top w:val="single" w:sz="12" w:space="0" w:color="auto"/>
              <w:bottom w:val="single" w:sz="12" w:space="0" w:color="auto"/>
            </w:tcBorders>
            <w:vAlign w:val="center"/>
          </w:tcPr>
          <w:p w14:paraId="593B398B" w14:textId="0AD54761" w:rsidR="001E0C58" w:rsidRPr="00F62587" w:rsidRDefault="001E0C58" w:rsidP="001E0C58">
            <w:pPr>
              <w:spacing w:line="360" w:lineRule="auto"/>
              <w:jc w:val="center"/>
              <w:rPr>
                <w:rFonts w:eastAsia="Times New Roman"/>
                <w:b/>
                <w:bCs/>
                <w:kern w:val="24"/>
                <w:lang w:eastAsia="en-GB"/>
              </w:rPr>
            </w:pPr>
            <w:r w:rsidRPr="00F62587">
              <w:rPr>
                <w:rFonts w:eastAsia="Times New Roman"/>
                <w:b/>
                <w:bCs/>
                <w:kern w:val="24"/>
                <w:lang w:eastAsia="en-GB"/>
              </w:rPr>
              <w:t>5% FBS</w:t>
            </w:r>
          </w:p>
        </w:tc>
        <w:tc>
          <w:tcPr>
            <w:tcW w:w="0" w:type="auto"/>
            <w:tcBorders>
              <w:top w:val="single" w:sz="12" w:space="0" w:color="auto"/>
              <w:bottom w:val="single" w:sz="12" w:space="0" w:color="auto"/>
            </w:tcBorders>
            <w:vAlign w:val="center"/>
          </w:tcPr>
          <w:p w14:paraId="501B76D1" w14:textId="37C634E3" w:rsidR="001E0C58" w:rsidRDefault="001E0C58" w:rsidP="001E0C58">
            <w:pPr>
              <w:spacing w:line="360" w:lineRule="auto"/>
              <w:jc w:val="center"/>
              <w:rPr>
                <w:rFonts w:eastAsia="Times New Roman"/>
                <w:kern w:val="24"/>
                <w:lang w:eastAsia="en-GB"/>
              </w:rPr>
            </w:pPr>
            <w:r>
              <w:rPr>
                <w:rFonts w:eastAsia="Times New Roman"/>
                <w:kern w:val="24"/>
                <w:lang w:eastAsia="en-GB"/>
              </w:rPr>
              <w:t>4869</w:t>
            </w:r>
          </w:p>
        </w:tc>
        <w:tc>
          <w:tcPr>
            <w:tcW w:w="0" w:type="auto"/>
            <w:tcBorders>
              <w:top w:val="single" w:sz="12" w:space="0" w:color="auto"/>
              <w:bottom w:val="single" w:sz="12" w:space="0" w:color="auto"/>
            </w:tcBorders>
            <w:vAlign w:val="bottom"/>
          </w:tcPr>
          <w:p w14:paraId="48AA0A4A" w14:textId="244C6109" w:rsidR="001E0C58" w:rsidRDefault="001E0C58" w:rsidP="001E0C58">
            <w:pPr>
              <w:spacing w:line="360" w:lineRule="auto"/>
              <w:jc w:val="center"/>
              <w:rPr>
                <w:rFonts w:eastAsia="Times New Roman"/>
                <w:kern w:val="24"/>
                <w:lang w:eastAsia="en-GB"/>
              </w:rPr>
            </w:pPr>
            <w:r>
              <w:rPr>
                <w:rFonts w:ascii="Calibri" w:hAnsi="Calibri" w:cs="Calibri"/>
                <w:color w:val="000000"/>
              </w:rPr>
              <w:t>102319.1</w:t>
            </w:r>
          </w:p>
        </w:tc>
        <w:tc>
          <w:tcPr>
            <w:tcW w:w="0" w:type="auto"/>
            <w:tcBorders>
              <w:top w:val="single" w:sz="12" w:space="0" w:color="auto"/>
              <w:bottom w:val="single" w:sz="12" w:space="0" w:color="auto"/>
            </w:tcBorders>
            <w:vAlign w:val="bottom"/>
          </w:tcPr>
          <w:p w14:paraId="3E5994F8" w14:textId="21335895" w:rsidR="001E0C58" w:rsidRDefault="001E0C58" w:rsidP="001E0C58">
            <w:pPr>
              <w:spacing w:line="360" w:lineRule="auto"/>
              <w:jc w:val="center"/>
              <w:rPr>
                <w:rFonts w:eastAsia="Times New Roman"/>
                <w:kern w:val="24"/>
                <w:lang w:eastAsia="en-GB"/>
              </w:rPr>
            </w:pPr>
            <w:r>
              <w:rPr>
                <w:rFonts w:ascii="Calibri" w:hAnsi="Calibri" w:cs="Calibri"/>
                <w:color w:val="000000"/>
              </w:rPr>
              <w:t>4.8</w:t>
            </w:r>
          </w:p>
        </w:tc>
        <w:tc>
          <w:tcPr>
            <w:tcW w:w="0" w:type="auto"/>
            <w:tcBorders>
              <w:top w:val="single" w:sz="12" w:space="0" w:color="auto"/>
              <w:bottom w:val="single" w:sz="12" w:space="0" w:color="auto"/>
            </w:tcBorders>
            <w:vAlign w:val="bottom"/>
          </w:tcPr>
          <w:p w14:paraId="1C3FFDC3" w14:textId="00188E0A" w:rsidR="001E0C58" w:rsidRDefault="001E0C58" w:rsidP="001E0C58">
            <w:pPr>
              <w:spacing w:line="360" w:lineRule="auto"/>
              <w:jc w:val="center"/>
              <w:rPr>
                <w:rFonts w:eastAsia="Times New Roman"/>
                <w:kern w:val="24"/>
                <w:lang w:eastAsia="en-GB"/>
              </w:rPr>
            </w:pPr>
            <w:r>
              <w:rPr>
                <w:rFonts w:ascii="Calibri" w:hAnsi="Calibri" w:cs="Calibri"/>
                <w:color w:val="000000"/>
              </w:rPr>
              <w:t>16354</w:t>
            </w:r>
          </w:p>
        </w:tc>
        <w:tc>
          <w:tcPr>
            <w:tcW w:w="0" w:type="auto"/>
            <w:tcBorders>
              <w:top w:val="single" w:sz="12" w:space="0" w:color="auto"/>
              <w:bottom w:val="single" w:sz="12" w:space="0" w:color="auto"/>
            </w:tcBorders>
            <w:vAlign w:val="bottom"/>
          </w:tcPr>
          <w:p w14:paraId="5A7A4754" w14:textId="5DDE04C2" w:rsidR="001E0C58" w:rsidRDefault="001E0C58" w:rsidP="001E0C58">
            <w:pPr>
              <w:spacing w:line="360" w:lineRule="auto"/>
              <w:jc w:val="center"/>
              <w:rPr>
                <w:rFonts w:eastAsia="Times New Roman"/>
                <w:kern w:val="24"/>
                <w:lang w:eastAsia="en-GB"/>
              </w:rPr>
            </w:pPr>
            <w:r>
              <w:rPr>
                <w:rFonts w:ascii="Calibri" w:hAnsi="Calibri" w:cs="Calibri"/>
                <w:color w:val="000000"/>
              </w:rPr>
              <w:t>16.0</w:t>
            </w:r>
          </w:p>
        </w:tc>
      </w:tr>
      <w:tr w:rsidR="001E0C58" w:rsidRPr="00D2654A" w14:paraId="60AEE214" w14:textId="0775DF9D" w:rsidTr="00E05D3F">
        <w:trPr>
          <w:trHeight w:val="18"/>
          <w:jc w:val="center"/>
        </w:trPr>
        <w:tc>
          <w:tcPr>
            <w:tcW w:w="0" w:type="dxa"/>
            <w:tcBorders>
              <w:top w:val="single" w:sz="12" w:space="0" w:color="auto"/>
              <w:bottom w:val="single" w:sz="12" w:space="0" w:color="auto"/>
            </w:tcBorders>
            <w:vAlign w:val="center"/>
          </w:tcPr>
          <w:p w14:paraId="78E104B9" w14:textId="11374806" w:rsidR="001E0C58" w:rsidRPr="00F62587" w:rsidRDefault="001E0C58" w:rsidP="001E0C58">
            <w:pPr>
              <w:spacing w:line="360" w:lineRule="auto"/>
              <w:jc w:val="center"/>
              <w:rPr>
                <w:rFonts w:eastAsia="Times New Roman"/>
                <w:b/>
                <w:bCs/>
                <w:kern w:val="24"/>
                <w:lang w:eastAsia="en-GB"/>
              </w:rPr>
            </w:pPr>
            <w:r w:rsidRPr="00F62587">
              <w:rPr>
                <w:rFonts w:eastAsia="Times New Roman"/>
                <w:b/>
                <w:bCs/>
                <w:kern w:val="24"/>
                <w:lang w:eastAsia="en-GB"/>
              </w:rPr>
              <w:t>2% FBS</w:t>
            </w:r>
          </w:p>
        </w:tc>
        <w:tc>
          <w:tcPr>
            <w:tcW w:w="0" w:type="auto"/>
            <w:tcBorders>
              <w:top w:val="single" w:sz="12" w:space="0" w:color="auto"/>
              <w:bottom w:val="single" w:sz="12" w:space="0" w:color="auto"/>
            </w:tcBorders>
            <w:vAlign w:val="center"/>
          </w:tcPr>
          <w:p w14:paraId="6B7F31AE" w14:textId="74C61B49" w:rsidR="001E0C58" w:rsidRDefault="001E0C58" w:rsidP="001E0C58">
            <w:pPr>
              <w:spacing w:line="360" w:lineRule="auto"/>
              <w:jc w:val="center"/>
              <w:rPr>
                <w:rFonts w:eastAsia="Times New Roman"/>
                <w:kern w:val="24"/>
                <w:lang w:eastAsia="en-GB"/>
              </w:rPr>
            </w:pPr>
            <w:r>
              <w:rPr>
                <w:rFonts w:eastAsia="Times New Roman"/>
                <w:kern w:val="24"/>
                <w:lang w:eastAsia="en-GB"/>
              </w:rPr>
              <w:t>6571</w:t>
            </w:r>
          </w:p>
        </w:tc>
        <w:tc>
          <w:tcPr>
            <w:tcW w:w="0" w:type="auto"/>
            <w:tcBorders>
              <w:top w:val="single" w:sz="12" w:space="0" w:color="auto"/>
              <w:bottom w:val="single" w:sz="12" w:space="0" w:color="auto"/>
            </w:tcBorders>
            <w:vAlign w:val="bottom"/>
          </w:tcPr>
          <w:p w14:paraId="09A1BF73" w14:textId="49DA1C74" w:rsidR="001E0C58" w:rsidRDefault="001E0C58" w:rsidP="001E0C58">
            <w:pPr>
              <w:spacing w:line="360" w:lineRule="auto"/>
              <w:jc w:val="center"/>
              <w:rPr>
                <w:rFonts w:eastAsia="Times New Roman"/>
                <w:kern w:val="24"/>
                <w:lang w:eastAsia="en-GB"/>
              </w:rPr>
            </w:pPr>
            <w:r>
              <w:rPr>
                <w:rFonts w:ascii="Calibri" w:hAnsi="Calibri" w:cs="Calibri"/>
                <w:color w:val="000000"/>
              </w:rPr>
              <w:t>104790.3</w:t>
            </w:r>
          </w:p>
        </w:tc>
        <w:tc>
          <w:tcPr>
            <w:tcW w:w="0" w:type="auto"/>
            <w:tcBorders>
              <w:top w:val="single" w:sz="12" w:space="0" w:color="auto"/>
              <w:bottom w:val="single" w:sz="12" w:space="0" w:color="auto"/>
            </w:tcBorders>
            <w:vAlign w:val="bottom"/>
          </w:tcPr>
          <w:p w14:paraId="1D3A4D29" w14:textId="4F825D30" w:rsidR="001E0C58" w:rsidRDefault="001E0C58" w:rsidP="001E0C58">
            <w:pPr>
              <w:spacing w:line="360" w:lineRule="auto"/>
              <w:jc w:val="center"/>
              <w:rPr>
                <w:rFonts w:eastAsia="Times New Roman"/>
                <w:kern w:val="24"/>
                <w:lang w:eastAsia="en-GB"/>
              </w:rPr>
            </w:pPr>
            <w:r>
              <w:rPr>
                <w:rFonts w:ascii="Calibri" w:hAnsi="Calibri" w:cs="Calibri"/>
                <w:color w:val="000000"/>
              </w:rPr>
              <w:t>6.3</w:t>
            </w:r>
          </w:p>
        </w:tc>
        <w:tc>
          <w:tcPr>
            <w:tcW w:w="0" w:type="auto"/>
            <w:tcBorders>
              <w:top w:val="single" w:sz="12" w:space="0" w:color="auto"/>
              <w:bottom w:val="single" w:sz="12" w:space="0" w:color="auto"/>
            </w:tcBorders>
            <w:vAlign w:val="bottom"/>
          </w:tcPr>
          <w:p w14:paraId="7C6C0288" w14:textId="490DC6DC" w:rsidR="001E0C58" w:rsidRDefault="001E0C58" w:rsidP="001E0C58">
            <w:pPr>
              <w:spacing w:line="360" w:lineRule="auto"/>
              <w:jc w:val="center"/>
              <w:rPr>
                <w:rFonts w:eastAsia="Times New Roman"/>
                <w:kern w:val="24"/>
                <w:lang w:eastAsia="en-GB"/>
              </w:rPr>
            </w:pPr>
            <w:r>
              <w:rPr>
                <w:rFonts w:ascii="Calibri" w:hAnsi="Calibri" w:cs="Calibri"/>
                <w:color w:val="000000"/>
              </w:rPr>
              <w:t>18519.7</w:t>
            </w:r>
          </w:p>
        </w:tc>
        <w:tc>
          <w:tcPr>
            <w:tcW w:w="0" w:type="auto"/>
            <w:tcBorders>
              <w:top w:val="single" w:sz="12" w:space="0" w:color="auto"/>
              <w:bottom w:val="single" w:sz="12" w:space="0" w:color="auto"/>
            </w:tcBorders>
            <w:vAlign w:val="bottom"/>
          </w:tcPr>
          <w:p w14:paraId="5010303F" w14:textId="2969657D" w:rsidR="001E0C58" w:rsidRDefault="001E0C58" w:rsidP="001E0C58">
            <w:pPr>
              <w:spacing w:line="360" w:lineRule="auto"/>
              <w:jc w:val="center"/>
              <w:rPr>
                <w:rFonts w:eastAsia="Times New Roman"/>
                <w:kern w:val="24"/>
                <w:lang w:eastAsia="en-GB"/>
              </w:rPr>
            </w:pPr>
            <w:r>
              <w:rPr>
                <w:rFonts w:ascii="Calibri" w:hAnsi="Calibri" w:cs="Calibri"/>
                <w:color w:val="000000"/>
              </w:rPr>
              <w:t>17.7</w:t>
            </w:r>
          </w:p>
        </w:tc>
      </w:tr>
      <w:bookmarkEnd w:id="5"/>
    </w:tbl>
    <w:p w14:paraId="53B38781" w14:textId="77777777" w:rsidR="00105E4A" w:rsidRDefault="00F62587">
      <w:pPr>
        <w:sectPr w:rsidR="00105E4A" w:rsidSect="001750E8">
          <w:pgSz w:w="12240" w:h="15840"/>
          <w:pgMar w:top="1440" w:right="1440" w:bottom="1440" w:left="1440" w:header="720" w:footer="720" w:gutter="0"/>
          <w:cols w:space="720"/>
          <w:docGrid w:linePitch="360"/>
        </w:sectPr>
      </w:pPr>
      <w:r>
        <w:br w:type="page"/>
      </w:r>
    </w:p>
    <w:p w14:paraId="6AAFFD21" w14:textId="435C66C6" w:rsidR="00F62587" w:rsidRDefault="00D1256D">
      <w:r w:rsidRPr="00D1256D">
        <w:rPr>
          <w:b/>
          <w:bCs/>
          <w:lang w:val="en-GB"/>
        </w:rPr>
        <w:lastRenderedPageBreak/>
        <w:t>Table 3</w:t>
      </w:r>
      <w:r>
        <w:rPr>
          <w:lang w:val="en-GB"/>
        </w:rPr>
        <w:t xml:space="preserve"> shows the validation </w:t>
      </w:r>
      <w:r w:rsidR="000142EC">
        <w:rPr>
          <w:lang w:val="en-GB"/>
        </w:rPr>
        <w:t>of TIZ extracted from mouse plasma</w:t>
      </w:r>
      <w:r>
        <w:rPr>
          <w:lang w:val="en-GB"/>
        </w:rPr>
        <w:t xml:space="preserve">. The data shows the average quantitated sample at 3 levels, the % deviation in accuracy and the % deviation in precision. Acceptance criteria is variation no more than 15%, excluding the lower concentration </w:t>
      </w:r>
      <w:r w:rsidR="00B356CF">
        <w:rPr>
          <w:lang w:val="en-GB"/>
        </w:rPr>
        <w:t>where</w:t>
      </w:r>
      <w:r>
        <w:rPr>
          <w:lang w:val="en-GB"/>
        </w:rPr>
        <w:t xml:space="preserve"> deviation may be no more than 20%.</w:t>
      </w:r>
    </w:p>
    <w:tbl>
      <w:tblPr>
        <w:tblStyle w:val="PlainTable2"/>
        <w:tblW w:w="5169" w:type="pct"/>
        <w:tblBorders>
          <w:top w:val="none" w:sz="0" w:space="0" w:color="auto"/>
          <w:bottom w:val="none" w:sz="0" w:space="0" w:color="auto"/>
        </w:tblBorders>
        <w:tblLook w:val="0420" w:firstRow="1" w:lastRow="0" w:firstColumn="0" w:lastColumn="0" w:noHBand="0" w:noVBand="1"/>
      </w:tblPr>
      <w:tblGrid>
        <w:gridCol w:w="2141"/>
        <w:gridCol w:w="1964"/>
        <w:gridCol w:w="1436"/>
        <w:gridCol w:w="1589"/>
        <w:gridCol w:w="1624"/>
        <w:gridCol w:w="1439"/>
        <w:gridCol w:w="1592"/>
        <w:gridCol w:w="1613"/>
      </w:tblGrid>
      <w:tr w:rsidR="00AC15BC" w:rsidRPr="00D2654A" w14:paraId="5F034DCA" w14:textId="77777777" w:rsidTr="00F62587">
        <w:trPr>
          <w:cnfStyle w:val="100000000000" w:firstRow="1" w:lastRow="0" w:firstColumn="0" w:lastColumn="0" w:oddVBand="0" w:evenVBand="0" w:oddHBand="0" w:evenHBand="0" w:firstRowFirstColumn="0" w:firstRowLastColumn="0" w:lastRowFirstColumn="0" w:lastRowLastColumn="0"/>
          <w:trHeight w:val="252"/>
        </w:trPr>
        <w:tc>
          <w:tcPr>
            <w:tcW w:w="799" w:type="pct"/>
            <w:vMerge w:val="restart"/>
            <w:tcBorders>
              <w:top w:val="single" w:sz="12" w:space="0" w:color="auto"/>
              <w:bottom w:val="none" w:sz="0" w:space="0" w:color="auto"/>
            </w:tcBorders>
            <w:vAlign w:val="center"/>
            <w:hideMark/>
          </w:tcPr>
          <w:p w14:paraId="24B32F76" w14:textId="4733AED7" w:rsidR="00AC15BC" w:rsidRPr="00D2654A" w:rsidRDefault="00AC15BC" w:rsidP="002029C0">
            <w:pPr>
              <w:spacing w:after="160"/>
              <w:jc w:val="center"/>
            </w:pPr>
            <w:r>
              <w:rPr>
                <w:b w:val="0"/>
                <w:bCs w:val="0"/>
              </w:rPr>
              <w:br w:type="page"/>
            </w:r>
          </w:p>
        </w:tc>
        <w:tc>
          <w:tcPr>
            <w:tcW w:w="733" w:type="pct"/>
            <w:vMerge w:val="restart"/>
            <w:tcBorders>
              <w:top w:val="single" w:sz="12" w:space="0" w:color="auto"/>
              <w:bottom w:val="none" w:sz="0" w:space="0" w:color="auto"/>
            </w:tcBorders>
            <w:vAlign w:val="center"/>
            <w:hideMark/>
          </w:tcPr>
          <w:p w14:paraId="09309052" w14:textId="77777777" w:rsidR="00AC15BC" w:rsidRPr="00D2654A" w:rsidRDefault="00AC15BC" w:rsidP="002029C0">
            <w:pPr>
              <w:spacing w:after="160"/>
              <w:jc w:val="center"/>
            </w:pPr>
          </w:p>
        </w:tc>
        <w:tc>
          <w:tcPr>
            <w:tcW w:w="536" w:type="pct"/>
            <w:vMerge w:val="restart"/>
            <w:tcBorders>
              <w:top w:val="single" w:sz="12" w:space="0" w:color="auto"/>
              <w:bottom w:val="none" w:sz="0" w:space="0" w:color="auto"/>
            </w:tcBorders>
            <w:vAlign w:val="center"/>
            <w:hideMark/>
          </w:tcPr>
          <w:p w14:paraId="271D5416" w14:textId="77777777" w:rsidR="00AC15BC" w:rsidRPr="002029C0" w:rsidRDefault="00AC15BC" w:rsidP="002029C0">
            <w:pPr>
              <w:spacing w:after="160"/>
              <w:jc w:val="center"/>
              <w:rPr>
                <w:b w:val="0"/>
                <w:bCs w:val="0"/>
              </w:rPr>
            </w:pPr>
            <w:r w:rsidRPr="002029C0">
              <w:rPr>
                <w:b w:val="0"/>
                <w:bCs w:val="0"/>
              </w:rPr>
              <w:t>Average ± SD (ng/mL)</w:t>
            </w:r>
          </w:p>
        </w:tc>
        <w:tc>
          <w:tcPr>
            <w:tcW w:w="1199" w:type="pct"/>
            <w:gridSpan w:val="2"/>
            <w:tcBorders>
              <w:top w:val="single" w:sz="12" w:space="0" w:color="auto"/>
              <w:bottom w:val="none" w:sz="0" w:space="0" w:color="auto"/>
            </w:tcBorders>
            <w:vAlign w:val="center"/>
            <w:hideMark/>
          </w:tcPr>
          <w:p w14:paraId="2B2F8F9C" w14:textId="77777777" w:rsidR="00AC15BC" w:rsidRPr="00D2654A" w:rsidRDefault="00AC15BC" w:rsidP="002029C0">
            <w:pPr>
              <w:spacing w:after="160"/>
              <w:jc w:val="center"/>
            </w:pPr>
            <w:r w:rsidRPr="00D2654A">
              <w:t>Intra-day</w:t>
            </w:r>
          </w:p>
        </w:tc>
        <w:tc>
          <w:tcPr>
            <w:tcW w:w="537" w:type="pct"/>
            <w:vMerge w:val="restart"/>
            <w:tcBorders>
              <w:top w:val="single" w:sz="12" w:space="0" w:color="auto"/>
              <w:bottom w:val="none" w:sz="0" w:space="0" w:color="auto"/>
            </w:tcBorders>
            <w:vAlign w:val="center"/>
            <w:hideMark/>
          </w:tcPr>
          <w:p w14:paraId="5AA50F50" w14:textId="77777777" w:rsidR="00AC15BC" w:rsidRPr="002029C0" w:rsidRDefault="00AC15BC" w:rsidP="002029C0">
            <w:pPr>
              <w:spacing w:after="160"/>
              <w:jc w:val="center"/>
              <w:rPr>
                <w:b w:val="0"/>
                <w:bCs w:val="0"/>
              </w:rPr>
            </w:pPr>
            <w:r w:rsidRPr="002029C0">
              <w:rPr>
                <w:b w:val="0"/>
                <w:bCs w:val="0"/>
              </w:rPr>
              <w:t>Average ± SD (ng/mL)</w:t>
            </w:r>
          </w:p>
        </w:tc>
        <w:tc>
          <w:tcPr>
            <w:tcW w:w="1196" w:type="pct"/>
            <w:gridSpan w:val="2"/>
            <w:tcBorders>
              <w:top w:val="single" w:sz="12" w:space="0" w:color="auto"/>
              <w:bottom w:val="none" w:sz="0" w:space="0" w:color="auto"/>
            </w:tcBorders>
            <w:vAlign w:val="center"/>
            <w:hideMark/>
          </w:tcPr>
          <w:p w14:paraId="09496062" w14:textId="77777777" w:rsidR="00AC15BC" w:rsidRPr="00D2654A" w:rsidRDefault="00AC15BC" w:rsidP="002029C0">
            <w:pPr>
              <w:spacing w:after="160"/>
              <w:jc w:val="center"/>
            </w:pPr>
            <w:r w:rsidRPr="00D2654A">
              <w:t>Inter-day</w:t>
            </w:r>
          </w:p>
        </w:tc>
      </w:tr>
      <w:tr w:rsidR="00AC15BC" w:rsidRPr="00D2654A" w14:paraId="6D9E29DB" w14:textId="77777777" w:rsidTr="00F62587">
        <w:trPr>
          <w:cnfStyle w:val="000000100000" w:firstRow="0" w:lastRow="0" w:firstColumn="0" w:lastColumn="0" w:oddVBand="0" w:evenVBand="0" w:oddHBand="1" w:evenHBand="0" w:firstRowFirstColumn="0" w:firstRowLastColumn="0" w:lastRowFirstColumn="0" w:lastRowLastColumn="0"/>
          <w:trHeight w:val="1171"/>
        </w:trPr>
        <w:tc>
          <w:tcPr>
            <w:tcW w:w="799" w:type="pct"/>
            <w:vMerge/>
            <w:tcBorders>
              <w:top w:val="none" w:sz="0" w:space="0" w:color="auto"/>
              <w:bottom w:val="single" w:sz="12" w:space="0" w:color="auto"/>
            </w:tcBorders>
            <w:vAlign w:val="center"/>
            <w:hideMark/>
          </w:tcPr>
          <w:p w14:paraId="1CCC3572" w14:textId="77777777" w:rsidR="00AC15BC" w:rsidRPr="00D2654A" w:rsidRDefault="00AC15BC" w:rsidP="002029C0">
            <w:pPr>
              <w:spacing w:after="160"/>
              <w:jc w:val="center"/>
            </w:pPr>
          </w:p>
        </w:tc>
        <w:tc>
          <w:tcPr>
            <w:tcW w:w="733" w:type="pct"/>
            <w:vMerge/>
            <w:tcBorders>
              <w:top w:val="none" w:sz="0" w:space="0" w:color="auto"/>
              <w:bottom w:val="single" w:sz="12" w:space="0" w:color="auto"/>
            </w:tcBorders>
            <w:vAlign w:val="center"/>
            <w:hideMark/>
          </w:tcPr>
          <w:p w14:paraId="612B21F1" w14:textId="77777777" w:rsidR="00AC15BC" w:rsidRPr="00D2654A" w:rsidRDefault="00AC15BC" w:rsidP="002029C0">
            <w:pPr>
              <w:spacing w:after="160"/>
              <w:jc w:val="center"/>
            </w:pPr>
          </w:p>
        </w:tc>
        <w:tc>
          <w:tcPr>
            <w:tcW w:w="536" w:type="pct"/>
            <w:vMerge/>
            <w:tcBorders>
              <w:top w:val="none" w:sz="0" w:space="0" w:color="auto"/>
              <w:bottom w:val="single" w:sz="12" w:space="0" w:color="auto"/>
            </w:tcBorders>
            <w:vAlign w:val="center"/>
            <w:hideMark/>
          </w:tcPr>
          <w:p w14:paraId="4EC1F7FC" w14:textId="77777777" w:rsidR="00AC15BC" w:rsidRPr="00D2654A" w:rsidRDefault="00AC15BC" w:rsidP="002029C0">
            <w:pPr>
              <w:spacing w:after="160"/>
              <w:jc w:val="center"/>
            </w:pPr>
          </w:p>
        </w:tc>
        <w:tc>
          <w:tcPr>
            <w:tcW w:w="593" w:type="pct"/>
            <w:tcBorders>
              <w:top w:val="none" w:sz="0" w:space="0" w:color="auto"/>
              <w:bottom w:val="single" w:sz="12" w:space="0" w:color="auto"/>
            </w:tcBorders>
            <w:vAlign w:val="center"/>
            <w:hideMark/>
          </w:tcPr>
          <w:p w14:paraId="02536BCC" w14:textId="77777777" w:rsidR="00AC15BC" w:rsidRPr="00D2654A" w:rsidRDefault="00AC15BC" w:rsidP="002029C0">
            <w:pPr>
              <w:spacing w:after="160"/>
              <w:jc w:val="center"/>
            </w:pPr>
            <w:r w:rsidRPr="00D2654A">
              <w:t>Variance of accuracy (%)</w:t>
            </w:r>
          </w:p>
        </w:tc>
        <w:tc>
          <w:tcPr>
            <w:tcW w:w="606" w:type="pct"/>
            <w:tcBorders>
              <w:top w:val="none" w:sz="0" w:space="0" w:color="auto"/>
              <w:bottom w:val="single" w:sz="12" w:space="0" w:color="auto"/>
            </w:tcBorders>
            <w:vAlign w:val="center"/>
            <w:hideMark/>
          </w:tcPr>
          <w:p w14:paraId="555B1E24" w14:textId="77777777" w:rsidR="00AC15BC" w:rsidRPr="00D2654A" w:rsidRDefault="00AC15BC" w:rsidP="002029C0">
            <w:pPr>
              <w:spacing w:after="160"/>
              <w:jc w:val="center"/>
            </w:pPr>
            <w:r w:rsidRPr="00D2654A">
              <w:t>Variance of precision (%)</w:t>
            </w:r>
          </w:p>
        </w:tc>
        <w:tc>
          <w:tcPr>
            <w:tcW w:w="537" w:type="pct"/>
            <w:vMerge/>
            <w:tcBorders>
              <w:top w:val="none" w:sz="0" w:space="0" w:color="auto"/>
              <w:bottom w:val="single" w:sz="12" w:space="0" w:color="auto"/>
            </w:tcBorders>
            <w:vAlign w:val="center"/>
            <w:hideMark/>
          </w:tcPr>
          <w:p w14:paraId="23A02B4A" w14:textId="77777777" w:rsidR="00AC15BC" w:rsidRPr="00D2654A" w:rsidRDefault="00AC15BC" w:rsidP="002029C0">
            <w:pPr>
              <w:spacing w:after="160"/>
              <w:jc w:val="center"/>
            </w:pPr>
          </w:p>
        </w:tc>
        <w:tc>
          <w:tcPr>
            <w:tcW w:w="594" w:type="pct"/>
            <w:tcBorders>
              <w:top w:val="none" w:sz="0" w:space="0" w:color="auto"/>
              <w:bottom w:val="single" w:sz="12" w:space="0" w:color="auto"/>
            </w:tcBorders>
            <w:vAlign w:val="center"/>
            <w:hideMark/>
          </w:tcPr>
          <w:p w14:paraId="52A9890D" w14:textId="77777777" w:rsidR="00AC15BC" w:rsidRPr="00D2654A" w:rsidRDefault="00AC15BC" w:rsidP="002029C0">
            <w:pPr>
              <w:spacing w:after="160"/>
              <w:jc w:val="center"/>
            </w:pPr>
            <w:r w:rsidRPr="00D2654A">
              <w:t>Variance of accuracy (%)</w:t>
            </w:r>
          </w:p>
        </w:tc>
        <w:tc>
          <w:tcPr>
            <w:tcW w:w="602" w:type="pct"/>
            <w:tcBorders>
              <w:top w:val="none" w:sz="0" w:space="0" w:color="auto"/>
              <w:bottom w:val="single" w:sz="12" w:space="0" w:color="auto"/>
            </w:tcBorders>
            <w:vAlign w:val="center"/>
            <w:hideMark/>
          </w:tcPr>
          <w:p w14:paraId="4CFBA963" w14:textId="77777777" w:rsidR="00AC15BC" w:rsidRPr="00D2654A" w:rsidRDefault="00AC15BC" w:rsidP="002029C0">
            <w:pPr>
              <w:spacing w:after="160"/>
              <w:jc w:val="center"/>
            </w:pPr>
            <w:r w:rsidRPr="00D2654A">
              <w:t>Variance of precision (%)</w:t>
            </w:r>
          </w:p>
        </w:tc>
      </w:tr>
      <w:tr w:rsidR="00AC15BC" w:rsidRPr="00D2654A" w14:paraId="1555EBC7" w14:textId="77777777" w:rsidTr="00F62587">
        <w:trPr>
          <w:trHeight w:val="383"/>
        </w:trPr>
        <w:tc>
          <w:tcPr>
            <w:tcW w:w="799" w:type="pct"/>
            <w:vMerge w:val="restart"/>
            <w:tcBorders>
              <w:top w:val="single" w:sz="12" w:space="0" w:color="auto"/>
            </w:tcBorders>
            <w:vAlign w:val="center"/>
          </w:tcPr>
          <w:p w14:paraId="67B8B02A" w14:textId="77777777" w:rsidR="00AC15BC" w:rsidRPr="00D2654A" w:rsidRDefault="00AC15BC" w:rsidP="002029C0">
            <w:pPr>
              <w:jc w:val="center"/>
              <w:rPr>
                <w:b/>
                <w:bCs/>
              </w:rPr>
            </w:pPr>
            <w:r>
              <w:rPr>
                <w:b/>
              </w:rPr>
              <w:t>Assay 1</w:t>
            </w:r>
          </w:p>
        </w:tc>
        <w:tc>
          <w:tcPr>
            <w:tcW w:w="733" w:type="pct"/>
            <w:tcBorders>
              <w:top w:val="single" w:sz="12" w:space="0" w:color="auto"/>
            </w:tcBorders>
            <w:vAlign w:val="center"/>
          </w:tcPr>
          <w:p w14:paraId="303805D8" w14:textId="11D8FA6E" w:rsidR="009414C7" w:rsidRDefault="009B4449" w:rsidP="002029C0">
            <w:pPr>
              <w:spacing w:after="160"/>
              <w:jc w:val="center"/>
            </w:pPr>
            <w:r>
              <w:t>15.6</w:t>
            </w:r>
            <w:r w:rsidR="0075055A">
              <w:t>ng/mL</w:t>
            </w:r>
          </w:p>
          <w:p w14:paraId="334B33F8" w14:textId="4549831F" w:rsidR="00AC15BC" w:rsidRPr="00D2654A" w:rsidRDefault="002029C0" w:rsidP="002029C0">
            <w:pPr>
              <w:spacing w:after="160"/>
              <w:jc w:val="center"/>
            </w:pPr>
            <w:r>
              <w:t>40</w:t>
            </w:r>
            <w:r w:rsidR="00AC15BC" w:rsidRPr="00D2654A">
              <w:t>ng/</w:t>
            </w:r>
            <w:r w:rsidR="00AC15BC">
              <w:t>mL</w:t>
            </w:r>
          </w:p>
        </w:tc>
        <w:tc>
          <w:tcPr>
            <w:tcW w:w="536" w:type="pct"/>
            <w:tcBorders>
              <w:top w:val="single" w:sz="12" w:space="0" w:color="auto"/>
            </w:tcBorders>
            <w:vAlign w:val="center"/>
          </w:tcPr>
          <w:p w14:paraId="347E15D3" w14:textId="20DAE03B" w:rsidR="006B7960" w:rsidRDefault="006B7960" w:rsidP="002029C0">
            <w:pPr>
              <w:spacing w:after="160"/>
              <w:jc w:val="center"/>
            </w:pPr>
            <w:r>
              <w:t xml:space="preserve">14.9 </w:t>
            </w:r>
            <w:r w:rsidRPr="00D2654A">
              <w:t>±</w:t>
            </w:r>
            <w:r w:rsidR="008A1371">
              <w:t>0.61</w:t>
            </w:r>
          </w:p>
          <w:p w14:paraId="67157C78" w14:textId="11EFB84D" w:rsidR="00AC15BC" w:rsidRPr="00D2654A" w:rsidRDefault="002029C0" w:rsidP="002029C0">
            <w:pPr>
              <w:spacing w:after="160"/>
              <w:jc w:val="center"/>
            </w:pPr>
            <w:r>
              <w:t>38.5</w:t>
            </w:r>
            <w:r w:rsidR="00AC15BC" w:rsidRPr="00D2654A">
              <w:t xml:space="preserve"> </w:t>
            </w:r>
            <w:bookmarkStart w:id="6" w:name="OLE_LINK1"/>
            <w:bookmarkStart w:id="7" w:name="OLE_LINK2"/>
            <w:r w:rsidR="00AC15BC" w:rsidRPr="00D2654A">
              <w:t>±</w:t>
            </w:r>
            <w:bookmarkEnd w:id="6"/>
            <w:bookmarkEnd w:id="7"/>
            <w:r>
              <w:t>1.22</w:t>
            </w:r>
          </w:p>
        </w:tc>
        <w:tc>
          <w:tcPr>
            <w:tcW w:w="593" w:type="pct"/>
            <w:tcBorders>
              <w:top w:val="single" w:sz="12" w:space="0" w:color="auto"/>
            </w:tcBorders>
            <w:vAlign w:val="center"/>
          </w:tcPr>
          <w:p w14:paraId="54001DFF" w14:textId="77777777" w:rsidR="008A1371" w:rsidRDefault="008A1371" w:rsidP="002029C0">
            <w:pPr>
              <w:spacing w:after="160"/>
              <w:jc w:val="center"/>
            </w:pPr>
            <w:r>
              <w:t>-5.0</w:t>
            </w:r>
          </w:p>
          <w:p w14:paraId="3E54FD75" w14:textId="6A081AFC" w:rsidR="002029C0" w:rsidRPr="00D2654A" w:rsidRDefault="002029C0" w:rsidP="002029C0">
            <w:pPr>
              <w:spacing w:after="160"/>
              <w:jc w:val="center"/>
            </w:pPr>
            <w:r>
              <w:t>-3.8</w:t>
            </w:r>
          </w:p>
        </w:tc>
        <w:tc>
          <w:tcPr>
            <w:tcW w:w="606" w:type="pct"/>
            <w:tcBorders>
              <w:top w:val="single" w:sz="12" w:space="0" w:color="auto"/>
            </w:tcBorders>
            <w:vAlign w:val="center"/>
          </w:tcPr>
          <w:p w14:paraId="50644A12" w14:textId="77777777" w:rsidR="008A1371" w:rsidRDefault="008A1371" w:rsidP="002029C0">
            <w:pPr>
              <w:spacing w:after="160"/>
              <w:jc w:val="center"/>
            </w:pPr>
            <w:r>
              <w:t>4.1</w:t>
            </w:r>
          </w:p>
          <w:p w14:paraId="5D8C40A0" w14:textId="7BCBB178" w:rsidR="00AC15BC" w:rsidRPr="00D2654A" w:rsidRDefault="002029C0" w:rsidP="002029C0">
            <w:pPr>
              <w:spacing w:after="160"/>
              <w:jc w:val="center"/>
            </w:pPr>
            <w:r>
              <w:t>3.2</w:t>
            </w:r>
          </w:p>
        </w:tc>
        <w:tc>
          <w:tcPr>
            <w:tcW w:w="537" w:type="pct"/>
            <w:tcBorders>
              <w:top w:val="single" w:sz="12" w:space="0" w:color="auto"/>
            </w:tcBorders>
            <w:vAlign w:val="center"/>
          </w:tcPr>
          <w:p w14:paraId="1EEF7C39" w14:textId="77777777" w:rsidR="00E80B7C" w:rsidRDefault="00E80B7C" w:rsidP="002029C0">
            <w:pPr>
              <w:spacing w:after="160"/>
              <w:jc w:val="center"/>
            </w:pPr>
            <w:r>
              <w:t xml:space="preserve">15.3 </w:t>
            </w:r>
            <w:r w:rsidRPr="00D2654A">
              <w:t>±</w:t>
            </w:r>
            <w:r>
              <w:t>0.41</w:t>
            </w:r>
          </w:p>
          <w:p w14:paraId="68983322" w14:textId="6D1D7A73" w:rsidR="00AC15BC" w:rsidRPr="00D2654A" w:rsidRDefault="00440DAA" w:rsidP="002029C0">
            <w:pPr>
              <w:spacing w:after="160"/>
              <w:jc w:val="center"/>
            </w:pPr>
            <w:r>
              <w:t>37.0</w:t>
            </w:r>
            <w:r w:rsidR="00AC15BC" w:rsidRPr="00D2654A">
              <w:t xml:space="preserve"> ±</w:t>
            </w:r>
            <w:r>
              <w:t>2.14</w:t>
            </w:r>
          </w:p>
        </w:tc>
        <w:tc>
          <w:tcPr>
            <w:tcW w:w="594" w:type="pct"/>
            <w:tcBorders>
              <w:top w:val="single" w:sz="12" w:space="0" w:color="auto"/>
            </w:tcBorders>
            <w:vAlign w:val="center"/>
          </w:tcPr>
          <w:p w14:paraId="28734E3D" w14:textId="77777777" w:rsidR="00E80B7C" w:rsidRDefault="00E80B7C" w:rsidP="002029C0">
            <w:pPr>
              <w:spacing w:after="160"/>
              <w:jc w:val="center"/>
            </w:pPr>
            <w:r>
              <w:t>-2.0</w:t>
            </w:r>
          </w:p>
          <w:p w14:paraId="31EE869B" w14:textId="1CB009C3" w:rsidR="00AC15BC" w:rsidRPr="00D2654A" w:rsidRDefault="00DA3B13" w:rsidP="002029C0">
            <w:pPr>
              <w:spacing w:after="160"/>
              <w:jc w:val="center"/>
            </w:pPr>
            <w:r>
              <w:t>-7.4</w:t>
            </w:r>
          </w:p>
        </w:tc>
        <w:tc>
          <w:tcPr>
            <w:tcW w:w="602" w:type="pct"/>
            <w:tcBorders>
              <w:top w:val="single" w:sz="12" w:space="0" w:color="auto"/>
            </w:tcBorders>
            <w:vAlign w:val="center"/>
          </w:tcPr>
          <w:p w14:paraId="234B1ABD" w14:textId="77777777" w:rsidR="00024958" w:rsidRDefault="00E80B7C" w:rsidP="002029C0">
            <w:pPr>
              <w:spacing w:after="160"/>
              <w:jc w:val="center"/>
            </w:pPr>
            <w:r>
              <w:t>2.</w:t>
            </w:r>
            <w:r w:rsidR="00024958">
              <w:t>7</w:t>
            </w:r>
          </w:p>
          <w:p w14:paraId="26AEA753" w14:textId="2A0BD730" w:rsidR="00AC15BC" w:rsidRPr="00D2654A" w:rsidRDefault="00440DAA" w:rsidP="002029C0">
            <w:pPr>
              <w:spacing w:after="160"/>
              <w:jc w:val="center"/>
            </w:pPr>
            <w:r>
              <w:t>5.8</w:t>
            </w:r>
          </w:p>
        </w:tc>
      </w:tr>
      <w:tr w:rsidR="00AC15BC" w:rsidRPr="00D2654A" w14:paraId="17E95A02" w14:textId="77777777" w:rsidTr="00F62587">
        <w:trPr>
          <w:cnfStyle w:val="000000100000" w:firstRow="0" w:lastRow="0" w:firstColumn="0" w:lastColumn="0" w:oddVBand="0" w:evenVBand="0" w:oddHBand="1" w:evenHBand="0" w:firstRowFirstColumn="0" w:firstRowLastColumn="0" w:lastRowFirstColumn="0" w:lastRowLastColumn="0"/>
          <w:trHeight w:val="383"/>
        </w:trPr>
        <w:tc>
          <w:tcPr>
            <w:tcW w:w="799" w:type="pct"/>
            <w:vMerge/>
            <w:tcBorders>
              <w:top w:val="none" w:sz="0" w:space="0" w:color="auto"/>
              <w:bottom w:val="none" w:sz="0" w:space="0" w:color="auto"/>
            </w:tcBorders>
            <w:vAlign w:val="center"/>
            <w:hideMark/>
          </w:tcPr>
          <w:p w14:paraId="1C42F5DB" w14:textId="77777777" w:rsidR="00AC15BC" w:rsidRPr="00D2654A" w:rsidRDefault="00AC15BC" w:rsidP="002029C0">
            <w:pPr>
              <w:spacing w:after="160"/>
              <w:jc w:val="center"/>
            </w:pPr>
          </w:p>
        </w:tc>
        <w:tc>
          <w:tcPr>
            <w:tcW w:w="733" w:type="pct"/>
            <w:tcBorders>
              <w:top w:val="none" w:sz="0" w:space="0" w:color="auto"/>
              <w:bottom w:val="none" w:sz="0" w:space="0" w:color="auto"/>
            </w:tcBorders>
            <w:vAlign w:val="center"/>
            <w:hideMark/>
          </w:tcPr>
          <w:p w14:paraId="4FDE8DC0" w14:textId="6816DBD4" w:rsidR="00AC15BC" w:rsidRPr="00D2654A" w:rsidRDefault="002029C0" w:rsidP="002029C0">
            <w:pPr>
              <w:spacing w:after="160"/>
              <w:jc w:val="center"/>
            </w:pPr>
            <w:r>
              <w:t>400</w:t>
            </w:r>
            <w:r w:rsidR="00AC15BC">
              <w:t>ng/mL</w:t>
            </w:r>
          </w:p>
        </w:tc>
        <w:tc>
          <w:tcPr>
            <w:tcW w:w="536" w:type="pct"/>
            <w:tcBorders>
              <w:top w:val="none" w:sz="0" w:space="0" w:color="auto"/>
              <w:bottom w:val="none" w:sz="0" w:space="0" w:color="auto"/>
            </w:tcBorders>
            <w:vAlign w:val="center"/>
            <w:hideMark/>
          </w:tcPr>
          <w:p w14:paraId="27F0EB9F" w14:textId="6C0395A8" w:rsidR="00AC15BC" w:rsidRPr="00D2654A" w:rsidRDefault="002029C0" w:rsidP="002029C0">
            <w:pPr>
              <w:spacing w:after="160"/>
              <w:jc w:val="center"/>
            </w:pPr>
            <w:r>
              <w:t>408.8</w:t>
            </w:r>
            <w:r w:rsidR="00AC15BC" w:rsidRPr="00D2654A">
              <w:t xml:space="preserve"> ±</w:t>
            </w:r>
            <w:r>
              <w:t>7.81</w:t>
            </w:r>
          </w:p>
        </w:tc>
        <w:tc>
          <w:tcPr>
            <w:tcW w:w="593" w:type="pct"/>
            <w:tcBorders>
              <w:top w:val="none" w:sz="0" w:space="0" w:color="auto"/>
              <w:bottom w:val="none" w:sz="0" w:space="0" w:color="auto"/>
            </w:tcBorders>
            <w:vAlign w:val="center"/>
            <w:hideMark/>
          </w:tcPr>
          <w:p w14:paraId="608C09AD" w14:textId="18119B46" w:rsidR="00AC15BC" w:rsidRPr="00D2654A" w:rsidRDefault="002029C0" w:rsidP="002029C0">
            <w:pPr>
              <w:spacing w:after="160"/>
              <w:jc w:val="center"/>
            </w:pPr>
            <w:r>
              <w:t>2.2</w:t>
            </w:r>
          </w:p>
        </w:tc>
        <w:tc>
          <w:tcPr>
            <w:tcW w:w="606" w:type="pct"/>
            <w:tcBorders>
              <w:top w:val="none" w:sz="0" w:space="0" w:color="auto"/>
              <w:bottom w:val="none" w:sz="0" w:space="0" w:color="auto"/>
            </w:tcBorders>
            <w:vAlign w:val="center"/>
            <w:hideMark/>
          </w:tcPr>
          <w:p w14:paraId="775C26A8" w14:textId="223E6C2E" w:rsidR="00AC15BC" w:rsidRPr="00D2654A" w:rsidRDefault="002029C0" w:rsidP="002029C0">
            <w:pPr>
              <w:spacing w:after="160"/>
              <w:jc w:val="center"/>
            </w:pPr>
            <w:r>
              <w:t>1.9</w:t>
            </w:r>
          </w:p>
        </w:tc>
        <w:tc>
          <w:tcPr>
            <w:tcW w:w="537" w:type="pct"/>
            <w:tcBorders>
              <w:top w:val="none" w:sz="0" w:space="0" w:color="auto"/>
              <w:bottom w:val="none" w:sz="0" w:space="0" w:color="auto"/>
            </w:tcBorders>
            <w:vAlign w:val="center"/>
            <w:hideMark/>
          </w:tcPr>
          <w:p w14:paraId="2544020E" w14:textId="2F84D88D" w:rsidR="00AC15BC" w:rsidRPr="00D2654A" w:rsidRDefault="00440DAA" w:rsidP="002029C0">
            <w:pPr>
              <w:spacing w:after="160"/>
              <w:jc w:val="center"/>
            </w:pPr>
            <w:r>
              <w:t>397.9</w:t>
            </w:r>
            <w:r w:rsidR="00AC15BC" w:rsidRPr="00D2654A">
              <w:t xml:space="preserve"> ±</w:t>
            </w:r>
            <w:r>
              <w:t>9.72</w:t>
            </w:r>
          </w:p>
        </w:tc>
        <w:tc>
          <w:tcPr>
            <w:tcW w:w="594" w:type="pct"/>
            <w:tcBorders>
              <w:top w:val="none" w:sz="0" w:space="0" w:color="auto"/>
              <w:bottom w:val="none" w:sz="0" w:space="0" w:color="auto"/>
            </w:tcBorders>
            <w:vAlign w:val="center"/>
            <w:hideMark/>
          </w:tcPr>
          <w:p w14:paraId="3D0F92DA" w14:textId="13B68962" w:rsidR="00AC15BC" w:rsidRPr="00D2654A" w:rsidRDefault="00DA3B13" w:rsidP="002029C0">
            <w:pPr>
              <w:spacing w:after="160"/>
              <w:jc w:val="center"/>
            </w:pPr>
            <w:r>
              <w:t>-0.5</w:t>
            </w:r>
          </w:p>
        </w:tc>
        <w:tc>
          <w:tcPr>
            <w:tcW w:w="602" w:type="pct"/>
            <w:tcBorders>
              <w:top w:val="none" w:sz="0" w:space="0" w:color="auto"/>
              <w:bottom w:val="none" w:sz="0" w:space="0" w:color="auto"/>
            </w:tcBorders>
            <w:vAlign w:val="center"/>
            <w:hideMark/>
          </w:tcPr>
          <w:p w14:paraId="19817EC7" w14:textId="6E4E38C9" w:rsidR="00AC15BC" w:rsidRPr="00D2654A" w:rsidRDefault="00440DAA" w:rsidP="002029C0">
            <w:pPr>
              <w:spacing w:after="160"/>
              <w:jc w:val="center"/>
            </w:pPr>
            <w:r>
              <w:t>2.4</w:t>
            </w:r>
          </w:p>
        </w:tc>
      </w:tr>
      <w:tr w:rsidR="00AC15BC" w:rsidRPr="00D2654A" w14:paraId="6DE546B8" w14:textId="77777777" w:rsidTr="00F62587">
        <w:trPr>
          <w:trHeight w:val="195"/>
        </w:trPr>
        <w:tc>
          <w:tcPr>
            <w:tcW w:w="799" w:type="pct"/>
            <w:vMerge/>
            <w:tcBorders>
              <w:bottom w:val="single" w:sz="12" w:space="0" w:color="auto"/>
            </w:tcBorders>
            <w:vAlign w:val="center"/>
            <w:hideMark/>
          </w:tcPr>
          <w:p w14:paraId="6E2EBDAA" w14:textId="77777777" w:rsidR="00AC15BC" w:rsidRPr="00D2654A" w:rsidRDefault="00AC15BC" w:rsidP="002029C0">
            <w:pPr>
              <w:spacing w:after="160"/>
              <w:jc w:val="center"/>
            </w:pPr>
          </w:p>
        </w:tc>
        <w:tc>
          <w:tcPr>
            <w:tcW w:w="733" w:type="pct"/>
            <w:tcBorders>
              <w:bottom w:val="single" w:sz="12" w:space="0" w:color="auto"/>
            </w:tcBorders>
            <w:vAlign w:val="center"/>
            <w:hideMark/>
          </w:tcPr>
          <w:p w14:paraId="122F12C7" w14:textId="640104C5" w:rsidR="00AC15BC" w:rsidRPr="00D2654A" w:rsidRDefault="002029C0" w:rsidP="002029C0">
            <w:pPr>
              <w:spacing w:after="160"/>
              <w:jc w:val="center"/>
            </w:pPr>
            <w:r>
              <w:t>800</w:t>
            </w:r>
            <w:r w:rsidR="00AC15BC">
              <w:t>ng/mL</w:t>
            </w:r>
          </w:p>
        </w:tc>
        <w:tc>
          <w:tcPr>
            <w:tcW w:w="536" w:type="pct"/>
            <w:tcBorders>
              <w:bottom w:val="single" w:sz="12" w:space="0" w:color="auto"/>
            </w:tcBorders>
            <w:vAlign w:val="center"/>
            <w:hideMark/>
          </w:tcPr>
          <w:p w14:paraId="32F0250D" w14:textId="28A19FA0" w:rsidR="00AC15BC" w:rsidRPr="00D2654A" w:rsidRDefault="002029C0" w:rsidP="002029C0">
            <w:pPr>
              <w:spacing w:after="160"/>
              <w:jc w:val="center"/>
            </w:pPr>
            <w:r>
              <w:t>798.7</w:t>
            </w:r>
            <w:r w:rsidR="00AC15BC" w:rsidRPr="00D2654A">
              <w:t xml:space="preserve"> ±</w:t>
            </w:r>
            <w:r>
              <w:t>13.9</w:t>
            </w:r>
          </w:p>
        </w:tc>
        <w:tc>
          <w:tcPr>
            <w:tcW w:w="593" w:type="pct"/>
            <w:tcBorders>
              <w:bottom w:val="single" w:sz="12" w:space="0" w:color="auto"/>
            </w:tcBorders>
            <w:vAlign w:val="center"/>
            <w:hideMark/>
          </w:tcPr>
          <w:p w14:paraId="41CA2583" w14:textId="6F5EE711" w:rsidR="00AC15BC" w:rsidRPr="00D2654A" w:rsidRDefault="002029C0" w:rsidP="002029C0">
            <w:pPr>
              <w:spacing w:after="160"/>
              <w:jc w:val="center"/>
            </w:pPr>
            <w:r>
              <w:t>-0.2</w:t>
            </w:r>
          </w:p>
        </w:tc>
        <w:tc>
          <w:tcPr>
            <w:tcW w:w="606" w:type="pct"/>
            <w:tcBorders>
              <w:bottom w:val="single" w:sz="12" w:space="0" w:color="auto"/>
            </w:tcBorders>
            <w:vAlign w:val="center"/>
            <w:hideMark/>
          </w:tcPr>
          <w:p w14:paraId="030DD881" w14:textId="6813FCB9" w:rsidR="00AC15BC" w:rsidRPr="00D2654A" w:rsidRDefault="002029C0" w:rsidP="002029C0">
            <w:pPr>
              <w:spacing w:after="160"/>
              <w:jc w:val="center"/>
            </w:pPr>
            <w:r>
              <w:t>1.7</w:t>
            </w:r>
          </w:p>
        </w:tc>
        <w:tc>
          <w:tcPr>
            <w:tcW w:w="537" w:type="pct"/>
            <w:tcBorders>
              <w:bottom w:val="single" w:sz="12" w:space="0" w:color="auto"/>
            </w:tcBorders>
            <w:vAlign w:val="center"/>
            <w:hideMark/>
          </w:tcPr>
          <w:p w14:paraId="45376C09" w14:textId="68F5AB84" w:rsidR="00AC15BC" w:rsidRPr="00D2654A" w:rsidRDefault="00440DAA" w:rsidP="002029C0">
            <w:pPr>
              <w:spacing w:after="160"/>
              <w:jc w:val="center"/>
            </w:pPr>
            <w:r>
              <w:t>789.5</w:t>
            </w:r>
            <w:r w:rsidR="00AC15BC" w:rsidRPr="00D2654A">
              <w:t xml:space="preserve"> ±</w:t>
            </w:r>
            <w:r>
              <w:t>19.36</w:t>
            </w:r>
          </w:p>
        </w:tc>
        <w:tc>
          <w:tcPr>
            <w:tcW w:w="594" w:type="pct"/>
            <w:tcBorders>
              <w:bottom w:val="single" w:sz="12" w:space="0" w:color="auto"/>
            </w:tcBorders>
            <w:vAlign w:val="center"/>
            <w:hideMark/>
          </w:tcPr>
          <w:p w14:paraId="7A385E53" w14:textId="74E44025" w:rsidR="00AC15BC" w:rsidRPr="00D2654A" w:rsidRDefault="00DA3B13" w:rsidP="002029C0">
            <w:pPr>
              <w:spacing w:after="160"/>
              <w:jc w:val="center"/>
            </w:pPr>
            <w:r>
              <w:t>-1.3</w:t>
            </w:r>
          </w:p>
        </w:tc>
        <w:tc>
          <w:tcPr>
            <w:tcW w:w="602" w:type="pct"/>
            <w:tcBorders>
              <w:bottom w:val="single" w:sz="12" w:space="0" w:color="auto"/>
            </w:tcBorders>
            <w:vAlign w:val="center"/>
            <w:hideMark/>
          </w:tcPr>
          <w:p w14:paraId="5F878AD0" w14:textId="6ADC1670" w:rsidR="00AC15BC" w:rsidRPr="00D2654A" w:rsidRDefault="00440DAA" w:rsidP="002029C0">
            <w:pPr>
              <w:spacing w:after="160"/>
              <w:jc w:val="center"/>
            </w:pPr>
            <w:r>
              <w:t>2.5</w:t>
            </w:r>
          </w:p>
        </w:tc>
      </w:tr>
      <w:tr w:rsidR="00AC15BC" w:rsidRPr="00D2654A" w14:paraId="1B9C51DF" w14:textId="77777777" w:rsidTr="00F62587">
        <w:trPr>
          <w:gridAfter w:val="3"/>
          <w:cnfStyle w:val="000000100000" w:firstRow="0" w:lastRow="0" w:firstColumn="0" w:lastColumn="0" w:oddVBand="0" w:evenVBand="0" w:oddHBand="1" w:evenHBand="0" w:firstRowFirstColumn="0" w:firstRowLastColumn="0" w:lastRowFirstColumn="0" w:lastRowLastColumn="0"/>
          <w:wAfter w:w="1733" w:type="pct"/>
          <w:trHeight w:val="383"/>
        </w:trPr>
        <w:tc>
          <w:tcPr>
            <w:tcW w:w="799" w:type="pct"/>
            <w:vMerge w:val="restart"/>
            <w:tcBorders>
              <w:top w:val="single" w:sz="12" w:space="0" w:color="auto"/>
              <w:bottom w:val="none" w:sz="0" w:space="0" w:color="auto"/>
            </w:tcBorders>
            <w:vAlign w:val="center"/>
            <w:hideMark/>
          </w:tcPr>
          <w:p w14:paraId="0FD6F609" w14:textId="77777777" w:rsidR="00AC15BC" w:rsidRPr="00D2654A" w:rsidRDefault="00AC15BC" w:rsidP="002029C0">
            <w:pPr>
              <w:spacing w:after="160"/>
              <w:jc w:val="center"/>
            </w:pPr>
            <w:r>
              <w:rPr>
                <w:b/>
              </w:rPr>
              <w:t>Assay 2</w:t>
            </w:r>
          </w:p>
        </w:tc>
        <w:tc>
          <w:tcPr>
            <w:tcW w:w="733" w:type="pct"/>
            <w:tcBorders>
              <w:top w:val="single" w:sz="12" w:space="0" w:color="auto"/>
              <w:bottom w:val="none" w:sz="0" w:space="0" w:color="auto"/>
            </w:tcBorders>
            <w:vAlign w:val="center"/>
            <w:hideMark/>
          </w:tcPr>
          <w:p w14:paraId="787D303C" w14:textId="772A3AFC" w:rsidR="009414C7" w:rsidRDefault="009414C7" w:rsidP="002029C0">
            <w:pPr>
              <w:spacing w:after="160"/>
              <w:jc w:val="center"/>
            </w:pPr>
            <w:r>
              <w:t>15.6ng/mL</w:t>
            </w:r>
          </w:p>
          <w:p w14:paraId="44A96E0B" w14:textId="7DFD4641" w:rsidR="00AC15BC" w:rsidRPr="00D2654A" w:rsidRDefault="002029C0" w:rsidP="002029C0">
            <w:pPr>
              <w:spacing w:after="160"/>
              <w:jc w:val="center"/>
            </w:pPr>
            <w:r>
              <w:t>40</w:t>
            </w:r>
            <w:r w:rsidR="00AC15BC" w:rsidRPr="00D2654A">
              <w:t>ng/</w:t>
            </w:r>
            <w:r w:rsidR="00AC15BC">
              <w:t>mL</w:t>
            </w:r>
          </w:p>
        </w:tc>
        <w:tc>
          <w:tcPr>
            <w:tcW w:w="536" w:type="pct"/>
            <w:tcBorders>
              <w:top w:val="single" w:sz="12" w:space="0" w:color="auto"/>
              <w:bottom w:val="none" w:sz="0" w:space="0" w:color="auto"/>
            </w:tcBorders>
            <w:vAlign w:val="center"/>
            <w:hideMark/>
          </w:tcPr>
          <w:p w14:paraId="1E40F3A5" w14:textId="77777777" w:rsidR="00604A0F" w:rsidRDefault="00604A0F" w:rsidP="002029C0">
            <w:pPr>
              <w:spacing w:after="160"/>
              <w:jc w:val="center"/>
            </w:pPr>
            <w:r>
              <w:t xml:space="preserve">15.5 </w:t>
            </w:r>
            <w:r w:rsidRPr="00D2654A">
              <w:t>±</w:t>
            </w:r>
            <w:r>
              <w:t>2.30</w:t>
            </w:r>
          </w:p>
          <w:p w14:paraId="32EF6D5F" w14:textId="0FF0A6F0" w:rsidR="00AC15BC" w:rsidRPr="00D2654A" w:rsidRDefault="002029C0" w:rsidP="002029C0">
            <w:pPr>
              <w:spacing w:after="160"/>
              <w:jc w:val="center"/>
            </w:pPr>
            <w:r>
              <w:t>34.6</w:t>
            </w:r>
            <w:r w:rsidR="00AC15BC" w:rsidRPr="00D2654A">
              <w:t xml:space="preserve"> ±</w:t>
            </w:r>
            <w:r>
              <w:t>1.87</w:t>
            </w:r>
            <w:r w:rsidR="00AC15BC" w:rsidRPr="00D2654A">
              <w:t xml:space="preserve"> </w:t>
            </w:r>
          </w:p>
        </w:tc>
        <w:tc>
          <w:tcPr>
            <w:tcW w:w="593" w:type="pct"/>
            <w:tcBorders>
              <w:top w:val="single" w:sz="12" w:space="0" w:color="auto"/>
              <w:bottom w:val="none" w:sz="0" w:space="0" w:color="auto"/>
            </w:tcBorders>
            <w:vAlign w:val="center"/>
            <w:hideMark/>
          </w:tcPr>
          <w:p w14:paraId="34B432FD" w14:textId="774141B7" w:rsidR="00C371F5" w:rsidRDefault="00C371F5" w:rsidP="002029C0">
            <w:pPr>
              <w:spacing w:after="160"/>
              <w:jc w:val="center"/>
            </w:pPr>
            <w:r>
              <w:t>-0.4</w:t>
            </w:r>
          </w:p>
          <w:p w14:paraId="26439308" w14:textId="7EFC6B7A" w:rsidR="00AC15BC" w:rsidRPr="00D2654A" w:rsidRDefault="002029C0" w:rsidP="002029C0">
            <w:pPr>
              <w:spacing w:after="160"/>
              <w:jc w:val="center"/>
            </w:pPr>
            <w:r>
              <w:t>-13.5</w:t>
            </w:r>
          </w:p>
        </w:tc>
        <w:tc>
          <w:tcPr>
            <w:tcW w:w="606" w:type="pct"/>
            <w:tcBorders>
              <w:top w:val="single" w:sz="12" w:space="0" w:color="auto"/>
              <w:bottom w:val="none" w:sz="0" w:space="0" w:color="auto"/>
            </w:tcBorders>
            <w:vAlign w:val="center"/>
            <w:hideMark/>
          </w:tcPr>
          <w:p w14:paraId="310BACE0" w14:textId="77777777" w:rsidR="007C2FE7" w:rsidRDefault="00C371F5" w:rsidP="002029C0">
            <w:pPr>
              <w:spacing w:after="160"/>
              <w:jc w:val="center"/>
            </w:pPr>
            <w:r>
              <w:t>14.</w:t>
            </w:r>
            <w:r w:rsidR="007C2FE7">
              <w:t>8</w:t>
            </w:r>
          </w:p>
          <w:p w14:paraId="096C5242" w14:textId="341F54F9" w:rsidR="00AC15BC" w:rsidRPr="00D2654A" w:rsidRDefault="002029C0" w:rsidP="002029C0">
            <w:pPr>
              <w:spacing w:after="160"/>
              <w:jc w:val="center"/>
            </w:pPr>
            <w:r>
              <w:t>5.4</w:t>
            </w:r>
          </w:p>
        </w:tc>
      </w:tr>
      <w:tr w:rsidR="00AC15BC" w:rsidRPr="00D2654A" w14:paraId="7DAEAC98" w14:textId="77777777" w:rsidTr="00F62587">
        <w:trPr>
          <w:gridAfter w:val="3"/>
          <w:wAfter w:w="1733" w:type="pct"/>
          <w:trHeight w:val="195"/>
        </w:trPr>
        <w:tc>
          <w:tcPr>
            <w:tcW w:w="799" w:type="pct"/>
            <w:vMerge/>
            <w:vAlign w:val="center"/>
            <w:hideMark/>
          </w:tcPr>
          <w:p w14:paraId="56FD8BB6" w14:textId="77777777" w:rsidR="00AC15BC" w:rsidRPr="00D2654A" w:rsidRDefault="00AC15BC" w:rsidP="002029C0">
            <w:pPr>
              <w:spacing w:after="160"/>
              <w:jc w:val="center"/>
            </w:pPr>
          </w:p>
        </w:tc>
        <w:tc>
          <w:tcPr>
            <w:tcW w:w="733" w:type="pct"/>
            <w:vAlign w:val="center"/>
            <w:hideMark/>
          </w:tcPr>
          <w:p w14:paraId="57E5ABB1" w14:textId="16916A63" w:rsidR="00AC15BC" w:rsidRPr="00D2654A" w:rsidRDefault="002029C0" w:rsidP="002029C0">
            <w:pPr>
              <w:spacing w:after="160"/>
              <w:jc w:val="center"/>
            </w:pPr>
            <w:r>
              <w:t>400</w:t>
            </w:r>
            <w:r w:rsidR="00AC15BC">
              <w:t>ng/mL</w:t>
            </w:r>
          </w:p>
        </w:tc>
        <w:tc>
          <w:tcPr>
            <w:tcW w:w="536" w:type="pct"/>
            <w:vAlign w:val="center"/>
            <w:hideMark/>
          </w:tcPr>
          <w:p w14:paraId="20F898B1" w14:textId="7B96E41A" w:rsidR="00AC15BC" w:rsidRPr="00D2654A" w:rsidRDefault="002029C0" w:rsidP="002029C0">
            <w:pPr>
              <w:spacing w:after="160"/>
              <w:jc w:val="center"/>
            </w:pPr>
            <w:r>
              <w:t>390.0</w:t>
            </w:r>
            <w:r w:rsidR="00AC15BC" w:rsidRPr="00D2654A">
              <w:t xml:space="preserve"> ±</w:t>
            </w:r>
            <w:r>
              <w:t>11.29</w:t>
            </w:r>
          </w:p>
        </w:tc>
        <w:tc>
          <w:tcPr>
            <w:tcW w:w="593" w:type="pct"/>
            <w:vAlign w:val="center"/>
            <w:hideMark/>
          </w:tcPr>
          <w:p w14:paraId="7C068DA6" w14:textId="1FF72D6F" w:rsidR="00AC15BC" w:rsidRPr="00D2654A" w:rsidRDefault="002029C0" w:rsidP="002029C0">
            <w:pPr>
              <w:spacing w:after="160"/>
              <w:jc w:val="center"/>
            </w:pPr>
            <w:r>
              <w:t>-2.5</w:t>
            </w:r>
          </w:p>
        </w:tc>
        <w:tc>
          <w:tcPr>
            <w:tcW w:w="606" w:type="pct"/>
            <w:vAlign w:val="center"/>
            <w:hideMark/>
          </w:tcPr>
          <w:p w14:paraId="227500DC" w14:textId="428D6E80" w:rsidR="00AC15BC" w:rsidRPr="00D2654A" w:rsidRDefault="002029C0" w:rsidP="002029C0">
            <w:pPr>
              <w:spacing w:after="160"/>
              <w:jc w:val="center"/>
            </w:pPr>
            <w:r>
              <w:t>2.9</w:t>
            </w:r>
          </w:p>
        </w:tc>
      </w:tr>
      <w:tr w:rsidR="00AC15BC" w:rsidRPr="00D2654A" w14:paraId="6FB06D7E" w14:textId="77777777" w:rsidTr="00F62587">
        <w:trPr>
          <w:gridAfter w:val="3"/>
          <w:cnfStyle w:val="000000100000" w:firstRow="0" w:lastRow="0" w:firstColumn="0" w:lastColumn="0" w:oddVBand="0" w:evenVBand="0" w:oddHBand="1" w:evenHBand="0" w:firstRowFirstColumn="0" w:firstRowLastColumn="0" w:lastRowFirstColumn="0" w:lastRowLastColumn="0"/>
          <w:wAfter w:w="1733" w:type="pct"/>
          <w:trHeight w:val="195"/>
        </w:trPr>
        <w:tc>
          <w:tcPr>
            <w:tcW w:w="799" w:type="pct"/>
            <w:vMerge/>
            <w:tcBorders>
              <w:top w:val="none" w:sz="0" w:space="0" w:color="auto"/>
              <w:bottom w:val="single" w:sz="12" w:space="0" w:color="auto"/>
            </w:tcBorders>
            <w:vAlign w:val="center"/>
          </w:tcPr>
          <w:p w14:paraId="312037A9" w14:textId="77777777" w:rsidR="00AC15BC" w:rsidRPr="00D2654A" w:rsidRDefault="00AC15BC" w:rsidP="002029C0">
            <w:pPr>
              <w:spacing w:after="160"/>
              <w:jc w:val="center"/>
            </w:pPr>
          </w:p>
        </w:tc>
        <w:tc>
          <w:tcPr>
            <w:tcW w:w="733" w:type="pct"/>
            <w:tcBorders>
              <w:top w:val="none" w:sz="0" w:space="0" w:color="auto"/>
              <w:bottom w:val="single" w:sz="12" w:space="0" w:color="auto"/>
            </w:tcBorders>
            <w:vAlign w:val="center"/>
          </w:tcPr>
          <w:p w14:paraId="3C040C5C" w14:textId="0CD50B1F" w:rsidR="00AC15BC" w:rsidRPr="00D2654A" w:rsidRDefault="002029C0" w:rsidP="002029C0">
            <w:pPr>
              <w:spacing w:after="160"/>
              <w:jc w:val="center"/>
            </w:pPr>
            <w:r>
              <w:t>800</w:t>
            </w:r>
            <w:r w:rsidR="00AC15BC">
              <w:t>ng/mL</w:t>
            </w:r>
          </w:p>
        </w:tc>
        <w:tc>
          <w:tcPr>
            <w:tcW w:w="536" w:type="pct"/>
            <w:tcBorders>
              <w:top w:val="none" w:sz="0" w:space="0" w:color="auto"/>
              <w:bottom w:val="single" w:sz="12" w:space="0" w:color="auto"/>
            </w:tcBorders>
            <w:vAlign w:val="center"/>
          </w:tcPr>
          <w:p w14:paraId="025B0795" w14:textId="2E754500" w:rsidR="00AC15BC" w:rsidRPr="00D2654A" w:rsidRDefault="002029C0" w:rsidP="002029C0">
            <w:pPr>
              <w:spacing w:after="160"/>
              <w:jc w:val="center"/>
            </w:pPr>
            <w:r>
              <w:t>767.3</w:t>
            </w:r>
            <w:r w:rsidR="00AC15BC" w:rsidRPr="00D2654A">
              <w:t xml:space="preserve"> ±</w:t>
            </w:r>
            <w:r>
              <w:t>38.88</w:t>
            </w:r>
          </w:p>
        </w:tc>
        <w:tc>
          <w:tcPr>
            <w:tcW w:w="593" w:type="pct"/>
            <w:tcBorders>
              <w:top w:val="none" w:sz="0" w:space="0" w:color="auto"/>
              <w:bottom w:val="single" w:sz="12" w:space="0" w:color="auto"/>
            </w:tcBorders>
            <w:vAlign w:val="center"/>
          </w:tcPr>
          <w:p w14:paraId="793E90A7" w14:textId="3555A678" w:rsidR="00AC15BC" w:rsidRPr="00D2654A" w:rsidRDefault="002029C0" w:rsidP="002029C0">
            <w:pPr>
              <w:spacing w:after="160"/>
              <w:jc w:val="center"/>
            </w:pPr>
            <w:r>
              <w:t>-4.1</w:t>
            </w:r>
          </w:p>
        </w:tc>
        <w:tc>
          <w:tcPr>
            <w:tcW w:w="606" w:type="pct"/>
            <w:tcBorders>
              <w:top w:val="none" w:sz="0" w:space="0" w:color="auto"/>
              <w:bottom w:val="single" w:sz="12" w:space="0" w:color="auto"/>
            </w:tcBorders>
            <w:vAlign w:val="center"/>
          </w:tcPr>
          <w:p w14:paraId="70405958" w14:textId="1D9B93C9" w:rsidR="00AC15BC" w:rsidRPr="00D2654A" w:rsidRDefault="002029C0" w:rsidP="002029C0">
            <w:pPr>
              <w:spacing w:after="160"/>
              <w:jc w:val="center"/>
            </w:pPr>
            <w:r>
              <w:t>5.1</w:t>
            </w:r>
          </w:p>
        </w:tc>
      </w:tr>
      <w:tr w:rsidR="00AC15BC" w:rsidRPr="00D2654A" w14:paraId="41439D86" w14:textId="77777777" w:rsidTr="00F62587">
        <w:tblPrEx>
          <w:tblLook w:val="04A0" w:firstRow="1" w:lastRow="0" w:firstColumn="1" w:lastColumn="0" w:noHBand="0" w:noVBand="1"/>
        </w:tblPrEx>
        <w:trPr>
          <w:gridAfter w:val="3"/>
          <w:wAfter w:w="1733" w:type="pct"/>
          <w:trHeight w:val="383"/>
        </w:trPr>
        <w:tc>
          <w:tcPr>
            <w:cnfStyle w:val="001000000000" w:firstRow="0" w:lastRow="0" w:firstColumn="1" w:lastColumn="0" w:oddVBand="0" w:evenVBand="0" w:oddHBand="0" w:evenHBand="0" w:firstRowFirstColumn="0" w:firstRowLastColumn="0" w:lastRowFirstColumn="0" w:lastRowLastColumn="0"/>
            <w:tcW w:w="799" w:type="pct"/>
            <w:vMerge w:val="restart"/>
            <w:tcBorders>
              <w:top w:val="single" w:sz="12" w:space="0" w:color="auto"/>
            </w:tcBorders>
            <w:hideMark/>
          </w:tcPr>
          <w:p w14:paraId="5E656399" w14:textId="77777777" w:rsidR="00AC15BC" w:rsidRDefault="00AC15BC" w:rsidP="002029C0">
            <w:pPr>
              <w:spacing w:after="160"/>
              <w:jc w:val="center"/>
              <w:rPr>
                <w:b w:val="0"/>
                <w:bCs w:val="0"/>
              </w:rPr>
            </w:pPr>
          </w:p>
          <w:p w14:paraId="72AAC2EA" w14:textId="77777777" w:rsidR="00AC15BC" w:rsidRPr="00AA7D52" w:rsidRDefault="00AC15BC" w:rsidP="002029C0">
            <w:pPr>
              <w:spacing w:after="160"/>
              <w:jc w:val="center"/>
              <w:rPr>
                <w:bCs w:val="0"/>
              </w:rPr>
            </w:pPr>
            <w:r w:rsidRPr="00AA7D52">
              <w:rPr>
                <w:bCs w:val="0"/>
              </w:rPr>
              <w:t xml:space="preserve">Assay </w:t>
            </w:r>
            <w:r>
              <w:rPr>
                <w:bCs w:val="0"/>
              </w:rPr>
              <w:t>3</w:t>
            </w:r>
          </w:p>
        </w:tc>
        <w:tc>
          <w:tcPr>
            <w:tcW w:w="733" w:type="pct"/>
            <w:tcBorders>
              <w:top w:val="single" w:sz="12" w:space="0" w:color="auto"/>
            </w:tcBorders>
            <w:hideMark/>
          </w:tcPr>
          <w:p w14:paraId="5460140D" w14:textId="77777777" w:rsidR="009414C7" w:rsidRDefault="009414C7" w:rsidP="002029C0">
            <w:pPr>
              <w:spacing w:after="160"/>
              <w:jc w:val="center"/>
              <w:cnfStyle w:val="000000000000" w:firstRow="0" w:lastRow="0" w:firstColumn="0" w:lastColumn="0" w:oddVBand="0" w:evenVBand="0" w:oddHBand="0" w:evenHBand="0" w:firstRowFirstColumn="0" w:firstRowLastColumn="0" w:lastRowFirstColumn="0" w:lastRowLastColumn="0"/>
            </w:pPr>
            <w:r>
              <w:t>15.6ng/mL</w:t>
            </w:r>
          </w:p>
          <w:p w14:paraId="1C047F26" w14:textId="1DA815FC" w:rsidR="00AC15BC" w:rsidRPr="00D2654A" w:rsidRDefault="002029C0" w:rsidP="002029C0">
            <w:pPr>
              <w:spacing w:after="160"/>
              <w:jc w:val="center"/>
              <w:cnfStyle w:val="000000000000" w:firstRow="0" w:lastRow="0" w:firstColumn="0" w:lastColumn="0" w:oddVBand="0" w:evenVBand="0" w:oddHBand="0" w:evenHBand="0" w:firstRowFirstColumn="0" w:firstRowLastColumn="0" w:lastRowFirstColumn="0" w:lastRowLastColumn="0"/>
            </w:pPr>
            <w:r>
              <w:t>40</w:t>
            </w:r>
            <w:r w:rsidR="00AC15BC" w:rsidRPr="00D2654A">
              <w:t>ng/</w:t>
            </w:r>
            <w:r w:rsidR="00AC15BC">
              <w:t>mL</w:t>
            </w:r>
          </w:p>
        </w:tc>
        <w:tc>
          <w:tcPr>
            <w:tcW w:w="536" w:type="pct"/>
            <w:tcBorders>
              <w:top w:val="single" w:sz="12" w:space="0" w:color="auto"/>
            </w:tcBorders>
            <w:hideMark/>
          </w:tcPr>
          <w:p w14:paraId="132E05D7" w14:textId="77777777" w:rsidR="007C2FE7" w:rsidRDefault="007C2FE7" w:rsidP="002029C0">
            <w:pPr>
              <w:spacing w:after="160"/>
              <w:jc w:val="center"/>
              <w:cnfStyle w:val="000000000000" w:firstRow="0" w:lastRow="0" w:firstColumn="0" w:lastColumn="0" w:oddVBand="0" w:evenVBand="0" w:oddHBand="0" w:evenHBand="0" w:firstRowFirstColumn="0" w:firstRowLastColumn="0" w:lastRowFirstColumn="0" w:lastRowLastColumn="0"/>
            </w:pPr>
            <w:r>
              <w:t xml:space="preserve">15.5 </w:t>
            </w:r>
            <w:r w:rsidRPr="00D2654A">
              <w:t>±</w:t>
            </w:r>
            <w:r>
              <w:t>0.48</w:t>
            </w:r>
          </w:p>
          <w:p w14:paraId="738E9D42" w14:textId="6050B49E" w:rsidR="00AC15BC" w:rsidRPr="00D2654A" w:rsidRDefault="002029C0" w:rsidP="002029C0">
            <w:pPr>
              <w:spacing w:after="160"/>
              <w:jc w:val="center"/>
              <w:cnfStyle w:val="000000000000" w:firstRow="0" w:lastRow="0" w:firstColumn="0" w:lastColumn="0" w:oddVBand="0" w:evenVBand="0" w:oddHBand="0" w:evenHBand="0" w:firstRowFirstColumn="0" w:firstRowLastColumn="0" w:lastRowFirstColumn="0" w:lastRowLastColumn="0"/>
            </w:pPr>
            <w:r>
              <w:t>38.1</w:t>
            </w:r>
            <w:r w:rsidR="00AC15BC" w:rsidRPr="00D2654A">
              <w:t xml:space="preserve"> ±</w:t>
            </w:r>
            <w:r>
              <w:t>0.33</w:t>
            </w:r>
          </w:p>
        </w:tc>
        <w:tc>
          <w:tcPr>
            <w:tcW w:w="593" w:type="pct"/>
            <w:tcBorders>
              <w:top w:val="single" w:sz="12" w:space="0" w:color="auto"/>
            </w:tcBorders>
            <w:hideMark/>
          </w:tcPr>
          <w:p w14:paraId="2AF37270" w14:textId="77777777" w:rsidR="001834A9" w:rsidRDefault="001834A9" w:rsidP="002029C0">
            <w:pPr>
              <w:spacing w:after="160"/>
              <w:jc w:val="center"/>
              <w:cnfStyle w:val="000000000000" w:firstRow="0" w:lastRow="0" w:firstColumn="0" w:lastColumn="0" w:oddVBand="0" w:evenVBand="0" w:oddHBand="0" w:evenHBand="0" w:firstRowFirstColumn="0" w:firstRowLastColumn="0" w:lastRowFirstColumn="0" w:lastRowLastColumn="0"/>
            </w:pPr>
            <w:r>
              <w:t>-0.5</w:t>
            </w:r>
          </w:p>
          <w:p w14:paraId="4133DF9E" w14:textId="6851F366" w:rsidR="00AC15BC" w:rsidRPr="00D2654A" w:rsidRDefault="002029C0" w:rsidP="002029C0">
            <w:pPr>
              <w:spacing w:after="160"/>
              <w:jc w:val="center"/>
              <w:cnfStyle w:val="000000000000" w:firstRow="0" w:lastRow="0" w:firstColumn="0" w:lastColumn="0" w:oddVBand="0" w:evenVBand="0" w:oddHBand="0" w:evenHBand="0" w:firstRowFirstColumn="0" w:firstRowLastColumn="0" w:lastRowFirstColumn="0" w:lastRowLastColumn="0"/>
            </w:pPr>
            <w:r>
              <w:t>-4.9</w:t>
            </w:r>
          </w:p>
        </w:tc>
        <w:tc>
          <w:tcPr>
            <w:tcW w:w="606" w:type="pct"/>
            <w:tcBorders>
              <w:top w:val="single" w:sz="12" w:space="0" w:color="auto"/>
            </w:tcBorders>
            <w:hideMark/>
          </w:tcPr>
          <w:p w14:paraId="14B978D2" w14:textId="77777777" w:rsidR="001834A9" w:rsidRDefault="001834A9" w:rsidP="002029C0">
            <w:pPr>
              <w:spacing w:after="160"/>
              <w:jc w:val="center"/>
              <w:cnfStyle w:val="000000000000" w:firstRow="0" w:lastRow="0" w:firstColumn="0" w:lastColumn="0" w:oddVBand="0" w:evenVBand="0" w:oddHBand="0" w:evenHBand="0" w:firstRowFirstColumn="0" w:firstRowLastColumn="0" w:lastRowFirstColumn="0" w:lastRowLastColumn="0"/>
            </w:pPr>
            <w:r>
              <w:t>3.1</w:t>
            </w:r>
          </w:p>
          <w:p w14:paraId="7E1686F0" w14:textId="29D61391" w:rsidR="00AC15BC" w:rsidRPr="00D2654A" w:rsidRDefault="002029C0" w:rsidP="002029C0">
            <w:pPr>
              <w:spacing w:after="160"/>
              <w:jc w:val="center"/>
              <w:cnfStyle w:val="000000000000" w:firstRow="0" w:lastRow="0" w:firstColumn="0" w:lastColumn="0" w:oddVBand="0" w:evenVBand="0" w:oddHBand="0" w:evenHBand="0" w:firstRowFirstColumn="0" w:firstRowLastColumn="0" w:lastRowFirstColumn="0" w:lastRowLastColumn="0"/>
            </w:pPr>
            <w:r>
              <w:t>0.9</w:t>
            </w:r>
          </w:p>
        </w:tc>
      </w:tr>
      <w:tr w:rsidR="00AC15BC" w:rsidRPr="00D2654A" w14:paraId="340D249B" w14:textId="77777777" w:rsidTr="00F62587">
        <w:tblPrEx>
          <w:tblLook w:val="04A0" w:firstRow="1" w:lastRow="0" w:firstColumn="1" w:lastColumn="0" w:noHBand="0" w:noVBand="1"/>
        </w:tblPrEx>
        <w:trPr>
          <w:gridAfter w:val="3"/>
          <w:cnfStyle w:val="000000100000" w:firstRow="0" w:lastRow="0" w:firstColumn="0" w:lastColumn="0" w:oddVBand="0" w:evenVBand="0" w:oddHBand="1" w:evenHBand="0" w:firstRowFirstColumn="0" w:firstRowLastColumn="0" w:lastRowFirstColumn="0" w:lastRowLastColumn="0"/>
          <w:wAfter w:w="1733" w:type="pct"/>
          <w:trHeight w:val="195"/>
        </w:trPr>
        <w:tc>
          <w:tcPr>
            <w:cnfStyle w:val="001000000000" w:firstRow="0" w:lastRow="0" w:firstColumn="1" w:lastColumn="0" w:oddVBand="0" w:evenVBand="0" w:oddHBand="0" w:evenHBand="0" w:firstRowFirstColumn="0" w:firstRowLastColumn="0" w:lastRowFirstColumn="0" w:lastRowLastColumn="0"/>
            <w:tcW w:w="799" w:type="pct"/>
            <w:vMerge/>
            <w:tcBorders>
              <w:top w:val="none" w:sz="0" w:space="0" w:color="auto"/>
              <w:bottom w:val="none" w:sz="0" w:space="0" w:color="auto"/>
            </w:tcBorders>
            <w:hideMark/>
          </w:tcPr>
          <w:p w14:paraId="59FEECBA" w14:textId="77777777" w:rsidR="00AC15BC" w:rsidRPr="00D2654A" w:rsidRDefault="00AC15BC" w:rsidP="002029C0">
            <w:pPr>
              <w:spacing w:after="160"/>
              <w:jc w:val="center"/>
            </w:pPr>
          </w:p>
        </w:tc>
        <w:tc>
          <w:tcPr>
            <w:tcW w:w="733" w:type="pct"/>
            <w:tcBorders>
              <w:top w:val="none" w:sz="0" w:space="0" w:color="auto"/>
              <w:bottom w:val="none" w:sz="0" w:space="0" w:color="auto"/>
            </w:tcBorders>
            <w:hideMark/>
          </w:tcPr>
          <w:p w14:paraId="23CC8D9D" w14:textId="79BBE9AC" w:rsidR="00AC15BC" w:rsidRPr="00D2654A" w:rsidRDefault="002029C0" w:rsidP="002029C0">
            <w:pPr>
              <w:spacing w:after="160"/>
              <w:jc w:val="center"/>
              <w:cnfStyle w:val="000000100000" w:firstRow="0" w:lastRow="0" w:firstColumn="0" w:lastColumn="0" w:oddVBand="0" w:evenVBand="0" w:oddHBand="1" w:evenHBand="0" w:firstRowFirstColumn="0" w:firstRowLastColumn="0" w:lastRowFirstColumn="0" w:lastRowLastColumn="0"/>
            </w:pPr>
            <w:r>
              <w:t>400</w:t>
            </w:r>
            <w:r w:rsidR="00AC15BC">
              <w:t>ng/mL</w:t>
            </w:r>
          </w:p>
        </w:tc>
        <w:tc>
          <w:tcPr>
            <w:tcW w:w="536" w:type="pct"/>
            <w:tcBorders>
              <w:top w:val="none" w:sz="0" w:space="0" w:color="auto"/>
              <w:bottom w:val="none" w:sz="0" w:space="0" w:color="auto"/>
            </w:tcBorders>
            <w:hideMark/>
          </w:tcPr>
          <w:p w14:paraId="7961850A" w14:textId="58EBFC2B" w:rsidR="00AC15BC" w:rsidRPr="00D2654A" w:rsidRDefault="002029C0" w:rsidP="002029C0">
            <w:pPr>
              <w:spacing w:after="160"/>
              <w:jc w:val="center"/>
              <w:cnfStyle w:val="000000100000" w:firstRow="0" w:lastRow="0" w:firstColumn="0" w:lastColumn="0" w:oddVBand="0" w:evenVBand="0" w:oddHBand="1" w:evenHBand="0" w:firstRowFirstColumn="0" w:firstRowLastColumn="0" w:lastRowFirstColumn="0" w:lastRowLastColumn="0"/>
            </w:pPr>
            <w:r>
              <w:t>395.0</w:t>
            </w:r>
            <w:r w:rsidR="00AC15BC" w:rsidRPr="00D2654A">
              <w:t xml:space="preserve"> ±</w:t>
            </w:r>
            <w:r>
              <w:t>6.23</w:t>
            </w:r>
          </w:p>
        </w:tc>
        <w:tc>
          <w:tcPr>
            <w:tcW w:w="593" w:type="pct"/>
            <w:tcBorders>
              <w:top w:val="none" w:sz="0" w:space="0" w:color="auto"/>
              <w:bottom w:val="none" w:sz="0" w:space="0" w:color="auto"/>
            </w:tcBorders>
            <w:hideMark/>
          </w:tcPr>
          <w:p w14:paraId="2D39DC00" w14:textId="63CD851D" w:rsidR="00AC15BC" w:rsidRPr="00D2654A" w:rsidRDefault="002029C0" w:rsidP="002029C0">
            <w:pPr>
              <w:spacing w:after="160"/>
              <w:jc w:val="center"/>
              <w:cnfStyle w:val="000000100000" w:firstRow="0" w:lastRow="0" w:firstColumn="0" w:lastColumn="0" w:oddVBand="0" w:evenVBand="0" w:oddHBand="1" w:evenHBand="0" w:firstRowFirstColumn="0" w:firstRowLastColumn="0" w:lastRowFirstColumn="0" w:lastRowLastColumn="0"/>
            </w:pPr>
            <w:r>
              <w:t>1.6</w:t>
            </w:r>
          </w:p>
        </w:tc>
        <w:tc>
          <w:tcPr>
            <w:tcW w:w="606" w:type="pct"/>
            <w:tcBorders>
              <w:top w:val="none" w:sz="0" w:space="0" w:color="auto"/>
              <w:bottom w:val="none" w:sz="0" w:space="0" w:color="auto"/>
            </w:tcBorders>
            <w:hideMark/>
          </w:tcPr>
          <w:p w14:paraId="1FB9C026" w14:textId="3BC2EA4D" w:rsidR="00AC15BC" w:rsidRPr="00D2654A" w:rsidRDefault="002029C0" w:rsidP="002029C0">
            <w:pPr>
              <w:spacing w:after="160"/>
              <w:jc w:val="center"/>
              <w:cnfStyle w:val="000000100000" w:firstRow="0" w:lastRow="0" w:firstColumn="0" w:lastColumn="0" w:oddVBand="0" w:evenVBand="0" w:oddHBand="1" w:evenHBand="0" w:firstRowFirstColumn="0" w:firstRowLastColumn="0" w:lastRowFirstColumn="0" w:lastRowLastColumn="0"/>
            </w:pPr>
            <w:r>
              <w:t>1.6</w:t>
            </w:r>
          </w:p>
        </w:tc>
      </w:tr>
      <w:tr w:rsidR="00AC15BC" w:rsidRPr="00D2654A" w14:paraId="5A136AE3" w14:textId="77777777" w:rsidTr="00F62587">
        <w:tblPrEx>
          <w:tblLook w:val="04A0" w:firstRow="1" w:lastRow="0" w:firstColumn="1" w:lastColumn="0" w:noHBand="0" w:noVBand="1"/>
        </w:tblPrEx>
        <w:trPr>
          <w:gridAfter w:val="3"/>
          <w:wAfter w:w="1733" w:type="pct"/>
          <w:trHeight w:val="195"/>
        </w:trPr>
        <w:tc>
          <w:tcPr>
            <w:cnfStyle w:val="001000000000" w:firstRow="0" w:lastRow="0" w:firstColumn="1" w:lastColumn="0" w:oddVBand="0" w:evenVBand="0" w:oddHBand="0" w:evenHBand="0" w:firstRowFirstColumn="0" w:firstRowLastColumn="0" w:lastRowFirstColumn="0" w:lastRowLastColumn="0"/>
            <w:tcW w:w="799" w:type="pct"/>
            <w:vMerge/>
            <w:tcBorders>
              <w:bottom w:val="single" w:sz="12" w:space="0" w:color="auto"/>
            </w:tcBorders>
          </w:tcPr>
          <w:p w14:paraId="77422DFD" w14:textId="77777777" w:rsidR="00AC15BC" w:rsidRPr="00D2654A" w:rsidRDefault="00AC15BC" w:rsidP="002029C0">
            <w:pPr>
              <w:spacing w:after="160"/>
              <w:jc w:val="center"/>
            </w:pPr>
          </w:p>
        </w:tc>
        <w:tc>
          <w:tcPr>
            <w:tcW w:w="733" w:type="pct"/>
            <w:tcBorders>
              <w:bottom w:val="single" w:sz="12" w:space="0" w:color="auto"/>
            </w:tcBorders>
          </w:tcPr>
          <w:p w14:paraId="40EB4164" w14:textId="5244E418" w:rsidR="00AC15BC" w:rsidRPr="00D2654A" w:rsidRDefault="002029C0" w:rsidP="002029C0">
            <w:pPr>
              <w:spacing w:after="160"/>
              <w:jc w:val="center"/>
              <w:cnfStyle w:val="000000000000" w:firstRow="0" w:lastRow="0" w:firstColumn="0" w:lastColumn="0" w:oddVBand="0" w:evenVBand="0" w:oddHBand="0" w:evenHBand="0" w:firstRowFirstColumn="0" w:firstRowLastColumn="0" w:lastRowFirstColumn="0" w:lastRowLastColumn="0"/>
            </w:pPr>
            <w:r>
              <w:t>800</w:t>
            </w:r>
            <w:r w:rsidR="00AC15BC">
              <w:t>ng/mL</w:t>
            </w:r>
          </w:p>
        </w:tc>
        <w:tc>
          <w:tcPr>
            <w:tcW w:w="536" w:type="pct"/>
            <w:tcBorders>
              <w:bottom w:val="single" w:sz="12" w:space="0" w:color="auto"/>
            </w:tcBorders>
          </w:tcPr>
          <w:p w14:paraId="1C38642F" w14:textId="3ABDD767" w:rsidR="00AC15BC" w:rsidRPr="00D2654A" w:rsidRDefault="002029C0" w:rsidP="002029C0">
            <w:pPr>
              <w:spacing w:after="160"/>
              <w:jc w:val="center"/>
              <w:cnfStyle w:val="000000000000" w:firstRow="0" w:lastRow="0" w:firstColumn="0" w:lastColumn="0" w:oddVBand="0" w:evenVBand="0" w:oddHBand="0" w:evenHBand="0" w:firstRowFirstColumn="0" w:firstRowLastColumn="0" w:lastRowFirstColumn="0" w:lastRowLastColumn="0"/>
            </w:pPr>
            <w:r>
              <w:t>802.6</w:t>
            </w:r>
            <w:r w:rsidR="00AC15BC" w:rsidRPr="00D2654A">
              <w:t xml:space="preserve"> ±</w:t>
            </w:r>
            <w:r>
              <w:t>20.40</w:t>
            </w:r>
          </w:p>
        </w:tc>
        <w:tc>
          <w:tcPr>
            <w:tcW w:w="593" w:type="pct"/>
            <w:tcBorders>
              <w:bottom w:val="single" w:sz="12" w:space="0" w:color="auto"/>
            </w:tcBorders>
          </w:tcPr>
          <w:p w14:paraId="3A682429" w14:textId="2664143A" w:rsidR="00AC15BC" w:rsidRPr="00D2654A" w:rsidRDefault="002029C0" w:rsidP="002029C0">
            <w:pPr>
              <w:spacing w:after="160"/>
              <w:jc w:val="center"/>
              <w:cnfStyle w:val="000000000000" w:firstRow="0" w:lastRow="0" w:firstColumn="0" w:lastColumn="0" w:oddVBand="0" w:evenVBand="0" w:oddHBand="0" w:evenHBand="0" w:firstRowFirstColumn="0" w:firstRowLastColumn="0" w:lastRowFirstColumn="0" w:lastRowLastColumn="0"/>
            </w:pPr>
            <w:r>
              <w:t>0.3</w:t>
            </w:r>
          </w:p>
        </w:tc>
        <w:tc>
          <w:tcPr>
            <w:tcW w:w="606" w:type="pct"/>
            <w:tcBorders>
              <w:bottom w:val="single" w:sz="12" w:space="0" w:color="auto"/>
            </w:tcBorders>
          </w:tcPr>
          <w:p w14:paraId="483FFE81" w14:textId="042F09DA" w:rsidR="00AC15BC" w:rsidRPr="00D2654A" w:rsidRDefault="002029C0" w:rsidP="002029C0">
            <w:pPr>
              <w:spacing w:after="160"/>
              <w:jc w:val="center"/>
              <w:cnfStyle w:val="000000000000" w:firstRow="0" w:lastRow="0" w:firstColumn="0" w:lastColumn="0" w:oddVBand="0" w:evenVBand="0" w:oddHBand="0" w:evenHBand="0" w:firstRowFirstColumn="0" w:firstRowLastColumn="0" w:lastRowFirstColumn="0" w:lastRowLastColumn="0"/>
            </w:pPr>
            <w:r>
              <w:t>2.5</w:t>
            </w:r>
          </w:p>
        </w:tc>
      </w:tr>
    </w:tbl>
    <w:p w14:paraId="20B461A9" w14:textId="2B052DA1" w:rsidR="00F62587" w:rsidRDefault="00F62587" w:rsidP="0045431D">
      <w:pPr>
        <w:jc w:val="both"/>
        <w:rPr>
          <w:b/>
          <w:bCs/>
          <w:lang w:val="en-GB"/>
        </w:rPr>
      </w:pPr>
    </w:p>
    <w:p w14:paraId="00B44578" w14:textId="1ED9C71D" w:rsidR="00105E4A" w:rsidRDefault="00105E4A" w:rsidP="0045431D">
      <w:pPr>
        <w:jc w:val="both"/>
        <w:rPr>
          <w:b/>
          <w:bCs/>
          <w:lang w:val="en-GB"/>
        </w:rPr>
      </w:pPr>
    </w:p>
    <w:p w14:paraId="2811ABC9" w14:textId="48F81456" w:rsidR="00105E4A" w:rsidRDefault="00105E4A" w:rsidP="0045431D">
      <w:pPr>
        <w:jc w:val="both"/>
        <w:rPr>
          <w:b/>
          <w:bCs/>
          <w:lang w:val="en-GB"/>
        </w:rPr>
      </w:pPr>
    </w:p>
    <w:p w14:paraId="74FAD984" w14:textId="4ADF8143" w:rsidR="00105E4A" w:rsidRDefault="001E6733" w:rsidP="0045431D">
      <w:pPr>
        <w:jc w:val="both"/>
        <w:rPr>
          <w:b/>
          <w:bCs/>
          <w:lang w:val="en-GB"/>
        </w:rPr>
      </w:pPr>
      <w:r>
        <w:rPr>
          <w:b/>
          <w:bCs/>
          <w:lang w:val="en-GB"/>
        </w:rPr>
        <w:lastRenderedPageBreak/>
        <w:t xml:space="preserve">Table </w:t>
      </w:r>
      <w:r w:rsidR="00D1256D">
        <w:rPr>
          <w:b/>
          <w:bCs/>
          <w:lang w:val="en-GB"/>
        </w:rPr>
        <w:t>4</w:t>
      </w:r>
      <w:r>
        <w:rPr>
          <w:b/>
          <w:bCs/>
          <w:lang w:val="en-GB"/>
        </w:rPr>
        <w:t xml:space="preserve"> </w:t>
      </w:r>
      <w:r>
        <w:rPr>
          <w:lang w:val="en-GB"/>
        </w:rPr>
        <w:t xml:space="preserve">shows the part validation of each of the investigated matrices. The data shows the average </w:t>
      </w:r>
      <w:r w:rsidR="00D1256D">
        <w:rPr>
          <w:lang w:val="en-GB"/>
        </w:rPr>
        <w:t xml:space="preserve">quantitated sample at 3 levels, the % deviation in accuracy and the % deviation in precision. Acceptance criteria is variation no more than 15%, excluding the lower concentration </w:t>
      </w:r>
      <w:r w:rsidR="00B356CF">
        <w:rPr>
          <w:lang w:val="en-GB"/>
        </w:rPr>
        <w:t>where</w:t>
      </w:r>
      <w:r w:rsidR="00D1256D">
        <w:rPr>
          <w:lang w:val="en-GB"/>
        </w:rPr>
        <w:t xml:space="preserve"> deviation may be no more than 20%.</w:t>
      </w:r>
    </w:p>
    <w:tbl>
      <w:tblPr>
        <w:tblStyle w:val="PlainTable2"/>
        <w:tblW w:w="3377" w:type="pct"/>
        <w:jc w:val="center"/>
        <w:tblBorders>
          <w:top w:val="none" w:sz="0" w:space="0" w:color="auto"/>
          <w:bottom w:val="none" w:sz="0" w:space="0" w:color="auto"/>
        </w:tblBorders>
        <w:tblLook w:val="0420" w:firstRow="1" w:lastRow="0" w:firstColumn="0" w:lastColumn="0" w:noHBand="0" w:noVBand="1"/>
      </w:tblPr>
      <w:tblGrid>
        <w:gridCol w:w="2141"/>
        <w:gridCol w:w="1964"/>
        <w:gridCol w:w="1435"/>
        <w:gridCol w:w="1590"/>
        <w:gridCol w:w="1623"/>
      </w:tblGrid>
      <w:tr w:rsidR="00165C70" w:rsidRPr="00D2654A" w14:paraId="48DA7912" w14:textId="77777777" w:rsidTr="00165C70">
        <w:trPr>
          <w:cnfStyle w:val="100000000000" w:firstRow="1" w:lastRow="0" w:firstColumn="0" w:lastColumn="0" w:oddVBand="0" w:evenVBand="0" w:oddHBand="0" w:evenHBand="0" w:firstRowFirstColumn="0" w:firstRowLastColumn="0" w:lastRowFirstColumn="0" w:lastRowLastColumn="0"/>
          <w:trHeight w:val="252"/>
          <w:jc w:val="center"/>
        </w:trPr>
        <w:tc>
          <w:tcPr>
            <w:tcW w:w="1223" w:type="pct"/>
            <w:vMerge w:val="restart"/>
            <w:tcBorders>
              <w:top w:val="single" w:sz="12" w:space="0" w:color="auto"/>
              <w:bottom w:val="none" w:sz="0" w:space="0" w:color="auto"/>
            </w:tcBorders>
            <w:vAlign w:val="center"/>
            <w:hideMark/>
          </w:tcPr>
          <w:p w14:paraId="74AEA113" w14:textId="58F98E54" w:rsidR="00165C70" w:rsidRPr="00D2654A" w:rsidRDefault="00F62587" w:rsidP="002029C0">
            <w:pPr>
              <w:spacing w:after="160"/>
              <w:jc w:val="center"/>
            </w:pPr>
            <w:r>
              <w:rPr>
                <w:b w:val="0"/>
                <w:bCs w:val="0"/>
              </w:rPr>
              <w:br w:type="page"/>
            </w:r>
          </w:p>
        </w:tc>
        <w:tc>
          <w:tcPr>
            <w:tcW w:w="1122" w:type="pct"/>
            <w:vMerge w:val="restart"/>
            <w:tcBorders>
              <w:top w:val="single" w:sz="12" w:space="0" w:color="auto"/>
              <w:bottom w:val="none" w:sz="0" w:space="0" w:color="auto"/>
            </w:tcBorders>
            <w:vAlign w:val="center"/>
            <w:hideMark/>
          </w:tcPr>
          <w:p w14:paraId="6A664338" w14:textId="77777777" w:rsidR="00165C70" w:rsidRPr="00D2654A" w:rsidRDefault="00165C70" w:rsidP="002029C0">
            <w:pPr>
              <w:spacing w:after="160"/>
              <w:jc w:val="center"/>
            </w:pPr>
          </w:p>
        </w:tc>
        <w:tc>
          <w:tcPr>
            <w:tcW w:w="820" w:type="pct"/>
            <w:vMerge w:val="restart"/>
            <w:tcBorders>
              <w:top w:val="single" w:sz="12" w:space="0" w:color="auto"/>
              <w:bottom w:val="none" w:sz="0" w:space="0" w:color="auto"/>
            </w:tcBorders>
            <w:vAlign w:val="center"/>
            <w:hideMark/>
          </w:tcPr>
          <w:p w14:paraId="702DBC25" w14:textId="77777777" w:rsidR="00165C70" w:rsidRPr="00D2654A" w:rsidRDefault="00165C70" w:rsidP="002029C0">
            <w:pPr>
              <w:spacing w:after="160"/>
              <w:jc w:val="center"/>
            </w:pPr>
            <w:r w:rsidRPr="00D2654A">
              <w:t>Average ± SD (ng/</w:t>
            </w:r>
            <w:r>
              <w:t>mL</w:t>
            </w:r>
            <w:r w:rsidRPr="00D2654A">
              <w:t>)</w:t>
            </w:r>
          </w:p>
        </w:tc>
        <w:tc>
          <w:tcPr>
            <w:tcW w:w="1835" w:type="pct"/>
            <w:gridSpan w:val="2"/>
            <w:tcBorders>
              <w:top w:val="single" w:sz="12" w:space="0" w:color="auto"/>
              <w:bottom w:val="none" w:sz="0" w:space="0" w:color="auto"/>
            </w:tcBorders>
            <w:vAlign w:val="center"/>
            <w:hideMark/>
          </w:tcPr>
          <w:p w14:paraId="2597BA80" w14:textId="77777777" w:rsidR="00165C70" w:rsidRPr="00D2654A" w:rsidRDefault="00165C70" w:rsidP="002029C0">
            <w:pPr>
              <w:spacing w:after="160"/>
              <w:jc w:val="center"/>
            </w:pPr>
            <w:r w:rsidRPr="00D2654A">
              <w:t>Intra-day</w:t>
            </w:r>
          </w:p>
        </w:tc>
      </w:tr>
      <w:tr w:rsidR="00165C70" w:rsidRPr="00D2654A" w14:paraId="11EA8F54" w14:textId="77777777" w:rsidTr="00165C70">
        <w:trPr>
          <w:cnfStyle w:val="000000100000" w:firstRow="0" w:lastRow="0" w:firstColumn="0" w:lastColumn="0" w:oddVBand="0" w:evenVBand="0" w:oddHBand="1" w:evenHBand="0" w:firstRowFirstColumn="0" w:firstRowLastColumn="0" w:lastRowFirstColumn="0" w:lastRowLastColumn="0"/>
          <w:trHeight w:val="1171"/>
          <w:jc w:val="center"/>
        </w:trPr>
        <w:tc>
          <w:tcPr>
            <w:tcW w:w="1223" w:type="pct"/>
            <w:vMerge/>
            <w:tcBorders>
              <w:top w:val="none" w:sz="0" w:space="0" w:color="auto"/>
              <w:bottom w:val="single" w:sz="12" w:space="0" w:color="auto"/>
            </w:tcBorders>
            <w:vAlign w:val="center"/>
            <w:hideMark/>
          </w:tcPr>
          <w:p w14:paraId="006386B4" w14:textId="77777777" w:rsidR="00165C70" w:rsidRPr="00D2654A" w:rsidRDefault="00165C70" w:rsidP="002029C0">
            <w:pPr>
              <w:spacing w:after="160"/>
              <w:jc w:val="center"/>
            </w:pPr>
          </w:p>
        </w:tc>
        <w:tc>
          <w:tcPr>
            <w:tcW w:w="1122" w:type="pct"/>
            <w:vMerge/>
            <w:tcBorders>
              <w:top w:val="none" w:sz="0" w:space="0" w:color="auto"/>
              <w:bottom w:val="single" w:sz="12" w:space="0" w:color="auto"/>
            </w:tcBorders>
            <w:vAlign w:val="center"/>
            <w:hideMark/>
          </w:tcPr>
          <w:p w14:paraId="05334EBB" w14:textId="77777777" w:rsidR="00165C70" w:rsidRPr="00D2654A" w:rsidRDefault="00165C70" w:rsidP="002029C0">
            <w:pPr>
              <w:spacing w:after="160"/>
              <w:jc w:val="center"/>
            </w:pPr>
          </w:p>
        </w:tc>
        <w:tc>
          <w:tcPr>
            <w:tcW w:w="820" w:type="pct"/>
            <w:vMerge/>
            <w:tcBorders>
              <w:top w:val="none" w:sz="0" w:space="0" w:color="auto"/>
              <w:bottom w:val="single" w:sz="12" w:space="0" w:color="auto"/>
            </w:tcBorders>
            <w:vAlign w:val="center"/>
            <w:hideMark/>
          </w:tcPr>
          <w:p w14:paraId="1C601D46" w14:textId="77777777" w:rsidR="00165C70" w:rsidRPr="00D2654A" w:rsidRDefault="00165C70" w:rsidP="002029C0">
            <w:pPr>
              <w:spacing w:after="160"/>
              <w:jc w:val="center"/>
            </w:pPr>
          </w:p>
        </w:tc>
        <w:tc>
          <w:tcPr>
            <w:tcW w:w="908" w:type="pct"/>
            <w:tcBorders>
              <w:top w:val="none" w:sz="0" w:space="0" w:color="auto"/>
              <w:bottom w:val="single" w:sz="12" w:space="0" w:color="auto"/>
            </w:tcBorders>
            <w:vAlign w:val="center"/>
            <w:hideMark/>
          </w:tcPr>
          <w:p w14:paraId="2E4FD744" w14:textId="77777777" w:rsidR="00165C70" w:rsidRPr="00D2654A" w:rsidRDefault="00165C70" w:rsidP="002029C0">
            <w:pPr>
              <w:spacing w:after="160"/>
              <w:jc w:val="center"/>
            </w:pPr>
            <w:r w:rsidRPr="00D2654A">
              <w:t>Variance of accuracy (%)</w:t>
            </w:r>
          </w:p>
        </w:tc>
        <w:tc>
          <w:tcPr>
            <w:tcW w:w="927" w:type="pct"/>
            <w:tcBorders>
              <w:top w:val="none" w:sz="0" w:space="0" w:color="auto"/>
              <w:bottom w:val="single" w:sz="12" w:space="0" w:color="auto"/>
            </w:tcBorders>
            <w:vAlign w:val="center"/>
            <w:hideMark/>
          </w:tcPr>
          <w:p w14:paraId="48020E47" w14:textId="77777777" w:rsidR="00165C70" w:rsidRPr="00D2654A" w:rsidRDefault="00165C70" w:rsidP="002029C0">
            <w:pPr>
              <w:spacing w:after="160"/>
              <w:jc w:val="center"/>
            </w:pPr>
            <w:r w:rsidRPr="00D2654A">
              <w:t>Variance of precision (%)</w:t>
            </w:r>
          </w:p>
        </w:tc>
      </w:tr>
      <w:tr w:rsidR="007815A3" w:rsidRPr="00D2654A" w14:paraId="08C918F0" w14:textId="77777777" w:rsidTr="009B402B">
        <w:trPr>
          <w:trHeight w:val="383"/>
          <w:jc w:val="center"/>
        </w:trPr>
        <w:tc>
          <w:tcPr>
            <w:tcW w:w="1223" w:type="pct"/>
            <w:vMerge w:val="restart"/>
            <w:tcBorders>
              <w:top w:val="single" w:sz="12" w:space="0" w:color="auto"/>
            </w:tcBorders>
            <w:vAlign w:val="center"/>
          </w:tcPr>
          <w:p w14:paraId="6E8936EB" w14:textId="77777777" w:rsidR="007815A3" w:rsidRPr="00D2654A" w:rsidRDefault="007815A3" w:rsidP="007815A3">
            <w:pPr>
              <w:jc w:val="center"/>
              <w:rPr>
                <w:b/>
                <w:bCs/>
              </w:rPr>
            </w:pPr>
            <w:r>
              <w:rPr>
                <w:b/>
                <w:bCs/>
              </w:rPr>
              <w:t>Human Plasma</w:t>
            </w:r>
          </w:p>
        </w:tc>
        <w:tc>
          <w:tcPr>
            <w:tcW w:w="1122" w:type="pct"/>
            <w:tcBorders>
              <w:top w:val="single" w:sz="12" w:space="0" w:color="auto"/>
            </w:tcBorders>
          </w:tcPr>
          <w:p w14:paraId="210CD86C" w14:textId="4B70BB3B" w:rsidR="007815A3" w:rsidRPr="00D2654A" w:rsidRDefault="007815A3" w:rsidP="007815A3">
            <w:pPr>
              <w:spacing w:after="160"/>
              <w:jc w:val="center"/>
            </w:pPr>
            <w:r>
              <w:t>40</w:t>
            </w:r>
            <w:r w:rsidRPr="00D2654A">
              <w:t>ng/</w:t>
            </w:r>
            <w:r>
              <w:t>mL</w:t>
            </w:r>
          </w:p>
        </w:tc>
        <w:tc>
          <w:tcPr>
            <w:tcW w:w="820" w:type="pct"/>
            <w:tcBorders>
              <w:top w:val="single" w:sz="12" w:space="0" w:color="auto"/>
            </w:tcBorders>
            <w:vAlign w:val="center"/>
          </w:tcPr>
          <w:p w14:paraId="04D7753D" w14:textId="7ADF0AA6" w:rsidR="007815A3" w:rsidRPr="00D2654A" w:rsidRDefault="007815A3" w:rsidP="007815A3">
            <w:pPr>
              <w:spacing w:after="160"/>
              <w:jc w:val="center"/>
            </w:pPr>
            <w:r>
              <w:t>40.4</w:t>
            </w:r>
            <w:r w:rsidRPr="00D2654A">
              <w:t xml:space="preserve"> ±</w:t>
            </w:r>
            <w:r w:rsidR="00A17484">
              <w:t>1.04</w:t>
            </w:r>
          </w:p>
        </w:tc>
        <w:tc>
          <w:tcPr>
            <w:tcW w:w="908" w:type="pct"/>
            <w:tcBorders>
              <w:top w:val="single" w:sz="12" w:space="0" w:color="auto"/>
            </w:tcBorders>
            <w:vAlign w:val="center"/>
          </w:tcPr>
          <w:p w14:paraId="58B95C02" w14:textId="3B3B0D85" w:rsidR="007815A3" w:rsidRPr="00D2654A" w:rsidRDefault="007815A3" w:rsidP="007815A3">
            <w:pPr>
              <w:spacing w:after="160"/>
              <w:jc w:val="center"/>
            </w:pPr>
            <w:r>
              <w:t>1.0</w:t>
            </w:r>
          </w:p>
        </w:tc>
        <w:tc>
          <w:tcPr>
            <w:tcW w:w="927" w:type="pct"/>
            <w:tcBorders>
              <w:top w:val="single" w:sz="12" w:space="0" w:color="auto"/>
            </w:tcBorders>
            <w:vAlign w:val="center"/>
          </w:tcPr>
          <w:p w14:paraId="5A0B9111" w14:textId="0F66DC41" w:rsidR="007815A3" w:rsidRPr="00D2654A" w:rsidRDefault="007815A3" w:rsidP="007815A3">
            <w:pPr>
              <w:spacing w:after="160"/>
              <w:jc w:val="center"/>
            </w:pPr>
            <w:r>
              <w:t>2.6</w:t>
            </w:r>
          </w:p>
        </w:tc>
      </w:tr>
      <w:tr w:rsidR="007815A3" w:rsidRPr="00D2654A" w14:paraId="61ADB999" w14:textId="77777777" w:rsidTr="009B402B">
        <w:trPr>
          <w:cnfStyle w:val="000000100000" w:firstRow="0" w:lastRow="0" w:firstColumn="0" w:lastColumn="0" w:oddVBand="0" w:evenVBand="0" w:oddHBand="1" w:evenHBand="0" w:firstRowFirstColumn="0" w:firstRowLastColumn="0" w:lastRowFirstColumn="0" w:lastRowLastColumn="0"/>
          <w:trHeight w:val="383"/>
          <w:jc w:val="center"/>
        </w:trPr>
        <w:tc>
          <w:tcPr>
            <w:tcW w:w="1223" w:type="pct"/>
            <w:vMerge/>
            <w:tcBorders>
              <w:top w:val="none" w:sz="0" w:space="0" w:color="auto"/>
              <w:bottom w:val="none" w:sz="0" w:space="0" w:color="auto"/>
            </w:tcBorders>
            <w:vAlign w:val="center"/>
            <w:hideMark/>
          </w:tcPr>
          <w:p w14:paraId="25CE67E9" w14:textId="77777777" w:rsidR="007815A3" w:rsidRPr="00D2654A" w:rsidRDefault="007815A3" w:rsidP="007815A3">
            <w:pPr>
              <w:spacing w:after="160"/>
              <w:jc w:val="center"/>
            </w:pPr>
          </w:p>
        </w:tc>
        <w:tc>
          <w:tcPr>
            <w:tcW w:w="1122" w:type="pct"/>
            <w:tcBorders>
              <w:top w:val="none" w:sz="0" w:space="0" w:color="auto"/>
              <w:bottom w:val="none" w:sz="0" w:space="0" w:color="auto"/>
            </w:tcBorders>
            <w:hideMark/>
          </w:tcPr>
          <w:p w14:paraId="7A751C60" w14:textId="26222FF2" w:rsidR="007815A3" w:rsidRPr="00D2654A" w:rsidRDefault="007815A3" w:rsidP="007815A3">
            <w:pPr>
              <w:spacing w:after="160"/>
              <w:jc w:val="center"/>
            </w:pPr>
            <w:r>
              <w:t>400ng/mL</w:t>
            </w:r>
          </w:p>
        </w:tc>
        <w:tc>
          <w:tcPr>
            <w:tcW w:w="820" w:type="pct"/>
            <w:tcBorders>
              <w:top w:val="none" w:sz="0" w:space="0" w:color="auto"/>
              <w:bottom w:val="none" w:sz="0" w:space="0" w:color="auto"/>
            </w:tcBorders>
            <w:vAlign w:val="center"/>
            <w:hideMark/>
          </w:tcPr>
          <w:p w14:paraId="79CE7AB2" w14:textId="13746425" w:rsidR="007815A3" w:rsidRPr="00D2654A" w:rsidRDefault="007815A3" w:rsidP="007815A3">
            <w:pPr>
              <w:spacing w:after="160"/>
              <w:jc w:val="center"/>
            </w:pPr>
            <w:r>
              <w:t>394.2</w:t>
            </w:r>
            <w:r w:rsidRPr="00D2654A">
              <w:t xml:space="preserve"> ±</w:t>
            </w:r>
            <w:r w:rsidR="00F27F06">
              <w:t>22.70</w:t>
            </w:r>
          </w:p>
        </w:tc>
        <w:tc>
          <w:tcPr>
            <w:tcW w:w="908" w:type="pct"/>
            <w:tcBorders>
              <w:top w:val="none" w:sz="0" w:space="0" w:color="auto"/>
              <w:bottom w:val="none" w:sz="0" w:space="0" w:color="auto"/>
            </w:tcBorders>
            <w:vAlign w:val="center"/>
            <w:hideMark/>
          </w:tcPr>
          <w:p w14:paraId="0145E731" w14:textId="0E5A3E10" w:rsidR="007815A3" w:rsidRPr="00D2654A" w:rsidRDefault="007815A3" w:rsidP="007815A3">
            <w:pPr>
              <w:spacing w:after="160"/>
              <w:jc w:val="center"/>
            </w:pPr>
            <w:r>
              <w:t>-1.4</w:t>
            </w:r>
          </w:p>
        </w:tc>
        <w:tc>
          <w:tcPr>
            <w:tcW w:w="927" w:type="pct"/>
            <w:tcBorders>
              <w:top w:val="none" w:sz="0" w:space="0" w:color="auto"/>
              <w:bottom w:val="none" w:sz="0" w:space="0" w:color="auto"/>
            </w:tcBorders>
            <w:vAlign w:val="center"/>
            <w:hideMark/>
          </w:tcPr>
          <w:p w14:paraId="71C30542" w14:textId="2E115FA2" w:rsidR="007815A3" w:rsidRPr="00D2654A" w:rsidRDefault="007815A3" w:rsidP="007815A3">
            <w:pPr>
              <w:spacing w:after="160"/>
              <w:jc w:val="center"/>
            </w:pPr>
            <w:r>
              <w:t>7.0</w:t>
            </w:r>
          </w:p>
        </w:tc>
      </w:tr>
      <w:tr w:rsidR="007815A3" w:rsidRPr="00D2654A" w14:paraId="0D31A272" w14:textId="77777777" w:rsidTr="009B402B">
        <w:trPr>
          <w:trHeight w:val="195"/>
          <w:jc w:val="center"/>
        </w:trPr>
        <w:tc>
          <w:tcPr>
            <w:tcW w:w="1223" w:type="pct"/>
            <w:vMerge/>
            <w:tcBorders>
              <w:bottom w:val="single" w:sz="12" w:space="0" w:color="auto"/>
            </w:tcBorders>
            <w:vAlign w:val="center"/>
            <w:hideMark/>
          </w:tcPr>
          <w:p w14:paraId="60B61B4A" w14:textId="77777777" w:rsidR="007815A3" w:rsidRPr="00D2654A" w:rsidRDefault="007815A3" w:rsidP="007815A3">
            <w:pPr>
              <w:spacing w:after="160"/>
              <w:jc w:val="center"/>
            </w:pPr>
          </w:p>
        </w:tc>
        <w:tc>
          <w:tcPr>
            <w:tcW w:w="1122" w:type="pct"/>
            <w:tcBorders>
              <w:bottom w:val="single" w:sz="12" w:space="0" w:color="auto"/>
            </w:tcBorders>
            <w:hideMark/>
          </w:tcPr>
          <w:p w14:paraId="4541D7A0" w14:textId="01BA11BE" w:rsidR="007815A3" w:rsidRPr="00D2654A" w:rsidRDefault="007815A3" w:rsidP="007815A3">
            <w:pPr>
              <w:spacing w:after="160"/>
              <w:jc w:val="center"/>
            </w:pPr>
            <w:r>
              <w:t>800ng/mL</w:t>
            </w:r>
          </w:p>
        </w:tc>
        <w:tc>
          <w:tcPr>
            <w:tcW w:w="820" w:type="pct"/>
            <w:tcBorders>
              <w:bottom w:val="single" w:sz="12" w:space="0" w:color="auto"/>
            </w:tcBorders>
            <w:vAlign w:val="center"/>
            <w:hideMark/>
          </w:tcPr>
          <w:p w14:paraId="09F9E4A1" w14:textId="75781354" w:rsidR="007815A3" w:rsidRPr="00D2654A" w:rsidRDefault="007815A3" w:rsidP="007815A3">
            <w:pPr>
              <w:spacing w:after="160"/>
              <w:jc w:val="center"/>
            </w:pPr>
            <w:r>
              <w:t>840.3</w:t>
            </w:r>
            <w:r w:rsidRPr="00D2654A">
              <w:t xml:space="preserve"> ±</w:t>
            </w:r>
            <w:r w:rsidR="00F27F06">
              <w:t>36.74</w:t>
            </w:r>
          </w:p>
        </w:tc>
        <w:tc>
          <w:tcPr>
            <w:tcW w:w="908" w:type="pct"/>
            <w:tcBorders>
              <w:bottom w:val="single" w:sz="12" w:space="0" w:color="auto"/>
            </w:tcBorders>
            <w:vAlign w:val="center"/>
            <w:hideMark/>
          </w:tcPr>
          <w:p w14:paraId="52C49D40" w14:textId="308FE657" w:rsidR="007815A3" w:rsidRPr="00D2654A" w:rsidRDefault="007815A3" w:rsidP="007815A3">
            <w:pPr>
              <w:spacing w:after="160"/>
              <w:jc w:val="center"/>
            </w:pPr>
            <w:r>
              <w:t>5.0</w:t>
            </w:r>
          </w:p>
        </w:tc>
        <w:tc>
          <w:tcPr>
            <w:tcW w:w="927" w:type="pct"/>
            <w:tcBorders>
              <w:bottom w:val="single" w:sz="12" w:space="0" w:color="auto"/>
            </w:tcBorders>
            <w:vAlign w:val="center"/>
            <w:hideMark/>
          </w:tcPr>
          <w:p w14:paraId="5BD172E5" w14:textId="3E504783" w:rsidR="007815A3" w:rsidRPr="00D2654A" w:rsidRDefault="007815A3" w:rsidP="007815A3">
            <w:pPr>
              <w:spacing w:after="160"/>
              <w:jc w:val="center"/>
            </w:pPr>
            <w:r>
              <w:t>4.4</w:t>
            </w:r>
          </w:p>
        </w:tc>
      </w:tr>
      <w:tr w:rsidR="007815A3" w:rsidRPr="00D2654A" w14:paraId="1B6B71AD" w14:textId="77777777" w:rsidTr="007815A3">
        <w:trPr>
          <w:cnfStyle w:val="000000100000" w:firstRow="0" w:lastRow="0" w:firstColumn="0" w:lastColumn="0" w:oddVBand="0" w:evenVBand="0" w:oddHBand="1" w:evenHBand="0" w:firstRowFirstColumn="0" w:firstRowLastColumn="0" w:lastRowFirstColumn="0" w:lastRowLastColumn="0"/>
          <w:trHeight w:val="383"/>
          <w:jc w:val="center"/>
        </w:trPr>
        <w:tc>
          <w:tcPr>
            <w:tcW w:w="1223" w:type="pct"/>
            <w:vMerge w:val="restart"/>
            <w:tcBorders>
              <w:top w:val="single" w:sz="12" w:space="0" w:color="auto"/>
              <w:bottom w:val="none" w:sz="0" w:space="0" w:color="auto"/>
            </w:tcBorders>
            <w:vAlign w:val="center"/>
            <w:hideMark/>
          </w:tcPr>
          <w:p w14:paraId="4431AE6E" w14:textId="0C14AF1F" w:rsidR="007815A3" w:rsidRPr="007815A3" w:rsidRDefault="007815A3" w:rsidP="007815A3">
            <w:pPr>
              <w:spacing w:after="160"/>
              <w:jc w:val="center"/>
              <w:rPr>
                <w:b/>
                <w:bCs/>
              </w:rPr>
            </w:pPr>
            <w:r>
              <w:rPr>
                <w:b/>
                <w:bCs/>
              </w:rPr>
              <w:t>Human Plasma 50%</w:t>
            </w:r>
          </w:p>
        </w:tc>
        <w:tc>
          <w:tcPr>
            <w:tcW w:w="1122" w:type="pct"/>
            <w:tcBorders>
              <w:top w:val="single" w:sz="12" w:space="0" w:color="auto"/>
              <w:bottom w:val="none" w:sz="0" w:space="0" w:color="auto"/>
            </w:tcBorders>
            <w:hideMark/>
          </w:tcPr>
          <w:p w14:paraId="40FD8296" w14:textId="0ABAE17C" w:rsidR="007815A3" w:rsidRPr="00D2654A" w:rsidRDefault="007815A3" w:rsidP="007815A3">
            <w:pPr>
              <w:spacing w:after="160"/>
              <w:jc w:val="center"/>
            </w:pPr>
            <w:r>
              <w:t>40</w:t>
            </w:r>
            <w:r w:rsidRPr="00D2654A">
              <w:t>ng/</w:t>
            </w:r>
            <w:r>
              <w:t>mL</w:t>
            </w:r>
          </w:p>
        </w:tc>
        <w:tc>
          <w:tcPr>
            <w:tcW w:w="820" w:type="pct"/>
            <w:tcBorders>
              <w:top w:val="single" w:sz="12" w:space="0" w:color="auto"/>
              <w:bottom w:val="none" w:sz="0" w:space="0" w:color="auto"/>
            </w:tcBorders>
            <w:vAlign w:val="center"/>
            <w:hideMark/>
          </w:tcPr>
          <w:p w14:paraId="5887790D" w14:textId="67AC782B" w:rsidR="007815A3" w:rsidRPr="00D2654A" w:rsidRDefault="007815A3" w:rsidP="007815A3">
            <w:pPr>
              <w:spacing w:after="160"/>
              <w:jc w:val="center"/>
            </w:pPr>
            <w:r>
              <w:t>40.2</w:t>
            </w:r>
            <w:r w:rsidRPr="00D2654A">
              <w:t xml:space="preserve"> ±</w:t>
            </w:r>
            <w:r>
              <w:t>1.02</w:t>
            </w:r>
          </w:p>
        </w:tc>
        <w:tc>
          <w:tcPr>
            <w:tcW w:w="908" w:type="pct"/>
            <w:tcBorders>
              <w:top w:val="single" w:sz="12" w:space="0" w:color="auto"/>
              <w:bottom w:val="none" w:sz="0" w:space="0" w:color="auto"/>
            </w:tcBorders>
            <w:vAlign w:val="center"/>
            <w:hideMark/>
          </w:tcPr>
          <w:p w14:paraId="603BC947" w14:textId="2D579753" w:rsidR="007815A3" w:rsidRPr="00D2654A" w:rsidRDefault="007815A3" w:rsidP="007815A3">
            <w:pPr>
              <w:spacing w:after="160"/>
              <w:jc w:val="center"/>
            </w:pPr>
            <w:r>
              <w:t>0.6</w:t>
            </w:r>
          </w:p>
        </w:tc>
        <w:tc>
          <w:tcPr>
            <w:tcW w:w="927" w:type="pct"/>
            <w:tcBorders>
              <w:top w:val="single" w:sz="12" w:space="0" w:color="auto"/>
              <w:bottom w:val="none" w:sz="0" w:space="0" w:color="auto"/>
            </w:tcBorders>
            <w:vAlign w:val="center"/>
            <w:hideMark/>
          </w:tcPr>
          <w:p w14:paraId="70A595A9" w14:textId="0462C4CA" w:rsidR="007815A3" w:rsidRPr="00D2654A" w:rsidRDefault="007815A3" w:rsidP="007815A3">
            <w:pPr>
              <w:spacing w:after="160"/>
              <w:jc w:val="center"/>
            </w:pPr>
            <w:r>
              <w:t>2.5</w:t>
            </w:r>
          </w:p>
        </w:tc>
      </w:tr>
      <w:tr w:rsidR="007815A3" w:rsidRPr="00D2654A" w14:paraId="6761753C" w14:textId="77777777" w:rsidTr="007815A3">
        <w:trPr>
          <w:trHeight w:val="195"/>
          <w:jc w:val="center"/>
        </w:trPr>
        <w:tc>
          <w:tcPr>
            <w:tcW w:w="1223" w:type="pct"/>
            <w:vMerge/>
            <w:vAlign w:val="center"/>
            <w:hideMark/>
          </w:tcPr>
          <w:p w14:paraId="03F4C84D" w14:textId="77777777" w:rsidR="007815A3" w:rsidRPr="007815A3" w:rsidRDefault="007815A3" w:rsidP="007815A3">
            <w:pPr>
              <w:spacing w:after="160"/>
              <w:jc w:val="center"/>
              <w:rPr>
                <w:b/>
                <w:bCs/>
              </w:rPr>
            </w:pPr>
          </w:p>
        </w:tc>
        <w:tc>
          <w:tcPr>
            <w:tcW w:w="1122" w:type="pct"/>
            <w:hideMark/>
          </w:tcPr>
          <w:p w14:paraId="60B4EC44" w14:textId="6121F387" w:rsidR="007815A3" w:rsidRPr="00D2654A" w:rsidRDefault="007815A3" w:rsidP="007815A3">
            <w:pPr>
              <w:spacing w:after="160"/>
              <w:jc w:val="center"/>
            </w:pPr>
            <w:r>
              <w:t>400ng/mL</w:t>
            </w:r>
          </w:p>
        </w:tc>
        <w:tc>
          <w:tcPr>
            <w:tcW w:w="820" w:type="pct"/>
            <w:vAlign w:val="center"/>
            <w:hideMark/>
          </w:tcPr>
          <w:p w14:paraId="17D8D2AF" w14:textId="27EA8161" w:rsidR="007815A3" w:rsidRPr="00D2654A" w:rsidRDefault="007815A3" w:rsidP="007815A3">
            <w:pPr>
              <w:spacing w:after="160"/>
              <w:jc w:val="center"/>
            </w:pPr>
            <w:r>
              <w:t>387.0</w:t>
            </w:r>
            <w:r w:rsidRPr="00D2654A">
              <w:t xml:space="preserve"> ±</w:t>
            </w:r>
            <w:r>
              <w:t>10.87</w:t>
            </w:r>
          </w:p>
        </w:tc>
        <w:tc>
          <w:tcPr>
            <w:tcW w:w="908" w:type="pct"/>
            <w:vAlign w:val="center"/>
            <w:hideMark/>
          </w:tcPr>
          <w:p w14:paraId="74173F37" w14:textId="1D291D31" w:rsidR="007815A3" w:rsidRPr="00D2654A" w:rsidRDefault="007815A3" w:rsidP="007815A3">
            <w:pPr>
              <w:spacing w:after="160"/>
              <w:jc w:val="center"/>
            </w:pPr>
            <w:r>
              <w:t>-3.3</w:t>
            </w:r>
          </w:p>
        </w:tc>
        <w:tc>
          <w:tcPr>
            <w:tcW w:w="927" w:type="pct"/>
            <w:vAlign w:val="center"/>
            <w:hideMark/>
          </w:tcPr>
          <w:p w14:paraId="3AE1114C" w14:textId="275F1481" w:rsidR="007815A3" w:rsidRPr="00D2654A" w:rsidRDefault="007815A3" w:rsidP="007815A3">
            <w:pPr>
              <w:spacing w:after="160"/>
              <w:jc w:val="center"/>
            </w:pPr>
            <w:r>
              <w:t>2.8</w:t>
            </w:r>
          </w:p>
        </w:tc>
      </w:tr>
      <w:tr w:rsidR="007815A3" w:rsidRPr="00D2654A" w14:paraId="1841D397" w14:textId="77777777" w:rsidTr="007815A3">
        <w:trPr>
          <w:cnfStyle w:val="000000100000" w:firstRow="0" w:lastRow="0" w:firstColumn="0" w:lastColumn="0" w:oddVBand="0" w:evenVBand="0" w:oddHBand="1" w:evenHBand="0" w:firstRowFirstColumn="0" w:firstRowLastColumn="0" w:lastRowFirstColumn="0" w:lastRowLastColumn="0"/>
          <w:trHeight w:val="195"/>
          <w:jc w:val="center"/>
        </w:trPr>
        <w:tc>
          <w:tcPr>
            <w:tcW w:w="1223" w:type="pct"/>
            <w:vMerge/>
            <w:tcBorders>
              <w:top w:val="none" w:sz="0" w:space="0" w:color="auto"/>
              <w:bottom w:val="single" w:sz="12" w:space="0" w:color="auto"/>
            </w:tcBorders>
            <w:vAlign w:val="center"/>
          </w:tcPr>
          <w:p w14:paraId="20DB7CD4" w14:textId="77777777" w:rsidR="007815A3" w:rsidRPr="007815A3" w:rsidRDefault="007815A3" w:rsidP="007815A3">
            <w:pPr>
              <w:spacing w:after="160"/>
              <w:jc w:val="center"/>
              <w:rPr>
                <w:b/>
                <w:bCs/>
              </w:rPr>
            </w:pPr>
          </w:p>
        </w:tc>
        <w:tc>
          <w:tcPr>
            <w:tcW w:w="1122" w:type="pct"/>
            <w:tcBorders>
              <w:top w:val="none" w:sz="0" w:space="0" w:color="auto"/>
              <w:bottom w:val="single" w:sz="12" w:space="0" w:color="auto"/>
            </w:tcBorders>
          </w:tcPr>
          <w:p w14:paraId="1F50986D" w14:textId="018FCF63" w:rsidR="007815A3" w:rsidRPr="00D2654A" w:rsidRDefault="007815A3" w:rsidP="007815A3">
            <w:pPr>
              <w:spacing w:after="160"/>
              <w:jc w:val="center"/>
            </w:pPr>
            <w:r>
              <w:t>800ng/mL</w:t>
            </w:r>
          </w:p>
        </w:tc>
        <w:tc>
          <w:tcPr>
            <w:tcW w:w="820" w:type="pct"/>
            <w:tcBorders>
              <w:top w:val="none" w:sz="0" w:space="0" w:color="auto"/>
              <w:bottom w:val="single" w:sz="12" w:space="0" w:color="auto"/>
            </w:tcBorders>
            <w:vAlign w:val="center"/>
          </w:tcPr>
          <w:p w14:paraId="71F4450B" w14:textId="757236A3" w:rsidR="007815A3" w:rsidRPr="00D2654A" w:rsidRDefault="007815A3" w:rsidP="007815A3">
            <w:pPr>
              <w:spacing w:after="160"/>
              <w:jc w:val="center"/>
            </w:pPr>
            <w:r>
              <w:t>784.6</w:t>
            </w:r>
            <w:r w:rsidRPr="00D2654A">
              <w:t xml:space="preserve"> ±</w:t>
            </w:r>
            <w:r>
              <w:t>16.78</w:t>
            </w:r>
          </w:p>
        </w:tc>
        <w:tc>
          <w:tcPr>
            <w:tcW w:w="908" w:type="pct"/>
            <w:tcBorders>
              <w:top w:val="none" w:sz="0" w:space="0" w:color="auto"/>
              <w:bottom w:val="single" w:sz="12" w:space="0" w:color="auto"/>
            </w:tcBorders>
            <w:vAlign w:val="center"/>
          </w:tcPr>
          <w:p w14:paraId="4309A0B8" w14:textId="2B2C5662" w:rsidR="007815A3" w:rsidRPr="00D2654A" w:rsidRDefault="007815A3" w:rsidP="007815A3">
            <w:pPr>
              <w:spacing w:after="160"/>
              <w:jc w:val="center"/>
            </w:pPr>
            <w:r>
              <w:t>-1.9</w:t>
            </w:r>
          </w:p>
        </w:tc>
        <w:tc>
          <w:tcPr>
            <w:tcW w:w="927" w:type="pct"/>
            <w:tcBorders>
              <w:top w:val="none" w:sz="0" w:space="0" w:color="auto"/>
              <w:bottom w:val="single" w:sz="12" w:space="0" w:color="auto"/>
            </w:tcBorders>
            <w:vAlign w:val="center"/>
          </w:tcPr>
          <w:p w14:paraId="63679812" w14:textId="53D6DD60" w:rsidR="007815A3" w:rsidRPr="00D2654A" w:rsidRDefault="007815A3" w:rsidP="007815A3">
            <w:pPr>
              <w:spacing w:after="160"/>
              <w:jc w:val="center"/>
            </w:pPr>
            <w:r>
              <w:t>2.1</w:t>
            </w:r>
          </w:p>
        </w:tc>
      </w:tr>
      <w:tr w:rsidR="007815A3" w:rsidRPr="00D2654A" w14:paraId="4ADFEA63" w14:textId="77777777" w:rsidTr="007815A3">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12" w:space="0" w:color="auto"/>
              <w:bottom w:val="nil"/>
            </w:tcBorders>
            <w:vAlign w:val="center"/>
            <w:hideMark/>
          </w:tcPr>
          <w:p w14:paraId="03F9B413" w14:textId="31995A52" w:rsidR="007815A3" w:rsidRPr="007815A3" w:rsidRDefault="00E76F4C" w:rsidP="007815A3">
            <w:pPr>
              <w:spacing w:after="160"/>
              <w:jc w:val="center"/>
            </w:pPr>
            <w:r>
              <w:t>Human Plasma 10%</w:t>
            </w:r>
          </w:p>
        </w:tc>
        <w:tc>
          <w:tcPr>
            <w:tcW w:w="1122" w:type="pct"/>
            <w:tcBorders>
              <w:top w:val="single" w:sz="12" w:space="0" w:color="auto"/>
              <w:bottom w:val="nil"/>
            </w:tcBorders>
            <w:hideMark/>
          </w:tcPr>
          <w:p w14:paraId="1D7DF387" w14:textId="77777777" w:rsidR="007815A3" w:rsidRPr="00D2654A" w:rsidRDefault="007815A3" w:rsidP="009B402B">
            <w:pPr>
              <w:spacing w:after="160"/>
              <w:jc w:val="center"/>
              <w:cnfStyle w:val="000000000000" w:firstRow="0" w:lastRow="0" w:firstColumn="0" w:lastColumn="0" w:oddVBand="0" w:evenVBand="0" w:oddHBand="0" w:evenHBand="0" w:firstRowFirstColumn="0" w:firstRowLastColumn="0" w:lastRowFirstColumn="0" w:lastRowLastColumn="0"/>
            </w:pPr>
            <w:r>
              <w:t>40</w:t>
            </w:r>
            <w:r w:rsidRPr="00D2654A">
              <w:t>ng/</w:t>
            </w:r>
            <w:r>
              <w:t>mL</w:t>
            </w:r>
          </w:p>
        </w:tc>
        <w:tc>
          <w:tcPr>
            <w:tcW w:w="820" w:type="pct"/>
            <w:tcBorders>
              <w:top w:val="single" w:sz="12" w:space="0" w:color="auto"/>
              <w:bottom w:val="nil"/>
            </w:tcBorders>
            <w:hideMark/>
          </w:tcPr>
          <w:p w14:paraId="03F4457C" w14:textId="221FE371" w:rsidR="007815A3" w:rsidRPr="00D2654A" w:rsidRDefault="007815A3" w:rsidP="009B402B">
            <w:pPr>
              <w:spacing w:after="160"/>
              <w:jc w:val="center"/>
              <w:cnfStyle w:val="000000000000" w:firstRow="0" w:lastRow="0" w:firstColumn="0" w:lastColumn="0" w:oddVBand="0" w:evenVBand="0" w:oddHBand="0" w:evenHBand="0" w:firstRowFirstColumn="0" w:firstRowLastColumn="0" w:lastRowFirstColumn="0" w:lastRowLastColumn="0"/>
            </w:pPr>
            <w:r>
              <w:t>43.2</w:t>
            </w:r>
            <w:r w:rsidRPr="00D2654A">
              <w:t xml:space="preserve"> ±</w:t>
            </w:r>
            <w:r>
              <w:t>0.78</w:t>
            </w:r>
          </w:p>
        </w:tc>
        <w:tc>
          <w:tcPr>
            <w:tcW w:w="908" w:type="pct"/>
            <w:tcBorders>
              <w:top w:val="single" w:sz="12" w:space="0" w:color="auto"/>
              <w:bottom w:val="nil"/>
            </w:tcBorders>
            <w:hideMark/>
          </w:tcPr>
          <w:p w14:paraId="4D1A4571" w14:textId="7499AF47"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8.0</w:t>
            </w:r>
          </w:p>
        </w:tc>
        <w:tc>
          <w:tcPr>
            <w:tcW w:w="927" w:type="pct"/>
            <w:tcBorders>
              <w:top w:val="single" w:sz="12" w:space="0" w:color="auto"/>
              <w:bottom w:val="nil"/>
            </w:tcBorders>
            <w:hideMark/>
          </w:tcPr>
          <w:p w14:paraId="03E6DE04" w14:textId="6C989195"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1.8</w:t>
            </w:r>
          </w:p>
        </w:tc>
      </w:tr>
      <w:tr w:rsidR="007815A3" w:rsidRPr="00D2654A" w14:paraId="7F7B8FE0" w14:textId="77777777" w:rsidTr="007815A3">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tcBorders>
            <w:vAlign w:val="center"/>
            <w:hideMark/>
          </w:tcPr>
          <w:p w14:paraId="0B2FB4E1" w14:textId="77777777" w:rsidR="007815A3" w:rsidRPr="007815A3" w:rsidRDefault="007815A3" w:rsidP="007815A3">
            <w:pPr>
              <w:spacing w:after="160"/>
              <w:jc w:val="center"/>
            </w:pPr>
          </w:p>
        </w:tc>
        <w:tc>
          <w:tcPr>
            <w:tcW w:w="1122" w:type="pct"/>
            <w:tcBorders>
              <w:top w:val="nil"/>
              <w:bottom w:val="nil"/>
            </w:tcBorders>
            <w:hideMark/>
          </w:tcPr>
          <w:p w14:paraId="403AD835" w14:textId="77777777" w:rsidR="007815A3" w:rsidRPr="00D2654A" w:rsidRDefault="007815A3" w:rsidP="009B402B">
            <w:pPr>
              <w:spacing w:after="160"/>
              <w:jc w:val="center"/>
              <w:cnfStyle w:val="000000100000" w:firstRow="0" w:lastRow="0" w:firstColumn="0" w:lastColumn="0" w:oddVBand="0" w:evenVBand="0" w:oddHBand="1" w:evenHBand="0" w:firstRowFirstColumn="0" w:firstRowLastColumn="0" w:lastRowFirstColumn="0" w:lastRowLastColumn="0"/>
            </w:pPr>
            <w:r>
              <w:t>400ng/mL</w:t>
            </w:r>
          </w:p>
        </w:tc>
        <w:tc>
          <w:tcPr>
            <w:tcW w:w="820" w:type="pct"/>
            <w:tcBorders>
              <w:top w:val="nil"/>
              <w:bottom w:val="nil"/>
            </w:tcBorders>
            <w:hideMark/>
          </w:tcPr>
          <w:p w14:paraId="2C853322" w14:textId="6798C0F3"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403.1</w:t>
            </w:r>
            <w:r w:rsidR="007815A3" w:rsidRPr="00D2654A">
              <w:t xml:space="preserve"> ±</w:t>
            </w:r>
            <w:r>
              <w:t>8.51</w:t>
            </w:r>
          </w:p>
        </w:tc>
        <w:tc>
          <w:tcPr>
            <w:tcW w:w="908" w:type="pct"/>
            <w:tcBorders>
              <w:top w:val="nil"/>
              <w:bottom w:val="nil"/>
            </w:tcBorders>
            <w:hideMark/>
          </w:tcPr>
          <w:p w14:paraId="0D077CF1" w14:textId="3D90F84D"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0.8</w:t>
            </w:r>
          </w:p>
        </w:tc>
        <w:tc>
          <w:tcPr>
            <w:tcW w:w="927" w:type="pct"/>
            <w:tcBorders>
              <w:top w:val="nil"/>
              <w:bottom w:val="nil"/>
            </w:tcBorders>
            <w:hideMark/>
          </w:tcPr>
          <w:p w14:paraId="7350D801" w14:textId="00D59CF3"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2.1</w:t>
            </w:r>
          </w:p>
        </w:tc>
      </w:tr>
      <w:tr w:rsidR="007815A3" w:rsidRPr="00D2654A" w14:paraId="1034506A" w14:textId="77777777" w:rsidTr="00E76F4C">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single" w:sz="12" w:space="0" w:color="auto"/>
            </w:tcBorders>
            <w:vAlign w:val="center"/>
          </w:tcPr>
          <w:p w14:paraId="424B8BC5" w14:textId="77777777" w:rsidR="007815A3" w:rsidRPr="007815A3" w:rsidRDefault="007815A3" w:rsidP="007815A3">
            <w:pPr>
              <w:spacing w:after="160"/>
              <w:jc w:val="center"/>
            </w:pPr>
          </w:p>
        </w:tc>
        <w:tc>
          <w:tcPr>
            <w:tcW w:w="1122" w:type="pct"/>
            <w:tcBorders>
              <w:top w:val="nil"/>
              <w:bottom w:val="single" w:sz="12" w:space="0" w:color="auto"/>
            </w:tcBorders>
          </w:tcPr>
          <w:p w14:paraId="673DE718" w14:textId="77777777" w:rsidR="007815A3" w:rsidRPr="00D2654A" w:rsidRDefault="007815A3" w:rsidP="009B402B">
            <w:pPr>
              <w:spacing w:after="160"/>
              <w:jc w:val="center"/>
              <w:cnfStyle w:val="000000000000" w:firstRow="0" w:lastRow="0" w:firstColumn="0" w:lastColumn="0" w:oddVBand="0" w:evenVBand="0" w:oddHBand="0" w:evenHBand="0" w:firstRowFirstColumn="0" w:firstRowLastColumn="0" w:lastRowFirstColumn="0" w:lastRowLastColumn="0"/>
            </w:pPr>
            <w:r>
              <w:t>800ng/mL</w:t>
            </w:r>
          </w:p>
        </w:tc>
        <w:tc>
          <w:tcPr>
            <w:tcW w:w="820" w:type="pct"/>
            <w:tcBorders>
              <w:top w:val="nil"/>
              <w:bottom w:val="single" w:sz="12" w:space="0" w:color="auto"/>
            </w:tcBorders>
          </w:tcPr>
          <w:p w14:paraId="4CD77E73" w14:textId="6DE8A1D6"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840.8</w:t>
            </w:r>
            <w:r w:rsidR="007815A3" w:rsidRPr="00D2654A">
              <w:t xml:space="preserve"> ±</w:t>
            </w:r>
            <w:r>
              <w:t>15.95</w:t>
            </w:r>
          </w:p>
        </w:tc>
        <w:tc>
          <w:tcPr>
            <w:tcW w:w="908" w:type="pct"/>
            <w:tcBorders>
              <w:top w:val="nil"/>
              <w:bottom w:val="single" w:sz="12" w:space="0" w:color="auto"/>
            </w:tcBorders>
          </w:tcPr>
          <w:p w14:paraId="021AEFDA" w14:textId="60C16046"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5.1</w:t>
            </w:r>
          </w:p>
        </w:tc>
        <w:tc>
          <w:tcPr>
            <w:tcW w:w="927" w:type="pct"/>
            <w:tcBorders>
              <w:top w:val="nil"/>
              <w:bottom w:val="single" w:sz="12" w:space="0" w:color="auto"/>
            </w:tcBorders>
          </w:tcPr>
          <w:p w14:paraId="5E702B27" w14:textId="5A2A5AF3"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1.9</w:t>
            </w:r>
          </w:p>
        </w:tc>
      </w:tr>
      <w:tr w:rsidR="007815A3" w:rsidRPr="00D2654A" w14:paraId="4F3EAD7E" w14:textId="77777777" w:rsidTr="007815A3">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12" w:space="0" w:color="auto"/>
              <w:bottom w:val="nil"/>
            </w:tcBorders>
            <w:vAlign w:val="center"/>
            <w:hideMark/>
          </w:tcPr>
          <w:p w14:paraId="6002DC53" w14:textId="7C61356B" w:rsidR="007815A3" w:rsidRPr="007815A3" w:rsidRDefault="00E76F4C" w:rsidP="007815A3">
            <w:pPr>
              <w:spacing w:after="160"/>
              <w:jc w:val="center"/>
            </w:pPr>
            <w:r>
              <w:t>FBS 50%</w:t>
            </w:r>
          </w:p>
        </w:tc>
        <w:tc>
          <w:tcPr>
            <w:tcW w:w="1122" w:type="pct"/>
            <w:tcBorders>
              <w:top w:val="single" w:sz="12" w:space="0" w:color="auto"/>
              <w:bottom w:val="nil"/>
            </w:tcBorders>
            <w:hideMark/>
          </w:tcPr>
          <w:p w14:paraId="68CB36E3" w14:textId="77777777" w:rsidR="007815A3" w:rsidRPr="00D2654A" w:rsidRDefault="007815A3" w:rsidP="009B402B">
            <w:pPr>
              <w:spacing w:after="160"/>
              <w:jc w:val="center"/>
              <w:cnfStyle w:val="000000100000" w:firstRow="0" w:lastRow="0" w:firstColumn="0" w:lastColumn="0" w:oddVBand="0" w:evenVBand="0" w:oddHBand="1" w:evenHBand="0" w:firstRowFirstColumn="0" w:firstRowLastColumn="0" w:lastRowFirstColumn="0" w:lastRowLastColumn="0"/>
            </w:pPr>
            <w:r>
              <w:t>40</w:t>
            </w:r>
            <w:r w:rsidRPr="00D2654A">
              <w:t>ng/</w:t>
            </w:r>
            <w:r>
              <w:t>mL</w:t>
            </w:r>
          </w:p>
        </w:tc>
        <w:tc>
          <w:tcPr>
            <w:tcW w:w="820" w:type="pct"/>
            <w:tcBorders>
              <w:top w:val="single" w:sz="12" w:space="0" w:color="auto"/>
              <w:bottom w:val="nil"/>
            </w:tcBorders>
            <w:hideMark/>
          </w:tcPr>
          <w:p w14:paraId="5705A164" w14:textId="5CDC2580"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40.0</w:t>
            </w:r>
            <w:r w:rsidR="007815A3" w:rsidRPr="00D2654A">
              <w:t xml:space="preserve"> ±</w:t>
            </w:r>
            <w:r>
              <w:t>1.72</w:t>
            </w:r>
          </w:p>
        </w:tc>
        <w:tc>
          <w:tcPr>
            <w:tcW w:w="908" w:type="pct"/>
            <w:tcBorders>
              <w:top w:val="single" w:sz="12" w:space="0" w:color="auto"/>
              <w:bottom w:val="nil"/>
            </w:tcBorders>
            <w:hideMark/>
          </w:tcPr>
          <w:p w14:paraId="0E0D6DFF" w14:textId="74FAE794"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-0.1</w:t>
            </w:r>
          </w:p>
        </w:tc>
        <w:tc>
          <w:tcPr>
            <w:tcW w:w="927" w:type="pct"/>
            <w:tcBorders>
              <w:top w:val="single" w:sz="12" w:space="0" w:color="auto"/>
              <w:bottom w:val="nil"/>
            </w:tcBorders>
            <w:hideMark/>
          </w:tcPr>
          <w:p w14:paraId="34417BFF" w14:textId="14460220"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4.3</w:t>
            </w:r>
          </w:p>
        </w:tc>
      </w:tr>
      <w:tr w:rsidR="007815A3" w:rsidRPr="00D2654A" w14:paraId="3374B63E" w14:textId="77777777" w:rsidTr="007815A3">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tcBorders>
            <w:vAlign w:val="center"/>
            <w:hideMark/>
          </w:tcPr>
          <w:p w14:paraId="32929C08" w14:textId="77777777" w:rsidR="007815A3" w:rsidRPr="007815A3" w:rsidRDefault="007815A3" w:rsidP="007815A3">
            <w:pPr>
              <w:spacing w:after="160"/>
              <w:jc w:val="center"/>
            </w:pPr>
          </w:p>
        </w:tc>
        <w:tc>
          <w:tcPr>
            <w:tcW w:w="1122" w:type="pct"/>
            <w:tcBorders>
              <w:top w:val="nil"/>
              <w:bottom w:val="nil"/>
            </w:tcBorders>
            <w:hideMark/>
          </w:tcPr>
          <w:p w14:paraId="3D78AFE7" w14:textId="77777777" w:rsidR="007815A3" w:rsidRPr="00D2654A" w:rsidRDefault="007815A3" w:rsidP="009B402B">
            <w:pPr>
              <w:spacing w:after="160"/>
              <w:jc w:val="center"/>
              <w:cnfStyle w:val="000000000000" w:firstRow="0" w:lastRow="0" w:firstColumn="0" w:lastColumn="0" w:oddVBand="0" w:evenVBand="0" w:oddHBand="0" w:evenHBand="0" w:firstRowFirstColumn="0" w:firstRowLastColumn="0" w:lastRowFirstColumn="0" w:lastRowLastColumn="0"/>
            </w:pPr>
            <w:r>
              <w:t>400ng/mL</w:t>
            </w:r>
          </w:p>
        </w:tc>
        <w:tc>
          <w:tcPr>
            <w:tcW w:w="820" w:type="pct"/>
            <w:tcBorders>
              <w:top w:val="nil"/>
              <w:bottom w:val="nil"/>
            </w:tcBorders>
            <w:hideMark/>
          </w:tcPr>
          <w:p w14:paraId="5A011851" w14:textId="5E9C447A"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405.7</w:t>
            </w:r>
            <w:r w:rsidR="007815A3" w:rsidRPr="00D2654A">
              <w:t xml:space="preserve"> ±</w:t>
            </w:r>
            <w:r>
              <w:t>9.86</w:t>
            </w:r>
          </w:p>
        </w:tc>
        <w:tc>
          <w:tcPr>
            <w:tcW w:w="908" w:type="pct"/>
            <w:tcBorders>
              <w:top w:val="nil"/>
              <w:bottom w:val="nil"/>
            </w:tcBorders>
            <w:hideMark/>
          </w:tcPr>
          <w:p w14:paraId="770ECEBD" w14:textId="25A5AE39"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1.4</w:t>
            </w:r>
          </w:p>
        </w:tc>
        <w:tc>
          <w:tcPr>
            <w:tcW w:w="927" w:type="pct"/>
            <w:tcBorders>
              <w:top w:val="nil"/>
              <w:bottom w:val="nil"/>
            </w:tcBorders>
            <w:hideMark/>
          </w:tcPr>
          <w:p w14:paraId="0E1E1768" w14:textId="2C872DE9"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2.4</w:t>
            </w:r>
          </w:p>
        </w:tc>
      </w:tr>
      <w:tr w:rsidR="007815A3" w:rsidRPr="00D2654A" w14:paraId="496AD7C3" w14:textId="77777777" w:rsidTr="00E76F4C">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single" w:sz="12" w:space="0" w:color="auto"/>
            </w:tcBorders>
            <w:vAlign w:val="center"/>
          </w:tcPr>
          <w:p w14:paraId="1F802A9D" w14:textId="77777777" w:rsidR="007815A3" w:rsidRPr="007815A3" w:rsidRDefault="007815A3" w:rsidP="007815A3">
            <w:pPr>
              <w:spacing w:after="160"/>
              <w:jc w:val="center"/>
            </w:pPr>
          </w:p>
        </w:tc>
        <w:tc>
          <w:tcPr>
            <w:tcW w:w="1122" w:type="pct"/>
            <w:tcBorders>
              <w:top w:val="nil"/>
              <w:bottom w:val="single" w:sz="12" w:space="0" w:color="auto"/>
            </w:tcBorders>
          </w:tcPr>
          <w:p w14:paraId="12EF8475" w14:textId="77777777" w:rsidR="007815A3" w:rsidRPr="00D2654A" w:rsidRDefault="007815A3" w:rsidP="009B402B">
            <w:pPr>
              <w:spacing w:after="160"/>
              <w:jc w:val="center"/>
              <w:cnfStyle w:val="000000100000" w:firstRow="0" w:lastRow="0" w:firstColumn="0" w:lastColumn="0" w:oddVBand="0" w:evenVBand="0" w:oddHBand="1" w:evenHBand="0" w:firstRowFirstColumn="0" w:firstRowLastColumn="0" w:lastRowFirstColumn="0" w:lastRowLastColumn="0"/>
            </w:pPr>
            <w:r>
              <w:t>800ng/mL</w:t>
            </w:r>
          </w:p>
        </w:tc>
        <w:tc>
          <w:tcPr>
            <w:tcW w:w="820" w:type="pct"/>
            <w:tcBorders>
              <w:top w:val="nil"/>
              <w:bottom w:val="single" w:sz="12" w:space="0" w:color="auto"/>
            </w:tcBorders>
          </w:tcPr>
          <w:p w14:paraId="09B9318F" w14:textId="42C80917"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833.1</w:t>
            </w:r>
            <w:r w:rsidR="007815A3" w:rsidRPr="00D2654A">
              <w:t xml:space="preserve"> ±</w:t>
            </w:r>
            <w:r>
              <w:t>15.28</w:t>
            </w:r>
          </w:p>
        </w:tc>
        <w:tc>
          <w:tcPr>
            <w:tcW w:w="908" w:type="pct"/>
            <w:tcBorders>
              <w:top w:val="nil"/>
              <w:bottom w:val="single" w:sz="12" w:space="0" w:color="auto"/>
            </w:tcBorders>
          </w:tcPr>
          <w:p w14:paraId="20AEDF24" w14:textId="169EA4F2"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4.1</w:t>
            </w:r>
          </w:p>
        </w:tc>
        <w:tc>
          <w:tcPr>
            <w:tcW w:w="927" w:type="pct"/>
            <w:tcBorders>
              <w:top w:val="nil"/>
              <w:bottom w:val="single" w:sz="12" w:space="0" w:color="auto"/>
            </w:tcBorders>
          </w:tcPr>
          <w:p w14:paraId="6FB337A6" w14:textId="46E0EA4F"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1.8</w:t>
            </w:r>
          </w:p>
        </w:tc>
      </w:tr>
      <w:tr w:rsidR="007815A3" w:rsidRPr="00D2654A" w14:paraId="546D158A" w14:textId="77777777" w:rsidTr="00E76F4C">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12" w:space="0" w:color="auto"/>
              <w:bottom w:val="nil"/>
            </w:tcBorders>
            <w:vAlign w:val="center"/>
            <w:hideMark/>
          </w:tcPr>
          <w:p w14:paraId="2B33A1D2" w14:textId="0D1BAD31" w:rsidR="007815A3" w:rsidRPr="007815A3" w:rsidRDefault="00E76F4C" w:rsidP="007815A3">
            <w:pPr>
              <w:spacing w:after="160"/>
              <w:jc w:val="center"/>
            </w:pPr>
            <w:r>
              <w:t>FBS 25%</w:t>
            </w:r>
          </w:p>
        </w:tc>
        <w:tc>
          <w:tcPr>
            <w:tcW w:w="1122" w:type="pct"/>
            <w:tcBorders>
              <w:top w:val="single" w:sz="12" w:space="0" w:color="auto"/>
              <w:bottom w:val="nil"/>
            </w:tcBorders>
            <w:hideMark/>
          </w:tcPr>
          <w:p w14:paraId="76D3D08C" w14:textId="77777777" w:rsidR="007815A3" w:rsidRPr="00D2654A" w:rsidRDefault="007815A3" w:rsidP="009B402B">
            <w:pPr>
              <w:spacing w:after="160"/>
              <w:jc w:val="center"/>
              <w:cnfStyle w:val="000000000000" w:firstRow="0" w:lastRow="0" w:firstColumn="0" w:lastColumn="0" w:oddVBand="0" w:evenVBand="0" w:oddHBand="0" w:evenHBand="0" w:firstRowFirstColumn="0" w:firstRowLastColumn="0" w:lastRowFirstColumn="0" w:lastRowLastColumn="0"/>
            </w:pPr>
            <w:r>
              <w:t>40</w:t>
            </w:r>
            <w:r w:rsidRPr="00D2654A">
              <w:t>ng/</w:t>
            </w:r>
            <w:r>
              <w:t>mL</w:t>
            </w:r>
          </w:p>
        </w:tc>
        <w:tc>
          <w:tcPr>
            <w:tcW w:w="820" w:type="pct"/>
            <w:tcBorders>
              <w:top w:val="single" w:sz="12" w:space="0" w:color="auto"/>
              <w:bottom w:val="nil"/>
            </w:tcBorders>
            <w:hideMark/>
          </w:tcPr>
          <w:p w14:paraId="36F49434" w14:textId="07B6EFF3"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40.8</w:t>
            </w:r>
            <w:r w:rsidR="007815A3" w:rsidRPr="00D2654A">
              <w:t xml:space="preserve"> ±</w:t>
            </w:r>
            <w:r>
              <w:t>0.55</w:t>
            </w:r>
          </w:p>
        </w:tc>
        <w:tc>
          <w:tcPr>
            <w:tcW w:w="908" w:type="pct"/>
            <w:tcBorders>
              <w:top w:val="single" w:sz="12" w:space="0" w:color="auto"/>
              <w:bottom w:val="nil"/>
            </w:tcBorders>
            <w:hideMark/>
          </w:tcPr>
          <w:p w14:paraId="5FE666C8" w14:textId="06BDC39D"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2.1</w:t>
            </w:r>
          </w:p>
        </w:tc>
        <w:tc>
          <w:tcPr>
            <w:tcW w:w="927" w:type="pct"/>
            <w:tcBorders>
              <w:top w:val="single" w:sz="12" w:space="0" w:color="auto"/>
              <w:bottom w:val="nil"/>
            </w:tcBorders>
            <w:hideMark/>
          </w:tcPr>
          <w:p w14:paraId="2501E2F8" w14:textId="15DFA1A2"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1.4</w:t>
            </w:r>
          </w:p>
        </w:tc>
      </w:tr>
      <w:tr w:rsidR="007815A3" w:rsidRPr="00D2654A" w14:paraId="2C76CD62" w14:textId="77777777" w:rsidTr="007815A3">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tcBorders>
            <w:vAlign w:val="center"/>
            <w:hideMark/>
          </w:tcPr>
          <w:p w14:paraId="77E039FA" w14:textId="77777777" w:rsidR="007815A3" w:rsidRPr="007815A3" w:rsidRDefault="007815A3" w:rsidP="007815A3">
            <w:pPr>
              <w:spacing w:after="160"/>
              <w:jc w:val="center"/>
            </w:pPr>
          </w:p>
        </w:tc>
        <w:tc>
          <w:tcPr>
            <w:tcW w:w="1122" w:type="pct"/>
            <w:tcBorders>
              <w:top w:val="nil"/>
              <w:bottom w:val="nil"/>
            </w:tcBorders>
            <w:hideMark/>
          </w:tcPr>
          <w:p w14:paraId="701D2CC5" w14:textId="77777777" w:rsidR="007815A3" w:rsidRPr="00D2654A" w:rsidRDefault="007815A3" w:rsidP="009B402B">
            <w:pPr>
              <w:spacing w:after="160"/>
              <w:jc w:val="center"/>
              <w:cnfStyle w:val="000000100000" w:firstRow="0" w:lastRow="0" w:firstColumn="0" w:lastColumn="0" w:oddVBand="0" w:evenVBand="0" w:oddHBand="1" w:evenHBand="0" w:firstRowFirstColumn="0" w:firstRowLastColumn="0" w:lastRowFirstColumn="0" w:lastRowLastColumn="0"/>
            </w:pPr>
            <w:r>
              <w:t>400ng/mL</w:t>
            </w:r>
          </w:p>
        </w:tc>
        <w:tc>
          <w:tcPr>
            <w:tcW w:w="820" w:type="pct"/>
            <w:tcBorders>
              <w:top w:val="nil"/>
              <w:bottom w:val="nil"/>
            </w:tcBorders>
            <w:hideMark/>
          </w:tcPr>
          <w:p w14:paraId="2A4B72A3" w14:textId="2900CD27"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400.8</w:t>
            </w:r>
            <w:r w:rsidR="007815A3" w:rsidRPr="00D2654A">
              <w:t xml:space="preserve"> ±</w:t>
            </w:r>
            <w:r>
              <w:t>8.35</w:t>
            </w:r>
          </w:p>
        </w:tc>
        <w:tc>
          <w:tcPr>
            <w:tcW w:w="908" w:type="pct"/>
            <w:tcBorders>
              <w:top w:val="nil"/>
              <w:bottom w:val="nil"/>
            </w:tcBorders>
            <w:hideMark/>
          </w:tcPr>
          <w:p w14:paraId="2B798E70" w14:textId="0EC3D52C"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0.2</w:t>
            </w:r>
          </w:p>
        </w:tc>
        <w:tc>
          <w:tcPr>
            <w:tcW w:w="927" w:type="pct"/>
            <w:tcBorders>
              <w:top w:val="nil"/>
              <w:bottom w:val="nil"/>
            </w:tcBorders>
            <w:hideMark/>
          </w:tcPr>
          <w:p w14:paraId="715A3381" w14:textId="29865A41"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2.1</w:t>
            </w:r>
          </w:p>
        </w:tc>
      </w:tr>
      <w:tr w:rsidR="007815A3" w:rsidRPr="00D2654A" w14:paraId="03947A8B" w14:textId="77777777" w:rsidTr="004D257A">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single" w:sz="12" w:space="0" w:color="auto"/>
            </w:tcBorders>
            <w:vAlign w:val="center"/>
          </w:tcPr>
          <w:p w14:paraId="64B1E345" w14:textId="77777777" w:rsidR="007815A3" w:rsidRPr="007815A3" w:rsidRDefault="007815A3" w:rsidP="007815A3">
            <w:pPr>
              <w:spacing w:after="160"/>
              <w:jc w:val="center"/>
            </w:pPr>
          </w:p>
        </w:tc>
        <w:tc>
          <w:tcPr>
            <w:tcW w:w="1122" w:type="pct"/>
            <w:tcBorders>
              <w:top w:val="nil"/>
              <w:bottom w:val="single" w:sz="12" w:space="0" w:color="auto"/>
            </w:tcBorders>
            <w:vAlign w:val="center"/>
          </w:tcPr>
          <w:p w14:paraId="1768B086" w14:textId="074D64C6" w:rsidR="007815A3" w:rsidRPr="00D2654A" w:rsidRDefault="007815A3" w:rsidP="004D257A">
            <w:pPr>
              <w:spacing w:after="160"/>
              <w:jc w:val="center"/>
              <w:cnfStyle w:val="000000000000" w:firstRow="0" w:lastRow="0" w:firstColumn="0" w:lastColumn="0" w:oddVBand="0" w:evenVBand="0" w:oddHBand="0" w:evenHBand="0" w:firstRowFirstColumn="0" w:firstRowLastColumn="0" w:lastRowFirstColumn="0" w:lastRowLastColumn="0"/>
            </w:pPr>
            <w:r>
              <w:t>800ng/mL</w:t>
            </w:r>
          </w:p>
        </w:tc>
        <w:tc>
          <w:tcPr>
            <w:tcW w:w="820" w:type="pct"/>
            <w:tcBorders>
              <w:top w:val="nil"/>
              <w:bottom w:val="single" w:sz="12" w:space="0" w:color="auto"/>
            </w:tcBorders>
            <w:vAlign w:val="center"/>
          </w:tcPr>
          <w:p w14:paraId="2648D215" w14:textId="4B104CED"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788.9</w:t>
            </w:r>
            <w:r w:rsidR="007815A3" w:rsidRPr="00D2654A">
              <w:t xml:space="preserve"> ±</w:t>
            </w:r>
            <w:r>
              <w:t>34.32</w:t>
            </w:r>
          </w:p>
        </w:tc>
        <w:tc>
          <w:tcPr>
            <w:tcW w:w="908" w:type="pct"/>
            <w:tcBorders>
              <w:top w:val="nil"/>
              <w:bottom w:val="single" w:sz="12" w:space="0" w:color="auto"/>
            </w:tcBorders>
            <w:vAlign w:val="center"/>
          </w:tcPr>
          <w:p w14:paraId="52B03B75" w14:textId="0191374F"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-1.4</w:t>
            </w:r>
          </w:p>
        </w:tc>
        <w:tc>
          <w:tcPr>
            <w:tcW w:w="927" w:type="pct"/>
            <w:tcBorders>
              <w:top w:val="nil"/>
              <w:bottom w:val="single" w:sz="12" w:space="0" w:color="auto"/>
            </w:tcBorders>
            <w:vAlign w:val="center"/>
          </w:tcPr>
          <w:p w14:paraId="4DE5CA73" w14:textId="068B7201"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4.4</w:t>
            </w:r>
          </w:p>
        </w:tc>
      </w:tr>
      <w:tr w:rsidR="007815A3" w:rsidRPr="00D2654A" w14:paraId="68B416B5" w14:textId="77777777" w:rsidTr="00E76F4C">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12" w:space="0" w:color="auto"/>
              <w:bottom w:val="nil"/>
            </w:tcBorders>
            <w:vAlign w:val="center"/>
            <w:hideMark/>
          </w:tcPr>
          <w:p w14:paraId="0DFEAD4A" w14:textId="50E56613" w:rsidR="007815A3" w:rsidRPr="007815A3" w:rsidRDefault="00E76F4C" w:rsidP="007815A3">
            <w:pPr>
              <w:spacing w:after="160"/>
              <w:jc w:val="center"/>
            </w:pPr>
            <w:r>
              <w:lastRenderedPageBreak/>
              <w:t>FBS 12%</w:t>
            </w:r>
          </w:p>
        </w:tc>
        <w:tc>
          <w:tcPr>
            <w:tcW w:w="1122" w:type="pct"/>
            <w:tcBorders>
              <w:top w:val="single" w:sz="12" w:space="0" w:color="auto"/>
              <w:bottom w:val="nil"/>
            </w:tcBorders>
            <w:hideMark/>
          </w:tcPr>
          <w:p w14:paraId="7E4AA4C7" w14:textId="77777777" w:rsidR="007815A3" w:rsidRPr="00D2654A" w:rsidRDefault="007815A3" w:rsidP="009B402B">
            <w:pPr>
              <w:spacing w:after="160"/>
              <w:jc w:val="center"/>
              <w:cnfStyle w:val="000000100000" w:firstRow="0" w:lastRow="0" w:firstColumn="0" w:lastColumn="0" w:oddVBand="0" w:evenVBand="0" w:oddHBand="1" w:evenHBand="0" w:firstRowFirstColumn="0" w:firstRowLastColumn="0" w:lastRowFirstColumn="0" w:lastRowLastColumn="0"/>
            </w:pPr>
            <w:r>
              <w:t>40</w:t>
            </w:r>
            <w:r w:rsidRPr="00D2654A">
              <w:t>ng/</w:t>
            </w:r>
            <w:r>
              <w:t>mL</w:t>
            </w:r>
          </w:p>
        </w:tc>
        <w:tc>
          <w:tcPr>
            <w:tcW w:w="820" w:type="pct"/>
            <w:tcBorders>
              <w:top w:val="single" w:sz="12" w:space="0" w:color="auto"/>
              <w:bottom w:val="nil"/>
            </w:tcBorders>
            <w:hideMark/>
          </w:tcPr>
          <w:p w14:paraId="10A06FA4" w14:textId="5EF3B5A0"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40.4</w:t>
            </w:r>
            <w:r w:rsidR="007815A3" w:rsidRPr="00D2654A">
              <w:t xml:space="preserve"> ±</w:t>
            </w:r>
            <w:r>
              <w:t>1.12</w:t>
            </w:r>
          </w:p>
        </w:tc>
        <w:tc>
          <w:tcPr>
            <w:tcW w:w="908" w:type="pct"/>
            <w:tcBorders>
              <w:top w:val="single" w:sz="12" w:space="0" w:color="auto"/>
              <w:bottom w:val="nil"/>
            </w:tcBorders>
            <w:hideMark/>
          </w:tcPr>
          <w:p w14:paraId="75E7981A" w14:textId="484705B3"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1.1</w:t>
            </w:r>
          </w:p>
        </w:tc>
        <w:tc>
          <w:tcPr>
            <w:tcW w:w="927" w:type="pct"/>
            <w:tcBorders>
              <w:top w:val="single" w:sz="12" w:space="0" w:color="auto"/>
              <w:bottom w:val="nil"/>
            </w:tcBorders>
            <w:hideMark/>
          </w:tcPr>
          <w:p w14:paraId="50C3201F" w14:textId="6D6C6520"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2.8</w:t>
            </w:r>
          </w:p>
        </w:tc>
      </w:tr>
      <w:tr w:rsidR="007815A3" w:rsidRPr="00D2654A" w14:paraId="461D377D" w14:textId="77777777" w:rsidTr="007815A3">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tcBorders>
            <w:vAlign w:val="center"/>
            <w:hideMark/>
          </w:tcPr>
          <w:p w14:paraId="5FD8089A" w14:textId="77777777" w:rsidR="007815A3" w:rsidRPr="007815A3" w:rsidRDefault="007815A3" w:rsidP="007815A3">
            <w:pPr>
              <w:spacing w:after="160"/>
              <w:jc w:val="center"/>
            </w:pPr>
          </w:p>
        </w:tc>
        <w:tc>
          <w:tcPr>
            <w:tcW w:w="1122" w:type="pct"/>
            <w:tcBorders>
              <w:top w:val="nil"/>
              <w:bottom w:val="nil"/>
            </w:tcBorders>
            <w:hideMark/>
          </w:tcPr>
          <w:p w14:paraId="7DCED688" w14:textId="77777777" w:rsidR="007815A3" w:rsidRPr="00D2654A" w:rsidRDefault="007815A3" w:rsidP="009B402B">
            <w:pPr>
              <w:spacing w:after="160"/>
              <w:jc w:val="center"/>
              <w:cnfStyle w:val="000000000000" w:firstRow="0" w:lastRow="0" w:firstColumn="0" w:lastColumn="0" w:oddVBand="0" w:evenVBand="0" w:oddHBand="0" w:evenHBand="0" w:firstRowFirstColumn="0" w:firstRowLastColumn="0" w:lastRowFirstColumn="0" w:lastRowLastColumn="0"/>
            </w:pPr>
            <w:r>
              <w:t>400ng/mL</w:t>
            </w:r>
          </w:p>
        </w:tc>
        <w:tc>
          <w:tcPr>
            <w:tcW w:w="820" w:type="pct"/>
            <w:tcBorders>
              <w:top w:val="nil"/>
              <w:bottom w:val="nil"/>
            </w:tcBorders>
            <w:hideMark/>
          </w:tcPr>
          <w:p w14:paraId="03091067" w14:textId="654B1FC3"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407.5</w:t>
            </w:r>
            <w:r w:rsidR="007815A3" w:rsidRPr="00D2654A">
              <w:t xml:space="preserve"> ±</w:t>
            </w:r>
            <w:r>
              <w:t>14.52</w:t>
            </w:r>
          </w:p>
        </w:tc>
        <w:tc>
          <w:tcPr>
            <w:tcW w:w="908" w:type="pct"/>
            <w:tcBorders>
              <w:top w:val="nil"/>
              <w:bottom w:val="nil"/>
            </w:tcBorders>
            <w:hideMark/>
          </w:tcPr>
          <w:p w14:paraId="0DC6EF9A" w14:textId="78065D7C"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1.9</w:t>
            </w:r>
          </w:p>
        </w:tc>
        <w:tc>
          <w:tcPr>
            <w:tcW w:w="927" w:type="pct"/>
            <w:tcBorders>
              <w:top w:val="nil"/>
              <w:bottom w:val="nil"/>
            </w:tcBorders>
            <w:hideMark/>
          </w:tcPr>
          <w:p w14:paraId="23E2928F" w14:textId="53BDABE8"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3.6</w:t>
            </w:r>
          </w:p>
        </w:tc>
      </w:tr>
      <w:tr w:rsidR="007815A3" w:rsidRPr="00D2654A" w14:paraId="0BA2AEC3" w14:textId="77777777" w:rsidTr="00E76F4C">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single" w:sz="12" w:space="0" w:color="auto"/>
            </w:tcBorders>
            <w:vAlign w:val="center"/>
          </w:tcPr>
          <w:p w14:paraId="69E69172" w14:textId="77777777" w:rsidR="007815A3" w:rsidRPr="007815A3" w:rsidRDefault="007815A3" w:rsidP="007815A3">
            <w:pPr>
              <w:spacing w:after="160"/>
              <w:jc w:val="center"/>
            </w:pPr>
          </w:p>
        </w:tc>
        <w:tc>
          <w:tcPr>
            <w:tcW w:w="1122" w:type="pct"/>
            <w:tcBorders>
              <w:top w:val="nil"/>
              <w:bottom w:val="single" w:sz="12" w:space="0" w:color="auto"/>
            </w:tcBorders>
          </w:tcPr>
          <w:p w14:paraId="4D66B6DA" w14:textId="77777777" w:rsidR="007815A3" w:rsidRPr="00D2654A" w:rsidRDefault="007815A3" w:rsidP="009B402B">
            <w:pPr>
              <w:spacing w:after="160"/>
              <w:jc w:val="center"/>
              <w:cnfStyle w:val="000000100000" w:firstRow="0" w:lastRow="0" w:firstColumn="0" w:lastColumn="0" w:oddVBand="0" w:evenVBand="0" w:oddHBand="1" w:evenHBand="0" w:firstRowFirstColumn="0" w:firstRowLastColumn="0" w:lastRowFirstColumn="0" w:lastRowLastColumn="0"/>
            </w:pPr>
            <w:r>
              <w:t>800ng/mL</w:t>
            </w:r>
          </w:p>
        </w:tc>
        <w:tc>
          <w:tcPr>
            <w:tcW w:w="820" w:type="pct"/>
            <w:tcBorders>
              <w:top w:val="nil"/>
              <w:bottom w:val="single" w:sz="12" w:space="0" w:color="auto"/>
            </w:tcBorders>
          </w:tcPr>
          <w:p w14:paraId="7881AD5F" w14:textId="57ABE8A9"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831.3</w:t>
            </w:r>
            <w:r w:rsidR="007815A3" w:rsidRPr="00D2654A">
              <w:t xml:space="preserve"> ±</w:t>
            </w:r>
            <w:r>
              <w:t>14.10</w:t>
            </w:r>
          </w:p>
        </w:tc>
        <w:tc>
          <w:tcPr>
            <w:tcW w:w="908" w:type="pct"/>
            <w:tcBorders>
              <w:top w:val="nil"/>
              <w:bottom w:val="single" w:sz="12" w:space="0" w:color="auto"/>
            </w:tcBorders>
          </w:tcPr>
          <w:p w14:paraId="21E51019" w14:textId="4500ECA0"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3.9</w:t>
            </w:r>
          </w:p>
        </w:tc>
        <w:tc>
          <w:tcPr>
            <w:tcW w:w="927" w:type="pct"/>
            <w:tcBorders>
              <w:top w:val="nil"/>
              <w:bottom w:val="single" w:sz="12" w:space="0" w:color="auto"/>
            </w:tcBorders>
          </w:tcPr>
          <w:p w14:paraId="6BA748D9" w14:textId="331C9A94"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1.7</w:t>
            </w:r>
          </w:p>
        </w:tc>
      </w:tr>
      <w:tr w:rsidR="007815A3" w:rsidRPr="00D2654A" w14:paraId="51AC060A" w14:textId="77777777" w:rsidTr="00E76F4C">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12" w:space="0" w:color="auto"/>
              <w:bottom w:val="nil"/>
            </w:tcBorders>
            <w:vAlign w:val="center"/>
            <w:hideMark/>
          </w:tcPr>
          <w:p w14:paraId="5E35A8D0" w14:textId="24BA46DA" w:rsidR="007815A3" w:rsidRPr="007815A3" w:rsidRDefault="00E76F4C" w:rsidP="007815A3">
            <w:pPr>
              <w:spacing w:after="160"/>
              <w:jc w:val="center"/>
            </w:pPr>
            <w:r>
              <w:t>FBS 10%</w:t>
            </w:r>
          </w:p>
        </w:tc>
        <w:tc>
          <w:tcPr>
            <w:tcW w:w="1122" w:type="pct"/>
            <w:tcBorders>
              <w:top w:val="single" w:sz="12" w:space="0" w:color="auto"/>
              <w:bottom w:val="nil"/>
            </w:tcBorders>
            <w:hideMark/>
          </w:tcPr>
          <w:p w14:paraId="4B9A0BD4" w14:textId="77777777" w:rsidR="007815A3" w:rsidRPr="00D2654A" w:rsidRDefault="007815A3" w:rsidP="009B402B">
            <w:pPr>
              <w:spacing w:after="160"/>
              <w:jc w:val="center"/>
              <w:cnfStyle w:val="000000000000" w:firstRow="0" w:lastRow="0" w:firstColumn="0" w:lastColumn="0" w:oddVBand="0" w:evenVBand="0" w:oddHBand="0" w:evenHBand="0" w:firstRowFirstColumn="0" w:firstRowLastColumn="0" w:lastRowFirstColumn="0" w:lastRowLastColumn="0"/>
            </w:pPr>
            <w:r>
              <w:t>40</w:t>
            </w:r>
            <w:r w:rsidRPr="00D2654A">
              <w:t>ng/</w:t>
            </w:r>
            <w:r>
              <w:t>mL</w:t>
            </w:r>
          </w:p>
        </w:tc>
        <w:tc>
          <w:tcPr>
            <w:tcW w:w="820" w:type="pct"/>
            <w:tcBorders>
              <w:top w:val="single" w:sz="12" w:space="0" w:color="auto"/>
              <w:bottom w:val="nil"/>
            </w:tcBorders>
            <w:hideMark/>
          </w:tcPr>
          <w:p w14:paraId="6FC49CCE" w14:textId="4E1B9C08"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40.4</w:t>
            </w:r>
            <w:r w:rsidR="007815A3" w:rsidRPr="00D2654A">
              <w:t xml:space="preserve"> ±</w:t>
            </w:r>
            <w:r>
              <w:t>1.04</w:t>
            </w:r>
          </w:p>
        </w:tc>
        <w:tc>
          <w:tcPr>
            <w:tcW w:w="908" w:type="pct"/>
            <w:tcBorders>
              <w:top w:val="single" w:sz="12" w:space="0" w:color="auto"/>
              <w:bottom w:val="nil"/>
            </w:tcBorders>
            <w:hideMark/>
          </w:tcPr>
          <w:p w14:paraId="64C06E0A" w14:textId="7F2A5EE8"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1.0</w:t>
            </w:r>
          </w:p>
        </w:tc>
        <w:tc>
          <w:tcPr>
            <w:tcW w:w="927" w:type="pct"/>
            <w:tcBorders>
              <w:top w:val="single" w:sz="12" w:space="0" w:color="auto"/>
              <w:bottom w:val="nil"/>
            </w:tcBorders>
            <w:hideMark/>
          </w:tcPr>
          <w:p w14:paraId="454A625B" w14:textId="7FD16620"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2.6</w:t>
            </w:r>
          </w:p>
        </w:tc>
      </w:tr>
      <w:tr w:rsidR="007815A3" w:rsidRPr="00D2654A" w14:paraId="787D41F3" w14:textId="77777777" w:rsidTr="007815A3">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tcBorders>
            <w:vAlign w:val="center"/>
            <w:hideMark/>
          </w:tcPr>
          <w:p w14:paraId="4F708453" w14:textId="77777777" w:rsidR="007815A3" w:rsidRPr="007815A3" w:rsidRDefault="007815A3" w:rsidP="007815A3">
            <w:pPr>
              <w:spacing w:after="160"/>
              <w:jc w:val="center"/>
            </w:pPr>
          </w:p>
        </w:tc>
        <w:tc>
          <w:tcPr>
            <w:tcW w:w="1122" w:type="pct"/>
            <w:tcBorders>
              <w:top w:val="nil"/>
              <w:bottom w:val="nil"/>
            </w:tcBorders>
            <w:hideMark/>
          </w:tcPr>
          <w:p w14:paraId="2A914410" w14:textId="77777777" w:rsidR="007815A3" w:rsidRPr="00D2654A" w:rsidRDefault="007815A3" w:rsidP="009B402B">
            <w:pPr>
              <w:spacing w:after="160"/>
              <w:jc w:val="center"/>
              <w:cnfStyle w:val="000000100000" w:firstRow="0" w:lastRow="0" w:firstColumn="0" w:lastColumn="0" w:oddVBand="0" w:evenVBand="0" w:oddHBand="1" w:evenHBand="0" w:firstRowFirstColumn="0" w:firstRowLastColumn="0" w:lastRowFirstColumn="0" w:lastRowLastColumn="0"/>
            </w:pPr>
            <w:r>
              <w:t>400ng/mL</w:t>
            </w:r>
          </w:p>
        </w:tc>
        <w:tc>
          <w:tcPr>
            <w:tcW w:w="820" w:type="pct"/>
            <w:tcBorders>
              <w:top w:val="nil"/>
              <w:bottom w:val="nil"/>
            </w:tcBorders>
            <w:hideMark/>
          </w:tcPr>
          <w:p w14:paraId="21ECE079" w14:textId="49BE6E9C"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394.2</w:t>
            </w:r>
            <w:r w:rsidR="007815A3" w:rsidRPr="00D2654A">
              <w:t xml:space="preserve"> ±</w:t>
            </w:r>
            <w:r>
              <w:t>27.70</w:t>
            </w:r>
          </w:p>
        </w:tc>
        <w:tc>
          <w:tcPr>
            <w:tcW w:w="908" w:type="pct"/>
            <w:tcBorders>
              <w:top w:val="nil"/>
              <w:bottom w:val="nil"/>
            </w:tcBorders>
            <w:hideMark/>
          </w:tcPr>
          <w:p w14:paraId="176C4073" w14:textId="68457162"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-1.4</w:t>
            </w:r>
          </w:p>
        </w:tc>
        <w:tc>
          <w:tcPr>
            <w:tcW w:w="927" w:type="pct"/>
            <w:tcBorders>
              <w:top w:val="nil"/>
              <w:bottom w:val="nil"/>
            </w:tcBorders>
            <w:hideMark/>
          </w:tcPr>
          <w:p w14:paraId="2EF141FD" w14:textId="6B46365B"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7.0</w:t>
            </w:r>
          </w:p>
        </w:tc>
      </w:tr>
      <w:tr w:rsidR="007815A3" w:rsidRPr="00D2654A" w14:paraId="020A2317" w14:textId="77777777" w:rsidTr="00E76F4C">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single" w:sz="12" w:space="0" w:color="auto"/>
            </w:tcBorders>
            <w:vAlign w:val="center"/>
          </w:tcPr>
          <w:p w14:paraId="78580C92" w14:textId="77777777" w:rsidR="007815A3" w:rsidRPr="007815A3" w:rsidRDefault="007815A3" w:rsidP="007815A3">
            <w:pPr>
              <w:spacing w:after="160"/>
              <w:jc w:val="center"/>
            </w:pPr>
          </w:p>
        </w:tc>
        <w:tc>
          <w:tcPr>
            <w:tcW w:w="1122" w:type="pct"/>
            <w:tcBorders>
              <w:top w:val="nil"/>
              <w:bottom w:val="single" w:sz="12" w:space="0" w:color="auto"/>
            </w:tcBorders>
          </w:tcPr>
          <w:p w14:paraId="64E742A2" w14:textId="77777777" w:rsidR="007815A3" w:rsidRPr="00D2654A" w:rsidRDefault="007815A3" w:rsidP="009B402B">
            <w:pPr>
              <w:spacing w:after="160"/>
              <w:jc w:val="center"/>
              <w:cnfStyle w:val="000000000000" w:firstRow="0" w:lastRow="0" w:firstColumn="0" w:lastColumn="0" w:oddVBand="0" w:evenVBand="0" w:oddHBand="0" w:evenHBand="0" w:firstRowFirstColumn="0" w:firstRowLastColumn="0" w:lastRowFirstColumn="0" w:lastRowLastColumn="0"/>
            </w:pPr>
            <w:r>
              <w:t>800ng/mL</w:t>
            </w:r>
          </w:p>
        </w:tc>
        <w:tc>
          <w:tcPr>
            <w:tcW w:w="820" w:type="pct"/>
            <w:tcBorders>
              <w:top w:val="nil"/>
              <w:bottom w:val="single" w:sz="12" w:space="0" w:color="auto"/>
            </w:tcBorders>
          </w:tcPr>
          <w:p w14:paraId="16F43BF6" w14:textId="351A7F09"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840.3</w:t>
            </w:r>
            <w:r w:rsidR="007815A3" w:rsidRPr="00D2654A">
              <w:t xml:space="preserve"> ±</w:t>
            </w:r>
            <w:r>
              <w:t>36.74</w:t>
            </w:r>
          </w:p>
        </w:tc>
        <w:tc>
          <w:tcPr>
            <w:tcW w:w="908" w:type="pct"/>
            <w:tcBorders>
              <w:top w:val="nil"/>
              <w:bottom w:val="single" w:sz="12" w:space="0" w:color="auto"/>
            </w:tcBorders>
          </w:tcPr>
          <w:p w14:paraId="32AD108E" w14:textId="08936C99"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5.0</w:t>
            </w:r>
          </w:p>
        </w:tc>
        <w:tc>
          <w:tcPr>
            <w:tcW w:w="927" w:type="pct"/>
            <w:tcBorders>
              <w:top w:val="nil"/>
              <w:bottom w:val="single" w:sz="12" w:space="0" w:color="auto"/>
            </w:tcBorders>
          </w:tcPr>
          <w:p w14:paraId="3460D64D" w14:textId="62AFEBE4"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4.4</w:t>
            </w:r>
          </w:p>
        </w:tc>
      </w:tr>
      <w:tr w:rsidR="007815A3" w:rsidRPr="00D2654A" w14:paraId="7DCE54F0" w14:textId="77777777" w:rsidTr="00E76F4C">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12" w:space="0" w:color="auto"/>
              <w:bottom w:val="nil"/>
            </w:tcBorders>
            <w:vAlign w:val="center"/>
            <w:hideMark/>
          </w:tcPr>
          <w:p w14:paraId="51EA1BDA" w14:textId="1E70C8EE" w:rsidR="007815A3" w:rsidRPr="007815A3" w:rsidRDefault="00E76F4C" w:rsidP="007815A3">
            <w:pPr>
              <w:spacing w:after="160"/>
              <w:jc w:val="center"/>
            </w:pPr>
            <w:r>
              <w:t>FBS 5%</w:t>
            </w:r>
          </w:p>
        </w:tc>
        <w:tc>
          <w:tcPr>
            <w:tcW w:w="1122" w:type="pct"/>
            <w:tcBorders>
              <w:top w:val="single" w:sz="12" w:space="0" w:color="auto"/>
              <w:bottom w:val="nil"/>
            </w:tcBorders>
            <w:hideMark/>
          </w:tcPr>
          <w:p w14:paraId="1D3B61D3" w14:textId="77777777" w:rsidR="007815A3" w:rsidRPr="00D2654A" w:rsidRDefault="007815A3" w:rsidP="009B402B">
            <w:pPr>
              <w:spacing w:after="160"/>
              <w:jc w:val="center"/>
              <w:cnfStyle w:val="000000100000" w:firstRow="0" w:lastRow="0" w:firstColumn="0" w:lastColumn="0" w:oddVBand="0" w:evenVBand="0" w:oddHBand="1" w:evenHBand="0" w:firstRowFirstColumn="0" w:firstRowLastColumn="0" w:lastRowFirstColumn="0" w:lastRowLastColumn="0"/>
            </w:pPr>
            <w:r>
              <w:t>40</w:t>
            </w:r>
            <w:r w:rsidRPr="00D2654A">
              <w:t>ng/</w:t>
            </w:r>
            <w:r>
              <w:t>mL</w:t>
            </w:r>
          </w:p>
        </w:tc>
        <w:tc>
          <w:tcPr>
            <w:tcW w:w="820" w:type="pct"/>
            <w:tcBorders>
              <w:top w:val="single" w:sz="12" w:space="0" w:color="auto"/>
              <w:bottom w:val="nil"/>
            </w:tcBorders>
            <w:hideMark/>
          </w:tcPr>
          <w:p w14:paraId="0A249726" w14:textId="405950DD"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41.4</w:t>
            </w:r>
            <w:r w:rsidR="007815A3" w:rsidRPr="00D2654A">
              <w:t xml:space="preserve"> ±</w:t>
            </w:r>
            <w:r>
              <w:t>0.47</w:t>
            </w:r>
          </w:p>
        </w:tc>
        <w:tc>
          <w:tcPr>
            <w:tcW w:w="908" w:type="pct"/>
            <w:tcBorders>
              <w:top w:val="single" w:sz="12" w:space="0" w:color="auto"/>
              <w:bottom w:val="nil"/>
            </w:tcBorders>
            <w:hideMark/>
          </w:tcPr>
          <w:p w14:paraId="38C748D3" w14:textId="6AE0644D"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3.4</w:t>
            </w:r>
          </w:p>
        </w:tc>
        <w:tc>
          <w:tcPr>
            <w:tcW w:w="927" w:type="pct"/>
            <w:tcBorders>
              <w:top w:val="single" w:sz="12" w:space="0" w:color="auto"/>
              <w:bottom w:val="nil"/>
            </w:tcBorders>
            <w:hideMark/>
          </w:tcPr>
          <w:p w14:paraId="50418D16" w14:textId="2F0C3F8F"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1.1</w:t>
            </w:r>
          </w:p>
        </w:tc>
      </w:tr>
      <w:tr w:rsidR="007815A3" w:rsidRPr="00D2654A" w14:paraId="3C910557" w14:textId="77777777" w:rsidTr="007815A3">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tcBorders>
            <w:hideMark/>
          </w:tcPr>
          <w:p w14:paraId="6F9D741F" w14:textId="77777777" w:rsidR="007815A3" w:rsidRPr="00D2654A" w:rsidRDefault="007815A3" w:rsidP="009B402B">
            <w:pPr>
              <w:spacing w:after="160"/>
              <w:jc w:val="center"/>
            </w:pPr>
          </w:p>
        </w:tc>
        <w:tc>
          <w:tcPr>
            <w:tcW w:w="1122" w:type="pct"/>
            <w:tcBorders>
              <w:top w:val="nil"/>
              <w:bottom w:val="nil"/>
            </w:tcBorders>
            <w:hideMark/>
          </w:tcPr>
          <w:p w14:paraId="067CA9B3" w14:textId="77777777" w:rsidR="007815A3" w:rsidRPr="00D2654A" w:rsidRDefault="007815A3" w:rsidP="009B402B">
            <w:pPr>
              <w:spacing w:after="160"/>
              <w:jc w:val="center"/>
              <w:cnfStyle w:val="000000000000" w:firstRow="0" w:lastRow="0" w:firstColumn="0" w:lastColumn="0" w:oddVBand="0" w:evenVBand="0" w:oddHBand="0" w:evenHBand="0" w:firstRowFirstColumn="0" w:firstRowLastColumn="0" w:lastRowFirstColumn="0" w:lastRowLastColumn="0"/>
            </w:pPr>
            <w:r>
              <w:t>400ng/mL</w:t>
            </w:r>
          </w:p>
        </w:tc>
        <w:tc>
          <w:tcPr>
            <w:tcW w:w="820" w:type="pct"/>
            <w:tcBorders>
              <w:top w:val="nil"/>
              <w:bottom w:val="nil"/>
            </w:tcBorders>
            <w:hideMark/>
          </w:tcPr>
          <w:p w14:paraId="7786E2CF" w14:textId="66771A36"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413.6</w:t>
            </w:r>
            <w:r w:rsidR="007815A3" w:rsidRPr="00D2654A">
              <w:t xml:space="preserve"> ±</w:t>
            </w:r>
            <w:r>
              <w:t>22.76</w:t>
            </w:r>
          </w:p>
        </w:tc>
        <w:tc>
          <w:tcPr>
            <w:tcW w:w="908" w:type="pct"/>
            <w:tcBorders>
              <w:top w:val="nil"/>
              <w:bottom w:val="nil"/>
            </w:tcBorders>
            <w:hideMark/>
          </w:tcPr>
          <w:p w14:paraId="0CB8148A" w14:textId="2926D906"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3.4</w:t>
            </w:r>
          </w:p>
        </w:tc>
        <w:tc>
          <w:tcPr>
            <w:tcW w:w="927" w:type="pct"/>
            <w:tcBorders>
              <w:top w:val="nil"/>
              <w:bottom w:val="nil"/>
            </w:tcBorders>
            <w:hideMark/>
          </w:tcPr>
          <w:p w14:paraId="0CF8B6FF" w14:textId="6FC2FAB0" w:rsidR="007815A3" w:rsidRPr="00D2654A" w:rsidRDefault="00E76F4C" w:rsidP="009B402B">
            <w:pPr>
              <w:spacing w:after="160"/>
              <w:jc w:val="center"/>
              <w:cnfStyle w:val="000000000000" w:firstRow="0" w:lastRow="0" w:firstColumn="0" w:lastColumn="0" w:oddVBand="0" w:evenVBand="0" w:oddHBand="0" w:evenHBand="0" w:firstRowFirstColumn="0" w:firstRowLastColumn="0" w:lastRowFirstColumn="0" w:lastRowLastColumn="0"/>
            </w:pPr>
            <w:r>
              <w:t>5.5</w:t>
            </w:r>
          </w:p>
        </w:tc>
      </w:tr>
      <w:tr w:rsidR="007815A3" w:rsidRPr="00D2654A" w14:paraId="75A59D5C" w14:textId="77777777" w:rsidTr="00E76F4C">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single" w:sz="12" w:space="0" w:color="auto"/>
            </w:tcBorders>
          </w:tcPr>
          <w:p w14:paraId="2286B6FF" w14:textId="77777777" w:rsidR="007815A3" w:rsidRPr="00D2654A" w:rsidRDefault="007815A3" w:rsidP="009B402B">
            <w:pPr>
              <w:spacing w:after="160"/>
              <w:jc w:val="center"/>
            </w:pPr>
          </w:p>
        </w:tc>
        <w:tc>
          <w:tcPr>
            <w:tcW w:w="1122" w:type="pct"/>
            <w:tcBorders>
              <w:top w:val="nil"/>
              <w:bottom w:val="single" w:sz="12" w:space="0" w:color="auto"/>
            </w:tcBorders>
          </w:tcPr>
          <w:p w14:paraId="252706B1" w14:textId="77777777" w:rsidR="007815A3" w:rsidRPr="00D2654A" w:rsidRDefault="007815A3" w:rsidP="009B402B">
            <w:pPr>
              <w:spacing w:after="160"/>
              <w:jc w:val="center"/>
              <w:cnfStyle w:val="000000100000" w:firstRow="0" w:lastRow="0" w:firstColumn="0" w:lastColumn="0" w:oddVBand="0" w:evenVBand="0" w:oddHBand="1" w:evenHBand="0" w:firstRowFirstColumn="0" w:firstRowLastColumn="0" w:lastRowFirstColumn="0" w:lastRowLastColumn="0"/>
            </w:pPr>
            <w:r>
              <w:t>800ng/mL</w:t>
            </w:r>
          </w:p>
        </w:tc>
        <w:tc>
          <w:tcPr>
            <w:tcW w:w="820" w:type="pct"/>
            <w:tcBorders>
              <w:top w:val="nil"/>
              <w:bottom w:val="single" w:sz="12" w:space="0" w:color="auto"/>
            </w:tcBorders>
          </w:tcPr>
          <w:p w14:paraId="653874AA" w14:textId="19862D0D"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846.3</w:t>
            </w:r>
            <w:r w:rsidR="007815A3" w:rsidRPr="00D2654A">
              <w:t xml:space="preserve"> ±</w:t>
            </w:r>
            <w:r>
              <w:t>36.53</w:t>
            </w:r>
          </w:p>
        </w:tc>
        <w:tc>
          <w:tcPr>
            <w:tcW w:w="908" w:type="pct"/>
            <w:tcBorders>
              <w:top w:val="nil"/>
              <w:bottom w:val="single" w:sz="12" w:space="0" w:color="auto"/>
            </w:tcBorders>
          </w:tcPr>
          <w:p w14:paraId="41E078B9" w14:textId="390EA2E4"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5.8</w:t>
            </w:r>
          </w:p>
        </w:tc>
        <w:tc>
          <w:tcPr>
            <w:tcW w:w="927" w:type="pct"/>
            <w:tcBorders>
              <w:top w:val="nil"/>
              <w:bottom w:val="single" w:sz="12" w:space="0" w:color="auto"/>
            </w:tcBorders>
          </w:tcPr>
          <w:p w14:paraId="5B841850" w14:textId="5A2769ED" w:rsidR="007815A3" w:rsidRPr="00D2654A" w:rsidRDefault="00E76F4C" w:rsidP="009B402B">
            <w:pPr>
              <w:spacing w:after="160"/>
              <w:jc w:val="center"/>
              <w:cnfStyle w:val="000000100000" w:firstRow="0" w:lastRow="0" w:firstColumn="0" w:lastColumn="0" w:oddVBand="0" w:evenVBand="0" w:oddHBand="1" w:evenHBand="0" w:firstRowFirstColumn="0" w:firstRowLastColumn="0" w:lastRowFirstColumn="0" w:lastRowLastColumn="0"/>
            </w:pPr>
            <w:r>
              <w:t>4.3</w:t>
            </w:r>
          </w:p>
        </w:tc>
      </w:tr>
      <w:tr w:rsidR="00E76F4C" w:rsidRPr="00D2654A" w14:paraId="516855CF" w14:textId="77777777" w:rsidTr="00E76F4C">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single" w:sz="12" w:space="0" w:color="auto"/>
              <w:bottom w:val="nil"/>
            </w:tcBorders>
            <w:vAlign w:val="center"/>
            <w:hideMark/>
          </w:tcPr>
          <w:p w14:paraId="11F98683" w14:textId="65288CAF" w:rsidR="00E76F4C" w:rsidRPr="00E76F4C" w:rsidRDefault="00E76F4C" w:rsidP="00E76F4C">
            <w:pPr>
              <w:spacing w:after="160"/>
              <w:jc w:val="center"/>
            </w:pPr>
            <w:r>
              <w:t>FBS 2%</w:t>
            </w:r>
          </w:p>
        </w:tc>
        <w:tc>
          <w:tcPr>
            <w:tcW w:w="1122" w:type="pct"/>
            <w:tcBorders>
              <w:top w:val="single" w:sz="12" w:space="0" w:color="auto"/>
              <w:bottom w:val="nil"/>
            </w:tcBorders>
            <w:vAlign w:val="center"/>
            <w:hideMark/>
          </w:tcPr>
          <w:p w14:paraId="2CAA0CA8" w14:textId="77777777" w:rsidR="00E76F4C" w:rsidRPr="00D2654A" w:rsidRDefault="00E76F4C" w:rsidP="00E76F4C">
            <w:pPr>
              <w:spacing w:after="160"/>
              <w:jc w:val="center"/>
              <w:cnfStyle w:val="000000000000" w:firstRow="0" w:lastRow="0" w:firstColumn="0" w:lastColumn="0" w:oddVBand="0" w:evenVBand="0" w:oddHBand="0" w:evenHBand="0" w:firstRowFirstColumn="0" w:firstRowLastColumn="0" w:lastRowFirstColumn="0" w:lastRowLastColumn="0"/>
            </w:pPr>
            <w:r>
              <w:t>40</w:t>
            </w:r>
            <w:r w:rsidRPr="00D2654A">
              <w:t>ng/</w:t>
            </w:r>
            <w:r>
              <w:t>mL</w:t>
            </w:r>
          </w:p>
        </w:tc>
        <w:tc>
          <w:tcPr>
            <w:tcW w:w="820" w:type="pct"/>
            <w:tcBorders>
              <w:top w:val="single" w:sz="12" w:space="0" w:color="auto"/>
              <w:bottom w:val="nil"/>
            </w:tcBorders>
            <w:vAlign w:val="center"/>
            <w:hideMark/>
          </w:tcPr>
          <w:p w14:paraId="12B4644C" w14:textId="79E624B8" w:rsidR="00E76F4C" w:rsidRPr="00D2654A" w:rsidRDefault="00E76F4C" w:rsidP="00E76F4C">
            <w:pPr>
              <w:spacing w:after="160"/>
              <w:jc w:val="center"/>
              <w:cnfStyle w:val="000000000000" w:firstRow="0" w:lastRow="0" w:firstColumn="0" w:lastColumn="0" w:oddVBand="0" w:evenVBand="0" w:oddHBand="0" w:evenHBand="0" w:firstRowFirstColumn="0" w:firstRowLastColumn="0" w:lastRowFirstColumn="0" w:lastRowLastColumn="0"/>
            </w:pPr>
            <w:r>
              <w:t xml:space="preserve">42.5 </w:t>
            </w:r>
            <w:r w:rsidRPr="00D2654A">
              <w:t>±</w:t>
            </w:r>
            <w:r w:rsidR="001C366C">
              <w:t>1.01</w:t>
            </w:r>
          </w:p>
        </w:tc>
        <w:tc>
          <w:tcPr>
            <w:tcW w:w="908" w:type="pct"/>
            <w:tcBorders>
              <w:top w:val="single" w:sz="12" w:space="0" w:color="auto"/>
              <w:bottom w:val="nil"/>
            </w:tcBorders>
            <w:vAlign w:val="center"/>
            <w:hideMark/>
          </w:tcPr>
          <w:p w14:paraId="2D78743A" w14:textId="035B70B2" w:rsidR="00E76F4C" w:rsidRPr="00D2654A" w:rsidRDefault="001C366C" w:rsidP="00E76F4C">
            <w:pPr>
              <w:spacing w:after="160"/>
              <w:jc w:val="center"/>
              <w:cnfStyle w:val="000000000000" w:firstRow="0" w:lastRow="0" w:firstColumn="0" w:lastColumn="0" w:oddVBand="0" w:evenVBand="0" w:oddHBand="0" w:evenHBand="0" w:firstRowFirstColumn="0" w:firstRowLastColumn="0" w:lastRowFirstColumn="0" w:lastRowLastColumn="0"/>
            </w:pPr>
            <w:r>
              <w:t>6.3</w:t>
            </w:r>
          </w:p>
        </w:tc>
        <w:tc>
          <w:tcPr>
            <w:tcW w:w="927" w:type="pct"/>
            <w:tcBorders>
              <w:top w:val="single" w:sz="12" w:space="0" w:color="auto"/>
              <w:bottom w:val="nil"/>
            </w:tcBorders>
            <w:vAlign w:val="center"/>
            <w:hideMark/>
          </w:tcPr>
          <w:p w14:paraId="010FACE4" w14:textId="331EC1DA" w:rsidR="00E76F4C" w:rsidRPr="00D2654A" w:rsidRDefault="001C366C" w:rsidP="00E76F4C">
            <w:pPr>
              <w:spacing w:after="160"/>
              <w:jc w:val="center"/>
              <w:cnfStyle w:val="000000000000" w:firstRow="0" w:lastRow="0" w:firstColumn="0" w:lastColumn="0" w:oddVBand="0" w:evenVBand="0" w:oddHBand="0" w:evenHBand="0" w:firstRowFirstColumn="0" w:firstRowLastColumn="0" w:lastRowFirstColumn="0" w:lastRowLastColumn="0"/>
            </w:pPr>
            <w:r>
              <w:t>2.4</w:t>
            </w:r>
          </w:p>
        </w:tc>
      </w:tr>
      <w:tr w:rsidR="00E76F4C" w:rsidRPr="00D2654A" w14:paraId="182CE80E" w14:textId="77777777" w:rsidTr="00E76F4C">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tcBorders>
            <w:vAlign w:val="center"/>
            <w:hideMark/>
          </w:tcPr>
          <w:p w14:paraId="2AB0BBC5" w14:textId="77777777" w:rsidR="00E76F4C" w:rsidRPr="00D2654A" w:rsidRDefault="00E76F4C" w:rsidP="00E76F4C">
            <w:pPr>
              <w:spacing w:after="160"/>
              <w:jc w:val="center"/>
            </w:pPr>
          </w:p>
        </w:tc>
        <w:tc>
          <w:tcPr>
            <w:tcW w:w="1122" w:type="pct"/>
            <w:tcBorders>
              <w:top w:val="nil"/>
              <w:bottom w:val="nil"/>
            </w:tcBorders>
            <w:vAlign w:val="center"/>
            <w:hideMark/>
          </w:tcPr>
          <w:p w14:paraId="59204424" w14:textId="77777777" w:rsidR="00E76F4C" w:rsidRPr="00D2654A" w:rsidRDefault="00E76F4C" w:rsidP="00E76F4C">
            <w:pPr>
              <w:spacing w:after="160"/>
              <w:jc w:val="center"/>
              <w:cnfStyle w:val="000000100000" w:firstRow="0" w:lastRow="0" w:firstColumn="0" w:lastColumn="0" w:oddVBand="0" w:evenVBand="0" w:oddHBand="1" w:evenHBand="0" w:firstRowFirstColumn="0" w:firstRowLastColumn="0" w:lastRowFirstColumn="0" w:lastRowLastColumn="0"/>
            </w:pPr>
            <w:r>
              <w:t>400ng/mL</w:t>
            </w:r>
          </w:p>
        </w:tc>
        <w:tc>
          <w:tcPr>
            <w:tcW w:w="820" w:type="pct"/>
            <w:tcBorders>
              <w:top w:val="nil"/>
              <w:bottom w:val="nil"/>
            </w:tcBorders>
            <w:vAlign w:val="center"/>
            <w:hideMark/>
          </w:tcPr>
          <w:p w14:paraId="45E2EF2C" w14:textId="78E0E0BE" w:rsidR="00E76F4C" w:rsidRPr="00D2654A" w:rsidRDefault="001C366C" w:rsidP="00E76F4C">
            <w:pPr>
              <w:spacing w:after="160"/>
              <w:jc w:val="center"/>
              <w:cnfStyle w:val="000000100000" w:firstRow="0" w:lastRow="0" w:firstColumn="0" w:lastColumn="0" w:oddVBand="0" w:evenVBand="0" w:oddHBand="1" w:evenHBand="0" w:firstRowFirstColumn="0" w:firstRowLastColumn="0" w:lastRowFirstColumn="0" w:lastRowLastColumn="0"/>
            </w:pPr>
            <w:r>
              <w:t xml:space="preserve">434.2 </w:t>
            </w:r>
            <w:r w:rsidR="00E76F4C" w:rsidRPr="00D2654A">
              <w:t>±</w:t>
            </w:r>
            <w:r>
              <w:t>14.70</w:t>
            </w:r>
          </w:p>
        </w:tc>
        <w:tc>
          <w:tcPr>
            <w:tcW w:w="908" w:type="pct"/>
            <w:tcBorders>
              <w:top w:val="nil"/>
              <w:bottom w:val="nil"/>
            </w:tcBorders>
            <w:vAlign w:val="center"/>
            <w:hideMark/>
          </w:tcPr>
          <w:p w14:paraId="2DFE3983" w14:textId="6B31395F" w:rsidR="00E76F4C" w:rsidRPr="00D2654A" w:rsidRDefault="001C366C" w:rsidP="00E76F4C">
            <w:pPr>
              <w:spacing w:after="160"/>
              <w:jc w:val="center"/>
              <w:cnfStyle w:val="000000100000" w:firstRow="0" w:lastRow="0" w:firstColumn="0" w:lastColumn="0" w:oddVBand="0" w:evenVBand="0" w:oddHBand="1" w:evenHBand="0" w:firstRowFirstColumn="0" w:firstRowLastColumn="0" w:lastRowFirstColumn="0" w:lastRowLastColumn="0"/>
            </w:pPr>
            <w:r>
              <w:t>8.5</w:t>
            </w:r>
          </w:p>
        </w:tc>
        <w:tc>
          <w:tcPr>
            <w:tcW w:w="927" w:type="pct"/>
            <w:tcBorders>
              <w:top w:val="nil"/>
              <w:bottom w:val="nil"/>
            </w:tcBorders>
            <w:vAlign w:val="center"/>
            <w:hideMark/>
          </w:tcPr>
          <w:p w14:paraId="0CF117DB" w14:textId="11908B9E" w:rsidR="00E76F4C" w:rsidRPr="00D2654A" w:rsidRDefault="001C366C" w:rsidP="00E76F4C">
            <w:pPr>
              <w:spacing w:after="160"/>
              <w:jc w:val="center"/>
              <w:cnfStyle w:val="000000100000" w:firstRow="0" w:lastRow="0" w:firstColumn="0" w:lastColumn="0" w:oddVBand="0" w:evenVBand="0" w:oddHBand="1" w:evenHBand="0" w:firstRowFirstColumn="0" w:firstRowLastColumn="0" w:lastRowFirstColumn="0" w:lastRowLastColumn="0"/>
            </w:pPr>
            <w:r>
              <w:t>3.4</w:t>
            </w:r>
          </w:p>
        </w:tc>
      </w:tr>
      <w:tr w:rsidR="00E76F4C" w:rsidRPr="00D2654A" w14:paraId="009589A8" w14:textId="77777777" w:rsidTr="00E76F4C">
        <w:tblPrEx>
          <w:jc w:val="left"/>
          <w:tblBorders>
            <w:top w:val="single" w:sz="4" w:space="0" w:color="7F7F7F" w:themeColor="text1" w:themeTint="80"/>
            <w:bottom w:val="single" w:sz="4" w:space="0" w:color="7F7F7F" w:themeColor="text1" w:themeTint="80"/>
          </w:tblBorders>
          <w:tblLook w:val="04A0" w:firstRow="1" w:lastRow="0" w:firstColumn="1" w:lastColumn="0" w:noHBand="0" w:noVBand="1"/>
        </w:tblPrEx>
        <w:trPr>
          <w:trHeight w:val="195"/>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single" w:sz="12" w:space="0" w:color="auto"/>
            </w:tcBorders>
            <w:vAlign w:val="center"/>
          </w:tcPr>
          <w:p w14:paraId="0DCF1D1B" w14:textId="77777777" w:rsidR="00E76F4C" w:rsidRPr="00D2654A" w:rsidRDefault="00E76F4C" w:rsidP="00E76F4C">
            <w:pPr>
              <w:spacing w:after="160"/>
              <w:jc w:val="center"/>
            </w:pPr>
          </w:p>
        </w:tc>
        <w:tc>
          <w:tcPr>
            <w:tcW w:w="1122" w:type="pct"/>
            <w:tcBorders>
              <w:top w:val="nil"/>
              <w:bottom w:val="single" w:sz="12" w:space="0" w:color="auto"/>
            </w:tcBorders>
            <w:vAlign w:val="center"/>
          </w:tcPr>
          <w:p w14:paraId="5D9C5B3D" w14:textId="77777777" w:rsidR="00E76F4C" w:rsidRPr="00D2654A" w:rsidRDefault="00E76F4C" w:rsidP="00E76F4C">
            <w:pPr>
              <w:spacing w:after="160"/>
              <w:jc w:val="center"/>
              <w:cnfStyle w:val="000000000000" w:firstRow="0" w:lastRow="0" w:firstColumn="0" w:lastColumn="0" w:oddVBand="0" w:evenVBand="0" w:oddHBand="0" w:evenHBand="0" w:firstRowFirstColumn="0" w:firstRowLastColumn="0" w:lastRowFirstColumn="0" w:lastRowLastColumn="0"/>
            </w:pPr>
            <w:r>
              <w:t>800ng/mL</w:t>
            </w:r>
          </w:p>
        </w:tc>
        <w:tc>
          <w:tcPr>
            <w:tcW w:w="820" w:type="pct"/>
            <w:tcBorders>
              <w:top w:val="nil"/>
              <w:bottom w:val="single" w:sz="12" w:space="0" w:color="auto"/>
            </w:tcBorders>
            <w:vAlign w:val="center"/>
          </w:tcPr>
          <w:p w14:paraId="52652979" w14:textId="3E57F345" w:rsidR="00E76F4C" w:rsidRPr="00D2654A" w:rsidRDefault="001C366C" w:rsidP="00E76F4C">
            <w:pPr>
              <w:spacing w:after="160"/>
              <w:jc w:val="center"/>
              <w:cnfStyle w:val="000000000000" w:firstRow="0" w:lastRow="0" w:firstColumn="0" w:lastColumn="0" w:oddVBand="0" w:evenVBand="0" w:oddHBand="0" w:evenHBand="0" w:firstRowFirstColumn="0" w:firstRowLastColumn="0" w:lastRowFirstColumn="0" w:lastRowLastColumn="0"/>
            </w:pPr>
            <w:r>
              <w:t xml:space="preserve">886.0 </w:t>
            </w:r>
            <w:r w:rsidR="00E76F4C" w:rsidRPr="00D2654A">
              <w:t>±</w:t>
            </w:r>
            <w:r>
              <w:t>28.48</w:t>
            </w:r>
          </w:p>
        </w:tc>
        <w:tc>
          <w:tcPr>
            <w:tcW w:w="908" w:type="pct"/>
            <w:tcBorders>
              <w:top w:val="nil"/>
              <w:bottom w:val="single" w:sz="12" w:space="0" w:color="auto"/>
            </w:tcBorders>
            <w:vAlign w:val="center"/>
          </w:tcPr>
          <w:p w14:paraId="0DF4D988" w14:textId="6F6D9CC1" w:rsidR="00E76F4C" w:rsidRPr="00D2654A" w:rsidRDefault="001C366C" w:rsidP="00E76F4C">
            <w:pPr>
              <w:spacing w:after="160"/>
              <w:jc w:val="center"/>
              <w:cnfStyle w:val="000000000000" w:firstRow="0" w:lastRow="0" w:firstColumn="0" w:lastColumn="0" w:oddVBand="0" w:evenVBand="0" w:oddHBand="0" w:evenHBand="0" w:firstRowFirstColumn="0" w:firstRowLastColumn="0" w:lastRowFirstColumn="0" w:lastRowLastColumn="0"/>
            </w:pPr>
            <w:r>
              <w:t>10.8</w:t>
            </w:r>
          </w:p>
        </w:tc>
        <w:tc>
          <w:tcPr>
            <w:tcW w:w="927" w:type="pct"/>
            <w:tcBorders>
              <w:top w:val="nil"/>
              <w:bottom w:val="single" w:sz="12" w:space="0" w:color="auto"/>
            </w:tcBorders>
            <w:vAlign w:val="center"/>
          </w:tcPr>
          <w:p w14:paraId="0549F054" w14:textId="34885A37" w:rsidR="00E76F4C" w:rsidRPr="00D2654A" w:rsidRDefault="001C366C" w:rsidP="00E76F4C">
            <w:pPr>
              <w:spacing w:after="160"/>
              <w:jc w:val="center"/>
              <w:cnfStyle w:val="000000000000" w:firstRow="0" w:lastRow="0" w:firstColumn="0" w:lastColumn="0" w:oddVBand="0" w:evenVBand="0" w:oddHBand="0" w:evenHBand="0" w:firstRowFirstColumn="0" w:firstRowLastColumn="0" w:lastRowFirstColumn="0" w:lastRowLastColumn="0"/>
            </w:pPr>
            <w:r>
              <w:t>3.2</w:t>
            </w:r>
          </w:p>
        </w:tc>
      </w:tr>
    </w:tbl>
    <w:p w14:paraId="41DE2701" w14:textId="77777777" w:rsidR="00105E4A" w:rsidRDefault="00105E4A" w:rsidP="001750E8">
      <w:pPr>
        <w:rPr>
          <w:b/>
          <w:bCs/>
          <w:lang w:val="en-GB"/>
        </w:rPr>
        <w:sectPr w:rsidR="00105E4A" w:rsidSect="00105E4A">
          <w:pgSz w:w="15840" w:h="12240" w:orient="landscape"/>
          <w:pgMar w:top="1440" w:right="1440" w:bottom="1440" w:left="1440" w:header="720" w:footer="720" w:gutter="0"/>
          <w:cols w:space="720"/>
          <w:docGrid w:linePitch="360"/>
        </w:sectPr>
      </w:pPr>
    </w:p>
    <w:p w14:paraId="7393F801" w14:textId="77777777" w:rsidR="00105E4A" w:rsidRDefault="00105E4A" w:rsidP="001750E8">
      <w:pPr>
        <w:rPr>
          <w:b/>
          <w:bCs/>
          <w:lang w:val="en-GB"/>
        </w:rPr>
      </w:pPr>
      <w:r>
        <w:rPr>
          <w:b/>
          <w:bCs/>
          <w:lang w:val="en-GB"/>
        </w:rPr>
        <w:lastRenderedPageBreak/>
        <w:t>Figures</w:t>
      </w:r>
    </w:p>
    <w:p w14:paraId="55C081D6" w14:textId="1909D8ED" w:rsidR="00105E4A" w:rsidRDefault="00105E4A" w:rsidP="001750E8">
      <w:pPr>
        <w:rPr>
          <w:b/>
          <w:bCs/>
          <w:lang w:val="en-GB"/>
        </w:rPr>
      </w:pPr>
      <w:r>
        <w:rPr>
          <w:b/>
          <w:bCs/>
          <w:lang w:val="en-GB"/>
        </w:rPr>
        <w:t>Figure 1</w:t>
      </w:r>
      <w:r w:rsidR="00625F22">
        <w:rPr>
          <w:b/>
          <w:bCs/>
          <w:lang w:val="en-GB"/>
        </w:rPr>
        <w:t xml:space="preserve"> </w:t>
      </w:r>
      <w:r w:rsidR="001E6733">
        <w:rPr>
          <w:lang w:val="en-GB"/>
        </w:rPr>
        <w:t>shows the recovery of TIZ in mouse plasma, human plasma, 50% FBS and 10% FBS (</w:t>
      </w:r>
      <w:r w:rsidR="001E6733">
        <w:rPr>
          <w:rFonts w:cstheme="minorHAnsi"/>
          <w:lang w:val="en-GB"/>
        </w:rPr>
        <w:t>±</w:t>
      </w:r>
      <w:r w:rsidR="001E6733">
        <w:rPr>
          <w:lang w:val="en-GB"/>
        </w:rPr>
        <w:t>SD).</w:t>
      </w:r>
    </w:p>
    <w:p w14:paraId="209C721B" w14:textId="02AC14C2" w:rsidR="001E6733" w:rsidRPr="001E6733" w:rsidRDefault="00105E4A" w:rsidP="001750E8">
      <w:pPr>
        <w:rPr>
          <w:lang w:val="en-GB"/>
        </w:rPr>
      </w:pPr>
      <w:r>
        <w:rPr>
          <w:b/>
          <w:bCs/>
          <w:lang w:val="en-GB"/>
        </w:rPr>
        <w:t>Figure 2</w:t>
      </w:r>
      <w:r w:rsidR="00625F22">
        <w:rPr>
          <w:b/>
          <w:bCs/>
          <w:lang w:val="en-GB"/>
        </w:rPr>
        <w:t xml:space="preserve"> </w:t>
      </w:r>
      <w:r w:rsidR="001E6733">
        <w:rPr>
          <w:lang w:val="en-GB"/>
        </w:rPr>
        <w:t>shows example standard curves produced in mouse and human plasma. Also shown is the R</w:t>
      </w:r>
      <w:r w:rsidR="001E6733" w:rsidRPr="0089571C">
        <w:rPr>
          <w:vertAlign w:val="superscript"/>
          <w:lang w:val="en-GB"/>
        </w:rPr>
        <w:t>2</w:t>
      </w:r>
      <w:r w:rsidR="001E6733">
        <w:rPr>
          <w:lang w:val="en-GB"/>
        </w:rPr>
        <w:t xml:space="preserve"> of the regression.</w:t>
      </w:r>
      <w:r w:rsidR="00D73878">
        <w:rPr>
          <w:lang w:val="en-GB"/>
        </w:rPr>
        <w:t xml:space="preserve">  </w:t>
      </w:r>
    </w:p>
    <w:p w14:paraId="15E57070" w14:textId="51DEA7A0" w:rsidR="00D672B0" w:rsidRDefault="00105E4A" w:rsidP="001750E8">
      <w:pPr>
        <w:rPr>
          <w:lang w:val="en-GB"/>
        </w:rPr>
      </w:pPr>
      <w:r>
        <w:rPr>
          <w:b/>
          <w:bCs/>
          <w:lang w:val="en-GB"/>
        </w:rPr>
        <w:t>Figure 3</w:t>
      </w:r>
      <w:r w:rsidR="00625F22">
        <w:rPr>
          <w:b/>
          <w:bCs/>
          <w:lang w:val="en-GB"/>
        </w:rPr>
        <w:t xml:space="preserve"> </w:t>
      </w:r>
      <w:r w:rsidR="001E6733" w:rsidRPr="001E6733">
        <w:rPr>
          <w:lang w:val="en-GB"/>
        </w:rPr>
        <w:t>shows representative chromatograms of</w:t>
      </w:r>
      <w:r w:rsidR="001E6733">
        <w:rPr>
          <w:lang w:val="en-GB"/>
        </w:rPr>
        <w:t xml:space="preserve"> (A) extracted blank mouse plasma, (B) the extracted LLOQ </w:t>
      </w:r>
      <w:r w:rsidR="00D1332E">
        <w:rPr>
          <w:lang w:val="en-GB"/>
        </w:rPr>
        <w:t xml:space="preserve">(15.6 ng/mL) </w:t>
      </w:r>
      <w:r w:rsidR="001E6733">
        <w:rPr>
          <w:lang w:val="en-GB"/>
        </w:rPr>
        <w:t xml:space="preserve">in mouse plasma, (C) extracted blank human plasma and (D) the extracted LLOQ </w:t>
      </w:r>
      <w:r w:rsidR="00D1332E">
        <w:rPr>
          <w:lang w:val="en-GB"/>
        </w:rPr>
        <w:t xml:space="preserve">(15.6 ng/mL) </w:t>
      </w:r>
      <w:r w:rsidR="001E6733">
        <w:rPr>
          <w:lang w:val="en-GB"/>
        </w:rPr>
        <w:t>in human plasma.</w:t>
      </w:r>
      <w:r w:rsidR="00DE1319">
        <w:rPr>
          <w:lang w:val="en-GB"/>
        </w:rPr>
        <w:t xml:space="preserve"> </w:t>
      </w:r>
      <w:r w:rsidR="00F67D46">
        <w:rPr>
          <w:lang w:val="en-GB"/>
        </w:rPr>
        <w:t>Chromatograms in blue and red show the signal produced by the daughter fragments of TIZ 216.8 and 113.9 respectively.</w:t>
      </w:r>
    </w:p>
    <w:p w14:paraId="61B8FB8A" w14:textId="1E996182" w:rsidR="00636BF3" w:rsidRDefault="000A5043" w:rsidP="00636BF3">
      <w:pPr>
        <w:tabs>
          <w:tab w:val="left" w:pos="1800"/>
        </w:tabs>
        <w:spacing w:line="276" w:lineRule="auto"/>
      </w:pPr>
      <w:r w:rsidRPr="00636BF3">
        <w:rPr>
          <w:b/>
          <w:bCs/>
          <w:lang w:val="en-GB"/>
        </w:rPr>
        <w:t>Figure 4</w:t>
      </w:r>
      <w:r w:rsidR="00636BF3">
        <w:rPr>
          <w:lang w:val="en-GB"/>
        </w:rPr>
        <w:t xml:space="preserve"> </w:t>
      </w:r>
      <w:r w:rsidR="00636BF3" w:rsidRPr="009A4CEF">
        <w:t>T</w:t>
      </w:r>
      <w:r w:rsidR="00636BF3">
        <w:t>IZ</w:t>
      </w:r>
      <w:r w:rsidR="00636BF3" w:rsidRPr="009A4CEF">
        <w:t xml:space="preserve"> fraction unbound (</w:t>
      </w:r>
      <w:r w:rsidR="00636BF3" w:rsidRPr="009A4CEF">
        <w:rPr>
          <w:i/>
          <w:iCs/>
        </w:rPr>
        <w:t>fu</w:t>
      </w:r>
      <w:r w:rsidR="00636BF3" w:rsidRPr="009A4CEF">
        <w:t>) in DMEM containing different percentages of (A) FBS or (B) Human plasma following 4 h incubation of the RED plate at 37</w:t>
      </w:r>
      <w:r w:rsidR="00636BF3" w:rsidRPr="00DA114C">
        <w:rPr>
          <w:vertAlign w:val="superscript"/>
        </w:rPr>
        <w:t>o</w:t>
      </w:r>
      <w:r w:rsidR="00636BF3" w:rsidRPr="009A4CEF">
        <w:t>C, 250 rpm.</w:t>
      </w:r>
      <w:r w:rsidR="00636BF3">
        <w:t xml:space="preserve"> </w:t>
      </w:r>
      <w:r w:rsidR="00636BF3" w:rsidRPr="004D7BDE">
        <w:t>TIZ was quantified using</w:t>
      </w:r>
      <w:r w:rsidR="00636BF3">
        <w:t xml:space="preserve"> the outlined</w:t>
      </w:r>
      <w:r w:rsidR="00636BF3" w:rsidRPr="004D7BDE">
        <w:t xml:space="preserve"> LC-MS/MS</w:t>
      </w:r>
      <w:r w:rsidR="00636BF3">
        <w:t xml:space="preserve"> methods. </w:t>
      </w:r>
      <w:r w:rsidR="00636BF3" w:rsidRPr="009A4CEF">
        <w:t>Data are means ± SD (n=3).</w:t>
      </w:r>
    </w:p>
    <w:p w14:paraId="6EE85052" w14:textId="1096C177" w:rsidR="000A5043" w:rsidRPr="00636BF3" w:rsidRDefault="000A5043" w:rsidP="001750E8"/>
    <w:p w14:paraId="454C6A35" w14:textId="77777777" w:rsidR="00D672B0" w:rsidRDefault="00D672B0">
      <w:pPr>
        <w:rPr>
          <w:b/>
          <w:bCs/>
          <w:lang w:val="en-GB"/>
        </w:rPr>
      </w:pPr>
      <w:r>
        <w:rPr>
          <w:b/>
          <w:bCs/>
          <w:lang w:val="en-GB"/>
        </w:rPr>
        <w:br w:type="page"/>
      </w:r>
    </w:p>
    <w:p w14:paraId="3A024349" w14:textId="77777777" w:rsidR="00D672B0" w:rsidRDefault="00D672B0" w:rsidP="001750E8">
      <w:pPr>
        <w:rPr>
          <w:b/>
          <w:bCs/>
          <w:lang w:val="en-GB"/>
        </w:rPr>
      </w:pPr>
      <w:r w:rsidRPr="00D672B0">
        <w:rPr>
          <w:b/>
          <w:bCs/>
          <w:lang w:val="en-GB"/>
        </w:rPr>
        <w:lastRenderedPageBreak/>
        <w:t>Figure 1</w:t>
      </w:r>
      <w:r w:rsidR="009802D3">
        <w:rPr>
          <w:b/>
          <w:noProof/>
          <w:lang w:val="en-GB" w:eastAsia="en-GB"/>
        </w:rPr>
        <w:drawing>
          <wp:inline distT="0" distB="0" distL="0" distR="0" wp14:anchorId="052C7A09" wp14:editId="77836E08">
            <wp:extent cx="5943600" cy="5312410"/>
            <wp:effectExtent l="0" t="0" r="0" b="2540"/>
            <wp:docPr id="1"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312410"/>
                    </a:xfrm>
                    <a:prstGeom prst="rect">
                      <a:avLst/>
                    </a:prstGeom>
                  </pic:spPr>
                </pic:pic>
              </a:graphicData>
            </a:graphic>
          </wp:inline>
        </w:drawing>
      </w:r>
    </w:p>
    <w:p w14:paraId="2B4122E7" w14:textId="77777777" w:rsidR="00D672B0" w:rsidRDefault="00D672B0">
      <w:pPr>
        <w:rPr>
          <w:b/>
          <w:bCs/>
          <w:lang w:val="en-GB"/>
        </w:rPr>
      </w:pPr>
      <w:r>
        <w:rPr>
          <w:b/>
          <w:bCs/>
          <w:lang w:val="en-GB"/>
        </w:rPr>
        <w:br w:type="page"/>
      </w:r>
    </w:p>
    <w:p w14:paraId="196C19C8" w14:textId="77777777" w:rsidR="000535DE" w:rsidRDefault="00D672B0" w:rsidP="001750E8">
      <w:pPr>
        <w:rPr>
          <w:b/>
          <w:bCs/>
          <w:lang w:val="en-GB"/>
        </w:rPr>
      </w:pPr>
      <w:r>
        <w:rPr>
          <w:b/>
          <w:bCs/>
          <w:lang w:val="en-GB"/>
        </w:rPr>
        <w:lastRenderedPageBreak/>
        <w:t>Figure 2</w:t>
      </w:r>
    </w:p>
    <w:p w14:paraId="7CAB91F9" w14:textId="7DAB7943" w:rsidR="00CC3F22" w:rsidRDefault="00CC3F22" w:rsidP="001750E8">
      <w:pPr>
        <w:rPr>
          <w:b/>
          <w:bCs/>
          <w:lang w:val="en-GB"/>
        </w:rPr>
      </w:pPr>
      <w:r w:rsidRPr="00CC3F22">
        <w:rPr>
          <w:b/>
          <w:bCs/>
          <w:noProof/>
          <w:lang w:val="en-GB"/>
        </w:rPr>
        <w:drawing>
          <wp:inline distT="0" distB="0" distL="0" distR="0" wp14:anchorId="3657F73A" wp14:editId="67B4430F">
            <wp:extent cx="4965700" cy="280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5700" cy="2806700"/>
                    </a:xfrm>
                    <a:prstGeom prst="rect">
                      <a:avLst/>
                    </a:prstGeom>
                  </pic:spPr>
                </pic:pic>
              </a:graphicData>
            </a:graphic>
          </wp:inline>
        </w:drawing>
      </w:r>
    </w:p>
    <w:p w14:paraId="21D7E437" w14:textId="4DCE8E43" w:rsidR="00824DDD" w:rsidRDefault="001750E8" w:rsidP="001750E8">
      <w:pPr>
        <w:rPr>
          <w:b/>
          <w:bCs/>
          <w:lang w:val="en-GB"/>
        </w:rPr>
      </w:pPr>
      <w:r>
        <w:rPr>
          <w:b/>
          <w:bCs/>
          <w:lang w:val="en-GB"/>
        </w:rPr>
        <w:br w:type="page"/>
      </w:r>
      <w:r w:rsidR="001E6733">
        <w:rPr>
          <w:b/>
          <w:bCs/>
          <w:lang w:val="en-GB"/>
        </w:rPr>
        <w:lastRenderedPageBreak/>
        <w:t>Figure 3</w:t>
      </w:r>
    </w:p>
    <w:p w14:paraId="735A0B4C" w14:textId="219D4072" w:rsidR="00264C7A" w:rsidRDefault="001E6733" w:rsidP="001750E8">
      <w:pPr>
        <w:rPr>
          <w:b/>
          <w:bCs/>
          <w:lang w:val="en-GB"/>
        </w:rPr>
      </w:pPr>
      <w:r>
        <w:rPr>
          <w:b/>
          <w:bCs/>
          <w:noProof/>
          <w:lang w:val="en-GB" w:eastAsia="en-GB"/>
        </w:rPr>
        <w:drawing>
          <wp:inline distT="0" distB="0" distL="0" distR="0" wp14:anchorId="0575EF26" wp14:editId="533E4674">
            <wp:extent cx="5157470" cy="31826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7470" cy="3182620"/>
                    </a:xfrm>
                    <a:prstGeom prst="rect">
                      <a:avLst/>
                    </a:prstGeom>
                    <a:noFill/>
                  </pic:spPr>
                </pic:pic>
              </a:graphicData>
            </a:graphic>
          </wp:inline>
        </w:drawing>
      </w:r>
    </w:p>
    <w:p w14:paraId="28BE16D4" w14:textId="77777777" w:rsidR="00264C7A" w:rsidRDefault="00264C7A">
      <w:pPr>
        <w:rPr>
          <w:b/>
          <w:bCs/>
          <w:lang w:val="en-GB"/>
        </w:rPr>
      </w:pPr>
      <w:r>
        <w:rPr>
          <w:b/>
          <w:bCs/>
          <w:lang w:val="en-GB"/>
        </w:rPr>
        <w:br w:type="page"/>
      </w:r>
    </w:p>
    <w:p w14:paraId="6E49D5D5" w14:textId="0A42AEA6" w:rsidR="001E6733" w:rsidRDefault="00264C7A" w:rsidP="001750E8">
      <w:pPr>
        <w:rPr>
          <w:b/>
          <w:bCs/>
          <w:lang w:val="en-GB"/>
        </w:rPr>
      </w:pPr>
      <w:r>
        <w:rPr>
          <w:b/>
          <w:bCs/>
          <w:lang w:val="en-GB"/>
        </w:rPr>
        <w:lastRenderedPageBreak/>
        <w:t>Figure 4</w:t>
      </w:r>
    </w:p>
    <w:p w14:paraId="3DC491BA" w14:textId="38711919" w:rsidR="000A5043" w:rsidRPr="00824DDD" w:rsidRDefault="000A5043" w:rsidP="001750E8">
      <w:pPr>
        <w:rPr>
          <w:b/>
          <w:bCs/>
          <w:lang w:val="en-GB"/>
        </w:rPr>
      </w:pPr>
      <w:r w:rsidRPr="00383806">
        <w:rPr>
          <w:b/>
          <w:bCs/>
          <w:noProof/>
        </w:rPr>
        <w:drawing>
          <wp:inline distT="0" distB="0" distL="0" distR="0" wp14:anchorId="4F1FFA14" wp14:editId="505E5FDC">
            <wp:extent cx="5943600" cy="2243647"/>
            <wp:effectExtent l="0" t="0" r="0" b="0"/>
            <wp:docPr id="4" name="Picture 3">
              <a:extLst xmlns:a="http://schemas.openxmlformats.org/drawingml/2006/main">
                <a:ext uri="{FF2B5EF4-FFF2-40B4-BE49-F238E27FC236}">
                  <a16:creationId xmlns:a16="http://schemas.microsoft.com/office/drawing/2014/main" id="{CDFC45E3-5508-10E0-ABE3-CE139FA320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DFC45E3-5508-10E0-ABE3-CE139FA320A4}"/>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243647"/>
                    </a:xfrm>
                    <a:prstGeom prst="rect">
                      <a:avLst/>
                    </a:prstGeom>
                    <a:noFill/>
                    <a:ln>
                      <a:noFill/>
                    </a:ln>
                  </pic:spPr>
                </pic:pic>
              </a:graphicData>
            </a:graphic>
          </wp:inline>
        </w:drawing>
      </w:r>
    </w:p>
    <w:sectPr w:rsidR="000A5043" w:rsidRPr="00824DDD" w:rsidSect="00105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136C"/>
    <w:multiLevelType w:val="hybridMultilevel"/>
    <w:tmpl w:val="F1BA363E"/>
    <w:lvl w:ilvl="0" w:tplc="DFEE31C6">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F5915"/>
    <w:multiLevelType w:val="hybridMultilevel"/>
    <w:tmpl w:val="99028CA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311064E7"/>
    <w:multiLevelType w:val="hybridMultilevel"/>
    <w:tmpl w:val="74123FA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31A073A5"/>
    <w:multiLevelType w:val="hybridMultilevel"/>
    <w:tmpl w:val="C6AAFDE8"/>
    <w:lvl w:ilvl="0" w:tplc="DFEE31C6">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064521">
    <w:abstractNumId w:val="1"/>
  </w:num>
  <w:num w:numId="2" w16cid:durableId="909929603">
    <w:abstractNumId w:val="2"/>
  </w:num>
  <w:num w:numId="3" w16cid:durableId="821234587">
    <w:abstractNumId w:val="0"/>
  </w:num>
  <w:num w:numId="4" w16cid:durableId="1571650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sztrdrjsd2r6e9x96psvsbrd9ate929dar&quot;&gt;NIH POP PK endnote library-Converted&lt;record-ids&gt;&lt;item&gt;1108&lt;/item&gt;&lt;item&gt;1112&lt;/item&gt;&lt;item&gt;1129&lt;/item&gt;&lt;item&gt;1130&lt;/item&gt;&lt;item&gt;1131&lt;/item&gt;&lt;item&gt;1132&lt;/item&gt;&lt;item&gt;1133&lt;/item&gt;&lt;item&gt;1134&lt;/item&gt;&lt;item&gt;1136&lt;/item&gt;&lt;item&gt;1137&lt;/item&gt;&lt;item&gt;1138&lt;/item&gt;&lt;item&gt;1139&lt;/item&gt;&lt;item&gt;1140&lt;/item&gt;&lt;item&gt;1142&lt;/item&gt;&lt;item&gt;1144&lt;/item&gt;&lt;item&gt;1147&lt;/item&gt;&lt;item&gt;1149&lt;/item&gt;&lt;item&gt;1150&lt;/item&gt;&lt;item&gt;1153&lt;/item&gt;&lt;item&gt;1155&lt;/item&gt;&lt;item&gt;1156&lt;/item&gt;&lt;item&gt;1159&lt;/item&gt;&lt;item&gt;1891&lt;/item&gt;&lt;item&gt;1892&lt;/item&gt;&lt;/record-ids&gt;&lt;/item&gt;&lt;/Libraries&gt;"/>
  </w:docVars>
  <w:rsids>
    <w:rsidRoot w:val="04193213"/>
    <w:rsid w:val="00001025"/>
    <w:rsid w:val="00003908"/>
    <w:rsid w:val="000142EC"/>
    <w:rsid w:val="00016E8F"/>
    <w:rsid w:val="00024958"/>
    <w:rsid w:val="00025124"/>
    <w:rsid w:val="000357E1"/>
    <w:rsid w:val="00047BD8"/>
    <w:rsid w:val="000535DE"/>
    <w:rsid w:val="00057627"/>
    <w:rsid w:val="00067C4B"/>
    <w:rsid w:val="00071853"/>
    <w:rsid w:val="0008163E"/>
    <w:rsid w:val="000827E4"/>
    <w:rsid w:val="000924F5"/>
    <w:rsid w:val="000939EA"/>
    <w:rsid w:val="000958C4"/>
    <w:rsid w:val="00096408"/>
    <w:rsid w:val="000A5043"/>
    <w:rsid w:val="000C4122"/>
    <w:rsid w:val="000C4339"/>
    <w:rsid w:val="000C54A2"/>
    <w:rsid w:val="000C6FDA"/>
    <w:rsid w:val="000C7B6E"/>
    <w:rsid w:val="000D4E24"/>
    <w:rsid w:val="000F0C53"/>
    <w:rsid w:val="00101FD9"/>
    <w:rsid w:val="00104EEC"/>
    <w:rsid w:val="00105E4A"/>
    <w:rsid w:val="0011086B"/>
    <w:rsid w:val="00125A0A"/>
    <w:rsid w:val="001319AE"/>
    <w:rsid w:val="00134F44"/>
    <w:rsid w:val="0016096F"/>
    <w:rsid w:val="00165C70"/>
    <w:rsid w:val="00170703"/>
    <w:rsid w:val="001750E8"/>
    <w:rsid w:val="001760E7"/>
    <w:rsid w:val="001834A9"/>
    <w:rsid w:val="00185C8E"/>
    <w:rsid w:val="00187E65"/>
    <w:rsid w:val="0019412C"/>
    <w:rsid w:val="001A1BD7"/>
    <w:rsid w:val="001A4F89"/>
    <w:rsid w:val="001B5A07"/>
    <w:rsid w:val="001C366C"/>
    <w:rsid w:val="001C4ADF"/>
    <w:rsid w:val="001E0C58"/>
    <w:rsid w:val="001E6733"/>
    <w:rsid w:val="001F6C53"/>
    <w:rsid w:val="00200972"/>
    <w:rsid w:val="002029C0"/>
    <w:rsid w:val="0023380B"/>
    <w:rsid w:val="00233D60"/>
    <w:rsid w:val="00257DAC"/>
    <w:rsid w:val="00264C7A"/>
    <w:rsid w:val="00276EE3"/>
    <w:rsid w:val="00281A0F"/>
    <w:rsid w:val="00294413"/>
    <w:rsid w:val="002A011D"/>
    <w:rsid w:val="002A1770"/>
    <w:rsid w:val="002A2B1F"/>
    <w:rsid w:val="002C491A"/>
    <w:rsid w:val="002F4CEE"/>
    <w:rsid w:val="00304D44"/>
    <w:rsid w:val="00313126"/>
    <w:rsid w:val="003245A5"/>
    <w:rsid w:val="00330840"/>
    <w:rsid w:val="00336BEB"/>
    <w:rsid w:val="0034515E"/>
    <w:rsid w:val="00354AE4"/>
    <w:rsid w:val="00355801"/>
    <w:rsid w:val="00367DA2"/>
    <w:rsid w:val="00385B47"/>
    <w:rsid w:val="00386502"/>
    <w:rsid w:val="0039262D"/>
    <w:rsid w:val="003A2BC4"/>
    <w:rsid w:val="003A5A8A"/>
    <w:rsid w:val="003C0AF0"/>
    <w:rsid w:val="003F1104"/>
    <w:rsid w:val="00414469"/>
    <w:rsid w:val="004265D0"/>
    <w:rsid w:val="00440DAA"/>
    <w:rsid w:val="00446DC9"/>
    <w:rsid w:val="00447E71"/>
    <w:rsid w:val="0045431D"/>
    <w:rsid w:val="004555A4"/>
    <w:rsid w:val="00456FE1"/>
    <w:rsid w:val="004821E0"/>
    <w:rsid w:val="00483336"/>
    <w:rsid w:val="00484DB5"/>
    <w:rsid w:val="004A6743"/>
    <w:rsid w:val="004C1757"/>
    <w:rsid w:val="004C3FD4"/>
    <w:rsid w:val="004D257A"/>
    <w:rsid w:val="0050213E"/>
    <w:rsid w:val="00511CC5"/>
    <w:rsid w:val="005120A0"/>
    <w:rsid w:val="005133AA"/>
    <w:rsid w:val="00517FE8"/>
    <w:rsid w:val="00530F09"/>
    <w:rsid w:val="00544FD0"/>
    <w:rsid w:val="0055725D"/>
    <w:rsid w:val="00564315"/>
    <w:rsid w:val="00583004"/>
    <w:rsid w:val="005860F7"/>
    <w:rsid w:val="00593DC8"/>
    <w:rsid w:val="005B0FE7"/>
    <w:rsid w:val="005B1D08"/>
    <w:rsid w:val="005B395D"/>
    <w:rsid w:val="005F0A77"/>
    <w:rsid w:val="005F2CDD"/>
    <w:rsid w:val="00604A0F"/>
    <w:rsid w:val="00607161"/>
    <w:rsid w:val="006117E8"/>
    <w:rsid w:val="006167C9"/>
    <w:rsid w:val="00625F22"/>
    <w:rsid w:val="0063368F"/>
    <w:rsid w:val="00636BF3"/>
    <w:rsid w:val="0064387D"/>
    <w:rsid w:val="006510EF"/>
    <w:rsid w:val="00655CE7"/>
    <w:rsid w:val="00672363"/>
    <w:rsid w:val="006723A8"/>
    <w:rsid w:val="0069090D"/>
    <w:rsid w:val="00696085"/>
    <w:rsid w:val="006B7960"/>
    <w:rsid w:val="006C16B2"/>
    <w:rsid w:val="006D2E52"/>
    <w:rsid w:val="006D4C2A"/>
    <w:rsid w:val="006D78AD"/>
    <w:rsid w:val="007004B0"/>
    <w:rsid w:val="00711809"/>
    <w:rsid w:val="007325C9"/>
    <w:rsid w:val="007401E6"/>
    <w:rsid w:val="00747E5E"/>
    <w:rsid w:val="0075055A"/>
    <w:rsid w:val="00751B87"/>
    <w:rsid w:val="00763DCC"/>
    <w:rsid w:val="0076770E"/>
    <w:rsid w:val="00775E49"/>
    <w:rsid w:val="007815A3"/>
    <w:rsid w:val="00783681"/>
    <w:rsid w:val="00785F91"/>
    <w:rsid w:val="007C2FE7"/>
    <w:rsid w:val="007E17DF"/>
    <w:rsid w:val="007E2E27"/>
    <w:rsid w:val="007E5CED"/>
    <w:rsid w:val="007F5C47"/>
    <w:rsid w:val="007F7493"/>
    <w:rsid w:val="00817F32"/>
    <w:rsid w:val="00821495"/>
    <w:rsid w:val="00824DDD"/>
    <w:rsid w:val="00840062"/>
    <w:rsid w:val="00856AE0"/>
    <w:rsid w:val="00867358"/>
    <w:rsid w:val="00871556"/>
    <w:rsid w:val="00876C48"/>
    <w:rsid w:val="00887D3C"/>
    <w:rsid w:val="0089571C"/>
    <w:rsid w:val="00896D0D"/>
    <w:rsid w:val="008A1371"/>
    <w:rsid w:val="008C05E7"/>
    <w:rsid w:val="008D63D6"/>
    <w:rsid w:val="008E5A3E"/>
    <w:rsid w:val="008E7D7D"/>
    <w:rsid w:val="008F69C0"/>
    <w:rsid w:val="00915038"/>
    <w:rsid w:val="00936FD8"/>
    <w:rsid w:val="009414C7"/>
    <w:rsid w:val="009532F6"/>
    <w:rsid w:val="009774DF"/>
    <w:rsid w:val="009802D3"/>
    <w:rsid w:val="0099133B"/>
    <w:rsid w:val="00993141"/>
    <w:rsid w:val="009B3569"/>
    <w:rsid w:val="009B402B"/>
    <w:rsid w:val="009B4449"/>
    <w:rsid w:val="009C732F"/>
    <w:rsid w:val="009E41DE"/>
    <w:rsid w:val="009E7C65"/>
    <w:rsid w:val="009F2034"/>
    <w:rsid w:val="009F6409"/>
    <w:rsid w:val="00A074A2"/>
    <w:rsid w:val="00A17484"/>
    <w:rsid w:val="00A1753B"/>
    <w:rsid w:val="00A30885"/>
    <w:rsid w:val="00A3642A"/>
    <w:rsid w:val="00A367C8"/>
    <w:rsid w:val="00A475C4"/>
    <w:rsid w:val="00A51002"/>
    <w:rsid w:val="00A53144"/>
    <w:rsid w:val="00A57BAF"/>
    <w:rsid w:val="00A62F56"/>
    <w:rsid w:val="00A644CF"/>
    <w:rsid w:val="00A80CEB"/>
    <w:rsid w:val="00A83B42"/>
    <w:rsid w:val="00A94D63"/>
    <w:rsid w:val="00AA0806"/>
    <w:rsid w:val="00AA3C3A"/>
    <w:rsid w:val="00AB5365"/>
    <w:rsid w:val="00AC0EF7"/>
    <w:rsid w:val="00AC15BC"/>
    <w:rsid w:val="00AD39DA"/>
    <w:rsid w:val="00AE3EE8"/>
    <w:rsid w:val="00AF1133"/>
    <w:rsid w:val="00AF214A"/>
    <w:rsid w:val="00AF338C"/>
    <w:rsid w:val="00B356CF"/>
    <w:rsid w:val="00B40EA2"/>
    <w:rsid w:val="00B41DA2"/>
    <w:rsid w:val="00B42283"/>
    <w:rsid w:val="00B424B1"/>
    <w:rsid w:val="00B476B4"/>
    <w:rsid w:val="00B75D83"/>
    <w:rsid w:val="00B9084C"/>
    <w:rsid w:val="00B939E5"/>
    <w:rsid w:val="00B94FDC"/>
    <w:rsid w:val="00BA0C47"/>
    <w:rsid w:val="00BA1EC2"/>
    <w:rsid w:val="00BA4F8B"/>
    <w:rsid w:val="00BC0E21"/>
    <w:rsid w:val="00BD5BD1"/>
    <w:rsid w:val="00BD5CB7"/>
    <w:rsid w:val="00BE32B1"/>
    <w:rsid w:val="00BE43DB"/>
    <w:rsid w:val="00BF4149"/>
    <w:rsid w:val="00BF6DDF"/>
    <w:rsid w:val="00BF70D2"/>
    <w:rsid w:val="00C001A9"/>
    <w:rsid w:val="00C0261A"/>
    <w:rsid w:val="00C15DE3"/>
    <w:rsid w:val="00C3113C"/>
    <w:rsid w:val="00C354FD"/>
    <w:rsid w:val="00C363CB"/>
    <w:rsid w:val="00C371F5"/>
    <w:rsid w:val="00C4440D"/>
    <w:rsid w:val="00C46CDE"/>
    <w:rsid w:val="00C61923"/>
    <w:rsid w:val="00C61F5A"/>
    <w:rsid w:val="00C63927"/>
    <w:rsid w:val="00C63B5B"/>
    <w:rsid w:val="00C7025F"/>
    <w:rsid w:val="00C72D0A"/>
    <w:rsid w:val="00C87DF0"/>
    <w:rsid w:val="00C9069B"/>
    <w:rsid w:val="00CA37C8"/>
    <w:rsid w:val="00CC0660"/>
    <w:rsid w:val="00CC3F22"/>
    <w:rsid w:val="00CC4C9A"/>
    <w:rsid w:val="00CE1560"/>
    <w:rsid w:val="00CE3447"/>
    <w:rsid w:val="00D043A7"/>
    <w:rsid w:val="00D1256D"/>
    <w:rsid w:val="00D1332E"/>
    <w:rsid w:val="00D1372A"/>
    <w:rsid w:val="00D1713F"/>
    <w:rsid w:val="00D26509"/>
    <w:rsid w:val="00D35966"/>
    <w:rsid w:val="00D47A87"/>
    <w:rsid w:val="00D63E94"/>
    <w:rsid w:val="00D672B0"/>
    <w:rsid w:val="00D73878"/>
    <w:rsid w:val="00D816EF"/>
    <w:rsid w:val="00D94343"/>
    <w:rsid w:val="00D97D07"/>
    <w:rsid w:val="00DA3B13"/>
    <w:rsid w:val="00DC0B8E"/>
    <w:rsid w:val="00DE1319"/>
    <w:rsid w:val="00DE174E"/>
    <w:rsid w:val="00DE7F51"/>
    <w:rsid w:val="00DF37A3"/>
    <w:rsid w:val="00E05977"/>
    <w:rsid w:val="00E05D3F"/>
    <w:rsid w:val="00E06C25"/>
    <w:rsid w:val="00E16BE9"/>
    <w:rsid w:val="00E16EC3"/>
    <w:rsid w:val="00E20EE1"/>
    <w:rsid w:val="00E2628D"/>
    <w:rsid w:val="00E35B0D"/>
    <w:rsid w:val="00E51F43"/>
    <w:rsid w:val="00E524D3"/>
    <w:rsid w:val="00E547CC"/>
    <w:rsid w:val="00E54BC3"/>
    <w:rsid w:val="00E5605F"/>
    <w:rsid w:val="00E63C03"/>
    <w:rsid w:val="00E64F07"/>
    <w:rsid w:val="00E76F4C"/>
    <w:rsid w:val="00E80B7C"/>
    <w:rsid w:val="00E979C7"/>
    <w:rsid w:val="00EA13E6"/>
    <w:rsid w:val="00EA3BC8"/>
    <w:rsid w:val="00EA64F0"/>
    <w:rsid w:val="00EB0A59"/>
    <w:rsid w:val="00EC770D"/>
    <w:rsid w:val="00ED2306"/>
    <w:rsid w:val="00EE352E"/>
    <w:rsid w:val="00F00EBD"/>
    <w:rsid w:val="00F02D26"/>
    <w:rsid w:val="00F05A34"/>
    <w:rsid w:val="00F27F06"/>
    <w:rsid w:val="00F33791"/>
    <w:rsid w:val="00F411ED"/>
    <w:rsid w:val="00F477B9"/>
    <w:rsid w:val="00F619C3"/>
    <w:rsid w:val="00F62587"/>
    <w:rsid w:val="00F67D46"/>
    <w:rsid w:val="00F71E91"/>
    <w:rsid w:val="00F747DF"/>
    <w:rsid w:val="00F91449"/>
    <w:rsid w:val="00FA1A08"/>
    <w:rsid w:val="00FA39F7"/>
    <w:rsid w:val="00FB1521"/>
    <w:rsid w:val="00FB2616"/>
    <w:rsid w:val="00FC2EFF"/>
    <w:rsid w:val="00FC39ED"/>
    <w:rsid w:val="00FE2531"/>
    <w:rsid w:val="00FF23C9"/>
    <w:rsid w:val="00FF2C5E"/>
    <w:rsid w:val="04193213"/>
    <w:rsid w:val="12A46CBC"/>
    <w:rsid w:val="19D56359"/>
    <w:rsid w:val="1B5F7995"/>
    <w:rsid w:val="2457A6E8"/>
    <w:rsid w:val="2C64A206"/>
    <w:rsid w:val="357F48E4"/>
    <w:rsid w:val="3B68EF3B"/>
    <w:rsid w:val="43F5636C"/>
    <w:rsid w:val="449007BD"/>
    <w:rsid w:val="497F587A"/>
    <w:rsid w:val="5B1A8A6F"/>
    <w:rsid w:val="5CBF88AB"/>
    <w:rsid w:val="5FAEF865"/>
    <w:rsid w:val="6269BCFA"/>
    <w:rsid w:val="6874BA2C"/>
    <w:rsid w:val="6A3A861A"/>
    <w:rsid w:val="71CC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AF9F"/>
  <w15:chartTrackingRefBased/>
  <w15:docId w15:val="{C22B7D24-D823-407B-9729-B7CA2B74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sid w:val="00BC0E21"/>
    <w:pPr>
      <w:spacing w:line="240" w:lineRule="auto"/>
      <w:jc w:val="both"/>
    </w:pPr>
    <w:rPr>
      <w:rFonts w:cstheme="minorHAnsi"/>
      <w:sz w:val="20"/>
      <w:szCs w:val="20"/>
    </w:rPr>
  </w:style>
  <w:style w:type="character" w:customStyle="1" w:styleId="CommentTextChar">
    <w:name w:val="Comment Text Char"/>
    <w:basedOn w:val="DefaultParagraphFont"/>
    <w:link w:val="CommentText"/>
    <w:uiPriority w:val="99"/>
    <w:rsid w:val="00BC0E21"/>
    <w:rPr>
      <w:rFonts w:cstheme="minorHAnsi"/>
      <w:sz w:val="20"/>
      <w:szCs w:val="20"/>
    </w:rPr>
  </w:style>
  <w:style w:type="paragraph" w:customStyle="1" w:styleId="EndNoteBibliographyTitle">
    <w:name w:val="EndNote Bibliography Title"/>
    <w:basedOn w:val="Normal"/>
    <w:link w:val="EndNoteBibliographyTitleChar"/>
    <w:rsid w:val="003F110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F1104"/>
    <w:rPr>
      <w:rFonts w:ascii="Calibri" w:hAnsi="Calibri" w:cs="Calibri"/>
      <w:noProof/>
    </w:rPr>
  </w:style>
  <w:style w:type="paragraph" w:customStyle="1" w:styleId="EndNoteBibliography">
    <w:name w:val="EndNote Bibliography"/>
    <w:basedOn w:val="Normal"/>
    <w:link w:val="EndNoteBibliographyChar"/>
    <w:rsid w:val="003F110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F1104"/>
    <w:rPr>
      <w:rFonts w:ascii="Calibri" w:hAnsi="Calibri" w:cs="Calibri"/>
      <w:noProof/>
    </w:rPr>
  </w:style>
  <w:style w:type="character" w:styleId="CommentReference">
    <w:name w:val="annotation reference"/>
    <w:basedOn w:val="DefaultParagraphFont"/>
    <w:uiPriority w:val="99"/>
    <w:semiHidden/>
    <w:unhideWhenUsed/>
    <w:rsid w:val="00607161"/>
    <w:rPr>
      <w:sz w:val="16"/>
      <w:szCs w:val="16"/>
    </w:rPr>
  </w:style>
  <w:style w:type="paragraph" w:styleId="CommentSubject">
    <w:name w:val="annotation subject"/>
    <w:basedOn w:val="CommentText"/>
    <w:next w:val="CommentText"/>
    <w:link w:val="CommentSubjectChar"/>
    <w:uiPriority w:val="99"/>
    <w:semiHidden/>
    <w:unhideWhenUsed/>
    <w:rsid w:val="00607161"/>
    <w:pPr>
      <w:jc w:val="left"/>
    </w:pPr>
    <w:rPr>
      <w:rFonts w:cstheme="minorBidi"/>
      <w:b/>
      <w:bCs/>
    </w:rPr>
  </w:style>
  <w:style w:type="character" w:customStyle="1" w:styleId="CommentSubjectChar">
    <w:name w:val="Comment Subject Char"/>
    <w:basedOn w:val="CommentTextChar"/>
    <w:link w:val="CommentSubject"/>
    <w:uiPriority w:val="99"/>
    <w:semiHidden/>
    <w:rsid w:val="00607161"/>
    <w:rPr>
      <w:rFonts w:cstheme="minorHAnsi"/>
      <w:b/>
      <w:bCs/>
      <w:sz w:val="20"/>
      <w:szCs w:val="20"/>
    </w:rPr>
  </w:style>
  <w:style w:type="paragraph" w:styleId="BalloonText">
    <w:name w:val="Balloon Text"/>
    <w:basedOn w:val="Normal"/>
    <w:link w:val="BalloonTextChar"/>
    <w:uiPriority w:val="99"/>
    <w:semiHidden/>
    <w:unhideWhenUsed/>
    <w:rsid w:val="00607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61"/>
    <w:rPr>
      <w:rFonts w:ascii="Segoe UI" w:hAnsi="Segoe UI" w:cs="Segoe UI"/>
      <w:sz w:val="18"/>
      <w:szCs w:val="18"/>
    </w:rPr>
  </w:style>
  <w:style w:type="character" w:customStyle="1" w:styleId="UnresolvedMention1">
    <w:name w:val="Unresolved Mention1"/>
    <w:basedOn w:val="DefaultParagraphFont"/>
    <w:uiPriority w:val="99"/>
    <w:semiHidden/>
    <w:unhideWhenUsed/>
    <w:rsid w:val="000142EC"/>
    <w:rPr>
      <w:color w:val="605E5C"/>
      <w:shd w:val="clear" w:color="auto" w:fill="E1DFDD"/>
    </w:rPr>
  </w:style>
  <w:style w:type="table" w:styleId="PlainTable2">
    <w:name w:val="Plain Table 2"/>
    <w:basedOn w:val="TableNormal"/>
    <w:uiPriority w:val="42"/>
    <w:rsid w:val="00824DDD"/>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65C70"/>
    <w:pPr>
      <w:spacing w:after="0" w:line="240" w:lineRule="auto"/>
    </w:pPr>
  </w:style>
  <w:style w:type="character" w:customStyle="1" w:styleId="UnresolvedMention10">
    <w:name w:val="Unresolved Mention10"/>
    <w:basedOn w:val="DefaultParagraphFont"/>
    <w:uiPriority w:val="99"/>
    <w:semiHidden/>
    <w:unhideWhenUsed/>
    <w:rsid w:val="007401E6"/>
    <w:rPr>
      <w:color w:val="605E5C"/>
      <w:shd w:val="clear" w:color="auto" w:fill="E1DFDD"/>
    </w:rPr>
  </w:style>
  <w:style w:type="character" w:styleId="FollowedHyperlink">
    <w:name w:val="FollowedHyperlink"/>
    <w:basedOn w:val="DefaultParagraphFont"/>
    <w:uiPriority w:val="99"/>
    <w:semiHidden/>
    <w:unhideWhenUsed/>
    <w:rsid w:val="004265D0"/>
    <w:rPr>
      <w:color w:val="954F72" w:themeColor="followedHyperlink"/>
      <w:u w:val="single"/>
    </w:rPr>
  </w:style>
  <w:style w:type="paragraph" w:styleId="ListParagraph">
    <w:name w:val="List Paragraph"/>
    <w:basedOn w:val="Normal"/>
    <w:uiPriority w:val="34"/>
    <w:qFormat/>
    <w:rsid w:val="007F5C47"/>
    <w:pPr>
      <w:ind w:left="720"/>
      <w:contextualSpacing/>
    </w:pPr>
  </w:style>
  <w:style w:type="character" w:styleId="UnresolvedMention">
    <w:name w:val="Unresolved Mention"/>
    <w:basedOn w:val="DefaultParagraphFont"/>
    <w:uiPriority w:val="99"/>
    <w:semiHidden/>
    <w:unhideWhenUsed/>
    <w:rsid w:val="00E05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1649">
      <w:bodyDiv w:val="1"/>
      <w:marLeft w:val="0"/>
      <w:marRight w:val="0"/>
      <w:marTop w:val="0"/>
      <w:marBottom w:val="0"/>
      <w:divBdr>
        <w:top w:val="none" w:sz="0" w:space="0" w:color="auto"/>
        <w:left w:val="none" w:sz="0" w:space="0" w:color="auto"/>
        <w:bottom w:val="none" w:sz="0" w:space="0" w:color="auto"/>
        <w:right w:val="none" w:sz="0" w:space="0" w:color="auto"/>
      </w:divBdr>
      <w:divsChild>
        <w:div w:id="119615946">
          <w:marLeft w:val="0"/>
          <w:marRight w:val="0"/>
          <w:marTop w:val="0"/>
          <w:marBottom w:val="45"/>
          <w:divBdr>
            <w:top w:val="none" w:sz="0" w:space="0" w:color="auto"/>
            <w:left w:val="none" w:sz="0" w:space="0" w:color="auto"/>
            <w:bottom w:val="none" w:sz="0" w:space="0" w:color="auto"/>
            <w:right w:val="none" w:sz="0" w:space="0" w:color="auto"/>
          </w:divBdr>
        </w:div>
      </w:divsChild>
    </w:div>
    <w:div w:id="13894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trials.gov/ct2/results?cond=sars-cov-2&amp;term=nitazoxanide&amp;cntry=&amp;state=&amp;city=&amp;dist"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hyperlink" Target="https://www.accessdata.fda.gov/drugsatfda_docs/label/2016/021497s001,021498s004lbl.pdf" TargetMode="External"/><Relationship Id="rId4" Type="http://schemas.openxmlformats.org/officeDocument/2006/relationships/customXml" Target="../customXml/item4.xml"/><Relationship Id="rId9" Type="http://schemas.openxmlformats.org/officeDocument/2006/relationships/hyperlink" Target="mailto:pcurley@liverpool.ac.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090EC8B984C489989E0FE7CA9D63A" ma:contentTypeVersion="8" ma:contentTypeDescription="Create a new document." ma:contentTypeScope="" ma:versionID="c43728d3c337a48f3fa20c34abb2743a">
  <xsd:schema xmlns:xsd="http://www.w3.org/2001/XMLSchema" xmlns:xs="http://www.w3.org/2001/XMLSchema" xmlns:p="http://schemas.microsoft.com/office/2006/metadata/properties" xmlns:ns2="310d0dbb-532f-4493-a8c2-b3e89024f525" targetNamespace="http://schemas.microsoft.com/office/2006/metadata/properties" ma:root="true" ma:fieldsID="d0430dec1c7b0f060ddc031e9a293b43" ns2:_="">
    <xsd:import namespace="310d0dbb-532f-4493-a8c2-b3e89024f5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d0dbb-532f-4493-a8c2-b3e89024f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F30AD-F881-48CB-A7BA-2C2A8B41D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d0dbb-532f-4493-a8c2-b3e89024f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2126D-06CC-470D-BD5F-99A8EB755F88}">
  <ds:schemaRefs>
    <ds:schemaRef ds:uri="http://schemas.openxmlformats.org/officeDocument/2006/bibliography"/>
  </ds:schemaRefs>
</ds:datastoreItem>
</file>

<file path=customXml/itemProps3.xml><?xml version="1.0" encoding="utf-8"?>
<ds:datastoreItem xmlns:ds="http://schemas.openxmlformats.org/officeDocument/2006/customXml" ds:itemID="{3A68AEDE-4677-4EE9-8729-660BD36E3B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535D86-9A69-4713-8640-82FB79794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9956</Words>
  <Characters>56750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Curley, Paul [pcurley]</dc:creator>
  <cp:keywords/>
  <dc:description/>
  <cp:lastModifiedBy>Neary, Megan [mneary]</cp:lastModifiedBy>
  <cp:revision>2</cp:revision>
  <dcterms:created xsi:type="dcterms:W3CDTF">2023-06-14T14:09:00Z</dcterms:created>
  <dcterms:modified xsi:type="dcterms:W3CDTF">2023-06-14T14:09:00Z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0x010100070090EC8B984C489989E0FE7CA9D63A</vt:lpwstr>
  </property>
</Properties>
</file>