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0B2B" w14:textId="132B3D31" w:rsidR="00F613B0" w:rsidRPr="00A0600F" w:rsidRDefault="00D97EC2" w:rsidP="00D97EC2">
      <w:pPr>
        <w:jc w:val="both"/>
        <w:rPr>
          <w:rFonts w:ascii="Times New Roman" w:hAnsi="Times New Roman" w:cs="Times New Roman"/>
          <w:b/>
          <w:bCs/>
          <w:sz w:val="32"/>
          <w:szCs w:val="32"/>
          <w:lang w:val="en-US"/>
        </w:rPr>
      </w:pPr>
      <w:r w:rsidRPr="00A0600F">
        <w:rPr>
          <w:rFonts w:ascii="Times New Roman" w:hAnsi="Times New Roman" w:cs="Times New Roman"/>
          <w:b/>
          <w:bCs/>
          <w:sz w:val="32"/>
          <w:szCs w:val="32"/>
          <w:lang w:val="en-US"/>
        </w:rPr>
        <w:t>Textbook outcome after</w:t>
      </w:r>
      <w:r w:rsidR="007808F7" w:rsidRPr="00A0600F">
        <w:rPr>
          <w:rFonts w:ascii="Times New Roman" w:hAnsi="Times New Roman" w:cs="Times New Roman"/>
          <w:b/>
          <w:bCs/>
          <w:sz w:val="32"/>
          <w:szCs w:val="32"/>
          <w:lang w:val="en-US"/>
        </w:rPr>
        <w:t xml:space="preserve"> trans-arterial embolization for hepatocellular carcinoma</w:t>
      </w:r>
    </w:p>
    <w:p w14:paraId="657AA87B" w14:textId="5D043635" w:rsidR="002C6EC6" w:rsidRPr="00A0600F" w:rsidRDefault="00BE3BEA" w:rsidP="00D97EC2">
      <w:pPr>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Cristina Mosconi</w:t>
      </w:r>
      <w:r w:rsidR="002F7B00" w:rsidRPr="00A0600F">
        <w:rPr>
          <w:rFonts w:ascii="Times New Roman" w:hAnsi="Times New Roman" w:cs="Times New Roman"/>
          <w:sz w:val="24"/>
          <w:szCs w:val="24"/>
          <w:vertAlign w:val="superscript"/>
          <w:lang w:val="en-US"/>
        </w:rPr>
        <w:t>1</w:t>
      </w:r>
      <w:r w:rsidRPr="00A0600F">
        <w:rPr>
          <w:rFonts w:ascii="Times New Roman" w:hAnsi="Times New Roman" w:cs="Times New Roman"/>
          <w:sz w:val="24"/>
          <w:szCs w:val="24"/>
          <w:lang w:val="en-US"/>
        </w:rPr>
        <w:t>, Joanne O’Rourke</w:t>
      </w:r>
      <w:r w:rsidR="002F7B00" w:rsidRPr="00A0600F">
        <w:rPr>
          <w:rFonts w:ascii="Times New Roman" w:hAnsi="Times New Roman" w:cs="Times New Roman"/>
          <w:sz w:val="24"/>
          <w:szCs w:val="24"/>
          <w:vertAlign w:val="superscript"/>
          <w:lang w:val="en-US"/>
        </w:rPr>
        <w:t>2</w:t>
      </w:r>
      <w:r w:rsidRPr="00A0600F">
        <w:rPr>
          <w:rFonts w:ascii="Times New Roman" w:hAnsi="Times New Roman" w:cs="Times New Roman"/>
          <w:sz w:val="24"/>
          <w:szCs w:val="24"/>
          <w:lang w:val="en-US"/>
        </w:rPr>
        <w:t xml:space="preserve">, </w:t>
      </w:r>
      <w:r w:rsidR="00F14E34" w:rsidRPr="00A0600F">
        <w:rPr>
          <w:rFonts w:ascii="Times New Roman" w:hAnsi="Times New Roman" w:cs="Times New Roman"/>
          <w:sz w:val="24"/>
          <w:szCs w:val="24"/>
          <w:lang w:val="en-US"/>
        </w:rPr>
        <w:t>Roman Kloeckner</w:t>
      </w:r>
      <w:r w:rsidR="00F14E34" w:rsidRPr="00A0600F">
        <w:rPr>
          <w:rFonts w:ascii="Times New Roman" w:hAnsi="Times New Roman" w:cs="Times New Roman"/>
          <w:sz w:val="24"/>
          <w:szCs w:val="24"/>
          <w:vertAlign w:val="superscript"/>
          <w:lang w:val="en-US"/>
        </w:rPr>
        <w:t>3</w:t>
      </w:r>
      <w:r w:rsidR="00F14E34" w:rsidRPr="00A0600F">
        <w:rPr>
          <w:rFonts w:ascii="Times New Roman" w:hAnsi="Times New Roman" w:cs="Times New Roman"/>
          <w:sz w:val="24"/>
          <w:szCs w:val="24"/>
          <w:lang w:val="en-US"/>
        </w:rPr>
        <w:t>, Lukas Sturm</w:t>
      </w:r>
      <w:r w:rsidR="00F14E34" w:rsidRPr="00A0600F">
        <w:rPr>
          <w:rFonts w:ascii="Times New Roman" w:hAnsi="Times New Roman" w:cs="Times New Roman"/>
          <w:sz w:val="24"/>
          <w:szCs w:val="24"/>
          <w:vertAlign w:val="superscript"/>
          <w:lang w:val="en-US"/>
        </w:rPr>
        <w:t>4</w:t>
      </w:r>
      <w:r w:rsidR="008C24CA">
        <w:rPr>
          <w:rFonts w:ascii="Times New Roman" w:hAnsi="Times New Roman" w:cs="Times New Roman"/>
          <w:sz w:val="24"/>
          <w:szCs w:val="24"/>
          <w:vertAlign w:val="superscript"/>
          <w:lang w:val="en-US"/>
        </w:rPr>
        <w:t>,5</w:t>
      </w:r>
      <w:r w:rsidR="00F14E34" w:rsidRPr="00A0600F">
        <w:rPr>
          <w:rFonts w:ascii="Times New Roman" w:hAnsi="Times New Roman" w:cs="Times New Roman"/>
          <w:sz w:val="24"/>
          <w:szCs w:val="24"/>
          <w:lang w:val="en-US"/>
        </w:rPr>
        <w:t xml:space="preserve">, </w:t>
      </w:r>
      <w:r w:rsidR="00F31347" w:rsidRPr="00A0600F">
        <w:rPr>
          <w:rFonts w:ascii="Times New Roman" w:hAnsi="Times New Roman" w:cs="Times New Roman"/>
          <w:sz w:val="24"/>
          <w:szCs w:val="24"/>
          <w:lang w:val="en-US"/>
        </w:rPr>
        <w:t>Rita Golfieri</w:t>
      </w:r>
      <w:r w:rsidR="00F14E34" w:rsidRPr="00A0600F">
        <w:rPr>
          <w:rFonts w:ascii="Times New Roman" w:hAnsi="Times New Roman" w:cs="Times New Roman"/>
          <w:sz w:val="24"/>
          <w:szCs w:val="24"/>
          <w:vertAlign w:val="superscript"/>
          <w:lang w:val="en-US"/>
        </w:rPr>
        <w:t>1</w:t>
      </w:r>
      <w:r w:rsidR="00AC7D79" w:rsidRPr="00A0600F">
        <w:rPr>
          <w:rFonts w:ascii="Times New Roman" w:hAnsi="Times New Roman" w:cs="Times New Roman"/>
          <w:sz w:val="24"/>
          <w:szCs w:val="24"/>
          <w:lang w:val="en-US"/>
        </w:rPr>
        <w:t xml:space="preserve">, </w:t>
      </w:r>
      <w:r w:rsidR="00F31347" w:rsidRPr="00A0600F">
        <w:rPr>
          <w:rFonts w:ascii="Times New Roman" w:hAnsi="Times New Roman" w:cs="Times New Roman"/>
          <w:sz w:val="24"/>
          <w:szCs w:val="24"/>
          <w:lang w:val="en-US"/>
        </w:rPr>
        <w:t>Ciro Celsa</w:t>
      </w:r>
      <w:r w:rsidR="008C24CA">
        <w:rPr>
          <w:rFonts w:ascii="Times New Roman" w:hAnsi="Times New Roman" w:cs="Times New Roman"/>
          <w:sz w:val="24"/>
          <w:szCs w:val="24"/>
          <w:vertAlign w:val="superscript"/>
          <w:lang w:val="en-US"/>
        </w:rPr>
        <w:t>6</w:t>
      </w:r>
      <w:r w:rsidR="00220012" w:rsidRPr="00A0600F">
        <w:rPr>
          <w:rFonts w:ascii="Times New Roman" w:hAnsi="Times New Roman" w:cs="Times New Roman"/>
          <w:sz w:val="24"/>
          <w:szCs w:val="24"/>
          <w:lang w:val="en-US"/>
        </w:rPr>
        <w:t xml:space="preserve">, </w:t>
      </w:r>
      <w:r w:rsidR="00AC7D79" w:rsidRPr="00A0600F">
        <w:rPr>
          <w:rFonts w:ascii="Times New Roman" w:hAnsi="Times New Roman" w:cs="Times New Roman"/>
          <w:sz w:val="24"/>
          <w:szCs w:val="24"/>
          <w:lang w:val="en-US"/>
        </w:rPr>
        <w:t>Waleed Fateen</w:t>
      </w:r>
      <w:r w:rsidR="008C24CA">
        <w:rPr>
          <w:rFonts w:ascii="Times New Roman" w:hAnsi="Times New Roman" w:cs="Times New Roman"/>
          <w:sz w:val="24"/>
          <w:szCs w:val="24"/>
          <w:vertAlign w:val="superscript"/>
          <w:lang w:val="en-US"/>
        </w:rPr>
        <w:t>7</w:t>
      </w:r>
      <w:r w:rsidR="00AC7D79" w:rsidRPr="00A0600F">
        <w:rPr>
          <w:rFonts w:ascii="Times New Roman" w:hAnsi="Times New Roman" w:cs="Times New Roman"/>
          <w:sz w:val="24"/>
          <w:szCs w:val="24"/>
          <w:lang w:val="en-US"/>
        </w:rPr>
        <w:t xml:space="preserve">, </w:t>
      </w:r>
      <w:r w:rsidR="00F31347" w:rsidRPr="00A0600F">
        <w:rPr>
          <w:rFonts w:ascii="Times New Roman" w:hAnsi="Times New Roman" w:cs="Times New Roman"/>
          <w:sz w:val="24"/>
          <w:szCs w:val="24"/>
          <w:lang w:val="en-US"/>
        </w:rPr>
        <w:t xml:space="preserve">Bruno </w:t>
      </w:r>
      <w:r w:rsidR="00D5427F" w:rsidRPr="00A0600F">
        <w:rPr>
          <w:rFonts w:ascii="Times New Roman" w:hAnsi="Times New Roman" w:cs="Times New Roman"/>
          <w:sz w:val="24"/>
          <w:szCs w:val="24"/>
          <w:lang w:val="en-US"/>
        </w:rPr>
        <w:t xml:space="preserve">C. </w:t>
      </w:r>
      <w:r w:rsidR="00F31347" w:rsidRPr="00A0600F">
        <w:rPr>
          <w:rFonts w:ascii="Times New Roman" w:hAnsi="Times New Roman" w:cs="Times New Roman"/>
          <w:sz w:val="24"/>
          <w:szCs w:val="24"/>
          <w:lang w:val="en-US"/>
        </w:rPr>
        <w:t>Odisio</w:t>
      </w:r>
      <w:r w:rsidR="008C24CA">
        <w:rPr>
          <w:rFonts w:ascii="Times New Roman" w:hAnsi="Times New Roman" w:cs="Times New Roman"/>
          <w:sz w:val="24"/>
          <w:szCs w:val="24"/>
          <w:vertAlign w:val="superscript"/>
          <w:lang w:val="en-US"/>
        </w:rPr>
        <w:t>8</w:t>
      </w:r>
      <w:r w:rsidR="00AC7D79" w:rsidRPr="00A0600F">
        <w:rPr>
          <w:rFonts w:ascii="Times New Roman" w:hAnsi="Times New Roman" w:cs="Times New Roman"/>
          <w:sz w:val="24"/>
          <w:szCs w:val="24"/>
          <w:lang w:val="en-US"/>
        </w:rPr>
        <w:t xml:space="preserve">, </w:t>
      </w:r>
      <w:r w:rsidR="00F31347" w:rsidRPr="00A0600F">
        <w:rPr>
          <w:rFonts w:ascii="Times New Roman" w:hAnsi="Times New Roman" w:cs="Times New Roman"/>
          <w:sz w:val="24"/>
          <w:szCs w:val="24"/>
          <w:lang w:val="en-US"/>
        </w:rPr>
        <w:t>Enrico Matteo Garanzini</w:t>
      </w:r>
      <w:r w:rsidR="008C24CA">
        <w:rPr>
          <w:rFonts w:ascii="Times New Roman" w:hAnsi="Times New Roman" w:cs="Times New Roman"/>
          <w:sz w:val="24"/>
          <w:szCs w:val="24"/>
          <w:vertAlign w:val="superscript"/>
          <w:lang w:val="en-US"/>
        </w:rPr>
        <w:t>9</w:t>
      </w:r>
      <w:r w:rsidR="00AC7D79" w:rsidRPr="00A0600F">
        <w:rPr>
          <w:rFonts w:ascii="Times New Roman" w:hAnsi="Times New Roman" w:cs="Times New Roman"/>
          <w:sz w:val="24"/>
          <w:szCs w:val="24"/>
          <w:lang w:val="en-US"/>
        </w:rPr>
        <w:t xml:space="preserve">, </w:t>
      </w:r>
      <w:r w:rsidR="00F31347" w:rsidRPr="00A0600F">
        <w:rPr>
          <w:rFonts w:ascii="Times New Roman" w:hAnsi="Times New Roman" w:cs="Times New Roman"/>
          <w:sz w:val="24"/>
          <w:szCs w:val="24"/>
          <w:lang w:val="en-US"/>
        </w:rPr>
        <w:t>Markus Peck</w:t>
      </w:r>
      <w:r w:rsidR="008C24CA">
        <w:rPr>
          <w:rFonts w:ascii="Times New Roman" w:hAnsi="Times New Roman" w:cs="Times New Roman"/>
          <w:sz w:val="24"/>
          <w:szCs w:val="24"/>
          <w:vertAlign w:val="superscript"/>
          <w:lang w:val="en-US"/>
        </w:rPr>
        <w:t>10</w:t>
      </w:r>
      <w:r w:rsidR="00AC7D79" w:rsidRPr="00A0600F">
        <w:rPr>
          <w:rFonts w:ascii="Times New Roman" w:hAnsi="Times New Roman" w:cs="Times New Roman"/>
          <w:sz w:val="24"/>
          <w:szCs w:val="24"/>
          <w:lang w:val="en-US"/>
        </w:rPr>
        <w:t xml:space="preserve">, </w:t>
      </w:r>
      <w:r w:rsidR="00F31347" w:rsidRPr="00A0600F">
        <w:rPr>
          <w:rFonts w:ascii="Times New Roman" w:hAnsi="Times New Roman" w:cs="Times New Roman"/>
          <w:sz w:val="24"/>
          <w:szCs w:val="24"/>
          <w:lang w:val="en-US"/>
        </w:rPr>
        <w:t>Alberto Borghi</w:t>
      </w:r>
      <w:r w:rsidR="00AC7D79" w:rsidRPr="00A0600F">
        <w:rPr>
          <w:rFonts w:ascii="Times New Roman" w:hAnsi="Times New Roman" w:cs="Times New Roman"/>
          <w:sz w:val="24"/>
          <w:szCs w:val="24"/>
          <w:vertAlign w:val="superscript"/>
          <w:lang w:val="en-US"/>
        </w:rPr>
        <w:t>1</w:t>
      </w:r>
      <w:r w:rsidR="008C24CA">
        <w:rPr>
          <w:rFonts w:ascii="Times New Roman" w:hAnsi="Times New Roman" w:cs="Times New Roman"/>
          <w:sz w:val="24"/>
          <w:szCs w:val="24"/>
          <w:vertAlign w:val="superscript"/>
          <w:lang w:val="en-US"/>
        </w:rPr>
        <w:t>1</w:t>
      </w:r>
      <w:r w:rsidR="00D153C9" w:rsidRPr="00A0600F">
        <w:rPr>
          <w:rFonts w:ascii="Times New Roman" w:hAnsi="Times New Roman" w:cs="Times New Roman"/>
          <w:sz w:val="24"/>
          <w:szCs w:val="24"/>
          <w:lang w:val="en-US"/>
        </w:rPr>
        <w:t xml:space="preserve">, </w:t>
      </w:r>
      <w:r w:rsidR="00800912" w:rsidRPr="00A0600F">
        <w:rPr>
          <w:rFonts w:ascii="Times New Roman" w:hAnsi="Times New Roman" w:cs="Times New Roman"/>
          <w:sz w:val="24"/>
          <w:szCs w:val="24"/>
          <w:lang w:val="en-US"/>
        </w:rPr>
        <w:t>Yuk Ting Ma</w:t>
      </w:r>
      <w:r w:rsidR="00D153C9" w:rsidRPr="00A0600F">
        <w:rPr>
          <w:rFonts w:ascii="Times New Roman" w:hAnsi="Times New Roman" w:cs="Times New Roman"/>
          <w:sz w:val="24"/>
          <w:szCs w:val="24"/>
          <w:vertAlign w:val="superscript"/>
          <w:lang w:val="en-US"/>
        </w:rPr>
        <w:t>2</w:t>
      </w:r>
      <w:r w:rsidR="00D153C9" w:rsidRPr="00A0600F">
        <w:rPr>
          <w:rFonts w:ascii="Times New Roman" w:hAnsi="Times New Roman" w:cs="Times New Roman"/>
          <w:sz w:val="24"/>
          <w:szCs w:val="24"/>
          <w:lang w:val="en-US"/>
        </w:rPr>
        <w:t xml:space="preserve">, </w:t>
      </w:r>
      <w:r w:rsidR="00F31347" w:rsidRPr="00A0600F">
        <w:rPr>
          <w:rFonts w:ascii="Times New Roman" w:hAnsi="Times New Roman" w:cs="Times New Roman"/>
          <w:sz w:val="24"/>
          <w:szCs w:val="24"/>
          <w:lang w:val="en-US"/>
        </w:rPr>
        <w:t>Fabian St</w:t>
      </w:r>
      <w:r w:rsidR="009C2BFC" w:rsidRPr="00A0600F">
        <w:rPr>
          <w:rFonts w:ascii="Times New Roman" w:hAnsi="Times New Roman" w:cs="Times New Roman"/>
          <w:sz w:val="24"/>
          <w:szCs w:val="24"/>
          <w:lang w:val="en-US"/>
        </w:rPr>
        <w:t>oe</w:t>
      </w:r>
      <w:r w:rsidR="002C6EC6" w:rsidRPr="00A0600F">
        <w:rPr>
          <w:rFonts w:ascii="Times New Roman" w:hAnsi="Times New Roman" w:cs="Times New Roman"/>
          <w:sz w:val="24"/>
          <w:szCs w:val="24"/>
          <w:lang w:val="en-US"/>
        </w:rPr>
        <w:t>hr</w:t>
      </w:r>
      <w:r w:rsidR="00D153C9" w:rsidRPr="00A0600F">
        <w:rPr>
          <w:rFonts w:ascii="Times New Roman" w:hAnsi="Times New Roman" w:cs="Times New Roman"/>
          <w:sz w:val="24"/>
          <w:szCs w:val="24"/>
          <w:vertAlign w:val="superscript"/>
          <w:lang w:val="en-US"/>
        </w:rPr>
        <w:t>3</w:t>
      </w:r>
      <w:r w:rsidR="00D153C9" w:rsidRPr="00A0600F">
        <w:rPr>
          <w:rFonts w:ascii="Times New Roman" w:hAnsi="Times New Roman" w:cs="Times New Roman"/>
          <w:sz w:val="24"/>
          <w:szCs w:val="24"/>
          <w:lang w:val="en-US"/>
        </w:rPr>
        <w:t xml:space="preserve">, </w:t>
      </w:r>
      <w:r w:rsidR="002C6EC6" w:rsidRPr="00A0600F">
        <w:rPr>
          <w:rFonts w:ascii="Times New Roman" w:hAnsi="Times New Roman" w:cs="Times New Roman"/>
          <w:sz w:val="24"/>
          <w:szCs w:val="24"/>
          <w:lang w:val="en-US"/>
        </w:rPr>
        <w:t>Dominik Bettinger</w:t>
      </w:r>
      <w:r w:rsidR="00D153C9" w:rsidRPr="00A0600F">
        <w:rPr>
          <w:rFonts w:ascii="Times New Roman" w:hAnsi="Times New Roman" w:cs="Times New Roman"/>
          <w:sz w:val="24"/>
          <w:szCs w:val="24"/>
          <w:vertAlign w:val="superscript"/>
          <w:lang w:val="en-US"/>
        </w:rPr>
        <w:t>4</w:t>
      </w:r>
      <w:r w:rsidR="008C24CA">
        <w:rPr>
          <w:rFonts w:ascii="Times New Roman" w:hAnsi="Times New Roman" w:cs="Times New Roman"/>
          <w:sz w:val="24"/>
          <w:szCs w:val="24"/>
          <w:vertAlign w:val="superscript"/>
          <w:lang w:val="en-US"/>
        </w:rPr>
        <w:t>,5</w:t>
      </w:r>
      <w:r w:rsidR="00D153C9" w:rsidRPr="00A0600F">
        <w:rPr>
          <w:rFonts w:ascii="Times New Roman" w:hAnsi="Times New Roman" w:cs="Times New Roman"/>
          <w:sz w:val="24"/>
          <w:szCs w:val="24"/>
          <w:lang w:val="en-US"/>
        </w:rPr>
        <w:t xml:space="preserve">, </w:t>
      </w:r>
      <w:r w:rsidR="002C6EC6" w:rsidRPr="00A0600F">
        <w:rPr>
          <w:rFonts w:ascii="Times New Roman" w:hAnsi="Times New Roman" w:cs="Times New Roman"/>
          <w:sz w:val="24"/>
          <w:szCs w:val="24"/>
          <w:lang w:val="en-US"/>
        </w:rPr>
        <w:t>Paolo Giuffrida</w:t>
      </w:r>
      <w:r w:rsidR="008C24CA">
        <w:rPr>
          <w:rFonts w:ascii="Times New Roman" w:hAnsi="Times New Roman" w:cs="Times New Roman"/>
          <w:sz w:val="24"/>
          <w:szCs w:val="24"/>
          <w:vertAlign w:val="superscript"/>
          <w:lang w:val="en-US"/>
        </w:rPr>
        <w:t>6</w:t>
      </w:r>
      <w:r w:rsidR="00D153C9" w:rsidRPr="00A0600F">
        <w:rPr>
          <w:rFonts w:ascii="Times New Roman" w:hAnsi="Times New Roman" w:cs="Times New Roman"/>
          <w:sz w:val="24"/>
          <w:szCs w:val="24"/>
          <w:lang w:val="en-US"/>
        </w:rPr>
        <w:t xml:space="preserve">, </w:t>
      </w:r>
      <w:r w:rsidR="002C6EC6" w:rsidRPr="00A0600F">
        <w:rPr>
          <w:rFonts w:ascii="Times New Roman" w:hAnsi="Times New Roman" w:cs="Times New Roman"/>
          <w:sz w:val="24"/>
          <w:szCs w:val="24"/>
          <w:lang w:val="en-US"/>
        </w:rPr>
        <w:t>Guru Aithal</w:t>
      </w:r>
      <w:r w:rsidR="008C24CA">
        <w:rPr>
          <w:rFonts w:ascii="Times New Roman" w:hAnsi="Times New Roman" w:cs="Times New Roman"/>
          <w:sz w:val="24"/>
          <w:szCs w:val="24"/>
          <w:vertAlign w:val="superscript"/>
          <w:lang w:val="en-US"/>
        </w:rPr>
        <w:t>7</w:t>
      </w:r>
      <w:r w:rsidR="00D153C9" w:rsidRPr="00A0600F">
        <w:rPr>
          <w:rFonts w:ascii="Times New Roman" w:hAnsi="Times New Roman" w:cs="Times New Roman"/>
          <w:sz w:val="24"/>
          <w:szCs w:val="24"/>
          <w:lang w:val="en-US"/>
        </w:rPr>
        <w:t xml:space="preserve">, </w:t>
      </w:r>
      <w:r w:rsidR="00D5427F" w:rsidRPr="00A0600F">
        <w:rPr>
          <w:rFonts w:ascii="Times New Roman" w:hAnsi="Times New Roman" w:cs="Times New Roman"/>
          <w:sz w:val="24"/>
          <w:szCs w:val="24"/>
          <w:lang w:val="en-US"/>
        </w:rPr>
        <w:t>Yuan-Mao</w:t>
      </w:r>
      <w:r w:rsidR="00EA3A0F" w:rsidRPr="00A0600F">
        <w:rPr>
          <w:rFonts w:ascii="Times New Roman" w:hAnsi="Times New Roman" w:cs="Times New Roman"/>
          <w:sz w:val="24"/>
          <w:szCs w:val="24"/>
          <w:lang w:val="en-US"/>
        </w:rPr>
        <w:t xml:space="preserve"> Lin</w:t>
      </w:r>
      <w:r w:rsidR="008C24CA">
        <w:rPr>
          <w:rFonts w:ascii="Times New Roman" w:hAnsi="Times New Roman" w:cs="Times New Roman"/>
          <w:sz w:val="24"/>
          <w:szCs w:val="24"/>
          <w:vertAlign w:val="superscript"/>
          <w:lang w:val="en-US"/>
        </w:rPr>
        <w:t>8</w:t>
      </w:r>
      <w:r w:rsidR="00D153C9" w:rsidRPr="00A0600F">
        <w:rPr>
          <w:rFonts w:ascii="Times New Roman" w:hAnsi="Times New Roman" w:cs="Times New Roman"/>
          <w:sz w:val="24"/>
          <w:szCs w:val="24"/>
          <w:lang w:val="en-US"/>
        </w:rPr>
        <w:t>,</w:t>
      </w:r>
      <w:r w:rsidR="002F7B00" w:rsidRPr="00A0600F">
        <w:rPr>
          <w:rFonts w:ascii="Times New Roman" w:hAnsi="Times New Roman" w:cs="Times New Roman"/>
          <w:sz w:val="24"/>
          <w:szCs w:val="24"/>
          <w:lang w:val="en-US"/>
        </w:rPr>
        <w:t xml:space="preserve"> </w:t>
      </w:r>
      <w:r w:rsidR="002C6EC6" w:rsidRPr="00A0600F">
        <w:rPr>
          <w:rFonts w:ascii="Times New Roman" w:hAnsi="Times New Roman" w:cs="Times New Roman"/>
          <w:sz w:val="24"/>
          <w:szCs w:val="24"/>
          <w:lang w:val="en-US"/>
        </w:rPr>
        <w:t>Carlo Spreafico</w:t>
      </w:r>
      <w:r w:rsidR="008C24CA">
        <w:rPr>
          <w:rFonts w:ascii="Times New Roman" w:hAnsi="Times New Roman" w:cs="Times New Roman"/>
          <w:sz w:val="24"/>
          <w:szCs w:val="24"/>
          <w:vertAlign w:val="superscript"/>
          <w:lang w:val="en-US"/>
        </w:rPr>
        <w:t>9</w:t>
      </w:r>
      <w:r w:rsidR="00D153C9" w:rsidRPr="00A0600F">
        <w:rPr>
          <w:rFonts w:ascii="Times New Roman" w:hAnsi="Times New Roman" w:cs="Times New Roman"/>
          <w:sz w:val="24"/>
          <w:szCs w:val="24"/>
          <w:lang w:val="en-US"/>
        </w:rPr>
        <w:t xml:space="preserve">, </w:t>
      </w:r>
      <w:proofErr w:type="spellStart"/>
      <w:r w:rsidR="002C6EC6" w:rsidRPr="00A0600F">
        <w:rPr>
          <w:rFonts w:ascii="Times New Roman" w:hAnsi="Times New Roman" w:cs="Times New Roman"/>
          <w:sz w:val="24"/>
          <w:szCs w:val="24"/>
          <w:lang w:val="en-US"/>
        </w:rPr>
        <w:t>Emanuela</w:t>
      </w:r>
      <w:proofErr w:type="spellEnd"/>
      <w:r w:rsidR="002C6EC6" w:rsidRPr="00A0600F">
        <w:rPr>
          <w:rFonts w:ascii="Times New Roman" w:hAnsi="Times New Roman" w:cs="Times New Roman"/>
          <w:sz w:val="24"/>
          <w:szCs w:val="24"/>
          <w:lang w:val="en-US"/>
        </w:rPr>
        <w:t xml:space="preserve"> Giampalma</w:t>
      </w:r>
      <w:r w:rsidR="00D153C9" w:rsidRPr="00A0600F">
        <w:rPr>
          <w:rFonts w:ascii="Times New Roman" w:hAnsi="Times New Roman" w:cs="Times New Roman"/>
          <w:sz w:val="24"/>
          <w:szCs w:val="24"/>
          <w:vertAlign w:val="superscript"/>
          <w:lang w:val="en-US"/>
        </w:rPr>
        <w:t>1</w:t>
      </w:r>
      <w:r w:rsidR="008C24CA">
        <w:rPr>
          <w:rFonts w:ascii="Times New Roman" w:hAnsi="Times New Roman" w:cs="Times New Roman"/>
          <w:sz w:val="24"/>
          <w:szCs w:val="24"/>
          <w:vertAlign w:val="superscript"/>
          <w:lang w:val="en-US"/>
        </w:rPr>
        <w:t>2</w:t>
      </w:r>
      <w:r w:rsidR="00D153C9" w:rsidRPr="00A0600F">
        <w:rPr>
          <w:rFonts w:ascii="Times New Roman" w:hAnsi="Times New Roman" w:cs="Times New Roman"/>
          <w:sz w:val="24"/>
          <w:szCs w:val="24"/>
          <w:lang w:val="en-US"/>
        </w:rPr>
        <w:t xml:space="preserve">, </w:t>
      </w:r>
      <w:r w:rsidR="002C6EC6" w:rsidRPr="00A0600F">
        <w:rPr>
          <w:rFonts w:ascii="Times New Roman" w:hAnsi="Times New Roman" w:cs="Times New Roman"/>
          <w:sz w:val="24"/>
          <w:szCs w:val="24"/>
          <w:lang w:val="en-US"/>
        </w:rPr>
        <w:t>Philip Johnson</w:t>
      </w:r>
      <w:r w:rsidR="001C1CD2" w:rsidRPr="00A0600F">
        <w:rPr>
          <w:rFonts w:ascii="Times New Roman" w:hAnsi="Times New Roman" w:cs="Times New Roman"/>
          <w:sz w:val="24"/>
          <w:szCs w:val="24"/>
          <w:vertAlign w:val="superscript"/>
          <w:lang w:val="en-US"/>
        </w:rPr>
        <w:t>1</w:t>
      </w:r>
      <w:r w:rsidR="008C24CA">
        <w:rPr>
          <w:rFonts w:ascii="Times New Roman" w:hAnsi="Times New Roman" w:cs="Times New Roman"/>
          <w:sz w:val="24"/>
          <w:szCs w:val="24"/>
          <w:vertAlign w:val="superscript"/>
          <w:lang w:val="en-US"/>
        </w:rPr>
        <w:t>3</w:t>
      </w:r>
      <w:r w:rsidR="003C0989" w:rsidRPr="00A0600F">
        <w:rPr>
          <w:rFonts w:ascii="Times New Roman" w:hAnsi="Times New Roman" w:cs="Times New Roman"/>
          <w:sz w:val="24"/>
          <w:szCs w:val="24"/>
          <w:lang w:val="en-US"/>
        </w:rPr>
        <w:t xml:space="preserve"> and </w:t>
      </w:r>
      <w:r w:rsidR="002C6EC6" w:rsidRPr="00A0600F">
        <w:rPr>
          <w:rFonts w:ascii="Times New Roman" w:hAnsi="Times New Roman" w:cs="Times New Roman"/>
          <w:sz w:val="24"/>
          <w:szCs w:val="24"/>
          <w:lang w:val="en-US"/>
        </w:rPr>
        <w:t>Alessandro Cucchetti</w:t>
      </w:r>
      <w:r w:rsidR="003C0989" w:rsidRPr="00A0600F">
        <w:rPr>
          <w:rFonts w:ascii="Times New Roman" w:hAnsi="Times New Roman" w:cs="Times New Roman"/>
          <w:sz w:val="24"/>
          <w:szCs w:val="24"/>
          <w:vertAlign w:val="superscript"/>
          <w:lang w:val="en-US"/>
        </w:rPr>
        <w:t>1</w:t>
      </w:r>
      <w:r w:rsidR="008C24CA">
        <w:rPr>
          <w:rFonts w:ascii="Times New Roman" w:hAnsi="Times New Roman" w:cs="Times New Roman"/>
          <w:sz w:val="24"/>
          <w:szCs w:val="24"/>
          <w:vertAlign w:val="superscript"/>
          <w:lang w:val="en-US"/>
        </w:rPr>
        <w:t>4</w:t>
      </w:r>
    </w:p>
    <w:p w14:paraId="2148D1A3" w14:textId="77777777" w:rsidR="00F31347" w:rsidRPr="00A0600F" w:rsidRDefault="00F31347" w:rsidP="00D97EC2">
      <w:pPr>
        <w:jc w:val="both"/>
        <w:rPr>
          <w:rFonts w:ascii="Times New Roman" w:hAnsi="Times New Roman" w:cs="Times New Roman"/>
          <w:sz w:val="24"/>
          <w:szCs w:val="24"/>
          <w:lang w:val="en-US"/>
        </w:rPr>
      </w:pPr>
    </w:p>
    <w:p w14:paraId="49363390" w14:textId="713EAA59" w:rsidR="00220012" w:rsidRPr="00A0600F" w:rsidRDefault="00F31347" w:rsidP="00427CAB">
      <w:pPr>
        <w:jc w:val="both"/>
        <w:rPr>
          <w:rFonts w:ascii="Times New Roman" w:hAnsi="Times New Roman" w:cs="Times New Roman"/>
          <w:sz w:val="24"/>
          <w:szCs w:val="24"/>
        </w:rPr>
      </w:pPr>
      <w:r w:rsidRPr="00A0600F">
        <w:rPr>
          <w:rFonts w:ascii="Times New Roman" w:hAnsi="Times New Roman" w:cs="Times New Roman"/>
        </w:rPr>
        <w:t xml:space="preserve">Collaborators: </w:t>
      </w:r>
      <w:r w:rsidR="009E4C7C" w:rsidRPr="00A0600F">
        <w:rPr>
          <w:rFonts w:ascii="Times New Roman" w:hAnsi="Times New Roman" w:cs="Times New Roman"/>
        </w:rPr>
        <w:t>Niccolò Brandi</w:t>
      </w:r>
      <w:r w:rsidR="00D153C9" w:rsidRPr="00A0600F">
        <w:rPr>
          <w:rFonts w:ascii="Times New Roman" w:hAnsi="Times New Roman" w:cs="Times New Roman"/>
          <w:vertAlign w:val="superscript"/>
        </w:rPr>
        <w:t>1</w:t>
      </w:r>
      <w:r w:rsidR="009E4C7C" w:rsidRPr="00A0600F">
        <w:rPr>
          <w:rFonts w:ascii="Times New Roman" w:hAnsi="Times New Roman" w:cs="Times New Roman"/>
        </w:rPr>
        <w:t xml:space="preserve">, </w:t>
      </w:r>
      <w:r w:rsidR="00255E6F" w:rsidRPr="00A0600F">
        <w:rPr>
          <w:rFonts w:ascii="Times New Roman" w:hAnsi="Times New Roman" w:cs="Times New Roman"/>
        </w:rPr>
        <w:t>Alberta Cappelli</w:t>
      </w:r>
      <w:r w:rsidR="00255E6F" w:rsidRPr="00A0600F">
        <w:rPr>
          <w:rFonts w:ascii="Times New Roman" w:hAnsi="Times New Roman" w:cs="Times New Roman"/>
          <w:vertAlign w:val="superscript"/>
        </w:rPr>
        <w:t>1</w:t>
      </w:r>
      <w:r w:rsidR="00255E6F" w:rsidRPr="00A0600F">
        <w:rPr>
          <w:rFonts w:ascii="Times New Roman" w:hAnsi="Times New Roman" w:cs="Times New Roman"/>
        </w:rPr>
        <w:t>,</w:t>
      </w:r>
      <w:r w:rsidR="00255E6F" w:rsidRPr="00A0600F">
        <w:rPr>
          <w:rFonts w:ascii="Times New Roman" w:hAnsi="Times New Roman" w:cs="Times New Roman"/>
          <w:vertAlign w:val="superscript"/>
        </w:rPr>
        <w:t xml:space="preserve"> </w:t>
      </w:r>
      <w:r w:rsidR="00220012" w:rsidRPr="00A0600F">
        <w:rPr>
          <w:rFonts w:ascii="Times New Roman" w:hAnsi="Times New Roman" w:cs="Times New Roman"/>
        </w:rPr>
        <w:t>Francesco</w:t>
      </w:r>
      <w:r w:rsidR="009C2BFC" w:rsidRPr="00A0600F">
        <w:rPr>
          <w:rFonts w:ascii="Times New Roman" w:hAnsi="Times New Roman" w:cs="Times New Roman"/>
        </w:rPr>
        <w:t xml:space="preserve"> Giuseppe</w:t>
      </w:r>
      <w:r w:rsidR="00220012" w:rsidRPr="00A0600F">
        <w:rPr>
          <w:rFonts w:ascii="Times New Roman" w:hAnsi="Times New Roman" w:cs="Times New Roman"/>
        </w:rPr>
        <w:t xml:space="preserve"> Foschi</w:t>
      </w:r>
      <w:r w:rsidR="00D153C9" w:rsidRPr="00A0600F">
        <w:rPr>
          <w:rFonts w:ascii="Times New Roman" w:hAnsi="Times New Roman" w:cs="Times New Roman"/>
          <w:vertAlign w:val="superscript"/>
        </w:rPr>
        <w:t>1</w:t>
      </w:r>
      <w:r w:rsidR="008C24CA">
        <w:rPr>
          <w:rFonts w:ascii="Times New Roman" w:hAnsi="Times New Roman" w:cs="Times New Roman"/>
          <w:vertAlign w:val="superscript"/>
        </w:rPr>
        <w:t>1</w:t>
      </w:r>
      <w:r w:rsidR="00220012" w:rsidRPr="00A0600F">
        <w:rPr>
          <w:rFonts w:ascii="Times New Roman" w:hAnsi="Times New Roman" w:cs="Times New Roman"/>
        </w:rPr>
        <w:t xml:space="preserve">, </w:t>
      </w:r>
      <w:r w:rsidR="00427CAB" w:rsidRPr="00A0600F">
        <w:rPr>
          <w:rFonts w:ascii="Times New Roman" w:hAnsi="Times New Roman" w:cs="Times New Roman"/>
        </w:rPr>
        <w:t>Giuseppe Cabibbo</w:t>
      </w:r>
      <w:r w:rsidR="008C24CA">
        <w:rPr>
          <w:rFonts w:ascii="Times New Roman" w:hAnsi="Times New Roman" w:cs="Times New Roman"/>
          <w:vertAlign w:val="superscript"/>
        </w:rPr>
        <w:t>6</w:t>
      </w:r>
      <w:r w:rsidR="00427CAB" w:rsidRPr="00A0600F">
        <w:rPr>
          <w:rFonts w:ascii="Times New Roman" w:hAnsi="Times New Roman" w:cs="Times New Roman"/>
        </w:rPr>
        <w:t>, Leonardo Solaini</w:t>
      </w:r>
      <w:r w:rsidR="003C0989" w:rsidRPr="00A0600F">
        <w:rPr>
          <w:rFonts w:ascii="Times New Roman" w:hAnsi="Times New Roman" w:cs="Times New Roman"/>
          <w:vertAlign w:val="superscript"/>
        </w:rPr>
        <w:t>1</w:t>
      </w:r>
      <w:r w:rsidR="008C24CA">
        <w:rPr>
          <w:rFonts w:ascii="Times New Roman" w:hAnsi="Times New Roman" w:cs="Times New Roman"/>
          <w:vertAlign w:val="superscript"/>
        </w:rPr>
        <w:t>4</w:t>
      </w:r>
      <w:r w:rsidR="00427CAB" w:rsidRPr="00A0600F">
        <w:rPr>
          <w:rFonts w:ascii="Times New Roman" w:hAnsi="Times New Roman" w:cs="Times New Roman"/>
        </w:rPr>
        <w:t>,</w:t>
      </w:r>
      <w:r w:rsidR="00427CAB" w:rsidRPr="00A0600F">
        <w:rPr>
          <w:rFonts w:ascii="Times New Roman" w:hAnsi="Times New Roman" w:cs="Times New Roman"/>
          <w:sz w:val="24"/>
          <w:szCs w:val="24"/>
        </w:rPr>
        <w:t xml:space="preserve"> </w:t>
      </w:r>
      <w:r w:rsidR="008361E3" w:rsidRPr="00A0600F">
        <w:rPr>
          <w:rFonts w:ascii="Times New Roman" w:hAnsi="Times New Roman" w:cs="Times New Roman"/>
          <w:sz w:val="24"/>
          <w:szCs w:val="24"/>
        </w:rPr>
        <w:t>Adina Olaru</w:t>
      </w:r>
      <w:r w:rsidR="008C24CA">
        <w:rPr>
          <w:rFonts w:ascii="Times New Roman" w:hAnsi="Times New Roman" w:cs="Times New Roman"/>
          <w:sz w:val="24"/>
          <w:szCs w:val="24"/>
          <w:vertAlign w:val="superscript"/>
        </w:rPr>
        <w:t>7</w:t>
      </w:r>
      <w:r w:rsidR="008361E3" w:rsidRPr="00A0600F">
        <w:rPr>
          <w:rFonts w:ascii="Times New Roman" w:hAnsi="Times New Roman" w:cs="Times New Roman"/>
          <w:sz w:val="24"/>
          <w:szCs w:val="24"/>
        </w:rPr>
        <w:t>, Simon Travis</w:t>
      </w:r>
      <w:r w:rsidR="008C24CA">
        <w:rPr>
          <w:rFonts w:ascii="Times New Roman" w:hAnsi="Times New Roman" w:cs="Times New Roman"/>
          <w:sz w:val="24"/>
          <w:szCs w:val="24"/>
          <w:vertAlign w:val="superscript"/>
        </w:rPr>
        <w:t>7</w:t>
      </w:r>
      <w:r w:rsidR="008361E3" w:rsidRPr="00A0600F">
        <w:rPr>
          <w:rFonts w:ascii="Times New Roman" w:hAnsi="Times New Roman" w:cs="Times New Roman"/>
          <w:sz w:val="24"/>
          <w:szCs w:val="24"/>
        </w:rPr>
        <w:t>, Aloysious Aravinthan</w:t>
      </w:r>
      <w:r w:rsidR="008C24CA">
        <w:rPr>
          <w:rFonts w:ascii="Times New Roman" w:hAnsi="Times New Roman" w:cs="Times New Roman"/>
          <w:sz w:val="24"/>
          <w:szCs w:val="24"/>
          <w:vertAlign w:val="superscript"/>
        </w:rPr>
        <w:t>7</w:t>
      </w:r>
    </w:p>
    <w:p w14:paraId="29B036F5" w14:textId="683916A4" w:rsidR="00D153C9" w:rsidRPr="00A0600F" w:rsidRDefault="00D153C9" w:rsidP="00427CAB">
      <w:pPr>
        <w:jc w:val="both"/>
        <w:rPr>
          <w:rFonts w:ascii="Times New Roman" w:hAnsi="Times New Roman" w:cs="Times New Roman"/>
          <w:sz w:val="24"/>
          <w:szCs w:val="24"/>
        </w:rPr>
      </w:pPr>
    </w:p>
    <w:p w14:paraId="7A5A8306" w14:textId="15E6CAE4" w:rsidR="00DB477F" w:rsidRPr="008C24CA" w:rsidRDefault="002F7B00" w:rsidP="00D97EC2">
      <w:pPr>
        <w:jc w:val="both"/>
        <w:rPr>
          <w:rFonts w:ascii="Times New Roman" w:hAnsi="Times New Roman" w:cs="Times New Roman"/>
          <w:shd w:val="clear" w:color="auto" w:fill="FFFFFF"/>
        </w:rPr>
      </w:pPr>
      <w:r w:rsidRPr="008C24CA">
        <w:rPr>
          <w:rFonts w:ascii="Times New Roman" w:hAnsi="Times New Roman" w:cs="Times New Roman"/>
          <w:vertAlign w:val="superscript"/>
        </w:rPr>
        <w:t>1</w:t>
      </w:r>
      <w:r w:rsidR="00DB477F" w:rsidRPr="008C24CA">
        <w:rPr>
          <w:rFonts w:ascii="Times New Roman" w:hAnsi="Times New Roman" w:cs="Times New Roman"/>
        </w:rPr>
        <w:t xml:space="preserve"> </w:t>
      </w:r>
      <w:r w:rsidR="00DB477F" w:rsidRPr="008C24CA">
        <w:rPr>
          <w:rFonts w:ascii="Times New Roman" w:hAnsi="Times New Roman" w:cs="Times New Roman"/>
          <w:shd w:val="clear" w:color="auto" w:fill="FFFFFF"/>
        </w:rPr>
        <w:t xml:space="preserve">Department of Diagnostic Medicine and Prevention, Radiology Unit, </w:t>
      </w:r>
      <w:r w:rsidR="00AC7D79" w:rsidRPr="008C24CA">
        <w:rPr>
          <w:rFonts w:ascii="Times New Roman" w:hAnsi="Times New Roman" w:cs="Times New Roman"/>
          <w:shd w:val="clear" w:color="auto" w:fill="FFFFFF"/>
        </w:rPr>
        <w:t>Azienda Ospedaliero-Universitaria di Bologna, IRCCS, Sant'Orsola-Malpighi Hospital, Bologna, Italy</w:t>
      </w:r>
    </w:p>
    <w:p w14:paraId="6FC0A160" w14:textId="0E7548CD" w:rsidR="002F7B00" w:rsidRPr="008C24CA" w:rsidRDefault="002F7B00" w:rsidP="002F7B00">
      <w:pPr>
        <w:jc w:val="both"/>
        <w:rPr>
          <w:rFonts w:ascii="Times New Roman" w:hAnsi="Times New Roman" w:cs="Times New Roman"/>
          <w:lang w:val="en-US"/>
        </w:rPr>
      </w:pPr>
      <w:r w:rsidRPr="008C24CA">
        <w:rPr>
          <w:rFonts w:ascii="Times New Roman" w:hAnsi="Times New Roman" w:cs="Times New Roman"/>
          <w:vertAlign w:val="superscript"/>
          <w:lang w:val="en-US"/>
        </w:rPr>
        <w:t xml:space="preserve">2 </w:t>
      </w:r>
      <w:r w:rsidRPr="008C24CA">
        <w:rPr>
          <w:rFonts w:ascii="Times New Roman" w:hAnsi="Times New Roman" w:cs="Times New Roman"/>
          <w:lang w:val="en-US"/>
        </w:rPr>
        <w:t xml:space="preserve">Centre for Liver and Gastrointestinal Research, Institute of Immunology and Immunotherapy, Medical School, University of Birmingham, Birmingham, United Kingdom. </w:t>
      </w:r>
    </w:p>
    <w:p w14:paraId="4EA1E892" w14:textId="7A797E0D" w:rsidR="002F7B00" w:rsidRPr="008C24CA" w:rsidRDefault="00F14E34" w:rsidP="00D97EC2">
      <w:pPr>
        <w:jc w:val="both"/>
        <w:rPr>
          <w:rFonts w:ascii="Times New Roman" w:hAnsi="Times New Roman" w:cs="Times New Roman"/>
          <w:lang w:val="en-US"/>
        </w:rPr>
      </w:pPr>
      <w:r w:rsidRPr="008C24CA">
        <w:rPr>
          <w:rFonts w:ascii="Times New Roman" w:hAnsi="Times New Roman" w:cs="Times New Roman"/>
          <w:vertAlign w:val="superscript"/>
          <w:lang w:val="en-US"/>
        </w:rPr>
        <w:t>3</w:t>
      </w:r>
      <w:r w:rsidRPr="008C24CA">
        <w:rPr>
          <w:rFonts w:ascii="Times New Roman" w:hAnsi="Times New Roman" w:cs="Times New Roman"/>
          <w:lang w:val="en-US"/>
        </w:rPr>
        <w:t xml:space="preserve"> Department of Diagnostic and Interventional Radiology, University Medical Center of the Johannes Gutenberg-University Mainz, Mainz, Germany</w:t>
      </w:r>
    </w:p>
    <w:p w14:paraId="7C33DEE1" w14:textId="5268AFD7" w:rsidR="002F7B00" w:rsidRPr="008C24CA" w:rsidRDefault="00F14E34" w:rsidP="00D97EC2">
      <w:pPr>
        <w:jc w:val="both"/>
        <w:rPr>
          <w:rFonts w:ascii="Times New Roman" w:hAnsi="Times New Roman" w:cs="Times New Roman"/>
          <w:lang w:val="en-US"/>
        </w:rPr>
      </w:pPr>
      <w:r w:rsidRPr="008C24CA">
        <w:rPr>
          <w:rFonts w:ascii="Times New Roman" w:hAnsi="Times New Roman" w:cs="Times New Roman"/>
          <w:vertAlign w:val="superscript"/>
          <w:lang w:val="en-US"/>
        </w:rPr>
        <w:t>4</w:t>
      </w:r>
      <w:r w:rsidRPr="008C24CA">
        <w:rPr>
          <w:rFonts w:ascii="Times New Roman" w:hAnsi="Times New Roman" w:cs="Times New Roman"/>
          <w:lang w:val="en-US"/>
        </w:rPr>
        <w:t xml:space="preserve"> </w:t>
      </w:r>
      <w:r w:rsidR="008C24CA" w:rsidRPr="008C24CA">
        <w:rPr>
          <w:rFonts w:ascii="Times New Roman" w:hAnsi="Times New Roman" w:cs="Times New Roman"/>
          <w:lang w:val="en-US"/>
        </w:rPr>
        <w:t xml:space="preserve">Department of Medicine II, Medical Center University of Freiburg, Faculty of Medicine, University of Freiburg, </w:t>
      </w:r>
      <w:proofErr w:type="spellStart"/>
      <w:r w:rsidR="008C24CA" w:rsidRPr="008C24CA">
        <w:rPr>
          <w:rFonts w:ascii="Times New Roman" w:hAnsi="Times New Roman" w:cs="Times New Roman"/>
          <w:lang w:val="en-US"/>
        </w:rPr>
        <w:t>Hugstetter</w:t>
      </w:r>
      <w:proofErr w:type="spellEnd"/>
      <w:r w:rsidR="008C24CA" w:rsidRPr="008C24CA">
        <w:rPr>
          <w:rFonts w:ascii="Times New Roman" w:hAnsi="Times New Roman" w:cs="Times New Roman"/>
          <w:lang w:val="en-US"/>
        </w:rPr>
        <w:t xml:space="preserve"> Str. 55, D-79106 Freiburg, German</w:t>
      </w:r>
    </w:p>
    <w:p w14:paraId="152E9CEE" w14:textId="4587EDB0" w:rsidR="008C24CA" w:rsidRPr="008C24CA" w:rsidRDefault="008C24CA" w:rsidP="00D97EC2">
      <w:pPr>
        <w:jc w:val="both"/>
        <w:rPr>
          <w:rFonts w:ascii="Times New Roman" w:hAnsi="Times New Roman" w:cs="Times New Roman"/>
          <w:lang w:val="en-US"/>
        </w:rPr>
      </w:pPr>
      <w:r w:rsidRPr="00B9079C">
        <w:rPr>
          <w:rFonts w:ascii="Times New Roman" w:hAnsi="Times New Roman" w:cs="Times New Roman"/>
          <w:vertAlign w:val="superscript"/>
          <w:lang w:val="en-US"/>
        </w:rPr>
        <w:t>5</w:t>
      </w:r>
      <w:r w:rsidRPr="008C24CA">
        <w:rPr>
          <w:rFonts w:ascii="Times New Roman" w:hAnsi="Times New Roman" w:cs="Times New Roman"/>
          <w:lang w:val="en-US"/>
        </w:rPr>
        <w:t xml:space="preserve"> Berta-</w:t>
      </w:r>
      <w:proofErr w:type="spellStart"/>
      <w:r w:rsidRPr="008C24CA">
        <w:rPr>
          <w:rFonts w:ascii="Times New Roman" w:hAnsi="Times New Roman" w:cs="Times New Roman"/>
          <w:lang w:val="en-US"/>
        </w:rPr>
        <w:t>Ottenstein</w:t>
      </w:r>
      <w:proofErr w:type="spellEnd"/>
      <w:r w:rsidRPr="008C24CA">
        <w:rPr>
          <w:rFonts w:ascii="Times New Roman" w:hAnsi="Times New Roman" w:cs="Times New Roman"/>
          <w:lang w:val="en-US"/>
        </w:rPr>
        <w:t>-</w:t>
      </w:r>
      <w:proofErr w:type="spellStart"/>
      <w:r w:rsidRPr="008C24CA">
        <w:rPr>
          <w:rFonts w:ascii="Times New Roman" w:hAnsi="Times New Roman" w:cs="Times New Roman"/>
          <w:lang w:val="en-US"/>
        </w:rPr>
        <w:t>Programme</w:t>
      </w:r>
      <w:proofErr w:type="spellEnd"/>
      <w:r w:rsidRPr="008C24CA">
        <w:rPr>
          <w:rFonts w:ascii="Times New Roman" w:hAnsi="Times New Roman" w:cs="Times New Roman"/>
          <w:lang w:val="en-US"/>
        </w:rPr>
        <w:t>, Faculty of Medicine, University of Freiburg</w:t>
      </w:r>
    </w:p>
    <w:p w14:paraId="09FB73A8" w14:textId="3204AD82" w:rsidR="00FF0114" w:rsidRPr="008C24CA" w:rsidRDefault="008C24CA" w:rsidP="00D97EC2">
      <w:pPr>
        <w:jc w:val="both"/>
        <w:rPr>
          <w:rFonts w:ascii="Times New Roman" w:hAnsi="Times New Roman" w:cs="Times New Roman"/>
          <w:shd w:val="clear" w:color="auto" w:fill="FFFFFF"/>
          <w:lang w:val="en-US"/>
        </w:rPr>
      </w:pPr>
      <w:r w:rsidRPr="008C24CA">
        <w:rPr>
          <w:rFonts w:ascii="Times New Roman" w:hAnsi="Times New Roman" w:cs="Times New Roman"/>
          <w:vertAlign w:val="superscript"/>
          <w:lang w:val="en-US"/>
        </w:rPr>
        <w:t>6</w:t>
      </w:r>
      <w:r w:rsidR="00AC7D79" w:rsidRPr="008C24CA">
        <w:rPr>
          <w:rFonts w:ascii="Times New Roman" w:hAnsi="Times New Roman" w:cs="Times New Roman"/>
          <w:vertAlign w:val="superscript"/>
          <w:lang w:val="en-US"/>
        </w:rPr>
        <w:t xml:space="preserve"> </w:t>
      </w:r>
      <w:r w:rsidR="009C2BFC" w:rsidRPr="008C24CA">
        <w:rPr>
          <w:rFonts w:ascii="Times New Roman" w:hAnsi="Times New Roman" w:cs="Times New Roman"/>
          <w:shd w:val="clear" w:color="auto" w:fill="FFFFFF"/>
          <w:lang w:val="en-US"/>
        </w:rPr>
        <w:t>Section of Gastroenterology &amp; Hepatology, Department of Health Promotion, Mother and Child Care, Internal Medicine and Medical Specialties, PROMISE, University of Palermo, Italy</w:t>
      </w:r>
    </w:p>
    <w:p w14:paraId="496C5736" w14:textId="0D80454B" w:rsidR="00AC7D79" w:rsidRPr="008C24CA" w:rsidRDefault="008C24CA" w:rsidP="00AC7D79">
      <w:pPr>
        <w:jc w:val="both"/>
        <w:rPr>
          <w:rFonts w:ascii="Times New Roman" w:hAnsi="Times New Roman" w:cs="Times New Roman"/>
          <w:lang w:val="en-US"/>
        </w:rPr>
      </w:pPr>
      <w:r w:rsidRPr="008C24CA">
        <w:rPr>
          <w:rFonts w:ascii="Times New Roman" w:hAnsi="Times New Roman" w:cs="Times New Roman"/>
          <w:vertAlign w:val="superscript"/>
          <w:lang w:val="en-US"/>
        </w:rPr>
        <w:t>7</w:t>
      </w:r>
      <w:r w:rsidR="00AC7D79" w:rsidRPr="008C24CA">
        <w:rPr>
          <w:rFonts w:ascii="Times New Roman" w:hAnsi="Times New Roman" w:cs="Times New Roman"/>
          <w:vertAlign w:val="superscript"/>
          <w:lang w:val="en-US"/>
        </w:rPr>
        <w:t xml:space="preserve"> </w:t>
      </w:r>
      <w:r w:rsidR="008361E3" w:rsidRPr="008C24CA">
        <w:rPr>
          <w:rFonts w:ascii="Times New Roman" w:hAnsi="Times New Roman" w:cs="Times New Roman"/>
          <w:lang w:val="en-GB"/>
        </w:rPr>
        <w:t>NIHR Nottingham Biomedical Research Centre, Nottingham University Hospitals NHS Trust and The University of Nottingham, Nottingham, UK</w:t>
      </w:r>
    </w:p>
    <w:p w14:paraId="39E70955" w14:textId="472AB300" w:rsidR="00AC7D79" w:rsidRPr="008C24CA" w:rsidRDefault="008C24CA" w:rsidP="00AC7D79">
      <w:pPr>
        <w:jc w:val="both"/>
        <w:rPr>
          <w:rFonts w:ascii="Times New Roman" w:hAnsi="Times New Roman" w:cs="Times New Roman"/>
          <w:lang w:val="en-US"/>
        </w:rPr>
      </w:pPr>
      <w:r w:rsidRPr="008C24CA">
        <w:rPr>
          <w:rFonts w:ascii="Times New Roman" w:hAnsi="Times New Roman" w:cs="Times New Roman"/>
          <w:vertAlign w:val="superscript"/>
          <w:lang w:val="en-US"/>
        </w:rPr>
        <w:t>8</w:t>
      </w:r>
      <w:r w:rsidR="00AC7D79" w:rsidRPr="008C24CA">
        <w:rPr>
          <w:rFonts w:ascii="Times New Roman" w:hAnsi="Times New Roman" w:cs="Times New Roman"/>
          <w:lang w:val="en-US"/>
        </w:rPr>
        <w:t xml:space="preserve"> Department of Interventional Radiology, The University of Texas MD Anderson Cancer Center, Houston, TX, USA.</w:t>
      </w:r>
    </w:p>
    <w:p w14:paraId="169BC0F0" w14:textId="4C08DAC6" w:rsidR="00AC7D79" w:rsidRPr="008C24CA" w:rsidRDefault="008C24CA" w:rsidP="00AC7D79">
      <w:pPr>
        <w:jc w:val="both"/>
        <w:rPr>
          <w:rFonts w:ascii="Times New Roman" w:hAnsi="Times New Roman" w:cs="Times New Roman"/>
        </w:rPr>
      </w:pPr>
      <w:r w:rsidRPr="008C24CA">
        <w:rPr>
          <w:rFonts w:ascii="Times New Roman" w:hAnsi="Times New Roman" w:cs="Times New Roman"/>
          <w:vertAlign w:val="superscript"/>
        </w:rPr>
        <w:t>9</w:t>
      </w:r>
      <w:r w:rsidR="00AC7D79" w:rsidRPr="008C24CA">
        <w:rPr>
          <w:rFonts w:ascii="Times New Roman" w:hAnsi="Times New Roman" w:cs="Times New Roman"/>
        </w:rPr>
        <w:t xml:space="preserve"> Department of Radiology, Fondazione IRCCS Istituto Nazionale Tumori di Milano, Milan, Italy.</w:t>
      </w:r>
    </w:p>
    <w:p w14:paraId="0AD7B8C2" w14:textId="18B4F608" w:rsidR="00AC7D79" w:rsidRPr="008C24CA" w:rsidRDefault="008C24CA" w:rsidP="00AC7D79">
      <w:pPr>
        <w:jc w:val="both"/>
        <w:rPr>
          <w:rFonts w:ascii="Times New Roman" w:hAnsi="Times New Roman" w:cs="Times New Roman"/>
          <w:shd w:val="clear" w:color="auto" w:fill="FFFFFF"/>
          <w:lang w:val="en-US"/>
        </w:rPr>
      </w:pPr>
      <w:r w:rsidRPr="008C24CA">
        <w:rPr>
          <w:rFonts w:ascii="Times New Roman" w:hAnsi="Times New Roman" w:cs="Times New Roman"/>
          <w:shd w:val="clear" w:color="auto" w:fill="FFFFFF"/>
          <w:vertAlign w:val="superscript"/>
          <w:lang w:val="en-US"/>
        </w:rPr>
        <w:t>10</w:t>
      </w:r>
      <w:r w:rsidR="00AC7D79" w:rsidRPr="008C24CA">
        <w:rPr>
          <w:rFonts w:ascii="Times New Roman" w:hAnsi="Times New Roman" w:cs="Times New Roman"/>
          <w:shd w:val="clear" w:color="auto" w:fill="FFFFFF"/>
          <w:vertAlign w:val="superscript"/>
          <w:lang w:val="en-US"/>
        </w:rPr>
        <w:t xml:space="preserve"> </w:t>
      </w:r>
      <w:r w:rsidR="00AC7D79" w:rsidRPr="008C24CA">
        <w:rPr>
          <w:rFonts w:ascii="Times New Roman" w:hAnsi="Times New Roman" w:cs="Times New Roman"/>
          <w:shd w:val="clear" w:color="auto" w:fill="FFFFFF"/>
          <w:lang w:val="en-US"/>
        </w:rPr>
        <w:t xml:space="preserve">Department of Internal Medicine and Gastroenterology, </w:t>
      </w:r>
      <w:proofErr w:type="spellStart"/>
      <w:r w:rsidR="00AC7D79" w:rsidRPr="008C24CA">
        <w:rPr>
          <w:rFonts w:ascii="Times New Roman" w:hAnsi="Times New Roman" w:cs="Times New Roman"/>
          <w:shd w:val="clear" w:color="auto" w:fill="FFFFFF"/>
          <w:lang w:val="en-US"/>
        </w:rPr>
        <w:t>Klinikum</w:t>
      </w:r>
      <w:proofErr w:type="spellEnd"/>
      <w:r w:rsidR="00AC7D79" w:rsidRPr="008C24CA">
        <w:rPr>
          <w:rFonts w:ascii="Times New Roman" w:hAnsi="Times New Roman" w:cs="Times New Roman"/>
          <w:shd w:val="clear" w:color="auto" w:fill="FFFFFF"/>
          <w:lang w:val="en-US"/>
        </w:rPr>
        <w:t xml:space="preserve"> Klagenfurt am </w:t>
      </w:r>
      <w:proofErr w:type="spellStart"/>
      <w:r w:rsidR="00AC7D79" w:rsidRPr="008C24CA">
        <w:rPr>
          <w:rFonts w:ascii="Times New Roman" w:hAnsi="Times New Roman" w:cs="Times New Roman"/>
          <w:shd w:val="clear" w:color="auto" w:fill="FFFFFF"/>
          <w:lang w:val="en-US"/>
        </w:rPr>
        <w:t>Wörthersee</w:t>
      </w:r>
      <w:proofErr w:type="spellEnd"/>
      <w:r w:rsidR="00AC7D79" w:rsidRPr="008C24CA">
        <w:rPr>
          <w:rFonts w:ascii="Times New Roman" w:hAnsi="Times New Roman" w:cs="Times New Roman"/>
          <w:shd w:val="clear" w:color="auto" w:fill="FFFFFF"/>
          <w:lang w:val="en-US"/>
        </w:rPr>
        <w:t>, Klagenfurt, Austria.</w:t>
      </w:r>
    </w:p>
    <w:p w14:paraId="28FE1FBB" w14:textId="0AEABF2A" w:rsidR="00AC7D79" w:rsidRPr="008C24CA" w:rsidRDefault="00AC7D79" w:rsidP="00AC7D79">
      <w:pPr>
        <w:jc w:val="both"/>
        <w:rPr>
          <w:rFonts w:ascii="Times New Roman" w:hAnsi="Times New Roman" w:cs="Times New Roman"/>
          <w:lang w:val="en-US"/>
        </w:rPr>
      </w:pPr>
      <w:r w:rsidRPr="008C24CA">
        <w:rPr>
          <w:rFonts w:ascii="Times New Roman" w:hAnsi="Times New Roman" w:cs="Times New Roman"/>
          <w:shd w:val="clear" w:color="auto" w:fill="FFFFFF"/>
          <w:vertAlign w:val="superscript"/>
          <w:lang w:val="en-US"/>
        </w:rPr>
        <w:t>1</w:t>
      </w:r>
      <w:r w:rsidR="008C24CA" w:rsidRPr="008C24CA">
        <w:rPr>
          <w:rFonts w:ascii="Times New Roman" w:hAnsi="Times New Roman" w:cs="Times New Roman"/>
          <w:shd w:val="clear" w:color="auto" w:fill="FFFFFF"/>
          <w:vertAlign w:val="superscript"/>
          <w:lang w:val="en-US"/>
        </w:rPr>
        <w:t>1</w:t>
      </w:r>
      <w:r w:rsidRPr="008C24CA">
        <w:rPr>
          <w:rFonts w:ascii="Times New Roman" w:hAnsi="Times New Roman" w:cs="Times New Roman"/>
          <w:shd w:val="clear" w:color="auto" w:fill="FFFFFF"/>
          <w:vertAlign w:val="superscript"/>
          <w:lang w:val="en-US"/>
        </w:rPr>
        <w:t xml:space="preserve"> </w:t>
      </w:r>
      <w:r w:rsidRPr="008C24CA">
        <w:rPr>
          <w:rFonts w:ascii="Times New Roman" w:hAnsi="Times New Roman" w:cs="Times New Roman"/>
          <w:shd w:val="clear" w:color="auto" w:fill="FFFFFF"/>
          <w:lang w:val="en-US"/>
        </w:rPr>
        <w:t xml:space="preserve">Department of Internal Medicine, </w:t>
      </w:r>
      <w:proofErr w:type="spellStart"/>
      <w:r w:rsidRPr="008C24CA">
        <w:rPr>
          <w:rFonts w:ascii="Times New Roman" w:hAnsi="Times New Roman" w:cs="Times New Roman"/>
          <w:lang w:val="en-US"/>
        </w:rPr>
        <w:t>Infermi</w:t>
      </w:r>
      <w:proofErr w:type="spellEnd"/>
      <w:r w:rsidRPr="008C24CA">
        <w:rPr>
          <w:rFonts w:ascii="Times New Roman" w:hAnsi="Times New Roman" w:cs="Times New Roman"/>
          <w:lang w:val="en-US"/>
        </w:rPr>
        <w:t xml:space="preserve"> Hospital, Area </w:t>
      </w:r>
      <w:proofErr w:type="spellStart"/>
      <w:r w:rsidRPr="008C24CA">
        <w:rPr>
          <w:rFonts w:ascii="Times New Roman" w:hAnsi="Times New Roman" w:cs="Times New Roman"/>
          <w:lang w:val="en-US"/>
        </w:rPr>
        <w:t>Vasta</w:t>
      </w:r>
      <w:proofErr w:type="spellEnd"/>
      <w:r w:rsidRPr="008C24CA">
        <w:rPr>
          <w:rFonts w:ascii="Times New Roman" w:hAnsi="Times New Roman" w:cs="Times New Roman"/>
          <w:lang w:val="en-US"/>
        </w:rPr>
        <w:t xml:space="preserve"> Romagna, Faenza, Italy.</w:t>
      </w:r>
    </w:p>
    <w:p w14:paraId="01A48C23" w14:textId="22E8940F" w:rsidR="00D153C9" w:rsidRPr="008C24CA" w:rsidRDefault="00D153C9" w:rsidP="00AC7D79">
      <w:pPr>
        <w:jc w:val="both"/>
        <w:rPr>
          <w:rFonts w:ascii="Times New Roman" w:hAnsi="Times New Roman" w:cs="Times New Roman"/>
          <w:lang w:val="en-US"/>
        </w:rPr>
      </w:pPr>
      <w:r w:rsidRPr="008C24CA">
        <w:rPr>
          <w:rFonts w:ascii="Times New Roman" w:hAnsi="Times New Roman" w:cs="Times New Roman"/>
          <w:vertAlign w:val="superscript"/>
          <w:lang w:val="en-US"/>
        </w:rPr>
        <w:t>1</w:t>
      </w:r>
      <w:r w:rsidR="008C24CA" w:rsidRPr="008C24CA">
        <w:rPr>
          <w:rFonts w:ascii="Times New Roman" w:hAnsi="Times New Roman" w:cs="Times New Roman"/>
          <w:vertAlign w:val="superscript"/>
          <w:lang w:val="en-US"/>
        </w:rPr>
        <w:t>2</w:t>
      </w:r>
      <w:r w:rsidRPr="008C24CA">
        <w:rPr>
          <w:rFonts w:ascii="Times New Roman" w:hAnsi="Times New Roman" w:cs="Times New Roman"/>
          <w:vertAlign w:val="superscript"/>
          <w:lang w:val="en-US"/>
        </w:rPr>
        <w:t xml:space="preserve"> </w:t>
      </w:r>
      <w:r w:rsidRPr="008C24CA">
        <w:rPr>
          <w:rFonts w:ascii="Times New Roman" w:hAnsi="Times New Roman" w:cs="Times New Roman"/>
          <w:lang w:val="en-US"/>
        </w:rPr>
        <w:t xml:space="preserve">Radiology Unit, Maurizio </w:t>
      </w:r>
      <w:proofErr w:type="spellStart"/>
      <w:r w:rsidRPr="008C24CA">
        <w:rPr>
          <w:rFonts w:ascii="Times New Roman" w:hAnsi="Times New Roman" w:cs="Times New Roman"/>
          <w:lang w:val="en-US"/>
        </w:rPr>
        <w:t>Bufalini</w:t>
      </w:r>
      <w:proofErr w:type="spellEnd"/>
      <w:r w:rsidRPr="008C24CA">
        <w:rPr>
          <w:rFonts w:ascii="Times New Roman" w:hAnsi="Times New Roman" w:cs="Times New Roman"/>
          <w:lang w:val="en-US"/>
        </w:rPr>
        <w:t xml:space="preserve"> Hospital, Cesena, Italy.</w:t>
      </w:r>
    </w:p>
    <w:p w14:paraId="3BBCD057" w14:textId="79D4E262" w:rsidR="001C1CD2" w:rsidRPr="008C24CA" w:rsidRDefault="001C1CD2" w:rsidP="00AC7D79">
      <w:pPr>
        <w:jc w:val="both"/>
        <w:rPr>
          <w:rFonts w:ascii="Times New Roman" w:hAnsi="Times New Roman" w:cs="Times New Roman"/>
          <w:vertAlign w:val="superscript"/>
          <w:lang w:val="en-US"/>
        </w:rPr>
      </w:pPr>
      <w:r w:rsidRPr="008C24CA">
        <w:rPr>
          <w:rFonts w:ascii="Times New Roman" w:hAnsi="Times New Roman" w:cs="Times New Roman"/>
          <w:vertAlign w:val="superscript"/>
          <w:lang w:val="en-US" w:eastAsia="zh-HK"/>
        </w:rPr>
        <w:t>1</w:t>
      </w:r>
      <w:r w:rsidR="008C24CA" w:rsidRPr="008C24CA">
        <w:rPr>
          <w:rFonts w:ascii="Times New Roman" w:hAnsi="Times New Roman" w:cs="Times New Roman"/>
          <w:vertAlign w:val="superscript"/>
          <w:lang w:val="en-US" w:eastAsia="zh-HK"/>
        </w:rPr>
        <w:t>3</w:t>
      </w:r>
      <w:r w:rsidRPr="008C24CA">
        <w:rPr>
          <w:rFonts w:ascii="Times New Roman" w:hAnsi="Times New Roman" w:cs="Times New Roman"/>
          <w:vertAlign w:val="superscript"/>
          <w:lang w:val="en-US" w:eastAsia="zh-HK"/>
        </w:rPr>
        <w:t xml:space="preserve"> </w:t>
      </w:r>
      <w:r w:rsidRPr="008C24CA">
        <w:rPr>
          <w:rFonts w:ascii="Times New Roman" w:hAnsi="Times New Roman" w:cs="Times New Roman"/>
          <w:lang w:val="en-US" w:eastAsia="zh-HK"/>
        </w:rPr>
        <w:t>Department of Molecular and Clinical Cancer Medicine, University of Liverpool, Liverpool, UK</w:t>
      </w:r>
    </w:p>
    <w:p w14:paraId="75AA1EE2" w14:textId="7EEF0FB4" w:rsidR="00DB477F" w:rsidRPr="008C24CA" w:rsidRDefault="003C0989" w:rsidP="003C0989">
      <w:pPr>
        <w:jc w:val="both"/>
        <w:rPr>
          <w:rFonts w:ascii="Times New Roman" w:hAnsi="Times New Roman" w:cs="Times New Roman"/>
          <w:shd w:val="clear" w:color="auto" w:fill="FFFFFF"/>
          <w:lang w:val="en-US"/>
        </w:rPr>
      </w:pPr>
      <w:r w:rsidRPr="008C24CA">
        <w:rPr>
          <w:rFonts w:ascii="Times New Roman" w:hAnsi="Times New Roman" w:cs="Times New Roman"/>
          <w:vertAlign w:val="superscript"/>
          <w:lang w:val="en-US"/>
        </w:rPr>
        <w:t>1</w:t>
      </w:r>
      <w:r w:rsidR="008C24CA" w:rsidRPr="008C24CA">
        <w:rPr>
          <w:rFonts w:ascii="Times New Roman" w:hAnsi="Times New Roman" w:cs="Times New Roman"/>
          <w:vertAlign w:val="superscript"/>
          <w:lang w:val="en-US"/>
        </w:rPr>
        <w:t>4</w:t>
      </w:r>
      <w:r w:rsidR="00B42F1C" w:rsidRPr="008C24CA">
        <w:rPr>
          <w:rFonts w:ascii="Times New Roman" w:hAnsi="Times New Roman" w:cs="Times New Roman"/>
          <w:lang w:val="en-US"/>
        </w:rPr>
        <w:t xml:space="preserve"> Department of Medical and Surgical Sciences, Alma Mater </w:t>
      </w:r>
      <w:proofErr w:type="spellStart"/>
      <w:r w:rsidR="00B42F1C" w:rsidRPr="008C24CA">
        <w:rPr>
          <w:rFonts w:ascii="Times New Roman" w:hAnsi="Times New Roman" w:cs="Times New Roman"/>
          <w:lang w:val="en-US"/>
        </w:rPr>
        <w:t>Studiorum</w:t>
      </w:r>
      <w:proofErr w:type="spellEnd"/>
      <w:r w:rsidR="00B42F1C" w:rsidRPr="008C24CA">
        <w:rPr>
          <w:rFonts w:ascii="Times New Roman" w:hAnsi="Times New Roman" w:cs="Times New Roman"/>
          <w:lang w:val="en-US"/>
        </w:rPr>
        <w:t xml:space="preserve"> – University of Bologna, Bologna, Italy; Morgagni – </w:t>
      </w:r>
      <w:proofErr w:type="spellStart"/>
      <w:r w:rsidR="00B42F1C" w:rsidRPr="008C24CA">
        <w:rPr>
          <w:rFonts w:ascii="Times New Roman" w:hAnsi="Times New Roman" w:cs="Times New Roman"/>
          <w:lang w:val="en-US"/>
        </w:rPr>
        <w:t>Pierantoni</w:t>
      </w:r>
      <w:proofErr w:type="spellEnd"/>
      <w:r w:rsidR="00B42F1C" w:rsidRPr="008C24CA">
        <w:rPr>
          <w:rFonts w:ascii="Times New Roman" w:hAnsi="Times New Roman" w:cs="Times New Roman"/>
          <w:lang w:val="en-US"/>
        </w:rPr>
        <w:t xml:space="preserve"> Hospital, Area </w:t>
      </w:r>
      <w:proofErr w:type="spellStart"/>
      <w:r w:rsidR="00B42F1C" w:rsidRPr="008C24CA">
        <w:rPr>
          <w:rFonts w:ascii="Times New Roman" w:hAnsi="Times New Roman" w:cs="Times New Roman"/>
          <w:lang w:val="en-US"/>
        </w:rPr>
        <w:t>Vasta</w:t>
      </w:r>
      <w:proofErr w:type="spellEnd"/>
      <w:r w:rsidR="00B42F1C" w:rsidRPr="008C24CA">
        <w:rPr>
          <w:rFonts w:ascii="Times New Roman" w:hAnsi="Times New Roman" w:cs="Times New Roman"/>
          <w:lang w:val="en-US"/>
        </w:rPr>
        <w:t xml:space="preserve"> Romagna, Forlì, Italy</w:t>
      </w:r>
      <w:r w:rsidR="00EA3366" w:rsidRPr="008C24CA">
        <w:rPr>
          <w:rFonts w:ascii="Times New Roman" w:hAnsi="Times New Roman" w:cs="Times New Roman"/>
          <w:lang w:val="en-US"/>
        </w:rPr>
        <w:t xml:space="preserve">. </w:t>
      </w:r>
    </w:p>
    <w:p w14:paraId="5684F6E4" w14:textId="77777777" w:rsidR="00EA3366" w:rsidRPr="00A0600F" w:rsidRDefault="00EA3366" w:rsidP="00D97EC2">
      <w:pPr>
        <w:jc w:val="both"/>
        <w:rPr>
          <w:rFonts w:ascii="Times New Roman" w:hAnsi="Times New Roman" w:cs="Times New Roman"/>
          <w:lang w:val="en-US"/>
        </w:rPr>
      </w:pPr>
    </w:p>
    <w:p w14:paraId="194B1FA3" w14:textId="77777777" w:rsidR="009E707F" w:rsidRPr="00A0600F" w:rsidRDefault="009E707F" w:rsidP="00D97EC2">
      <w:pPr>
        <w:spacing w:after="0" w:line="360" w:lineRule="auto"/>
        <w:ind w:firstLine="709"/>
        <w:jc w:val="both"/>
        <w:rPr>
          <w:rFonts w:ascii="Times New Roman" w:hAnsi="Times New Roman" w:cs="Times New Roman"/>
          <w:sz w:val="24"/>
          <w:szCs w:val="24"/>
          <w:lang w:val="en-US"/>
        </w:rPr>
      </w:pPr>
    </w:p>
    <w:p w14:paraId="199673D7" w14:textId="77777777" w:rsidR="006353E6" w:rsidRPr="00A0600F" w:rsidRDefault="006353E6">
      <w:pPr>
        <w:rPr>
          <w:rFonts w:ascii="Times New Roman" w:hAnsi="Times New Roman" w:cs="Times New Roman"/>
          <w:b/>
          <w:bCs/>
          <w:sz w:val="28"/>
          <w:szCs w:val="28"/>
          <w:lang w:val="en-US"/>
        </w:rPr>
      </w:pPr>
      <w:r w:rsidRPr="00A0600F">
        <w:rPr>
          <w:rFonts w:ascii="Times New Roman" w:hAnsi="Times New Roman" w:cs="Times New Roman"/>
          <w:b/>
          <w:bCs/>
          <w:sz w:val="28"/>
          <w:szCs w:val="28"/>
          <w:lang w:val="en-US"/>
        </w:rPr>
        <w:br w:type="page"/>
      </w:r>
    </w:p>
    <w:p w14:paraId="7ACA8C5E" w14:textId="77777777" w:rsidR="00C812B6" w:rsidRPr="00C812B6" w:rsidRDefault="00C812B6" w:rsidP="00C812B6">
      <w:pPr>
        <w:widowControl w:val="0"/>
        <w:spacing w:line="360" w:lineRule="auto"/>
        <w:jc w:val="both"/>
        <w:rPr>
          <w:lang w:val="en-US"/>
        </w:rPr>
      </w:pPr>
      <w:r w:rsidRPr="00C812B6">
        <w:rPr>
          <w:rFonts w:ascii="Times New Roman" w:eastAsia="Times New Roman" w:hAnsi="Times New Roman" w:cs="Times New Roman"/>
          <w:b/>
          <w:shd w:val="clear" w:color="auto" w:fill="FFFFFF"/>
          <w:lang w:val="en-US"/>
        </w:rPr>
        <w:lastRenderedPageBreak/>
        <w:t xml:space="preserve">Corresponding author: </w:t>
      </w:r>
      <w:r w:rsidRPr="00C812B6">
        <w:rPr>
          <w:rFonts w:ascii="Times New Roman" w:eastAsia="Times New Roman" w:hAnsi="Times New Roman" w:cs="Times New Roman"/>
          <w:shd w:val="clear" w:color="auto" w:fill="FFFFFF"/>
          <w:lang w:val="en-US"/>
        </w:rPr>
        <w:t xml:space="preserve">Alessandro Cucchetti, MD, Department of Medical and Surgical Sciences – DIMEC; Alma Mater </w:t>
      </w:r>
      <w:proofErr w:type="spellStart"/>
      <w:r w:rsidRPr="00C812B6">
        <w:rPr>
          <w:rFonts w:ascii="Times New Roman" w:eastAsia="Times New Roman" w:hAnsi="Times New Roman" w:cs="Times New Roman"/>
          <w:shd w:val="clear" w:color="auto" w:fill="FFFFFF"/>
          <w:lang w:val="en-US"/>
        </w:rPr>
        <w:t>Studiorum</w:t>
      </w:r>
      <w:proofErr w:type="spellEnd"/>
      <w:r w:rsidRPr="00C812B6">
        <w:rPr>
          <w:rFonts w:ascii="Times New Roman" w:eastAsia="Times New Roman" w:hAnsi="Times New Roman" w:cs="Times New Roman"/>
          <w:shd w:val="clear" w:color="auto" w:fill="FFFFFF"/>
          <w:lang w:val="en-US"/>
        </w:rPr>
        <w:t xml:space="preserve"> - University of Bologna, Via </w:t>
      </w:r>
      <w:proofErr w:type="spellStart"/>
      <w:r w:rsidRPr="00C812B6">
        <w:rPr>
          <w:rFonts w:ascii="Times New Roman" w:eastAsia="Times New Roman" w:hAnsi="Times New Roman" w:cs="Times New Roman"/>
          <w:shd w:val="clear" w:color="auto" w:fill="FFFFFF"/>
          <w:lang w:val="en-US"/>
        </w:rPr>
        <w:t>Albertoni</w:t>
      </w:r>
      <w:proofErr w:type="spellEnd"/>
      <w:r w:rsidRPr="00C812B6">
        <w:rPr>
          <w:rFonts w:ascii="Times New Roman" w:eastAsia="Times New Roman" w:hAnsi="Times New Roman" w:cs="Times New Roman"/>
          <w:shd w:val="clear" w:color="auto" w:fill="FFFFFF"/>
          <w:lang w:val="en-US"/>
        </w:rPr>
        <w:t xml:space="preserve"> 15; 40138 Bologna; ITALY.</w:t>
      </w:r>
      <w:r w:rsidRPr="00C812B6">
        <w:rPr>
          <w:rFonts w:ascii="Times New Roman" w:eastAsia="Times New Roman" w:hAnsi="Times New Roman" w:cs="Times New Roman"/>
          <w:b/>
          <w:shd w:val="clear" w:color="auto" w:fill="FFFFFF"/>
          <w:lang w:val="en-US"/>
        </w:rPr>
        <w:t xml:space="preserve"> </w:t>
      </w:r>
    </w:p>
    <w:p w14:paraId="4777EF34" w14:textId="77777777" w:rsidR="00C812B6" w:rsidRPr="00C812B6" w:rsidRDefault="00C812B6" w:rsidP="00C812B6">
      <w:pPr>
        <w:widowControl w:val="0"/>
        <w:spacing w:line="360" w:lineRule="auto"/>
        <w:jc w:val="both"/>
        <w:rPr>
          <w:rFonts w:ascii="Times New Roman" w:eastAsia="Times New Roman" w:hAnsi="Times New Roman" w:cs="Times New Roman"/>
          <w:b/>
          <w:shd w:val="clear" w:color="auto" w:fill="FFFFFF"/>
          <w:lang w:val="en-US"/>
        </w:rPr>
      </w:pPr>
      <w:r w:rsidRPr="00C812B6">
        <w:rPr>
          <w:rFonts w:ascii="Times New Roman" w:eastAsia="Times New Roman" w:hAnsi="Times New Roman" w:cs="Times New Roman"/>
          <w:b/>
          <w:shd w:val="clear" w:color="auto" w:fill="FFFFFF"/>
          <w:lang w:val="en-US"/>
        </w:rPr>
        <w:t xml:space="preserve">e-mail: </w:t>
      </w:r>
      <w:hyperlink r:id="rId8" w:history="1">
        <w:r w:rsidRPr="00C812B6">
          <w:rPr>
            <w:rStyle w:val="Hyperlink"/>
            <w:rFonts w:ascii="Times New Roman" w:eastAsia="Times New Roman" w:hAnsi="Times New Roman" w:cs="Times New Roman"/>
            <w:b/>
            <w:color w:val="auto"/>
            <w:shd w:val="clear" w:color="auto" w:fill="FFFFFF"/>
            <w:lang w:val="en-US"/>
          </w:rPr>
          <w:t>aleqko@libero.it</w:t>
        </w:r>
      </w:hyperlink>
    </w:p>
    <w:p w14:paraId="5F207DDF" w14:textId="3239F84B" w:rsidR="00C812B6" w:rsidRPr="00C812B6" w:rsidRDefault="00C812B6" w:rsidP="00C812B6">
      <w:pPr>
        <w:widowControl w:val="0"/>
        <w:tabs>
          <w:tab w:val="center" w:pos="4819"/>
          <w:tab w:val="right" w:pos="9638"/>
        </w:tabs>
        <w:spacing w:line="360" w:lineRule="auto"/>
        <w:jc w:val="both"/>
        <w:rPr>
          <w:lang w:val="en-US"/>
        </w:rPr>
      </w:pPr>
      <w:r w:rsidRPr="00C812B6">
        <w:rPr>
          <w:rFonts w:ascii="Times New Roman" w:eastAsia="Times New Roman" w:hAnsi="Times New Roman" w:cs="Times New Roman"/>
          <w:b/>
          <w:shd w:val="clear" w:color="auto" w:fill="FFFFFF"/>
          <w:lang w:val="en-US"/>
        </w:rPr>
        <w:t>Running head</w:t>
      </w:r>
      <w:r w:rsidRPr="00C812B6">
        <w:rPr>
          <w:rFonts w:ascii="Times New Roman" w:eastAsia="Times New Roman" w:hAnsi="Times New Roman" w:cs="Times New Roman"/>
          <w:shd w:val="clear" w:color="auto" w:fill="FFFFFF"/>
          <w:lang w:val="en-US"/>
        </w:rPr>
        <w:t>: Textbook Outcome after TACE for HCC</w:t>
      </w:r>
    </w:p>
    <w:p w14:paraId="7C89C7FF" w14:textId="486EE0D4" w:rsidR="00C812B6" w:rsidRPr="00C812B6" w:rsidRDefault="00C812B6" w:rsidP="00C812B6">
      <w:pPr>
        <w:widowControl w:val="0"/>
        <w:spacing w:before="40" w:line="360" w:lineRule="auto"/>
        <w:jc w:val="both"/>
        <w:rPr>
          <w:lang w:val="en-US"/>
        </w:rPr>
      </w:pPr>
      <w:r w:rsidRPr="00C812B6">
        <w:rPr>
          <w:rFonts w:ascii="Times New Roman" w:eastAsia="Times New Roman" w:hAnsi="Times New Roman" w:cs="Times New Roman"/>
          <w:b/>
          <w:shd w:val="clear" w:color="auto" w:fill="FFFFFF"/>
          <w:lang w:val="en-US"/>
        </w:rPr>
        <w:t>Number of tables and figures:</w:t>
      </w:r>
      <w:r w:rsidRPr="00C812B6">
        <w:rPr>
          <w:rFonts w:ascii="Times New Roman" w:eastAsia="Times New Roman" w:hAnsi="Times New Roman" w:cs="Times New Roman"/>
          <w:shd w:val="clear" w:color="auto" w:fill="FFFFFF"/>
          <w:lang w:val="en-US"/>
        </w:rPr>
        <w:t xml:space="preserve"> 4 + 2</w:t>
      </w:r>
    </w:p>
    <w:p w14:paraId="4CCA88BB" w14:textId="77777777" w:rsidR="00C812B6" w:rsidRPr="00C812B6" w:rsidRDefault="00C812B6" w:rsidP="00C812B6">
      <w:pPr>
        <w:widowControl w:val="0"/>
        <w:spacing w:line="360" w:lineRule="auto"/>
        <w:rPr>
          <w:lang w:val="en-US"/>
        </w:rPr>
      </w:pPr>
      <w:r w:rsidRPr="00C812B6">
        <w:rPr>
          <w:rFonts w:ascii="Times New Roman" w:eastAsia="Times New Roman" w:hAnsi="Times New Roman" w:cs="Times New Roman"/>
          <w:b/>
          <w:color w:val="00000A"/>
          <w:shd w:val="clear" w:color="auto" w:fill="FFFFFF"/>
          <w:lang w:val="en-US"/>
        </w:rPr>
        <w:t xml:space="preserve">Conflict of interest: </w:t>
      </w:r>
      <w:r w:rsidRPr="00C812B6">
        <w:rPr>
          <w:rFonts w:ascii="Times New Roman" w:eastAsia="Times New Roman" w:hAnsi="Times New Roman" w:cs="Times New Roman"/>
          <w:color w:val="00000A"/>
          <w:shd w:val="clear" w:color="auto" w:fill="FFFFFF"/>
          <w:lang w:val="en-US"/>
        </w:rPr>
        <w:t>none to declare</w:t>
      </w:r>
    </w:p>
    <w:p w14:paraId="10EC5AF5" w14:textId="77777777" w:rsidR="00C812B6" w:rsidRPr="00C812B6" w:rsidRDefault="00C812B6" w:rsidP="00C812B6">
      <w:pPr>
        <w:widowControl w:val="0"/>
        <w:spacing w:line="360" w:lineRule="auto"/>
        <w:rPr>
          <w:lang w:val="en-US"/>
        </w:rPr>
      </w:pPr>
      <w:r w:rsidRPr="00C812B6">
        <w:rPr>
          <w:rFonts w:ascii="Times New Roman" w:eastAsia="Times New Roman" w:hAnsi="Times New Roman" w:cs="Times New Roman"/>
          <w:b/>
          <w:color w:val="00000A"/>
          <w:shd w:val="clear" w:color="auto" w:fill="FFFFFF"/>
          <w:lang w:val="en-US"/>
        </w:rPr>
        <w:t xml:space="preserve">Financial support: </w:t>
      </w:r>
      <w:r w:rsidRPr="00C812B6">
        <w:rPr>
          <w:rFonts w:ascii="Times New Roman" w:eastAsia="Times New Roman" w:hAnsi="Times New Roman" w:cs="Times New Roman"/>
          <w:color w:val="00000A"/>
          <w:shd w:val="clear" w:color="auto" w:fill="FFFFFF"/>
          <w:lang w:val="en-US"/>
        </w:rPr>
        <w:t>no grant support was used for the present study</w:t>
      </w:r>
    </w:p>
    <w:p w14:paraId="566A277E" w14:textId="0381F007" w:rsidR="00C812B6" w:rsidRPr="00C812B6" w:rsidRDefault="00C812B6" w:rsidP="00C812B6">
      <w:pPr>
        <w:widowControl w:val="0"/>
        <w:spacing w:line="360" w:lineRule="auto"/>
        <w:jc w:val="both"/>
        <w:rPr>
          <w:lang w:val="en-US"/>
        </w:rPr>
      </w:pPr>
      <w:r w:rsidRPr="00C812B6">
        <w:rPr>
          <w:rFonts w:ascii="Times New Roman" w:eastAsia="Times New Roman" w:hAnsi="Times New Roman" w:cs="Times New Roman"/>
          <w:b/>
          <w:bCs/>
          <w:color w:val="00000A"/>
          <w:shd w:val="clear" w:color="auto" w:fill="FFFFFF"/>
          <w:lang w:val="en-US"/>
        </w:rPr>
        <w:t xml:space="preserve">Authors’ contribution: </w:t>
      </w:r>
      <w:proofErr w:type="spellStart"/>
      <w:r w:rsidRPr="00C812B6">
        <w:rPr>
          <w:rFonts w:ascii="Times New Roman" w:eastAsia="Times New Roman" w:hAnsi="Times New Roman" w:cs="Times New Roman"/>
          <w:color w:val="00000A"/>
          <w:shd w:val="clear" w:color="auto" w:fill="FFFFFF"/>
          <w:lang w:val="en-US"/>
        </w:rPr>
        <w:t>C.Mosconi</w:t>
      </w:r>
      <w:proofErr w:type="spellEnd"/>
      <w:r w:rsidRPr="00C812B6">
        <w:rPr>
          <w:rFonts w:ascii="Times New Roman" w:eastAsia="Times New Roman" w:hAnsi="Times New Roman" w:cs="Times New Roman"/>
          <w:color w:val="00000A"/>
          <w:shd w:val="clear" w:color="auto" w:fill="FFFFFF"/>
          <w:lang w:val="en-US"/>
        </w:rPr>
        <w:t xml:space="preserve"> had the original idea; </w:t>
      </w:r>
      <w:proofErr w:type="spellStart"/>
      <w:r w:rsidRPr="00C812B6">
        <w:rPr>
          <w:rFonts w:ascii="Times New Roman" w:eastAsia="Times New Roman" w:hAnsi="Times New Roman" w:cs="Times New Roman"/>
          <w:color w:val="00000A"/>
          <w:shd w:val="clear" w:color="auto" w:fill="FFFFFF"/>
          <w:lang w:val="en-US"/>
        </w:rPr>
        <w:t>A.Cucchetti</w:t>
      </w:r>
      <w:proofErr w:type="spellEnd"/>
      <w:r w:rsidRPr="00C812B6">
        <w:rPr>
          <w:rFonts w:ascii="Times New Roman" w:eastAsia="Times New Roman" w:hAnsi="Times New Roman" w:cs="Times New Roman"/>
          <w:color w:val="00000A"/>
          <w:shd w:val="clear" w:color="auto" w:fill="FFFFFF"/>
          <w:lang w:val="en-US"/>
        </w:rPr>
        <w:t xml:space="preserve"> planned and coordinated the multicenter data collection; </w:t>
      </w:r>
      <w:proofErr w:type="spellStart"/>
      <w:r w:rsidRPr="00C812B6">
        <w:rPr>
          <w:rFonts w:ascii="Times New Roman" w:eastAsia="Times New Roman" w:hAnsi="Times New Roman" w:cs="Times New Roman"/>
          <w:color w:val="00000A"/>
          <w:shd w:val="clear" w:color="auto" w:fill="FFFFFF"/>
          <w:lang w:val="en-US"/>
        </w:rPr>
        <w:t>J.O’Rourke</w:t>
      </w:r>
      <w:proofErr w:type="spellEnd"/>
      <w:r w:rsidRPr="00C812B6">
        <w:rPr>
          <w:rFonts w:ascii="Times New Roman" w:eastAsia="Times New Roman" w:hAnsi="Times New Roman" w:cs="Times New Roman"/>
          <w:color w:val="00000A"/>
          <w:shd w:val="clear" w:color="auto" w:fill="FFFFFF"/>
          <w:lang w:val="en-US"/>
        </w:rPr>
        <w:t xml:space="preserve">, </w:t>
      </w:r>
      <w:proofErr w:type="spellStart"/>
      <w:r w:rsidRPr="00C812B6">
        <w:rPr>
          <w:rFonts w:ascii="Times New Roman" w:hAnsi="Times New Roman" w:cs="Times New Roman"/>
          <w:lang w:val="en-US"/>
        </w:rPr>
        <w:t>R.Kloeckner</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L.Sturm</w:t>
      </w:r>
      <w:proofErr w:type="spellEnd"/>
      <w:r w:rsidRPr="00C812B6">
        <w:rPr>
          <w:rFonts w:ascii="Times New Roman" w:hAnsi="Times New Roman" w:cs="Times New Roman"/>
          <w:lang w:val="en-US"/>
        </w:rPr>
        <w:t>, R.Golfieri</w:t>
      </w:r>
      <w:r w:rsidRPr="00C812B6">
        <w:rPr>
          <w:rFonts w:ascii="Times New Roman" w:hAnsi="Times New Roman" w:cs="Times New Roman"/>
          <w:vertAlign w:val="superscript"/>
          <w:lang w:val="en-US"/>
        </w:rPr>
        <w:t>1</w:t>
      </w:r>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C.Celsa</w:t>
      </w:r>
      <w:proofErr w:type="spellEnd"/>
      <w:r w:rsidRPr="00C812B6">
        <w:rPr>
          <w:rFonts w:ascii="Times New Roman" w:hAnsi="Times New Roman" w:cs="Times New Roman"/>
          <w:lang w:val="en-US"/>
        </w:rPr>
        <w:t xml:space="preserve">, W. </w:t>
      </w:r>
      <w:proofErr w:type="spellStart"/>
      <w:r w:rsidRPr="00C812B6">
        <w:rPr>
          <w:rFonts w:ascii="Times New Roman" w:hAnsi="Times New Roman" w:cs="Times New Roman"/>
          <w:lang w:val="en-US"/>
        </w:rPr>
        <w:t>Fateen</w:t>
      </w:r>
      <w:proofErr w:type="spellEnd"/>
      <w:r w:rsidRPr="00C812B6">
        <w:rPr>
          <w:rFonts w:ascii="Times New Roman" w:hAnsi="Times New Roman" w:cs="Times New Roman"/>
          <w:lang w:val="en-US"/>
        </w:rPr>
        <w:t xml:space="preserve">, B. </w:t>
      </w:r>
      <w:proofErr w:type="spellStart"/>
      <w:r w:rsidRPr="00C812B6">
        <w:rPr>
          <w:rFonts w:ascii="Times New Roman" w:hAnsi="Times New Roman" w:cs="Times New Roman"/>
          <w:lang w:val="en-US"/>
        </w:rPr>
        <w:t>Odisio</w:t>
      </w:r>
      <w:proofErr w:type="spellEnd"/>
      <w:r w:rsidRPr="00C812B6">
        <w:rPr>
          <w:rFonts w:ascii="Times New Roman" w:hAnsi="Times New Roman" w:cs="Times New Roman"/>
          <w:lang w:val="en-US"/>
        </w:rPr>
        <w:t xml:space="preserve">, E. Garanzini, </w:t>
      </w:r>
      <w:proofErr w:type="spellStart"/>
      <w:r w:rsidRPr="00C812B6">
        <w:rPr>
          <w:rFonts w:ascii="Times New Roman" w:hAnsi="Times New Roman" w:cs="Times New Roman"/>
          <w:lang w:val="en-US"/>
        </w:rPr>
        <w:t>M.Peck</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A.Borghi</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Y.T.Ma</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F.Stoehr</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D.Bettinger</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P.Giuffrida</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G.Aithal</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Y.Lin</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C.Spreafico</w:t>
      </w:r>
      <w:proofErr w:type="spellEnd"/>
      <w:r w:rsidRPr="00C812B6">
        <w:rPr>
          <w:rFonts w:ascii="Times New Roman" w:hAnsi="Times New Roman" w:cs="Times New Roman"/>
          <w:lang w:val="en-US"/>
        </w:rPr>
        <w:t xml:space="preserve"> and </w:t>
      </w:r>
      <w:proofErr w:type="spellStart"/>
      <w:r w:rsidRPr="00C812B6">
        <w:rPr>
          <w:rFonts w:ascii="Times New Roman" w:hAnsi="Times New Roman" w:cs="Times New Roman"/>
          <w:lang w:val="en-US"/>
        </w:rPr>
        <w:t>Emanuela</w:t>
      </w:r>
      <w:proofErr w:type="spellEnd"/>
      <w:r w:rsidRPr="00C812B6">
        <w:rPr>
          <w:rFonts w:ascii="Times New Roman" w:hAnsi="Times New Roman" w:cs="Times New Roman"/>
          <w:lang w:val="en-US"/>
        </w:rPr>
        <w:t xml:space="preserve"> </w:t>
      </w:r>
      <w:proofErr w:type="spellStart"/>
      <w:r w:rsidRPr="00C812B6">
        <w:rPr>
          <w:rFonts w:ascii="Times New Roman" w:hAnsi="Times New Roman" w:cs="Times New Roman"/>
          <w:lang w:val="en-US"/>
        </w:rPr>
        <w:t>Giampalma</w:t>
      </w:r>
      <w:proofErr w:type="spellEnd"/>
      <w:r w:rsidRPr="00C812B6">
        <w:rPr>
          <w:rFonts w:ascii="Times New Roman" w:eastAsia="Times New Roman" w:hAnsi="Times New Roman" w:cs="Times New Roman"/>
          <w:color w:val="00000A"/>
          <w:shd w:val="clear" w:color="auto" w:fill="FFFFFF"/>
          <w:lang w:val="en-US"/>
        </w:rPr>
        <w:t xml:space="preserve"> collected clinical data and/or performed the procedures; A. Cucchetti performed the analyses, </w:t>
      </w:r>
      <w:proofErr w:type="spellStart"/>
      <w:r w:rsidRPr="00C812B6">
        <w:rPr>
          <w:rFonts w:ascii="Times New Roman" w:eastAsia="Times New Roman" w:hAnsi="Times New Roman" w:cs="Times New Roman"/>
          <w:color w:val="00000A"/>
          <w:shd w:val="clear" w:color="auto" w:fill="FFFFFF"/>
          <w:lang w:val="en-US"/>
        </w:rPr>
        <w:t>C.Mosconi</w:t>
      </w:r>
      <w:proofErr w:type="spellEnd"/>
      <w:r w:rsidRPr="00C812B6">
        <w:rPr>
          <w:rFonts w:ascii="Times New Roman" w:eastAsia="Times New Roman" w:hAnsi="Times New Roman" w:cs="Times New Roman"/>
          <w:color w:val="00000A"/>
          <w:shd w:val="clear" w:color="auto" w:fill="FFFFFF"/>
          <w:lang w:val="en-US"/>
        </w:rPr>
        <w:t xml:space="preserve"> and </w:t>
      </w:r>
      <w:proofErr w:type="spellStart"/>
      <w:r w:rsidRPr="00C812B6">
        <w:rPr>
          <w:rFonts w:ascii="Times New Roman" w:eastAsia="Times New Roman" w:hAnsi="Times New Roman" w:cs="Times New Roman"/>
          <w:color w:val="00000A"/>
          <w:shd w:val="clear" w:color="auto" w:fill="FFFFFF"/>
          <w:lang w:val="en-US"/>
        </w:rPr>
        <w:t>A.Cucchetti</w:t>
      </w:r>
      <w:proofErr w:type="spellEnd"/>
      <w:r w:rsidRPr="00C812B6">
        <w:rPr>
          <w:rFonts w:ascii="Times New Roman" w:eastAsia="Times New Roman" w:hAnsi="Times New Roman" w:cs="Times New Roman"/>
          <w:color w:val="00000A"/>
          <w:shd w:val="clear" w:color="auto" w:fill="FFFFFF"/>
          <w:lang w:val="en-US"/>
        </w:rPr>
        <w:t xml:space="preserve"> wrote the manuscript. </w:t>
      </w:r>
      <w:proofErr w:type="spellStart"/>
      <w:proofErr w:type="gramStart"/>
      <w:r w:rsidRPr="00C812B6">
        <w:rPr>
          <w:rFonts w:ascii="Times New Roman" w:eastAsia="Times New Roman" w:hAnsi="Times New Roman" w:cs="Times New Roman"/>
          <w:color w:val="00000A"/>
          <w:shd w:val="clear" w:color="auto" w:fill="FFFFFF"/>
          <w:lang w:val="en-US"/>
        </w:rPr>
        <w:t>P.Johnson</w:t>
      </w:r>
      <w:proofErr w:type="spellEnd"/>
      <w:proofErr w:type="gramEnd"/>
      <w:r w:rsidRPr="00C812B6">
        <w:rPr>
          <w:rFonts w:ascii="Times New Roman" w:eastAsia="Times New Roman" w:hAnsi="Times New Roman" w:cs="Times New Roman"/>
          <w:color w:val="00000A"/>
          <w:shd w:val="clear" w:color="auto" w:fill="FFFFFF"/>
          <w:lang w:val="en-US"/>
        </w:rPr>
        <w:t xml:space="preserve"> provided critical review for important intellectual contents.</w:t>
      </w:r>
    </w:p>
    <w:p w14:paraId="4179F958" w14:textId="3C131C0A" w:rsidR="00C812B6" w:rsidRPr="00C812B6" w:rsidRDefault="00C812B6" w:rsidP="00C812B6">
      <w:pPr>
        <w:widowControl w:val="0"/>
        <w:spacing w:line="360" w:lineRule="auto"/>
        <w:jc w:val="both"/>
        <w:rPr>
          <w:lang w:val="en-US"/>
        </w:rPr>
      </w:pPr>
      <w:r w:rsidRPr="00C812B6">
        <w:rPr>
          <w:rFonts w:ascii="Times New Roman" w:eastAsia="Times New Roman" w:hAnsi="Times New Roman" w:cs="Times New Roman"/>
          <w:b/>
          <w:bCs/>
          <w:color w:val="00000A"/>
          <w:shd w:val="clear" w:color="auto" w:fill="FFFFFF"/>
          <w:lang w:val="en-US"/>
        </w:rPr>
        <w:t xml:space="preserve">Keywords: </w:t>
      </w:r>
      <w:r w:rsidRPr="00C812B6">
        <w:rPr>
          <w:rFonts w:ascii="Times New Roman" w:eastAsia="Times New Roman" w:hAnsi="Times New Roman" w:cs="Times New Roman"/>
          <w:color w:val="00000A"/>
          <w:shd w:val="clear" w:color="auto" w:fill="FFFFFF"/>
          <w:lang w:val="en-US"/>
        </w:rPr>
        <w:t>hepatocellular carcinoma;</w:t>
      </w:r>
      <w:r>
        <w:rPr>
          <w:rFonts w:ascii="Times New Roman" w:eastAsia="Times New Roman" w:hAnsi="Times New Roman" w:cs="Times New Roman"/>
          <w:color w:val="00000A"/>
          <w:shd w:val="clear" w:color="auto" w:fill="FFFFFF"/>
          <w:lang w:val="en-US"/>
        </w:rPr>
        <w:t xml:space="preserve"> trans-arterial chemoembolization; survival; complications; morbidity; textbook outcome</w:t>
      </w:r>
      <w:r w:rsidRPr="00C812B6">
        <w:rPr>
          <w:rFonts w:ascii="Times New Roman" w:eastAsia="Times New Roman" w:hAnsi="Times New Roman" w:cs="Times New Roman"/>
          <w:color w:val="00000A"/>
          <w:shd w:val="clear" w:color="auto" w:fill="FFFFFF"/>
          <w:lang w:val="en-US"/>
        </w:rPr>
        <w:t>; mRECIST</w:t>
      </w:r>
    </w:p>
    <w:p w14:paraId="192D52B4" w14:textId="77777777" w:rsidR="00C812B6" w:rsidRDefault="00C812B6">
      <w:pPr>
        <w:rPr>
          <w:rFonts w:ascii="Times New Roman" w:hAnsi="Times New Roman" w:cs="Times New Roman"/>
          <w:b/>
          <w:bCs/>
          <w:sz w:val="32"/>
          <w:szCs w:val="32"/>
          <w:lang w:val="en-US"/>
        </w:rPr>
      </w:pPr>
      <w:r>
        <w:rPr>
          <w:rFonts w:ascii="Times New Roman" w:hAnsi="Times New Roman" w:cs="Times New Roman"/>
          <w:b/>
          <w:bCs/>
          <w:sz w:val="32"/>
          <w:szCs w:val="32"/>
          <w:lang w:val="en-US"/>
        </w:rPr>
        <w:br w:type="page"/>
      </w:r>
    </w:p>
    <w:p w14:paraId="7865B609" w14:textId="2FA64838" w:rsidR="000F4331" w:rsidRPr="00A0600F" w:rsidRDefault="000F4331" w:rsidP="000F4331">
      <w:pPr>
        <w:spacing w:after="0" w:line="360" w:lineRule="auto"/>
        <w:jc w:val="both"/>
        <w:rPr>
          <w:rFonts w:ascii="Times New Roman" w:hAnsi="Times New Roman" w:cs="Times New Roman"/>
          <w:b/>
          <w:bCs/>
          <w:sz w:val="32"/>
          <w:szCs w:val="32"/>
          <w:lang w:val="en-US"/>
        </w:rPr>
      </w:pPr>
      <w:r w:rsidRPr="00A0600F">
        <w:rPr>
          <w:rFonts w:ascii="Times New Roman" w:hAnsi="Times New Roman" w:cs="Times New Roman"/>
          <w:b/>
          <w:bCs/>
          <w:sz w:val="32"/>
          <w:szCs w:val="32"/>
          <w:lang w:val="en-US"/>
        </w:rPr>
        <w:lastRenderedPageBreak/>
        <w:t>ABSTRACT</w:t>
      </w:r>
    </w:p>
    <w:p w14:paraId="71057F69" w14:textId="3761F30A" w:rsidR="000F4331" w:rsidRPr="00A0600F" w:rsidRDefault="000F4331" w:rsidP="000F4331">
      <w:pPr>
        <w:spacing w:after="0"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 xml:space="preserve">Background &amp; </w:t>
      </w:r>
      <w:r w:rsidR="004563EF" w:rsidRPr="00A0600F">
        <w:rPr>
          <w:rFonts w:ascii="Times New Roman" w:hAnsi="Times New Roman" w:cs="Times New Roman"/>
          <w:b/>
          <w:bCs/>
          <w:sz w:val="24"/>
          <w:szCs w:val="24"/>
          <w:lang w:val="en-US"/>
        </w:rPr>
        <w:t>A</w:t>
      </w:r>
      <w:r w:rsidRPr="00A0600F">
        <w:rPr>
          <w:rFonts w:ascii="Times New Roman" w:hAnsi="Times New Roman" w:cs="Times New Roman"/>
          <w:b/>
          <w:bCs/>
          <w:sz w:val="24"/>
          <w:szCs w:val="24"/>
          <w:lang w:val="en-US"/>
        </w:rPr>
        <w:t>im</w:t>
      </w:r>
      <w:r w:rsidR="004563EF" w:rsidRPr="00A0600F">
        <w:rPr>
          <w:rFonts w:ascii="Times New Roman" w:hAnsi="Times New Roman" w:cs="Times New Roman"/>
          <w:b/>
          <w:bCs/>
          <w:sz w:val="24"/>
          <w:szCs w:val="24"/>
          <w:lang w:val="en-US"/>
        </w:rPr>
        <w:t>s</w:t>
      </w:r>
      <w:r w:rsidRPr="00A0600F">
        <w:rPr>
          <w:rFonts w:ascii="Times New Roman" w:hAnsi="Times New Roman" w:cs="Times New Roman"/>
          <w:b/>
          <w:bCs/>
          <w:sz w:val="24"/>
          <w:szCs w:val="24"/>
          <w:lang w:val="en-US"/>
        </w:rPr>
        <w:t xml:space="preserve">: </w:t>
      </w:r>
      <w:r w:rsidRPr="00A0600F">
        <w:rPr>
          <w:rFonts w:ascii="Times New Roman" w:hAnsi="Times New Roman" w:cs="Times New Roman"/>
          <w:sz w:val="24"/>
          <w:szCs w:val="24"/>
          <w:lang w:val="en-US"/>
        </w:rPr>
        <w:t xml:space="preserve">quality indicators for </w:t>
      </w:r>
      <w:r w:rsidR="005A5CD1" w:rsidRPr="00A0600F">
        <w:rPr>
          <w:rFonts w:ascii="Times New Roman" w:hAnsi="Times New Roman" w:cs="Times New Roman"/>
          <w:sz w:val="24"/>
          <w:szCs w:val="24"/>
          <w:lang w:val="en-US"/>
        </w:rPr>
        <w:t xml:space="preserve">interventional procedures must include both safety and efficacy measures. The Textbook Outcome (TO) is inclusive of both but never provided for </w:t>
      </w:r>
      <w:r w:rsidRPr="00A0600F">
        <w:rPr>
          <w:rFonts w:ascii="Times New Roman" w:hAnsi="Times New Roman" w:cs="Times New Roman"/>
          <w:sz w:val="24"/>
          <w:szCs w:val="24"/>
          <w:lang w:val="en-US"/>
        </w:rPr>
        <w:t>trans-arterial chemoembolization (TACE) for hepatocellular carcinoma (HCC).</w:t>
      </w:r>
    </w:p>
    <w:p w14:paraId="1310422E" w14:textId="7730A6EF" w:rsidR="000F4331" w:rsidRPr="00A0600F" w:rsidRDefault="000F4331" w:rsidP="000F4331">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 xml:space="preserve">Methods: </w:t>
      </w:r>
      <w:r w:rsidRPr="00A0600F">
        <w:rPr>
          <w:rFonts w:ascii="Times New Roman" w:eastAsia="Times New Roman" w:hAnsi="Times New Roman" w:cs="Times New Roman"/>
          <w:sz w:val="24"/>
          <w:szCs w:val="24"/>
          <w:lang w:val="en-US" w:eastAsia="it-IT"/>
        </w:rPr>
        <w:t xml:space="preserve">Data on naïve HCC patients treated with TACE were collected from 10 centers at different volumes. </w:t>
      </w:r>
      <w:r w:rsidRPr="00A0600F">
        <w:rPr>
          <w:rFonts w:ascii="Times New Roman" w:hAnsi="Times New Roman" w:cs="Times New Roman"/>
          <w:sz w:val="24"/>
          <w:szCs w:val="24"/>
          <w:lang w:val="en-US"/>
        </w:rPr>
        <w:t>TO</w:t>
      </w:r>
      <w:r w:rsidRPr="00A0600F">
        <w:rPr>
          <w:rFonts w:ascii="Times New Roman" w:hAnsi="Times New Roman" w:cs="Times New Roman"/>
          <w:b/>
          <w:bCs/>
          <w:sz w:val="24"/>
          <w:szCs w:val="24"/>
          <w:lang w:val="en-US"/>
        </w:rPr>
        <w:t xml:space="preserve"> </w:t>
      </w:r>
      <w:r w:rsidRPr="00A0600F">
        <w:rPr>
          <w:rFonts w:ascii="Times New Roman" w:hAnsi="Times New Roman" w:cs="Times New Roman"/>
          <w:sz w:val="24"/>
          <w:szCs w:val="24"/>
          <w:lang w:val="en-US"/>
        </w:rPr>
        <w:t>was defined as: “</w:t>
      </w:r>
      <w:r w:rsidRPr="00A0600F">
        <w:rPr>
          <w:rFonts w:ascii="Times New Roman" w:hAnsi="Times New Roman" w:cs="Times New Roman"/>
          <w:i/>
          <w:iCs/>
          <w:sz w:val="24"/>
          <w:szCs w:val="24"/>
          <w:lang w:val="en-US"/>
        </w:rPr>
        <w:t>n</w:t>
      </w:r>
      <w:r w:rsidRPr="00A0600F">
        <w:rPr>
          <w:rFonts w:ascii="Times New Roman" w:eastAsia="Times New Roman" w:hAnsi="Times New Roman" w:cs="Times New Roman"/>
          <w:i/>
          <w:iCs/>
          <w:sz w:val="24"/>
          <w:szCs w:val="24"/>
          <w:lang w:val="en-US" w:eastAsia="it-IT"/>
        </w:rPr>
        <w:t>o post-TACE complications, no prolonged hospital stay as defined as a postoperative stay ≤75th percentile of the median values from the total cohort, no readmission or mortality within 30 days and the achievement of an objective response</w:t>
      </w:r>
      <w:r w:rsidR="0072291E" w:rsidRPr="00A0600F">
        <w:rPr>
          <w:rFonts w:ascii="Times New Roman" w:eastAsia="Times New Roman" w:hAnsi="Times New Roman" w:cs="Times New Roman"/>
          <w:i/>
          <w:iCs/>
          <w:sz w:val="24"/>
          <w:szCs w:val="24"/>
          <w:lang w:val="en-US" w:eastAsia="it-IT"/>
        </w:rPr>
        <w:t xml:space="preserve"> (OR)</w:t>
      </w:r>
      <w:r w:rsidRPr="00A0600F">
        <w:rPr>
          <w:rFonts w:ascii="Times New Roman" w:eastAsia="Times New Roman" w:hAnsi="Times New Roman" w:cs="Times New Roman"/>
          <w:i/>
          <w:iCs/>
          <w:sz w:val="24"/>
          <w:szCs w:val="24"/>
          <w:lang w:val="en-US" w:eastAsia="it-IT"/>
        </w:rPr>
        <w:t xml:space="preserve"> at the post-TACE imaging."</w:t>
      </w:r>
      <w:r w:rsidRPr="00A0600F">
        <w:rPr>
          <w:rFonts w:ascii="Times New Roman" w:eastAsia="Times New Roman" w:hAnsi="Times New Roman" w:cs="Times New Roman"/>
          <w:sz w:val="24"/>
          <w:szCs w:val="24"/>
          <w:lang w:val="en-US" w:eastAsia="it-IT"/>
        </w:rPr>
        <w:t>. Pooled estimates were calculated to account for hospital</w:t>
      </w:r>
      <w:r w:rsidR="004563EF" w:rsidRPr="00A0600F">
        <w:rPr>
          <w:rFonts w:ascii="Times New Roman" w:eastAsia="Times New Roman" w:hAnsi="Times New Roman" w:cs="Times New Roman"/>
          <w:sz w:val="24"/>
          <w:szCs w:val="24"/>
          <w:lang w:val="en-US" w:eastAsia="it-IT"/>
        </w:rPr>
        <w:t xml:space="preserve">s’ </w:t>
      </w:r>
      <w:r w:rsidRPr="00A0600F">
        <w:rPr>
          <w:rFonts w:ascii="Times New Roman" w:eastAsia="Times New Roman" w:hAnsi="Times New Roman" w:cs="Times New Roman"/>
          <w:sz w:val="24"/>
          <w:szCs w:val="24"/>
          <w:lang w:val="en-US" w:eastAsia="it-IT"/>
        </w:rPr>
        <w:t xml:space="preserve">effect and risk-adjustment applied to </w:t>
      </w:r>
      <w:r w:rsidRPr="00A0600F">
        <w:rPr>
          <w:rFonts w:ascii="Times New Roman" w:hAnsi="Times New Roman" w:cs="Times New Roman"/>
          <w:sz w:val="24"/>
          <w:szCs w:val="24"/>
          <w:lang w:val="en-US"/>
        </w:rPr>
        <w:t>handle for the diversity of patients in each center.</w:t>
      </w:r>
    </w:p>
    <w:p w14:paraId="032D2859" w14:textId="49F6B4B9" w:rsidR="00DF24F4" w:rsidRPr="00A0600F" w:rsidRDefault="000F4331" w:rsidP="000F4331">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 xml:space="preserve">Results: </w:t>
      </w:r>
      <w:r w:rsidRPr="00A0600F">
        <w:rPr>
          <w:rFonts w:ascii="Times New Roman" w:hAnsi="Times New Roman" w:cs="Times New Roman"/>
          <w:sz w:val="24"/>
          <w:szCs w:val="24"/>
          <w:lang w:val="en-US"/>
        </w:rPr>
        <w:t>1124 patients</w:t>
      </w:r>
      <w:r w:rsidR="004563EF" w:rsidRPr="00A0600F">
        <w:rPr>
          <w:rFonts w:ascii="Times New Roman" w:hAnsi="Times New Roman" w:cs="Times New Roman"/>
          <w:sz w:val="24"/>
          <w:szCs w:val="24"/>
          <w:lang w:val="en-US"/>
        </w:rPr>
        <w:t xml:space="preserve"> (2014 – 2018)</w:t>
      </w:r>
      <w:r w:rsidRPr="00A0600F">
        <w:rPr>
          <w:rFonts w:ascii="Times New Roman" w:hAnsi="Times New Roman" w:cs="Times New Roman"/>
          <w:sz w:val="24"/>
          <w:szCs w:val="24"/>
          <w:lang w:val="en-US"/>
        </w:rPr>
        <w:t xml:space="preserve"> fulfilling specific inclusion criteria were enrolled. Baseline clinical features showed moderate to considerable heterogeneity (I</w:t>
      </w:r>
      <w:r w:rsidRPr="00A0600F">
        <w:rPr>
          <w:rFonts w:ascii="Times New Roman" w:hAnsi="Times New Roman" w:cs="Times New Roman"/>
          <w:sz w:val="24"/>
          <w:szCs w:val="24"/>
          <w:vertAlign w:val="superscript"/>
          <w:lang w:val="en-US"/>
        </w:rPr>
        <w:t>2</w:t>
      </w:r>
      <w:r w:rsidRPr="00A0600F">
        <w:rPr>
          <w:rFonts w:ascii="Times New Roman" w:hAnsi="Times New Roman" w:cs="Times New Roman"/>
          <w:sz w:val="24"/>
          <w:szCs w:val="24"/>
          <w:lang w:val="en-US"/>
        </w:rPr>
        <w:t xml:space="preserve">) across centers. </w:t>
      </w:r>
      <w:r w:rsidR="00537E64" w:rsidRPr="00A0600F">
        <w:rPr>
          <w:rFonts w:ascii="Times New Roman" w:hAnsi="Times New Roman" w:cs="Times New Roman"/>
          <w:sz w:val="24"/>
          <w:szCs w:val="24"/>
          <w:lang w:val="en-US"/>
        </w:rPr>
        <w:t xml:space="preserve">Absence of </w:t>
      </w:r>
      <w:r w:rsidRPr="00A0600F">
        <w:rPr>
          <w:rFonts w:ascii="Times New Roman" w:hAnsi="Times New Roman" w:cs="Times New Roman"/>
          <w:sz w:val="24"/>
          <w:szCs w:val="24"/>
          <w:lang w:val="en-US"/>
        </w:rPr>
        <w:t>TACE</w:t>
      </w:r>
      <w:r w:rsidR="004563EF" w:rsidRPr="00A0600F">
        <w:rPr>
          <w:rFonts w:ascii="Times New Roman" w:hAnsi="Times New Roman" w:cs="Times New Roman"/>
          <w:sz w:val="24"/>
          <w:szCs w:val="24"/>
          <w:lang w:val="en-US"/>
        </w:rPr>
        <w:t>-</w:t>
      </w:r>
      <w:r w:rsidRPr="00A0600F">
        <w:rPr>
          <w:rFonts w:ascii="Times New Roman" w:hAnsi="Times New Roman" w:cs="Times New Roman"/>
          <w:sz w:val="24"/>
          <w:szCs w:val="24"/>
          <w:lang w:val="en-US"/>
        </w:rPr>
        <w:t>related mortality was 97.6% (95%C.I.: 96.4–98.4; I</w:t>
      </w:r>
      <w:r w:rsidRPr="00A0600F">
        <w:rPr>
          <w:rFonts w:ascii="Times New Roman" w:hAnsi="Times New Roman" w:cs="Times New Roman"/>
          <w:sz w:val="24"/>
          <w:szCs w:val="24"/>
          <w:vertAlign w:val="superscript"/>
          <w:lang w:val="en-US"/>
        </w:rPr>
        <w:t>2</w:t>
      </w:r>
      <w:r w:rsidRPr="00A0600F">
        <w:rPr>
          <w:rFonts w:ascii="Times New Roman" w:hAnsi="Times New Roman" w:cs="Times New Roman"/>
          <w:sz w:val="24"/>
          <w:szCs w:val="24"/>
          <w:lang w:val="en-US"/>
        </w:rPr>
        <w:t>: 0.0%), no readmission was</w:t>
      </w:r>
      <w:r w:rsidR="004563EF" w:rsidRPr="00A0600F">
        <w:rPr>
          <w:rFonts w:ascii="Times New Roman" w:hAnsi="Times New Roman" w:cs="Times New Roman"/>
          <w:sz w:val="24"/>
          <w:szCs w:val="24"/>
          <w:lang w:val="en-US"/>
        </w:rPr>
        <w:t xml:space="preserve"> observed in</w:t>
      </w:r>
      <w:r w:rsidRPr="00A0600F">
        <w:rPr>
          <w:rFonts w:ascii="Times New Roman" w:hAnsi="Times New Roman" w:cs="Times New Roman"/>
          <w:sz w:val="24"/>
          <w:szCs w:val="24"/>
          <w:lang w:val="en-US"/>
        </w:rPr>
        <w:t xml:space="preserve"> 94.9% </w:t>
      </w:r>
      <w:r w:rsidR="00DB32C7" w:rsidRPr="00A0600F">
        <w:rPr>
          <w:rFonts w:ascii="Times New Roman" w:hAnsi="Times New Roman" w:cs="Times New Roman"/>
          <w:sz w:val="24"/>
          <w:szCs w:val="24"/>
          <w:lang w:val="en-US"/>
        </w:rPr>
        <w:t xml:space="preserve">of patients </w:t>
      </w:r>
      <w:r w:rsidRPr="00A0600F">
        <w:rPr>
          <w:rFonts w:ascii="Times New Roman" w:hAnsi="Times New Roman" w:cs="Times New Roman"/>
          <w:sz w:val="24"/>
          <w:szCs w:val="24"/>
          <w:lang w:val="en-US"/>
        </w:rPr>
        <w:t>(95%C.I. 91.6–97.0; I</w:t>
      </w:r>
      <w:r w:rsidRPr="00A0600F">
        <w:rPr>
          <w:rFonts w:ascii="Times New Roman" w:hAnsi="Times New Roman" w:cs="Times New Roman"/>
          <w:sz w:val="24"/>
          <w:szCs w:val="24"/>
          <w:vertAlign w:val="superscript"/>
          <w:lang w:val="en-US"/>
        </w:rPr>
        <w:t>2</w:t>
      </w:r>
      <w:r w:rsidRPr="00A0600F">
        <w:rPr>
          <w:rFonts w:ascii="Times New Roman" w:hAnsi="Times New Roman" w:cs="Times New Roman"/>
          <w:sz w:val="24"/>
          <w:szCs w:val="24"/>
          <w:lang w:val="en-US"/>
        </w:rPr>
        <w:t xml:space="preserve">: 68.6%), no prolonged length of stay </w:t>
      </w:r>
      <w:r w:rsidR="00DB32C7" w:rsidRPr="00A0600F">
        <w:rPr>
          <w:rFonts w:ascii="Times New Roman" w:hAnsi="Times New Roman" w:cs="Times New Roman"/>
          <w:sz w:val="24"/>
          <w:szCs w:val="24"/>
          <w:lang w:val="en-US"/>
        </w:rPr>
        <w:t>in</w:t>
      </w:r>
      <w:r w:rsidRPr="00A0600F">
        <w:rPr>
          <w:rFonts w:ascii="Times New Roman" w:hAnsi="Times New Roman" w:cs="Times New Roman"/>
          <w:sz w:val="24"/>
          <w:szCs w:val="24"/>
          <w:lang w:val="en-US"/>
        </w:rPr>
        <w:t xml:space="preserve"> </w:t>
      </w:r>
      <w:r w:rsidR="0072291E" w:rsidRPr="00A0600F">
        <w:rPr>
          <w:rFonts w:ascii="Times New Roman" w:hAnsi="Times New Roman" w:cs="Times New Roman"/>
          <w:sz w:val="24"/>
          <w:szCs w:val="24"/>
          <w:lang w:val="en-US"/>
        </w:rPr>
        <w:t>71.8% (95%C.I.: 56.9–83.1; I</w:t>
      </w:r>
      <w:r w:rsidR="0072291E" w:rsidRPr="00A0600F">
        <w:rPr>
          <w:rFonts w:ascii="Times New Roman" w:hAnsi="Times New Roman" w:cs="Times New Roman"/>
          <w:sz w:val="24"/>
          <w:szCs w:val="24"/>
          <w:vertAlign w:val="superscript"/>
          <w:lang w:val="en-US"/>
        </w:rPr>
        <w:t>2</w:t>
      </w:r>
      <w:r w:rsidR="0072291E" w:rsidRPr="00A0600F">
        <w:rPr>
          <w:rFonts w:ascii="Times New Roman" w:hAnsi="Times New Roman" w:cs="Times New Roman"/>
          <w:sz w:val="24"/>
          <w:szCs w:val="24"/>
          <w:lang w:val="en-US"/>
        </w:rPr>
        <w:t>: 95.0%)</w:t>
      </w:r>
      <w:r w:rsidR="00DB32C7" w:rsidRPr="00A0600F">
        <w:rPr>
          <w:rFonts w:ascii="Times New Roman" w:hAnsi="Times New Roman" w:cs="Times New Roman"/>
          <w:sz w:val="24"/>
          <w:szCs w:val="24"/>
          <w:lang w:val="en-US"/>
        </w:rPr>
        <w:t>,</w:t>
      </w:r>
      <w:r w:rsidR="0072291E" w:rsidRPr="00A0600F">
        <w:rPr>
          <w:rFonts w:ascii="Times New Roman" w:hAnsi="Times New Roman" w:cs="Times New Roman"/>
          <w:sz w:val="24"/>
          <w:szCs w:val="24"/>
          <w:lang w:val="en-US"/>
        </w:rPr>
        <w:t xml:space="preserve"> OR of the target lesion was </w:t>
      </w:r>
      <w:r w:rsidR="00584DC6" w:rsidRPr="00A0600F">
        <w:rPr>
          <w:rFonts w:ascii="Times New Roman" w:hAnsi="Times New Roman" w:cs="Times New Roman"/>
          <w:sz w:val="24"/>
          <w:szCs w:val="24"/>
          <w:lang w:val="en-US"/>
        </w:rPr>
        <w:t>diagnosed</w:t>
      </w:r>
      <w:r w:rsidR="0072291E" w:rsidRPr="00A0600F">
        <w:rPr>
          <w:rFonts w:ascii="Times New Roman" w:hAnsi="Times New Roman" w:cs="Times New Roman"/>
          <w:sz w:val="24"/>
          <w:szCs w:val="24"/>
          <w:lang w:val="en-US"/>
        </w:rPr>
        <w:t xml:space="preserve"> in 68.5% (95%C.I.: 55.6–79.0; I</w:t>
      </w:r>
      <w:r w:rsidR="0072291E" w:rsidRPr="00A0600F">
        <w:rPr>
          <w:rFonts w:ascii="Times New Roman" w:hAnsi="Times New Roman" w:cs="Times New Roman"/>
          <w:sz w:val="24"/>
          <w:szCs w:val="24"/>
          <w:vertAlign w:val="superscript"/>
          <w:lang w:val="en-US"/>
        </w:rPr>
        <w:t>2</w:t>
      </w:r>
      <w:r w:rsidR="0072291E" w:rsidRPr="00A0600F">
        <w:rPr>
          <w:rFonts w:ascii="Times New Roman" w:hAnsi="Times New Roman" w:cs="Times New Roman"/>
          <w:sz w:val="24"/>
          <w:szCs w:val="24"/>
          <w:lang w:val="en-US"/>
        </w:rPr>
        <w:t xml:space="preserve">: 93.6%) and no complication of any grade was observed in </w:t>
      </w:r>
      <w:r w:rsidR="000137DF" w:rsidRPr="00A0600F">
        <w:rPr>
          <w:rFonts w:ascii="Times New Roman" w:hAnsi="Times New Roman" w:cs="Times New Roman"/>
          <w:sz w:val="24"/>
          <w:szCs w:val="24"/>
          <w:lang w:val="en-US"/>
        </w:rPr>
        <w:t>50</w:t>
      </w:r>
      <w:r w:rsidR="0072291E"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0</w:t>
      </w:r>
      <w:r w:rsidR="0072291E" w:rsidRPr="00A0600F">
        <w:rPr>
          <w:rFonts w:ascii="Times New Roman" w:hAnsi="Times New Roman" w:cs="Times New Roman"/>
          <w:sz w:val="24"/>
          <w:szCs w:val="24"/>
          <w:lang w:val="en-US"/>
        </w:rPr>
        <w:t xml:space="preserve">% (95%C.I.: </w:t>
      </w:r>
      <w:r w:rsidR="000137DF" w:rsidRPr="00A0600F">
        <w:rPr>
          <w:rFonts w:ascii="Times New Roman" w:hAnsi="Times New Roman" w:cs="Times New Roman"/>
          <w:sz w:val="24"/>
          <w:szCs w:val="24"/>
          <w:lang w:val="en-US"/>
        </w:rPr>
        <w:t>36</w:t>
      </w:r>
      <w:r w:rsidR="0072291E"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1</w:t>
      </w:r>
      <w:r w:rsidR="0072291E"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63</w:t>
      </w:r>
      <w:r w:rsidR="0072291E" w:rsidRPr="00A0600F">
        <w:rPr>
          <w:rFonts w:ascii="Times New Roman" w:hAnsi="Times New Roman" w:cs="Times New Roman"/>
          <w:sz w:val="24"/>
          <w:szCs w:val="24"/>
          <w:lang w:val="en-US"/>
        </w:rPr>
        <w:t>.9; I</w:t>
      </w:r>
      <w:r w:rsidR="0072291E" w:rsidRPr="00A0600F">
        <w:rPr>
          <w:rFonts w:ascii="Times New Roman" w:hAnsi="Times New Roman" w:cs="Times New Roman"/>
          <w:sz w:val="24"/>
          <w:szCs w:val="24"/>
          <w:vertAlign w:val="superscript"/>
          <w:lang w:val="en-US"/>
        </w:rPr>
        <w:t>2</w:t>
      </w:r>
      <w:r w:rsidR="0072291E" w:rsidRPr="00A0600F">
        <w:rPr>
          <w:rFonts w:ascii="Times New Roman" w:hAnsi="Times New Roman" w:cs="Times New Roman"/>
          <w:sz w:val="24"/>
          <w:szCs w:val="24"/>
          <w:lang w:val="en-US"/>
        </w:rPr>
        <w:t>: 94.</w:t>
      </w:r>
      <w:r w:rsidR="000137DF" w:rsidRPr="00A0600F">
        <w:rPr>
          <w:rFonts w:ascii="Times New Roman" w:hAnsi="Times New Roman" w:cs="Times New Roman"/>
          <w:sz w:val="24"/>
          <w:szCs w:val="24"/>
          <w:lang w:val="en-US"/>
        </w:rPr>
        <w:t>4</w:t>
      </w:r>
      <w:r w:rsidR="0072291E" w:rsidRPr="00A0600F">
        <w:rPr>
          <w:rFonts w:ascii="Times New Roman" w:hAnsi="Times New Roman" w:cs="Times New Roman"/>
          <w:sz w:val="24"/>
          <w:szCs w:val="24"/>
          <w:lang w:val="en-US"/>
        </w:rPr>
        <w:t xml:space="preserve">%). TO was </w:t>
      </w:r>
      <w:r w:rsidR="004563EF" w:rsidRPr="00A0600F">
        <w:rPr>
          <w:rFonts w:ascii="Times New Roman" w:hAnsi="Times New Roman" w:cs="Times New Roman"/>
          <w:sz w:val="24"/>
          <w:szCs w:val="24"/>
          <w:lang w:val="en-US"/>
        </w:rPr>
        <w:t xml:space="preserve">finally </w:t>
      </w:r>
      <w:r w:rsidR="0072291E" w:rsidRPr="00A0600F">
        <w:rPr>
          <w:rFonts w:ascii="Times New Roman" w:hAnsi="Times New Roman" w:cs="Times New Roman"/>
          <w:sz w:val="24"/>
          <w:szCs w:val="24"/>
          <w:lang w:val="en-US"/>
        </w:rPr>
        <w:t xml:space="preserve">achieved in </w:t>
      </w:r>
      <w:r w:rsidR="00584DC6" w:rsidRPr="00A0600F">
        <w:rPr>
          <w:rFonts w:ascii="Times New Roman" w:hAnsi="Times New Roman" w:cs="Times New Roman"/>
          <w:sz w:val="24"/>
          <w:szCs w:val="24"/>
          <w:lang w:val="en-US"/>
        </w:rPr>
        <w:t>29</w:t>
      </w:r>
      <w:r w:rsidR="000137DF" w:rsidRPr="00A0600F">
        <w:rPr>
          <w:rFonts w:ascii="Times New Roman" w:hAnsi="Times New Roman" w:cs="Times New Roman"/>
          <w:sz w:val="24"/>
          <w:szCs w:val="24"/>
          <w:lang w:val="en-US"/>
        </w:rPr>
        <w:t>.0</w:t>
      </w:r>
      <w:r w:rsidR="00584DC6" w:rsidRPr="00A0600F">
        <w:rPr>
          <w:rFonts w:ascii="Times New Roman" w:hAnsi="Times New Roman" w:cs="Times New Roman"/>
          <w:sz w:val="24"/>
          <w:szCs w:val="24"/>
          <w:lang w:val="en-US"/>
        </w:rPr>
        <w:t xml:space="preserve">% of </w:t>
      </w:r>
      <w:r w:rsidR="004563EF" w:rsidRPr="00A0600F">
        <w:rPr>
          <w:rFonts w:ascii="Times New Roman" w:hAnsi="Times New Roman" w:cs="Times New Roman"/>
          <w:sz w:val="24"/>
          <w:szCs w:val="24"/>
          <w:lang w:val="en-US"/>
        </w:rPr>
        <w:t>patients</w:t>
      </w:r>
      <w:r w:rsidR="00584DC6" w:rsidRPr="00A0600F">
        <w:rPr>
          <w:rFonts w:ascii="Times New Roman" w:hAnsi="Times New Roman" w:cs="Times New Roman"/>
          <w:sz w:val="24"/>
          <w:szCs w:val="24"/>
          <w:lang w:val="en-US"/>
        </w:rPr>
        <w:t xml:space="preserve"> (95%C.I.: </w:t>
      </w:r>
      <w:r w:rsidR="000137DF" w:rsidRPr="00A0600F">
        <w:rPr>
          <w:rFonts w:ascii="Times New Roman" w:hAnsi="Times New Roman" w:cs="Times New Roman"/>
          <w:sz w:val="24"/>
          <w:szCs w:val="24"/>
          <w:lang w:val="en-US"/>
        </w:rPr>
        <w:t>20</w:t>
      </w:r>
      <w:r w:rsidR="00584DC6"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4</w:t>
      </w:r>
      <w:r w:rsidR="00584DC6"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39.5</w:t>
      </w:r>
      <w:r w:rsidR="00584DC6" w:rsidRPr="00A0600F">
        <w:rPr>
          <w:rFonts w:ascii="Times New Roman" w:hAnsi="Times New Roman" w:cs="Times New Roman"/>
          <w:sz w:val="24"/>
          <w:szCs w:val="24"/>
          <w:lang w:val="en-US"/>
        </w:rPr>
        <w:t>; I</w:t>
      </w:r>
      <w:r w:rsidR="00584DC6" w:rsidRPr="00A0600F">
        <w:rPr>
          <w:rFonts w:ascii="Times New Roman" w:hAnsi="Times New Roman" w:cs="Times New Roman"/>
          <w:sz w:val="24"/>
          <w:szCs w:val="24"/>
          <w:vertAlign w:val="superscript"/>
          <w:lang w:val="en-US"/>
        </w:rPr>
        <w:t>2</w:t>
      </w:r>
      <w:r w:rsidR="00584DC6" w:rsidRPr="00A0600F">
        <w:rPr>
          <w:rFonts w:ascii="Times New Roman" w:hAnsi="Times New Roman" w:cs="Times New Roman"/>
          <w:sz w:val="24"/>
          <w:szCs w:val="24"/>
          <w:lang w:val="en-US"/>
        </w:rPr>
        <w:t xml:space="preserve">: </w:t>
      </w:r>
      <w:r w:rsidR="000137DF" w:rsidRPr="00A0600F">
        <w:rPr>
          <w:rFonts w:ascii="Times New Roman" w:hAnsi="Times New Roman" w:cs="Times New Roman"/>
          <w:sz w:val="24"/>
          <w:szCs w:val="24"/>
          <w:lang w:val="en-US"/>
        </w:rPr>
        <w:t>90</w:t>
      </w:r>
      <w:r w:rsidR="00584DC6"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9</w:t>
      </w:r>
      <w:r w:rsidR="00584DC6" w:rsidRPr="00A0600F">
        <w:rPr>
          <w:rFonts w:ascii="Times New Roman" w:hAnsi="Times New Roman" w:cs="Times New Roman"/>
          <w:sz w:val="24"/>
          <w:szCs w:val="24"/>
          <w:lang w:val="en-US"/>
        </w:rPr>
        <w:t>%). Median overall survival of patients achieving TO was 3</w:t>
      </w:r>
      <w:r w:rsidR="00697098" w:rsidRPr="00A0600F">
        <w:rPr>
          <w:rFonts w:ascii="Times New Roman" w:hAnsi="Times New Roman" w:cs="Times New Roman"/>
          <w:sz w:val="24"/>
          <w:szCs w:val="24"/>
          <w:lang w:val="en-US"/>
        </w:rPr>
        <w:t>5</w:t>
      </w:r>
      <w:r w:rsidR="00584DC6" w:rsidRPr="00A0600F">
        <w:rPr>
          <w:rFonts w:ascii="Times New Roman" w:hAnsi="Times New Roman" w:cs="Times New Roman"/>
          <w:sz w:val="24"/>
          <w:szCs w:val="24"/>
          <w:lang w:val="en-US"/>
        </w:rPr>
        <w:t>.</w:t>
      </w:r>
      <w:r w:rsidR="00697098" w:rsidRPr="00A0600F">
        <w:rPr>
          <w:rFonts w:ascii="Times New Roman" w:hAnsi="Times New Roman" w:cs="Times New Roman"/>
          <w:sz w:val="24"/>
          <w:szCs w:val="24"/>
          <w:lang w:val="en-US"/>
        </w:rPr>
        <w:t>4</w:t>
      </w:r>
      <w:r w:rsidR="00584DC6" w:rsidRPr="00A0600F">
        <w:rPr>
          <w:rFonts w:ascii="Times New Roman" w:hAnsi="Times New Roman" w:cs="Times New Roman"/>
          <w:sz w:val="24"/>
          <w:szCs w:val="24"/>
          <w:lang w:val="en-US"/>
        </w:rPr>
        <w:t xml:space="preserve"> months and that of patients not achieving TO was 2</w:t>
      </w:r>
      <w:r w:rsidR="00697098" w:rsidRPr="00A0600F">
        <w:rPr>
          <w:rFonts w:ascii="Times New Roman" w:hAnsi="Times New Roman" w:cs="Times New Roman"/>
          <w:sz w:val="24"/>
          <w:szCs w:val="24"/>
          <w:lang w:val="en-US"/>
        </w:rPr>
        <w:t>4</w:t>
      </w:r>
      <w:r w:rsidR="00584DC6" w:rsidRPr="00A0600F">
        <w:rPr>
          <w:rFonts w:ascii="Times New Roman" w:hAnsi="Times New Roman" w:cs="Times New Roman"/>
          <w:sz w:val="24"/>
          <w:szCs w:val="24"/>
          <w:lang w:val="en-US"/>
        </w:rPr>
        <w:t>.</w:t>
      </w:r>
      <w:r w:rsidR="00697098" w:rsidRPr="00A0600F">
        <w:rPr>
          <w:rFonts w:ascii="Times New Roman" w:hAnsi="Times New Roman" w:cs="Times New Roman"/>
          <w:sz w:val="24"/>
          <w:szCs w:val="24"/>
          <w:lang w:val="en-US"/>
        </w:rPr>
        <w:t>1</w:t>
      </w:r>
      <w:r w:rsidR="00584DC6" w:rsidRPr="00A0600F">
        <w:rPr>
          <w:rFonts w:ascii="Times New Roman" w:hAnsi="Times New Roman" w:cs="Times New Roman"/>
          <w:sz w:val="24"/>
          <w:szCs w:val="24"/>
          <w:lang w:val="en-US"/>
        </w:rPr>
        <w:t xml:space="preserve"> months</w:t>
      </w:r>
      <w:r w:rsidR="004563EF" w:rsidRPr="00A0600F">
        <w:rPr>
          <w:rFonts w:ascii="Times New Roman" w:hAnsi="Times New Roman" w:cs="Times New Roman"/>
          <w:sz w:val="24"/>
          <w:szCs w:val="24"/>
          <w:lang w:val="en-US"/>
        </w:rPr>
        <w:t xml:space="preserve"> (</w:t>
      </w:r>
      <w:r w:rsidR="00697098" w:rsidRPr="00A0600F">
        <w:rPr>
          <w:rFonts w:ascii="Times New Roman" w:hAnsi="Times New Roman" w:cs="Times New Roman"/>
          <w:sz w:val="24"/>
          <w:szCs w:val="24"/>
          <w:lang w:val="en-US"/>
        </w:rPr>
        <w:t>HR: 0.57; 95%C.I.: 0.46-0.70</w:t>
      </w:r>
      <w:r w:rsidR="00584DC6" w:rsidRPr="00A0600F">
        <w:rPr>
          <w:rFonts w:ascii="Times New Roman" w:hAnsi="Times New Roman" w:cs="Times New Roman"/>
          <w:sz w:val="24"/>
          <w:szCs w:val="24"/>
          <w:lang w:val="en-US"/>
        </w:rPr>
        <w:t>)</w:t>
      </w:r>
      <w:r w:rsidR="00DF24F4" w:rsidRPr="00A0600F">
        <w:rPr>
          <w:rFonts w:ascii="Times New Roman" w:hAnsi="Times New Roman" w:cs="Times New Roman"/>
          <w:sz w:val="24"/>
          <w:szCs w:val="24"/>
          <w:lang w:val="en-US"/>
        </w:rPr>
        <w:t xml:space="preserve">. </w:t>
      </w:r>
      <w:r w:rsidR="00537E64" w:rsidRPr="00A0600F">
        <w:rPr>
          <w:rFonts w:ascii="Times New Roman" w:hAnsi="Times New Roman" w:cs="Times New Roman"/>
          <w:sz w:val="24"/>
          <w:szCs w:val="24"/>
          <w:lang w:val="en-US"/>
        </w:rPr>
        <w:t>Risk-adjustment showed that TO was similar across involved centers, thus, regardless of hospital volume.</w:t>
      </w:r>
    </w:p>
    <w:p w14:paraId="01548BFD" w14:textId="604ECDC6" w:rsidR="000F4331" w:rsidRPr="00A0600F" w:rsidRDefault="00DF24F4" w:rsidP="000F4331">
      <w:pPr>
        <w:spacing w:line="360" w:lineRule="auto"/>
        <w:jc w:val="both"/>
        <w:rPr>
          <w:rFonts w:ascii="Times New Roman" w:eastAsia="Times New Roman" w:hAnsi="Times New Roman" w:cs="Times New Roman"/>
          <w:sz w:val="24"/>
          <w:szCs w:val="24"/>
          <w:lang w:val="en-US" w:eastAsia="it-IT"/>
        </w:rPr>
      </w:pPr>
      <w:r w:rsidRPr="00A0600F">
        <w:rPr>
          <w:rFonts w:ascii="Times New Roman" w:hAnsi="Times New Roman" w:cs="Times New Roman"/>
          <w:b/>
          <w:bCs/>
          <w:sz w:val="24"/>
          <w:szCs w:val="24"/>
          <w:lang w:val="en-US"/>
        </w:rPr>
        <w:t xml:space="preserve">Conclusions: </w:t>
      </w:r>
      <w:r w:rsidRPr="00A0600F">
        <w:rPr>
          <w:rFonts w:ascii="Times New Roman" w:hAnsi="Times New Roman" w:cs="Times New Roman"/>
          <w:sz w:val="24"/>
          <w:szCs w:val="24"/>
          <w:lang w:val="en-US"/>
        </w:rPr>
        <w:t>TO is a valuable quality indicator after TACE for HCC</w:t>
      </w:r>
      <w:r w:rsidR="0085715B" w:rsidRPr="00A0600F">
        <w:rPr>
          <w:rFonts w:ascii="Times New Roman" w:hAnsi="Times New Roman" w:cs="Times New Roman"/>
          <w:sz w:val="24"/>
          <w:szCs w:val="24"/>
          <w:lang w:val="en-US"/>
        </w:rPr>
        <w:t xml:space="preserve"> and it </w:t>
      </w:r>
      <w:r w:rsidR="004563EF" w:rsidRPr="00A0600F">
        <w:rPr>
          <w:rFonts w:ascii="Times New Roman" w:hAnsi="Times New Roman" w:cs="Times New Roman"/>
          <w:sz w:val="24"/>
          <w:szCs w:val="24"/>
          <w:lang w:val="en-US"/>
        </w:rPr>
        <w:t>wa</w:t>
      </w:r>
      <w:r w:rsidR="0085715B" w:rsidRPr="00A0600F">
        <w:rPr>
          <w:rFonts w:ascii="Times New Roman" w:hAnsi="Times New Roman" w:cs="Times New Roman"/>
          <w:sz w:val="24"/>
          <w:szCs w:val="24"/>
          <w:lang w:val="en-US"/>
        </w:rPr>
        <w:t xml:space="preserve">s related with survival, providing early information about long-term survival. Risk-adjustment showed that </w:t>
      </w:r>
      <w:r w:rsidR="004563EF" w:rsidRPr="00A0600F">
        <w:rPr>
          <w:rFonts w:ascii="Times New Roman" w:hAnsi="Times New Roman" w:cs="Times New Roman"/>
          <w:sz w:val="24"/>
          <w:szCs w:val="24"/>
          <w:lang w:val="en-US"/>
        </w:rPr>
        <w:t>this</w:t>
      </w:r>
      <w:r w:rsidR="0085715B" w:rsidRPr="00A0600F">
        <w:rPr>
          <w:rFonts w:ascii="Times New Roman" w:hAnsi="Times New Roman" w:cs="Times New Roman"/>
          <w:sz w:val="24"/>
          <w:szCs w:val="24"/>
          <w:lang w:val="en-US"/>
        </w:rPr>
        <w:t xml:space="preserve"> outcome was similar across different hospitals.</w:t>
      </w:r>
    </w:p>
    <w:p w14:paraId="2E6BCD59" w14:textId="521CE408" w:rsidR="00E97D80" w:rsidRDefault="00E97D80" w:rsidP="00E97D80">
      <w:pPr>
        <w:widowControl w:val="0"/>
        <w:spacing w:line="360" w:lineRule="auto"/>
        <w:jc w:val="both"/>
        <w:rPr>
          <w:rFonts w:ascii="Times New Roman" w:eastAsia="Times New Roman" w:hAnsi="Times New Roman" w:cs="Times New Roman"/>
          <w:color w:val="00000A"/>
          <w:shd w:val="clear" w:color="auto" w:fill="FFFFFF"/>
          <w:lang w:val="en-US"/>
        </w:rPr>
      </w:pPr>
      <w:r w:rsidRPr="00E97D80">
        <w:rPr>
          <w:rFonts w:ascii="Times New Roman" w:eastAsia="Times New Roman" w:hAnsi="Times New Roman" w:cs="Times New Roman"/>
          <w:b/>
          <w:color w:val="00000A"/>
          <w:shd w:val="clear" w:color="auto" w:fill="FFFFFF"/>
          <w:lang w:val="en-US"/>
        </w:rPr>
        <w:t xml:space="preserve">LAY SUMMARY: </w:t>
      </w:r>
      <w:r w:rsidRPr="00AF5397">
        <w:rPr>
          <w:rFonts w:ascii="Times New Roman" w:eastAsia="Times New Roman" w:hAnsi="Times New Roman" w:cs="Times New Roman"/>
          <w:color w:val="00000A"/>
          <w:sz w:val="24"/>
          <w:szCs w:val="24"/>
          <w:shd w:val="clear" w:color="auto" w:fill="FFFFFF"/>
          <w:lang w:val="en-US"/>
        </w:rPr>
        <w:t xml:space="preserve">Textbook Outcome is a composite indicator of safety and efficacy of a specific procedure. The present study assessed this endpoint in patients with hepatocellular carcinoma submitted to </w:t>
      </w:r>
      <w:r w:rsidRPr="00AF5397">
        <w:rPr>
          <w:rFonts w:ascii="Times New Roman" w:hAnsi="Times New Roman" w:cs="Times New Roman"/>
          <w:sz w:val="24"/>
          <w:szCs w:val="24"/>
          <w:lang w:val="en-US"/>
        </w:rPr>
        <w:t>trans-arterial chemoembolization</w:t>
      </w:r>
      <w:r w:rsidR="00AF5397" w:rsidRPr="00AF5397">
        <w:rPr>
          <w:rFonts w:ascii="Times New Roman" w:hAnsi="Times New Roman" w:cs="Times New Roman"/>
          <w:sz w:val="24"/>
          <w:szCs w:val="24"/>
          <w:lang w:val="en-US"/>
        </w:rPr>
        <w:t xml:space="preserve"> from a multi-institutional collaboration of 10 centers</w:t>
      </w:r>
      <w:r w:rsidRPr="00AF5397">
        <w:rPr>
          <w:rFonts w:ascii="Times New Roman" w:hAnsi="Times New Roman" w:cs="Times New Roman"/>
          <w:sz w:val="24"/>
          <w:szCs w:val="24"/>
          <w:lang w:val="en-US"/>
        </w:rPr>
        <w:t xml:space="preserve">. Predictive factors for TO achievement and risk-adjustment through participating centers </w:t>
      </w:r>
      <w:r w:rsidR="00AF5397" w:rsidRPr="00AF5397">
        <w:rPr>
          <w:rFonts w:ascii="Times New Roman" w:hAnsi="Times New Roman" w:cs="Times New Roman"/>
          <w:sz w:val="24"/>
          <w:szCs w:val="24"/>
          <w:lang w:val="en-US"/>
        </w:rPr>
        <w:t>were provided. TO achievement finally improved patient survival.</w:t>
      </w:r>
      <w:r w:rsidR="00AF5397">
        <w:rPr>
          <w:rFonts w:ascii="Times New Roman" w:hAnsi="Times New Roman" w:cs="Times New Roman"/>
          <w:sz w:val="24"/>
          <w:szCs w:val="24"/>
          <w:lang w:val="en-US"/>
        </w:rPr>
        <w:t xml:space="preserve">   </w:t>
      </w:r>
      <w:r>
        <w:rPr>
          <w:rFonts w:ascii="Times New Roman" w:eastAsia="Times New Roman" w:hAnsi="Times New Roman" w:cs="Times New Roman"/>
          <w:color w:val="00000A"/>
          <w:shd w:val="clear" w:color="auto" w:fill="FFFFFF"/>
          <w:lang w:val="en-US"/>
        </w:rPr>
        <w:t xml:space="preserve"> </w:t>
      </w:r>
    </w:p>
    <w:p w14:paraId="4FD6AFBF" w14:textId="376A3305" w:rsidR="000F4331" w:rsidRPr="00A0600F" w:rsidRDefault="000F4331" w:rsidP="000F4331">
      <w:pPr>
        <w:spacing w:after="0" w:line="360" w:lineRule="auto"/>
        <w:jc w:val="both"/>
        <w:rPr>
          <w:rFonts w:ascii="Times New Roman" w:hAnsi="Times New Roman" w:cs="Times New Roman"/>
          <w:b/>
          <w:bCs/>
          <w:sz w:val="24"/>
          <w:szCs w:val="24"/>
          <w:lang w:val="en-US"/>
        </w:rPr>
      </w:pPr>
    </w:p>
    <w:p w14:paraId="62F9BC4D" w14:textId="77777777" w:rsidR="000F4331" w:rsidRPr="00A0600F" w:rsidRDefault="000F4331">
      <w:pPr>
        <w:rPr>
          <w:rFonts w:ascii="Times New Roman" w:hAnsi="Times New Roman" w:cs="Times New Roman"/>
          <w:b/>
          <w:bCs/>
          <w:sz w:val="28"/>
          <w:szCs w:val="28"/>
          <w:lang w:val="en-US"/>
        </w:rPr>
      </w:pPr>
      <w:r w:rsidRPr="00A0600F">
        <w:rPr>
          <w:rFonts w:ascii="Times New Roman" w:hAnsi="Times New Roman" w:cs="Times New Roman"/>
          <w:b/>
          <w:bCs/>
          <w:sz w:val="28"/>
          <w:szCs w:val="28"/>
          <w:lang w:val="en-US"/>
        </w:rPr>
        <w:br w:type="page"/>
      </w:r>
    </w:p>
    <w:p w14:paraId="6E2564C1" w14:textId="032CA670" w:rsidR="009E707F" w:rsidRPr="00A0600F" w:rsidRDefault="005C04BE" w:rsidP="005C04BE">
      <w:pPr>
        <w:spacing w:after="0" w:line="360" w:lineRule="auto"/>
        <w:jc w:val="both"/>
        <w:rPr>
          <w:rFonts w:ascii="Times New Roman" w:hAnsi="Times New Roman" w:cs="Times New Roman"/>
          <w:b/>
          <w:bCs/>
          <w:sz w:val="32"/>
          <w:szCs w:val="32"/>
          <w:lang w:val="en-US"/>
        </w:rPr>
      </w:pPr>
      <w:r w:rsidRPr="00A0600F">
        <w:rPr>
          <w:rFonts w:ascii="Times New Roman" w:hAnsi="Times New Roman" w:cs="Times New Roman"/>
          <w:b/>
          <w:bCs/>
          <w:sz w:val="32"/>
          <w:szCs w:val="32"/>
          <w:lang w:val="en-US"/>
        </w:rPr>
        <w:lastRenderedPageBreak/>
        <w:t>INTRODUCTION</w:t>
      </w:r>
    </w:p>
    <w:p w14:paraId="58234175" w14:textId="77777777" w:rsidR="00346E07" w:rsidRPr="00A0600F" w:rsidRDefault="009E4396" w:rsidP="00346E07">
      <w:pPr>
        <w:spacing w:after="0" w:line="360" w:lineRule="auto"/>
        <w:ind w:firstLine="709"/>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 xml:space="preserve">The provision of good clinical practice is the primary goal of any health system. Any treatment must consider both the expected efficacy and the risks arising from it. A precise evaluation of these two aspects allows to optimize the selection of patients to be treated and allows a qualitative evaluation of the result obtained. To accomplish to these tasks, Textbook Outcome (TO) has been proposed as clinical indicator </w:t>
      </w:r>
      <w:r w:rsidR="009E707F" w:rsidRPr="00A0600F">
        <w:rPr>
          <w:rFonts w:ascii="Times New Roman" w:hAnsi="Times New Roman" w:cs="Times New Roman"/>
          <w:sz w:val="24"/>
          <w:szCs w:val="24"/>
          <w:lang w:val="en-US"/>
        </w:rPr>
        <w:t>for measuring health care quality</w:t>
      </w:r>
      <w:r w:rsidR="00A551B1" w:rsidRPr="00A0600F">
        <w:rPr>
          <w:rFonts w:ascii="Times New Roman" w:hAnsi="Times New Roman" w:cs="Times New Roman"/>
          <w:sz w:val="24"/>
          <w:szCs w:val="24"/>
          <w:lang w:val="en-US"/>
        </w:rPr>
        <w:t xml:space="preserve"> </w:t>
      </w:r>
      <w:r w:rsidR="00A551B1" w:rsidRPr="00A0600F">
        <w:rPr>
          <w:rFonts w:ascii="Times New Roman" w:hAnsi="Times New Roman" w:cs="Times New Roman"/>
          <w:i/>
          <w:iCs/>
          <w:sz w:val="24"/>
          <w:szCs w:val="24"/>
          <w:lang w:val="en-US"/>
        </w:rPr>
        <w:t>[Eur J Surg Oncol 2013;39:156–63</w:t>
      </w:r>
      <w:r w:rsidR="00452225" w:rsidRPr="00A0600F">
        <w:rPr>
          <w:rFonts w:ascii="Times New Roman" w:hAnsi="Times New Roman" w:cs="Times New Roman"/>
          <w:i/>
          <w:iCs/>
          <w:sz w:val="24"/>
          <w:szCs w:val="24"/>
          <w:lang w:val="en-US"/>
        </w:rPr>
        <w:t>; BMJ Open. 2018 Mar 1;8(2</w:t>
      </w:r>
      <w:proofErr w:type="gramStart"/>
      <w:r w:rsidR="00452225" w:rsidRPr="00A0600F">
        <w:rPr>
          <w:rFonts w:ascii="Times New Roman" w:hAnsi="Times New Roman" w:cs="Times New Roman"/>
          <w:i/>
          <w:iCs/>
          <w:sz w:val="24"/>
          <w:szCs w:val="24"/>
          <w:lang w:val="en-US"/>
        </w:rPr>
        <w:t>):e</w:t>
      </w:r>
      <w:proofErr w:type="gramEnd"/>
      <w:r w:rsidR="00452225" w:rsidRPr="00A0600F">
        <w:rPr>
          <w:rFonts w:ascii="Times New Roman" w:hAnsi="Times New Roman" w:cs="Times New Roman"/>
          <w:i/>
          <w:iCs/>
          <w:sz w:val="24"/>
          <w:szCs w:val="24"/>
          <w:lang w:val="en-US"/>
        </w:rPr>
        <w:t>019405</w:t>
      </w:r>
      <w:r w:rsidR="00A551B1" w:rsidRPr="00A0600F">
        <w:rPr>
          <w:rFonts w:ascii="Times New Roman" w:hAnsi="Times New Roman" w:cs="Times New Roman"/>
          <w:i/>
          <w:iCs/>
          <w:sz w:val="24"/>
          <w:szCs w:val="24"/>
          <w:lang w:val="en-US"/>
        </w:rPr>
        <w:t>]</w:t>
      </w:r>
      <w:r w:rsidR="009E707F" w:rsidRPr="00A0600F">
        <w:rPr>
          <w:rFonts w:ascii="Times New Roman" w:hAnsi="Times New Roman" w:cs="Times New Roman"/>
          <w:sz w:val="24"/>
          <w:szCs w:val="24"/>
          <w:lang w:val="en-US"/>
        </w:rPr>
        <w:t xml:space="preserve">. </w:t>
      </w:r>
    </w:p>
    <w:p w14:paraId="2329CCF3" w14:textId="06A47DE3" w:rsidR="00346E07" w:rsidRPr="00A0600F" w:rsidRDefault="00452225" w:rsidP="00452225">
      <w:pPr>
        <w:spacing w:after="0" w:line="360" w:lineRule="auto"/>
        <w:ind w:firstLine="709"/>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 xml:space="preserve">Textbook Outcome is a </w:t>
      </w:r>
      <w:r w:rsidR="009E707F" w:rsidRPr="00A0600F">
        <w:rPr>
          <w:rFonts w:ascii="Times New Roman" w:hAnsi="Times New Roman" w:cs="Times New Roman"/>
          <w:sz w:val="24"/>
          <w:szCs w:val="24"/>
          <w:lang w:val="en-US"/>
        </w:rPr>
        <w:t xml:space="preserve">composite measure </w:t>
      </w:r>
      <w:r w:rsidRPr="00A0600F">
        <w:rPr>
          <w:rFonts w:ascii="Times New Roman" w:hAnsi="Times New Roman" w:cs="Times New Roman"/>
          <w:sz w:val="24"/>
          <w:szCs w:val="24"/>
          <w:lang w:val="en-US"/>
        </w:rPr>
        <w:t>consisting of both efficacy and safety aspects within a short-term period. This is particularly suitable and useful for interventional procedures</w:t>
      </w:r>
      <w:r w:rsidR="00346E07" w:rsidRPr="00A0600F">
        <w:rPr>
          <w:rFonts w:ascii="Times New Roman" w:hAnsi="Times New Roman" w:cs="Times New Roman"/>
          <w:sz w:val="24"/>
          <w:szCs w:val="24"/>
          <w:lang w:val="en-US"/>
        </w:rPr>
        <w:t xml:space="preserve">, where early indicators of efficacy can be negative margins in oncologic surgery </w:t>
      </w:r>
      <w:r w:rsidR="00346E07" w:rsidRPr="00A0600F">
        <w:rPr>
          <w:rFonts w:ascii="Times New Roman" w:hAnsi="Times New Roman" w:cs="Times New Roman"/>
          <w:i/>
          <w:iCs/>
          <w:sz w:val="24"/>
          <w:szCs w:val="24"/>
          <w:lang w:val="en-US"/>
        </w:rPr>
        <w:t xml:space="preserve">[Surgery. 2020 Apr </w:t>
      </w:r>
      <w:proofErr w:type="gramStart"/>
      <w:r w:rsidR="00346E07" w:rsidRPr="00A0600F">
        <w:rPr>
          <w:rFonts w:ascii="Times New Roman" w:hAnsi="Times New Roman" w:cs="Times New Roman"/>
          <w:i/>
          <w:iCs/>
          <w:sz w:val="24"/>
          <w:szCs w:val="24"/>
          <w:lang w:val="en-US"/>
        </w:rPr>
        <w:t>14:S</w:t>
      </w:r>
      <w:proofErr w:type="gramEnd"/>
      <w:r w:rsidR="00346E07" w:rsidRPr="00A0600F">
        <w:rPr>
          <w:rFonts w:ascii="Times New Roman" w:hAnsi="Times New Roman" w:cs="Times New Roman"/>
          <w:i/>
          <w:iCs/>
          <w:sz w:val="24"/>
          <w:szCs w:val="24"/>
          <w:lang w:val="en-US"/>
        </w:rPr>
        <w:t xml:space="preserve">0039-6060(20)30109-4; JAMA Surg. 2019 Jun 1;154(6):e190571; Ann Surg Oncol. 2020 May 9. </w:t>
      </w:r>
      <w:proofErr w:type="spellStart"/>
      <w:r w:rsidR="00346E07" w:rsidRPr="00A0600F">
        <w:rPr>
          <w:rFonts w:ascii="Times New Roman" w:hAnsi="Times New Roman" w:cs="Times New Roman"/>
          <w:i/>
          <w:iCs/>
          <w:sz w:val="24"/>
          <w:szCs w:val="24"/>
          <w:lang w:val="en-US"/>
        </w:rPr>
        <w:t>doi</w:t>
      </w:r>
      <w:proofErr w:type="spellEnd"/>
      <w:r w:rsidR="00346E07" w:rsidRPr="00A0600F">
        <w:rPr>
          <w:rFonts w:ascii="Times New Roman" w:hAnsi="Times New Roman" w:cs="Times New Roman"/>
          <w:i/>
          <w:iCs/>
          <w:sz w:val="24"/>
          <w:szCs w:val="24"/>
          <w:lang w:val="en-US"/>
        </w:rPr>
        <w:t>: 10.1245/s10434-020-08548-w; Br J Surg 2017;104:742–50.]</w:t>
      </w:r>
      <w:r w:rsidR="00346E07" w:rsidRPr="00A0600F">
        <w:rPr>
          <w:rFonts w:ascii="Times New Roman" w:hAnsi="Times New Roman" w:cs="Times New Roman"/>
          <w:sz w:val="24"/>
          <w:szCs w:val="24"/>
          <w:lang w:val="en-US"/>
        </w:rPr>
        <w:t xml:space="preserve"> or the clearance from gallstone disease obtained in ERCP </w:t>
      </w:r>
      <w:r w:rsidR="00346E07" w:rsidRPr="00A0600F">
        <w:rPr>
          <w:rFonts w:ascii="Times New Roman" w:hAnsi="Times New Roman" w:cs="Times New Roman"/>
          <w:i/>
          <w:iCs/>
          <w:sz w:val="24"/>
          <w:szCs w:val="24"/>
          <w:lang w:val="en-US"/>
        </w:rPr>
        <w:t>[BMJ Open. 2018 Mar 1;8(2</w:t>
      </w:r>
      <w:proofErr w:type="gramStart"/>
      <w:r w:rsidR="00346E07" w:rsidRPr="00A0600F">
        <w:rPr>
          <w:rFonts w:ascii="Times New Roman" w:hAnsi="Times New Roman" w:cs="Times New Roman"/>
          <w:i/>
          <w:iCs/>
          <w:sz w:val="24"/>
          <w:szCs w:val="24"/>
          <w:lang w:val="en-US"/>
        </w:rPr>
        <w:t>):e</w:t>
      </w:r>
      <w:proofErr w:type="gramEnd"/>
      <w:r w:rsidR="00346E07" w:rsidRPr="00A0600F">
        <w:rPr>
          <w:rFonts w:ascii="Times New Roman" w:hAnsi="Times New Roman" w:cs="Times New Roman"/>
          <w:i/>
          <w:iCs/>
          <w:sz w:val="24"/>
          <w:szCs w:val="24"/>
          <w:lang w:val="en-US"/>
        </w:rPr>
        <w:t>019405]</w:t>
      </w:r>
      <w:r w:rsidR="00346E07" w:rsidRPr="00A0600F">
        <w:rPr>
          <w:rFonts w:ascii="Times New Roman" w:hAnsi="Times New Roman" w:cs="Times New Roman"/>
          <w:sz w:val="24"/>
          <w:szCs w:val="24"/>
          <w:lang w:val="en-US"/>
        </w:rPr>
        <w:t xml:space="preserve"> and where early indicators of safety can be defined through </w:t>
      </w:r>
      <w:r w:rsidR="00F16720" w:rsidRPr="00A0600F">
        <w:rPr>
          <w:rFonts w:ascii="Times New Roman" w:hAnsi="Times New Roman" w:cs="Times New Roman"/>
          <w:sz w:val="24"/>
          <w:szCs w:val="24"/>
          <w:lang w:val="en-US"/>
        </w:rPr>
        <w:t xml:space="preserve">adverse events occurrence, </w:t>
      </w:r>
      <w:r w:rsidR="00346E07" w:rsidRPr="00A0600F">
        <w:rPr>
          <w:rFonts w:ascii="Times New Roman" w:hAnsi="Times New Roman" w:cs="Times New Roman"/>
          <w:sz w:val="24"/>
          <w:szCs w:val="24"/>
          <w:lang w:val="en-US"/>
        </w:rPr>
        <w:t xml:space="preserve">length of hospital stay, post-procedural complications and the eventual need for readmission. Once efficacy and safety indicators are defined, the </w:t>
      </w:r>
      <w:r w:rsidR="009E707F" w:rsidRPr="00A0600F">
        <w:rPr>
          <w:rFonts w:ascii="Times New Roman" w:hAnsi="Times New Roman" w:cs="Times New Roman"/>
          <w:sz w:val="24"/>
          <w:szCs w:val="24"/>
          <w:lang w:val="en-US"/>
        </w:rPr>
        <w:t xml:space="preserve">TO is realized for </w:t>
      </w:r>
      <w:r w:rsidR="00346E07" w:rsidRPr="00A0600F">
        <w:rPr>
          <w:rFonts w:ascii="Times New Roman" w:hAnsi="Times New Roman" w:cs="Times New Roman"/>
          <w:sz w:val="24"/>
          <w:szCs w:val="24"/>
          <w:lang w:val="en-US"/>
        </w:rPr>
        <w:t xml:space="preserve">those </w:t>
      </w:r>
      <w:r w:rsidR="009E707F" w:rsidRPr="00A0600F">
        <w:rPr>
          <w:rFonts w:ascii="Times New Roman" w:hAnsi="Times New Roman" w:cs="Times New Roman"/>
          <w:sz w:val="24"/>
          <w:szCs w:val="24"/>
          <w:lang w:val="en-US"/>
        </w:rPr>
        <w:t xml:space="preserve">patients </w:t>
      </w:r>
      <w:r w:rsidR="00346E07" w:rsidRPr="00A0600F">
        <w:rPr>
          <w:rFonts w:ascii="Times New Roman" w:hAnsi="Times New Roman" w:cs="Times New Roman"/>
          <w:sz w:val="24"/>
          <w:szCs w:val="24"/>
          <w:lang w:val="en-US"/>
        </w:rPr>
        <w:t>fulfilling them</w:t>
      </w:r>
      <w:r w:rsidR="009E707F" w:rsidRPr="00A0600F">
        <w:rPr>
          <w:rFonts w:ascii="Times New Roman" w:hAnsi="Times New Roman" w:cs="Times New Roman"/>
          <w:sz w:val="24"/>
          <w:szCs w:val="24"/>
          <w:lang w:val="en-US"/>
        </w:rPr>
        <w:t>.</w:t>
      </w:r>
    </w:p>
    <w:p w14:paraId="73D49721" w14:textId="77777777" w:rsidR="0090030C" w:rsidRPr="00A0600F" w:rsidRDefault="00346E07" w:rsidP="00600C2C">
      <w:pPr>
        <w:spacing w:after="0" w:line="360" w:lineRule="auto"/>
        <w:ind w:firstLine="709"/>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 xml:space="preserve">Hepatocellular carcinoma (HCC) is probably the tumor that best lends itself to various surgical and non-surgical procedures. For hepatic resection, TO was already investigated in the past providing that this measure is applicable in this field and providing reference parameters for a qualitative evaluation of the achievable outcome </w:t>
      </w:r>
      <w:r w:rsidRPr="00A0600F">
        <w:rPr>
          <w:rFonts w:ascii="Times New Roman" w:hAnsi="Times New Roman" w:cs="Times New Roman"/>
          <w:i/>
          <w:iCs/>
          <w:sz w:val="24"/>
          <w:szCs w:val="24"/>
          <w:lang w:val="en-US"/>
        </w:rPr>
        <w:t xml:space="preserve">[Surgery. 2020 Apr </w:t>
      </w:r>
      <w:proofErr w:type="gramStart"/>
      <w:r w:rsidRPr="00A0600F">
        <w:rPr>
          <w:rFonts w:ascii="Times New Roman" w:hAnsi="Times New Roman" w:cs="Times New Roman"/>
          <w:i/>
          <w:iCs/>
          <w:sz w:val="24"/>
          <w:szCs w:val="24"/>
          <w:lang w:val="en-US"/>
        </w:rPr>
        <w:t>14:S</w:t>
      </w:r>
      <w:proofErr w:type="gramEnd"/>
      <w:r w:rsidRPr="00A0600F">
        <w:rPr>
          <w:rFonts w:ascii="Times New Roman" w:hAnsi="Times New Roman" w:cs="Times New Roman"/>
          <w:i/>
          <w:iCs/>
          <w:sz w:val="24"/>
          <w:szCs w:val="24"/>
          <w:lang w:val="en-US"/>
        </w:rPr>
        <w:t xml:space="preserve">0039-6060(20)30109-4; JAMA Surg. 2019 Jun 1;154(6):e190571; Ann Surg Oncol. 2020 May 9. </w:t>
      </w:r>
      <w:proofErr w:type="spellStart"/>
      <w:r w:rsidRPr="00A0600F">
        <w:rPr>
          <w:rFonts w:ascii="Times New Roman" w:hAnsi="Times New Roman" w:cs="Times New Roman"/>
          <w:i/>
          <w:iCs/>
          <w:sz w:val="24"/>
          <w:szCs w:val="24"/>
          <w:lang w:val="en-US"/>
        </w:rPr>
        <w:t>doi</w:t>
      </w:r>
      <w:proofErr w:type="spellEnd"/>
      <w:r w:rsidRPr="00A0600F">
        <w:rPr>
          <w:rFonts w:ascii="Times New Roman" w:hAnsi="Times New Roman" w:cs="Times New Roman"/>
          <w:i/>
          <w:iCs/>
          <w:sz w:val="24"/>
          <w:szCs w:val="24"/>
          <w:lang w:val="en-US"/>
        </w:rPr>
        <w:t>: 10.1245/s10434-020-08548-w]</w:t>
      </w:r>
      <w:r w:rsidRPr="00A0600F">
        <w:rPr>
          <w:rFonts w:ascii="Times New Roman" w:hAnsi="Times New Roman" w:cs="Times New Roman"/>
          <w:sz w:val="24"/>
          <w:szCs w:val="24"/>
          <w:lang w:val="en-US"/>
        </w:rPr>
        <w:t xml:space="preserve">. </w:t>
      </w:r>
      <w:r w:rsidR="0090030C" w:rsidRPr="00A0600F">
        <w:rPr>
          <w:rFonts w:ascii="Times New Roman" w:hAnsi="Times New Roman" w:cs="Times New Roman"/>
          <w:sz w:val="24"/>
          <w:szCs w:val="24"/>
          <w:lang w:val="en-US"/>
        </w:rPr>
        <w:t>Unfortunately</w:t>
      </w:r>
      <w:r w:rsidRPr="00A0600F">
        <w:rPr>
          <w:rFonts w:ascii="Times New Roman" w:hAnsi="Times New Roman" w:cs="Times New Roman"/>
          <w:sz w:val="24"/>
          <w:szCs w:val="24"/>
          <w:lang w:val="en-US"/>
        </w:rPr>
        <w:t xml:space="preserve">, surgery represents one of the least applicable treatments when faced with a diagnosis of HCC, whereas the most frequent adopted therapy is represented by </w:t>
      </w:r>
      <w:r w:rsidR="0090030C" w:rsidRPr="00A0600F">
        <w:rPr>
          <w:rFonts w:ascii="Times New Roman" w:hAnsi="Times New Roman" w:cs="Times New Roman"/>
          <w:sz w:val="24"/>
          <w:szCs w:val="24"/>
          <w:lang w:val="en-US"/>
        </w:rPr>
        <w:t xml:space="preserve">trans-arterial chemoembolization (TACE) </w:t>
      </w:r>
      <w:r w:rsidR="0090030C" w:rsidRPr="00A0600F">
        <w:rPr>
          <w:rFonts w:ascii="Times New Roman" w:hAnsi="Times New Roman" w:cs="Times New Roman"/>
          <w:i/>
          <w:iCs/>
          <w:sz w:val="24"/>
          <w:szCs w:val="24"/>
          <w:lang w:val="en-US"/>
        </w:rPr>
        <w:t>[Liver Int. 2017 Feb;37(2):259-270; J Hepatol. 2017 Jul;67(1):173-183.]</w:t>
      </w:r>
      <w:r w:rsidR="0090030C" w:rsidRPr="00A0600F">
        <w:rPr>
          <w:rFonts w:ascii="Times New Roman" w:hAnsi="Times New Roman" w:cs="Times New Roman"/>
          <w:sz w:val="24"/>
          <w:szCs w:val="24"/>
          <w:lang w:val="en-US"/>
        </w:rPr>
        <w:t xml:space="preserve">. </w:t>
      </w:r>
      <w:r w:rsidR="00600C2C" w:rsidRPr="00A0600F">
        <w:rPr>
          <w:rFonts w:ascii="Times New Roman" w:hAnsi="Times New Roman" w:cs="Times New Roman"/>
          <w:sz w:val="24"/>
          <w:szCs w:val="24"/>
          <w:lang w:val="en-US"/>
        </w:rPr>
        <w:t>Nevertheless</w:t>
      </w:r>
      <w:r w:rsidR="009E707F" w:rsidRPr="00A0600F">
        <w:rPr>
          <w:rFonts w:ascii="Times New Roman" w:hAnsi="Times New Roman" w:cs="Times New Roman"/>
          <w:sz w:val="24"/>
          <w:szCs w:val="24"/>
          <w:lang w:val="en-US"/>
        </w:rPr>
        <w:t xml:space="preserve">, </w:t>
      </w:r>
      <w:r w:rsidR="00A551B1" w:rsidRPr="00A0600F">
        <w:rPr>
          <w:rFonts w:ascii="Times New Roman" w:hAnsi="Times New Roman" w:cs="Times New Roman"/>
          <w:sz w:val="24"/>
          <w:szCs w:val="24"/>
          <w:lang w:val="en-US"/>
        </w:rPr>
        <w:t xml:space="preserve">such as clinical indicator </w:t>
      </w:r>
      <w:r w:rsidR="009E707F" w:rsidRPr="00A0600F">
        <w:rPr>
          <w:rFonts w:ascii="Times New Roman" w:hAnsi="Times New Roman" w:cs="Times New Roman"/>
          <w:sz w:val="24"/>
          <w:szCs w:val="24"/>
          <w:lang w:val="en-US"/>
        </w:rPr>
        <w:t xml:space="preserve">was never provided for </w:t>
      </w:r>
      <w:r w:rsidR="0090030C" w:rsidRPr="00A0600F">
        <w:rPr>
          <w:rFonts w:ascii="Times New Roman" w:hAnsi="Times New Roman" w:cs="Times New Roman"/>
          <w:sz w:val="24"/>
          <w:szCs w:val="24"/>
          <w:lang w:val="en-US"/>
        </w:rPr>
        <w:t xml:space="preserve">this procedure. </w:t>
      </w:r>
    </w:p>
    <w:p w14:paraId="78D2CD6D" w14:textId="584EAA84" w:rsidR="00A551B1" w:rsidRPr="00A0600F" w:rsidRDefault="0090030C" w:rsidP="00600C2C">
      <w:pPr>
        <w:spacing w:after="0" w:line="360" w:lineRule="auto"/>
        <w:ind w:firstLine="709"/>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 xml:space="preserve">The aim of the present study was thus to </w:t>
      </w:r>
      <w:r w:rsidR="00600C2C" w:rsidRPr="00A0600F">
        <w:rPr>
          <w:rFonts w:ascii="Times New Roman" w:hAnsi="Times New Roman" w:cs="Times New Roman"/>
          <w:sz w:val="24"/>
          <w:szCs w:val="24"/>
          <w:lang w:val="en-US"/>
        </w:rPr>
        <w:t xml:space="preserve">assess </w:t>
      </w:r>
      <w:r w:rsidRPr="00A0600F">
        <w:rPr>
          <w:rFonts w:ascii="Times New Roman" w:hAnsi="Times New Roman" w:cs="Times New Roman"/>
          <w:sz w:val="24"/>
          <w:szCs w:val="24"/>
          <w:lang w:val="en-US"/>
        </w:rPr>
        <w:t xml:space="preserve">the likelihood of </w:t>
      </w:r>
      <w:r w:rsidR="00600C2C" w:rsidRPr="00A0600F">
        <w:rPr>
          <w:rFonts w:ascii="Times New Roman" w:hAnsi="Times New Roman" w:cs="Times New Roman"/>
          <w:sz w:val="24"/>
          <w:szCs w:val="24"/>
          <w:lang w:val="en-US"/>
        </w:rPr>
        <w:t>TO</w:t>
      </w:r>
      <w:r w:rsidRPr="00A0600F">
        <w:rPr>
          <w:rFonts w:ascii="Times New Roman" w:hAnsi="Times New Roman" w:cs="Times New Roman"/>
          <w:sz w:val="24"/>
          <w:szCs w:val="24"/>
          <w:lang w:val="en-US"/>
        </w:rPr>
        <w:t xml:space="preserve"> achievement which should be useful for both d</w:t>
      </w:r>
      <w:r w:rsidR="00600C2C" w:rsidRPr="00A0600F">
        <w:rPr>
          <w:rFonts w:ascii="Times New Roman" w:hAnsi="Times New Roman" w:cs="Times New Roman"/>
          <w:sz w:val="24"/>
          <w:szCs w:val="24"/>
          <w:lang w:val="en-US"/>
        </w:rPr>
        <w:t>etermine quality of cares</w:t>
      </w:r>
      <w:r w:rsidRPr="00A0600F">
        <w:rPr>
          <w:rFonts w:ascii="Times New Roman" w:hAnsi="Times New Roman" w:cs="Times New Roman"/>
          <w:sz w:val="24"/>
          <w:szCs w:val="24"/>
          <w:lang w:val="en-US"/>
        </w:rPr>
        <w:t xml:space="preserve">, as well as to answer to patient’ needs to know that the </w:t>
      </w:r>
      <w:r w:rsidRPr="00A0600F">
        <w:rPr>
          <w:rFonts w:ascii="Times New Roman" w:hAnsi="Times New Roman" w:cs="Times New Roman"/>
          <w:i/>
          <w:iCs/>
          <w:sz w:val="24"/>
          <w:szCs w:val="24"/>
          <w:lang w:val="en-US"/>
        </w:rPr>
        <w:t>“treatment will be fine”</w:t>
      </w:r>
      <w:r w:rsidRPr="00A0600F">
        <w:rPr>
          <w:rFonts w:ascii="Times New Roman" w:hAnsi="Times New Roman" w:cs="Times New Roman"/>
          <w:sz w:val="24"/>
          <w:szCs w:val="24"/>
          <w:lang w:val="en-US"/>
        </w:rPr>
        <w:t>.</w:t>
      </w:r>
    </w:p>
    <w:p w14:paraId="7E951EB9" w14:textId="77777777" w:rsidR="005C04BE" w:rsidRPr="00A0600F" w:rsidRDefault="005C04BE" w:rsidP="00600C2C">
      <w:pPr>
        <w:autoSpaceDE w:val="0"/>
        <w:autoSpaceDN w:val="0"/>
        <w:adjustRightInd w:val="0"/>
        <w:spacing w:after="0" w:line="360" w:lineRule="auto"/>
        <w:jc w:val="both"/>
        <w:rPr>
          <w:rFonts w:ascii="Times New Roman" w:hAnsi="Times New Roman" w:cs="Times New Roman"/>
          <w:b/>
          <w:bCs/>
          <w:sz w:val="24"/>
          <w:szCs w:val="24"/>
          <w:lang w:val="en-US"/>
        </w:rPr>
      </w:pPr>
    </w:p>
    <w:p w14:paraId="52D333F5" w14:textId="77777777" w:rsidR="002429BE" w:rsidRPr="00A0600F" w:rsidRDefault="002429BE">
      <w:pPr>
        <w:rPr>
          <w:rFonts w:ascii="Times New Roman" w:hAnsi="Times New Roman" w:cs="Times New Roman"/>
          <w:b/>
          <w:bCs/>
          <w:sz w:val="28"/>
          <w:szCs w:val="28"/>
          <w:lang w:val="en-US"/>
        </w:rPr>
      </w:pPr>
      <w:r w:rsidRPr="00A0600F">
        <w:rPr>
          <w:rFonts w:ascii="Times New Roman" w:hAnsi="Times New Roman" w:cs="Times New Roman"/>
          <w:b/>
          <w:bCs/>
          <w:sz w:val="28"/>
          <w:szCs w:val="28"/>
          <w:lang w:val="en-US"/>
        </w:rPr>
        <w:br w:type="page"/>
      </w:r>
    </w:p>
    <w:p w14:paraId="3B8CC144" w14:textId="095D13F4" w:rsidR="005C04BE" w:rsidRPr="00A0600F" w:rsidRDefault="005C04BE" w:rsidP="00600C2C">
      <w:pPr>
        <w:autoSpaceDE w:val="0"/>
        <w:autoSpaceDN w:val="0"/>
        <w:adjustRightInd w:val="0"/>
        <w:spacing w:after="0" w:line="360" w:lineRule="auto"/>
        <w:jc w:val="both"/>
        <w:rPr>
          <w:rFonts w:ascii="Times New Roman" w:hAnsi="Times New Roman" w:cs="Times New Roman"/>
          <w:b/>
          <w:bCs/>
          <w:sz w:val="32"/>
          <w:szCs w:val="32"/>
          <w:lang w:val="en-US"/>
        </w:rPr>
      </w:pPr>
      <w:r w:rsidRPr="00A0600F">
        <w:rPr>
          <w:rFonts w:ascii="Times New Roman" w:hAnsi="Times New Roman" w:cs="Times New Roman"/>
          <w:b/>
          <w:bCs/>
          <w:sz w:val="32"/>
          <w:szCs w:val="32"/>
          <w:lang w:val="en-US"/>
        </w:rPr>
        <w:lastRenderedPageBreak/>
        <w:t>METHODS</w:t>
      </w:r>
    </w:p>
    <w:p w14:paraId="3DF4C6C2" w14:textId="03A0669A" w:rsidR="00A551B1" w:rsidRPr="00A0600F" w:rsidRDefault="00600C2C" w:rsidP="00600C2C">
      <w:pPr>
        <w:autoSpaceDE w:val="0"/>
        <w:autoSpaceDN w:val="0"/>
        <w:adjustRightInd w:val="0"/>
        <w:spacing w:after="0"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Study enrollment</w:t>
      </w:r>
    </w:p>
    <w:p w14:paraId="496D21F6" w14:textId="597AD0F5" w:rsidR="00E205F6" w:rsidRPr="00A0600F" w:rsidRDefault="00600C2C" w:rsidP="00E205F6">
      <w:pPr>
        <w:autoSpaceDE w:val="0"/>
        <w:autoSpaceDN w:val="0"/>
        <w:adjustRightInd w:val="0"/>
        <w:spacing w:after="0"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r>
      <w:r w:rsidR="00E205F6" w:rsidRPr="00A0600F">
        <w:rPr>
          <w:rFonts w:ascii="Times New Roman" w:hAnsi="Times New Roman" w:cs="Times New Roman"/>
          <w:sz w:val="24"/>
          <w:szCs w:val="24"/>
          <w:lang w:val="en-US"/>
        </w:rPr>
        <w:t xml:space="preserve">A multi-institutional collaboration was planned to involve 10 centers (9 European and one in United States). </w:t>
      </w:r>
      <w:r w:rsidR="004821E1" w:rsidRPr="00A0600F">
        <w:rPr>
          <w:rFonts w:ascii="Times New Roman" w:hAnsi="Times New Roman" w:cs="Times New Roman"/>
          <w:sz w:val="24"/>
          <w:szCs w:val="24"/>
          <w:lang w:val="en-US"/>
        </w:rPr>
        <w:t xml:space="preserve">All participating centers had specific expertise in the management of HCC and the practice of TACE </w:t>
      </w:r>
      <w:r w:rsidR="004821E1" w:rsidRPr="00A0600F">
        <w:rPr>
          <w:rFonts w:ascii="Times New Roman" w:eastAsia="Times New Roman" w:hAnsi="Times New Roman" w:cs="Times New Roman"/>
          <w:i/>
          <w:iCs/>
          <w:sz w:val="24"/>
          <w:szCs w:val="24"/>
          <w:lang w:val="en-US" w:eastAsia="it-IT"/>
        </w:rPr>
        <w:t>[Hepatology. 2020 Jul; 72(1): 198–212.]</w:t>
      </w:r>
      <w:r w:rsidR="004821E1" w:rsidRPr="00A0600F">
        <w:rPr>
          <w:rFonts w:ascii="Times New Roman" w:hAnsi="Times New Roman" w:cs="Times New Roman"/>
          <w:sz w:val="24"/>
          <w:szCs w:val="24"/>
          <w:lang w:val="en-US"/>
        </w:rPr>
        <w:t>.</w:t>
      </w:r>
      <w:r w:rsidR="00B14D63" w:rsidRPr="00A0600F">
        <w:rPr>
          <w:rFonts w:ascii="Times New Roman" w:hAnsi="Times New Roman" w:cs="Times New Roman"/>
          <w:sz w:val="24"/>
          <w:szCs w:val="24"/>
          <w:lang w:val="en-US"/>
        </w:rPr>
        <w:t xml:space="preserve"> </w:t>
      </w:r>
      <w:r w:rsidR="004821E1" w:rsidRPr="00A0600F">
        <w:rPr>
          <w:rFonts w:ascii="Times New Roman" w:hAnsi="Times New Roman" w:cs="Times New Roman"/>
          <w:sz w:val="24"/>
          <w:szCs w:val="24"/>
          <w:lang w:val="en-US"/>
        </w:rPr>
        <w:t xml:space="preserve"> </w:t>
      </w:r>
      <w:r w:rsidR="00E205F6" w:rsidRPr="00A0600F">
        <w:rPr>
          <w:rFonts w:ascii="Times New Roman" w:hAnsi="Times New Roman" w:cs="Times New Roman"/>
          <w:sz w:val="24"/>
          <w:szCs w:val="24"/>
          <w:lang w:val="en-US"/>
        </w:rPr>
        <w:t>During investigators meetings inclusion criteria, necessary data collection and clinical definitions were established. The study protocol and the data collection conformed to the ethical guidelines of the 1975 Declaration of Helsinki and personal data were processed lawfully, fairly and in a transparent manner in relation to the data subject (Regulation (EU) 2016/679 of the European Parliament).</w:t>
      </w:r>
    </w:p>
    <w:p w14:paraId="7ABCAC43" w14:textId="16AD2DE8" w:rsidR="00E205F6" w:rsidRPr="00A0600F" w:rsidRDefault="00E205F6" w:rsidP="00E205F6">
      <w:pPr>
        <w:autoSpaceDE w:val="0"/>
        <w:autoSpaceDN w:val="0"/>
        <w:adjustRightInd w:val="0"/>
        <w:spacing w:after="0"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Inclusion criteria</w:t>
      </w:r>
    </w:p>
    <w:p w14:paraId="48C47B12" w14:textId="042E877B" w:rsidR="00A551B1" w:rsidRPr="00A0600F" w:rsidRDefault="00E205F6" w:rsidP="00600C2C">
      <w:pPr>
        <w:autoSpaceDE w:val="0"/>
        <w:autoSpaceDN w:val="0"/>
        <w:adjustRightInd w:val="0"/>
        <w:spacing w:after="0"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r>
      <w:r w:rsidR="00600C2C" w:rsidRPr="00A0600F">
        <w:rPr>
          <w:rFonts w:ascii="Times New Roman" w:hAnsi="Times New Roman" w:cs="Times New Roman"/>
          <w:sz w:val="24"/>
          <w:szCs w:val="24"/>
          <w:lang w:val="en-US"/>
        </w:rPr>
        <w:t>The study planned to enroll patients treated with TACE between January 2014 and December 2018 to ensur</w:t>
      </w:r>
      <w:r w:rsidRPr="00A0600F">
        <w:rPr>
          <w:rFonts w:ascii="Times New Roman" w:hAnsi="Times New Roman" w:cs="Times New Roman"/>
          <w:sz w:val="24"/>
          <w:szCs w:val="24"/>
          <w:lang w:val="en-US"/>
        </w:rPr>
        <w:t>e</w:t>
      </w:r>
      <w:r w:rsidR="00600C2C" w:rsidRPr="00A0600F">
        <w:rPr>
          <w:rFonts w:ascii="Times New Roman" w:hAnsi="Times New Roman" w:cs="Times New Roman"/>
          <w:sz w:val="24"/>
          <w:szCs w:val="24"/>
          <w:lang w:val="en-US"/>
        </w:rPr>
        <w:t xml:space="preserve"> a potential </w:t>
      </w:r>
      <w:r w:rsidR="00551BBE" w:rsidRPr="00A0600F">
        <w:rPr>
          <w:rFonts w:ascii="Times New Roman" w:hAnsi="Times New Roman" w:cs="Times New Roman"/>
          <w:sz w:val="24"/>
          <w:szCs w:val="24"/>
          <w:lang w:val="en-US"/>
        </w:rPr>
        <w:t xml:space="preserve">follow-up of </w:t>
      </w:r>
      <w:r w:rsidRPr="00A0600F">
        <w:rPr>
          <w:rFonts w:ascii="Times New Roman" w:hAnsi="Times New Roman" w:cs="Times New Roman"/>
          <w:sz w:val="24"/>
          <w:szCs w:val="24"/>
          <w:lang w:val="en-US"/>
        </w:rPr>
        <w:t xml:space="preserve">at least </w:t>
      </w:r>
      <w:r w:rsidR="00551BBE" w:rsidRPr="00A0600F">
        <w:rPr>
          <w:rFonts w:ascii="Times New Roman" w:hAnsi="Times New Roman" w:cs="Times New Roman"/>
          <w:sz w:val="24"/>
          <w:szCs w:val="24"/>
          <w:lang w:val="en-US"/>
        </w:rPr>
        <w:t xml:space="preserve">24 months for more than the 75% of the study population. </w:t>
      </w:r>
      <w:r w:rsidRPr="00A0600F">
        <w:rPr>
          <w:rFonts w:ascii="Times New Roman" w:hAnsi="Times New Roman" w:cs="Times New Roman"/>
          <w:sz w:val="24"/>
          <w:szCs w:val="24"/>
          <w:lang w:val="en-US"/>
        </w:rPr>
        <w:t xml:space="preserve">When defining inclusion criteria, we </w:t>
      </w:r>
      <w:r w:rsidR="00F35310" w:rsidRPr="00A0600F">
        <w:rPr>
          <w:rFonts w:ascii="Times New Roman" w:hAnsi="Times New Roman" w:cs="Times New Roman"/>
          <w:sz w:val="24"/>
          <w:szCs w:val="24"/>
          <w:lang w:val="en-US"/>
        </w:rPr>
        <w:t>focus</w:t>
      </w:r>
      <w:r w:rsidR="00526A18" w:rsidRPr="00A0600F">
        <w:rPr>
          <w:rFonts w:ascii="Times New Roman" w:hAnsi="Times New Roman" w:cs="Times New Roman"/>
          <w:sz w:val="24"/>
          <w:szCs w:val="24"/>
          <w:lang w:val="en-US"/>
        </w:rPr>
        <w:t>ed</w:t>
      </w:r>
      <w:r w:rsidR="00F35310" w:rsidRPr="00A0600F">
        <w:rPr>
          <w:rFonts w:ascii="Times New Roman" w:hAnsi="Times New Roman" w:cs="Times New Roman"/>
          <w:sz w:val="24"/>
          <w:szCs w:val="24"/>
          <w:lang w:val="en-US"/>
        </w:rPr>
        <w:t xml:space="preserve"> </w:t>
      </w:r>
      <w:r w:rsidR="00526A18" w:rsidRPr="00A0600F">
        <w:rPr>
          <w:rFonts w:ascii="Times New Roman" w:hAnsi="Times New Roman" w:cs="Times New Roman"/>
          <w:sz w:val="24"/>
          <w:szCs w:val="24"/>
          <w:lang w:val="en-US"/>
        </w:rPr>
        <w:t xml:space="preserve">them </w:t>
      </w:r>
      <w:r w:rsidR="00F35310" w:rsidRPr="00A0600F">
        <w:rPr>
          <w:rFonts w:ascii="Times New Roman" w:hAnsi="Times New Roman" w:cs="Times New Roman"/>
          <w:sz w:val="24"/>
          <w:szCs w:val="24"/>
          <w:lang w:val="en-US"/>
        </w:rPr>
        <w:t xml:space="preserve">on </w:t>
      </w:r>
      <w:r w:rsidRPr="00A0600F">
        <w:rPr>
          <w:rFonts w:ascii="Times New Roman" w:hAnsi="Times New Roman" w:cs="Times New Roman"/>
          <w:sz w:val="24"/>
          <w:szCs w:val="24"/>
          <w:lang w:val="en-US"/>
        </w:rPr>
        <w:t>patients in which TACE ha</w:t>
      </w:r>
      <w:r w:rsidR="00F35310" w:rsidRPr="00A0600F">
        <w:rPr>
          <w:rFonts w:ascii="Times New Roman" w:hAnsi="Times New Roman" w:cs="Times New Roman"/>
          <w:sz w:val="24"/>
          <w:szCs w:val="24"/>
          <w:lang w:val="en-US"/>
        </w:rPr>
        <w:t>d</w:t>
      </w:r>
      <w:r w:rsidRPr="00A0600F">
        <w:rPr>
          <w:rFonts w:ascii="Times New Roman" w:hAnsi="Times New Roman" w:cs="Times New Roman"/>
          <w:sz w:val="24"/>
          <w:szCs w:val="24"/>
          <w:lang w:val="en-US"/>
        </w:rPr>
        <w:t xml:space="preserve"> a common and shared clinical indication. Consequently, patients with </w:t>
      </w:r>
      <w:r w:rsidR="00551BBE" w:rsidRPr="00A0600F">
        <w:rPr>
          <w:rFonts w:ascii="Times New Roman" w:hAnsi="Times New Roman" w:cs="Times New Roman"/>
          <w:sz w:val="24"/>
          <w:szCs w:val="24"/>
          <w:lang w:val="en-US"/>
        </w:rPr>
        <w:t>portal vein thrombosis, wide</w:t>
      </w:r>
      <w:r w:rsidR="00551BBE" w:rsidRPr="00A0600F">
        <w:rPr>
          <w:rFonts w:ascii="Cambria Math" w:hAnsi="Cambria Math" w:cs="Cambria Math"/>
          <w:sz w:val="24"/>
          <w:szCs w:val="24"/>
          <w:lang w:val="en-US"/>
        </w:rPr>
        <w:t>‐</w:t>
      </w:r>
      <w:r w:rsidR="00551BBE" w:rsidRPr="00A0600F">
        <w:rPr>
          <w:rFonts w:ascii="Times New Roman" w:hAnsi="Times New Roman" w:cs="Times New Roman"/>
          <w:sz w:val="24"/>
          <w:szCs w:val="24"/>
          <w:lang w:val="en-US"/>
        </w:rPr>
        <w:t>spread cancer involving more of than 50% of the liver, extrahepatic disease, hepatic encephalopathy and/or refractory ascites</w:t>
      </w:r>
      <w:r w:rsidRPr="00A0600F">
        <w:rPr>
          <w:rFonts w:ascii="Times New Roman" w:hAnsi="Times New Roman" w:cs="Times New Roman"/>
          <w:sz w:val="24"/>
          <w:szCs w:val="24"/>
          <w:lang w:val="en-US"/>
        </w:rPr>
        <w:t xml:space="preserve"> were excluded. </w:t>
      </w:r>
      <w:r w:rsidR="00270392" w:rsidRPr="00A0600F">
        <w:rPr>
          <w:rFonts w:ascii="Times New Roman" w:hAnsi="Times New Roman" w:cs="Times New Roman"/>
          <w:sz w:val="24"/>
          <w:szCs w:val="24"/>
          <w:lang w:val="en-US"/>
        </w:rPr>
        <w:t>Regarding</w:t>
      </w:r>
      <w:r w:rsidRPr="00A0600F">
        <w:rPr>
          <w:rFonts w:ascii="Times New Roman" w:hAnsi="Times New Roman" w:cs="Times New Roman"/>
          <w:sz w:val="24"/>
          <w:szCs w:val="24"/>
          <w:lang w:val="en-US"/>
        </w:rPr>
        <w:t xml:space="preserve"> liver function, </w:t>
      </w:r>
      <w:r w:rsidR="00270392" w:rsidRPr="00A0600F">
        <w:rPr>
          <w:rFonts w:ascii="Times New Roman" w:hAnsi="Times New Roman" w:cs="Times New Roman"/>
          <w:sz w:val="24"/>
          <w:szCs w:val="24"/>
          <w:lang w:val="en-US"/>
        </w:rPr>
        <w:t xml:space="preserve">patients with advanced liver </w:t>
      </w:r>
      <w:r w:rsidR="00526A18" w:rsidRPr="00A0600F">
        <w:rPr>
          <w:rFonts w:ascii="Times New Roman" w:hAnsi="Times New Roman" w:cs="Times New Roman"/>
          <w:sz w:val="24"/>
          <w:szCs w:val="24"/>
          <w:lang w:val="en-US"/>
        </w:rPr>
        <w:t xml:space="preserve">impairment </w:t>
      </w:r>
      <w:r w:rsidR="00F35310" w:rsidRPr="00A0600F">
        <w:rPr>
          <w:rFonts w:ascii="Times New Roman" w:hAnsi="Times New Roman" w:cs="Times New Roman"/>
          <w:sz w:val="24"/>
          <w:szCs w:val="24"/>
          <w:lang w:val="en-US"/>
        </w:rPr>
        <w:t>were excluded,</w:t>
      </w:r>
      <w:r w:rsidR="00270392" w:rsidRPr="00A0600F">
        <w:rPr>
          <w:rFonts w:ascii="Times New Roman" w:hAnsi="Times New Roman" w:cs="Times New Roman"/>
          <w:sz w:val="24"/>
          <w:szCs w:val="24"/>
          <w:lang w:val="en-US"/>
        </w:rPr>
        <w:t xml:space="preserve"> as measured by means of Child – Pugh score of </w:t>
      </w:r>
      <w:r w:rsidR="00526A18" w:rsidRPr="00A0600F">
        <w:rPr>
          <w:rFonts w:ascii="Times New Roman" w:hAnsi="Times New Roman" w:cs="Times New Roman"/>
          <w:sz w:val="24"/>
          <w:szCs w:val="24"/>
          <w:lang w:val="en-US"/>
        </w:rPr>
        <w:t>&gt;B7</w:t>
      </w:r>
      <w:r w:rsidR="00270392" w:rsidRPr="00A0600F">
        <w:rPr>
          <w:rFonts w:ascii="Times New Roman" w:hAnsi="Times New Roman" w:cs="Times New Roman"/>
          <w:sz w:val="24"/>
          <w:szCs w:val="24"/>
          <w:lang w:val="en-US"/>
        </w:rPr>
        <w:t xml:space="preserve">. </w:t>
      </w:r>
      <w:r w:rsidR="00E413E1" w:rsidRPr="00A0600F">
        <w:rPr>
          <w:rFonts w:ascii="Times New Roman" w:hAnsi="Times New Roman" w:cs="Times New Roman"/>
          <w:sz w:val="24"/>
          <w:szCs w:val="24"/>
          <w:lang w:val="en-US"/>
        </w:rPr>
        <w:t xml:space="preserve">Additionally, only patients with Eastern Cooperative Oncology Group (ECOG) performance status of 0 or 1 were </w:t>
      </w:r>
      <w:r w:rsidR="00526A18" w:rsidRPr="00A0600F">
        <w:rPr>
          <w:rFonts w:ascii="Times New Roman" w:hAnsi="Times New Roman" w:cs="Times New Roman"/>
          <w:sz w:val="24"/>
          <w:szCs w:val="24"/>
          <w:lang w:val="en-US"/>
        </w:rPr>
        <w:t>retained</w:t>
      </w:r>
      <w:r w:rsidR="00E413E1" w:rsidRPr="00A0600F">
        <w:rPr>
          <w:rFonts w:ascii="Times New Roman" w:hAnsi="Times New Roman" w:cs="Times New Roman"/>
          <w:sz w:val="24"/>
          <w:szCs w:val="24"/>
          <w:lang w:val="en-US"/>
        </w:rPr>
        <w:t xml:space="preserve">. </w:t>
      </w:r>
      <w:r w:rsidR="00270392" w:rsidRPr="00A0600F">
        <w:rPr>
          <w:rFonts w:ascii="Times New Roman" w:hAnsi="Times New Roman" w:cs="Times New Roman"/>
          <w:sz w:val="24"/>
          <w:szCs w:val="24"/>
          <w:lang w:val="en-US"/>
        </w:rPr>
        <w:t>Finally, e</w:t>
      </w:r>
      <w:r w:rsidR="00551BBE" w:rsidRPr="00A0600F">
        <w:rPr>
          <w:rFonts w:ascii="Times New Roman" w:hAnsi="Times New Roman" w:cs="Times New Roman"/>
          <w:sz w:val="24"/>
          <w:szCs w:val="24"/>
          <w:lang w:val="en-US"/>
        </w:rPr>
        <w:t xml:space="preserve">ligible patients </w:t>
      </w:r>
      <w:r w:rsidR="00270392" w:rsidRPr="00A0600F">
        <w:rPr>
          <w:rFonts w:ascii="Times New Roman" w:hAnsi="Times New Roman" w:cs="Times New Roman"/>
          <w:sz w:val="24"/>
          <w:szCs w:val="24"/>
          <w:lang w:val="en-US"/>
        </w:rPr>
        <w:t>were</w:t>
      </w:r>
      <w:r w:rsidR="00551BBE" w:rsidRPr="00A0600F">
        <w:rPr>
          <w:rFonts w:ascii="Times New Roman" w:hAnsi="Times New Roman" w:cs="Times New Roman"/>
          <w:sz w:val="24"/>
          <w:szCs w:val="24"/>
          <w:lang w:val="en-US"/>
        </w:rPr>
        <w:t xml:space="preserve"> those who received TACE as a first-line therapy after </w:t>
      </w:r>
      <w:r w:rsidR="00FC554E" w:rsidRPr="00A0600F">
        <w:rPr>
          <w:rFonts w:ascii="Times New Roman" w:hAnsi="Times New Roman" w:cs="Times New Roman"/>
          <w:sz w:val="24"/>
          <w:szCs w:val="24"/>
          <w:lang w:val="en-US"/>
        </w:rPr>
        <w:t xml:space="preserve">a newly diagnosed </w:t>
      </w:r>
      <w:r w:rsidR="00551BBE" w:rsidRPr="00A0600F">
        <w:rPr>
          <w:rFonts w:ascii="Times New Roman" w:hAnsi="Times New Roman" w:cs="Times New Roman"/>
          <w:sz w:val="24"/>
          <w:szCs w:val="24"/>
          <w:lang w:val="en-US"/>
        </w:rPr>
        <w:t xml:space="preserve">HCC (naïve patients). </w:t>
      </w:r>
      <w:r w:rsidR="00A274F2" w:rsidRPr="00A0600F">
        <w:rPr>
          <w:rFonts w:ascii="Times New Roman" w:hAnsi="Times New Roman" w:cs="Times New Roman"/>
          <w:sz w:val="24"/>
          <w:szCs w:val="24"/>
          <w:lang w:val="en-US"/>
        </w:rPr>
        <w:t xml:space="preserve">The study </w:t>
      </w:r>
      <w:r w:rsidR="00270392" w:rsidRPr="00A0600F">
        <w:rPr>
          <w:rFonts w:ascii="Times New Roman" w:hAnsi="Times New Roman" w:cs="Times New Roman"/>
          <w:sz w:val="24"/>
          <w:szCs w:val="24"/>
          <w:lang w:val="en-US"/>
        </w:rPr>
        <w:t>wa</w:t>
      </w:r>
      <w:r w:rsidR="00A274F2" w:rsidRPr="00A0600F">
        <w:rPr>
          <w:rFonts w:ascii="Times New Roman" w:hAnsi="Times New Roman" w:cs="Times New Roman"/>
          <w:sz w:val="24"/>
          <w:szCs w:val="24"/>
          <w:lang w:val="en-US"/>
        </w:rPr>
        <w:t>s per-patient</w:t>
      </w:r>
      <w:r w:rsidR="00270392" w:rsidRPr="00A0600F">
        <w:rPr>
          <w:rFonts w:ascii="Times New Roman" w:hAnsi="Times New Roman" w:cs="Times New Roman"/>
          <w:sz w:val="24"/>
          <w:szCs w:val="24"/>
          <w:lang w:val="en-US"/>
        </w:rPr>
        <w:t xml:space="preserve"> and</w:t>
      </w:r>
      <w:r w:rsidR="00A274F2" w:rsidRPr="00A0600F">
        <w:rPr>
          <w:rFonts w:ascii="Times New Roman" w:hAnsi="Times New Roman" w:cs="Times New Roman"/>
          <w:sz w:val="24"/>
          <w:szCs w:val="24"/>
          <w:lang w:val="en-US"/>
        </w:rPr>
        <w:t xml:space="preserve"> not per-procedure, thus each </w:t>
      </w:r>
      <w:r w:rsidR="00F35310" w:rsidRPr="00A0600F">
        <w:rPr>
          <w:rFonts w:ascii="Times New Roman" w:hAnsi="Times New Roman" w:cs="Times New Roman"/>
          <w:sz w:val="24"/>
          <w:szCs w:val="24"/>
          <w:lang w:val="en-US"/>
        </w:rPr>
        <w:t>individual participant data</w:t>
      </w:r>
      <w:r w:rsidR="00A274F2" w:rsidRPr="00A0600F">
        <w:rPr>
          <w:rFonts w:ascii="Times New Roman" w:hAnsi="Times New Roman" w:cs="Times New Roman"/>
          <w:sz w:val="24"/>
          <w:szCs w:val="24"/>
          <w:lang w:val="en-US"/>
        </w:rPr>
        <w:t xml:space="preserve"> account</w:t>
      </w:r>
      <w:r w:rsidR="00F35310" w:rsidRPr="00A0600F">
        <w:rPr>
          <w:rFonts w:ascii="Times New Roman" w:hAnsi="Times New Roman" w:cs="Times New Roman"/>
          <w:sz w:val="24"/>
          <w:szCs w:val="24"/>
          <w:lang w:val="en-US"/>
        </w:rPr>
        <w:t>ed</w:t>
      </w:r>
      <w:r w:rsidR="00A274F2" w:rsidRPr="00A0600F">
        <w:rPr>
          <w:rFonts w:ascii="Times New Roman" w:hAnsi="Times New Roman" w:cs="Times New Roman"/>
          <w:sz w:val="24"/>
          <w:szCs w:val="24"/>
          <w:lang w:val="en-US"/>
        </w:rPr>
        <w:t xml:space="preserve"> for the first TACE procedure.</w:t>
      </w:r>
      <w:r w:rsidR="006353E6" w:rsidRPr="00A0600F">
        <w:rPr>
          <w:rFonts w:ascii="Times New Roman" w:hAnsi="Times New Roman" w:cs="Times New Roman"/>
          <w:sz w:val="24"/>
          <w:szCs w:val="24"/>
          <w:lang w:val="en-US"/>
        </w:rPr>
        <w:t xml:space="preserve"> Patients submitted to </w:t>
      </w:r>
      <w:r w:rsidR="00270392" w:rsidRPr="00A0600F">
        <w:rPr>
          <w:rFonts w:ascii="Times New Roman" w:hAnsi="Times New Roman" w:cs="Times New Roman"/>
          <w:sz w:val="24"/>
          <w:szCs w:val="24"/>
          <w:lang w:val="en-US"/>
        </w:rPr>
        <w:t>trans-arterial bland embolization (</w:t>
      </w:r>
      <w:r w:rsidR="006353E6" w:rsidRPr="00A0600F">
        <w:rPr>
          <w:rFonts w:ascii="Times New Roman" w:hAnsi="Times New Roman" w:cs="Times New Roman"/>
          <w:sz w:val="24"/>
          <w:szCs w:val="24"/>
          <w:lang w:val="en-US"/>
        </w:rPr>
        <w:t>TAE</w:t>
      </w:r>
      <w:r w:rsidR="00270392" w:rsidRPr="00A0600F">
        <w:rPr>
          <w:rFonts w:ascii="Times New Roman" w:hAnsi="Times New Roman" w:cs="Times New Roman"/>
          <w:sz w:val="24"/>
          <w:szCs w:val="24"/>
          <w:lang w:val="en-US"/>
        </w:rPr>
        <w:t>)</w:t>
      </w:r>
      <w:r w:rsidR="006353E6" w:rsidRPr="00A0600F">
        <w:rPr>
          <w:rFonts w:ascii="Times New Roman" w:hAnsi="Times New Roman" w:cs="Times New Roman"/>
          <w:sz w:val="24"/>
          <w:szCs w:val="24"/>
          <w:lang w:val="en-US"/>
        </w:rPr>
        <w:t xml:space="preserve"> </w:t>
      </w:r>
      <w:r w:rsidR="00270392" w:rsidRPr="00A0600F">
        <w:rPr>
          <w:rFonts w:ascii="Times New Roman" w:hAnsi="Times New Roman" w:cs="Times New Roman"/>
          <w:sz w:val="24"/>
          <w:szCs w:val="24"/>
          <w:lang w:val="en-US"/>
        </w:rPr>
        <w:t>were</w:t>
      </w:r>
      <w:r w:rsidR="006353E6" w:rsidRPr="00A0600F">
        <w:rPr>
          <w:rFonts w:ascii="Times New Roman" w:hAnsi="Times New Roman" w:cs="Times New Roman"/>
          <w:sz w:val="24"/>
          <w:szCs w:val="24"/>
          <w:lang w:val="en-US"/>
        </w:rPr>
        <w:t xml:space="preserve"> not included.</w:t>
      </w:r>
    </w:p>
    <w:p w14:paraId="21F46CDD" w14:textId="79E6F104" w:rsidR="004173AF" w:rsidRPr="00A0600F" w:rsidRDefault="004173AF" w:rsidP="00600C2C">
      <w:pPr>
        <w:autoSpaceDE w:val="0"/>
        <w:autoSpaceDN w:val="0"/>
        <w:adjustRightInd w:val="0"/>
        <w:spacing w:after="0"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TACE procedures</w:t>
      </w:r>
    </w:p>
    <w:p w14:paraId="2BB91353" w14:textId="5EB2EA8B" w:rsidR="004173AF" w:rsidRPr="00A0600F" w:rsidRDefault="004173AF" w:rsidP="006C472A">
      <w:pPr>
        <w:autoSpaceDE w:val="0"/>
        <w:autoSpaceDN w:val="0"/>
        <w:adjustRightInd w:val="0"/>
        <w:spacing w:after="0"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ab/>
      </w:r>
      <w:r w:rsidR="00FF1025" w:rsidRPr="00A0600F">
        <w:rPr>
          <w:rFonts w:ascii="Times New Roman" w:hAnsi="Times New Roman" w:cs="Times New Roman"/>
          <w:sz w:val="24"/>
          <w:szCs w:val="24"/>
          <w:lang w:val="en-US"/>
        </w:rPr>
        <w:t xml:space="preserve">Of the 10 participating centers, </w:t>
      </w:r>
      <w:r w:rsidR="00364F5C" w:rsidRPr="00A0600F">
        <w:rPr>
          <w:rFonts w:ascii="Times New Roman" w:hAnsi="Times New Roman" w:cs="Times New Roman"/>
          <w:sz w:val="24"/>
          <w:szCs w:val="24"/>
          <w:lang w:val="en-US"/>
        </w:rPr>
        <w:t>4</w:t>
      </w:r>
      <w:r w:rsidR="00FF1025" w:rsidRPr="00A0600F">
        <w:rPr>
          <w:rFonts w:ascii="Times New Roman" w:hAnsi="Times New Roman" w:cs="Times New Roman"/>
          <w:sz w:val="24"/>
          <w:szCs w:val="24"/>
          <w:lang w:val="en-US"/>
        </w:rPr>
        <w:t xml:space="preserve"> declared to perform &gt;200 TACE procedures/year, </w:t>
      </w:r>
      <w:r w:rsidR="00364F5C" w:rsidRPr="00A0600F">
        <w:rPr>
          <w:rFonts w:ascii="Times New Roman" w:hAnsi="Times New Roman" w:cs="Times New Roman"/>
          <w:sz w:val="24"/>
          <w:szCs w:val="24"/>
          <w:lang w:val="en-US"/>
        </w:rPr>
        <w:t>4</w:t>
      </w:r>
      <w:r w:rsidR="00FF1025" w:rsidRPr="00A0600F">
        <w:rPr>
          <w:rFonts w:ascii="Times New Roman" w:hAnsi="Times New Roman" w:cs="Times New Roman"/>
          <w:sz w:val="24"/>
          <w:szCs w:val="24"/>
          <w:lang w:val="en-US"/>
        </w:rPr>
        <w:t xml:space="preserve"> declared 100-200 procedures/year and 2 declared &lt;100 procedures/year. </w:t>
      </w:r>
      <w:r w:rsidRPr="00A0600F">
        <w:rPr>
          <w:rFonts w:ascii="Times New Roman" w:hAnsi="Times New Roman" w:cs="Times New Roman"/>
          <w:sz w:val="24"/>
          <w:szCs w:val="24"/>
          <w:lang w:val="en-US"/>
        </w:rPr>
        <w:t>The adoption of conventional TACE (</w:t>
      </w:r>
      <w:proofErr w:type="spellStart"/>
      <w:r w:rsidRPr="00A0600F">
        <w:rPr>
          <w:rFonts w:ascii="Times New Roman" w:hAnsi="Times New Roman" w:cs="Times New Roman"/>
          <w:sz w:val="24"/>
          <w:szCs w:val="24"/>
          <w:lang w:val="en-US"/>
        </w:rPr>
        <w:t>cTACE</w:t>
      </w:r>
      <w:proofErr w:type="spellEnd"/>
      <w:r w:rsidRPr="00A0600F">
        <w:rPr>
          <w:rFonts w:ascii="Times New Roman" w:hAnsi="Times New Roman" w:cs="Times New Roman"/>
          <w:sz w:val="24"/>
          <w:szCs w:val="24"/>
          <w:lang w:val="en-US"/>
        </w:rPr>
        <w:t>) or drug-eluting beads TACE (DEB-TACE) was a discretion of handling center</w:t>
      </w:r>
      <w:r w:rsidR="00526A18" w:rsidRPr="00A0600F">
        <w:rPr>
          <w:rFonts w:ascii="Times New Roman" w:hAnsi="Times New Roman" w:cs="Times New Roman"/>
          <w:sz w:val="24"/>
          <w:szCs w:val="24"/>
          <w:lang w:val="en-US"/>
        </w:rPr>
        <w:t>s</w:t>
      </w:r>
      <w:r w:rsidRPr="00A0600F">
        <w:rPr>
          <w:rFonts w:ascii="Times New Roman" w:hAnsi="Times New Roman" w:cs="Times New Roman"/>
          <w:sz w:val="24"/>
          <w:szCs w:val="24"/>
          <w:lang w:val="en-US"/>
        </w:rPr>
        <w:t xml:space="preserve"> but in all cases the </w:t>
      </w:r>
      <w:r w:rsidR="00D71AC4" w:rsidRPr="00A0600F">
        <w:rPr>
          <w:rFonts w:ascii="Times New Roman" w:hAnsi="Times New Roman" w:cs="Times New Roman"/>
          <w:sz w:val="24"/>
          <w:szCs w:val="24"/>
          <w:lang w:val="en-US"/>
        </w:rPr>
        <w:t xml:space="preserve">primary </w:t>
      </w:r>
      <w:r w:rsidRPr="00A0600F">
        <w:rPr>
          <w:rFonts w:ascii="Times New Roman" w:hAnsi="Times New Roman" w:cs="Times New Roman"/>
          <w:sz w:val="24"/>
          <w:szCs w:val="24"/>
          <w:lang w:val="en-US"/>
        </w:rPr>
        <w:t xml:space="preserve">aim was to obtain a super-selective </w:t>
      </w:r>
      <w:r w:rsidR="00D71AC4" w:rsidRPr="00A0600F">
        <w:rPr>
          <w:rFonts w:ascii="Times New Roman" w:hAnsi="Times New Roman" w:cs="Times New Roman"/>
          <w:sz w:val="24"/>
          <w:szCs w:val="24"/>
          <w:lang w:val="en-US"/>
        </w:rPr>
        <w:t xml:space="preserve">or at least selective </w:t>
      </w:r>
      <w:r w:rsidRPr="00A0600F">
        <w:rPr>
          <w:rFonts w:ascii="Times New Roman" w:hAnsi="Times New Roman" w:cs="Times New Roman"/>
          <w:sz w:val="24"/>
          <w:szCs w:val="24"/>
          <w:lang w:val="en-US"/>
        </w:rPr>
        <w:t>cannulation</w:t>
      </w:r>
      <w:r w:rsidR="00526A18" w:rsidRPr="00A0600F">
        <w:rPr>
          <w:rFonts w:ascii="Times New Roman" w:hAnsi="Times New Roman" w:cs="Times New Roman"/>
          <w:sz w:val="24"/>
          <w:szCs w:val="24"/>
          <w:lang w:val="en-US"/>
        </w:rPr>
        <w:t xml:space="preserve"> to the HCC</w:t>
      </w:r>
      <w:r w:rsidR="00231335" w:rsidRPr="00A0600F">
        <w:rPr>
          <w:rFonts w:ascii="Times New Roman" w:hAnsi="Times New Roman" w:cs="Times New Roman"/>
          <w:sz w:val="24"/>
          <w:szCs w:val="24"/>
          <w:lang w:val="en-US"/>
        </w:rPr>
        <w:t xml:space="preserve"> feeding artery</w:t>
      </w:r>
      <w:r w:rsidRPr="00A0600F">
        <w:rPr>
          <w:rFonts w:ascii="Times New Roman" w:hAnsi="Times New Roman" w:cs="Times New Roman"/>
          <w:sz w:val="24"/>
          <w:szCs w:val="24"/>
          <w:lang w:val="en-US"/>
        </w:rPr>
        <w:t>.</w:t>
      </w:r>
      <w:r w:rsidR="006C472A" w:rsidRPr="00A0600F">
        <w:rPr>
          <w:rFonts w:ascii="Times New Roman" w:hAnsi="Times New Roman" w:cs="Times New Roman"/>
          <w:sz w:val="24"/>
          <w:szCs w:val="24"/>
          <w:lang w:val="en-US"/>
        </w:rPr>
        <w:t xml:space="preserve"> The technique of </w:t>
      </w:r>
      <w:proofErr w:type="spellStart"/>
      <w:r w:rsidR="006C472A" w:rsidRPr="00A0600F">
        <w:rPr>
          <w:rFonts w:ascii="Times New Roman" w:hAnsi="Times New Roman" w:cs="Times New Roman"/>
          <w:sz w:val="24"/>
          <w:szCs w:val="24"/>
          <w:lang w:val="en-US"/>
        </w:rPr>
        <w:t>cTACE</w:t>
      </w:r>
      <w:proofErr w:type="spellEnd"/>
      <w:r w:rsidR="006C472A" w:rsidRPr="00A0600F">
        <w:rPr>
          <w:rFonts w:ascii="Times New Roman" w:hAnsi="Times New Roman" w:cs="Times New Roman"/>
          <w:sz w:val="24"/>
          <w:szCs w:val="24"/>
          <w:lang w:val="en-US"/>
        </w:rPr>
        <w:t xml:space="preserve"> and DEB-TACE have been already extensively previously described </w:t>
      </w:r>
      <w:r w:rsidR="006C472A" w:rsidRPr="00A0600F">
        <w:rPr>
          <w:rFonts w:ascii="Times New Roman" w:hAnsi="Times New Roman" w:cs="Times New Roman"/>
          <w:i/>
          <w:iCs/>
          <w:sz w:val="24"/>
          <w:szCs w:val="24"/>
          <w:lang w:val="en-US"/>
        </w:rPr>
        <w:t xml:space="preserve">[Br J Cancer. 2014;111(2):255-264; Cardiovasc </w:t>
      </w:r>
      <w:proofErr w:type="spellStart"/>
      <w:r w:rsidR="006C472A" w:rsidRPr="00A0600F">
        <w:rPr>
          <w:rFonts w:ascii="Times New Roman" w:hAnsi="Times New Roman" w:cs="Times New Roman"/>
          <w:i/>
          <w:iCs/>
          <w:sz w:val="24"/>
          <w:szCs w:val="24"/>
          <w:lang w:val="en-US"/>
        </w:rPr>
        <w:t>Intervent</w:t>
      </w:r>
      <w:proofErr w:type="spellEnd"/>
      <w:r w:rsidR="006C472A" w:rsidRPr="00A0600F">
        <w:rPr>
          <w:rFonts w:ascii="Times New Roman" w:hAnsi="Times New Roman" w:cs="Times New Roman"/>
          <w:i/>
          <w:iCs/>
          <w:sz w:val="24"/>
          <w:szCs w:val="24"/>
          <w:lang w:val="en-US"/>
        </w:rPr>
        <w:t xml:space="preserve"> </w:t>
      </w:r>
      <w:proofErr w:type="spellStart"/>
      <w:r w:rsidR="006C472A" w:rsidRPr="00A0600F">
        <w:rPr>
          <w:rFonts w:ascii="Times New Roman" w:hAnsi="Times New Roman" w:cs="Times New Roman"/>
          <w:i/>
          <w:iCs/>
          <w:sz w:val="24"/>
          <w:szCs w:val="24"/>
          <w:lang w:val="en-US"/>
        </w:rPr>
        <w:t>Radiol</w:t>
      </w:r>
      <w:proofErr w:type="spellEnd"/>
      <w:r w:rsidR="006C472A" w:rsidRPr="00A0600F">
        <w:rPr>
          <w:rFonts w:ascii="Times New Roman" w:hAnsi="Times New Roman" w:cs="Times New Roman"/>
          <w:i/>
          <w:iCs/>
          <w:sz w:val="24"/>
          <w:szCs w:val="24"/>
          <w:lang w:val="en-US"/>
        </w:rPr>
        <w:t>. 2010;33(1):41-52]</w:t>
      </w:r>
      <w:r w:rsidR="006C472A" w:rsidRPr="00A0600F">
        <w:rPr>
          <w:rFonts w:ascii="Times New Roman" w:hAnsi="Times New Roman" w:cs="Times New Roman"/>
          <w:sz w:val="24"/>
          <w:szCs w:val="24"/>
          <w:lang w:val="en-US"/>
        </w:rPr>
        <w:t>.</w:t>
      </w:r>
      <w:r w:rsidR="00D71AC4" w:rsidRPr="00A0600F">
        <w:rPr>
          <w:rFonts w:ascii="Times New Roman" w:hAnsi="Times New Roman" w:cs="Times New Roman"/>
          <w:sz w:val="24"/>
          <w:szCs w:val="24"/>
          <w:lang w:val="en-US"/>
        </w:rPr>
        <w:t xml:space="preserve"> </w:t>
      </w:r>
      <w:r w:rsidRPr="00A0600F">
        <w:rPr>
          <w:rFonts w:ascii="Times New Roman" w:hAnsi="Times New Roman" w:cs="Times New Roman"/>
          <w:sz w:val="24"/>
          <w:szCs w:val="24"/>
          <w:lang w:val="en-US"/>
        </w:rPr>
        <w:t>Different centers also adopted different anesthetic management, being midazolam and/or fentanyl adopted for conscious sedation</w:t>
      </w:r>
      <w:r w:rsidR="00D71AC4" w:rsidRPr="00A0600F">
        <w:rPr>
          <w:rFonts w:ascii="Times New Roman" w:hAnsi="Times New Roman" w:cs="Times New Roman"/>
          <w:sz w:val="24"/>
          <w:szCs w:val="24"/>
          <w:lang w:val="en-US"/>
        </w:rPr>
        <w:t xml:space="preserve"> when clinically indicated</w:t>
      </w:r>
      <w:r w:rsidR="00526A18" w:rsidRPr="00A0600F">
        <w:rPr>
          <w:rFonts w:ascii="Times New Roman" w:hAnsi="Times New Roman" w:cs="Times New Roman"/>
          <w:sz w:val="24"/>
          <w:szCs w:val="24"/>
          <w:lang w:val="en-US"/>
        </w:rPr>
        <w:t>,</w:t>
      </w:r>
      <w:r w:rsidR="00D71AC4" w:rsidRPr="00A0600F">
        <w:rPr>
          <w:rFonts w:ascii="Times New Roman" w:hAnsi="Times New Roman" w:cs="Times New Roman"/>
          <w:sz w:val="24"/>
          <w:szCs w:val="24"/>
          <w:lang w:val="en-US"/>
        </w:rPr>
        <w:t xml:space="preserve"> and in relation to the common clinical practice of each center involved. </w:t>
      </w:r>
      <w:r w:rsidR="006C472A" w:rsidRPr="00A0600F">
        <w:rPr>
          <w:rFonts w:ascii="Times New Roman" w:hAnsi="Times New Roman" w:cs="Times New Roman"/>
          <w:sz w:val="24"/>
          <w:szCs w:val="24"/>
          <w:lang w:val="en-US"/>
        </w:rPr>
        <w:t>S</w:t>
      </w:r>
      <w:r w:rsidR="00D71AC4" w:rsidRPr="00A0600F">
        <w:rPr>
          <w:rFonts w:ascii="Times New Roman" w:hAnsi="Times New Roman" w:cs="Times New Roman"/>
          <w:sz w:val="24"/>
          <w:szCs w:val="24"/>
          <w:lang w:val="en-US"/>
        </w:rPr>
        <w:t>ome</w:t>
      </w:r>
      <w:r w:rsidR="006C472A" w:rsidRPr="00A0600F">
        <w:rPr>
          <w:rFonts w:ascii="Times New Roman" w:hAnsi="Times New Roman" w:cs="Times New Roman"/>
          <w:sz w:val="24"/>
          <w:szCs w:val="24"/>
          <w:lang w:val="en-US"/>
        </w:rPr>
        <w:t xml:space="preserve"> participating</w:t>
      </w:r>
      <w:r w:rsidR="00D71AC4" w:rsidRPr="00A0600F">
        <w:rPr>
          <w:rFonts w:ascii="Times New Roman" w:hAnsi="Times New Roman" w:cs="Times New Roman"/>
          <w:sz w:val="24"/>
          <w:szCs w:val="24"/>
          <w:lang w:val="en-US"/>
        </w:rPr>
        <w:t xml:space="preserve"> center in more recent years, </w:t>
      </w:r>
      <w:r w:rsidR="006C472A" w:rsidRPr="00A0600F">
        <w:rPr>
          <w:rFonts w:ascii="Times New Roman" w:hAnsi="Times New Roman" w:cs="Times New Roman"/>
          <w:sz w:val="24"/>
          <w:szCs w:val="24"/>
          <w:lang w:val="en-US"/>
        </w:rPr>
        <w:t xml:space="preserve">cone-beam computed tomography (CBCT) </w:t>
      </w:r>
      <w:r w:rsidR="00231335" w:rsidRPr="00A0600F">
        <w:rPr>
          <w:rFonts w:ascii="Times New Roman" w:hAnsi="Times New Roman" w:cs="Times New Roman"/>
          <w:sz w:val="24"/>
          <w:szCs w:val="24"/>
          <w:lang w:val="en-US"/>
        </w:rPr>
        <w:t xml:space="preserve">or CT </w:t>
      </w:r>
      <w:r w:rsidR="006C472A" w:rsidRPr="00A0600F">
        <w:rPr>
          <w:rFonts w:ascii="Times New Roman" w:hAnsi="Times New Roman" w:cs="Times New Roman"/>
          <w:sz w:val="24"/>
          <w:szCs w:val="24"/>
          <w:lang w:val="en-US"/>
        </w:rPr>
        <w:t xml:space="preserve">was adopted during TACE </w:t>
      </w:r>
      <w:r w:rsidR="000912A5" w:rsidRPr="00A0600F">
        <w:rPr>
          <w:rFonts w:ascii="Times New Roman" w:hAnsi="Times New Roman" w:cs="Times New Roman"/>
          <w:sz w:val="24"/>
          <w:szCs w:val="24"/>
          <w:lang w:val="en-US"/>
        </w:rPr>
        <w:t xml:space="preserve">for the intraprocedural </w:t>
      </w:r>
      <w:r w:rsidR="00231335" w:rsidRPr="00A0600F">
        <w:rPr>
          <w:rFonts w:ascii="Times New Roman" w:hAnsi="Times New Roman" w:cs="Times New Roman"/>
          <w:sz w:val="24"/>
          <w:szCs w:val="24"/>
          <w:lang w:val="en-US"/>
        </w:rPr>
        <w:t xml:space="preserve">planning and/or </w:t>
      </w:r>
      <w:r w:rsidR="000912A5" w:rsidRPr="00A0600F">
        <w:rPr>
          <w:rFonts w:ascii="Times New Roman" w:hAnsi="Times New Roman" w:cs="Times New Roman"/>
          <w:sz w:val="24"/>
          <w:szCs w:val="24"/>
          <w:lang w:val="en-US"/>
        </w:rPr>
        <w:t>monitoring of the embolized area [</w:t>
      </w:r>
      <w:proofErr w:type="spellStart"/>
      <w:r w:rsidR="000912A5" w:rsidRPr="00A0600F">
        <w:rPr>
          <w:rStyle w:val="docsum-journal-citation"/>
          <w:rFonts w:ascii="Times New Roman" w:hAnsi="Times New Roman" w:cs="Times New Roman"/>
          <w:sz w:val="24"/>
          <w:szCs w:val="24"/>
          <w:lang w:val="en-US"/>
        </w:rPr>
        <w:t>Jpn</w:t>
      </w:r>
      <w:proofErr w:type="spellEnd"/>
      <w:r w:rsidR="000912A5" w:rsidRPr="00A0600F">
        <w:rPr>
          <w:rStyle w:val="docsum-journal-citation"/>
          <w:rFonts w:ascii="Times New Roman" w:hAnsi="Times New Roman" w:cs="Times New Roman"/>
          <w:sz w:val="24"/>
          <w:szCs w:val="24"/>
          <w:lang w:val="en-US"/>
        </w:rPr>
        <w:t xml:space="preserve"> J </w:t>
      </w:r>
      <w:proofErr w:type="spellStart"/>
      <w:r w:rsidR="000912A5" w:rsidRPr="00A0600F">
        <w:rPr>
          <w:rStyle w:val="docsum-journal-citation"/>
          <w:rFonts w:ascii="Times New Roman" w:hAnsi="Times New Roman" w:cs="Times New Roman"/>
          <w:sz w:val="24"/>
          <w:szCs w:val="24"/>
          <w:lang w:val="en-US"/>
        </w:rPr>
        <w:t>Radiol</w:t>
      </w:r>
      <w:proofErr w:type="spellEnd"/>
      <w:r w:rsidR="000912A5" w:rsidRPr="00A0600F">
        <w:rPr>
          <w:rStyle w:val="docsum-journal-citation"/>
          <w:rFonts w:ascii="Times New Roman" w:hAnsi="Times New Roman" w:cs="Times New Roman"/>
          <w:sz w:val="24"/>
          <w:szCs w:val="24"/>
          <w:lang w:val="en-US"/>
        </w:rPr>
        <w:t>. 2011 Jul;29(6):371-7</w:t>
      </w:r>
      <w:proofErr w:type="gramStart"/>
      <w:r w:rsidR="000912A5" w:rsidRPr="00A0600F">
        <w:rPr>
          <w:rStyle w:val="docsum-journal-citation"/>
          <w:rFonts w:ascii="Times New Roman" w:hAnsi="Times New Roman" w:cs="Times New Roman"/>
          <w:sz w:val="24"/>
          <w:szCs w:val="24"/>
          <w:lang w:val="en-US"/>
        </w:rPr>
        <w:t>. ]</w:t>
      </w:r>
      <w:proofErr w:type="gramEnd"/>
      <w:r w:rsidR="000912A5" w:rsidRPr="00A0600F">
        <w:rPr>
          <w:sz w:val="20"/>
          <w:szCs w:val="20"/>
          <w:lang w:val="en-US"/>
        </w:rPr>
        <w:t xml:space="preserve"> </w:t>
      </w:r>
      <w:r w:rsidR="006C472A" w:rsidRPr="00A0600F">
        <w:rPr>
          <w:rFonts w:ascii="Times New Roman" w:hAnsi="Times New Roman" w:cs="Times New Roman"/>
          <w:sz w:val="24"/>
          <w:szCs w:val="24"/>
          <w:lang w:val="en-US"/>
        </w:rPr>
        <w:t xml:space="preserve">  </w:t>
      </w:r>
    </w:p>
    <w:p w14:paraId="2261B87E" w14:textId="789CA420" w:rsidR="00600C2C" w:rsidRPr="00A0600F" w:rsidRDefault="00600C2C" w:rsidP="00600C2C">
      <w:pPr>
        <w:autoSpaceDE w:val="0"/>
        <w:autoSpaceDN w:val="0"/>
        <w:adjustRightInd w:val="0"/>
        <w:spacing w:after="0"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lastRenderedPageBreak/>
        <w:t>Textbook outcome measures</w:t>
      </w:r>
    </w:p>
    <w:p w14:paraId="2AC71404" w14:textId="106AF955" w:rsidR="0041757D" w:rsidRPr="00A0600F" w:rsidRDefault="00600C2C" w:rsidP="0098278E">
      <w:pPr>
        <w:autoSpaceDE w:val="0"/>
        <w:autoSpaceDN w:val="0"/>
        <w:adjustRightInd w:val="0"/>
        <w:spacing w:after="0" w:line="360" w:lineRule="auto"/>
        <w:ind w:firstLine="709"/>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 xml:space="preserve">The following </w:t>
      </w:r>
      <w:r w:rsidR="00F16720" w:rsidRPr="00A0600F">
        <w:rPr>
          <w:rFonts w:ascii="Times New Roman" w:hAnsi="Times New Roman" w:cs="Times New Roman"/>
          <w:sz w:val="24"/>
          <w:szCs w:val="24"/>
          <w:lang w:val="en-US"/>
        </w:rPr>
        <w:t>adverse events</w:t>
      </w:r>
      <w:r w:rsidRPr="00A0600F">
        <w:rPr>
          <w:rFonts w:ascii="Times New Roman" w:hAnsi="Times New Roman" w:cs="Times New Roman"/>
          <w:sz w:val="24"/>
          <w:szCs w:val="24"/>
          <w:lang w:val="en-US"/>
        </w:rPr>
        <w:t xml:space="preserve"> w</w:t>
      </w:r>
      <w:r w:rsidR="00F35310" w:rsidRPr="00A0600F">
        <w:rPr>
          <w:rFonts w:ascii="Times New Roman" w:hAnsi="Times New Roman" w:cs="Times New Roman"/>
          <w:sz w:val="24"/>
          <w:szCs w:val="24"/>
          <w:lang w:val="en-US"/>
        </w:rPr>
        <w:t>ere</w:t>
      </w:r>
      <w:r w:rsidRPr="00A0600F">
        <w:rPr>
          <w:rFonts w:ascii="Times New Roman" w:hAnsi="Times New Roman" w:cs="Times New Roman"/>
          <w:sz w:val="24"/>
          <w:szCs w:val="24"/>
          <w:lang w:val="en-US"/>
        </w:rPr>
        <w:t xml:space="preserve"> </w:t>
      </w:r>
      <w:r w:rsidR="001457E9" w:rsidRPr="00A0600F">
        <w:rPr>
          <w:rFonts w:ascii="Times New Roman" w:hAnsi="Times New Roman" w:cs="Times New Roman"/>
          <w:sz w:val="24"/>
          <w:szCs w:val="24"/>
          <w:lang w:val="en-US"/>
        </w:rPr>
        <w:t>recorded within 30 days</w:t>
      </w:r>
      <w:r w:rsidR="00270392" w:rsidRPr="00A0600F">
        <w:rPr>
          <w:rFonts w:ascii="Times New Roman" w:hAnsi="Times New Roman" w:cs="Times New Roman"/>
          <w:sz w:val="24"/>
          <w:szCs w:val="24"/>
          <w:lang w:val="en-US"/>
        </w:rPr>
        <w:t xml:space="preserve"> from TACE</w:t>
      </w:r>
      <w:r w:rsidRPr="00A0600F">
        <w:rPr>
          <w:rFonts w:ascii="Times New Roman" w:hAnsi="Times New Roman" w:cs="Times New Roman"/>
          <w:sz w:val="24"/>
          <w:szCs w:val="24"/>
          <w:lang w:val="en-US"/>
        </w:rPr>
        <w:t>:</w:t>
      </w:r>
      <w:r w:rsidR="00270392" w:rsidRPr="00A0600F">
        <w:rPr>
          <w:rFonts w:ascii="Times New Roman" w:hAnsi="Times New Roman" w:cs="Times New Roman"/>
          <w:sz w:val="24"/>
          <w:szCs w:val="24"/>
          <w:lang w:val="en-US"/>
        </w:rPr>
        <w:t xml:space="preserve"> p</w:t>
      </w:r>
      <w:r w:rsidR="00D05E0E" w:rsidRPr="00A0600F">
        <w:rPr>
          <w:rFonts w:ascii="Times New Roman" w:hAnsi="Times New Roman" w:cs="Times New Roman"/>
          <w:sz w:val="24"/>
          <w:szCs w:val="24"/>
          <w:lang w:val="en-US"/>
        </w:rPr>
        <w:t>ost-embolization syndrome</w:t>
      </w:r>
      <w:r w:rsidR="00270392" w:rsidRPr="00A0600F">
        <w:rPr>
          <w:rFonts w:ascii="Times New Roman" w:hAnsi="Times New Roman" w:cs="Times New Roman"/>
          <w:sz w:val="24"/>
          <w:szCs w:val="24"/>
          <w:lang w:val="en-US"/>
        </w:rPr>
        <w:t>, a</w:t>
      </w:r>
      <w:r w:rsidR="0041757D" w:rsidRPr="00A0600F">
        <w:rPr>
          <w:rFonts w:ascii="Times New Roman" w:hAnsi="Times New Roman" w:cs="Times New Roman"/>
          <w:sz w:val="24"/>
          <w:szCs w:val="24"/>
          <w:lang w:val="en-US"/>
        </w:rPr>
        <w:t>cute cholecystitis</w:t>
      </w:r>
      <w:r w:rsidR="00270392" w:rsidRPr="00A0600F">
        <w:rPr>
          <w:rFonts w:ascii="Times New Roman" w:hAnsi="Times New Roman" w:cs="Times New Roman"/>
          <w:sz w:val="24"/>
          <w:szCs w:val="24"/>
          <w:lang w:val="en-US"/>
        </w:rPr>
        <w:t>, a</w:t>
      </w:r>
      <w:r w:rsidR="0041757D" w:rsidRPr="00A0600F">
        <w:rPr>
          <w:rFonts w:ascii="Times New Roman" w:hAnsi="Times New Roman" w:cs="Times New Roman"/>
          <w:sz w:val="24"/>
          <w:szCs w:val="24"/>
          <w:lang w:val="en-US"/>
        </w:rPr>
        <w:t>cute pancreatitis</w:t>
      </w:r>
      <w:r w:rsidR="00270392" w:rsidRPr="00A0600F">
        <w:rPr>
          <w:rFonts w:ascii="Times New Roman" w:hAnsi="Times New Roman" w:cs="Times New Roman"/>
          <w:sz w:val="24"/>
          <w:szCs w:val="24"/>
          <w:lang w:val="en-US"/>
        </w:rPr>
        <w:t>, l</w:t>
      </w:r>
      <w:r w:rsidR="0041757D" w:rsidRPr="00A0600F">
        <w:rPr>
          <w:rFonts w:ascii="Times New Roman" w:hAnsi="Times New Roman" w:cs="Times New Roman"/>
          <w:sz w:val="24"/>
          <w:szCs w:val="24"/>
          <w:lang w:val="en-US"/>
        </w:rPr>
        <w:t xml:space="preserve">iver </w:t>
      </w:r>
      <w:r w:rsidR="00270392" w:rsidRPr="00A0600F">
        <w:rPr>
          <w:rFonts w:ascii="Times New Roman" w:hAnsi="Times New Roman" w:cs="Times New Roman"/>
          <w:sz w:val="24"/>
          <w:szCs w:val="24"/>
          <w:lang w:val="en-US"/>
        </w:rPr>
        <w:t>a</w:t>
      </w:r>
      <w:r w:rsidR="0041757D" w:rsidRPr="00A0600F">
        <w:rPr>
          <w:rFonts w:ascii="Times New Roman" w:hAnsi="Times New Roman" w:cs="Times New Roman"/>
          <w:sz w:val="24"/>
          <w:szCs w:val="24"/>
          <w:lang w:val="en-US"/>
        </w:rPr>
        <w:t>bscess</w:t>
      </w:r>
      <w:r w:rsidR="00270392" w:rsidRPr="00A0600F">
        <w:rPr>
          <w:rFonts w:ascii="Times New Roman" w:hAnsi="Times New Roman" w:cs="Times New Roman"/>
          <w:sz w:val="24"/>
          <w:szCs w:val="24"/>
          <w:lang w:val="en-US"/>
        </w:rPr>
        <w:t>, a</w:t>
      </w:r>
      <w:r w:rsidR="0011000F" w:rsidRPr="00A0600F">
        <w:rPr>
          <w:rFonts w:ascii="Times New Roman" w:hAnsi="Times New Roman" w:cs="Times New Roman"/>
          <w:sz w:val="24"/>
          <w:szCs w:val="24"/>
          <w:lang w:val="en-US"/>
        </w:rPr>
        <w:t>cute kidney injury</w:t>
      </w:r>
      <w:r w:rsidR="00270392" w:rsidRPr="00A0600F">
        <w:rPr>
          <w:rFonts w:ascii="Times New Roman" w:hAnsi="Times New Roman" w:cs="Times New Roman"/>
          <w:sz w:val="24"/>
          <w:szCs w:val="24"/>
          <w:lang w:val="en-US"/>
        </w:rPr>
        <w:t>, i</w:t>
      </w:r>
      <w:r w:rsidR="0041757D" w:rsidRPr="00A0600F">
        <w:rPr>
          <w:rFonts w:ascii="Times New Roman" w:hAnsi="Times New Roman" w:cs="Times New Roman"/>
          <w:sz w:val="24"/>
          <w:szCs w:val="24"/>
          <w:lang w:val="en-US"/>
        </w:rPr>
        <w:t>nguinal hematoma</w:t>
      </w:r>
      <w:r w:rsidR="00270392" w:rsidRPr="00A0600F">
        <w:rPr>
          <w:rFonts w:ascii="Times New Roman" w:hAnsi="Times New Roman" w:cs="Times New Roman"/>
          <w:sz w:val="24"/>
          <w:szCs w:val="24"/>
          <w:lang w:val="en-US"/>
        </w:rPr>
        <w:t>, l</w:t>
      </w:r>
      <w:r w:rsidR="0041757D" w:rsidRPr="00A0600F">
        <w:rPr>
          <w:rFonts w:ascii="Times New Roman" w:hAnsi="Times New Roman" w:cs="Times New Roman"/>
          <w:sz w:val="24"/>
          <w:szCs w:val="24"/>
          <w:lang w:val="en-US"/>
        </w:rPr>
        <w:t xml:space="preserve">iver </w:t>
      </w:r>
      <w:r w:rsidR="0011000F" w:rsidRPr="00A0600F">
        <w:rPr>
          <w:rFonts w:ascii="Times New Roman" w:hAnsi="Times New Roman" w:cs="Times New Roman"/>
          <w:sz w:val="24"/>
          <w:szCs w:val="24"/>
          <w:lang w:val="en-US"/>
        </w:rPr>
        <w:t>dysfunction</w:t>
      </w:r>
      <w:r w:rsidR="00270392" w:rsidRPr="00A0600F">
        <w:rPr>
          <w:rFonts w:ascii="Times New Roman" w:hAnsi="Times New Roman" w:cs="Times New Roman"/>
          <w:sz w:val="24"/>
          <w:szCs w:val="24"/>
          <w:lang w:val="en-US"/>
        </w:rPr>
        <w:t>, l</w:t>
      </w:r>
      <w:r w:rsidR="001457E9" w:rsidRPr="00A0600F">
        <w:rPr>
          <w:rFonts w:ascii="Times New Roman" w:hAnsi="Times New Roman" w:cs="Times New Roman"/>
          <w:sz w:val="24"/>
          <w:szCs w:val="24"/>
          <w:lang w:val="en-US"/>
        </w:rPr>
        <w:t>ength of in-hospital stay</w:t>
      </w:r>
      <w:r w:rsidR="00270392" w:rsidRPr="00A0600F">
        <w:rPr>
          <w:rFonts w:ascii="Times New Roman" w:hAnsi="Times New Roman" w:cs="Times New Roman"/>
          <w:sz w:val="24"/>
          <w:szCs w:val="24"/>
          <w:lang w:val="en-US"/>
        </w:rPr>
        <w:t xml:space="preserve"> and eventual </w:t>
      </w:r>
      <w:r w:rsidR="001457E9" w:rsidRPr="00A0600F">
        <w:rPr>
          <w:rFonts w:ascii="Times New Roman" w:hAnsi="Times New Roman" w:cs="Times New Roman"/>
          <w:sz w:val="24"/>
          <w:szCs w:val="24"/>
          <w:lang w:val="en-US"/>
        </w:rPr>
        <w:t>readmission</w:t>
      </w:r>
      <w:r w:rsidR="00270392" w:rsidRPr="00A0600F">
        <w:rPr>
          <w:rFonts w:ascii="Times New Roman" w:hAnsi="Times New Roman" w:cs="Times New Roman"/>
          <w:sz w:val="24"/>
          <w:szCs w:val="24"/>
          <w:lang w:val="en-US"/>
        </w:rPr>
        <w:t xml:space="preserve">. </w:t>
      </w:r>
      <w:r w:rsidR="00742546" w:rsidRPr="00A0600F">
        <w:rPr>
          <w:rFonts w:ascii="Times New Roman" w:hAnsi="Times New Roman" w:cs="Times New Roman"/>
          <w:sz w:val="24"/>
          <w:szCs w:val="24"/>
          <w:lang w:val="en-US"/>
        </w:rPr>
        <w:t>T</w:t>
      </w:r>
      <w:r w:rsidR="001457E9" w:rsidRPr="00A0600F">
        <w:rPr>
          <w:rFonts w:ascii="Times New Roman" w:hAnsi="Times New Roman" w:cs="Times New Roman"/>
          <w:sz w:val="24"/>
          <w:szCs w:val="24"/>
          <w:lang w:val="en-US"/>
        </w:rPr>
        <w:t xml:space="preserve">he grade of </w:t>
      </w:r>
      <w:r w:rsidR="0011000F" w:rsidRPr="00A0600F">
        <w:rPr>
          <w:rFonts w:ascii="Times New Roman" w:hAnsi="Times New Roman" w:cs="Times New Roman"/>
          <w:sz w:val="24"/>
          <w:szCs w:val="24"/>
          <w:lang w:val="en-US"/>
        </w:rPr>
        <w:t xml:space="preserve">each of </w:t>
      </w:r>
      <w:r w:rsidR="001457E9" w:rsidRPr="00A0600F">
        <w:rPr>
          <w:rFonts w:ascii="Times New Roman" w:hAnsi="Times New Roman" w:cs="Times New Roman"/>
          <w:sz w:val="24"/>
          <w:szCs w:val="24"/>
          <w:lang w:val="en-US"/>
        </w:rPr>
        <w:t>the adverse events</w:t>
      </w:r>
      <w:r w:rsidR="00270392" w:rsidRPr="00A0600F">
        <w:rPr>
          <w:rFonts w:ascii="Times New Roman" w:hAnsi="Times New Roman" w:cs="Times New Roman"/>
          <w:sz w:val="24"/>
          <w:szCs w:val="24"/>
          <w:lang w:val="en-US"/>
        </w:rPr>
        <w:t xml:space="preserve"> (AE)</w:t>
      </w:r>
      <w:r w:rsidR="001457E9" w:rsidRPr="00A0600F">
        <w:rPr>
          <w:rFonts w:ascii="Times New Roman" w:hAnsi="Times New Roman" w:cs="Times New Roman"/>
          <w:sz w:val="24"/>
          <w:szCs w:val="24"/>
          <w:lang w:val="en-US"/>
        </w:rPr>
        <w:t xml:space="preserve"> </w:t>
      </w:r>
      <w:r w:rsidR="00270392" w:rsidRPr="00A0600F">
        <w:rPr>
          <w:rFonts w:ascii="Times New Roman" w:hAnsi="Times New Roman" w:cs="Times New Roman"/>
          <w:sz w:val="24"/>
          <w:szCs w:val="24"/>
          <w:lang w:val="en-US"/>
        </w:rPr>
        <w:t>w</w:t>
      </w:r>
      <w:r w:rsidR="00F35310" w:rsidRPr="00A0600F">
        <w:rPr>
          <w:rFonts w:ascii="Times New Roman" w:hAnsi="Times New Roman" w:cs="Times New Roman"/>
          <w:sz w:val="24"/>
          <w:szCs w:val="24"/>
          <w:lang w:val="en-US"/>
        </w:rPr>
        <w:t>as</w:t>
      </w:r>
      <w:r w:rsidR="00270392" w:rsidRPr="00A0600F">
        <w:rPr>
          <w:rFonts w:ascii="Times New Roman" w:hAnsi="Times New Roman" w:cs="Times New Roman"/>
          <w:sz w:val="24"/>
          <w:szCs w:val="24"/>
          <w:lang w:val="en-US"/>
        </w:rPr>
        <w:t xml:space="preserve"> </w:t>
      </w:r>
      <w:r w:rsidR="0011000F" w:rsidRPr="00A0600F">
        <w:rPr>
          <w:rFonts w:ascii="Times New Roman" w:hAnsi="Times New Roman" w:cs="Times New Roman"/>
          <w:sz w:val="24"/>
          <w:szCs w:val="24"/>
          <w:lang w:val="en-US"/>
        </w:rPr>
        <w:t xml:space="preserve">based on the Common Terminology Criteria for Adverse Events (CTCAE) v5.0 and </w:t>
      </w:r>
      <w:proofErr w:type="spellStart"/>
      <w:r w:rsidR="0011000F" w:rsidRPr="00A0600F">
        <w:rPr>
          <w:rFonts w:ascii="Times New Roman" w:hAnsi="Times New Roman" w:cs="Times New Roman"/>
          <w:sz w:val="24"/>
          <w:szCs w:val="24"/>
          <w:lang w:val="en-US"/>
        </w:rPr>
        <w:t>Dindo-Clavien</w:t>
      </w:r>
      <w:proofErr w:type="spellEnd"/>
      <w:r w:rsidR="0011000F" w:rsidRPr="00A0600F">
        <w:rPr>
          <w:rFonts w:ascii="Times New Roman" w:hAnsi="Times New Roman" w:cs="Times New Roman"/>
          <w:sz w:val="24"/>
          <w:szCs w:val="24"/>
          <w:lang w:val="en-US"/>
        </w:rPr>
        <w:t xml:space="preserve"> suggestions </w:t>
      </w:r>
      <w:r w:rsidR="0011000F" w:rsidRPr="00A0600F">
        <w:rPr>
          <w:rFonts w:ascii="Times New Roman" w:hAnsi="Times New Roman" w:cs="Times New Roman"/>
          <w:i/>
          <w:iCs/>
          <w:sz w:val="24"/>
          <w:szCs w:val="24"/>
          <w:lang w:val="en-US"/>
        </w:rPr>
        <w:t>[Ann Surg. 2004 Aug; 240(2): 205–213]</w:t>
      </w:r>
      <w:r w:rsidR="00270392" w:rsidRPr="00A0600F">
        <w:rPr>
          <w:rFonts w:ascii="Times New Roman" w:hAnsi="Times New Roman" w:cs="Times New Roman"/>
          <w:i/>
          <w:iCs/>
          <w:sz w:val="24"/>
          <w:szCs w:val="24"/>
          <w:lang w:val="en-US"/>
        </w:rPr>
        <w:t>.</w:t>
      </w:r>
      <w:r w:rsidR="0041757D" w:rsidRPr="00A0600F">
        <w:rPr>
          <w:rFonts w:ascii="Times New Roman" w:hAnsi="Times New Roman" w:cs="Times New Roman"/>
          <w:sz w:val="24"/>
          <w:szCs w:val="24"/>
          <w:lang w:val="en-US"/>
        </w:rPr>
        <w:t xml:space="preserve"> </w:t>
      </w:r>
      <w:r w:rsidR="00270392" w:rsidRPr="00A0600F">
        <w:rPr>
          <w:rFonts w:ascii="Times New Roman" w:hAnsi="Times New Roman" w:cs="Times New Roman"/>
          <w:sz w:val="24"/>
          <w:szCs w:val="24"/>
          <w:lang w:val="en-US"/>
        </w:rPr>
        <w:t xml:space="preserve">Details on AE definitions are reported in the </w:t>
      </w:r>
      <w:r w:rsidR="00270392" w:rsidRPr="00A0600F">
        <w:rPr>
          <w:rFonts w:ascii="Times New Roman" w:hAnsi="Times New Roman" w:cs="Times New Roman"/>
          <w:i/>
          <w:iCs/>
          <w:sz w:val="24"/>
          <w:szCs w:val="24"/>
          <w:u w:val="single"/>
          <w:lang w:val="en-US"/>
        </w:rPr>
        <w:t>Appendix section</w:t>
      </w:r>
      <w:r w:rsidR="00270392" w:rsidRPr="00A0600F">
        <w:rPr>
          <w:rFonts w:ascii="Times New Roman" w:hAnsi="Times New Roman" w:cs="Times New Roman"/>
          <w:sz w:val="24"/>
          <w:szCs w:val="24"/>
          <w:lang w:val="en-US"/>
        </w:rPr>
        <w:t>.</w:t>
      </w:r>
      <w:r w:rsidR="0098278E" w:rsidRPr="00A0600F">
        <w:rPr>
          <w:rFonts w:ascii="Times New Roman" w:hAnsi="Times New Roman" w:cs="Times New Roman"/>
          <w:sz w:val="24"/>
          <w:szCs w:val="24"/>
          <w:lang w:val="en-US"/>
        </w:rPr>
        <w:t xml:space="preserve"> Post-TACE mortality was defined as death during the initial hospital stay and/or within 30 days after the day of the procedure.</w:t>
      </w:r>
    </w:p>
    <w:p w14:paraId="7216EDA2" w14:textId="43B5924F" w:rsidR="00270392" w:rsidRPr="00A0600F" w:rsidRDefault="001457E9" w:rsidP="00270392">
      <w:pPr>
        <w:spacing w:line="360" w:lineRule="auto"/>
        <w:jc w:val="both"/>
        <w:rPr>
          <w:rFonts w:ascii="Times New Roman" w:eastAsia="Times New Roman" w:hAnsi="Times New Roman" w:cs="Times New Roman"/>
          <w:sz w:val="24"/>
          <w:szCs w:val="24"/>
          <w:lang w:val="en-US" w:eastAsia="it-IT"/>
        </w:rPr>
      </w:pPr>
      <w:r w:rsidRPr="00A0600F">
        <w:rPr>
          <w:rFonts w:ascii="Times New Roman" w:hAnsi="Times New Roman" w:cs="Times New Roman"/>
          <w:sz w:val="24"/>
          <w:szCs w:val="24"/>
          <w:lang w:val="en-US"/>
        </w:rPr>
        <w:tab/>
      </w:r>
      <w:r w:rsidR="0011000F" w:rsidRPr="00A0600F">
        <w:rPr>
          <w:rFonts w:ascii="Times New Roman" w:eastAsia="Times New Roman" w:hAnsi="Times New Roman" w:cs="Times New Roman"/>
          <w:sz w:val="24"/>
          <w:szCs w:val="24"/>
          <w:lang w:val="en-US" w:eastAsia="it-IT"/>
        </w:rPr>
        <w:t xml:space="preserve">The most suitable short-term efficacy measure </w:t>
      </w:r>
      <w:r w:rsidR="00270392" w:rsidRPr="00A0600F">
        <w:rPr>
          <w:rFonts w:ascii="Times New Roman" w:eastAsia="Times New Roman" w:hAnsi="Times New Roman" w:cs="Times New Roman"/>
          <w:sz w:val="24"/>
          <w:szCs w:val="24"/>
          <w:lang w:val="en-US" w:eastAsia="it-IT"/>
        </w:rPr>
        <w:t>wa</w:t>
      </w:r>
      <w:r w:rsidR="0011000F" w:rsidRPr="00A0600F">
        <w:rPr>
          <w:rFonts w:ascii="Times New Roman" w:eastAsia="Times New Roman" w:hAnsi="Times New Roman" w:cs="Times New Roman"/>
          <w:sz w:val="24"/>
          <w:szCs w:val="24"/>
          <w:lang w:val="en-US" w:eastAsia="it-IT"/>
        </w:rPr>
        <w:t xml:space="preserve">s represented by the radiological assessment after TACE performed at </w:t>
      </w:r>
      <w:r w:rsidR="004821E1" w:rsidRPr="00A0600F">
        <w:rPr>
          <w:rFonts w:ascii="Times New Roman" w:eastAsia="Times New Roman" w:hAnsi="Times New Roman" w:cs="Times New Roman"/>
          <w:sz w:val="24"/>
          <w:szCs w:val="24"/>
          <w:lang w:val="en-US" w:eastAsia="it-IT"/>
        </w:rPr>
        <w:t xml:space="preserve">4-8 </w:t>
      </w:r>
      <w:r w:rsidR="00270392" w:rsidRPr="00A0600F">
        <w:rPr>
          <w:rFonts w:ascii="Times New Roman" w:eastAsia="Times New Roman" w:hAnsi="Times New Roman" w:cs="Times New Roman"/>
          <w:sz w:val="24"/>
          <w:szCs w:val="24"/>
          <w:lang w:val="en-US" w:eastAsia="it-IT"/>
        </w:rPr>
        <w:t>weeks</w:t>
      </w:r>
      <w:r w:rsidR="0011000F" w:rsidRPr="00A0600F">
        <w:rPr>
          <w:rFonts w:ascii="Times New Roman" w:eastAsia="Times New Roman" w:hAnsi="Times New Roman" w:cs="Times New Roman"/>
          <w:sz w:val="24"/>
          <w:szCs w:val="24"/>
          <w:lang w:val="en-US" w:eastAsia="it-IT"/>
        </w:rPr>
        <w:t xml:space="preserve">. </w:t>
      </w:r>
      <w:r w:rsidR="00270392" w:rsidRPr="00A0600F">
        <w:rPr>
          <w:rFonts w:ascii="Times New Roman" w:eastAsia="Times New Roman" w:hAnsi="Times New Roman" w:cs="Times New Roman"/>
          <w:sz w:val="24"/>
          <w:szCs w:val="24"/>
          <w:lang w:val="en-US" w:eastAsia="it-IT"/>
        </w:rPr>
        <w:t xml:space="preserve">Radiological response to TACE was assessed through </w:t>
      </w:r>
      <w:proofErr w:type="spellStart"/>
      <w:r w:rsidR="00270392" w:rsidRPr="00A0600F">
        <w:rPr>
          <w:rFonts w:ascii="Times New Roman" w:eastAsia="Times New Roman" w:hAnsi="Times New Roman" w:cs="Times New Roman"/>
          <w:sz w:val="24"/>
          <w:szCs w:val="24"/>
          <w:lang w:val="en-US" w:eastAsia="it-IT"/>
        </w:rPr>
        <w:t>mRECIST</w:t>
      </w:r>
      <w:proofErr w:type="spellEnd"/>
      <w:r w:rsidR="00270392" w:rsidRPr="00A0600F">
        <w:rPr>
          <w:rFonts w:ascii="Times New Roman" w:eastAsia="Times New Roman" w:hAnsi="Times New Roman" w:cs="Times New Roman"/>
          <w:sz w:val="24"/>
          <w:szCs w:val="24"/>
          <w:lang w:val="en-US" w:eastAsia="it-IT"/>
        </w:rPr>
        <w:t xml:space="preserve"> criteria </w:t>
      </w:r>
      <w:r w:rsidR="00270392" w:rsidRPr="00A0600F">
        <w:rPr>
          <w:rFonts w:ascii="Times New Roman" w:eastAsia="Times New Roman" w:hAnsi="Times New Roman" w:cs="Times New Roman"/>
          <w:i/>
          <w:iCs/>
          <w:sz w:val="24"/>
          <w:szCs w:val="24"/>
          <w:lang w:val="en-US" w:eastAsia="it-IT"/>
        </w:rPr>
        <w:t>[J Hepatol. 2020 Feb;72(2):288-306]</w:t>
      </w:r>
      <w:r w:rsidR="00270392" w:rsidRPr="00A0600F">
        <w:rPr>
          <w:rFonts w:ascii="Times New Roman" w:eastAsia="Times New Roman" w:hAnsi="Times New Roman" w:cs="Times New Roman"/>
          <w:sz w:val="24"/>
          <w:szCs w:val="24"/>
          <w:lang w:val="en-US" w:eastAsia="it-IT"/>
        </w:rPr>
        <w:t xml:space="preserve">, since this </w:t>
      </w:r>
      <w:r w:rsidR="0011000F" w:rsidRPr="00A0600F">
        <w:rPr>
          <w:rFonts w:ascii="Times New Roman" w:eastAsia="Times New Roman" w:hAnsi="Times New Roman" w:cs="Times New Roman"/>
          <w:sz w:val="24"/>
          <w:szCs w:val="24"/>
          <w:lang w:val="en-US" w:eastAsia="it-IT"/>
        </w:rPr>
        <w:t xml:space="preserve">assessment already provided good prognostic information </w:t>
      </w:r>
      <w:r w:rsidR="00270392" w:rsidRPr="00A0600F">
        <w:rPr>
          <w:rFonts w:ascii="Times New Roman" w:eastAsia="Times New Roman" w:hAnsi="Times New Roman" w:cs="Times New Roman"/>
          <w:sz w:val="24"/>
          <w:szCs w:val="24"/>
          <w:lang w:val="en-US" w:eastAsia="it-IT"/>
        </w:rPr>
        <w:t xml:space="preserve">on subsequent </w:t>
      </w:r>
      <w:r w:rsidR="000A1C55" w:rsidRPr="00A0600F">
        <w:rPr>
          <w:rFonts w:ascii="Times New Roman" w:eastAsia="Times New Roman" w:hAnsi="Times New Roman" w:cs="Times New Roman"/>
          <w:sz w:val="24"/>
          <w:szCs w:val="24"/>
          <w:lang w:val="en-US" w:eastAsia="it-IT"/>
        </w:rPr>
        <w:t xml:space="preserve">long-term survival </w:t>
      </w:r>
      <w:r w:rsidR="0011000F" w:rsidRPr="00A0600F">
        <w:rPr>
          <w:rFonts w:ascii="Times New Roman" w:eastAsia="Times New Roman" w:hAnsi="Times New Roman" w:cs="Times New Roman"/>
          <w:i/>
          <w:iCs/>
          <w:sz w:val="24"/>
          <w:szCs w:val="24"/>
          <w:lang w:val="en-US" w:eastAsia="it-IT"/>
        </w:rPr>
        <w:t xml:space="preserve">[Hepatology. 2019 Nov 7. </w:t>
      </w:r>
      <w:proofErr w:type="spellStart"/>
      <w:r w:rsidR="0011000F" w:rsidRPr="00A0600F">
        <w:rPr>
          <w:rFonts w:ascii="Times New Roman" w:eastAsia="Times New Roman" w:hAnsi="Times New Roman" w:cs="Times New Roman"/>
          <w:i/>
          <w:iCs/>
          <w:sz w:val="24"/>
          <w:szCs w:val="24"/>
          <w:lang w:val="en-US" w:eastAsia="it-IT"/>
        </w:rPr>
        <w:t>doi</w:t>
      </w:r>
      <w:proofErr w:type="spellEnd"/>
      <w:r w:rsidR="0011000F" w:rsidRPr="00A0600F">
        <w:rPr>
          <w:rFonts w:ascii="Times New Roman" w:eastAsia="Times New Roman" w:hAnsi="Times New Roman" w:cs="Times New Roman"/>
          <w:i/>
          <w:iCs/>
          <w:sz w:val="24"/>
          <w:szCs w:val="24"/>
          <w:lang w:val="en-US" w:eastAsia="it-IT"/>
        </w:rPr>
        <w:t>: 10.1002/hep.31022]</w:t>
      </w:r>
      <w:r w:rsidR="000A1C55" w:rsidRPr="00A0600F">
        <w:rPr>
          <w:rFonts w:ascii="Times New Roman" w:eastAsia="Times New Roman" w:hAnsi="Times New Roman" w:cs="Times New Roman"/>
          <w:sz w:val="24"/>
          <w:szCs w:val="24"/>
          <w:lang w:val="en-US" w:eastAsia="it-IT"/>
        </w:rPr>
        <w:t xml:space="preserve">. Even though mRECIST assessment can be affected by substantial interobserver variation </w:t>
      </w:r>
      <w:r w:rsidR="000A1C55" w:rsidRPr="00A0600F">
        <w:rPr>
          <w:rFonts w:ascii="Times New Roman" w:eastAsia="Times New Roman" w:hAnsi="Times New Roman" w:cs="Times New Roman"/>
          <w:i/>
          <w:iCs/>
          <w:sz w:val="24"/>
          <w:szCs w:val="24"/>
          <w:lang w:val="en-US" w:eastAsia="it-IT"/>
        </w:rPr>
        <w:t xml:space="preserve">[J Hepatol. 2020 Mar 19:S0168-8278(20)30177-X. </w:t>
      </w:r>
      <w:proofErr w:type="spellStart"/>
      <w:r w:rsidR="000A1C55" w:rsidRPr="00A0600F">
        <w:rPr>
          <w:rFonts w:ascii="Times New Roman" w:eastAsia="Times New Roman" w:hAnsi="Times New Roman" w:cs="Times New Roman"/>
          <w:i/>
          <w:iCs/>
          <w:sz w:val="24"/>
          <w:szCs w:val="24"/>
          <w:lang w:val="en-US" w:eastAsia="it-IT"/>
        </w:rPr>
        <w:t>doi</w:t>
      </w:r>
      <w:proofErr w:type="spellEnd"/>
      <w:r w:rsidR="000A1C55" w:rsidRPr="00A0600F">
        <w:rPr>
          <w:rFonts w:ascii="Times New Roman" w:eastAsia="Times New Roman" w:hAnsi="Times New Roman" w:cs="Times New Roman"/>
          <w:i/>
          <w:iCs/>
          <w:sz w:val="24"/>
          <w:szCs w:val="24"/>
          <w:lang w:val="en-US" w:eastAsia="it-IT"/>
        </w:rPr>
        <w:t>: 10.1016/j.jhep.2020.03.018.]</w:t>
      </w:r>
      <w:r w:rsidR="000A1C55" w:rsidRPr="00A0600F">
        <w:rPr>
          <w:rFonts w:ascii="Times New Roman" w:eastAsia="Times New Roman" w:hAnsi="Times New Roman" w:cs="Times New Roman"/>
          <w:sz w:val="24"/>
          <w:szCs w:val="24"/>
          <w:lang w:val="en-US" w:eastAsia="it-IT"/>
        </w:rPr>
        <w:t>,</w:t>
      </w:r>
      <w:r w:rsidR="004821E1" w:rsidRPr="00A0600F">
        <w:rPr>
          <w:rFonts w:ascii="Times New Roman" w:eastAsia="Times New Roman" w:hAnsi="Times New Roman" w:cs="Times New Roman"/>
          <w:sz w:val="24"/>
          <w:szCs w:val="24"/>
          <w:lang w:val="en-US" w:eastAsia="it-IT"/>
        </w:rPr>
        <w:t xml:space="preserve"> the centralized review of relevant scans would not be a solution in the routine clinical practice, thus, we made the pragmatic decision that mRECIST classification, as assessed by the local investigator, would be used in the present study </w:t>
      </w:r>
      <w:r w:rsidR="004821E1" w:rsidRPr="00A0600F">
        <w:rPr>
          <w:rFonts w:ascii="Times New Roman" w:eastAsia="Times New Roman" w:hAnsi="Times New Roman" w:cs="Times New Roman"/>
          <w:i/>
          <w:iCs/>
          <w:sz w:val="24"/>
          <w:szCs w:val="24"/>
          <w:lang w:val="en-US" w:eastAsia="it-IT"/>
        </w:rPr>
        <w:t>[Hepatology. 2020 Jul; 72(1): 198–212.]</w:t>
      </w:r>
      <w:r w:rsidR="004821E1" w:rsidRPr="00A0600F">
        <w:rPr>
          <w:rFonts w:ascii="Times New Roman" w:eastAsia="Times New Roman" w:hAnsi="Times New Roman" w:cs="Times New Roman"/>
          <w:sz w:val="24"/>
          <w:szCs w:val="24"/>
          <w:lang w:val="en-US" w:eastAsia="it-IT"/>
        </w:rPr>
        <w:t>.</w:t>
      </w:r>
      <w:r w:rsidR="005A5CD1" w:rsidRPr="00A0600F">
        <w:rPr>
          <w:rFonts w:ascii="Times New Roman" w:eastAsia="Times New Roman" w:hAnsi="Times New Roman" w:cs="Times New Roman"/>
          <w:sz w:val="24"/>
          <w:szCs w:val="24"/>
          <w:lang w:val="en-US" w:eastAsia="it-IT"/>
        </w:rPr>
        <w:t xml:space="preserve"> </w:t>
      </w:r>
    </w:p>
    <w:p w14:paraId="2D78B5DF" w14:textId="376AFDA5" w:rsidR="0011000F" w:rsidRPr="00A0600F" w:rsidRDefault="000A1C55" w:rsidP="005C04BE">
      <w:pPr>
        <w:spacing w:line="360" w:lineRule="auto"/>
        <w:ind w:firstLine="708"/>
        <w:jc w:val="both"/>
        <w:rPr>
          <w:rFonts w:ascii="Times New Roman" w:eastAsia="Times New Roman" w:hAnsi="Times New Roman" w:cs="Times New Roman"/>
          <w:sz w:val="24"/>
          <w:szCs w:val="24"/>
          <w:lang w:val="en-US" w:eastAsia="it-IT"/>
        </w:rPr>
      </w:pPr>
      <w:r w:rsidRPr="00A0600F">
        <w:rPr>
          <w:rFonts w:ascii="Times New Roman" w:hAnsi="Times New Roman" w:cs="Times New Roman"/>
          <w:sz w:val="24"/>
          <w:szCs w:val="24"/>
          <w:lang w:val="en-US"/>
        </w:rPr>
        <w:t xml:space="preserve">Finally, safety and efficacy items </w:t>
      </w:r>
      <w:r w:rsidR="004821E1" w:rsidRPr="00A0600F">
        <w:rPr>
          <w:rFonts w:ascii="Times New Roman" w:hAnsi="Times New Roman" w:cs="Times New Roman"/>
          <w:sz w:val="24"/>
          <w:szCs w:val="24"/>
          <w:lang w:val="en-US"/>
        </w:rPr>
        <w:t xml:space="preserve">were </w:t>
      </w:r>
      <w:r w:rsidRPr="00A0600F">
        <w:rPr>
          <w:rFonts w:ascii="Times New Roman" w:hAnsi="Times New Roman" w:cs="Times New Roman"/>
          <w:sz w:val="24"/>
          <w:szCs w:val="24"/>
          <w:lang w:val="en-US"/>
        </w:rPr>
        <w:t xml:space="preserve">pooled </w:t>
      </w:r>
      <w:r w:rsidR="004821E1" w:rsidRPr="00A0600F">
        <w:rPr>
          <w:rFonts w:ascii="Times New Roman" w:hAnsi="Times New Roman" w:cs="Times New Roman"/>
          <w:sz w:val="24"/>
          <w:szCs w:val="24"/>
          <w:lang w:val="en-US"/>
        </w:rPr>
        <w:t xml:space="preserve">in the following </w:t>
      </w:r>
      <w:r w:rsidRPr="00A0600F">
        <w:rPr>
          <w:rFonts w:ascii="Times New Roman" w:hAnsi="Times New Roman" w:cs="Times New Roman"/>
          <w:sz w:val="24"/>
          <w:szCs w:val="24"/>
          <w:lang w:val="en-US"/>
        </w:rPr>
        <w:t xml:space="preserve">TO </w:t>
      </w:r>
      <w:r w:rsidR="004821E1" w:rsidRPr="00A0600F">
        <w:rPr>
          <w:rFonts w:ascii="Times New Roman" w:hAnsi="Times New Roman" w:cs="Times New Roman"/>
          <w:sz w:val="24"/>
          <w:szCs w:val="24"/>
          <w:lang w:val="en-US"/>
        </w:rPr>
        <w:t>definition</w:t>
      </w:r>
      <w:r w:rsidRPr="00A0600F">
        <w:rPr>
          <w:rFonts w:ascii="Times New Roman" w:hAnsi="Times New Roman" w:cs="Times New Roman"/>
          <w:sz w:val="24"/>
          <w:szCs w:val="24"/>
          <w:lang w:val="en-US"/>
        </w:rPr>
        <w:t>:</w:t>
      </w:r>
      <w:r w:rsidR="0011000F" w:rsidRPr="00A0600F">
        <w:rPr>
          <w:rFonts w:ascii="Times New Roman" w:hAnsi="Times New Roman" w:cs="Times New Roman"/>
          <w:sz w:val="24"/>
          <w:szCs w:val="24"/>
          <w:lang w:val="en-US"/>
        </w:rPr>
        <w:t xml:space="preserve"> </w:t>
      </w:r>
      <w:r w:rsidRPr="00A0600F">
        <w:rPr>
          <w:rFonts w:ascii="Times New Roman" w:hAnsi="Times New Roman" w:cs="Times New Roman"/>
          <w:sz w:val="24"/>
          <w:szCs w:val="24"/>
          <w:lang w:val="en-US"/>
        </w:rPr>
        <w:t>“</w:t>
      </w:r>
      <w:r w:rsidRPr="00A0600F">
        <w:rPr>
          <w:rFonts w:ascii="Times New Roman" w:hAnsi="Times New Roman" w:cs="Times New Roman"/>
          <w:i/>
          <w:iCs/>
          <w:sz w:val="24"/>
          <w:szCs w:val="24"/>
          <w:lang w:val="en-US"/>
        </w:rPr>
        <w:t>n</w:t>
      </w:r>
      <w:r w:rsidR="0011000F" w:rsidRPr="00A0600F">
        <w:rPr>
          <w:rFonts w:ascii="Times New Roman" w:eastAsia="Times New Roman" w:hAnsi="Times New Roman" w:cs="Times New Roman"/>
          <w:i/>
          <w:iCs/>
          <w:sz w:val="24"/>
          <w:szCs w:val="24"/>
          <w:lang w:val="en-US" w:eastAsia="it-IT"/>
        </w:rPr>
        <w:t>o post-TACE complications, no prolonged hospital stay as defined as a postoperative stay ≤</w:t>
      </w:r>
      <w:r w:rsidR="00A6363C" w:rsidRPr="00A0600F">
        <w:rPr>
          <w:rFonts w:ascii="Times New Roman" w:eastAsia="Times New Roman" w:hAnsi="Times New Roman" w:cs="Times New Roman"/>
          <w:i/>
          <w:iCs/>
          <w:sz w:val="24"/>
          <w:szCs w:val="24"/>
          <w:lang w:val="en-US" w:eastAsia="it-IT"/>
        </w:rPr>
        <w:t>75</w:t>
      </w:r>
      <w:r w:rsidR="0011000F" w:rsidRPr="00A0600F">
        <w:rPr>
          <w:rFonts w:ascii="Times New Roman" w:eastAsia="Times New Roman" w:hAnsi="Times New Roman" w:cs="Times New Roman"/>
          <w:i/>
          <w:iCs/>
          <w:sz w:val="24"/>
          <w:szCs w:val="24"/>
          <w:lang w:val="en-US" w:eastAsia="it-IT"/>
        </w:rPr>
        <w:t>th percentile of the</w:t>
      </w:r>
      <w:r w:rsidR="00A6363C" w:rsidRPr="00A0600F">
        <w:rPr>
          <w:rFonts w:ascii="Times New Roman" w:eastAsia="Times New Roman" w:hAnsi="Times New Roman" w:cs="Times New Roman"/>
          <w:i/>
          <w:iCs/>
          <w:sz w:val="24"/>
          <w:szCs w:val="24"/>
          <w:lang w:val="en-US" w:eastAsia="it-IT"/>
        </w:rPr>
        <w:t xml:space="preserve"> median values from the</w:t>
      </w:r>
      <w:r w:rsidR="0011000F" w:rsidRPr="00A0600F">
        <w:rPr>
          <w:rFonts w:ascii="Times New Roman" w:eastAsia="Times New Roman" w:hAnsi="Times New Roman" w:cs="Times New Roman"/>
          <w:i/>
          <w:iCs/>
          <w:sz w:val="24"/>
          <w:szCs w:val="24"/>
          <w:lang w:val="en-US" w:eastAsia="it-IT"/>
        </w:rPr>
        <w:t xml:space="preserve"> total cohort, no readmission or mortality within 30 days and the achievement of an objective response (</w:t>
      </w:r>
      <w:r w:rsidR="00AD6118" w:rsidRPr="00A0600F">
        <w:rPr>
          <w:rFonts w:ascii="Times New Roman" w:eastAsia="Times New Roman" w:hAnsi="Times New Roman" w:cs="Times New Roman"/>
          <w:i/>
          <w:iCs/>
          <w:sz w:val="24"/>
          <w:szCs w:val="24"/>
          <w:lang w:val="en-US" w:eastAsia="it-IT"/>
        </w:rPr>
        <w:t xml:space="preserve">OR = </w:t>
      </w:r>
      <w:r w:rsidR="0011000F" w:rsidRPr="00A0600F">
        <w:rPr>
          <w:rFonts w:ascii="Times New Roman" w:eastAsia="Times New Roman" w:hAnsi="Times New Roman" w:cs="Times New Roman"/>
          <w:i/>
          <w:iCs/>
          <w:sz w:val="24"/>
          <w:szCs w:val="24"/>
          <w:lang w:val="en-US" w:eastAsia="it-IT"/>
        </w:rPr>
        <w:t>CR + PR) at the post-TACE imaging."</w:t>
      </w:r>
      <w:r w:rsidR="0011000F" w:rsidRPr="00A0600F">
        <w:rPr>
          <w:rFonts w:ascii="Times New Roman" w:eastAsia="Times New Roman" w:hAnsi="Times New Roman" w:cs="Times New Roman"/>
          <w:sz w:val="24"/>
          <w:szCs w:val="24"/>
          <w:lang w:val="en-US" w:eastAsia="it-IT"/>
        </w:rPr>
        <w:t xml:space="preserve"> .</w:t>
      </w:r>
      <w:r w:rsidR="005A5CD1" w:rsidRPr="00A0600F">
        <w:rPr>
          <w:rFonts w:ascii="Times New Roman" w:eastAsia="Times New Roman" w:hAnsi="Times New Roman" w:cs="Times New Roman"/>
          <w:sz w:val="24"/>
          <w:szCs w:val="24"/>
          <w:lang w:val="en-US" w:eastAsia="it-IT"/>
        </w:rPr>
        <w:t xml:space="preserve"> Notably, considering that TACE is not a potentially curative therapy the main aim should be the control of the disease, thus, OR well accomplish this task. </w:t>
      </w:r>
    </w:p>
    <w:p w14:paraId="44FB2605" w14:textId="28EDE7A8" w:rsidR="005968F4" w:rsidRPr="00A0600F" w:rsidRDefault="005968F4" w:rsidP="005968F4">
      <w:pPr>
        <w:spacing w:line="360" w:lineRule="auto"/>
        <w:jc w:val="both"/>
        <w:rPr>
          <w:rFonts w:ascii="Times New Roman" w:eastAsia="Times New Roman" w:hAnsi="Times New Roman" w:cs="Times New Roman"/>
          <w:b/>
          <w:bCs/>
          <w:sz w:val="24"/>
          <w:szCs w:val="24"/>
          <w:lang w:val="en-US" w:eastAsia="it-IT"/>
        </w:rPr>
      </w:pPr>
      <w:r w:rsidRPr="00A0600F">
        <w:rPr>
          <w:rFonts w:ascii="Times New Roman" w:eastAsia="Times New Roman" w:hAnsi="Times New Roman" w:cs="Times New Roman"/>
          <w:b/>
          <w:bCs/>
          <w:sz w:val="24"/>
          <w:szCs w:val="24"/>
          <w:lang w:val="en-US" w:eastAsia="it-IT"/>
        </w:rPr>
        <w:t xml:space="preserve">Statistical analysis </w:t>
      </w:r>
    </w:p>
    <w:p w14:paraId="3FD7E1DF" w14:textId="43355CFC" w:rsidR="007808F7" w:rsidRPr="00A0600F" w:rsidRDefault="005968F4" w:rsidP="00102276">
      <w:pPr>
        <w:spacing w:after="120"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ab/>
      </w:r>
      <w:r w:rsidR="00FA2C14" w:rsidRPr="00A0600F">
        <w:rPr>
          <w:rFonts w:ascii="Times New Roman" w:hAnsi="Times New Roman" w:cs="Times New Roman"/>
          <w:sz w:val="24"/>
          <w:szCs w:val="24"/>
          <w:lang w:val="en-US"/>
        </w:rPr>
        <w:t>Since</w:t>
      </w:r>
      <w:r w:rsidR="001B476E" w:rsidRPr="00A0600F">
        <w:rPr>
          <w:rFonts w:ascii="Times New Roman" w:hAnsi="Times New Roman" w:cs="Times New Roman"/>
          <w:sz w:val="24"/>
          <w:szCs w:val="24"/>
          <w:lang w:val="en-US"/>
        </w:rPr>
        <w:t xml:space="preserve"> data derived from a multi-institutional experience, we first investigated heterogeneity among clinical variables potentially able to affect the outcome/s of interest applying a random-effect model</w:t>
      </w:r>
      <w:r w:rsidR="006C5C15" w:rsidRPr="00A0600F">
        <w:rPr>
          <w:rFonts w:ascii="Times New Roman" w:hAnsi="Times New Roman" w:cs="Times New Roman"/>
          <w:sz w:val="24"/>
          <w:szCs w:val="24"/>
          <w:lang w:val="en-US"/>
        </w:rPr>
        <w:t xml:space="preserve"> </w:t>
      </w:r>
      <w:r w:rsidR="006C5C15" w:rsidRPr="00A0600F">
        <w:rPr>
          <w:rFonts w:ascii="Times New Roman" w:hAnsi="Times New Roman" w:cs="Times New Roman"/>
          <w:i/>
          <w:iCs/>
          <w:sz w:val="24"/>
          <w:szCs w:val="24"/>
          <w:lang w:val="en-US"/>
        </w:rPr>
        <w:t>[Control Clin Trials. 1986 Sep;7(3):177-88]</w:t>
      </w:r>
      <w:r w:rsidR="001B476E" w:rsidRPr="00A0600F">
        <w:rPr>
          <w:rFonts w:ascii="Times New Roman" w:hAnsi="Times New Roman" w:cs="Times New Roman"/>
          <w:sz w:val="24"/>
          <w:szCs w:val="24"/>
          <w:lang w:val="en-US"/>
        </w:rPr>
        <w:t xml:space="preserve">. </w:t>
      </w:r>
      <w:r w:rsidR="00102276" w:rsidRPr="00A0600F">
        <w:rPr>
          <w:rFonts w:ascii="Times New Roman" w:hAnsi="Times New Roman" w:cs="Times New Roman"/>
          <w:sz w:val="24"/>
          <w:szCs w:val="24"/>
          <w:lang w:val="en-US"/>
        </w:rPr>
        <w:t>Heterogeneity (I</w:t>
      </w:r>
      <w:r w:rsidR="00102276" w:rsidRPr="00A0600F">
        <w:rPr>
          <w:rFonts w:ascii="Times New Roman" w:hAnsi="Times New Roman" w:cs="Times New Roman"/>
          <w:sz w:val="24"/>
          <w:szCs w:val="24"/>
          <w:vertAlign w:val="superscript"/>
          <w:lang w:val="en-US"/>
        </w:rPr>
        <w:t>2</w:t>
      </w:r>
      <w:r w:rsidR="00102276" w:rsidRPr="00A0600F">
        <w:rPr>
          <w:rFonts w:ascii="Times New Roman" w:hAnsi="Times New Roman" w:cs="Times New Roman"/>
          <w:sz w:val="24"/>
          <w:szCs w:val="24"/>
          <w:lang w:val="en-US"/>
        </w:rPr>
        <w:t>) was properly calculated and interpreted as follows &lt;25% = low heterogeneity; 25%-50% = medium, 51%-75% = substantial and &gt;75% = considerable</w:t>
      </w:r>
      <w:r w:rsidR="006C5C15" w:rsidRPr="00A0600F">
        <w:rPr>
          <w:rFonts w:ascii="Times New Roman" w:hAnsi="Times New Roman" w:cs="Times New Roman"/>
          <w:sz w:val="24"/>
          <w:szCs w:val="24"/>
          <w:lang w:val="en-US"/>
        </w:rPr>
        <w:t xml:space="preserve"> </w:t>
      </w:r>
      <w:r w:rsidR="006C5C15" w:rsidRPr="00A0600F">
        <w:rPr>
          <w:rFonts w:ascii="Times New Roman" w:hAnsi="Times New Roman" w:cs="Times New Roman"/>
          <w:i/>
          <w:iCs/>
          <w:sz w:val="24"/>
          <w:szCs w:val="24"/>
          <w:lang w:val="en-GB"/>
        </w:rPr>
        <w:t>[Stat Med. 2002;21:1539–58]</w:t>
      </w:r>
      <w:r w:rsidR="00102276" w:rsidRPr="00A0600F">
        <w:rPr>
          <w:rFonts w:ascii="Times New Roman" w:hAnsi="Times New Roman" w:cs="Times New Roman"/>
          <w:sz w:val="24"/>
          <w:szCs w:val="24"/>
          <w:lang w:val="en-US"/>
        </w:rPr>
        <w:t xml:space="preserve">. </w:t>
      </w:r>
      <w:r w:rsidR="000333A1" w:rsidRPr="00A0600F">
        <w:rPr>
          <w:rFonts w:ascii="Times New Roman" w:hAnsi="Times New Roman" w:cs="Times New Roman"/>
          <w:sz w:val="24"/>
          <w:szCs w:val="24"/>
          <w:lang w:val="en-US"/>
        </w:rPr>
        <w:t xml:space="preserve">Then, the potential impact of each clinical variable on TO was investigated through </w:t>
      </w:r>
      <w:r w:rsidR="00C71F71" w:rsidRPr="00A0600F">
        <w:rPr>
          <w:rFonts w:ascii="Times New Roman" w:hAnsi="Times New Roman" w:cs="Times New Roman"/>
          <w:sz w:val="24"/>
          <w:szCs w:val="24"/>
          <w:lang w:val="en-US"/>
        </w:rPr>
        <w:t>multilevel mixed-effects logistic regression</w:t>
      </w:r>
      <w:r w:rsidR="006C5C15" w:rsidRPr="00A0600F">
        <w:rPr>
          <w:rFonts w:ascii="Times New Roman" w:hAnsi="Times New Roman" w:cs="Times New Roman"/>
          <w:sz w:val="24"/>
          <w:szCs w:val="24"/>
          <w:lang w:val="en-US"/>
        </w:rPr>
        <w:t xml:space="preserve"> (risk-adjustment)</w:t>
      </w:r>
      <w:r w:rsidR="00892FBB" w:rsidRPr="00A0600F">
        <w:rPr>
          <w:rFonts w:ascii="Times New Roman" w:hAnsi="Times New Roman" w:cs="Times New Roman"/>
          <w:sz w:val="24"/>
          <w:szCs w:val="24"/>
          <w:lang w:val="en-US"/>
        </w:rPr>
        <w:t xml:space="preserve">. This </w:t>
      </w:r>
      <w:r w:rsidR="00F35310" w:rsidRPr="00A0600F">
        <w:rPr>
          <w:rFonts w:ascii="Times New Roman" w:hAnsi="Times New Roman" w:cs="Times New Roman"/>
          <w:sz w:val="24"/>
          <w:szCs w:val="24"/>
          <w:lang w:val="en-US"/>
        </w:rPr>
        <w:t xml:space="preserve">methodology </w:t>
      </w:r>
      <w:r w:rsidR="00892FBB" w:rsidRPr="00A0600F">
        <w:rPr>
          <w:rFonts w:ascii="Times New Roman" w:hAnsi="Times New Roman" w:cs="Times New Roman"/>
          <w:sz w:val="24"/>
          <w:szCs w:val="24"/>
          <w:lang w:val="en-US"/>
        </w:rPr>
        <w:t>allow</w:t>
      </w:r>
      <w:r w:rsidR="00F35310" w:rsidRPr="00A0600F">
        <w:rPr>
          <w:rFonts w:ascii="Times New Roman" w:hAnsi="Times New Roman" w:cs="Times New Roman"/>
          <w:sz w:val="24"/>
          <w:szCs w:val="24"/>
          <w:lang w:val="en-US"/>
        </w:rPr>
        <w:t xml:space="preserve">s </w:t>
      </w:r>
      <w:r w:rsidR="00892FBB" w:rsidRPr="00A0600F">
        <w:rPr>
          <w:rFonts w:ascii="Times New Roman" w:hAnsi="Times New Roman" w:cs="Times New Roman"/>
          <w:sz w:val="24"/>
          <w:szCs w:val="24"/>
          <w:lang w:val="en-US"/>
        </w:rPr>
        <w:t xml:space="preserve">to handle for </w:t>
      </w:r>
      <w:r w:rsidR="001B476E" w:rsidRPr="00A0600F">
        <w:rPr>
          <w:rFonts w:ascii="Times New Roman" w:hAnsi="Times New Roman" w:cs="Times New Roman"/>
          <w:sz w:val="24"/>
          <w:szCs w:val="24"/>
          <w:lang w:val="en-US"/>
        </w:rPr>
        <w:t>the diversity of patients in each center involved</w:t>
      </w:r>
      <w:r w:rsidR="00892FBB" w:rsidRPr="00A0600F">
        <w:rPr>
          <w:rFonts w:ascii="Times New Roman" w:hAnsi="Times New Roman" w:cs="Times New Roman"/>
          <w:sz w:val="24"/>
          <w:szCs w:val="24"/>
          <w:lang w:val="en-US"/>
        </w:rPr>
        <w:t xml:space="preserve">, providing </w:t>
      </w:r>
      <w:r w:rsidR="001B476E" w:rsidRPr="00A0600F">
        <w:rPr>
          <w:rFonts w:ascii="Times New Roman" w:hAnsi="Times New Roman" w:cs="Times New Roman"/>
          <w:sz w:val="24"/>
          <w:szCs w:val="24"/>
          <w:lang w:val="en-US"/>
        </w:rPr>
        <w:t>t</w:t>
      </w:r>
      <w:r w:rsidR="00892FBB" w:rsidRPr="00A0600F">
        <w:rPr>
          <w:rFonts w:ascii="Times New Roman" w:hAnsi="Times New Roman" w:cs="Times New Roman"/>
          <w:sz w:val="24"/>
          <w:szCs w:val="24"/>
          <w:lang w:val="en-US"/>
        </w:rPr>
        <w:t>he</w:t>
      </w:r>
      <w:r w:rsidR="001B476E" w:rsidRPr="00A0600F">
        <w:rPr>
          <w:rFonts w:ascii="Times New Roman" w:hAnsi="Times New Roman" w:cs="Times New Roman"/>
          <w:sz w:val="24"/>
          <w:szCs w:val="24"/>
          <w:lang w:val="en-US"/>
        </w:rPr>
        <w:t xml:space="preserve"> predict</w:t>
      </w:r>
      <w:r w:rsidR="00892FBB" w:rsidRPr="00A0600F">
        <w:rPr>
          <w:rFonts w:ascii="Times New Roman" w:hAnsi="Times New Roman" w:cs="Times New Roman"/>
          <w:sz w:val="24"/>
          <w:szCs w:val="24"/>
          <w:lang w:val="en-US"/>
        </w:rPr>
        <w:t>ion</w:t>
      </w:r>
      <w:r w:rsidR="001B476E" w:rsidRPr="00A0600F">
        <w:rPr>
          <w:rFonts w:ascii="Times New Roman" w:hAnsi="Times New Roman" w:cs="Times New Roman"/>
          <w:sz w:val="24"/>
          <w:szCs w:val="24"/>
          <w:lang w:val="en-US"/>
        </w:rPr>
        <w:t xml:space="preserve"> </w:t>
      </w:r>
      <w:r w:rsidR="00892FBB" w:rsidRPr="00A0600F">
        <w:rPr>
          <w:rFonts w:ascii="Times New Roman" w:hAnsi="Times New Roman" w:cs="Times New Roman"/>
          <w:sz w:val="24"/>
          <w:szCs w:val="24"/>
          <w:lang w:val="en-US"/>
        </w:rPr>
        <w:t xml:space="preserve">of </w:t>
      </w:r>
      <w:r w:rsidR="001B476E" w:rsidRPr="00A0600F">
        <w:rPr>
          <w:rFonts w:ascii="Times New Roman" w:hAnsi="Times New Roman" w:cs="Times New Roman"/>
          <w:sz w:val="24"/>
          <w:szCs w:val="24"/>
          <w:lang w:val="en-US"/>
        </w:rPr>
        <w:t>what each center's outcome would have been for a standard patient or population, removing the predictable effects of differences across centers</w:t>
      </w:r>
      <w:r w:rsidR="006C5C15" w:rsidRPr="00A0600F">
        <w:rPr>
          <w:rFonts w:ascii="Times New Roman" w:hAnsi="Times New Roman" w:cs="Times New Roman"/>
          <w:sz w:val="24"/>
          <w:szCs w:val="24"/>
          <w:lang w:val="en-US"/>
        </w:rPr>
        <w:t xml:space="preserve"> </w:t>
      </w:r>
      <w:r w:rsidR="006C5C15" w:rsidRPr="00A0600F">
        <w:rPr>
          <w:rFonts w:ascii="Times New Roman" w:hAnsi="Times New Roman" w:cs="Times New Roman"/>
          <w:i/>
          <w:iCs/>
          <w:sz w:val="24"/>
          <w:szCs w:val="24"/>
          <w:lang w:val="en-US"/>
        </w:rPr>
        <w:t xml:space="preserve">[Stat Med. 1997 Dec </w:t>
      </w:r>
      <w:r w:rsidR="006C5C15" w:rsidRPr="00A0600F">
        <w:rPr>
          <w:rFonts w:ascii="Times New Roman" w:hAnsi="Times New Roman" w:cs="Times New Roman"/>
          <w:i/>
          <w:iCs/>
          <w:sz w:val="24"/>
          <w:szCs w:val="24"/>
          <w:lang w:val="en-US"/>
        </w:rPr>
        <w:lastRenderedPageBreak/>
        <w:t>15;16(23):2645-64]</w:t>
      </w:r>
      <w:r w:rsidR="00F35310" w:rsidRPr="00A0600F">
        <w:rPr>
          <w:rFonts w:ascii="Times New Roman" w:hAnsi="Times New Roman" w:cs="Times New Roman"/>
          <w:sz w:val="24"/>
          <w:szCs w:val="24"/>
          <w:lang w:val="en-US"/>
        </w:rPr>
        <w:t>.</w:t>
      </w:r>
      <w:r w:rsidR="00DF2DF7" w:rsidRPr="00A0600F">
        <w:rPr>
          <w:rFonts w:ascii="Times New Roman" w:hAnsi="Times New Roman" w:cs="Times New Roman"/>
          <w:sz w:val="24"/>
          <w:szCs w:val="24"/>
          <w:lang w:val="en-US"/>
        </w:rPr>
        <w:t xml:space="preserve"> Once this adjustment is performed, residual differences in outcomes are thought to be related to provider quality.</w:t>
      </w:r>
      <w:r w:rsidR="00892FBB" w:rsidRPr="00A0600F">
        <w:rPr>
          <w:rFonts w:ascii="Times New Roman" w:hAnsi="Times New Roman" w:cs="Times New Roman"/>
          <w:sz w:val="24"/>
          <w:szCs w:val="24"/>
          <w:lang w:val="en-US"/>
        </w:rPr>
        <w:t xml:space="preserve"> By this way, a r</w:t>
      </w:r>
      <w:r w:rsidR="000333A1" w:rsidRPr="00A0600F">
        <w:rPr>
          <w:rFonts w:ascii="Times New Roman" w:hAnsi="Times New Roman" w:cs="Times New Roman"/>
          <w:sz w:val="24"/>
          <w:szCs w:val="24"/>
          <w:lang w:val="en-US"/>
        </w:rPr>
        <w:t xml:space="preserve">isk-standardized hospital </w:t>
      </w:r>
      <w:r w:rsidR="00892FBB" w:rsidRPr="00A0600F">
        <w:rPr>
          <w:rFonts w:ascii="Times New Roman" w:hAnsi="Times New Roman" w:cs="Times New Roman"/>
          <w:sz w:val="24"/>
          <w:szCs w:val="24"/>
          <w:lang w:val="en-US"/>
        </w:rPr>
        <w:t>TO</w:t>
      </w:r>
      <w:r w:rsidR="000333A1" w:rsidRPr="00A0600F">
        <w:rPr>
          <w:rFonts w:ascii="Times New Roman" w:hAnsi="Times New Roman" w:cs="Times New Roman"/>
          <w:sz w:val="24"/>
          <w:szCs w:val="24"/>
          <w:lang w:val="en-US"/>
        </w:rPr>
        <w:t xml:space="preserve"> was finally </w:t>
      </w:r>
      <w:r w:rsidR="00892FBB" w:rsidRPr="00A0600F">
        <w:rPr>
          <w:rFonts w:ascii="Times New Roman" w:hAnsi="Times New Roman" w:cs="Times New Roman"/>
          <w:sz w:val="24"/>
          <w:szCs w:val="24"/>
          <w:lang w:val="en-US"/>
        </w:rPr>
        <w:t>calculated for each center involved</w:t>
      </w:r>
      <w:r w:rsidR="000333A1" w:rsidRPr="00A0600F">
        <w:rPr>
          <w:rFonts w:ascii="Times New Roman" w:hAnsi="Times New Roman" w:cs="Times New Roman"/>
          <w:sz w:val="24"/>
          <w:szCs w:val="24"/>
          <w:lang w:val="en-US"/>
        </w:rPr>
        <w:t>.</w:t>
      </w:r>
      <w:r w:rsidR="00310FEA" w:rsidRPr="00A0600F">
        <w:rPr>
          <w:rFonts w:ascii="Times New Roman" w:hAnsi="Times New Roman" w:cs="Times New Roman"/>
          <w:sz w:val="24"/>
          <w:szCs w:val="24"/>
          <w:lang w:val="en-US"/>
        </w:rPr>
        <w:t xml:space="preserve"> Finally, the impact of TO achievement on overall survival was tested considering th</w:t>
      </w:r>
      <w:r w:rsidR="00206865" w:rsidRPr="00A0600F">
        <w:rPr>
          <w:rFonts w:ascii="Times New Roman" w:hAnsi="Times New Roman" w:cs="Times New Roman"/>
          <w:sz w:val="24"/>
          <w:szCs w:val="24"/>
          <w:lang w:val="en-US"/>
        </w:rPr>
        <w:t>at the final TO achievement was based on radiological response assessment, thus,</w:t>
      </w:r>
      <w:r w:rsidR="00310FEA" w:rsidRPr="00A0600F">
        <w:rPr>
          <w:rFonts w:ascii="Times New Roman" w:hAnsi="Times New Roman" w:cs="Times New Roman"/>
          <w:sz w:val="24"/>
          <w:szCs w:val="24"/>
          <w:lang w:val="en-US"/>
        </w:rPr>
        <w:t xml:space="preserve"> as a time-dependent covariate. </w:t>
      </w:r>
      <w:r w:rsidR="006C5C15" w:rsidRPr="00A0600F">
        <w:rPr>
          <w:rFonts w:ascii="Times New Roman" w:hAnsi="Times New Roman" w:cs="Times New Roman"/>
          <w:sz w:val="24"/>
          <w:szCs w:val="24"/>
          <w:lang w:val="en-US"/>
        </w:rPr>
        <w:t>This was accomplished through Cox regression analysis</w:t>
      </w:r>
      <w:r w:rsidR="00E55CB1" w:rsidRPr="00A0600F">
        <w:rPr>
          <w:rFonts w:ascii="Times New Roman" w:hAnsi="Times New Roman" w:cs="Times New Roman"/>
          <w:sz w:val="24"/>
          <w:szCs w:val="24"/>
          <w:lang w:val="en-US"/>
        </w:rPr>
        <w:t>, using the number of involved centers as strata, to provide the most robust variance estimation</w:t>
      </w:r>
      <w:r w:rsidR="006C5C15" w:rsidRPr="00A0600F">
        <w:rPr>
          <w:rFonts w:ascii="Times New Roman" w:hAnsi="Times New Roman" w:cs="Times New Roman"/>
          <w:sz w:val="24"/>
          <w:szCs w:val="24"/>
          <w:lang w:val="en-US"/>
        </w:rPr>
        <w:t xml:space="preserve">. </w:t>
      </w:r>
      <w:r w:rsidR="00897498" w:rsidRPr="00A0600F">
        <w:rPr>
          <w:rFonts w:ascii="Times New Roman" w:hAnsi="Times New Roman" w:cs="Times New Roman"/>
          <w:sz w:val="24"/>
          <w:szCs w:val="24"/>
          <w:lang w:val="en-US"/>
        </w:rPr>
        <w:t xml:space="preserve">Survival was computed from the day of TACE until the last follow-up or death. Transplanted patients were censored the day prior of transplant. </w:t>
      </w:r>
      <w:r w:rsidR="00E55CB1" w:rsidRPr="00A0600F">
        <w:rPr>
          <w:rFonts w:ascii="Times New Roman" w:hAnsi="Times New Roman" w:cs="Times New Roman"/>
          <w:sz w:val="24"/>
          <w:szCs w:val="24"/>
          <w:lang w:val="en-US"/>
        </w:rPr>
        <w:t>No a-priori level of significance was set in the present analyses and p</w:t>
      </w:r>
      <w:r w:rsidR="006C5C15" w:rsidRPr="00A0600F">
        <w:rPr>
          <w:rFonts w:ascii="Times New Roman" w:hAnsi="Times New Roman" w:cs="Times New Roman"/>
          <w:sz w:val="24"/>
          <w:szCs w:val="24"/>
          <w:lang w:val="en-US"/>
        </w:rPr>
        <w:t>otential prognostic factors were considered for multivariable regressions when their confidence intervals (CI) did not include the 1. Collinearity was checked through Variance Inflation Factor (VIF) evaluation.</w:t>
      </w:r>
      <w:r w:rsidR="00310FEA" w:rsidRPr="00A0600F">
        <w:rPr>
          <w:rFonts w:ascii="Times New Roman" w:hAnsi="Times New Roman" w:cs="Times New Roman"/>
          <w:sz w:val="24"/>
          <w:szCs w:val="24"/>
          <w:lang w:val="en-US"/>
        </w:rPr>
        <w:t xml:space="preserve"> </w:t>
      </w:r>
      <w:r w:rsidR="00E55CB1" w:rsidRPr="00A0600F">
        <w:rPr>
          <w:lang w:val="en-US"/>
        </w:rPr>
        <w:t xml:space="preserve"> </w:t>
      </w:r>
      <w:r w:rsidR="00310FEA" w:rsidRPr="00A0600F">
        <w:rPr>
          <w:rFonts w:ascii="Times New Roman" w:hAnsi="Times New Roman" w:cs="Times New Roman"/>
          <w:sz w:val="24"/>
          <w:szCs w:val="24"/>
          <w:lang w:val="en-US"/>
        </w:rPr>
        <w:t xml:space="preserve"> </w:t>
      </w:r>
    </w:p>
    <w:p w14:paraId="59F33E6C" w14:textId="5248A60E" w:rsidR="00C47112" w:rsidRPr="00A0600F" w:rsidRDefault="00C47112" w:rsidP="00102276">
      <w:pPr>
        <w:spacing w:after="120" w:line="360" w:lineRule="auto"/>
        <w:jc w:val="both"/>
        <w:rPr>
          <w:rFonts w:ascii="Times New Roman" w:eastAsia="Times New Roman" w:hAnsi="Times New Roman" w:cs="Times New Roman"/>
          <w:sz w:val="24"/>
          <w:szCs w:val="24"/>
          <w:lang w:val="en-US"/>
        </w:rPr>
      </w:pPr>
      <w:r w:rsidRPr="00A0600F">
        <w:rPr>
          <w:rFonts w:ascii="Times New Roman" w:hAnsi="Times New Roman" w:cs="Times New Roman"/>
          <w:sz w:val="24"/>
          <w:szCs w:val="24"/>
          <w:lang w:val="en-US"/>
        </w:rPr>
        <w:tab/>
        <w:t xml:space="preserve">Analyses were performed using </w:t>
      </w:r>
      <w:r w:rsidRPr="00A0600F">
        <w:rPr>
          <w:rFonts w:ascii="Times New Roman" w:hAnsi="Times New Roman" w:cs="Times New Roman"/>
          <w:sz w:val="24"/>
          <w:szCs w:val="24"/>
          <w:lang w:val="en-GB"/>
        </w:rPr>
        <w:t xml:space="preserve">R-Project 3.2.5 (R Core Team (2016). R: A language and environment for statistical computing. R Foundation for Statistical Computing, Vienna, Austria. URL </w:t>
      </w:r>
      <w:hyperlink r:id="rId9" w:history="1">
        <w:r w:rsidRPr="00A0600F">
          <w:rPr>
            <w:rStyle w:val="Hyperlink"/>
            <w:rFonts w:ascii="Times New Roman" w:hAnsi="Times New Roman" w:cs="Times New Roman"/>
            <w:color w:val="auto"/>
            <w:sz w:val="24"/>
            <w:szCs w:val="24"/>
            <w:lang w:val="en-GB"/>
          </w:rPr>
          <w:t>http://www.R-project.org/</w:t>
        </w:r>
      </w:hyperlink>
      <w:r w:rsidRPr="00A0600F">
        <w:rPr>
          <w:rFonts w:ascii="Times New Roman" w:hAnsi="Times New Roman" w:cs="Times New Roman"/>
          <w:sz w:val="24"/>
          <w:szCs w:val="24"/>
          <w:lang w:val="en-GB"/>
        </w:rPr>
        <w:t>) and STATA (</w:t>
      </w:r>
      <w:proofErr w:type="spellStart"/>
      <w:r w:rsidRPr="00A0600F">
        <w:rPr>
          <w:rFonts w:ascii="Times New Roman" w:hAnsi="Times New Roman" w:cs="Times New Roman"/>
          <w:sz w:val="24"/>
          <w:szCs w:val="24"/>
          <w:lang w:val="en-US"/>
        </w:rPr>
        <w:t>StataCorp</w:t>
      </w:r>
      <w:proofErr w:type="spellEnd"/>
      <w:r w:rsidRPr="00A0600F">
        <w:rPr>
          <w:rFonts w:ascii="Times New Roman" w:hAnsi="Times New Roman" w:cs="Times New Roman"/>
          <w:sz w:val="24"/>
          <w:szCs w:val="24"/>
          <w:lang w:val="en-US"/>
        </w:rPr>
        <w:t xml:space="preserve">. 2017. Stata Statistical Software: Release 15. College Station, TX: </w:t>
      </w:r>
      <w:proofErr w:type="spellStart"/>
      <w:r w:rsidRPr="00A0600F">
        <w:rPr>
          <w:rFonts w:ascii="Times New Roman" w:hAnsi="Times New Roman" w:cs="Times New Roman"/>
          <w:sz w:val="24"/>
          <w:szCs w:val="24"/>
          <w:lang w:val="en-US"/>
        </w:rPr>
        <w:t>StataCorp</w:t>
      </w:r>
      <w:proofErr w:type="spellEnd"/>
      <w:r w:rsidRPr="00A0600F">
        <w:rPr>
          <w:rFonts w:ascii="Times New Roman" w:hAnsi="Times New Roman" w:cs="Times New Roman"/>
          <w:sz w:val="24"/>
          <w:szCs w:val="24"/>
          <w:lang w:val="en-US"/>
        </w:rPr>
        <w:t xml:space="preserve"> LLC.)</w:t>
      </w:r>
    </w:p>
    <w:p w14:paraId="11BAD9C2" w14:textId="77777777" w:rsidR="00BE3BEA" w:rsidRPr="00A0600F" w:rsidRDefault="00BE3BEA">
      <w:pPr>
        <w:rPr>
          <w:rFonts w:ascii="Times New Roman" w:eastAsia="Times New Roman" w:hAnsi="Times New Roman" w:cs="Times New Roman"/>
          <w:sz w:val="24"/>
          <w:szCs w:val="24"/>
          <w:lang w:val="en-US"/>
        </w:rPr>
      </w:pPr>
      <w:r w:rsidRPr="00A0600F">
        <w:rPr>
          <w:rFonts w:ascii="Times New Roman" w:eastAsia="Times New Roman" w:hAnsi="Times New Roman" w:cs="Times New Roman"/>
          <w:sz w:val="24"/>
          <w:szCs w:val="24"/>
          <w:lang w:val="en-US"/>
        </w:rPr>
        <w:br w:type="page"/>
      </w:r>
    </w:p>
    <w:p w14:paraId="562B066E" w14:textId="7DD42ED7" w:rsidR="00220012" w:rsidRPr="00A0600F" w:rsidRDefault="00220012" w:rsidP="00220012">
      <w:pPr>
        <w:autoSpaceDE w:val="0"/>
        <w:autoSpaceDN w:val="0"/>
        <w:adjustRightInd w:val="0"/>
        <w:spacing w:after="0" w:line="360" w:lineRule="auto"/>
        <w:jc w:val="both"/>
        <w:rPr>
          <w:rFonts w:ascii="Times New Roman" w:hAnsi="Times New Roman" w:cs="Times New Roman"/>
          <w:b/>
          <w:bCs/>
          <w:sz w:val="32"/>
          <w:szCs w:val="32"/>
          <w:lang w:val="en-US"/>
        </w:rPr>
      </w:pPr>
      <w:r w:rsidRPr="00A0600F">
        <w:rPr>
          <w:rFonts w:ascii="Times New Roman" w:hAnsi="Times New Roman" w:cs="Times New Roman"/>
          <w:b/>
          <w:bCs/>
          <w:sz w:val="32"/>
          <w:szCs w:val="32"/>
          <w:lang w:val="en-US"/>
        </w:rPr>
        <w:lastRenderedPageBreak/>
        <w:t>RESULTS</w:t>
      </w:r>
    </w:p>
    <w:p w14:paraId="5CBE8171" w14:textId="5CCFE44E" w:rsidR="00F56601" w:rsidRPr="00A0600F" w:rsidRDefault="00102276" w:rsidP="00141C30">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lang w:val="en-US"/>
        </w:rPr>
        <w:tab/>
      </w:r>
      <w:r w:rsidRPr="00A0600F">
        <w:rPr>
          <w:rFonts w:ascii="Times New Roman" w:hAnsi="Times New Roman" w:cs="Times New Roman"/>
          <w:lang w:val="en-US"/>
        </w:rPr>
        <w:t xml:space="preserve">The study </w:t>
      </w:r>
      <w:r w:rsidRPr="00A0600F">
        <w:rPr>
          <w:rFonts w:ascii="Times New Roman" w:hAnsi="Times New Roman" w:cs="Times New Roman"/>
          <w:sz w:val="24"/>
          <w:szCs w:val="24"/>
          <w:lang w:val="en-US"/>
        </w:rPr>
        <w:t xml:space="preserve">population consisted of 1124 patients treated for HCC as first line therapy. </w:t>
      </w:r>
      <w:r w:rsidR="00FC4A74" w:rsidRPr="00A0600F">
        <w:rPr>
          <w:rFonts w:ascii="Times New Roman" w:hAnsi="Times New Roman" w:cs="Times New Roman"/>
          <w:sz w:val="24"/>
          <w:szCs w:val="24"/>
          <w:lang w:val="en-US"/>
        </w:rPr>
        <w:t>M</w:t>
      </w:r>
      <w:r w:rsidRPr="00A0600F">
        <w:rPr>
          <w:rFonts w:ascii="Times New Roman" w:hAnsi="Times New Roman" w:cs="Times New Roman"/>
          <w:sz w:val="24"/>
          <w:szCs w:val="24"/>
          <w:lang w:val="en-US"/>
        </w:rPr>
        <w:t xml:space="preserve">ost of clinical features </w:t>
      </w:r>
      <w:r w:rsidR="00FC4A74" w:rsidRPr="00A0600F">
        <w:rPr>
          <w:rFonts w:ascii="Times New Roman" w:hAnsi="Times New Roman" w:cs="Times New Roman"/>
          <w:sz w:val="24"/>
          <w:szCs w:val="24"/>
          <w:lang w:val="en-US"/>
        </w:rPr>
        <w:t xml:space="preserve">collected showed </w:t>
      </w:r>
      <w:r w:rsidR="00093342" w:rsidRPr="00A0600F">
        <w:rPr>
          <w:rFonts w:ascii="Times New Roman" w:hAnsi="Times New Roman" w:cs="Times New Roman"/>
          <w:sz w:val="24"/>
          <w:szCs w:val="24"/>
          <w:lang w:val="en-US"/>
        </w:rPr>
        <w:t xml:space="preserve">considerable </w:t>
      </w:r>
      <w:r w:rsidRPr="00A0600F">
        <w:rPr>
          <w:rFonts w:ascii="Times New Roman" w:hAnsi="Times New Roman" w:cs="Times New Roman"/>
          <w:sz w:val="24"/>
          <w:szCs w:val="24"/>
          <w:lang w:val="en-US"/>
        </w:rPr>
        <w:t xml:space="preserve">heterogeneity </w:t>
      </w:r>
      <w:r w:rsidR="00093342" w:rsidRPr="00A0600F">
        <w:rPr>
          <w:rFonts w:ascii="Times New Roman" w:hAnsi="Times New Roman" w:cs="Times New Roman"/>
          <w:sz w:val="24"/>
          <w:szCs w:val="24"/>
          <w:lang w:val="en-US"/>
        </w:rPr>
        <w:t>(I</w:t>
      </w:r>
      <w:r w:rsidR="00093342" w:rsidRPr="00A0600F">
        <w:rPr>
          <w:rFonts w:ascii="Times New Roman" w:hAnsi="Times New Roman" w:cs="Times New Roman"/>
          <w:sz w:val="24"/>
          <w:szCs w:val="24"/>
          <w:vertAlign w:val="superscript"/>
          <w:lang w:val="en-US"/>
        </w:rPr>
        <w:t>2</w:t>
      </w:r>
      <w:r w:rsidR="00093342" w:rsidRPr="00A0600F">
        <w:rPr>
          <w:rFonts w:ascii="Times New Roman" w:hAnsi="Times New Roman" w:cs="Times New Roman"/>
          <w:sz w:val="24"/>
          <w:szCs w:val="24"/>
          <w:lang w:val="en-US"/>
        </w:rPr>
        <w:t xml:space="preserve">&gt;75%) </w:t>
      </w:r>
      <w:r w:rsidR="00141C30" w:rsidRPr="00A0600F">
        <w:rPr>
          <w:rFonts w:ascii="Times New Roman" w:hAnsi="Times New Roman" w:cs="Times New Roman"/>
          <w:sz w:val="24"/>
          <w:szCs w:val="24"/>
          <w:lang w:val="en-US"/>
        </w:rPr>
        <w:t>w</w:t>
      </w:r>
      <w:r w:rsidR="00B16F4F" w:rsidRPr="00A0600F">
        <w:rPr>
          <w:rFonts w:ascii="Times New Roman" w:hAnsi="Times New Roman" w:cs="Times New Roman"/>
          <w:sz w:val="24"/>
          <w:szCs w:val="24"/>
          <w:lang w:val="en-US"/>
        </w:rPr>
        <w:t xml:space="preserve">ithin </w:t>
      </w:r>
      <w:r w:rsidRPr="00A0600F">
        <w:rPr>
          <w:rFonts w:ascii="Times New Roman" w:hAnsi="Times New Roman" w:cs="Times New Roman"/>
          <w:sz w:val="24"/>
          <w:szCs w:val="24"/>
          <w:lang w:val="en-US"/>
        </w:rPr>
        <w:t>participating centers</w:t>
      </w:r>
      <w:r w:rsidR="00F56601" w:rsidRPr="00A0600F">
        <w:rPr>
          <w:rFonts w:ascii="Times New Roman" w:hAnsi="Times New Roman" w:cs="Times New Roman"/>
          <w:sz w:val="24"/>
          <w:szCs w:val="24"/>
          <w:lang w:val="en-US"/>
        </w:rPr>
        <w:t>,</w:t>
      </w:r>
      <w:r w:rsidRPr="00A0600F">
        <w:rPr>
          <w:rFonts w:ascii="Times New Roman" w:hAnsi="Times New Roman" w:cs="Times New Roman"/>
          <w:sz w:val="24"/>
          <w:szCs w:val="24"/>
          <w:lang w:val="en-US"/>
        </w:rPr>
        <w:t xml:space="preserve"> </w:t>
      </w:r>
      <w:r w:rsidR="00D71AC4" w:rsidRPr="00A0600F">
        <w:rPr>
          <w:rFonts w:ascii="Times New Roman" w:hAnsi="Times New Roman" w:cs="Times New Roman"/>
          <w:sz w:val="24"/>
          <w:szCs w:val="24"/>
          <w:lang w:val="en-US"/>
        </w:rPr>
        <w:t xml:space="preserve">even if </w:t>
      </w:r>
      <w:r w:rsidR="00F56601" w:rsidRPr="00A0600F">
        <w:rPr>
          <w:rFonts w:ascii="Times New Roman" w:hAnsi="Times New Roman" w:cs="Times New Roman"/>
          <w:sz w:val="24"/>
          <w:szCs w:val="24"/>
          <w:lang w:val="en-US"/>
        </w:rPr>
        <w:t>weighted values were not dissimilar to the unweighted ones (</w:t>
      </w:r>
      <w:r w:rsidR="00F56601" w:rsidRPr="00A0600F">
        <w:rPr>
          <w:rFonts w:ascii="Times New Roman" w:hAnsi="Times New Roman" w:cs="Times New Roman"/>
          <w:i/>
          <w:iCs/>
          <w:sz w:val="24"/>
          <w:szCs w:val="24"/>
          <w:u w:val="single"/>
          <w:lang w:val="en-US"/>
        </w:rPr>
        <w:t>Table 1</w:t>
      </w:r>
      <w:r w:rsidR="00F56601" w:rsidRPr="00A0600F">
        <w:rPr>
          <w:rFonts w:ascii="Times New Roman" w:hAnsi="Times New Roman" w:cs="Times New Roman"/>
          <w:sz w:val="24"/>
          <w:szCs w:val="24"/>
          <w:lang w:val="en-US"/>
        </w:rPr>
        <w:t xml:space="preserve">). </w:t>
      </w:r>
      <w:r w:rsidR="00D5236E">
        <w:rPr>
          <w:rFonts w:ascii="Times New Roman" w:hAnsi="Times New Roman" w:cs="Times New Roman"/>
          <w:sz w:val="24"/>
          <w:szCs w:val="24"/>
          <w:lang w:val="en-US"/>
        </w:rPr>
        <w:t xml:space="preserve">Detailed </w:t>
      </w:r>
      <w:r w:rsidR="00D5236E" w:rsidRPr="00A0600F">
        <w:rPr>
          <w:rFonts w:ascii="Times New Roman" w:hAnsi="Times New Roman" w:cs="Times New Roman"/>
          <w:sz w:val="24"/>
          <w:szCs w:val="24"/>
          <w:lang w:val="en-US"/>
        </w:rPr>
        <w:t xml:space="preserve">clinical features </w:t>
      </w:r>
      <w:r w:rsidR="00D5236E">
        <w:rPr>
          <w:rFonts w:ascii="Times New Roman" w:hAnsi="Times New Roman" w:cs="Times New Roman"/>
          <w:sz w:val="24"/>
          <w:szCs w:val="24"/>
          <w:lang w:val="en-US"/>
        </w:rPr>
        <w:t xml:space="preserve">for each participating center are provided in the </w:t>
      </w:r>
      <w:r w:rsidR="00D5236E" w:rsidRPr="00D5236E">
        <w:rPr>
          <w:rFonts w:ascii="Times New Roman" w:hAnsi="Times New Roman" w:cs="Times New Roman"/>
          <w:i/>
          <w:iCs/>
          <w:sz w:val="24"/>
          <w:szCs w:val="24"/>
          <w:u w:val="single"/>
          <w:lang w:val="en-US"/>
        </w:rPr>
        <w:t>Supplementary Table 1</w:t>
      </w:r>
      <w:r w:rsidR="00D5236E">
        <w:rPr>
          <w:rFonts w:ascii="Times New Roman" w:hAnsi="Times New Roman" w:cs="Times New Roman"/>
          <w:sz w:val="24"/>
          <w:szCs w:val="24"/>
          <w:lang w:val="en-US"/>
        </w:rPr>
        <w:t>.</w:t>
      </w:r>
    </w:p>
    <w:p w14:paraId="6C0E507A" w14:textId="714A1104" w:rsidR="000101C8" w:rsidRPr="00A0600F" w:rsidRDefault="00F56601" w:rsidP="00D5236E">
      <w:pPr>
        <w:spacing w:line="360" w:lineRule="auto"/>
        <w:ind w:firstLine="708"/>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After TACE, 2</w:t>
      </w:r>
      <w:r w:rsidR="001D4DDF" w:rsidRPr="00A0600F">
        <w:rPr>
          <w:rFonts w:ascii="Times New Roman" w:hAnsi="Times New Roman" w:cs="Times New Roman"/>
          <w:sz w:val="24"/>
          <w:szCs w:val="24"/>
          <w:lang w:val="en-US"/>
        </w:rPr>
        <w:t>1</w:t>
      </w:r>
      <w:r w:rsidRPr="00A0600F">
        <w:rPr>
          <w:rFonts w:ascii="Times New Roman" w:hAnsi="Times New Roman" w:cs="Times New Roman"/>
          <w:sz w:val="24"/>
          <w:szCs w:val="24"/>
          <w:lang w:val="en-US"/>
        </w:rPr>
        <w:t xml:space="preserve"> patients died and </w:t>
      </w:r>
      <w:r w:rsidR="005D00D2" w:rsidRPr="00A0600F">
        <w:rPr>
          <w:rFonts w:ascii="Times New Roman" w:hAnsi="Times New Roman" w:cs="Times New Roman"/>
          <w:sz w:val="24"/>
          <w:szCs w:val="24"/>
          <w:lang w:val="en-US"/>
        </w:rPr>
        <w:t>594</w:t>
      </w:r>
      <w:r w:rsidRPr="00A0600F">
        <w:rPr>
          <w:rFonts w:ascii="Times New Roman" w:hAnsi="Times New Roman" w:cs="Times New Roman"/>
          <w:sz w:val="24"/>
          <w:szCs w:val="24"/>
          <w:lang w:val="en-US"/>
        </w:rPr>
        <w:t xml:space="preserve"> had at least one </w:t>
      </w:r>
      <w:r w:rsidR="00D5236E">
        <w:rPr>
          <w:rFonts w:ascii="Times New Roman" w:hAnsi="Times New Roman" w:cs="Times New Roman"/>
          <w:sz w:val="24"/>
          <w:szCs w:val="24"/>
          <w:lang w:val="en-US"/>
        </w:rPr>
        <w:t>adverse event</w:t>
      </w:r>
      <w:r w:rsidRPr="00A0600F">
        <w:rPr>
          <w:rFonts w:ascii="Times New Roman" w:hAnsi="Times New Roman" w:cs="Times New Roman"/>
          <w:sz w:val="24"/>
          <w:szCs w:val="24"/>
          <w:lang w:val="en-US"/>
        </w:rPr>
        <w:t xml:space="preserve"> (</w:t>
      </w:r>
      <w:r w:rsidR="00383CA4" w:rsidRPr="00A0600F">
        <w:rPr>
          <w:rFonts w:ascii="Times New Roman" w:hAnsi="Times New Roman" w:cs="Times New Roman"/>
          <w:i/>
          <w:iCs/>
          <w:sz w:val="24"/>
          <w:szCs w:val="24"/>
          <w:u w:val="single"/>
          <w:lang w:val="en-US"/>
        </w:rPr>
        <w:t>Table 2</w:t>
      </w:r>
      <w:r w:rsidRPr="00A0600F">
        <w:rPr>
          <w:rFonts w:ascii="Times New Roman" w:hAnsi="Times New Roman" w:cs="Times New Roman"/>
          <w:sz w:val="24"/>
          <w:szCs w:val="24"/>
          <w:lang w:val="en-US"/>
        </w:rPr>
        <w:t>)</w:t>
      </w:r>
      <w:r w:rsidR="00383CA4" w:rsidRPr="00A0600F">
        <w:rPr>
          <w:rFonts w:ascii="Times New Roman" w:hAnsi="Times New Roman" w:cs="Times New Roman"/>
          <w:sz w:val="24"/>
          <w:szCs w:val="24"/>
          <w:lang w:val="en-US"/>
        </w:rPr>
        <w:t>.</w:t>
      </w:r>
      <w:r w:rsidRPr="00A0600F">
        <w:rPr>
          <w:rFonts w:ascii="Times New Roman" w:hAnsi="Times New Roman" w:cs="Times New Roman"/>
          <w:sz w:val="24"/>
          <w:szCs w:val="24"/>
          <w:lang w:val="en-US"/>
        </w:rPr>
        <w:t xml:space="preserve"> </w:t>
      </w:r>
      <w:r w:rsidR="00D5236E">
        <w:rPr>
          <w:rFonts w:ascii="Times New Roman" w:hAnsi="Times New Roman" w:cs="Times New Roman"/>
          <w:sz w:val="24"/>
          <w:szCs w:val="24"/>
          <w:lang w:val="en-US"/>
        </w:rPr>
        <w:t xml:space="preserve">Detailed data for each participating center are provided in the </w:t>
      </w:r>
      <w:r w:rsidR="00D5236E" w:rsidRPr="00D5236E">
        <w:rPr>
          <w:rFonts w:ascii="Times New Roman" w:hAnsi="Times New Roman" w:cs="Times New Roman"/>
          <w:i/>
          <w:iCs/>
          <w:sz w:val="24"/>
          <w:szCs w:val="24"/>
          <w:u w:val="single"/>
          <w:lang w:val="en-US"/>
        </w:rPr>
        <w:t xml:space="preserve">Supplementary Table </w:t>
      </w:r>
      <w:r w:rsidR="00D5236E">
        <w:rPr>
          <w:rFonts w:ascii="Times New Roman" w:hAnsi="Times New Roman" w:cs="Times New Roman"/>
          <w:i/>
          <w:iCs/>
          <w:sz w:val="24"/>
          <w:szCs w:val="24"/>
          <w:u w:val="single"/>
          <w:lang w:val="en-US"/>
        </w:rPr>
        <w:t>2</w:t>
      </w:r>
      <w:r w:rsidR="00D5236E">
        <w:rPr>
          <w:rFonts w:ascii="Times New Roman" w:hAnsi="Times New Roman" w:cs="Times New Roman"/>
          <w:sz w:val="24"/>
          <w:szCs w:val="24"/>
          <w:lang w:val="en-US"/>
        </w:rPr>
        <w:t xml:space="preserve">. </w:t>
      </w:r>
      <w:r w:rsidRPr="00A0600F">
        <w:rPr>
          <w:rFonts w:ascii="Times New Roman" w:hAnsi="Times New Roman" w:cs="Times New Roman"/>
          <w:sz w:val="24"/>
          <w:szCs w:val="24"/>
          <w:lang w:val="en-US"/>
        </w:rPr>
        <w:t>The weighted mortality was 2.4% and the morbidity was 5</w:t>
      </w:r>
      <w:r w:rsidR="005D00D2" w:rsidRPr="00A0600F">
        <w:rPr>
          <w:rFonts w:ascii="Times New Roman" w:hAnsi="Times New Roman" w:cs="Times New Roman"/>
          <w:sz w:val="24"/>
          <w:szCs w:val="24"/>
          <w:lang w:val="en-US"/>
        </w:rPr>
        <w:t>0</w:t>
      </w:r>
      <w:r w:rsidRPr="00A0600F">
        <w:rPr>
          <w:rFonts w:ascii="Times New Roman" w:hAnsi="Times New Roman" w:cs="Times New Roman"/>
          <w:sz w:val="24"/>
          <w:szCs w:val="24"/>
          <w:lang w:val="en-US"/>
        </w:rPr>
        <w:t>.</w:t>
      </w:r>
      <w:r w:rsidR="005D00D2" w:rsidRPr="00A0600F">
        <w:rPr>
          <w:rFonts w:ascii="Times New Roman" w:hAnsi="Times New Roman" w:cs="Times New Roman"/>
          <w:sz w:val="24"/>
          <w:szCs w:val="24"/>
          <w:lang w:val="en-US"/>
        </w:rPr>
        <w:t>0</w:t>
      </w:r>
      <w:r w:rsidRPr="00A0600F">
        <w:rPr>
          <w:rFonts w:ascii="Times New Roman" w:hAnsi="Times New Roman" w:cs="Times New Roman"/>
          <w:sz w:val="24"/>
          <w:szCs w:val="24"/>
          <w:lang w:val="en-US"/>
        </w:rPr>
        <w:t xml:space="preserve">%. Post-embolization syndrome </w:t>
      </w:r>
      <w:r w:rsidR="00FC4A74" w:rsidRPr="00A0600F">
        <w:rPr>
          <w:rFonts w:ascii="Times New Roman" w:hAnsi="Times New Roman" w:cs="Times New Roman"/>
          <w:sz w:val="24"/>
          <w:szCs w:val="24"/>
          <w:lang w:val="en-US"/>
        </w:rPr>
        <w:t xml:space="preserve">(PES) </w:t>
      </w:r>
      <w:r w:rsidRPr="00A0600F">
        <w:rPr>
          <w:rFonts w:ascii="Times New Roman" w:hAnsi="Times New Roman" w:cs="Times New Roman"/>
          <w:sz w:val="24"/>
          <w:szCs w:val="24"/>
          <w:lang w:val="en-US"/>
        </w:rPr>
        <w:t>of grade 1 or 2, was the most frequent complication</w:t>
      </w:r>
      <w:r w:rsidR="000101C8" w:rsidRPr="00A0600F">
        <w:rPr>
          <w:rFonts w:ascii="Times New Roman" w:hAnsi="Times New Roman" w:cs="Times New Roman"/>
          <w:sz w:val="24"/>
          <w:szCs w:val="24"/>
          <w:lang w:val="en-US"/>
        </w:rPr>
        <w:t>,</w:t>
      </w:r>
      <w:r w:rsidRPr="00A0600F">
        <w:rPr>
          <w:rFonts w:ascii="Times New Roman" w:hAnsi="Times New Roman" w:cs="Times New Roman"/>
          <w:sz w:val="24"/>
          <w:szCs w:val="24"/>
          <w:lang w:val="en-US"/>
        </w:rPr>
        <w:t xml:space="preserve"> being observed in a weighted proportion of 2</w:t>
      </w:r>
      <w:r w:rsidR="005B5DB7" w:rsidRPr="00A0600F">
        <w:rPr>
          <w:rFonts w:ascii="Times New Roman" w:hAnsi="Times New Roman" w:cs="Times New Roman"/>
          <w:sz w:val="24"/>
          <w:szCs w:val="24"/>
          <w:lang w:val="en-US"/>
        </w:rPr>
        <w:t>4</w:t>
      </w:r>
      <w:r w:rsidRPr="00A0600F">
        <w:rPr>
          <w:rFonts w:ascii="Times New Roman" w:hAnsi="Times New Roman" w:cs="Times New Roman"/>
          <w:sz w:val="24"/>
          <w:szCs w:val="24"/>
          <w:lang w:val="en-US"/>
        </w:rPr>
        <w:t>.</w:t>
      </w:r>
      <w:r w:rsidR="005B5DB7" w:rsidRPr="00A0600F">
        <w:rPr>
          <w:rFonts w:ascii="Times New Roman" w:hAnsi="Times New Roman" w:cs="Times New Roman"/>
          <w:sz w:val="24"/>
          <w:szCs w:val="24"/>
          <w:lang w:val="en-US"/>
        </w:rPr>
        <w:t>7</w:t>
      </w:r>
      <w:r w:rsidRPr="00A0600F">
        <w:rPr>
          <w:rFonts w:ascii="Times New Roman" w:hAnsi="Times New Roman" w:cs="Times New Roman"/>
          <w:sz w:val="24"/>
          <w:szCs w:val="24"/>
          <w:lang w:val="en-US"/>
        </w:rPr>
        <w:t>%</w:t>
      </w:r>
      <w:r w:rsidR="000101C8" w:rsidRPr="00A0600F">
        <w:rPr>
          <w:rFonts w:ascii="Times New Roman" w:hAnsi="Times New Roman" w:cs="Times New Roman"/>
          <w:sz w:val="24"/>
          <w:szCs w:val="24"/>
          <w:lang w:val="en-US"/>
        </w:rPr>
        <w:t xml:space="preserve"> of pat</w:t>
      </w:r>
      <w:r w:rsidR="00FC4A74" w:rsidRPr="00A0600F">
        <w:rPr>
          <w:rFonts w:ascii="Times New Roman" w:hAnsi="Times New Roman" w:cs="Times New Roman"/>
          <w:sz w:val="24"/>
          <w:szCs w:val="24"/>
          <w:lang w:val="en-US"/>
        </w:rPr>
        <w:t>ients</w:t>
      </w:r>
      <w:r w:rsidR="000101C8" w:rsidRPr="00A0600F">
        <w:rPr>
          <w:rFonts w:ascii="Times New Roman" w:hAnsi="Times New Roman" w:cs="Times New Roman"/>
          <w:sz w:val="24"/>
          <w:szCs w:val="24"/>
          <w:lang w:val="en-US"/>
        </w:rPr>
        <w:t>,</w:t>
      </w:r>
      <w:r w:rsidRPr="00A0600F">
        <w:rPr>
          <w:rFonts w:ascii="Times New Roman" w:hAnsi="Times New Roman" w:cs="Times New Roman"/>
          <w:sz w:val="24"/>
          <w:szCs w:val="24"/>
          <w:lang w:val="en-US"/>
        </w:rPr>
        <w:t xml:space="preserve"> followed by liver dysfunction </w:t>
      </w:r>
      <w:r w:rsidR="000101C8" w:rsidRPr="00A0600F">
        <w:rPr>
          <w:rFonts w:ascii="Times New Roman" w:hAnsi="Times New Roman" w:cs="Times New Roman"/>
          <w:sz w:val="24"/>
          <w:szCs w:val="24"/>
          <w:lang w:val="en-US"/>
        </w:rPr>
        <w:t xml:space="preserve">of grade 1 or 2 which was observed in </w:t>
      </w:r>
      <w:r w:rsidRPr="00A0600F">
        <w:rPr>
          <w:rFonts w:ascii="Times New Roman" w:hAnsi="Times New Roman" w:cs="Times New Roman"/>
          <w:sz w:val="24"/>
          <w:szCs w:val="24"/>
          <w:lang w:val="en-US"/>
        </w:rPr>
        <w:t>13.2%</w:t>
      </w:r>
      <w:r w:rsidR="000101C8" w:rsidRPr="00A0600F">
        <w:rPr>
          <w:rFonts w:ascii="Times New Roman" w:hAnsi="Times New Roman" w:cs="Times New Roman"/>
          <w:sz w:val="24"/>
          <w:szCs w:val="24"/>
          <w:lang w:val="en-US"/>
        </w:rPr>
        <w:t xml:space="preserve"> of patients. Both showed considerable heterogeneity across centers (I</w:t>
      </w:r>
      <w:r w:rsidR="000101C8" w:rsidRPr="00A0600F">
        <w:rPr>
          <w:rFonts w:ascii="Times New Roman" w:hAnsi="Times New Roman" w:cs="Times New Roman"/>
          <w:sz w:val="24"/>
          <w:szCs w:val="24"/>
          <w:vertAlign w:val="superscript"/>
          <w:lang w:val="en-US"/>
        </w:rPr>
        <w:t>2</w:t>
      </w:r>
      <w:r w:rsidR="000101C8" w:rsidRPr="00A0600F">
        <w:rPr>
          <w:rFonts w:ascii="Times New Roman" w:hAnsi="Times New Roman" w:cs="Times New Roman"/>
          <w:sz w:val="24"/>
          <w:szCs w:val="24"/>
          <w:lang w:val="en-US"/>
        </w:rPr>
        <w:t xml:space="preserve">&gt;75%). The median values of post-TACE </w:t>
      </w:r>
      <w:r w:rsidR="00526A18" w:rsidRPr="00A0600F">
        <w:rPr>
          <w:rFonts w:ascii="Times New Roman" w:hAnsi="Times New Roman" w:cs="Times New Roman"/>
          <w:sz w:val="24"/>
          <w:szCs w:val="24"/>
          <w:lang w:val="en-US"/>
        </w:rPr>
        <w:t>length of stay (LOS)</w:t>
      </w:r>
      <w:r w:rsidR="000101C8" w:rsidRPr="00A0600F">
        <w:rPr>
          <w:rFonts w:ascii="Times New Roman" w:hAnsi="Times New Roman" w:cs="Times New Roman"/>
          <w:sz w:val="24"/>
          <w:szCs w:val="24"/>
          <w:lang w:val="en-US"/>
        </w:rPr>
        <w:t xml:space="preserve"> ranged between 1 to 3 days among participating centers, with the 75</w:t>
      </w:r>
      <w:r w:rsidR="000101C8" w:rsidRPr="00A0600F">
        <w:rPr>
          <w:rFonts w:ascii="Times New Roman" w:hAnsi="Times New Roman" w:cs="Times New Roman"/>
          <w:sz w:val="24"/>
          <w:szCs w:val="24"/>
          <w:vertAlign w:val="superscript"/>
          <w:lang w:val="en-US"/>
        </w:rPr>
        <w:t>th</w:t>
      </w:r>
      <w:r w:rsidR="000101C8" w:rsidRPr="00A0600F">
        <w:rPr>
          <w:rFonts w:ascii="Times New Roman" w:hAnsi="Times New Roman" w:cs="Times New Roman"/>
          <w:sz w:val="24"/>
          <w:szCs w:val="24"/>
          <w:lang w:val="en-US"/>
        </w:rPr>
        <w:t xml:space="preserve"> percentile of 2 days. Applying this threshold, the weighted prevalence of prolonged </w:t>
      </w:r>
      <w:r w:rsidR="00526A18" w:rsidRPr="00A0600F">
        <w:rPr>
          <w:rFonts w:ascii="Times New Roman" w:hAnsi="Times New Roman" w:cs="Times New Roman"/>
          <w:sz w:val="24"/>
          <w:szCs w:val="24"/>
          <w:lang w:val="en-US"/>
        </w:rPr>
        <w:t>LOS</w:t>
      </w:r>
      <w:r w:rsidR="000101C8" w:rsidRPr="00A0600F">
        <w:rPr>
          <w:rFonts w:ascii="Times New Roman" w:hAnsi="Times New Roman" w:cs="Times New Roman"/>
          <w:sz w:val="24"/>
          <w:szCs w:val="24"/>
          <w:lang w:val="en-US"/>
        </w:rPr>
        <w:t xml:space="preserve"> was 28.2%. Readmission was 5.1%. The first radiological assessment did not prove </w:t>
      </w:r>
      <w:r w:rsidR="00B96F11">
        <w:rPr>
          <w:rFonts w:ascii="Times New Roman" w:hAnsi="Times New Roman" w:cs="Times New Roman"/>
          <w:sz w:val="24"/>
          <w:szCs w:val="24"/>
          <w:lang w:val="en-US"/>
        </w:rPr>
        <w:t>objective response (</w:t>
      </w:r>
      <w:r w:rsidR="00AD6118" w:rsidRPr="00A0600F">
        <w:rPr>
          <w:rFonts w:ascii="Times New Roman" w:hAnsi="Times New Roman" w:cs="Times New Roman"/>
          <w:sz w:val="24"/>
          <w:szCs w:val="24"/>
          <w:lang w:val="en-US"/>
        </w:rPr>
        <w:t>OR</w:t>
      </w:r>
      <w:r w:rsidR="00B96F11">
        <w:rPr>
          <w:rFonts w:ascii="Times New Roman" w:hAnsi="Times New Roman" w:cs="Times New Roman"/>
          <w:sz w:val="24"/>
          <w:szCs w:val="24"/>
          <w:lang w:val="en-US"/>
        </w:rPr>
        <w:t>)</w:t>
      </w:r>
      <w:r w:rsidR="000101C8" w:rsidRPr="00A0600F">
        <w:rPr>
          <w:rFonts w:ascii="Times New Roman" w:hAnsi="Times New Roman" w:cs="Times New Roman"/>
          <w:sz w:val="24"/>
          <w:szCs w:val="24"/>
          <w:lang w:val="en-US"/>
        </w:rPr>
        <w:t xml:space="preserve"> in 31.5% of patients.  </w:t>
      </w:r>
    </w:p>
    <w:p w14:paraId="72C99F3B" w14:textId="62E2C741" w:rsidR="00C651A4" w:rsidRPr="00A0600F" w:rsidRDefault="00C651A4" w:rsidP="00C651A4">
      <w:pPr>
        <w:spacing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 xml:space="preserve">Textbook outcome </w:t>
      </w:r>
    </w:p>
    <w:p w14:paraId="206C58E4" w14:textId="476BF0D5" w:rsidR="000101C8" w:rsidRPr="00A0600F" w:rsidRDefault="000101C8" w:rsidP="000101C8">
      <w:pPr>
        <w:spacing w:line="360" w:lineRule="auto"/>
        <w:ind w:firstLine="708"/>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Components of TO</w:t>
      </w:r>
      <w:r w:rsidR="00C651A4" w:rsidRPr="00A0600F">
        <w:rPr>
          <w:rFonts w:ascii="Times New Roman" w:hAnsi="Times New Roman" w:cs="Times New Roman"/>
          <w:sz w:val="24"/>
          <w:szCs w:val="24"/>
          <w:lang w:val="en-US"/>
        </w:rPr>
        <w:t xml:space="preserve"> and </w:t>
      </w:r>
      <w:r w:rsidR="00AD6118" w:rsidRPr="00A0600F">
        <w:rPr>
          <w:rFonts w:ascii="Times New Roman" w:hAnsi="Times New Roman" w:cs="Times New Roman"/>
          <w:sz w:val="24"/>
          <w:szCs w:val="24"/>
          <w:lang w:val="en-US"/>
        </w:rPr>
        <w:t xml:space="preserve">its </w:t>
      </w:r>
      <w:r w:rsidR="00C651A4" w:rsidRPr="00A0600F">
        <w:rPr>
          <w:rFonts w:ascii="Times New Roman" w:hAnsi="Times New Roman" w:cs="Times New Roman"/>
          <w:sz w:val="24"/>
          <w:szCs w:val="24"/>
          <w:lang w:val="en-US"/>
        </w:rPr>
        <w:t>final achievement</w:t>
      </w:r>
      <w:r w:rsidRPr="00A0600F">
        <w:rPr>
          <w:rFonts w:ascii="Times New Roman" w:hAnsi="Times New Roman" w:cs="Times New Roman"/>
          <w:sz w:val="24"/>
          <w:szCs w:val="24"/>
          <w:lang w:val="en-US"/>
        </w:rPr>
        <w:t xml:space="preserve"> are </w:t>
      </w:r>
      <w:r w:rsidR="00C651A4" w:rsidRPr="00A0600F">
        <w:rPr>
          <w:rFonts w:ascii="Times New Roman" w:hAnsi="Times New Roman" w:cs="Times New Roman"/>
          <w:sz w:val="24"/>
          <w:szCs w:val="24"/>
          <w:lang w:val="en-US"/>
        </w:rPr>
        <w:t xml:space="preserve">graphed </w:t>
      </w:r>
      <w:r w:rsidRPr="00A0600F">
        <w:rPr>
          <w:rFonts w:ascii="Times New Roman" w:hAnsi="Times New Roman" w:cs="Times New Roman"/>
          <w:sz w:val="24"/>
          <w:szCs w:val="24"/>
          <w:lang w:val="en-US"/>
        </w:rPr>
        <w:t xml:space="preserve">in the </w:t>
      </w:r>
      <w:r w:rsidRPr="00A0600F">
        <w:rPr>
          <w:rFonts w:ascii="Times New Roman" w:hAnsi="Times New Roman" w:cs="Times New Roman"/>
          <w:i/>
          <w:iCs/>
          <w:sz w:val="24"/>
          <w:szCs w:val="24"/>
          <w:u w:val="single"/>
          <w:lang w:val="en-US"/>
        </w:rPr>
        <w:t>Figure 1</w:t>
      </w:r>
      <w:r w:rsidRPr="00A0600F">
        <w:rPr>
          <w:rFonts w:ascii="Times New Roman" w:hAnsi="Times New Roman" w:cs="Times New Roman"/>
          <w:sz w:val="24"/>
          <w:szCs w:val="24"/>
          <w:lang w:val="en-US"/>
        </w:rPr>
        <w:t>.</w:t>
      </w:r>
      <w:r w:rsidR="000F2649" w:rsidRPr="00A0600F">
        <w:rPr>
          <w:rFonts w:ascii="Times New Roman" w:hAnsi="Times New Roman" w:cs="Times New Roman"/>
          <w:sz w:val="24"/>
          <w:szCs w:val="24"/>
          <w:lang w:val="en-US"/>
        </w:rPr>
        <w:t xml:space="preserve"> </w:t>
      </w:r>
      <w:r w:rsidR="00280CEF" w:rsidRPr="00A0600F">
        <w:rPr>
          <w:rFonts w:ascii="Times New Roman" w:hAnsi="Times New Roman" w:cs="Times New Roman"/>
          <w:sz w:val="24"/>
          <w:szCs w:val="24"/>
          <w:lang w:val="en-US"/>
        </w:rPr>
        <w:t>The most frequent quality indicators met w</w:t>
      </w:r>
      <w:r w:rsidR="005B5DB7" w:rsidRPr="00A0600F">
        <w:rPr>
          <w:rFonts w:ascii="Times New Roman" w:hAnsi="Times New Roman" w:cs="Times New Roman"/>
          <w:sz w:val="24"/>
          <w:szCs w:val="24"/>
          <w:lang w:val="en-US"/>
        </w:rPr>
        <w:t>as</w:t>
      </w:r>
      <w:r w:rsidR="00280CEF" w:rsidRPr="00A0600F">
        <w:rPr>
          <w:rFonts w:ascii="Times New Roman" w:hAnsi="Times New Roman" w:cs="Times New Roman"/>
          <w:sz w:val="24"/>
          <w:szCs w:val="24"/>
          <w:lang w:val="en-US"/>
        </w:rPr>
        <w:t xml:space="preserve"> the absence of </w:t>
      </w:r>
      <w:r w:rsidR="000F2649" w:rsidRPr="00A0600F">
        <w:rPr>
          <w:rFonts w:ascii="Times New Roman" w:hAnsi="Times New Roman" w:cs="Times New Roman"/>
          <w:sz w:val="24"/>
          <w:szCs w:val="24"/>
          <w:lang w:val="en-US"/>
        </w:rPr>
        <w:t>mortality</w:t>
      </w:r>
      <w:r w:rsidR="005B5DB7" w:rsidRPr="00A0600F">
        <w:rPr>
          <w:rFonts w:ascii="Times New Roman" w:hAnsi="Times New Roman" w:cs="Times New Roman"/>
          <w:sz w:val="24"/>
          <w:szCs w:val="24"/>
          <w:lang w:val="en-US"/>
        </w:rPr>
        <w:t xml:space="preserve"> (</w:t>
      </w:r>
      <w:r w:rsidR="000F2649" w:rsidRPr="00A0600F">
        <w:rPr>
          <w:rFonts w:ascii="Times New Roman" w:hAnsi="Times New Roman" w:cs="Times New Roman"/>
          <w:sz w:val="24"/>
          <w:szCs w:val="24"/>
          <w:lang w:val="en-US"/>
        </w:rPr>
        <w:t>97.6%</w:t>
      </w:r>
      <w:r w:rsidR="005B5DB7" w:rsidRPr="00A0600F">
        <w:rPr>
          <w:rFonts w:ascii="Times New Roman" w:hAnsi="Times New Roman" w:cs="Times New Roman"/>
          <w:sz w:val="24"/>
          <w:szCs w:val="24"/>
          <w:lang w:val="en-US"/>
        </w:rPr>
        <w:t>)</w:t>
      </w:r>
      <w:r w:rsidR="000F2649" w:rsidRPr="00A0600F">
        <w:rPr>
          <w:rFonts w:ascii="Times New Roman" w:hAnsi="Times New Roman" w:cs="Times New Roman"/>
          <w:sz w:val="24"/>
          <w:szCs w:val="24"/>
          <w:lang w:val="en-US"/>
        </w:rPr>
        <w:t xml:space="preserve"> and </w:t>
      </w:r>
      <w:r w:rsidR="00280CEF" w:rsidRPr="00A0600F">
        <w:rPr>
          <w:rFonts w:ascii="Times New Roman" w:hAnsi="Times New Roman" w:cs="Times New Roman"/>
          <w:sz w:val="24"/>
          <w:szCs w:val="24"/>
          <w:lang w:val="en-US"/>
        </w:rPr>
        <w:t xml:space="preserve">the absence of </w:t>
      </w:r>
      <w:r w:rsidR="000F2649" w:rsidRPr="00A0600F">
        <w:rPr>
          <w:rFonts w:ascii="Times New Roman" w:hAnsi="Times New Roman" w:cs="Times New Roman"/>
          <w:sz w:val="24"/>
          <w:szCs w:val="24"/>
          <w:lang w:val="en-US"/>
        </w:rPr>
        <w:t>readmission</w:t>
      </w:r>
      <w:r w:rsidR="005B5DB7" w:rsidRPr="00A0600F">
        <w:rPr>
          <w:rFonts w:ascii="Times New Roman" w:hAnsi="Times New Roman" w:cs="Times New Roman"/>
          <w:sz w:val="24"/>
          <w:szCs w:val="24"/>
          <w:lang w:val="en-US"/>
        </w:rPr>
        <w:t xml:space="preserve"> (</w:t>
      </w:r>
      <w:r w:rsidR="000C647C" w:rsidRPr="00A0600F">
        <w:rPr>
          <w:rFonts w:ascii="Times New Roman" w:hAnsi="Times New Roman" w:cs="Times New Roman"/>
          <w:sz w:val="24"/>
          <w:szCs w:val="24"/>
          <w:lang w:val="en-US"/>
        </w:rPr>
        <w:t>94.9%</w:t>
      </w:r>
      <w:r w:rsidR="005B5DB7" w:rsidRPr="00A0600F">
        <w:rPr>
          <w:rFonts w:ascii="Times New Roman" w:hAnsi="Times New Roman" w:cs="Times New Roman"/>
          <w:sz w:val="24"/>
          <w:szCs w:val="24"/>
          <w:lang w:val="en-US"/>
        </w:rPr>
        <w:t>)</w:t>
      </w:r>
      <w:r w:rsidR="00280CEF" w:rsidRPr="00A0600F">
        <w:rPr>
          <w:rFonts w:ascii="Times New Roman" w:hAnsi="Times New Roman" w:cs="Times New Roman"/>
          <w:sz w:val="24"/>
          <w:szCs w:val="24"/>
          <w:lang w:val="en-US"/>
        </w:rPr>
        <w:t xml:space="preserve">. </w:t>
      </w:r>
      <w:r w:rsidR="005B5DB7" w:rsidRPr="00A0600F">
        <w:rPr>
          <w:rFonts w:ascii="Times New Roman" w:hAnsi="Times New Roman" w:cs="Times New Roman"/>
          <w:sz w:val="24"/>
          <w:szCs w:val="24"/>
          <w:lang w:val="en-US"/>
        </w:rPr>
        <w:t>T</w:t>
      </w:r>
      <w:r w:rsidR="000F2649" w:rsidRPr="00A0600F">
        <w:rPr>
          <w:rFonts w:ascii="Times New Roman" w:hAnsi="Times New Roman" w:cs="Times New Roman"/>
          <w:sz w:val="24"/>
          <w:szCs w:val="24"/>
          <w:lang w:val="en-US"/>
        </w:rPr>
        <w:t xml:space="preserve">he achievement of </w:t>
      </w:r>
      <w:r w:rsidR="00280CEF" w:rsidRPr="00A0600F">
        <w:rPr>
          <w:rFonts w:ascii="Times New Roman" w:hAnsi="Times New Roman" w:cs="Times New Roman"/>
          <w:sz w:val="24"/>
          <w:szCs w:val="24"/>
          <w:lang w:val="en-US"/>
        </w:rPr>
        <w:t xml:space="preserve">the </w:t>
      </w:r>
      <w:r w:rsidR="000F2649" w:rsidRPr="00A0600F">
        <w:rPr>
          <w:rFonts w:ascii="Times New Roman" w:hAnsi="Times New Roman" w:cs="Times New Roman"/>
          <w:sz w:val="24"/>
          <w:szCs w:val="24"/>
          <w:lang w:val="en-US"/>
        </w:rPr>
        <w:t>objective radiological response</w:t>
      </w:r>
      <w:r w:rsidR="005B5DB7" w:rsidRPr="00A0600F">
        <w:rPr>
          <w:rFonts w:ascii="Times New Roman" w:hAnsi="Times New Roman" w:cs="Times New Roman"/>
          <w:sz w:val="24"/>
          <w:szCs w:val="24"/>
          <w:lang w:val="en-US"/>
        </w:rPr>
        <w:t xml:space="preserve"> (68.5%)</w:t>
      </w:r>
      <w:r w:rsidR="00C651A4" w:rsidRPr="00A0600F">
        <w:rPr>
          <w:rFonts w:ascii="Times New Roman" w:hAnsi="Times New Roman" w:cs="Times New Roman"/>
          <w:sz w:val="24"/>
          <w:szCs w:val="24"/>
          <w:lang w:val="en-US"/>
        </w:rPr>
        <w:t xml:space="preserve"> </w:t>
      </w:r>
      <w:r w:rsidR="000F2649" w:rsidRPr="00A0600F">
        <w:rPr>
          <w:rFonts w:ascii="Times New Roman" w:hAnsi="Times New Roman" w:cs="Times New Roman"/>
          <w:sz w:val="24"/>
          <w:szCs w:val="24"/>
          <w:lang w:val="en-US"/>
        </w:rPr>
        <w:t>and the avoidance of any complications</w:t>
      </w:r>
      <w:r w:rsidR="005B5DB7" w:rsidRPr="00A0600F">
        <w:rPr>
          <w:rFonts w:ascii="Times New Roman" w:hAnsi="Times New Roman" w:cs="Times New Roman"/>
          <w:sz w:val="24"/>
          <w:szCs w:val="24"/>
          <w:lang w:val="en-US"/>
        </w:rPr>
        <w:t xml:space="preserve"> (50.0%) </w:t>
      </w:r>
      <w:r w:rsidR="000F2649" w:rsidRPr="00A0600F">
        <w:rPr>
          <w:rFonts w:ascii="Times New Roman" w:hAnsi="Times New Roman" w:cs="Times New Roman"/>
          <w:sz w:val="24"/>
          <w:szCs w:val="24"/>
          <w:lang w:val="en-US"/>
        </w:rPr>
        <w:t xml:space="preserve">were the indicators most difficult to achieve. </w:t>
      </w:r>
      <w:r w:rsidR="00C651A4" w:rsidRPr="00A0600F">
        <w:rPr>
          <w:rFonts w:ascii="Times New Roman" w:hAnsi="Times New Roman" w:cs="Times New Roman"/>
          <w:sz w:val="24"/>
          <w:szCs w:val="24"/>
          <w:lang w:val="en-US"/>
        </w:rPr>
        <w:t>The weighted prevalence of n</w:t>
      </w:r>
      <w:r w:rsidR="000F2649" w:rsidRPr="00A0600F">
        <w:rPr>
          <w:rFonts w:ascii="Times New Roman" w:hAnsi="Times New Roman" w:cs="Times New Roman"/>
          <w:sz w:val="24"/>
          <w:szCs w:val="24"/>
          <w:lang w:val="en-US"/>
        </w:rPr>
        <w:t xml:space="preserve">o prolonged </w:t>
      </w:r>
      <w:r w:rsidR="00526A18" w:rsidRPr="00A0600F">
        <w:rPr>
          <w:rFonts w:ascii="Times New Roman" w:hAnsi="Times New Roman" w:cs="Times New Roman"/>
          <w:sz w:val="24"/>
          <w:szCs w:val="24"/>
          <w:lang w:val="en-US"/>
        </w:rPr>
        <w:t>LOS</w:t>
      </w:r>
      <w:r w:rsidR="000F2649" w:rsidRPr="00A0600F">
        <w:rPr>
          <w:rFonts w:ascii="Times New Roman" w:hAnsi="Times New Roman" w:cs="Times New Roman"/>
          <w:sz w:val="24"/>
          <w:szCs w:val="24"/>
          <w:lang w:val="en-US"/>
        </w:rPr>
        <w:t xml:space="preserve"> was </w:t>
      </w:r>
      <w:r w:rsidR="00C651A4" w:rsidRPr="00A0600F">
        <w:rPr>
          <w:rFonts w:ascii="Times New Roman" w:hAnsi="Times New Roman" w:cs="Times New Roman"/>
          <w:sz w:val="24"/>
          <w:szCs w:val="24"/>
          <w:lang w:val="en-US"/>
        </w:rPr>
        <w:t xml:space="preserve">71.8%. </w:t>
      </w:r>
      <w:r w:rsidR="000F2649" w:rsidRPr="00A0600F">
        <w:rPr>
          <w:rFonts w:ascii="Times New Roman" w:hAnsi="Times New Roman" w:cs="Times New Roman"/>
          <w:sz w:val="24"/>
          <w:szCs w:val="24"/>
          <w:lang w:val="en-US"/>
        </w:rPr>
        <w:t xml:space="preserve">These </w:t>
      </w:r>
      <w:r w:rsidR="00C651A4" w:rsidRPr="00A0600F">
        <w:rPr>
          <w:rFonts w:ascii="Times New Roman" w:hAnsi="Times New Roman" w:cs="Times New Roman"/>
          <w:sz w:val="24"/>
          <w:szCs w:val="24"/>
          <w:lang w:val="en-US"/>
        </w:rPr>
        <w:t xml:space="preserve">indicators determined a final TO achievement </w:t>
      </w:r>
      <w:r w:rsidR="00526A18" w:rsidRPr="00A0600F">
        <w:rPr>
          <w:rFonts w:ascii="Times New Roman" w:hAnsi="Times New Roman" w:cs="Times New Roman"/>
          <w:sz w:val="24"/>
          <w:szCs w:val="24"/>
          <w:lang w:val="en-US"/>
        </w:rPr>
        <w:t>in</w:t>
      </w:r>
      <w:r w:rsidR="00C651A4" w:rsidRPr="00A0600F">
        <w:rPr>
          <w:rFonts w:ascii="Times New Roman" w:hAnsi="Times New Roman" w:cs="Times New Roman"/>
          <w:sz w:val="24"/>
          <w:szCs w:val="24"/>
          <w:lang w:val="en-US"/>
        </w:rPr>
        <w:t xml:space="preserve"> 2</w:t>
      </w:r>
      <w:r w:rsidR="005B5DB7" w:rsidRPr="00A0600F">
        <w:rPr>
          <w:rFonts w:ascii="Times New Roman" w:hAnsi="Times New Roman" w:cs="Times New Roman"/>
          <w:sz w:val="24"/>
          <w:szCs w:val="24"/>
          <w:lang w:val="en-US"/>
        </w:rPr>
        <w:t>9</w:t>
      </w:r>
      <w:r w:rsidR="00C651A4" w:rsidRPr="00A0600F">
        <w:rPr>
          <w:rFonts w:ascii="Times New Roman" w:hAnsi="Times New Roman" w:cs="Times New Roman"/>
          <w:sz w:val="24"/>
          <w:szCs w:val="24"/>
          <w:lang w:val="en-US"/>
        </w:rPr>
        <w:t>.</w:t>
      </w:r>
      <w:r w:rsidR="005B5DB7" w:rsidRPr="00A0600F">
        <w:rPr>
          <w:rFonts w:ascii="Times New Roman" w:hAnsi="Times New Roman" w:cs="Times New Roman"/>
          <w:sz w:val="24"/>
          <w:szCs w:val="24"/>
          <w:lang w:val="en-US"/>
        </w:rPr>
        <w:t>0</w:t>
      </w:r>
      <w:r w:rsidR="00C651A4" w:rsidRPr="00A0600F">
        <w:rPr>
          <w:rFonts w:ascii="Times New Roman" w:hAnsi="Times New Roman" w:cs="Times New Roman"/>
          <w:sz w:val="24"/>
          <w:szCs w:val="24"/>
          <w:lang w:val="en-US"/>
        </w:rPr>
        <w:t xml:space="preserve">% </w:t>
      </w:r>
      <w:r w:rsidR="00526A18" w:rsidRPr="00A0600F">
        <w:rPr>
          <w:rFonts w:ascii="Times New Roman" w:hAnsi="Times New Roman" w:cs="Times New Roman"/>
          <w:sz w:val="24"/>
          <w:szCs w:val="24"/>
          <w:lang w:val="en-US"/>
        </w:rPr>
        <w:t xml:space="preserve">of patients </w:t>
      </w:r>
      <w:r w:rsidR="00C651A4" w:rsidRPr="00A0600F">
        <w:rPr>
          <w:rFonts w:ascii="Times New Roman" w:hAnsi="Times New Roman" w:cs="Times New Roman"/>
          <w:sz w:val="24"/>
          <w:szCs w:val="24"/>
          <w:lang w:val="en-US"/>
        </w:rPr>
        <w:t xml:space="preserve">(95%C.I.: </w:t>
      </w:r>
      <w:r w:rsidR="005B5DB7" w:rsidRPr="00A0600F">
        <w:rPr>
          <w:rFonts w:ascii="Times New Roman" w:hAnsi="Times New Roman" w:cs="Times New Roman"/>
          <w:sz w:val="24"/>
          <w:szCs w:val="24"/>
          <w:lang w:val="en-US"/>
        </w:rPr>
        <w:t>20</w:t>
      </w:r>
      <w:r w:rsidR="00C651A4" w:rsidRPr="00A0600F">
        <w:rPr>
          <w:rFonts w:ascii="Times New Roman" w:hAnsi="Times New Roman" w:cs="Times New Roman"/>
          <w:sz w:val="24"/>
          <w:szCs w:val="24"/>
          <w:lang w:val="en-US"/>
        </w:rPr>
        <w:t>.</w:t>
      </w:r>
      <w:r w:rsidR="005B5DB7" w:rsidRPr="00A0600F">
        <w:rPr>
          <w:rFonts w:ascii="Times New Roman" w:hAnsi="Times New Roman" w:cs="Times New Roman"/>
          <w:sz w:val="24"/>
          <w:szCs w:val="24"/>
          <w:lang w:val="en-US"/>
        </w:rPr>
        <w:t>4</w:t>
      </w:r>
      <w:r w:rsidR="00C651A4" w:rsidRPr="00A0600F">
        <w:rPr>
          <w:rFonts w:ascii="Times New Roman" w:hAnsi="Times New Roman" w:cs="Times New Roman"/>
          <w:sz w:val="24"/>
          <w:szCs w:val="24"/>
          <w:lang w:val="en-US"/>
        </w:rPr>
        <w:t>–</w:t>
      </w:r>
      <w:r w:rsidR="005B5DB7" w:rsidRPr="00A0600F">
        <w:rPr>
          <w:rFonts w:ascii="Times New Roman" w:hAnsi="Times New Roman" w:cs="Times New Roman"/>
          <w:sz w:val="24"/>
          <w:szCs w:val="24"/>
          <w:lang w:val="en-US"/>
        </w:rPr>
        <w:t>3</w:t>
      </w:r>
      <w:r w:rsidR="00C651A4" w:rsidRPr="00A0600F">
        <w:rPr>
          <w:rFonts w:ascii="Times New Roman" w:hAnsi="Times New Roman" w:cs="Times New Roman"/>
          <w:sz w:val="24"/>
          <w:szCs w:val="24"/>
          <w:lang w:val="en-US"/>
        </w:rPr>
        <w:t>9.</w:t>
      </w:r>
      <w:r w:rsidR="005B5DB7" w:rsidRPr="00A0600F">
        <w:rPr>
          <w:rFonts w:ascii="Times New Roman" w:hAnsi="Times New Roman" w:cs="Times New Roman"/>
          <w:sz w:val="24"/>
          <w:szCs w:val="24"/>
          <w:lang w:val="en-US"/>
        </w:rPr>
        <w:t>5</w:t>
      </w:r>
      <w:r w:rsidR="00526A18" w:rsidRPr="00A0600F">
        <w:rPr>
          <w:rFonts w:ascii="Times New Roman" w:hAnsi="Times New Roman" w:cs="Times New Roman"/>
          <w:sz w:val="24"/>
          <w:szCs w:val="24"/>
          <w:lang w:val="en-US"/>
        </w:rPr>
        <w:t>; I</w:t>
      </w:r>
      <w:r w:rsidR="00526A18" w:rsidRPr="00A0600F">
        <w:rPr>
          <w:rFonts w:ascii="Times New Roman" w:hAnsi="Times New Roman" w:cs="Times New Roman"/>
          <w:sz w:val="24"/>
          <w:szCs w:val="24"/>
          <w:vertAlign w:val="superscript"/>
          <w:lang w:val="en-US"/>
        </w:rPr>
        <w:t>2</w:t>
      </w:r>
      <w:r w:rsidR="00526A18" w:rsidRPr="00A0600F">
        <w:rPr>
          <w:rFonts w:ascii="Times New Roman" w:hAnsi="Times New Roman" w:cs="Times New Roman"/>
          <w:sz w:val="24"/>
          <w:szCs w:val="24"/>
          <w:lang w:val="en-US"/>
        </w:rPr>
        <w:t xml:space="preserve">: </w:t>
      </w:r>
      <w:r w:rsidR="005B5DB7" w:rsidRPr="00A0600F">
        <w:rPr>
          <w:rFonts w:ascii="Times New Roman" w:hAnsi="Times New Roman" w:cs="Times New Roman"/>
          <w:sz w:val="24"/>
          <w:szCs w:val="24"/>
          <w:lang w:val="en-US"/>
        </w:rPr>
        <w:t>90</w:t>
      </w:r>
      <w:r w:rsidR="00526A18" w:rsidRPr="00A0600F">
        <w:rPr>
          <w:rFonts w:ascii="Times New Roman" w:hAnsi="Times New Roman" w:cs="Times New Roman"/>
          <w:sz w:val="24"/>
          <w:szCs w:val="24"/>
          <w:lang w:val="en-US"/>
        </w:rPr>
        <w:t>.</w:t>
      </w:r>
      <w:r w:rsidR="005B5DB7" w:rsidRPr="00A0600F">
        <w:rPr>
          <w:rFonts w:ascii="Times New Roman" w:hAnsi="Times New Roman" w:cs="Times New Roman"/>
          <w:sz w:val="24"/>
          <w:szCs w:val="24"/>
          <w:lang w:val="en-US"/>
        </w:rPr>
        <w:t>9</w:t>
      </w:r>
      <w:r w:rsidR="00526A18" w:rsidRPr="00A0600F">
        <w:rPr>
          <w:rFonts w:ascii="Times New Roman" w:hAnsi="Times New Roman" w:cs="Times New Roman"/>
          <w:sz w:val="24"/>
          <w:szCs w:val="24"/>
          <w:lang w:val="en-US"/>
        </w:rPr>
        <w:t>%</w:t>
      </w:r>
      <w:r w:rsidR="00C651A4" w:rsidRPr="00A0600F">
        <w:rPr>
          <w:rFonts w:ascii="Times New Roman" w:hAnsi="Times New Roman" w:cs="Times New Roman"/>
          <w:sz w:val="24"/>
          <w:szCs w:val="24"/>
          <w:lang w:val="en-US"/>
        </w:rPr>
        <w:t>)</w:t>
      </w:r>
      <w:r w:rsidR="00526A18" w:rsidRPr="00A0600F">
        <w:rPr>
          <w:rFonts w:ascii="Times New Roman" w:hAnsi="Times New Roman" w:cs="Times New Roman"/>
          <w:sz w:val="24"/>
          <w:szCs w:val="24"/>
          <w:lang w:val="en-US"/>
        </w:rPr>
        <w:t>.</w:t>
      </w:r>
    </w:p>
    <w:p w14:paraId="50379D5E" w14:textId="2E9C6D89" w:rsidR="00C651A4" w:rsidRPr="00A0600F" w:rsidRDefault="00C651A4" w:rsidP="00D5236E">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ab/>
      </w:r>
      <w:r w:rsidR="00BE6F42" w:rsidRPr="00A0600F">
        <w:rPr>
          <w:rFonts w:ascii="Times New Roman" w:hAnsi="Times New Roman" w:cs="Times New Roman"/>
          <w:sz w:val="24"/>
          <w:szCs w:val="24"/>
          <w:lang w:val="en-US"/>
        </w:rPr>
        <w:t>The likelihood of achieving a T</w:t>
      </w:r>
      <w:r w:rsidR="00E632CA" w:rsidRPr="00A0600F">
        <w:rPr>
          <w:rFonts w:ascii="Times New Roman" w:hAnsi="Times New Roman" w:cs="Times New Roman"/>
          <w:sz w:val="24"/>
          <w:szCs w:val="24"/>
          <w:lang w:val="en-US"/>
        </w:rPr>
        <w:t xml:space="preserve">O </w:t>
      </w:r>
      <w:r w:rsidR="00BE6F42" w:rsidRPr="00A0600F">
        <w:rPr>
          <w:rFonts w:ascii="Times New Roman" w:hAnsi="Times New Roman" w:cs="Times New Roman"/>
          <w:sz w:val="24"/>
          <w:szCs w:val="24"/>
          <w:lang w:val="en-US"/>
        </w:rPr>
        <w:t>(</w:t>
      </w:r>
      <w:r w:rsidR="00BE6F42" w:rsidRPr="00A0600F">
        <w:rPr>
          <w:rFonts w:ascii="Times New Roman" w:hAnsi="Times New Roman" w:cs="Times New Roman"/>
          <w:i/>
          <w:iCs/>
          <w:sz w:val="24"/>
          <w:szCs w:val="24"/>
          <w:u w:val="single"/>
          <w:lang w:val="en-US"/>
        </w:rPr>
        <w:t>Table 3</w:t>
      </w:r>
      <w:r w:rsidR="00BE6F42" w:rsidRPr="00A0600F">
        <w:rPr>
          <w:rFonts w:ascii="Times New Roman" w:hAnsi="Times New Roman" w:cs="Times New Roman"/>
          <w:sz w:val="24"/>
          <w:szCs w:val="24"/>
          <w:lang w:val="en-US"/>
        </w:rPr>
        <w:t xml:space="preserve">) </w:t>
      </w:r>
      <w:r w:rsidR="006F7174" w:rsidRPr="00A0600F">
        <w:rPr>
          <w:rFonts w:ascii="Times New Roman" w:hAnsi="Times New Roman" w:cs="Times New Roman"/>
          <w:sz w:val="24"/>
          <w:szCs w:val="24"/>
          <w:lang w:val="en-US"/>
        </w:rPr>
        <w:t xml:space="preserve">was reduced </w:t>
      </w:r>
      <w:r w:rsidR="00BE6F42" w:rsidRPr="00A0600F">
        <w:rPr>
          <w:rFonts w:ascii="Times New Roman" w:hAnsi="Times New Roman" w:cs="Times New Roman"/>
          <w:sz w:val="24"/>
          <w:szCs w:val="24"/>
          <w:lang w:val="en-US"/>
        </w:rPr>
        <w:t>in</w:t>
      </w:r>
      <w:r w:rsidR="00E632CA" w:rsidRPr="00A0600F">
        <w:rPr>
          <w:rFonts w:ascii="Times New Roman" w:hAnsi="Times New Roman" w:cs="Times New Roman"/>
          <w:sz w:val="24"/>
          <w:szCs w:val="24"/>
          <w:lang w:val="en-US"/>
        </w:rPr>
        <w:t xml:space="preserve"> female</w:t>
      </w:r>
      <w:r w:rsidR="00BE6F42" w:rsidRPr="00A0600F">
        <w:rPr>
          <w:rFonts w:ascii="Times New Roman" w:hAnsi="Times New Roman" w:cs="Times New Roman"/>
          <w:sz w:val="24"/>
          <w:szCs w:val="24"/>
          <w:lang w:val="en-US"/>
        </w:rPr>
        <w:t>s (</w:t>
      </w:r>
      <w:r w:rsidR="00506DEB" w:rsidRPr="00A0600F">
        <w:rPr>
          <w:rFonts w:ascii="Times New Roman" w:hAnsi="Times New Roman" w:cs="Times New Roman"/>
          <w:sz w:val="24"/>
          <w:szCs w:val="24"/>
          <w:lang w:val="en-US"/>
        </w:rPr>
        <w:t>OR: 0.4</w:t>
      </w:r>
      <w:r w:rsidR="00044ACF">
        <w:rPr>
          <w:rFonts w:ascii="Times New Roman" w:hAnsi="Times New Roman" w:cs="Times New Roman"/>
          <w:sz w:val="24"/>
          <w:szCs w:val="24"/>
          <w:lang w:val="en-US"/>
        </w:rPr>
        <w:t>5</w:t>
      </w:r>
      <w:r w:rsidR="00506DEB" w:rsidRPr="00A0600F">
        <w:rPr>
          <w:rFonts w:ascii="Times New Roman" w:hAnsi="Times New Roman" w:cs="Times New Roman"/>
          <w:sz w:val="24"/>
          <w:szCs w:val="24"/>
          <w:lang w:val="en-US"/>
        </w:rPr>
        <w:t>; 95%C.I.: 0.30</w:t>
      </w:r>
      <w:r w:rsidR="000137DF" w:rsidRPr="00A0600F">
        <w:rPr>
          <w:rFonts w:ascii="Times New Roman" w:hAnsi="Times New Roman" w:cs="Times New Roman"/>
          <w:sz w:val="24"/>
          <w:szCs w:val="24"/>
          <w:lang w:val="en-US"/>
        </w:rPr>
        <w:t>-</w:t>
      </w:r>
      <w:r w:rsidR="00506DEB" w:rsidRPr="00A0600F">
        <w:rPr>
          <w:rFonts w:ascii="Times New Roman" w:hAnsi="Times New Roman" w:cs="Times New Roman"/>
          <w:sz w:val="24"/>
          <w:szCs w:val="24"/>
          <w:lang w:val="en-US"/>
        </w:rPr>
        <w:t>0.6</w:t>
      </w:r>
      <w:r w:rsidR="00044ACF">
        <w:rPr>
          <w:rFonts w:ascii="Times New Roman" w:hAnsi="Times New Roman" w:cs="Times New Roman"/>
          <w:sz w:val="24"/>
          <w:szCs w:val="24"/>
          <w:lang w:val="en-US"/>
        </w:rPr>
        <w:t>7</w:t>
      </w:r>
      <w:r w:rsidR="00BE6F42" w:rsidRPr="00A0600F">
        <w:rPr>
          <w:rFonts w:ascii="Times New Roman" w:hAnsi="Times New Roman" w:cs="Times New Roman"/>
          <w:sz w:val="24"/>
          <w:szCs w:val="24"/>
          <w:lang w:val="en-US"/>
        </w:rPr>
        <w:t>)</w:t>
      </w:r>
      <w:r w:rsidR="00E632CA" w:rsidRPr="00A0600F">
        <w:rPr>
          <w:rFonts w:ascii="Times New Roman" w:hAnsi="Times New Roman" w:cs="Times New Roman"/>
          <w:sz w:val="24"/>
          <w:szCs w:val="24"/>
          <w:lang w:val="en-US"/>
        </w:rPr>
        <w:t xml:space="preserve">, </w:t>
      </w:r>
      <w:r w:rsidR="00BE6F42" w:rsidRPr="00A0600F">
        <w:rPr>
          <w:rFonts w:ascii="Times New Roman" w:hAnsi="Times New Roman" w:cs="Times New Roman"/>
          <w:sz w:val="24"/>
          <w:szCs w:val="24"/>
          <w:lang w:val="en-US"/>
        </w:rPr>
        <w:t>when the</w:t>
      </w:r>
      <w:r w:rsidR="0030129C" w:rsidRPr="00A0600F">
        <w:rPr>
          <w:rFonts w:ascii="Times New Roman" w:hAnsi="Times New Roman" w:cs="Times New Roman"/>
          <w:sz w:val="24"/>
          <w:szCs w:val="24"/>
          <w:lang w:val="en-US"/>
        </w:rPr>
        <w:t xml:space="preserve"> ECOG PS </w:t>
      </w:r>
      <w:r w:rsidR="00BE6F42" w:rsidRPr="00A0600F">
        <w:rPr>
          <w:rFonts w:ascii="Times New Roman" w:hAnsi="Times New Roman" w:cs="Times New Roman"/>
          <w:sz w:val="24"/>
          <w:szCs w:val="24"/>
          <w:lang w:val="en-US"/>
        </w:rPr>
        <w:t>was</w:t>
      </w:r>
      <w:r w:rsidR="0030129C" w:rsidRPr="00A0600F">
        <w:rPr>
          <w:rFonts w:ascii="Times New Roman" w:hAnsi="Times New Roman" w:cs="Times New Roman"/>
          <w:sz w:val="24"/>
          <w:szCs w:val="24"/>
          <w:lang w:val="en-US"/>
        </w:rPr>
        <w:t xml:space="preserve"> 1</w:t>
      </w:r>
      <w:r w:rsidR="00BE6F42" w:rsidRPr="00A0600F">
        <w:rPr>
          <w:rFonts w:ascii="Times New Roman" w:hAnsi="Times New Roman" w:cs="Times New Roman"/>
          <w:sz w:val="24"/>
          <w:szCs w:val="24"/>
          <w:lang w:val="en-US"/>
        </w:rPr>
        <w:t xml:space="preserve"> (OR: 0.6</w:t>
      </w:r>
      <w:r w:rsidR="00044ACF">
        <w:rPr>
          <w:rFonts w:ascii="Times New Roman" w:hAnsi="Times New Roman" w:cs="Times New Roman"/>
          <w:sz w:val="24"/>
          <w:szCs w:val="24"/>
          <w:lang w:val="en-US"/>
        </w:rPr>
        <w:t>7</w:t>
      </w:r>
      <w:r w:rsidR="00BE6F42" w:rsidRPr="00A0600F">
        <w:rPr>
          <w:rFonts w:ascii="Times New Roman" w:hAnsi="Times New Roman" w:cs="Times New Roman"/>
          <w:sz w:val="24"/>
          <w:szCs w:val="24"/>
          <w:lang w:val="en-US"/>
        </w:rPr>
        <w:t>; 95%C.I: 0.4</w:t>
      </w:r>
      <w:r w:rsidR="00044ACF">
        <w:rPr>
          <w:rFonts w:ascii="Times New Roman" w:hAnsi="Times New Roman" w:cs="Times New Roman"/>
          <w:sz w:val="24"/>
          <w:szCs w:val="24"/>
          <w:lang w:val="en-US"/>
        </w:rPr>
        <w:t>6</w:t>
      </w:r>
      <w:r w:rsidR="000137DF" w:rsidRPr="00A0600F">
        <w:rPr>
          <w:rFonts w:ascii="Times New Roman" w:hAnsi="Times New Roman" w:cs="Times New Roman"/>
          <w:sz w:val="24"/>
          <w:szCs w:val="24"/>
          <w:lang w:val="en-US"/>
        </w:rPr>
        <w:t>-</w:t>
      </w:r>
      <w:r w:rsidR="00BE6F42" w:rsidRPr="00A0600F">
        <w:rPr>
          <w:rFonts w:ascii="Times New Roman" w:hAnsi="Times New Roman" w:cs="Times New Roman"/>
          <w:sz w:val="24"/>
          <w:szCs w:val="24"/>
          <w:lang w:val="en-US"/>
        </w:rPr>
        <w:t>0.9</w:t>
      </w:r>
      <w:r w:rsidR="00044ACF">
        <w:rPr>
          <w:rFonts w:ascii="Times New Roman" w:hAnsi="Times New Roman" w:cs="Times New Roman"/>
          <w:sz w:val="24"/>
          <w:szCs w:val="24"/>
          <w:lang w:val="en-US"/>
        </w:rPr>
        <w:t>7</w:t>
      </w:r>
      <w:r w:rsidR="00BE6F42" w:rsidRPr="00A0600F">
        <w:rPr>
          <w:rFonts w:ascii="Times New Roman" w:hAnsi="Times New Roman" w:cs="Times New Roman"/>
          <w:sz w:val="24"/>
          <w:szCs w:val="24"/>
          <w:lang w:val="en-US"/>
        </w:rPr>
        <w:t>)</w:t>
      </w:r>
      <w:r w:rsidR="0030129C" w:rsidRPr="00A0600F">
        <w:rPr>
          <w:rFonts w:ascii="Times New Roman" w:hAnsi="Times New Roman" w:cs="Times New Roman"/>
          <w:sz w:val="24"/>
          <w:szCs w:val="24"/>
          <w:lang w:val="en-US"/>
        </w:rPr>
        <w:t xml:space="preserve">, </w:t>
      </w:r>
      <w:r w:rsidR="00BE6F42" w:rsidRPr="00A0600F">
        <w:rPr>
          <w:rFonts w:ascii="Times New Roman" w:hAnsi="Times New Roman" w:cs="Times New Roman"/>
          <w:sz w:val="24"/>
          <w:szCs w:val="24"/>
          <w:lang w:val="en-US"/>
        </w:rPr>
        <w:t>in</w:t>
      </w:r>
      <w:r w:rsidR="0030129C" w:rsidRPr="00A0600F">
        <w:rPr>
          <w:rFonts w:ascii="Times New Roman" w:hAnsi="Times New Roman" w:cs="Times New Roman"/>
          <w:sz w:val="24"/>
          <w:szCs w:val="24"/>
          <w:lang w:val="en-US"/>
        </w:rPr>
        <w:t xml:space="preserve"> presence of </w:t>
      </w:r>
      <w:r w:rsidR="00506DEB" w:rsidRPr="00A0600F">
        <w:rPr>
          <w:rFonts w:ascii="Times New Roman" w:hAnsi="Times New Roman" w:cs="Times New Roman"/>
          <w:sz w:val="24"/>
          <w:szCs w:val="24"/>
          <w:lang w:val="en-US"/>
        </w:rPr>
        <w:t>&gt;</w:t>
      </w:r>
      <w:r w:rsidR="0030129C" w:rsidRPr="00A0600F">
        <w:rPr>
          <w:rFonts w:ascii="Times New Roman" w:hAnsi="Times New Roman" w:cs="Times New Roman"/>
          <w:sz w:val="24"/>
          <w:szCs w:val="24"/>
          <w:lang w:val="en-US"/>
        </w:rPr>
        <w:t xml:space="preserve">3 tumors </w:t>
      </w:r>
      <w:r w:rsidR="00BE6F42" w:rsidRPr="00A0600F">
        <w:rPr>
          <w:rFonts w:ascii="Times New Roman" w:hAnsi="Times New Roman" w:cs="Times New Roman"/>
          <w:sz w:val="24"/>
          <w:szCs w:val="24"/>
          <w:lang w:val="en-US"/>
        </w:rPr>
        <w:t>(OR: 0.</w:t>
      </w:r>
      <w:r w:rsidR="00506DEB" w:rsidRPr="00A0600F">
        <w:rPr>
          <w:rFonts w:ascii="Times New Roman" w:hAnsi="Times New Roman" w:cs="Times New Roman"/>
          <w:sz w:val="24"/>
          <w:szCs w:val="24"/>
          <w:lang w:val="en-US"/>
        </w:rPr>
        <w:t>46</w:t>
      </w:r>
      <w:r w:rsidR="00BE6F42" w:rsidRPr="00A0600F">
        <w:rPr>
          <w:rFonts w:ascii="Times New Roman" w:hAnsi="Times New Roman" w:cs="Times New Roman"/>
          <w:sz w:val="24"/>
          <w:szCs w:val="24"/>
          <w:lang w:val="en-US"/>
        </w:rPr>
        <w:t>; 95%C.I: 0.</w:t>
      </w:r>
      <w:r w:rsidR="00044ACF">
        <w:rPr>
          <w:rFonts w:ascii="Times New Roman" w:hAnsi="Times New Roman" w:cs="Times New Roman"/>
          <w:sz w:val="24"/>
          <w:szCs w:val="24"/>
          <w:lang w:val="en-US"/>
        </w:rPr>
        <w:t>29</w:t>
      </w:r>
      <w:r w:rsidR="000137DF" w:rsidRPr="00A0600F">
        <w:rPr>
          <w:rFonts w:ascii="Times New Roman" w:hAnsi="Times New Roman" w:cs="Times New Roman"/>
          <w:sz w:val="24"/>
          <w:szCs w:val="24"/>
          <w:lang w:val="en-US"/>
        </w:rPr>
        <w:t>-</w:t>
      </w:r>
      <w:r w:rsidR="00BE6F42" w:rsidRPr="00A0600F">
        <w:rPr>
          <w:rFonts w:ascii="Times New Roman" w:hAnsi="Times New Roman" w:cs="Times New Roman"/>
          <w:sz w:val="24"/>
          <w:szCs w:val="24"/>
          <w:lang w:val="en-US"/>
        </w:rPr>
        <w:t>0.</w:t>
      </w:r>
      <w:r w:rsidR="00044ACF">
        <w:rPr>
          <w:rFonts w:ascii="Times New Roman" w:hAnsi="Times New Roman" w:cs="Times New Roman"/>
          <w:sz w:val="24"/>
          <w:szCs w:val="24"/>
          <w:lang w:val="en-US"/>
        </w:rPr>
        <w:t>70</w:t>
      </w:r>
      <w:r w:rsidR="00BE6F42" w:rsidRPr="00A0600F">
        <w:rPr>
          <w:rFonts w:ascii="Times New Roman" w:hAnsi="Times New Roman" w:cs="Times New Roman"/>
          <w:sz w:val="24"/>
          <w:szCs w:val="24"/>
          <w:lang w:val="en-US"/>
        </w:rPr>
        <w:t xml:space="preserve">) </w:t>
      </w:r>
      <w:r w:rsidR="0030129C" w:rsidRPr="00A0600F">
        <w:rPr>
          <w:rFonts w:ascii="Times New Roman" w:hAnsi="Times New Roman" w:cs="Times New Roman"/>
          <w:sz w:val="24"/>
          <w:szCs w:val="24"/>
          <w:lang w:val="en-US"/>
        </w:rPr>
        <w:t>and larger tumor</w:t>
      </w:r>
      <w:r w:rsidR="00BE6F42" w:rsidRPr="00A0600F">
        <w:rPr>
          <w:rFonts w:ascii="Times New Roman" w:hAnsi="Times New Roman" w:cs="Times New Roman"/>
          <w:sz w:val="24"/>
          <w:szCs w:val="24"/>
          <w:lang w:val="en-US"/>
        </w:rPr>
        <w:t>s (OR: 0.8</w:t>
      </w:r>
      <w:r w:rsidR="00044ACF">
        <w:rPr>
          <w:rFonts w:ascii="Times New Roman" w:hAnsi="Times New Roman" w:cs="Times New Roman"/>
          <w:sz w:val="24"/>
          <w:szCs w:val="24"/>
          <w:lang w:val="en-US"/>
        </w:rPr>
        <w:t>3</w:t>
      </w:r>
      <w:r w:rsidR="00BE6F42" w:rsidRPr="00A0600F">
        <w:rPr>
          <w:rFonts w:ascii="Times New Roman" w:hAnsi="Times New Roman" w:cs="Times New Roman"/>
          <w:sz w:val="24"/>
          <w:szCs w:val="24"/>
          <w:lang w:val="en-US"/>
        </w:rPr>
        <w:t>; 95%C.I: 0.7</w:t>
      </w:r>
      <w:r w:rsidR="00044ACF">
        <w:rPr>
          <w:rFonts w:ascii="Times New Roman" w:hAnsi="Times New Roman" w:cs="Times New Roman"/>
          <w:sz w:val="24"/>
          <w:szCs w:val="24"/>
          <w:lang w:val="en-US"/>
        </w:rPr>
        <w:t>8</w:t>
      </w:r>
      <w:r w:rsidR="000137DF" w:rsidRPr="00A0600F">
        <w:rPr>
          <w:rFonts w:ascii="Times New Roman" w:hAnsi="Times New Roman" w:cs="Times New Roman"/>
          <w:sz w:val="24"/>
          <w:szCs w:val="24"/>
          <w:lang w:val="en-US"/>
        </w:rPr>
        <w:t>-</w:t>
      </w:r>
      <w:r w:rsidR="00BE6F42" w:rsidRPr="00A0600F">
        <w:rPr>
          <w:rFonts w:ascii="Times New Roman" w:hAnsi="Times New Roman" w:cs="Times New Roman"/>
          <w:sz w:val="24"/>
          <w:szCs w:val="24"/>
          <w:lang w:val="en-US"/>
        </w:rPr>
        <w:t>0.8</w:t>
      </w:r>
      <w:r w:rsidR="00044ACF">
        <w:rPr>
          <w:rFonts w:ascii="Times New Roman" w:hAnsi="Times New Roman" w:cs="Times New Roman"/>
          <w:sz w:val="24"/>
          <w:szCs w:val="24"/>
          <w:lang w:val="en-US"/>
        </w:rPr>
        <w:t>9</w:t>
      </w:r>
      <w:r w:rsidR="00BE6F42" w:rsidRPr="00A0600F">
        <w:rPr>
          <w:rFonts w:ascii="Times New Roman" w:hAnsi="Times New Roman" w:cs="Times New Roman"/>
          <w:sz w:val="24"/>
          <w:szCs w:val="24"/>
          <w:lang w:val="en-US"/>
        </w:rPr>
        <w:t>)</w:t>
      </w:r>
      <w:r w:rsidR="0030129C" w:rsidRPr="00A0600F">
        <w:rPr>
          <w:rFonts w:ascii="Times New Roman" w:hAnsi="Times New Roman" w:cs="Times New Roman"/>
          <w:sz w:val="24"/>
          <w:szCs w:val="24"/>
          <w:lang w:val="en-US"/>
        </w:rPr>
        <w:t>.</w:t>
      </w:r>
      <w:r w:rsidR="00E632CA" w:rsidRPr="00A0600F">
        <w:rPr>
          <w:rFonts w:ascii="Times New Roman" w:hAnsi="Times New Roman" w:cs="Times New Roman"/>
          <w:sz w:val="24"/>
          <w:szCs w:val="24"/>
          <w:lang w:val="en-US"/>
        </w:rPr>
        <w:t xml:space="preserve"> </w:t>
      </w:r>
      <w:r w:rsidR="00D5236E">
        <w:rPr>
          <w:rFonts w:ascii="Times New Roman" w:hAnsi="Times New Roman" w:cs="Times New Roman"/>
          <w:sz w:val="24"/>
          <w:szCs w:val="24"/>
          <w:lang w:val="en-US"/>
        </w:rPr>
        <w:t xml:space="preserve">Detailed results for these four prognostic factors in determine each component of TO are in the </w:t>
      </w:r>
      <w:r w:rsidR="00D5236E" w:rsidRPr="00D5236E">
        <w:rPr>
          <w:rFonts w:ascii="Times New Roman" w:hAnsi="Times New Roman" w:cs="Times New Roman"/>
          <w:i/>
          <w:iCs/>
          <w:sz w:val="24"/>
          <w:szCs w:val="24"/>
          <w:u w:val="single"/>
          <w:lang w:val="en-US"/>
        </w:rPr>
        <w:t xml:space="preserve">Supplementary Table </w:t>
      </w:r>
      <w:r w:rsidR="00D5236E">
        <w:rPr>
          <w:rFonts w:ascii="Times New Roman" w:hAnsi="Times New Roman" w:cs="Times New Roman"/>
          <w:i/>
          <w:iCs/>
          <w:sz w:val="24"/>
          <w:szCs w:val="24"/>
          <w:u w:val="single"/>
          <w:lang w:val="en-US"/>
        </w:rPr>
        <w:t>3</w:t>
      </w:r>
      <w:r w:rsidR="00D5236E">
        <w:rPr>
          <w:rFonts w:ascii="Times New Roman" w:hAnsi="Times New Roman" w:cs="Times New Roman"/>
          <w:sz w:val="24"/>
          <w:szCs w:val="24"/>
          <w:lang w:val="en-US"/>
        </w:rPr>
        <w:t>. Briefly,</w:t>
      </w:r>
      <w:r w:rsidR="003C50D8">
        <w:rPr>
          <w:rFonts w:ascii="Times New Roman" w:hAnsi="Times New Roman" w:cs="Times New Roman"/>
          <w:sz w:val="24"/>
          <w:szCs w:val="24"/>
          <w:lang w:val="en-US"/>
        </w:rPr>
        <w:t xml:space="preserve"> females had higher PES and prolonged LOS than males, patients with PS of 1 had higher morbidity, mortality and prolonged LOS, and patients with larger and multinodular tumors had higher PES, longer LOS and lower radiological objective response.</w:t>
      </w:r>
    </w:p>
    <w:p w14:paraId="142E2FFF" w14:textId="3062C770" w:rsidR="00E62858" w:rsidRPr="00A0600F" w:rsidRDefault="00E62858" w:rsidP="00E62858">
      <w:pPr>
        <w:spacing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 xml:space="preserve">Risk-adjustment </w:t>
      </w:r>
    </w:p>
    <w:p w14:paraId="47EF9CE9" w14:textId="5AD9A737" w:rsidR="006D07CB" w:rsidRDefault="006F7174" w:rsidP="00141C30">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ab/>
      </w:r>
      <w:r w:rsidR="008010D3" w:rsidRPr="00A0600F">
        <w:rPr>
          <w:rFonts w:ascii="Times New Roman" w:hAnsi="Times New Roman" w:cs="Times New Roman"/>
          <w:sz w:val="24"/>
          <w:szCs w:val="24"/>
          <w:lang w:val="en-US"/>
        </w:rPr>
        <w:t xml:space="preserve"> </w:t>
      </w:r>
      <w:r w:rsidR="006D07CB" w:rsidRPr="00A0600F">
        <w:rPr>
          <w:rFonts w:ascii="Times New Roman" w:hAnsi="Times New Roman" w:cs="Times New Roman"/>
          <w:sz w:val="24"/>
          <w:szCs w:val="24"/>
          <w:lang w:val="en-US"/>
        </w:rPr>
        <w:t xml:space="preserve">The removal of the predictable center’s effects resulting from the multilevel mixed-effect model provided the prediction of what each center's outcome would have been for the same standard population. The resulting risk-adjustment is reported in the </w:t>
      </w:r>
      <w:r w:rsidR="006D07CB" w:rsidRPr="00A0600F">
        <w:rPr>
          <w:rFonts w:ascii="Times New Roman" w:hAnsi="Times New Roman" w:cs="Times New Roman"/>
          <w:i/>
          <w:iCs/>
          <w:sz w:val="24"/>
          <w:szCs w:val="24"/>
          <w:u w:val="single"/>
          <w:lang w:val="en-US"/>
        </w:rPr>
        <w:t>Figure 2</w:t>
      </w:r>
      <w:r w:rsidR="006D07CB" w:rsidRPr="00A0600F">
        <w:rPr>
          <w:rFonts w:ascii="Times New Roman" w:hAnsi="Times New Roman" w:cs="Times New Roman"/>
          <w:sz w:val="24"/>
          <w:szCs w:val="24"/>
          <w:lang w:val="en-US"/>
        </w:rPr>
        <w:t xml:space="preserve">. The predicted TO achievement </w:t>
      </w:r>
      <w:r w:rsidR="00F80CA0" w:rsidRPr="00A0600F">
        <w:rPr>
          <w:rFonts w:ascii="Times New Roman" w:hAnsi="Times New Roman" w:cs="Times New Roman"/>
          <w:sz w:val="24"/>
          <w:szCs w:val="24"/>
          <w:lang w:val="en-US"/>
        </w:rPr>
        <w:lastRenderedPageBreak/>
        <w:t>was</w:t>
      </w:r>
      <w:r w:rsidR="006D07CB" w:rsidRPr="00A0600F">
        <w:rPr>
          <w:rFonts w:ascii="Times New Roman" w:hAnsi="Times New Roman" w:cs="Times New Roman"/>
          <w:sz w:val="24"/>
          <w:szCs w:val="24"/>
          <w:lang w:val="en-US"/>
        </w:rPr>
        <w:t xml:space="preserve"> 2</w:t>
      </w:r>
      <w:r w:rsidR="00A06012">
        <w:rPr>
          <w:rFonts w:ascii="Times New Roman" w:hAnsi="Times New Roman" w:cs="Times New Roman"/>
          <w:sz w:val="24"/>
          <w:szCs w:val="24"/>
          <w:lang w:val="en-US"/>
        </w:rPr>
        <w:t>7</w:t>
      </w:r>
      <w:r w:rsidR="006D07CB" w:rsidRPr="00A0600F">
        <w:rPr>
          <w:rFonts w:ascii="Times New Roman" w:hAnsi="Times New Roman" w:cs="Times New Roman"/>
          <w:sz w:val="24"/>
          <w:szCs w:val="24"/>
          <w:lang w:val="en-US"/>
        </w:rPr>
        <w:t>.</w:t>
      </w:r>
      <w:r w:rsidR="00A06012">
        <w:rPr>
          <w:rFonts w:ascii="Times New Roman" w:hAnsi="Times New Roman" w:cs="Times New Roman"/>
          <w:sz w:val="24"/>
          <w:szCs w:val="24"/>
          <w:lang w:val="en-US"/>
        </w:rPr>
        <w:t>7</w:t>
      </w:r>
      <w:r w:rsidR="006D07CB" w:rsidRPr="00A0600F">
        <w:rPr>
          <w:rFonts w:ascii="Times New Roman" w:hAnsi="Times New Roman" w:cs="Times New Roman"/>
          <w:sz w:val="24"/>
          <w:szCs w:val="24"/>
          <w:lang w:val="en-US"/>
        </w:rPr>
        <w:t xml:space="preserve">% on the </w:t>
      </w:r>
      <w:r w:rsidR="00A06012">
        <w:rPr>
          <w:rFonts w:ascii="Times New Roman" w:hAnsi="Times New Roman" w:cs="Times New Roman"/>
          <w:sz w:val="24"/>
          <w:szCs w:val="24"/>
          <w:lang w:val="en-US"/>
        </w:rPr>
        <w:t xml:space="preserve">weighted </w:t>
      </w:r>
      <w:r w:rsidR="006D07CB" w:rsidRPr="00A0600F">
        <w:rPr>
          <w:rFonts w:ascii="Times New Roman" w:hAnsi="Times New Roman" w:cs="Times New Roman"/>
          <w:sz w:val="24"/>
          <w:szCs w:val="24"/>
          <w:lang w:val="en-US"/>
        </w:rPr>
        <w:t xml:space="preserve">average, and all centers involved had values </w:t>
      </w:r>
      <w:r w:rsidR="00F80CA0" w:rsidRPr="00A0600F">
        <w:rPr>
          <w:rFonts w:ascii="Times New Roman" w:hAnsi="Times New Roman" w:cs="Times New Roman"/>
          <w:sz w:val="24"/>
          <w:szCs w:val="24"/>
          <w:lang w:val="en-US"/>
        </w:rPr>
        <w:t>adjacent</w:t>
      </w:r>
      <w:r w:rsidR="006D07CB" w:rsidRPr="00A0600F">
        <w:rPr>
          <w:rFonts w:ascii="Times New Roman" w:hAnsi="Times New Roman" w:cs="Times New Roman"/>
          <w:sz w:val="24"/>
          <w:szCs w:val="24"/>
          <w:lang w:val="en-US"/>
        </w:rPr>
        <w:t xml:space="preserve"> to this </w:t>
      </w:r>
      <w:r w:rsidR="00F80CA0" w:rsidRPr="00A0600F">
        <w:rPr>
          <w:rFonts w:ascii="Times New Roman" w:hAnsi="Times New Roman" w:cs="Times New Roman"/>
          <w:sz w:val="24"/>
          <w:szCs w:val="24"/>
          <w:lang w:val="en-US"/>
        </w:rPr>
        <w:t>estimation</w:t>
      </w:r>
      <w:r w:rsidR="006D07CB" w:rsidRPr="00A0600F">
        <w:rPr>
          <w:rFonts w:ascii="Times New Roman" w:hAnsi="Times New Roman" w:cs="Times New Roman"/>
          <w:sz w:val="24"/>
          <w:szCs w:val="24"/>
          <w:lang w:val="en-US"/>
        </w:rPr>
        <w:t>. This indicates that when adjusted for gender, ECOG and tumor burden, the outcome was similar across involved centers</w:t>
      </w:r>
      <w:r w:rsidR="00F80CA0" w:rsidRPr="00A0600F">
        <w:rPr>
          <w:rFonts w:ascii="Times New Roman" w:hAnsi="Times New Roman" w:cs="Times New Roman"/>
          <w:sz w:val="24"/>
          <w:szCs w:val="24"/>
          <w:lang w:val="en-US"/>
        </w:rPr>
        <w:t xml:space="preserve"> without any </w:t>
      </w:r>
      <w:r w:rsidR="00102473" w:rsidRPr="00A0600F">
        <w:rPr>
          <w:rFonts w:ascii="Times New Roman" w:hAnsi="Times New Roman" w:cs="Times New Roman"/>
          <w:sz w:val="24"/>
          <w:szCs w:val="24"/>
          <w:lang w:val="en-US"/>
        </w:rPr>
        <w:t>center’s volume effect.</w:t>
      </w:r>
    </w:p>
    <w:p w14:paraId="54B1A7D8" w14:textId="7E832045" w:rsidR="0065247C" w:rsidRDefault="00A06012" w:rsidP="00141C3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81DA8">
        <w:rPr>
          <w:rFonts w:ascii="Times New Roman" w:hAnsi="Times New Roman" w:cs="Times New Roman"/>
          <w:sz w:val="24"/>
          <w:szCs w:val="24"/>
          <w:lang w:val="en-US"/>
        </w:rPr>
        <w:t>A</w:t>
      </w:r>
      <w:r>
        <w:rPr>
          <w:rFonts w:ascii="Times New Roman" w:hAnsi="Times New Roman" w:cs="Times New Roman"/>
          <w:sz w:val="24"/>
          <w:szCs w:val="24"/>
          <w:lang w:val="en-US"/>
        </w:rPr>
        <w:t xml:space="preserve"> tool for external comparison </w:t>
      </w:r>
      <w:r w:rsidR="00481DA8">
        <w:rPr>
          <w:rFonts w:ascii="Times New Roman" w:hAnsi="Times New Roman" w:cs="Times New Roman"/>
          <w:sz w:val="24"/>
          <w:szCs w:val="24"/>
          <w:lang w:val="en-US"/>
        </w:rPr>
        <w:t>was built using</w:t>
      </w:r>
      <w:r>
        <w:rPr>
          <w:rFonts w:ascii="Times New Roman" w:hAnsi="Times New Roman" w:cs="Times New Roman"/>
          <w:sz w:val="24"/>
          <w:szCs w:val="24"/>
          <w:lang w:val="en-US"/>
        </w:rPr>
        <w:t xml:space="preserve"> </w:t>
      </w:r>
      <w:r w:rsidR="0077312B">
        <w:rPr>
          <w:rFonts w:ascii="Times New Roman" w:hAnsi="Times New Roman" w:cs="Times New Roman"/>
          <w:sz w:val="24"/>
          <w:szCs w:val="24"/>
          <w:lang w:val="en-US"/>
        </w:rPr>
        <w:t>the</w:t>
      </w:r>
      <w:r>
        <w:rPr>
          <w:rFonts w:ascii="Times New Roman" w:hAnsi="Times New Roman" w:cs="Times New Roman"/>
          <w:sz w:val="24"/>
          <w:szCs w:val="24"/>
          <w:lang w:val="en-US"/>
        </w:rPr>
        <w:t xml:space="preserve"> linear predictor of the fixed part of the model </w:t>
      </w:r>
      <w:r w:rsidR="0077312B">
        <w:rPr>
          <w:rFonts w:ascii="Times New Roman" w:hAnsi="Times New Roman" w:cs="Times New Roman"/>
          <w:sz w:val="24"/>
          <w:szCs w:val="24"/>
          <w:lang w:val="en-US"/>
        </w:rPr>
        <w:t xml:space="preserve">adding the random effect generated by each participating center. Mathematical details are provided in the </w:t>
      </w:r>
      <w:r w:rsidR="0077312B" w:rsidRPr="0065247C">
        <w:rPr>
          <w:rFonts w:ascii="Times New Roman" w:hAnsi="Times New Roman" w:cs="Times New Roman"/>
          <w:i/>
          <w:iCs/>
          <w:sz w:val="24"/>
          <w:szCs w:val="24"/>
          <w:u w:val="single"/>
          <w:lang w:val="en-US"/>
        </w:rPr>
        <w:t>Supplementary Table 4</w:t>
      </w:r>
      <w:r w:rsidR="007731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81DA8">
        <w:rPr>
          <w:rFonts w:ascii="Times New Roman" w:hAnsi="Times New Roman" w:cs="Times New Roman"/>
          <w:sz w:val="24"/>
          <w:szCs w:val="24"/>
          <w:lang w:val="en-US"/>
        </w:rPr>
        <w:t xml:space="preserve">Briefly, this tool is used by entering the number of patients in the external cohort, the number of patients who achieved TO, together with the percentages of females, of patients with ECOG-PS1, of patients with more than 3 tumors and the mean of the largest diameter. </w:t>
      </w:r>
      <w:r w:rsidR="00C72CDD">
        <w:rPr>
          <w:rFonts w:ascii="Times New Roman" w:hAnsi="Times New Roman" w:cs="Times New Roman"/>
          <w:sz w:val="24"/>
          <w:szCs w:val="24"/>
          <w:lang w:val="en-US"/>
        </w:rPr>
        <w:t xml:space="preserve">The tool will compare the observed events with the expected calculated by the model providing a risk adjusted TO </w:t>
      </w:r>
      <w:r w:rsidR="00C72CDD" w:rsidRPr="00A5518C">
        <w:rPr>
          <w:rFonts w:ascii="Times New Roman" w:hAnsi="Times New Roman" w:cs="Times New Roman"/>
          <w:sz w:val="24"/>
          <w:szCs w:val="24"/>
          <w:lang w:val="en-US"/>
        </w:rPr>
        <w:t>achievement which can be compared with the present benchmark of 27.7%. A web calculator can be f</w:t>
      </w:r>
      <w:r w:rsidR="00A5518C" w:rsidRPr="00A5518C">
        <w:rPr>
          <w:rFonts w:ascii="Times New Roman" w:hAnsi="Times New Roman" w:cs="Times New Roman"/>
          <w:sz w:val="24"/>
          <w:szCs w:val="24"/>
          <w:lang w:val="en-US"/>
        </w:rPr>
        <w:t>ou</w:t>
      </w:r>
      <w:r w:rsidR="00C72CDD" w:rsidRPr="00A5518C">
        <w:rPr>
          <w:rFonts w:ascii="Times New Roman" w:hAnsi="Times New Roman" w:cs="Times New Roman"/>
          <w:sz w:val="24"/>
          <w:szCs w:val="24"/>
          <w:lang w:val="en-US"/>
        </w:rPr>
        <w:t xml:space="preserve">nd at: </w:t>
      </w:r>
      <w:hyperlink r:id="rId10" w:history="1">
        <w:r w:rsidR="00A5518C" w:rsidRPr="00A5518C">
          <w:rPr>
            <w:rStyle w:val="Hyperlink"/>
            <w:rFonts w:ascii="Times New Roman" w:hAnsi="Times New Roman" w:cs="Times New Roman"/>
            <w:sz w:val="24"/>
            <w:szCs w:val="24"/>
            <w:lang w:val="en-US"/>
          </w:rPr>
          <w:t>https://jscalc.io/calc/bz7p3W8LgH21CuDy</w:t>
        </w:r>
      </w:hyperlink>
      <w:r w:rsidR="00A5518C" w:rsidRPr="00A5518C">
        <w:rPr>
          <w:rFonts w:ascii="Times New Roman" w:hAnsi="Times New Roman" w:cs="Times New Roman"/>
          <w:sz w:val="24"/>
          <w:szCs w:val="24"/>
          <w:lang w:val="en-US"/>
        </w:rPr>
        <w:t>.</w:t>
      </w:r>
    </w:p>
    <w:p w14:paraId="2C995493" w14:textId="0EBDCF3E" w:rsidR="008C06F6" w:rsidRPr="00A0600F" w:rsidRDefault="008C06F6" w:rsidP="008C06F6">
      <w:pPr>
        <w:spacing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Determinants of survival</w:t>
      </w:r>
    </w:p>
    <w:p w14:paraId="4787E0FB" w14:textId="6C48F996" w:rsidR="00F066C1" w:rsidRPr="00A0600F" w:rsidRDefault="007C602D" w:rsidP="00141C30">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t>During a median follow-up of 19 months, 639 patients died (56.9%). The median overall survival of the entire cohort was 26.2 months (95%C.I.: 24.6</w:t>
      </w:r>
      <w:r w:rsidR="000137DF" w:rsidRPr="00A0600F">
        <w:rPr>
          <w:rFonts w:ascii="Times New Roman" w:hAnsi="Times New Roman" w:cs="Times New Roman"/>
          <w:sz w:val="24"/>
          <w:szCs w:val="24"/>
          <w:lang w:val="en-US"/>
        </w:rPr>
        <w:t>-</w:t>
      </w:r>
      <w:r w:rsidRPr="00A0600F">
        <w:rPr>
          <w:rFonts w:ascii="Times New Roman" w:hAnsi="Times New Roman" w:cs="Times New Roman"/>
          <w:sz w:val="24"/>
          <w:szCs w:val="24"/>
          <w:lang w:val="en-US"/>
        </w:rPr>
        <w:t xml:space="preserve">28.7), with a 1-, 2- and 3-year survival rates of 78.5%, 55.0% and 36.0%, respectively. </w:t>
      </w:r>
      <w:r w:rsidR="00666C96" w:rsidRPr="00A0600F">
        <w:rPr>
          <w:rFonts w:ascii="Times New Roman" w:hAnsi="Times New Roman" w:cs="Times New Roman"/>
          <w:sz w:val="24"/>
          <w:szCs w:val="24"/>
          <w:lang w:val="en-US"/>
        </w:rPr>
        <w:t>In the time-dependent analysis, p</w:t>
      </w:r>
      <w:r w:rsidR="00206865" w:rsidRPr="00A0600F">
        <w:rPr>
          <w:rFonts w:ascii="Times New Roman" w:hAnsi="Times New Roman" w:cs="Times New Roman"/>
          <w:sz w:val="24"/>
          <w:szCs w:val="24"/>
          <w:lang w:val="en-US"/>
        </w:rPr>
        <w:t>atients achieving TO have a median overall of 3</w:t>
      </w:r>
      <w:r w:rsidR="00666C96" w:rsidRPr="00A0600F">
        <w:rPr>
          <w:rFonts w:ascii="Times New Roman" w:hAnsi="Times New Roman" w:cs="Times New Roman"/>
          <w:sz w:val="24"/>
          <w:szCs w:val="24"/>
          <w:lang w:val="en-US"/>
        </w:rPr>
        <w:t>5</w:t>
      </w:r>
      <w:r w:rsidR="00206865" w:rsidRPr="00A0600F">
        <w:rPr>
          <w:rFonts w:ascii="Times New Roman" w:hAnsi="Times New Roman" w:cs="Times New Roman"/>
          <w:sz w:val="24"/>
          <w:szCs w:val="24"/>
          <w:lang w:val="en-US"/>
        </w:rPr>
        <w:t xml:space="preserve">.4 months (95%C.I.: </w:t>
      </w:r>
      <w:r w:rsidR="00666C96" w:rsidRPr="00A0600F">
        <w:rPr>
          <w:rFonts w:ascii="Times New Roman" w:hAnsi="Times New Roman" w:cs="Times New Roman"/>
          <w:sz w:val="24"/>
          <w:szCs w:val="24"/>
          <w:lang w:val="en-US"/>
        </w:rPr>
        <w:t>31.8</w:t>
      </w:r>
      <w:r w:rsidR="000137DF" w:rsidRPr="00A0600F">
        <w:rPr>
          <w:rFonts w:ascii="Times New Roman" w:hAnsi="Times New Roman" w:cs="Times New Roman"/>
          <w:sz w:val="24"/>
          <w:szCs w:val="24"/>
          <w:lang w:val="en-US"/>
        </w:rPr>
        <w:t>-</w:t>
      </w:r>
      <w:r w:rsidR="00666C96" w:rsidRPr="00A0600F">
        <w:rPr>
          <w:rFonts w:ascii="Times New Roman" w:hAnsi="Times New Roman" w:cs="Times New Roman"/>
          <w:sz w:val="24"/>
          <w:szCs w:val="24"/>
          <w:lang w:val="en-US"/>
        </w:rPr>
        <w:t>41</w:t>
      </w:r>
      <w:r w:rsidR="00206865" w:rsidRPr="00A0600F">
        <w:rPr>
          <w:rFonts w:ascii="Times New Roman" w:hAnsi="Times New Roman" w:cs="Times New Roman"/>
          <w:sz w:val="24"/>
          <w:szCs w:val="24"/>
          <w:lang w:val="en-US"/>
        </w:rPr>
        <w:t>.</w:t>
      </w:r>
      <w:r w:rsidR="00666C96" w:rsidRPr="00A0600F">
        <w:rPr>
          <w:rFonts w:ascii="Times New Roman" w:hAnsi="Times New Roman" w:cs="Times New Roman"/>
          <w:sz w:val="24"/>
          <w:szCs w:val="24"/>
          <w:lang w:val="en-US"/>
        </w:rPr>
        <w:t>9</w:t>
      </w:r>
      <w:r w:rsidR="00206865" w:rsidRPr="00A0600F">
        <w:rPr>
          <w:rFonts w:ascii="Times New Roman" w:hAnsi="Times New Roman" w:cs="Times New Roman"/>
          <w:sz w:val="24"/>
          <w:szCs w:val="24"/>
          <w:lang w:val="en-US"/>
        </w:rPr>
        <w:t>) and that of patients not achieving TO was 2</w:t>
      </w:r>
      <w:r w:rsidR="00666C96" w:rsidRPr="00A0600F">
        <w:rPr>
          <w:rFonts w:ascii="Times New Roman" w:hAnsi="Times New Roman" w:cs="Times New Roman"/>
          <w:sz w:val="24"/>
          <w:szCs w:val="24"/>
          <w:lang w:val="en-US"/>
        </w:rPr>
        <w:t>4</w:t>
      </w:r>
      <w:r w:rsidR="00206865" w:rsidRPr="00A0600F">
        <w:rPr>
          <w:rFonts w:ascii="Times New Roman" w:hAnsi="Times New Roman" w:cs="Times New Roman"/>
          <w:sz w:val="24"/>
          <w:szCs w:val="24"/>
          <w:lang w:val="en-US"/>
        </w:rPr>
        <w:t>.</w:t>
      </w:r>
      <w:r w:rsidR="00666C96" w:rsidRPr="00A0600F">
        <w:rPr>
          <w:rFonts w:ascii="Times New Roman" w:hAnsi="Times New Roman" w:cs="Times New Roman"/>
          <w:sz w:val="24"/>
          <w:szCs w:val="24"/>
          <w:lang w:val="en-US"/>
        </w:rPr>
        <w:t>1</w:t>
      </w:r>
      <w:r w:rsidR="00206865" w:rsidRPr="00A0600F">
        <w:rPr>
          <w:rFonts w:ascii="Times New Roman" w:hAnsi="Times New Roman" w:cs="Times New Roman"/>
          <w:sz w:val="24"/>
          <w:szCs w:val="24"/>
          <w:lang w:val="en-US"/>
        </w:rPr>
        <w:t xml:space="preserve"> months (95%C.I.: 2</w:t>
      </w:r>
      <w:r w:rsidR="00666C96" w:rsidRPr="00A0600F">
        <w:rPr>
          <w:rFonts w:ascii="Times New Roman" w:hAnsi="Times New Roman" w:cs="Times New Roman"/>
          <w:sz w:val="24"/>
          <w:szCs w:val="24"/>
          <w:lang w:val="en-US"/>
        </w:rPr>
        <w:t>1</w:t>
      </w:r>
      <w:r w:rsidR="00206865" w:rsidRPr="00A0600F">
        <w:rPr>
          <w:rFonts w:ascii="Times New Roman" w:hAnsi="Times New Roman" w:cs="Times New Roman"/>
          <w:sz w:val="24"/>
          <w:szCs w:val="24"/>
          <w:lang w:val="en-US"/>
        </w:rPr>
        <w:t>.</w:t>
      </w:r>
      <w:r w:rsidR="00666C96" w:rsidRPr="00A0600F">
        <w:rPr>
          <w:rFonts w:ascii="Times New Roman" w:hAnsi="Times New Roman" w:cs="Times New Roman"/>
          <w:sz w:val="24"/>
          <w:szCs w:val="24"/>
          <w:lang w:val="en-US"/>
        </w:rPr>
        <w:t>3</w:t>
      </w:r>
      <w:r w:rsidR="000137DF" w:rsidRPr="00A0600F">
        <w:rPr>
          <w:rFonts w:ascii="Times New Roman" w:hAnsi="Times New Roman" w:cs="Times New Roman"/>
          <w:sz w:val="24"/>
          <w:szCs w:val="24"/>
          <w:lang w:val="en-US"/>
        </w:rPr>
        <w:t>-</w:t>
      </w:r>
      <w:r w:rsidR="00206865" w:rsidRPr="00A0600F">
        <w:rPr>
          <w:rFonts w:ascii="Times New Roman" w:hAnsi="Times New Roman" w:cs="Times New Roman"/>
          <w:sz w:val="24"/>
          <w:szCs w:val="24"/>
          <w:lang w:val="en-US"/>
        </w:rPr>
        <w:t>25.</w:t>
      </w:r>
      <w:r w:rsidR="00666C96" w:rsidRPr="00A0600F">
        <w:rPr>
          <w:rFonts w:ascii="Times New Roman" w:hAnsi="Times New Roman" w:cs="Times New Roman"/>
          <w:sz w:val="24"/>
          <w:szCs w:val="24"/>
          <w:lang w:val="en-US"/>
        </w:rPr>
        <w:t>3</w:t>
      </w:r>
      <w:r w:rsidR="00206865" w:rsidRPr="00A0600F">
        <w:rPr>
          <w:rFonts w:ascii="Times New Roman" w:hAnsi="Times New Roman" w:cs="Times New Roman"/>
          <w:sz w:val="24"/>
          <w:szCs w:val="24"/>
          <w:lang w:val="en-US"/>
        </w:rPr>
        <w:t>). This resulted in an HR of 0.</w:t>
      </w:r>
      <w:r w:rsidR="00666C96" w:rsidRPr="00A0600F">
        <w:rPr>
          <w:rFonts w:ascii="Times New Roman" w:hAnsi="Times New Roman" w:cs="Times New Roman"/>
          <w:sz w:val="24"/>
          <w:szCs w:val="24"/>
          <w:lang w:val="en-US"/>
        </w:rPr>
        <w:t>57</w:t>
      </w:r>
      <w:r w:rsidR="00206865" w:rsidRPr="00A0600F">
        <w:rPr>
          <w:rFonts w:ascii="Times New Roman" w:hAnsi="Times New Roman" w:cs="Times New Roman"/>
          <w:sz w:val="24"/>
          <w:szCs w:val="24"/>
          <w:lang w:val="en-US"/>
        </w:rPr>
        <w:t xml:space="preserve"> (95%C.I.: 0.</w:t>
      </w:r>
      <w:r w:rsidR="000137DF" w:rsidRPr="00A0600F">
        <w:rPr>
          <w:rFonts w:ascii="Times New Roman" w:hAnsi="Times New Roman" w:cs="Times New Roman"/>
          <w:sz w:val="24"/>
          <w:szCs w:val="24"/>
          <w:lang w:val="en-US"/>
        </w:rPr>
        <w:t>44-</w:t>
      </w:r>
      <w:r w:rsidR="00206865" w:rsidRPr="00A0600F">
        <w:rPr>
          <w:rFonts w:ascii="Times New Roman" w:hAnsi="Times New Roman" w:cs="Times New Roman"/>
          <w:sz w:val="24"/>
          <w:szCs w:val="24"/>
          <w:lang w:val="en-US"/>
        </w:rPr>
        <w:t>0.7</w:t>
      </w:r>
      <w:r w:rsidR="00666C96" w:rsidRPr="00A0600F">
        <w:rPr>
          <w:rFonts w:ascii="Times New Roman" w:hAnsi="Times New Roman" w:cs="Times New Roman"/>
          <w:sz w:val="24"/>
          <w:szCs w:val="24"/>
          <w:lang w:val="en-US"/>
        </w:rPr>
        <w:t>2</w:t>
      </w:r>
      <w:r w:rsidR="00206865" w:rsidRPr="00A0600F">
        <w:rPr>
          <w:rFonts w:ascii="Times New Roman" w:hAnsi="Times New Roman" w:cs="Times New Roman"/>
          <w:sz w:val="24"/>
          <w:szCs w:val="24"/>
          <w:lang w:val="en-US"/>
        </w:rPr>
        <w:t xml:space="preserve">). When TO effect on survival was tested with </w:t>
      </w:r>
      <w:r w:rsidR="007665E7" w:rsidRPr="00A0600F">
        <w:rPr>
          <w:rFonts w:ascii="Times New Roman" w:hAnsi="Times New Roman" w:cs="Times New Roman"/>
          <w:sz w:val="24"/>
          <w:szCs w:val="24"/>
          <w:lang w:val="en-US"/>
        </w:rPr>
        <w:t xml:space="preserve">the </w:t>
      </w:r>
      <w:r w:rsidR="00206865" w:rsidRPr="00A0600F">
        <w:rPr>
          <w:rFonts w:ascii="Times New Roman" w:hAnsi="Times New Roman" w:cs="Times New Roman"/>
          <w:sz w:val="24"/>
          <w:szCs w:val="24"/>
          <w:lang w:val="en-US"/>
        </w:rPr>
        <w:t>remaining baseline clinical features (</w:t>
      </w:r>
      <w:r w:rsidR="00206865" w:rsidRPr="00A0600F">
        <w:rPr>
          <w:rFonts w:ascii="Times New Roman" w:hAnsi="Times New Roman" w:cs="Times New Roman"/>
          <w:i/>
          <w:iCs/>
          <w:sz w:val="24"/>
          <w:szCs w:val="24"/>
          <w:u w:val="single"/>
          <w:lang w:val="en-US"/>
        </w:rPr>
        <w:t>Table 4</w:t>
      </w:r>
      <w:r w:rsidR="00206865" w:rsidRPr="00A0600F">
        <w:rPr>
          <w:rFonts w:ascii="Times New Roman" w:hAnsi="Times New Roman" w:cs="Times New Roman"/>
          <w:sz w:val="24"/>
          <w:szCs w:val="24"/>
          <w:lang w:val="en-US"/>
        </w:rPr>
        <w:t xml:space="preserve">) </w:t>
      </w:r>
      <w:r w:rsidRPr="00A0600F">
        <w:rPr>
          <w:rFonts w:ascii="Times New Roman" w:hAnsi="Times New Roman" w:cs="Times New Roman"/>
          <w:sz w:val="24"/>
          <w:szCs w:val="24"/>
          <w:lang w:val="en-US"/>
        </w:rPr>
        <w:t>the</w:t>
      </w:r>
      <w:r w:rsidR="00206865" w:rsidRPr="00A0600F">
        <w:rPr>
          <w:rFonts w:ascii="Times New Roman" w:hAnsi="Times New Roman" w:cs="Times New Roman"/>
          <w:sz w:val="24"/>
          <w:szCs w:val="24"/>
          <w:lang w:val="en-US"/>
        </w:rPr>
        <w:t xml:space="preserve"> HR </w:t>
      </w:r>
      <w:r w:rsidR="000137DF" w:rsidRPr="00A0600F">
        <w:rPr>
          <w:rFonts w:ascii="Times New Roman" w:hAnsi="Times New Roman" w:cs="Times New Roman"/>
          <w:sz w:val="24"/>
          <w:szCs w:val="24"/>
          <w:lang w:val="en-US"/>
        </w:rPr>
        <w:t xml:space="preserve">remained </w:t>
      </w:r>
      <w:r w:rsidR="00206865" w:rsidRPr="00A0600F">
        <w:rPr>
          <w:rFonts w:ascii="Times New Roman" w:hAnsi="Times New Roman" w:cs="Times New Roman"/>
          <w:sz w:val="24"/>
          <w:szCs w:val="24"/>
          <w:lang w:val="en-US"/>
        </w:rPr>
        <w:t>0.</w:t>
      </w:r>
      <w:r w:rsidR="000137DF" w:rsidRPr="00A0600F">
        <w:rPr>
          <w:rFonts w:ascii="Times New Roman" w:hAnsi="Times New Roman" w:cs="Times New Roman"/>
          <w:sz w:val="24"/>
          <w:szCs w:val="24"/>
          <w:lang w:val="en-US"/>
        </w:rPr>
        <w:t>57</w:t>
      </w:r>
      <w:r w:rsidR="00206865" w:rsidRPr="00A0600F">
        <w:rPr>
          <w:rFonts w:ascii="Times New Roman" w:hAnsi="Times New Roman" w:cs="Times New Roman"/>
          <w:sz w:val="24"/>
          <w:szCs w:val="24"/>
          <w:lang w:val="en-US"/>
        </w:rPr>
        <w:t xml:space="preserve"> (95%C.I.: 0.4</w:t>
      </w:r>
      <w:r w:rsidR="000137DF" w:rsidRPr="00A0600F">
        <w:rPr>
          <w:rFonts w:ascii="Times New Roman" w:hAnsi="Times New Roman" w:cs="Times New Roman"/>
          <w:sz w:val="24"/>
          <w:szCs w:val="24"/>
          <w:lang w:val="en-US"/>
        </w:rPr>
        <w:t>6-</w:t>
      </w:r>
      <w:r w:rsidR="00206865" w:rsidRPr="00A0600F">
        <w:rPr>
          <w:rFonts w:ascii="Times New Roman" w:hAnsi="Times New Roman" w:cs="Times New Roman"/>
          <w:sz w:val="24"/>
          <w:szCs w:val="24"/>
          <w:lang w:val="en-US"/>
        </w:rPr>
        <w:t>0.7</w:t>
      </w:r>
      <w:r w:rsidR="000137DF" w:rsidRPr="00A0600F">
        <w:rPr>
          <w:rFonts w:ascii="Times New Roman" w:hAnsi="Times New Roman" w:cs="Times New Roman"/>
          <w:sz w:val="24"/>
          <w:szCs w:val="24"/>
          <w:lang w:val="en-US"/>
        </w:rPr>
        <w:t>0</w:t>
      </w:r>
      <w:r w:rsidR="00206865" w:rsidRPr="00A0600F">
        <w:rPr>
          <w:rFonts w:ascii="Times New Roman" w:hAnsi="Times New Roman" w:cs="Times New Roman"/>
          <w:sz w:val="24"/>
          <w:szCs w:val="24"/>
          <w:lang w:val="en-US"/>
        </w:rPr>
        <w:t xml:space="preserve">) and other </w:t>
      </w:r>
      <w:r w:rsidR="002F7B00" w:rsidRPr="00A0600F">
        <w:rPr>
          <w:rFonts w:ascii="Times New Roman" w:hAnsi="Times New Roman" w:cs="Times New Roman"/>
          <w:sz w:val="24"/>
          <w:szCs w:val="24"/>
          <w:lang w:val="en-US"/>
        </w:rPr>
        <w:t xml:space="preserve">favorable </w:t>
      </w:r>
      <w:r w:rsidR="00206865" w:rsidRPr="00A0600F">
        <w:rPr>
          <w:rFonts w:ascii="Times New Roman" w:hAnsi="Times New Roman" w:cs="Times New Roman"/>
          <w:sz w:val="24"/>
          <w:szCs w:val="24"/>
          <w:lang w:val="en-US"/>
        </w:rPr>
        <w:t>prognostic factors for survival were</w:t>
      </w:r>
      <w:r w:rsidR="007665E7" w:rsidRPr="00A0600F">
        <w:rPr>
          <w:rFonts w:ascii="Times New Roman" w:hAnsi="Times New Roman" w:cs="Times New Roman"/>
          <w:sz w:val="24"/>
          <w:szCs w:val="24"/>
          <w:lang w:val="en-US"/>
        </w:rPr>
        <w:t xml:space="preserve"> the</w:t>
      </w:r>
      <w:r w:rsidR="00206865" w:rsidRPr="00A0600F">
        <w:rPr>
          <w:rFonts w:ascii="Times New Roman" w:hAnsi="Times New Roman" w:cs="Times New Roman"/>
          <w:sz w:val="24"/>
          <w:szCs w:val="24"/>
          <w:lang w:val="en-US"/>
        </w:rPr>
        <w:t xml:space="preserve"> HCV </w:t>
      </w:r>
      <w:r w:rsidR="001F0FE5" w:rsidRPr="00A0600F">
        <w:rPr>
          <w:rFonts w:ascii="Times New Roman" w:hAnsi="Times New Roman" w:cs="Times New Roman"/>
          <w:sz w:val="24"/>
          <w:szCs w:val="24"/>
          <w:lang w:val="en-US"/>
        </w:rPr>
        <w:t>positivity</w:t>
      </w:r>
      <w:r w:rsidR="000137DF" w:rsidRPr="00A0600F">
        <w:rPr>
          <w:rFonts w:ascii="Times New Roman" w:hAnsi="Times New Roman" w:cs="Times New Roman"/>
          <w:sz w:val="24"/>
          <w:szCs w:val="24"/>
          <w:lang w:val="en-US"/>
        </w:rPr>
        <w:t xml:space="preserve"> (HR:0.60; 95%C.I.: 0.44-0.83) </w:t>
      </w:r>
      <w:r w:rsidR="00206865" w:rsidRPr="00A0600F">
        <w:rPr>
          <w:rFonts w:ascii="Times New Roman" w:hAnsi="Times New Roman" w:cs="Times New Roman"/>
          <w:sz w:val="24"/>
          <w:szCs w:val="24"/>
          <w:lang w:val="en-US"/>
        </w:rPr>
        <w:t xml:space="preserve">and the Child – Pugh class </w:t>
      </w:r>
      <w:r w:rsidR="001F0FE5" w:rsidRPr="00A0600F">
        <w:rPr>
          <w:rFonts w:ascii="Times New Roman" w:hAnsi="Times New Roman" w:cs="Times New Roman"/>
          <w:sz w:val="24"/>
          <w:szCs w:val="24"/>
          <w:lang w:val="en-US"/>
        </w:rPr>
        <w:t>A</w:t>
      </w:r>
      <w:r w:rsidR="000137DF" w:rsidRPr="00A0600F">
        <w:rPr>
          <w:rFonts w:ascii="Times New Roman" w:hAnsi="Times New Roman" w:cs="Times New Roman"/>
          <w:sz w:val="24"/>
          <w:szCs w:val="24"/>
          <w:lang w:val="en-US"/>
        </w:rPr>
        <w:t xml:space="preserve"> (HR:0.60; 95%C.I.: 0.47-0.77)</w:t>
      </w:r>
      <w:r w:rsidR="00206865" w:rsidRPr="00A0600F">
        <w:rPr>
          <w:rFonts w:ascii="Times New Roman" w:hAnsi="Times New Roman" w:cs="Times New Roman"/>
          <w:sz w:val="24"/>
          <w:szCs w:val="24"/>
          <w:lang w:val="en-US"/>
        </w:rPr>
        <w:t xml:space="preserve">. </w:t>
      </w:r>
    </w:p>
    <w:p w14:paraId="21EC8406" w14:textId="4E637E7F" w:rsidR="00641FFE" w:rsidRPr="00A0600F" w:rsidRDefault="006D07CB" w:rsidP="00141C30">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t xml:space="preserve"> </w:t>
      </w:r>
      <w:r w:rsidR="00641FFE" w:rsidRPr="00A0600F">
        <w:rPr>
          <w:rFonts w:ascii="Times New Roman" w:hAnsi="Times New Roman" w:cs="Times New Roman"/>
          <w:sz w:val="24"/>
          <w:szCs w:val="24"/>
          <w:lang w:val="en-US"/>
        </w:rPr>
        <w:br w:type="page"/>
      </w:r>
    </w:p>
    <w:p w14:paraId="7984EF3B" w14:textId="057CDB0F" w:rsidR="00641FFE" w:rsidRPr="00A0600F" w:rsidRDefault="00641FFE" w:rsidP="00641FFE">
      <w:pPr>
        <w:autoSpaceDE w:val="0"/>
        <w:autoSpaceDN w:val="0"/>
        <w:adjustRightInd w:val="0"/>
        <w:spacing w:after="0" w:line="360" w:lineRule="auto"/>
        <w:jc w:val="both"/>
        <w:rPr>
          <w:rFonts w:ascii="Times New Roman" w:hAnsi="Times New Roman" w:cs="Times New Roman"/>
          <w:b/>
          <w:bCs/>
          <w:sz w:val="32"/>
          <w:szCs w:val="32"/>
          <w:lang w:val="en-US"/>
        </w:rPr>
      </w:pPr>
      <w:r w:rsidRPr="00A0600F">
        <w:rPr>
          <w:rFonts w:ascii="Times New Roman" w:hAnsi="Times New Roman" w:cs="Times New Roman"/>
          <w:b/>
          <w:bCs/>
          <w:sz w:val="32"/>
          <w:szCs w:val="32"/>
          <w:lang w:val="en-US"/>
        </w:rPr>
        <w:lastRenderedPageBreak/>
        <w:t>DISCUSSION</w:t>
      </w:r>
    </w:p>
    <w:p w14:paraId="688F1FDC" w14:textId="074B0CAA" w:rsidR="00576BAA" w:rsidRPr="00A0600F" w:rsidRDefault="00641FFE" w:rsidP="00641FFE">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lang w:val="en-US"/>
        </w:rPr>
        <w:tab/>
      </w:r>
      <w:r w:rsidRPr="00A0600F">
        <w:rPr>
          <w:rFonts w:ascii="Times New Roman" w:hAnsi="Times New Roman" w:cs="Times New Roman"/>
          <w:sz w:val="24"/>
          <w:szCs w:val="24"/>
          <w:lang w:val="en-US"/>
        </w:rPr>
        <w:t xml:space="preserve">Optimal outcome after TACE </w:t>
      </w:r>
      <w:r w:rsidR="00420B05" w:rsidRPr="00A0600F">
        <w:rPr>
          <w:rFonts w:ascii="Times New Roman" w:hAnsi="Times New Roman" w:cs="Times New Roman"/>
          <w:sz w:val="24"/>
          <w:szCs w:val="24"/>
          <w:lang w:val="en-US"/>
        </w:rPr>
        <w:t>embraces</w:t>
      </w:r>
      <w:r w:rsidRPr="00A0600F">
        <w:rPr>
          <w:rFonts w:ascii="Times New Roman" w:hAnsi="Times New Roman" w:cs="Times New Roman"/>
          <w:sz w:val="24"/>
          <w:szCs w:val="24"/>
          <w:lang w:val="en-US"/>
        </w:rPr>
        <w:t xml:space="preserve"> an uneventful post-procedural course and </w:t>
      </w:r>
      <w:r w:rsidR="00420B05" w:rsidRPr="00A0600F">
        <w:rPr>
          <w:rFonts w:ascii="Times New Roman" w:hAnsi="Times New Roman" w:cs="Times New Roman"/>
          <w:sz w:val="24"/>
          <w:szCs w:val="24"/>
          <w:lang w:val="en-US"/>
        </w:rPr>
        <w:t xml:space="preserve">the achievement of </w:t>
      </w:r>
      <w:r w:rsidRPr="00A0600F">
        <w:rPr>
          <w:rFonts w:ascii="Times New Roman" w:hAnsi="Times New Roman" w:cs="Times New Roman"/>
          <w:sz w:val="24"/>
          <w:szCs w:val="24"/>
          <w:lang w:val="en-US"/>
        </w:rPr>
        <w:t>radiological response. With the present study, we provided such a composite endpoint in a large patient population from different centers for the first time to date.</w:t>
      </w:r>
      <w:r w:rsidR="00420B05" w:rsidRPr="00A0600F">
        <w:rPr>
          <w:rFonts w:ascii="Times New Roman" w:hAnsi="Times New Roman" w:cs="Times New Roman"/>
          <w:sz w:val="24"/>
          <w:szCs w:val="24"/>
          <w:lang w:val="en-US"/>
        </w:rPr>
        <w:t xml:space="preserve"> </w:t>
      </w:r>
      <w:r w:rsidR="0027561A" w:rsidRPr="00A0600F">
        <w:rPr>
          <w:rFonts w:ascii="Times New Roman" w:hAnsi="Times New Roman" w:cs="Times New Roman"/>
          <w:sz w:val="24"/>
          <w:szCs w:val="24"/>
          <w:lang w:val="en-US"/>
        </w:rPr>
        <w:t xml:space="preserve">We observed that TO across centers was highly variable, being determined by the different clinical and radiological features of treated patients in each of them. After risk-adjustment we observed that this </w:t>
      </w:r>
      <w:r w:rsidRPr="00A0600F">
        <w:rPr>
          <w:rFonts w:ascii="Times New Roman" w:hAnsi="Times New Roman" w:cs="Times New Roman"/>
          <w:sz w:val="24"/>
          <w:szCs w:val="24"/>
          <w:lang w:val="en-US"/>
        </w:rPr>
        <w:t xml:space="preserve">variability </w:t>
      </w:r>
      <w:r w:rsidR="0027561A" w:rsidRPr="00A0600F">
        <w:rPr>
          <w:rFonts w:ascii="Times New Roman" w:hAnsi="Times New Roman" w:cs="Times New Roman"/>
          <w:sz w:val="24"/>
          <w:szCs w:val="24"/>
          <w:lang w:val="en-US"/>
        </w:rPr>
        <w:t xml:space="preserve">mainly </w:t>
      </w:r>
      <w:r w:rsidRPr="00A0600F">
        <w:rPr>
          <w:rFonts w:ascii="Times New Roman" w:hAnsi="Times New Roman" w:cs="Times New Roman"/>
          <w:sz w:val="24"/>
          <w:szCs w:val="24"/>
          <w:lang w:val="en-US"/>
        </w:rPr>
        <w:t xml:space="preserve">depends on </w:t>
      </w:r>
      <w:r w:rsidR="0027561A" w:rsidRPr="00A0600F">
        <w:rPr>
          <w:rFonts w:ascii="Times New Roman" w:hAnsi="Times New Roman" w:cs="Times New Roman"/>
          <w:sz w:val="24"/>
          <w:szCs w:val="24"/>
          <w:lang w:val="en-US"/>
        </w:rPr>
        <w:t xml:space="preserve">gender, </w:t>
      </w:r>
      <w:r w:rsidRPr="00A0600F">
        <w:rPr>
          <w:rFonts w:ascii="Times New Roman" w:hAnsi="Times New Roman" w:cs="Times New Roman"/>
          <w:sz w:val="24"/>
          <w:szCs w:val="24"/>
          <w:lang w:val="en-US"/>
        </w:rPr>
        <w:t>ECOG PS</w:t>
      </w:r>
      <w:r w:rsidR="00EA03C1" w:rsidRPr="00A0600F">
        <w:rPr>
          <w:rFonts w:ascii="Times New Roman" w:hAnsi="Times New Roman" w:cs="Times New Roman"/>
          <w:sz w:val="24"/>
          <w:szCs w:val="24"/>
          <w:lang w:val="en-US"/>
        </w:rPr>
        <w:t xml:space="preserve"> and tumor burden and that</w:t>
      </w:r>
      <w:r w:rsidR="0027561A" w:rsidRPr="00A0600F">
        <w:rPr>
          <w:rFonts w:ascii="Times New Roman" w:hAnsi="Times New Roman" w:cs="Times New Roman"/>
          <w:sz w:val="24"/>
          <w:szCs w:val="24"/>
          <w:lang w:val="en-US"/>
        </w:rPr>
        <w:t xml:space="preserve">, as </w:t>
      </w:r>
      <w:r w:rsidR="00EA03C1" w:rsidRPr="00A0600F">
        <w:rPr>
          <w:rFonts w:ascii="Times New Roman" w:hAnsi="Times New Roman" w:cs="Times New Roman"/>
          <w:sz w:val="24"/>
          <w:szCs w:val="24"/>
          <w:lang w:val="en-US"/>
        </w:rPr>
        <w:t>predictable</w:t>
      </w:r>
      <w:r w:rsidR="0027561A" w:rsidRPr="00A0600F">
        <w:rPr>
          <w:rFonts w:ascii="Times New Roman" w:hAnsi="Times New Roman" w:cs="Times New Roman"/>
          <w:sz w:val="24"/>
          <w:szCs w:val="24"/>
          <w:lang w:val="en-US"/>
        </w:rPr>
        <w:t>, patients achieving a TO had prolonged overall survival. All these aspects deserve appropriate discussion.</w:t>
      </w:r>
      <w:r w:rsidRPr="00A0600F">
        <w:rPr>
          <w:rFonts w:ascii="Times New Roman" w:hAnsi="Times New Roman" w:cs="Times New Roman"/>
          <w:sz w:val="24"/>
          <w:szCs w:val="24"/>
          <w:lang w:val="en-US"/>
        </w:rPr>
        <w:t xml:space="preserve"> </w:t>
      </w:r>
    </w:p>
    <w:p w14:paraId="6988A065" w14:textId="75F4EDE9" w:rsidR="0027561A" w:rsidRPr="00A0600F" w:rsidRDefault="0027561A" w:rsidP="00641FFE">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t>The very first aspect highlighted in the present study is represented by the considerable heterogeneity of included patients. Despite restrictive inclusion criteria, which excluded patients with ECOG PS of 2, those with Child – Pugh score &gt;7, each center treated very different patients, with the adoption of DEB-TACE in some of them and the assistance of CT scan during the procedure.</w:t>
      </w:r>
      <w:r w:rsidR="003E5FF4" w:rsidRPr="00A0600F">
        <w:rPr>
          <w:rFonts w:ascii="Times New Roman" w:hAnsi="Times New Roman" w:cs="Times New Roman"/>
          <w:sz w:val="24"/>
          <w:szCs w:val="24"/>
          <w:lang w:val="en-US"/>
        </w:rPr>
        <w:t xml:space="preserve"> All these aspects robustly support the usual observation that the stage in which TACE is applied encompass a great variety of patients, with different tumoral and clinical features</w:t>
      </w:r>
      <w:r w:rsidR="00874549" w:rsidRPr="00A0600F">
        <w:rPr>
          <w:rFonts w:ascii="Times New Roman" w:hAnsi="Times New Roman" w:cs="Times New Roman"/>
          <w:sz w:val="24"/>
          <w:szCs w:val="24"/>
          <w:lang w:val="en-US"/>
        </w:rPr>
        <w:t xml:space="preserve"> </w:t>
      </w:r>
      <w:r w:rsidR="00874549" w:rsidRPr="00A0600F">
        <w:rPr>
          <w:rFonts w:ascii="Times New Roman" w:hAnsi="Times New Roman" w:cs="Times New Roman"/>
          <w:i/>
          <w:iCs/>
          <w:sz w:val="24"/>
          <w:szCs w:val="24"/>
          <w:lang w:val="en-US"/>
        </w:rPr>
        <w:t>[Semin Liver Dis. 2012 Nov;32(4):348-59</w:t>
      </w:r>
      <w:r w:rsidR="00EA03C1" w:rsidRPr="00A0600F">
        <w:rPr>
          <w:rFonts w:ascii="Times New Roman" w:hAnsi="Times New Roman" w:cs="Times New Roman"/>
          <w:i/>
          <w:iCs/>
          <w:sz w:val="24"/>
          <w:szCs w:val="24"/>
          <w:lang w:val="en-US"/>
        </w:rPr>
        <w:t xml:space="preserve">; </w:t>
      </w:r>
      <w:r w:rsidR="00EA03C1" w:rsidRPr="00A0600F">
        <w:rPr>
          <w:rFonts w:ascii="Times New Roman" w:eastAsia="Times New Roman" w:hAnsi="Times New Roman" w:cs="Times New Roman"/>
          <w:i/>
          <w:iCs/>
          <w:sz w:val="24"/>
          <w:szCs w:val="24"/>
          <w:lang w:val="en-US" w:eastAsia="it-IT"/>
        </w:rPr>
        <w:t>Hepatology. 2020 Jul; 72(1): 198–212; Hepatology. 2015 Mar;61(3):905-14.</w:t>
      </w:r>
      <w:r w:rsidR="00874549" w:rsidRPr="00A0600F">
        <w:rPr>
          <w:rFonts w:ascii="Times New Roman" w:hAnsi="Times New Roman" w:cs="Times New Roman"/>
          <w:i/>
          <w:iCs/>
          <w:sz w:val="24"/>
          <w:szCs w:val="24"/>
          <w:lang w:val="en-US"/>
        </w:rPr>
        <w:t>]</w:t>
      </w:r>
      <w:r w:rsidR="003E5FF4" w:rsidRPr="00A0600F">
        <w:rPr>
          <w:rFonts w:ascii="Times New Roman" w:hAnsi="Times New Roman" w:cs="Times New Roman"/>
          <w:sz w:val="24"/>
          <w:szCs w:val="24"/>
          <w:lang w:val="en-US"/>
        </w:rPr>
        <w:t>. This a-priori concept was the reason why we adopt</w:t>
      </w:r>
      <w:r w:rsidR="00EA03C1" w:rsidRPr="00A0600F">
        <w:rPr>
          <w:rFonts w:ascii="Times New Roman" w:hAnsi="Times New Roman" w:cs="Times New Roman"/>
          <w:sz w:val="24"/>
          <w:szCs w:val="24"/>
          <w:lang w:val="en-US"/>
        </w:rPr>
        <w:t>ed</w:t>
      </w:r>
      <w:r w:rsidR="003E5FF4" w:rsidRPr="00A0600F">
        <w:rPr>
          <w:rFonts w:ascii="Times New Roman" w:hAnsi="Times New Roman" w:cs="Times New Roman"/>
          <w:sz w:val="24"/>
          <w:szCs w:val="24"/>
          <w:lang w:val="en-US"/>
        </w:rPr>
        <w:t xml:space="preserve"> a weighted analysis rather than consider all patients as a unique study population, </w:t>
      </w:r>
      <w:r w:rsidR="00EA03C1" w:rsidRPr="00A0600F">
        <w:rPr>
          <w:rFonts w:ascii="Times New Roman" w:hAnsi="Times New Roman" w:cs="Times New Roman"/>
          <w:sz w:val="24"/>
          <w:szCs w:val="24"/>
          <w:lang w:val="en-US"/>
        </w:rPr>
        <w:t xml:space="preserve">finally </w:t>
      </w:r>
      <w:r w:rsidR="003E5FF4" w:rsidRPr="00A0600F">
        <w:rPr>
          <w:rFonts w:ascii="Times New Roman" w:hAnsi="Times New Roman" w:cs="Times New Roman"/>
          <w:sz w:val="24"/>
          <w:szCs w:val="24"/>
          <w:lang w:val="en-US"/>
        </w:rPr>
        <w:t>provid</w:t>
      </w:r>
      <w:r w:rsidR="00EA03C1" w:rsidRPr="00A0600F">
        <w:rPr>
          <w:rFonts w:ascii="Times New Roman" w:hAnsi="Times New Roman" w:cs="Times New Roman"/>
          <w:sz w:val="24"/>
          <w:szCs w:val="24"/>
          <w:lang w:val="en-US"/>
        </w:rPr>
        <w:t>ing</w:t>
      </w:r>
      <w:r w:rsidR="003E5FF4" w:rsidRPr="00A0600F">
        <w:rPr>
          <w:rFonts w:ascii="Times New Roman" w:hAnsi="Times New Roman" w:cs="Times New Roman"/>
          <w:sz w:val="24"/>
          <w:szCs w:val="24"/>
          <w:lang w:val="en-US"/>
        </w:rPr>
        <w:t xml:space="preserve"> an estimation of such heterogeneity. In fact, to the best of our knowledge, an estimation of heterogeneity was never provided outside meta-analyses and, more importantly, was never provided for each clinical feature characteriz</w:t>
      </w:r>
      <w:r w:rsidR="00874549" w:rsidRPr="00A0600F">
        <w:rPr>
          <w:rFonts w:ascii="Times New Roman" w:hAnsi="Times New Roman" w:cs="Times New Roman"/>
          <w:sz w:val="24"/>
          <w:szCs w:val="24"/>
          <w:lang w:val="en-US"/>
        </w:rPr>
        <w:t>ing</w:t>
      </w:r>
      <w:r w:rsidR="003E5FF4" w:rsidRPr="00A0600F">
        <w:rPr>
          <w:rFonts w:ascii="Times New Roman" w:hAnsi="Times New Roman" w:cs="Times New Roman"/>
          <w:sz w:val="24"/>
          <w:szCs w:val="24"/>
          <w:lang w:val="en-US"/>
        </w:rPr>
        <w:t xml:space="preserve"> the patient undergoing TACE. </w:t>
      </w:r>
    </w:p>
    <w:p w14:paraId="17B0F03D" w14:textId="1B9549F2" w:rsidR="003E5FF4" w:rsidRPr="00A0600F" w:rsidRDefault="003E5FF4" w:rsidP="00641FFE">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t xml:space="preserve">The second important result regards details on adverse events occurred. </w:t>
      </w:r>
      <w:r w:rsidR="005F0E7B" w:rsidRPr="00A0600F">
        <w:rPr>
          <w:rFonts w:ascii="Times New Roman" w:hAnsi="Times New Roman" w:cs="Times New Roman"/>
          <w:sz w:val="24"/>
          <w:szCs w:val="24"/>
          <w:lang w:val="en-US"/>
        </w:rPr>
        <w:t>L</w:t>
      </w:r>
      <w:r w:rsidR="00A5201F" w:rsidRPr="00A0600F">
        <w:rPr>
          <w:rFonts w:ascii="Times New Roman" w:hAnsi="Times New Roman" w:cs="Times New Roman"/>
          <w:sz w:val="24"/>
          <w:szCs w:val="24"/>
          <w:lang w:val="en-US"/>
        </w:rPr>
        <w:t xml:space="preserve">ots of data are available in literature, </w:t>
      </w:r>
      <w:r w:rsidR="005F0E7B" w:rsidRPr="00A0600F">
        <w:rPr>
          <w:rFonts w:ascii="Times New Roman" w:hAnsi="Times New Roman" w:cs="Times New Roman"/>
          <w:sz w:val="24"/>
          <w:szCs w:val="24"/>
          <w:lang w:val="en-US"/>
        </w:rPr>
        <w:t>being</w:t>
      </w:r>
      <w:r w:rsidR="00A5201F" w:rsidRPr="00A0600F">
        <w:rPr>
          <w:rFonts w:ascii="Times New Roman" w:hAnsi="Times New Roman" w:cs="Times New Roman"/>
          <w:sz w:val="24"/>
          <w:szCs w:val="24"/>
          <w:lang w:val="en-US"/>
        </w:rPr>
        <w:t xml:space="preserve"> this knowledge </w:t>
      </w:r>
      <w:r w:rsidR="005F0E7B" w:rsidRPr="00A0600F">
        <w:rPr>
          <w:rFonts w:ascii="Times New Roman" w:hAnsi="Times New Roman" w:cs="Times New Roman"/>
          <w:sz w:val="24"/>
          <w:szCs w:val="24"/>
          <w:lang w:val="en-US"/>
        </w:rPr>
        <w:t xml:space="preserve">most from </w:t>
      </w:r>
      <w:r w:rsidR="00A5201F" w:rsidRPr="00A0600F">
        <w:rPr>
          <w:rFonts w:ascii="Times New Roman" w:hAnsi="Times New Roman" w:cs="Times New Roman"/>
          <w:sz w:val="24"/>
          <w:szCs w:val="24"/>
          <w:lang w:val="en-US"/>
        </w:rPr>
        <w:t xml:space="preserve">single center experiences </w:t>
      </w:r>
      <w:r w:rsidR="00826085" w:rsidRPr="00A0600F">
        <w:rPr>
          <w:rFonts w:ascii="Times New Roman" w:hAnsi="Times New Roman" w:cs="Times New Roman"/>
          <w:i/>
          <w:iCs/>
          <w:sz w:val="24"/>
          <w:szCs w:val="24"/>
          <w:lang w:val="en-US"/>
        </w:rPr>
        <w:t xml:space="preserve">[Radiology. 2019;290(1):254-261; </w:t>
      </w:r>
      <w:proofErr w:type="spellStart"/>
      <w:r w:rsidR="00826085" w:rsidRPr="00A0600F">
        <w:rPr>
          <w:rFonts w:ascii="Times New Roman" w:hAnsi="Times New Roman" w:cs="Times New Roman"/>
          <w:i/>
          <w:iCs/>
          <w:sz w:val="24"/>
          <w:szCs w:val="24"/>
          <w:lang w:val="en-US"/>
        </w:rPr>
        <w:t>Curr</w:t>
      </w:r>
      <w:proofErr w:type="spellEnd"/>
      <w:r w:rsidR="00826085" w:rsidRPr="00A0600F">
        <w:rPr>
          <w:rFonts w:ascii="Times New Roman" w:hAnsi="Times New Roman" w:cs="Times New Roman"/>
          <w:i/>
          <w:iCs/>
          <w:sz w:val="24"/>
          <w:szCs w:val="24"/>
          <w:lang w:val="en-US"/>
        </w:rPr>
        <w:t xml:space="preserve"> Med Imaging Rev. 2019;15(4):380-385; HPB (Oxford). 2015;17(12):1137-1144]</w:t>
      </w:r>
      <w:r w:rsidR="00826085" w:rsidRPr="00A0600F">
        <w:rPr>
          <w:rFonts w:ascii="Times New Roman" w:hAnsi="Times New Roman" w:cs="Times New Roman"/>
          <w:sz w:val="24"/>
          <w:szCs w:val="24"/>
          <w:lang w:val="en-US"/>
        </w:rPr>
        <w:t xml:space="preserve"> </w:t>
      </w:r>
      <w:r w:rsidR="005F0E7B" w:rsidRPr="00A0600F">
        <w:rPr>
          <w:rFonts w:ascii="Times New Roman" w:hAnsi="Times New Roman" w:cs="Times New Roman"/>
          <w:sz w:val="24"/>
          <w:szCs w:val="24"/>
          <w:lang w:val="en-US"/>
        </w:rPr>
        <w:t>or</w:t>
      </w:r>
      <w:r w:rsidR="00A5201F" w:rsidRPr="00A0600F">
        <w:rPr>
          <w:rFonts w:ascii="Times New Roman" w:hAnsi="Times New Roman" w:cs="Times New Roman"/>
          <w:sz w:val="24"/>
          <w:szCs w:val="24"/>
          <w:lang w:val="en-US"/>
        </w:rPr>
        <w:t xml:space="preserve"> RCTs </w:t>
      </w:r>
      <w:r w:rsidR="00826085" w:rsidRPr="00A0600F">
        <w:rPr>
          <w:rFonts w:ascii="Times New Roman" w:hAnsi="Times New Roman" w:cs="Times New Roman"/>
          <w:i/>
          <w:iCs/>
          <w:sz w:val="24"/>
          <w:szCs w:val="24"/>
          <w:lang w:val="en-US"/>
        </w:rPr>
        <w:t xml:space="preserve">[Br J Cancer. 2014;111(2):255-264; Cardiovasc </w:t>
      </w:r>
      <w:proofErr w:type="spellStart"/>
      <w:r w:rsidR="00826085" w:rsidRPr="00A0600F">
        <w:rPr>
          <w:rFonts w:ascii="Times New Roman" w:hAnsi="Times New Roman" w:cs="Times New Roman"/>
          <w:i/>
          <w:iCs/>
          <w:sz w:val="24"/>
          <w:szCs w:val="24"/>
          <w:lang w:val="en-US"/>
        </w:rPr>
        <w:t>Intervent</w:t>
      </w:r>
      <w:proofErr w:type="spellEnd"/>
      <w:r w:rsidR="00826085" w:rsidRPr="00A0600F">
        <w:rPr>
          <w:rFonts w:ascii="Times New Roman" w:hAnsi="Times New Roman" w:cs="Times New Roman"/>
          <w:i/>
          <w:iCs/>
          <w:sz w:val="24"/>
          <w:szCs w:val="24"/>
          <w:lang w:val="en-US"/>
        </w:rPr>
        <w:t xml:space="preserve"> </w:t>
      </w:r>
      <w:proofErr w:type="spellStart"/>
      <w:r w:rsidR="00826085" w:rsidRPr="00A0600F">
        <w:rPr>
          <w:rFonts w:ascii="Times New Roman" w:hAnsi="Times New Roman" w:cs="Times New Roman"/>
          <w:i/>
          <w:iCs/>
          <w:sz w:val="24"/>
          <w:szCs w:val="24"/>
          <w:lang w:val="en-US"/>
        </w:rPr>
        <w:t>Radiol</w:t>
      </w:r>
      <w:proofErr w:type="spellEnd"/>
      <w:r w:rsidR="00826085" w:rsidRPr="00A0600F">
        <w:rPr>
          <w:rFonts w:ascii="Times New Roman" w:hAnsi="Times New Roman" w:cs="Times New Roman"/>
          <w:i/>
          <w:iCs/>
          <w:sz w:val="24"/>
          <w:szCs w:val="24"/>
          <w:lang w:val="en-US"/>
        </w:rPr>
        <w:t>. 2010;33(1):41-52]</w:t>
      </w:r>
      <w:r w:rsidR="00826085" w:rsidRPr="00A0600F">
        <w:rPr>
          <w:rFonts w:ascii="Times New Roman" w:hAnsi="Times New Roman" w:cs="Times New Roman"/>
          <w:sz w:val="24"/>
          <w:szCs w:val="24"/>
          <w:lang w:val="en-US"/>
        </w:rPr>
        <w:t xml:space="preserve"> </w:t>
      </w:r>
      <w:r w:rsidR="00A5201F" w:rsidRPr="00A0600F">
        <w:rPr>
          <w:rFonts w:ascii="Times New Roman" w:hAnsi="Times New Roman" w:cs="Times New Roman"/>
          <w:sz w:val="24"/>
          <w:szCs w:val="24"/>
          <w:lang w:val="en-US"/>
        </w:rPr>
        <w:t>with the impossib</w:t>
      </w:r>
      <w:r w:rsidR="005F0E7B" w:rsidRPr="00A0600F">
        <w:rPr>
          <w:rFonts w:ascii="Times New Roman" w:hAnsi="Times New Roman" w:cs="Times New Roman"/>
          <w:sz w:val="24"/>
          <w:szCs w:val="24"/>
          <w:lang w:val="en-US"/>
        </w:rPr>
        <w:t>i</w:t>
      </w:r>
      <w:r w:rsidR="00A5201F" w:rsidRPr="00A0600F">
        <w:rPr>
          <w:rFonts w:ascii="Times New Roman" w:hAnsi="Times New Roman" w:cs="Times New Roman"/>
          <w:sz w:val="24"/>
          <w:szCs w:val="24"/>
          <w:lang w:val="en-US"/>
        </w:rPr>
        <w:t>l</w:t>
      </w:r>
      <w:r w:rsidR="005F0E7B" w:rsidRPr="00A0600F">
        <w:rPr>
          <w:rFonts w:ascii="Times New Roman" w:hAnsi="Times New Roman" w:cs="Times New Roman"/>
          <w:sz w:val="24"/>
          <w:szCs w:val="24"/>
          <w:lang w:val="en-US"/>
        </w:rPr>
        <w:t xml:space="preserve">ity to </w:t>
      </w:r>
      <w:r w:rsidR="00A5201F" w:rsidRPr="00A0600F">
        <w:rPr>
          <w:rFonts w:ascii="Times New Roman" w:hAnsi="Times New Roman" w:cs="Times New Roman"/>
          <w:sz w:val="24"/>
          <w:szCs w:val="24"/>
          <w:lang w:val="en-US"/>
        </w:rPr>
        <w:t xml:space="preserve">assess heterogeneity. </w:t>
      </w:r>
      <w:r w:rsidR="005F0E7B" w:rsidRPr="00A0600F">
        <w:rPr>
          <w:rFonts w:ascii="Times New Roman" w:hAnsi="Times New Roman" w:cs="Times New Roman"/>
          <w:sz w:val="24"/>
          <w:szCs w:val="24"/>
          <w:lang w:val="en-US"/>
        </w:rPr>
        <w:t xml:space="preserve">Even meta-analyses available </w:t>
      </w:r>
      <w:r w:rsidR="00A5201F" w:rsidRPr="00A0600F">
        <w:rPr>
          <w:rFonts w:ascii="Times New Roman" w:hAnsi="Times New Roman" w:cs="Times New Roman"/>
          <w:sz w:val="24"/>
          <w:szCs w:val="24"/>
          <w:lang w:val="en-US"/>
        </w:rPr>
        <w:t>never produced the present in-deep estimation</w:t>
      </w:r>
      <w:r w:rsidR="00826085" w:rsidRPr="00A0600F">
        <w:rPr>
          <w:rFonts w:ascii="Times New Roman" w:hAnsi="Times New Roman" w:cs="Times New Roman"/>
          <w:sz w:val="24"/>
          <w:szCs w:val="24"/>
          <w:lang w:val="en-US"/>
        </w:rPr>
        <w:t xml:space="preserve"> </w:t>
      </w:r>
      <w:r w:rsidR="00826085" w:rsidRPr="00A0600F">
        <w:rPr>
          <w:rFonts w:ascii="Times New Roman" w:hAnsi="Times New Roman" w:cs="Times New Roman"/>
          <w:i/>
          <w:iCs/>
          <w:sz w:val="24"/>
          <w:szCs w:val="24"/>
          <w:lang w:val="en-US"/>
        </w:rPr>
        <w:t>[J Dig Dis. 2016;17(8):510-517; Dig Liver Dis. 2016;48(6):571-577]</w:t>
      </w:r>
      <w:r w:rsidR="00A5201F" w:rsidRPr="00A0600F">
        <w:rPr>
          <w:rFonts w:ascii="Times New Roman" w:hAnsi="Times New Roman" w:cs="Times New Roman"/>
          <w:sz w:val="24"/>
          <w:szCs w:val="24"/>
          <w:lang w:val="en-US"/>
        </w:rPr>
        <w:t xml:space="preserve">. </w:t>
      </w:r>
      <w:r w:rsidR="0092325D" w:rsidRPr="00A0600F">
        <w:rPr>
          <w:rFonts w:ascii="Times New Roman" w:hAnsi="Times New Roman" w:cs="Times New Roman"/>
          <w:sz w:val="24"/>
          <w:szCs w:val="24"/>
          <w:lang w:val="en-US"/>
        </w:rPr>
        <w:t>Here</w:t>
      </w:r>
      <w:r w:rsidR="00A5201F" w:rsidRPr="00A0600F">
        <w:rPr>
          <w:rFonts w:ascii="Times New Roman" w:hAnsi="Times New Roman" w:cs="Times New Roman"/>
          <w:sz w:val="24"/>
          <w:szCs w:val="24"/>
          <w:lang w:val="en-US"/>
        </w:rPr>
        <w:t xml:space="preserve"> we observed that the weighted mortality was 2.4%</w:t>
      </w:r>
      <w:r w:rsidR="0092325D" w:rsidRPr="00A0600F">
        <w:rPr>
          <w:rFonts w:ascii="Times New Roman" w:hAnsi="Times New Roman" w:cs="Times New Roman"/>
          <w:sz w:val="24"/>
          <w:szCs w:val="24"/>
          <w:lang w:val="en-US"/>
        </w:rPr>
        <w:t>.</w:t>
      </w:r>
      <w:r w:rsidR="00A5201F" w:rsidRPr="00A0600F">
        <w:rPr>
          <w:rFonts w:ascii="Times New Roman" w:hAnsi="Times New Roman" w:cs="Times New Roman"/>
          <w:sz w:val="24"/>
          <w:szCs w:val="24"/>
          <w:lang w:val="en-US"/>
        </w:rPr>
        <w:t xml:space="preserve"> </w:t>
      </w:r>
      <w:r w:rsidR="0092325D" w:rsidRPr="00A0600F">
        <w:rPr>
          <w:rFonts w:ascii="Times New Roman" w:hAnsi="Times New Roman" w:cs="Times New Roman"/>
          <w:sz w:val="24"/>
          <w:szCs w:val="24"/>
          <w:lang w:val="en-US"/>
        </w:rPr>
        <w:t>The</w:t>
      </w:r>
      <w:r w:rsidR="00A5201F" w:rsidRPr="00A0600F">
        <w:rPr>
          <w:rFonts w:ascii="Times New Roman" w:hAnsi="Times New Roman" w:cs="Times New Roman"/>
          <w:sz w:val="24"/>
          <w:szCs w:val="24"/>
          <w:lang w:val="en-US"/>
        </w:rPr>
        <w:t xml:space="preserve"> null heterogeneity</w:t>
      </w:r>
      <w:r w:rsidR="0092325D" w:rsidRPr="00A0600F">
        <w:rPr>
          <w:rFonts w:ascii="Times New Roman" w:hAnsi="Times New Roman" w:cs="Times New Roman"/>
          <w:sz w:val="24"/>
          <w:szCs w:val="24"/>
          <w:lang w:val="en-US"/>
        </w:rPr>
        <w:t xml:space="preserve"> </w:t>
      </w:r>
      <w:r w:rsidR="005F0E7B" w:rsidRPr="00A0600F">
        <w:rPr>
          <w:rFonts w:ascii="Times New Roman" w:hAnsi="Times New Roman" w:cs="Times New Roman"/>
          <w:sz w:val="24"/>
          <w:szCs w:val="24"/>
          <w:lang w:val="en-US"/>
        </w:rPr>
        <w:t xml:space="preserve">confirmed </w:t>
      </w:r>
      <w:r w:rsidR="0092325D" w:rsidRPr="00A0600F">
        <w:rPr>
          <w:rFonts w:ascii="Times New Roman" w:hAnsi="Times New Roman" w:cs="Times New Roman"/>
          <w:sz w:val="24"/>
          <w:szCs w:val="24"/>
          <w:lang w:val="en-US"/>
        </w:rPr>
        <w:t xml:space="preserve">this </w:t>
      </w:r>
      <w:r w:rsidR="005F0E7B" w:rsidRPr="00A0600F">
        <w:rPr>
          <w:rFonts w:ascii="Times New Roman" w:hAnsi="Times New Roman" w:cs="Times New Roman"/>
          <w:sz w:val="24"/>
          <w:szCs w:val="24"/>
          <w:lang w:val="en-US"/>
        </w:rPr>
        <w:t>as</w:t>
      </w:r>
      <w:r w:rsidR="0092325D" w:rsidRPr="00A0600F">
        <w:rPr>
          <w:rFonts w:ascii="Times New Roman" w:hAnsi="Times New Roman" w:cs="Times New Roman"/>
          <w:sz w:val="24"/>
          <w:szCs w:val="24"/>
          <w:lang w:val="en-US"/>
        </w:rPr>
        <w:t xml:space="preserve"> a robust outcome indicator. </w:t>
      </w:r>
      <w:r w:rsidR="005F0E7B" w:rsidRPr="00A0600F">
        <w:rPr>
          <w:rFonts w:ascii="Times New Roman" w:hAnsi="Times New Roman" w:cs="Times New Roman"/>
          <w:sz w:val="24"/>
          <w:szCs w:val="24"/>
          <w:lang w:val="en-US"/>
        </w:rPr>
        <w:t>A dedicated</w:t>
      </w:r>
      <w:r w:rsidR="0092325D" w:rsidRPr="00A0600F">
        <w:rPr>
          <w:rFonts w:ascii="Times New Roman" w:hAnsi="Times New Roman" w:cs="Times New Roman"/>
          <w:sz w:val="24"/>
          <w:szCs w:val="24"/>
          <w:lang w:val="en-US"/>
        </w:rPr>
        <w:t xml:space="preserve"> discussion should be reserved to PES which was the most frequent</w:t>
      </w:r>
      <w:r w:rsidR="005F0E7B" w:rsidRPr="00A0600F">
        <w:rPr>
          <w:rFonts w:ascii="Times New Roman" w:hAnsi="Times New Roman" w:cs="Times New Roman"/>
          <w:sz w:val="24"/>
          <w:szCs w:val="24"/>
          <w:lang w:val="en-US"/>
        </w:rPr>
        <w:t xml:space="preserve"> adverse event</w:t>
      </w:r>
      <w:r w:rsidR="0092325D" w:rsidRPr="00A0600F">
        <w:rPr>
          <w:rFonts w:ascii="Times New Roman" w:hAnsi="Times New Roman" w:cs="Times New Roman"/>
          <w:sz w:val="24"/>
          <w:szCs w:val="24"/>
          <w:lang w:val="en-US"/>
        </w:rPr>
        <w:t xml:space="preserve">, being </w:t>
      </w:r>
      <w:r w:rsidR="005F0E7B" w:rsidRPr="00A0600F">
        <w:rPr>
          <w:rFonts w:ascii="Times New Roman" w:hAnsi="Times New Roman" w:cs="Times New Roman"/>
          <w:sz w:val="24"/>
          <w:szCs w:val="24"/>
          <w:lang w:val="en-US"/>
        </w:rPr>
        <w:t xml:space="preserve">of grade 1 or 2 </w:t>
      </w:r>
      <w:r w:rsidR="0092325D" w:rsidRPr="00A0600F">
        <w:rPr>
          <w:rFonts w:ascii="Times New Roman" w:hAnsi="Times New Roman" w:cs="Times New Roman"/>
          <w:sz w:val="24"/>
          <w:szCs w:val="24"/>
          <w:lang w:val="en-US"/>
        </w:rPr>
        <w:t>in 2</w:t>
      </w:r>
      <w:r w:rsidR="000137DF" w:rsidRPr="00A0600F">
        <w:rPr>
          <w:rFonts w:ascii="Times New Roman" w:hAnsi="Times New Roman" w:cs="Times New Roman"/>
          <w:sz w:val="24"/>
          <w:szCs w:val="24"/>
          <w:lang w:val="en-US"/>
        </w:rPr>
        <w:t>4</w:t>
      </w:r>
      <w:r w:rsidR="0092325D"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7</w:t>
      </w:r>
      <w:r w:rsidR="0092325D" w:rsidRPr="00A0600F">
        <w:rPr>
          <w:rFonts w:ascii="Times New Roman" w:hAnsi="Times New Roman" w:cs="Times New Roman"/>
          <w:sz w:val="24"/>
          <w:szCs w:val="24"/>
          <w:lang w:val="en-US"/>
        </w:rPr>
        <w:t>% of patients. The large heterogeneity observed (9</w:t>
      </w:r>
      <w:r w:rsidR="000137DF" w:rsidRPr="00A0600F">
        <w:rPr>
          <w:rFonts w:ascii="Times New Roman" w:hAnsi="Times New Roman" w:cs="Times New Roman"/>
          <w:sz w:val="24"/>
          <w:szCs w:val="24"/>
          <w:lang w:val="en-US"/>
        </w:rPr>
        <w:t>4</w:t>
      </w:r>
      <w:r w:rsidR="0092325D"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6</w:t>
      </w:r>
      <w:r w:rsidR="0092325D" w:rsidRPr="00A0600F">
        <w:rPr>
          <w:rFonts w:ascii="Times New Roman" w:hAnsi="Times New Roman" w:cs="Times New Roman"/>
          <w:sz w:val="24"/>
          <w:szCs w:val="24"/>
          <w:lang w:val="en-US"/>
        </w:rPr>
        <w:t xml:space="preserve">%) is the consequence of at least three factors: 1) the subjective susceptibility to post-procedural pain of each patient, 2) the accuracy of clinicians in diagnose PES and 3) the different clinical characteristics of treated patients. When investigating this last </w:t>
      </w:r>
      <w:r w:rsidR="008455E5" w:rsidRPr="00A0600F">
        <w:rPr>
          <w:rFonts w:ascii="Times New Roman" w:hAnsi="Times New Roman" w:cs="Times New Roman"/>
          <w:sz w:val="24"/>
          <w:szCs w:val="24"/>
          <w:lang w:val="en-US"/>
        </w:rPr>
        <w:t>aspect,</w:t>
      </w:r>
      <w:r w:rsidR="0092325D" w:rsidRPr="00A0600F">
        <w:rPr>
          <w:rFonts w:ascii="Times New Roman" w:hAnsi="Times New Roman" w:cs="Times New Roman"/>
          <w:sz w:val="24"/>
          <w:szCs w:val="24"/>
          <w:lang w:val="en-US"/>
        </w:rPr>
        <w:t xml:space="preserve"> we </w:t>
      </w:r>
      <w:r w:rsidR="005F0E7B" w:rsidRPr="00A0600F">
        <w:rPr>
          <w:rFonts w:ascii="Times New Roman" w:hAnsi="Times New Roman" w:cs="Times New Roman"/>
          <w:sz w:val="24"/>
          <w:szCs w:val="24"/>
          <w:lang w:val="en-US"/>
        </w:rPr>
        <w:t>observed</w:t>
      </w:r>
      <w:r w:rsidR="0092325D" w:rsidRPr="00A0600F">
        <w:rPr>
          <w:rFonts w:ascii="Times New Roman" w:hAnsi="Times New Roman" w:cs="Times New Roman"/>
          <w:sz w:val="24"/>
          <w:szCs w:val="24"/>
          <w:lang w:val="en-US"/>
        </w:rPr>
        <w:t xml:space="preserve"> an unexpected correlation with the female gender. </w:t>
      </w:r>
      <w:r w:rsidR="005F0E7B" w:rsidRPr="00A0600F">
        <w:rPr>
          <w:rFonts w:ascii="Times New Roman" w:hAnsi="Times New Roman" w:cs="Times New Roman"/>
          <w:sz w:val="24"/>
          <w:szCs w:val="24"/>
          <w:lang w:val="en-US"/>
        </w:rPr>
        <w:t>In the surgical setting, i</w:t>
      </w:r>
      <w:r w:rsidR="008455E5" w:rsidRPr="00A0600F">
        <w:rPr>
          <w:rFonts w:ascii="Times New Roman" w:hAnsi="Times New Roman" w:cs="Times New Roman"/>
          <w:sz w:val="24"/>
          <w:szCs w:val="24"/>
          <w:lang w:val="en-US"/>
        </w:rPr>
        <w:t xml:space="preserve">t is largely </w:t>
      </w:r>
      <w:r w:rsidR="008455E5" w:rsidRPr="00A0600F">
        <w:rPr>
          <w:rFonts w:ascii="Times New Roman" w:hAnsi="Times New Roman" w:cs="Times New Roman"/>
          <w:sz w:val="24"/>
          <w:szCs w:val="24"/>
          <w:lang w:val="en-US"/>
        </w:rPr>
        <w:lastRenderedPageBreak/>
        <w:t>recognized that females ha</w:t>
      </w:r>
      <w:r w:rsidR="005F0E7B" w:rsidRPr="00A0600F">
        <w:rPr>
          <w:rFonts w:ascii="Times New Roman" w:hAnsi="Times New Roman" w:cs="Times New Roman"/>
          <w:sz w:val="24"/>
          <w:szCs w:val="24"/>
          <w:lang w:val="en-US"/>
        </w:rPr>
        <w:t>ve</w:t>
      </w:r>
      <w:r w:rsidR="008455E5" w:rsidRPr="00A0600F">
        <w:rPr>
          <w:rFonts w:ascii="Times New Roman" w:hAnsi="Times New Roman" w:cs="Times New Roman"/>
          <w:sz w:val="24"/>
          <w:szCs w:val="24"/>
          <w:lang w:val="en-US"/>
        </w:rPr>
        <w:t xml:space="preserve"> more frequently </w:t>
      </w:r>
      <w:r w:rsidR="005F0E7B" w:rsidRPr="00A0600F">
        <w:rPr>
          <w:rFonts w:ascii="Times New Roman" w:hAnsi="Times New Roman" w:cs="Times New Roman"/>
          <w:sz w:val="24"/>
          <w:szCs w:val="24"/>
          <w:lang w:val="en-US"/>
        </w:rPr>
        <w:t xml:space="preserve">post-operative </w:t>
      </w:r>
      <w:r w:rsidR="008455E5" w:rsidRPr="00A0600F">
        <w:rPr>
          <w:rFonts w:ascii="Times New Roman" w:hAnsi="Times New Roman" w:cs="Times New Roman"/>
          <w:sz w:val="24"/>
          <w:szCs w:val="24"/>
          <w:lang w:val="en-US"/>
        </w:rPr>
        <w:t>nausea and vomiting than males</w:t>
      </w:r>
      <w:r w:rsidR="003B1290" w:rsidRPr="00A0600F">
        <w:rPr>
          <w:rFonts w:ascii="Times New Roman" w:hAnsi="Times New Roman" w:cs="Times New Roman"/>
          <w:sz w:val="24"/>
          <w:szCs w:val="24"/>
          <w:lang w:val="en-US"/>
        </w:rPr>
        <w:t xml:space="preserve"> </w:t>
      </w:r>
      <w:r w:rsidR="003B1290" w:rsidRPr="00A0600F">
        <w:rPr>
          <w:rFonts w:ascii="Times New Roman" w:hAnsi="Times New Roman" w:cs="Times New Roman"/>
          <w:i/>
          <w:iCs/>
          <w:sz w:val="24"/>
          <w:szCs w:val="24"/>
          <w:lang w:val="en-US"/>
        </w:rPr>
        <w:t>[</w:t>
      </w:r>
      <w:proofErr w:type="spellStart"/>
      <w:r w:rsidR="003B1290" w:rsidRPr="00A0600F">
        <w:rPr>
          <w:rFonts w:ascii="Times New Roman" w:hAnsi="Times New Roman" w:cs="Times New Roman"/>
          <w:i/>
          <w:iCs/>
          <w:sz w:val="24"/>
          <w:szCs w:val="24"/>
          <w:lang w:val="en-US"/>
        </w:rPr>
        <w:t>Anesth</w:t>
      </w:r>
      <w:proofErr w:type="spellEnd"/>
      <w:r w:rsidR="003B1290" w:rsidRPr="00A0600F">
        <w:rPr>
          <w:rFonts w:ascii="Times New Roman" w:hAnsi="Times New Roman" w:cs="Times New Roman"/>
          <w:i/>
          <w:iCs/>
          <w:sz w:val="24"/>
          <w:szCs w:val="24"/>
          <w:lang w:val="en-US"/>
        </w:rPr>
        <w:t xml:space="preserve"> Essays Res. 2016 Sep-Dec; 10(3): 388–396; Anesthesiology. 2003 Jan;98(1):46-52]</w:t>
      </w:r>
      <w:r w:rsidR="008455E5" w:rsidRPr="00A0600F">
        <w:rPr>
          <w:rFonts w:ascii="Times New Roman" w:hAnsi="Times New Roman" w:cs="Times New Roman"/>
          <w:sz w:val="24"/>
          <w:szCs w:val="24"/>
          <w:lang w:val="en-US"/>
        </w:rPr>
        <w:t xml:space="preserve">. This is the consequence of both anesthetic drugs as well as surgical injury. TACE can resemble a surgical injury which in turn can determine higher susceptibility in females. </w:t>
      </w:r>
      <w:r w:rsidR="005F0E7B" w:rsidRPr="00A0600F">
        <w:rPr>
          <w:rFonts w:ascii="Times New Roman" w:hAnsi="Times New Roman" w:cs="Times New Roman"/>
          <w:sz w:val="24"/>
          <w:szCs w:val="24"/>
          <w:lang w:val="en-US"/>
        </w:rPr>
        <w:t xml:space="preserve">Additionally, females </w:t>
      </w:r>
      <w:r w:rsidR="00A44472" w:rsidRPr="00A0600F">
        <w:rPr>
          <w:rFonts w:ascii="Times New Roman" w:hAnsi="Times New Roman" w:cs="Times New Roman"/>
          <w:sz w:val="24"/>
          <w:szCs w:val="24"/>
          <w:lang w:val="en-US"/>
        </w:rPr>
        <w:t>may be</w:t>
      </w:r>
      <w:r w:rsidR="005F0E7B" w:rsidRPr="00A0600F">
        <w:rPr>
          <w:rFonts w:ascii="Times New Roman" w:hAnsi="Times New Roman" w:cs="Times New Roman"/>
          <w:sz w:val="24"/>
          <w:szCs w:val="24"/>
          <w:lang w:val="en-US"/>
        </w:rPr>
        <w:t xml:space="preserve"> more susceptible to sedation with fentanyl</w:t>
      </w:r>
      <w:r w:rsidR="00A44472" w:rsidRPr="00A0600F">
        <w:rPr>
          <w:rFonts w:ascii="Times New Roman" w:hAnsi="Times New Roman" w:cs="Times New Roman"/>
          <w:sz w:val="24"/>
          <w:szCs w:val="24"/>
          <w:lang w:val="en-US"/>
        </w:rPr>
        <w:t xml:space="preserve"> </w:t>
      </w:r>
      <w:r w:rsidR="00A44472" w:rsidRPr="00A0600F">
        <w:rPr>
          <w:rFonts w:ascii="Times New Roman" w:hAnsi="Times New Roman" w:cs="Times New Roman"/>
          <w:i/>
          <w:iCs/>
          <w:sz w:val="24"/>
          <w:szCs w:val="24"/>
          <w:lang w:val="en-US"/>
        </w:rPr>
        <w:t>[</w:t>
      </w:r>
      <w:proofErr w:type="spellStart"/>
      <w:r w:rsidR="00A44472" w:rsidRPr="00A0600F">
        <w:rPr>
          <w:rFonts w:ascii="Times New Roman" w:hAnsi="Times New Roman" w:cs="Times New Roman"/>
          <w:i/>
          <w:iCs/>
          <w:sz w:val="24"/>
          <w:szCs w:val="24"/>
          <w:lang w:val="en-US"/>
        </w:rPr>
        <w:t>Anesth</w:t>
      </w:r>
      <w:proofErr w:type="spellEnd"/>
      <w:r w:rsidR="00A44472" w:rsidRPr="00A0600F">
        <w:rPr>
          <w:rFonts w:ascii="Times New Roman" w:hAnsi="Times New Roman" w:cs="Times New Roman"/>
          <w:i/>
          <w:iCs/>
          <w:sz w:val="24"/>
          <w:szCs w:val="24"/>
          <w:lang w:val="en-US"/>
        </w:rPr>
        <w:t xml:space="preserve"> Essays Res. 2016 Sep-Dec; 10(3): 388–396; Anesthesiology. 2003 Jan;98(1):46-52]</w:t>
      </w:r>
      <w:r w:rsidR="005F0E7B" w:rsidRPr="00A0600F">
        <w:rPr>
          <w:rFonts w:ascii="Times New Roman" w:hAnsi="Times New Roman" w:cs="Times New Roman"/>
          <w:sz w:val="24"/>
          <w:szCs w:val="24"/>
          <w:lang w:val="en-US"/>
        </w:rPr>
        <w:t xml:space="preserve">, </w:t>
      </w:r>
      <w:r w:rsidR="00A44472" w:rsidRPr="00A0600F">
        <w:rPr>
          <w:rFonts w:ascii="Times New Roman" w:hAnsi="Times New Roman" w:cs="Times New Roman"/>
          <w:sz w:val="24"/>
          <w:szCs w:val="24"/>
          <w:lang w:val="en-US"/>
        </w:rPr>
        <w:t xml:space="preserve">so that since </w:t>
      </w:r>
      <w:r w:rsidR="008455E5" w:rsidRPr="00A0600F">
        <w:rPr>
          <w:rFonts w:ascii="Times New Roman" w:hAnsi="Times New Roman" w:cs="Times New Roman"/>
          <w:sz w:val="24"/>
          <w:szCs w:val="24"/>
          <w:lang w:val="en-US"/>
        </w:rPr>
        <w:t>nausea and vomiting a</w:t>
      </w:r>
      <w:r w:rsidR="00A44472" w:rsidRPr="00A0600F">
        <w:rPr>
          <w:rFonts w:ascii="Times New Roman" w:hAnsi="Times New Roman" w:cs="Times New Roman"/>
          <w:sz w:val="24"/>
          <w:szCs w:val="24"/>
          <w:lang w:val="en-US"/>
        </w:rPr>
        <w:t>re</w:t>
      </w:r>
      <w:r w:rsidR="008455E5" w:rsidRPr="00A0600F">
        <w:rPr>
          <w:rFonts w:ascii="Times New Roman" w:hAnsi="Times New Roman" w:cs="Times New Roman"/>
          <w:sz w:val="24"/>
          <w:szCs w:val="24"/>
          <w:lang w:val="en-US"/>
        </w:rPr>
        <w:t xml:space="preserve"> component</w:t>
      </w:r>
      <w:r w:rsidR="00A44472" w:rsidRPr="00A0600F">
        <w:rPr>
          <w:rFonts w:ascii="Times New Roman" w:hAnsi="Times New Roman" w:cs="Times New Roman"/>
          <w:sz w:val="24"/>
          <w:szCs w:val="24"/>
          <w:lang w:val="en-US"/>
        </w:rPr>
        <w:t>s</w:t>
      </w:r>
      <w:r w:rsidR="008455E5" w:rsidRPr="00A0600F">
        <w:rPr>
          <w:rFonts w:ascii="Times New Roman" w:hAnsi="Times New Roman" w:cs="Times New Roman"/>
          <w:sz w:val="24"/>
          <w:szCs w:val="24"/>
          <w:lang w:val="en-US"/>
        </w:rPr>
        <w:t xml:space="preserve"> of PES, the observed correlation </w:t>
      </w:r>
      <w:r w:rsidR="005F0E7B" w:rsidRPr="00A0600F">
        <w:rPr>
          <w:rFonts w:ascii="Times New Roman" w:hAnsi="Times New Roman" w:cs="Times New Roman"/>
          <w:sz w:val="24"/>
          <w:szCs w:val="24"/>
          <w:lang w:val="en-US"/>
        </w:rPr>
        <w:t xml:space="preserve">found </w:t>
      </w:r>
      <w:r w:rsidR="008455E5" w:rsidRPr="00A0600F">
        <w:rPr>
          <w:rFonts w:ascii="Times New Roman" w:hAnsi="Times New Roman" w:cs="Times New Roman"/>
          <w:sz w:val="24"/>
          <w:szCs w:val="24"/>
          <w:lang w:val="en-US"/>
        </w:rPr>
        <w:t xml:space="preserve">a </w:t>
      </w:r>
      <w:r w:rsidR="005F0E7B" w:rsidRPr="00A0600F">
        <w:rPr>
          <w:rFonts w:ascii="Times New Roman" w:hAnsi="Times New Roman" w:cs="Times New Roman"/>
          <w:sz w:val="24"/>
          <w:szCs w:val="24"/>
          <w:lang w:val="en-US"/>
        </w:rPr>
        <w:t xml:space="preserve">reasonable </w:t>
      </w:r>
      <w:r w:rsidR="008455E5" w:rsidRPr="00A0600F">
        <w:rPr>
          <w:rFonts w:ascii="Times New Roman" w:hAnsi="Times New Roman" w:cs="Times New Roman"/>
          <w:sz w:val="24"/>
          <w:szCs w:val="24"/>
          <w:lang w:val="en-US"/>
        </w:rPr>
        <w:t xml:space="preserve">justification. </w:t>
      </w:r>
      <w:r w:rsidR="00BC17A9" w:rsidRPr="00A0600F">
        <w:rPr>
          <w:rFonts w:ascii="Times New Roman" w:hAnsi="Times New Roman" w:cs="Times New Roman"/>
          <w:sz w:val="24"/>
          <w:szCs w:val="24"/>
          <w:lang w:val="en-US"/>
        </w:rPr>
        <w:t>On this background, further dedicated studies, focused on components of PES in relationship with gender</w:t>
      </w:r>
      <w:r w:rsidR="00A44472" w:rsidRPr="00A0600F">
        <w:rPr>
          <w:rFonts w:ascii="Times New Roman" w:hAnsi="Times New Roman" w:cs="Times New Roman"/>
          <w:sz w:val="24"/>
          <w:szCs w:val="24"/>
          <w:lang w:val="en-US"/>
        </w:rPr>
        <w:t xml:space="preserve"> and sedation</w:t>
      </w:r>
      <w:r w:rsidR="00BC17A9" w:rsidRPr="00A0600F">
        <w:rPr>
          <w:rFonts w:ascii="Times New Roman" w:hAnsi="Times New Roman" w:cs="Times New Roman"/>
          <w:sz w:val="24"/>
          <w:szCs w:val="24"/>
          <w:lang w:val="en-US"/>
        </w:rPr>
        <w:t>, are warranted.</w:t>
      </w:r>
      <w:r w:rsidR="008455E5" w:rsidRPr="00A0600F">
        <w:rPr>
          <w:rFonts w:ascii="Times New Roman" w:hAnsi="Times New Roman" w:cs="Times New Roman"/>
          <w:sz w:val="24"/>
          <w:szCs w:val="24"/>
          <w:lang w:val="en-US"/>
        </w:rPr>
        <w:t xml:space="preserve"> </w:t>
      </w:r>
      <w:r w:rsidR="0092325D" w:rsidRPr="00A0600F">
        <w:rPr>
          <w:rFonts w:ascii="Times New Roman" w:hAnsi="Times New Roman" w:cs="Times New Roman"/>
          <w:sz w:val="24"/>
          <w:szCs w:val="24"/>
          <w:lang w:val="en-US"/>
        </w:rPr>
        <w:t xml:space="preserve"> </w:t>
      </w:r>
      <w:r w:rsidR="00A5201F" w:rsidRPr="00A0600F">
        <w:rPr>
          <w:rFonts w:ascii="Times New Roman" w:hAnsi="Times New Roman" w:cs="Times New Roman"/>
          <w:sz w:val="24"/>
          <w:szCs w:val="24"/>
          <w:lang w:val="en-US"/>
        </w:rPr>
        <w:t xml:space="preserve"> </w:t>
      </w:r>
    </w:p>
    <w:p w14:paraId="70A47C21" w14:textId="11215591" w:rsidR="008455E5" w:rsidRPr="00A0600F" w:rsidRDefault="00576BAA" w:rsidP="008455E5">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r>
      <w:r w:rsidR="008455E5" w:rsidRPr="00A0600F">
        <w:rPr>
          <w:rFonts w:ascii="Times New Roman" w:hAnsi="Times New Roman" w:cs="Times New Roman"/>
          <w:sz w:val="24"/>
          <w:szCs w:val="24"/>
          <w:lang w:val="en-US"/>
        </w:rPr>
        <w:t>Other correlations between clinical features, TO and its components were somewhat expected. Patients with ECOG PS 1</w:t>
      </w:r>
      <w:r w:rsidR="00910181" w:rsidRPr="00A0600F">
        <w:rPr>
          <w:rFonts w:ascii="Times New Roman" w:hAnsi="Times New Roman" w:cs="Times New Roman"/>
          <w:sz w:val="24"/>
          <w:szCs w:val="24"/>
          <w:lang w:val="en-US"/>
        </w:rPr>
        <w:t xml:space="preserve"> were more likely to incur in post-TACE morbidity and mortality resulting in prolonged in-hospital stay and hospital readmission. These patients are fundamentally more fragile subjects which are more susceptible to TACE-induced liver injury. Morbidity was also determined by the number and the dimension of treated lesions. Being the largest are</w:t>
      </w:r>
      <w:r w:rsidR="00F21C80" w:rsidRPr="00A0600F">
        <w:rPr>
          <w:rFonts w:ascii="Times New Roman" w:hAnsi="Times New Roman" w:cs="Times New Roman"/>
          <w:sz w:val="24"/>
          <w:szCs w:val="24"/>
          <w:lang w:val="en-US"/>
        </w:rPr>
        <w:t>a</w:t>
      </w:r>
      <w:r w:rsidR="00910181" w:rsidRPr="00A0600F">
        <w:rPr>
          <w:rFonts w:ascii="Times New Roman" w:hAnsi="Times New Roman" w:cs="Times New Roman"/>
          <w:sz w:val="24"/>
          <w:szCs w:val="24"/>
          <w:lang w:val="en-US"/>
        </w:rPr>
        <w:t xml:space="preserve"> to treat, the </w:t>
      </w:r>
      <w:r w:rsidR="00F21C80" w:rsidRPr="00A0600F">
        <w:rPr>
          <w:rFonts w:ascii="Times New Roman" w:hAnsi="Times New Roman" w:cs="Times New Roman"/>
          <w:sz w:val="24"/>
          <w:szCs w:val="24"/>
          <w:lang w:val="en-US"/>
        </w:rPr>
        <w:t xml:space="preserve">more pronounced is the injury, as well as higher the dose of doxorubicin administered. Regarding this last aspect, we observed that DEB-TACE only apparently determined an increased likelihood to achieve the TO, whereas it was no more when adjusting for potential confounders. In particular, we did not observe DEB-TACE to be a prognostic factor for a reduction in PES (additional data: OR: </w:t>
      </w:r>
      <w:r w:rsidR="000137DF" w:rsidRPr="00A0600F">
        <w:rPr>
          <w:rFonts w:ascii="Times New Roman" w:hAnsi="Times New Roman" w:cs="Times New Roman"/>
          <w:sz w:val="24"/>
          <w:szCs w:val="24"/>
          <w:lang w:val="en-US"/>
        </w:rPr>
        <w:t>0</w:t>
      </w:r>
      <w:r w:rsidR="00F21C80" w:rsidRPr="00A0600F">
        <w:rPr>
          <w:rFonts w:ascii="Times New Roman" w:hAnsi="Times New Roman" w:cs="Times New Roman"/>
          <w:sz w:val="24"/>
          <w:szCs w:val="24"/>
          <w:lang w:val="en-US"/>
        </w:rPr>
        <w:t>.</w:t>
      </w:r>
      <w:r w:rsidR="000137DF" w:rsidRPr="00A0600F">
        <w:rPr>
          <w:rFonts w:ascii="Times New Roman" w:hAnsi="Times New Roman" w:cs="Times New Roman"/>
          <w:sz w:val="24"/>
          <w:szCs w:val="24"/>
          <w:lang w:val="en-US"/>
        </w:rPr>
        <w:t>84</w:t>
      </w:r>
      <w:r w:rsidR="00F21C80" w:rsidRPr="00A0600F">
        <w:rPr>
          <w:rFonts w:ascii="Times New Roman" w:hAnsi="Times New Roman" w:cs="Times New Roman"/>
          <w:sz w:val="24"/>
          <w:szCs w:val="24"/>
          <w:lang w:val="en-US"/>
        </w:rPr>
        <w:t>; 95%C.I.:0.</w:t>
      </w:r>
      <w:r w:rsidR="000137DF" w:rsidRPr="00A0600F">
        <w:rPr>
          <w:rFonts w:ascii="Times New Roman" w:hAnsi="Times New Roman" w:cs="Times New Roman"/>
          <w:sz w:val="24"/>
          <w:szCs w:val="24"/>
          <w:lang w:val="en-US"/>
        </w:rPr>
        <w:t>61</w:t>
      </w:r>
      <w:r w:rsidR="00F21C80" w:rsidRPr="00A0600F">
        <w:rPr>
          <w:rFonts w:ascii="Times New Roman" w:hAnsi="Times New Roman" w:cs="Times New Roman"/>
          <w:sz w:val="24"/>
          <w:szCs w:val="24"/>
          <w:lang w:val="en-US"/>
        </w:rPr>
        <w:t xml:space="preserve"> – 1.</w:t>
      </w:r>
      <w:r w:rsidR="000137DF" w:rsidRPr="00A0600F">
        <w:rPr>
          <w:rFonts w:ascii="Times New Roman" w:hAnsi="Times New Roman" w:cs="Times New Roman"/>
          <w:sz w:val="24"/>
          <w:szCs w:val="24"/>
          <w:lang w:val="en-US"/>
        </w:rPr>
        <w:t>14</w:t>
      </w:r>
      <w:r w:rsidR="00F21C80" w:rsidRPr="00A0600F">
        <w:rPr>
          <w:rFonts w:ascii="Times New Roman" w:hAnsi="Times New Roman" w:cs="Times New Roman"/>
          <w:sz w:val="24"/>
          <w:szCs w:val="24"/>
          <w:lang w:val="en-US"/>
        </w:rPr>
        <w:t xml:space="preserve">) </w:t>
      </w:r>
      <w:r w:rsidR="00F83586" w:rsidRPr="00A0600F">
        <w:rPr>
          <w:rFonts w:ascii="Times New Roman" w:hAnsi="Times New Roman" w:cs="Times New Roman"/>
          <w:sz w:val="24"/>
          <w:szCs w:val="24"/>
          <w:lang w:val="en-US"/>
        </w:rPr>
        <w:t>and the present</w:t>
      </w:r>
      <w:r w:rsidR="00F21C80" w:rsidRPr="00A0600F">
        <w:rPr>
          <w:rFonts w:ascii="Times New Roman" w:hAnsi="Times New Roman" w:cs="Times New Roman"/>
          <w:sz w:val="24"/>
          <w:szCs w:val="24"/>
          <w:lang w:val="en-US"/>
        </w:rPr>
        <w:t xml:space="preserve"> observation confirm</w:t>
      </w:r>
      <w:r w:rsidR="00F83586" w:rsidRPr="00A0600F">
        <w:rPr>
          <w:rFonts w:ascii="Times New Roman" w:hAnsi="Times New Roman" w:cs="Times New Roman"/>
          <w:sz w:val="24"/>
          <w:szCs w:val="24"/>
          <w:lang w:val="en-US"/>
        </w:rPr>
        <w:t>s</w:t>
      </w:r>
      <w:r w:rsidR="00F21C80" w:rsidRPr="00A0600F">
        <w:rPr>
          <w:rFonts w:ascii="Times New Roman" w:hAnsi="Times New Roman" w:cs="Times New Roman"/>
          <w:sz w:val="24"/>
          <w:szCs w:val="24"/>
          <w:lang w:val="en-US"/>
        </w:rPr>
        <w:t xml:space="preserve"> other important studies and RCTs which suggest the absence of a superiority of DEB-TACE over </w:t>
      </w:r>
      <w:proofErr w:type="spellStart"/>
      <w:r w:rsidR="00F21C80" w:rsidRPr="00A0600F">
        <w:rPr>
          <w:rFonts w:ascii="Times New Roman" w:hAnsi="Times New Roman" w:cs="Times New Roman"/>
          <w:sz w:val="24"/>
          <w:szCs w:val="24"/>
          <w:lang w:val="en-US"/>
        </w:rPr>
        <w:t>cTACE</w:t>
      </w:r>
      <w:proofErr w:type="spellEnd"/>
      <w:r w:rsidR="00A44472" w:rsidRPr="00A0600F">
        <w:rPr>
          <w:rFonts w:ascii="Times New Roman" w:hAnsi="Times New Roman" w:cs="Times New Roman"/>
          <w:sz w:val="24"/>
          <w:szCs w:val="24"/>
          <w:lang w:val="en-US"/>
        </w:rPr>
        <w:t xml:space="preserve"> </w:t>
      </w:r>
      <w:r w:rsidR="00A44472" w:rsidRPr="00A0600F">
        <w:rPr>
          <w:rFonts w:ascii="Times New Roman" w:hAnsi="Times New Roman" w:cs="Times New Roman"/>
          <w:i/>
          <w:iCs/>
          <w:sz w:val="24"/>
          <w:szCs w:val="24"/>
          <w:lang w:val="en-US"/>
        </w:rPr>
        <w:t xml:space="preserve">[Radiology. 2019 Jan;290(1):254-261; Br J Cancer. 2014;111(2):255-264; Cardiovasc </w:t>
      </w:r>
      <w:proofErr w:type="spellStart"/>
      <w:r w:rsidR="00A44472" w:rsidRPr="00A0600F">
        <w:rPr>
          <w:rFonts w:ascii="Times New Roman" w:hAnsi="Times New Roman" w:cs="Times New Roman"/>
          <w:i/>
          <w:iCs/>
          <w:sz w:val="24"/>
          <w:szCs w:val="24"/>
          <w:lang w:val="en-US"/>
        </w:rPr>
        <w:t>Intervent</w:t>
      </w:r>
      <w:proofErr w:type="spellEnd"/>
      <w:r w:rsidR="00A44472" w:rsidRPr="00A0600F">
        <w:rPr>
          <w:rFonts w:ascii="Times New Roman" w:hAnsi="Times New Roman" w:cs="Times New Roman"/>
          <w:i/>
          <w:iCs/>
          <w:sz w:val="24"/>
          <w:szCs w:val="24"/>
          <w:lang w:val="en-US"/>
        </w:rPr>
        <w:t xml:space="preserve"> </w:t>
      </w:r>
      <w:proofErr w:type="spellStart"/>
      <w:r w:rsidR="00A44472" w:rsidRPr="00A0600F">
        <w:rPr>
          <w:rFonts w:ascii="Times New Roman" w:hAnsi="Times New Roman" w:cs="Times New Roman"/>
          <w:i/>
          <w:iCs/>
          <w:sz w:val="24"/>
          <w:szCs w:val="24"/>
          <w:lang w:val="en-US"/>
        </w:rPr>
        <w:t>Radiol</w:t>
      </w:r>
      <w:proofErr w:type="spellEnd"/>
      <w:r w:rsidR="00A44472" w:rsidRPr="00A0600F">
        <w:rPr>
          <w:rFonts w:ascii="Times New Roman" w:hAnsi="Times New Roman" w:cs="Times New Roman"/>
          <w:i/>
          <w:iCs/>
          <w:sz w:val="24"/>
          <w:szCs w:val="24"/>
          <w:lang w:val="en-US"/>
        </w:rPr>
        <w:t>. 2010;33(1):41-52; Dig Liver Dis. 2016;48(6):571-57]</w:t>
      </w:r>
      <w:r w:rsidR="00F21C80" w:rsidRPr="00A0600F">
        <w:rPr>
          <w:rFonts w:ascii="Times New Roman" w:hAnsi="Times New Roman" w:cs="Times New Roman"/>
          <w:sz w:val="24"/>
          <w:szCs w:val="24"/>
          <w:lang w:val="en-US"/>
        </w:rPr>
        <w:t>.</w:t>
      </w:r>
      <w:r w:rsidR="00F83586" w:rsidRPr="00A0600F">
        <w:rPr>
          <w:rFonts w:ascii="Times New Roman" w:hAnsi="Times New Roman" w:cs="Times New Roman"/>
          <w:sz w:val="24"/>
          <w:szCs w:val="24"/>
          <w:lang w:val="en-US"/>
        </w:rPr>
        <w:t xml:space="preserve"> Finally, it was also expected that OR was a function of diameter and number of treated nodules. Overall, all the present findings </w:t>
      </w:r>
      <w:r w:rsidR="005F0E7B" w:rsidRPr="00A0600F">
        <w:rPr>
          <w:rFonts w:ascii="Times New Roman" w:hAnsi="Times New Roman" w:cs="Times New Roman"/>
          <w:sz w:val="24"/>
          <w:szCs w:val="24"/>
          <w:lang w:val="en-US"/>
        </w:rPr>
        <w:t>must</w:t>
      </w:r>
      <w:r w:rsidR="00F83586" w:rsidRPr="00A0600F">
        <w:rPr>
          <w:rFonts w:ascii="Times New Roman" w:hAnsi="Times New Roman" w:cs="Times New Roman"/>
          <w:sz w:val="24"/>
          <w:szCs w:val="24"/>
          <w:lang w:val="en-US"/>
        </w:rPr>
        <w:t xml:space="preserve"> be considered as clinically robust and suitable for TO assessment. </w:t>
      </w:r>
    </w:p>
    <w:p w14:paraId="6A10D162" w14:textId="721694E6" w:rsidR="00220012" w:rsidRPr="00A0600F" w:rsidRDefault="005F0E7B" w:rsidP="00641FFE">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t>All heterogeneit</w:t>
      </w:r>
      <w:r w:rsidR="000137DF" w:rsidRPr="00A0600F">
        <w:rPr>
          <w:rFonts w:ascii="Times New Roman" w:hAnsi="Times New Roman" w:cs="Times New Roman"/>
          <w:sz w:val="24"/>
          <w:szCs w:val="24"/>
          <w:lang w:val="en-US"/>
        </w:rPr>
        <w:t>ies</w:t>
      </w:r>
      <w:r w:rsidRPr="00A0600F">
        <w:rPr>
          <w:rFonts w:ascii="Times New Roman" w:hAnsi="Times New Roman" w:cs="Times New Roman"/>
          <w:sz w:val="24"/>
          <w:szCs w:val="24"/>
          <w:lang w:val="en-US"/>
        </w:rPr>
        <w:t xml:space="preserve"> observed </w:t>
      </w:r>
      <w:r w:rsidR="000137DF" w:rsidRPr="00A0600F">
        <w:rPr>
          <w:rFonts w:ascii="Times New Roman" w:hAnsi="Times New Roman" w:cs="Times New Roman"/>
          <w:sz w:val="24"/>
          <w:szCs w:val="24"/>
          <w:lang w:val="en-US"/>
        </w:rPr>
        <w:t>across</w:t>
      </w:r>
      <w:r w:rsidRPr="00A0600F">
        <w:rPr>
          <w:rFonts w:ascii="Times New Roman" w:hAnsi="Times New Roman" w:cs="Times New Roman"/>
          <w:sz w:val="24"/>
          <w:szCs w:val="24"/>
          <w:lang w:val="en-US"/>
        </w:rPr>
        <w:t xml:space="preserve"> centers were then reduced through risk-adjustment analysis. As noticeable, the TO prevalence after this adjustment was very similar among participating centers, being not related to the amount of cases provided to the present database</w:t>
      </w:r>
      <w:r w:rsidR="008C156B" w:rsidRPr="00A0600F">
        <w:rPr>
          <w:rFonts w:ascii="Times New Roman" w:hAnsi="Times New Roman" w:cs="Times New Roman"/>
          <w:sz w:val="24"/>
          <w:szCs w:val="24"/>
          <w:lang w:val="en-US"/>
        </w:rPr>
        <w:t>, or to the volume of the radiology involved</w:t>
      </w:r>
      <w:r w:rsidRPr="00A0600F">
        <w:rPr>
          <w:rFonts w:ascii="Times New Roman" w:hAnsi="Times New Roman" w:cs="Times New Roman"/>
          <w:sz w:val="24"/>
          <w:szCs w:val="24"/>
          <w:lang w:val="en-US"/>
        </w:rPr>
        <w:t>.</w:t>
      </w:r>
      <w:r w:rsidR="008C156B" w:rsidRPr="00A0600F">
        <w:rPr>
          <w:rFonts w:ascii="Times New Roman" w:hAnsi="Times New Roman" w:cs="Times New Roman"/>
          <w:sz w:val="24"/>
          <w:szCs w:val="24"/>
          <w:lang w:val="en-US"/>
        </w:rPr>
        <w:t xml:space="preserve"> This observation suggests that TACE is now a standardized procedure, which was effectively and properly applied in each center involved, which simply adapt their indications in relation to the volume of procedures they perform.</w:t>
      </w:r>
    </w:p>
    <w:p w14:paraId="21FFB543" w14:textId="589EF839" w:rsidR="00FC1FA5" w:rsidRPr="00A0600F" w:rsidRDefault="00BC17A9" w:rsidP="00295FDB">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t xml:space="preserve">Finally, TO achievement was an independent predictor of improved survival, thus satisfying the necessary early quality indicator of long-term prognosis. This was the consequence of predictors of TO achievement, which included both performance status and tumor characteristics as well as its definition, which included the achievement of an objective radiological response. In addition to </w:t>
      </w:r>
      <w:proofErr w:type="spellStart"/>
      <w:r w:rsidRPr="00A0600F">
        <w:rPr>
          <w:rFonts w:ascii="Times New Roman" w:hAnsi="Times New Roman" w:cs="Times New Roman"/>
          <w:sz w:val="24"/>
          <w:szCs w:val="24"/>
          <w:lang w:val="en-US"/>
        </w:rPr>
        <w:t>TO</w:t>
      </w:r>
      <w:proofErr w:type="spellEnd"/>
      <w:r w:rsidRPr="00A0600F">
        <w:rPr>
          <w:rFonts w:ascii="Times New Roman" w:hAnsi="Times New Roman" w:cs="Times New Roman"/>
          <w:sz w:val="24"/>
          <w:szCs w:val="24"/>
          <w:lang w:val="en-US"/>
        </w:rPr>
        <w:t xml:space="preserve">, </w:t>
      </w:r>
      <w:r w:rsidRPr="00A0600F">
        <w:rPr>
          <w:rFonts w:ascii="Times New Roman" w:hAnsi="Times New Roman" w:cs="Times New Roman"/>
          <w:sz w:val="24"/>
          <w:szCs w:val="24"/>
          <w:lang w:val="en-US"/>
        </w:rPr>
        <w:lastRenderedPageBreak/>
        <w:t xml:space="preserve">the Child – Pugh class and the HCV </w:t>
      </w:r>
      <w:r w:rsidR="000C647C" w:rsidRPr="00A0600F">
        <w:rPr>
          <w:rFonts w:ascii="Times New Roman" w:hAnsi="Times New Roman" w:cs="Times New Roman"/>
          <w:sz w:val="24"/>
          <w:szCs w:val="24"/>
          <w:lang w:val="en-US"/>
        </w:rPr>
        <w:t>status determined the overall survival</w:t>
      </w:r>
      <w:r w:rsidR="0018212E" w:rsidRPr="00A0600F">
        <w:rPr>
          <w:rFonts w:ascii="Times New Roman" w:hAnsi="Times New Roman" w:cs="Times New Roman"/>
          <w:sz w:val="24"/>
          <w:szCs w:val="24"/>
          <w:lang w:val="en-US"/>
        </w:rPr>
        <w:t>. While the impact on survival of more advanced liver dysfunction is intuitive, the favorable course of HCV positive patients is more intriguing</w:t>
      </w:r>
      <w:r w:rsidR="000C647C" w:rsidRPr="00A0600F">
        <w:rPr>
          <w:rFonts w:ascii="Times New Roman" w:hAnsi="Times New Roman" w:cs="Times New Roman"/>
          <w:sz w:val="24"/>
          <w:szCs w:val="24"/>
          <w:lang w:val="en-US"/>
        </w:rPr>
        <w:t xml:space="preserve"> but data supporting this finding </w:t>
      </w:r>
      <w:r w:rsidR="00D50536" w:rsidRPr="00A0600F">
        <w:rPr>
          <w:rFonts w:ascii="Times New Roman" w:hAnsi="Times New Roman" w:cs="Times New Roman"/>
          <w:sz w:val="24"/>
          <w:szCs w:val="24"/>
          <w:lang w:val="en-US"/>
        </w:rPr>
        <w:t>are already provided</w:t>
      </w:r>
      <w:r w:rsidR="000C647C" w:rsidRPr="00A0600F">
        <w:rPr>
          <w:rFonts w:ascii="Times New Roman" w:hAnsi="Times New Roman" w:cs="Times New Roman"/>
          <w:sz w:val="24"/>
          <w:szCs w:val="24"/>
          <w:lang w:val="en-US"/>
        </w:rPr>
        <w:t xml:space="preserve">. In </w:t>
      </w:r>
      <w:r w:rsidR="00D3257A" w:rsidRPr="00A0600F">
        <w:rPr>
          <w:rFonts w:ascii="Times New Roman" w:hAnsi="Times New Roman" w:cs="Times New Roman"/>
          <w:sz w:val="24"/>
          <w:szCs w:val="24"/>
          <w:lang w:val="en-US"/>
        </w:rPr>
        <w:t xml:space="preserve">patients treated with sorafenib, HCV positivity is a recognized predictor of better survival </w:t>
      </w:r>
      <w:r w:rsidR="00D3257A" w:rsidRPr="00A0600F">
        <w:rPr>
          <w:rFonts w:ascii="Times New Roman" w:hAnsi="Times New Roman" w:cs="Times New Roman"/>
          <w:i/>
          <w:iCs/>
          <w:sz w:val="24"/>
          <w:szCs w:val="24"/>
          <w:lang w:val="en-US"/>
        </w:rPr>
        <w:t xml:space="preserve">[Future Oncol. </w:t>
      </w:r>
      <w:proofErr w:type="gramStart"/>
      <w:r w:rsidR="00D3257A" w:rsidRPr="00A0600F">
        <w:rPr>
          <w:rFonts w:ascii="Times New Roman" w:hAnsi="Times New Roman" w:cs="Times New Roman"/>
          <w:i/>
          <w:iCs/>
          <w:sz w:val="24"/>
          <w:szCs w:val="24"/>
          <w:lang w:val="en-US"/>
        </w:rPr>
        <w:t>2019;15:3411</w:t>
      </w:r>
      <w:proofErr w:type="gramEnd"/>
      <w:r w:rsidR="00D3257A" w:rsidRPr="00A0600F">
        <w:rPr>
          <w:rFonts w:ascii="Times New Roman" w:hAnsi="Times New Roman" w:cs="Times New Roman"/>
          <w:i/>
          <w:iCs/>
          <w:sz w:val="24"/>
          <w:szCs w:val="24"/>
          <w:lang w:val="en-US"/>
        </w:rPr>
        <w:t xml:space="preserve">-3422. </w:t>
      </w:r>
      <w:proofErr w:type="spellStart"/>
      <w:r w:rsidR="00D3257A" w:rsidRPr="00A0600F">
        <w:rPr>
          <w:rFonts w:ascii="Times New Roman" w:hAnsi="Times New Roman" w:cs="Times New Roman"/>
          <w:i/>
          <w:iCs/>
          <w:sz w:val="24"/>
          <w:szCs w:val="24"/>
          <w:lang w:val="en-US"/>
        </w:rPr>
        <w:t>doi</w:t>
      </w:r>
      <w:proofErr w:type="spellEnd"/>
      <w:r w:rsidR="00D3257A" w:rsidRPr="00A0600F">
        <w:rPr>
          <w:rFonts w:ascii="Times New Roman" w:hAnsi="Times New Roman" w:cs="Times New Roman"/>
          <w:i/>
          <w:iCs/>
          <w:sz w:val="24"/>
          <w:szCs w:val="24"/>
          <w:lang w:val="en-US"/>
        </w:rPr>
        <w:t xml:space="preserve">: 10.2217/fon-2019-0287; J Clin Oncol. 2017;35(6):622-628. </w:t>
      </w:r>
      <w:proofErr w:type="spellStart"/>
      <w:r w:rsidR="00D3257A" w:rsidRPr="00A0600F">
        <w:rPr>
          <w:rFonts w:ascii="Times New Roman" w:hAnsi="Times New Roman" w:cs="Times New Roman"/>
          <w:i/>
          <w:iCs/>
          <w:sz w:val="24"/>
          <w:szCs w:val="24"/>
          <w:lang w:val="en-US"/>
        </w:rPr>
        <w:t>doi</w:t>
      </w:r>
      <w:proofErr w:type="spellEnd"/>
      <w:r w:rsidR="00D3257A" w:rsidRPr="00A0600F">
        <w:rPr>
          <w:rFonts w:ascii="Times New Roman" w:hAnsi="Times New Roman" w:cs="Times New Roman"/>
          <w:i/>
          <w:iCs/>
          <w:sz w:val="24"/>
          <w:szCs w:val="24"/>
          <w:lang w:val="en-US"/>
        </w:rPr>
        <w:t>: 10.1200/JCO.2016.69.5197.]</w:t>
      </w:r>
      <w:r w:rsidR="00D3257A" w:rsidRPr="00A0600F">
        <w:rPr>
          <w:rFonts w:ascii="Times New Roman" w:hAnsi="Times New Roman" w:cs="Times New Roman"/>
          <w:sz w:val="24"/>
          <w:szCs w:val="24"/>
          <w:lang w:val="en-US"/>
        </w:rPr>
        <w:t xml:space="preserve">. </w:t>
      </w:r>
      <w:r w:rsidR="00D50536" w:rsidRPr="00A0600F">
        <w:rPr>
          <w:rFonts w:ascii="Times New Roman" w:hAnsi="Times New Roman" w:cs="Times New Roman"/>
          <w:sz w:val="24"/>
          <w:szCs w:val="24"/>
          <w:lang w:val="en-US"/>
        </w:rPr>
        <w:t xml:space="preserve">This can be explained from the molecular standpoint, where non-proliferation class HCC is more frequently observed in HCV patients </w:t>
      </w:r>
      <w:r w:rsidR="00D50536" w:rsidRPr="00A0600F">
        <w:rPr>
          <w:rFonts w:ascii="Times New Roman" w:hAnsi="Times New Roman" w:cs="Times New Roman"/>
          <w:i/>
          <w:iCs/>
          <w:sz w:val="24"/>
          <w:szCs w:val="24"/>
          <w:lang w:val="en-US"/>
        </w:rPr>
        <w:t>[Nat Rev Clin Oncol. 2018 Oct;15(10):599-616]</w:t>
      </w:r>
      <w:r w:rsidR="00D50536" w:rsidRPr="00A0600F">
        <w:rPr>
          <w:rFonts w:ascii="Times New Roman" w:hAnsi="Times New Roman" w:cs="Times New Roman"/>
          <w:sz w:val="24"/>
          <w:szCs w:val="24"/>
          <w:lang w:val="en-US"/>
        </w:rPr>
        <w:t>. However, even in patients with untreated HCC a remarkable survival difference was observed between western</w:t>
      </w:r>
      <w:r w:rsidR="000C647C" w:rsidRPr="00A0600F">
        <w:rPr>
          <w:rFonts w:ascii="Times New Roman" w:hAnsi="Times New Roman" w:cs="Times New Roman"/>
          <w:sz w:val="24"/>
          <w:szCs w:val="24"/>
          <w:lang w:val="en-US"/>
        </w:rPr>
        <w:t xml:space="preserve"> (North American and European) and </w:t>
      </w:r>
      <w:r w:rsidR="00D50536" w:rsidRPr="00A0600F">
        <w:rPr>
          <w:rFonts w:ascii="Times New Roman" w:hAnsi="Times New Roman" w:cs="Times New Roman"/>
          <w:sz w:val="24"/>
          <w:szCs w:val="24"/>
          <w:lang w:val="en-US"/>
        </w:rPr>
        <w:t>eastern</w:t>
      </w:r>
      <w:r w:rsidR="000C647C" w:rsidRPr="00A0600F">
        <w:rPr>
          <w:rFonts w:ascii="Times New Roman" w:hAnsi="Times New Roman" w:cs="Times New Roman"/>
          <w:sz w:val="24"/>
          <w:szCs w:val="24"/>
          <w:lang w:val="en-US"/>
        </w:rPr>
        <w:t xml:space="preserve"> (Asia-Pacific) studies</w:t>
      </w:r>
      <w:r w:rsidR="00D50536" w:rsidRPr="00A0600F">
        <w:rPr>
          <w:rFonts w:ascii="Times New Roman" w:hAnsi="Times New Roman" w:cs="Times New Roman"/>
          <w:sz w:val="24"/>
          <w:szCs w:val="24"/>
          <w:lang w:val="en-US"/>
        </w:rPr>
        <w:t xml:space="preserve">, with the first being affected by a higher prevalence of HCV positive patients and resulting in improved overall survival </w:t>
      </w:r>
      <w:r w:rsidR="00D50536" w:rsidRPr="00A0600F">
        <w:rPr>
          <w:rFonts w:ascii="Times New Roman" w:hAnsi="Times New Roman" w:cs="Times New Roman"/>
          <w:i/>
          <w:iCs/>
          <w:sz w:val="24"/>
          <w:szCs w:val="24"/>
          <w:lang w:val="en-US"/>
        </w:rPr>
        <w:t>[Hepatology. 2010 Apr;51(4):1274-83]</w:t>
      </w:r>
      <w:r w:rsidR="00D50536" w:rsidRPr="00A0600F">
        <w:rPr>
          <w:rFonts w:ascii="Times New Roman" w:hAnsi="Times New Roman" w:cs="Times New Roman"/>
          <w:sz w:val="24"/>
          <w:szCs w:val="24"/>
          <w:lang w:val="en-US"/>
        </w:rPr>
        <w:t>. In addition, t</w:t>
      </w:r>
      <w:r w:rsidR="000C647C" w:rsidRPr="00A0600F">
        <w:rPr>
          <w:rFonts w:ascii="Times New Roman" w:hAnsi="Times New Roman" w:cs="Times New Roman"/>
          <w:sz w:val="24"/>
          <w:szCs w:val="24"/>
          <w:lang w:val="en-US"/>
        </w:rPr>
        <w:t xml:space="preserve">he </w:t>
      </w:r>
      <w:r w:rsidR="00D50536" w:rsidRPr="00A0600F">
        <w:rPr>
          <w:rFonts w:ascii="Times New Roman" w:hAnsi="Times New Roman" w:cs="Times New Roman"/>
          <w:sz w:val="24"/>
          <w:szCs w:val="24"/>
          <w:lang w:val="en-US"/>
        </w:rPr>
        <w:t xml:space="preserve">recent </w:t>
      </w:r>
      <w:r w:rsidR="000C647C" w:rsidRPr="00A0600F">
        <w:rPr>
          <w:rFonts w:ascii="Times New Roman" w:hAnsi="Times New Roman" w:cs="Times New Roman"/>
          <w:sz w:val="24"/>
          <w:szCs w:val="24"/>
          <w:lang w:val="en-US"/>
        </w:rPr>
        <w:t>availability of an effective etiological treatment for HCV infection, represented by direct-acting antiviral agents (DAAs), could be a</w:t>
      </w:r>
      <w:r w:rsidR="00D50536" w:rsidRPr="00A0600F">
        <w:rPr>
          <w:rFonts w:ascii="Times New Roman" w:hAnsi="Times New Roman" w:cs="Times New Roman"/>
          <w:sz w:val="24"/>
          <w:szCs w:val="24"/>
          <w:lang w:val="en-US"/>
        </w:rPr>
        <w:t xml:space="preserve"> further</w:t>
      </w:r>
      <w:r w:rsidR="000C647C" w:rsidRPr="00A0600F">
        <w:rPr>
          <w:rFonts w:ascii="Times New Roman" w:hAnsi="Times New Roman" w:cs="Times New Roman"/>
          <w:sz w:val="24"/>
          <w:szCs w:val="24"/>
          <w:lang w:val="en-US"/>
        </w:rPr>
        <w:t xml:space="preserve"> reason </w:t>
      </w:r>
      <w:r w:rsidR="00D50536" w:rsidRPr="00A0600F">
        <w:rPr>
          <w:rFonts w:ascii="Times New Roman" w:hAnsi="Times New Roman" w:cs="Times New Roman"/>
          <w:sz w:val="24"/>
          <w:szCs w:val="24"/>
          <w:lang w:val="en-US"/>
        </w:rPr>
        <w:t xml:space="preserve">for </w:t>
      </w:r>
      <w:r w:rsidR="000C647C" w:rsidRPr="00A0600F">
        <w:rPr>
          <w:rFonts w:ascii="Times New Roman" w:hAnsi="Times New Roman" w:cs="Times New Roman"/>
          <w:sz w:val="24"/>
          <w:szCs w:val="24"/>
          <w:lang w:val="en-US"/>
        </w:rPr>
        <w:t xml:space="preserve">our findings. It has been showed that DAAs improve survival after locoregional treatments, including TACE </w:t>
      </w:r>
      <w:r w:rsidR="00D50536" w:rsidRPr="00A0600F">
        <w:rPr>
          <w:rFonts w:ascii="Times New Roman" w:hAnsi="Times New Roman" w:cs="Times New Roman"/>
          <w:i/>
          <w:iCs/>
          <w:sz w:val="24"/>
          <w:szCs w:val="24"/>
          <w:lang w:val="en-US"/>
        </w:rPr>
        <w:t>[</w:t>
      </w:r>
      <w:r w:rsidR="000C647C" w:rsidRPr="00A0600F">
        <w:rPr>
          <w:rFonts w:ascii="Times New Roman" w:hAnsi="Times New Roman" w:cs="Times New Roman"/>
          <w:i/>
          <w:iCs/>
          <w:sz w:val="24"/>
          <w:szCs w:val="24"/>
          <w:lang w:val="en-US"/>
        </w:rPr>
        <w:t>Hepatology. 2020 Jun;71(6):1910-1922.</w:t>
      </w:r>
      <w:r w:rsidR="00D50536" w:rsidRPr="00A0600F">
        <w:rPr>
          <w:rFonts w:ascii="Times New Roman" w:hAnsi="Times New Roman" w:cs="Times New Roman"/>
          <w:i/>
          <w:iCs/>
          <w:sz w:val="24"/>
          <w:szCs w:val="24"/>
          <w:lang w:val="en-US"/>
        </w:rPr>
        <w:t>]</w:t>
      </w:r>
      <w:r w:rsidR="000C647C" w:rsidRPr="00A0600F">
        <w:rPr>
          <w:rFonts w:ascii="Times New Roman" w:hAnsi="Times New Roman" w:cs="Times New Roman"/>
          <w:sz w:val="24"/>
          <w:szCs w:val="24"/>
          <w:lang w:val="en-US"/>
        </w:rPr>
        <w:t xml:space="preserve">, probably through a reduction of the risk of hepatic decompensation </w:t>
      </w:r>
      <w:r w:rsidR="00D50536" w:rsidRPr="00A0600F">
        <w:rPr>
          <w:rFonts w:ascii="Times New Roman" w:hAnsi="Times New Roman" w:cs="Times New Roman"/>
          <w:i/>
          <w:iCs/>
          <w:sz w:val="24"/>
          <w:szCs w:val="24"/>
          <w:lang w:val="en-US"/>
        </w:rPr>
        <w:t>[</w:t>
      </w:r>
      <w:r w:rsidR="000C647C" w:rsidRPr="00A0600F">
        <w:rPr>
          <w:rFonts w:ascii="Times New Roman" w:hAnsi="Times New Roman" w:cs="Times New Roman"/>
          <w:i/>
          <w:iCs/>
          <w:sz w:val="24"/>
          <w:szCs w:val="24"/>
          <w:lang w:val="en-US"/>
        </w:rPr>
        <w:t>J Hepatol. 2019 Aug;71(2):265-273</w:t>
      </w:r>
      <w:r w:rsidR="00D50536" w:rsidRPr="00A0600F">
        <w:rPr>
          <w:rFonts w:ascii="Times New Roman" w:hAnsi="Times New Roman" w:cs="Times New Roman"/>
          <w:i/>
          <w:iCs/>
          <w:sz w:val="24"/>
          <w:szCs w:val="24"/>
          <w:lang w:val="en-US"/>
        </w:rPr>
        <w:t>]</w:t>
      </w:r>
      <w:r w:rsidR="000C647C" w:rsidRPr="00A0600F">
        <w:rPr>
          <w:rFonts w:ascii="Times New Roman" w:hAnsi="Times New Roman" w:cs="Times New Roman"/>
          <w:sz w:val="24"/>
          <w:szCs w:val="24"/>
          <w:lang w:val="en-US"/>
        </w:rPr>
        <w:t xml:space="preserve">. Although data on HCV-RNA positivity and/or antiviral treatments were unfortunately unavailable, it is expected that a proportion of the patients in our cohort could have obtained DAA-induced sustained virologic response, as they were enrolled between 2014 and 2018. </w:t>
      </w:r>
      <w:r w:rsidR="00D50536" w:rsidRPr="00A0600F">
        <w:rPr>
          <w:rFonts w:ascii="Times New Roman" w:hAnsi="Times New Roman" w:cs="Times New Roman"/>
          <w:sz w:val="24"/>
          <w:szCs w:val="24"/>
          <w:lang w:val="en-US"/>
        </w:rPr>
        <w:t xml:space="preserve">On the other hand, HCV-IgG negative patients are represented by patients with chronic hepatitis B, or patients with alcoholic or non-alcoholic fatty liver disease which already demonstrated have a worst survival in historical cohorts </w:t>
      </w:r>
      <w:r w:rsidR="00D50536" w:rsidRPr="00A0600F">
        <w:rPr>
          <w:rFonts w:ascii="Times New Roman" w:hAnsi="Times New Roman" w:cs="Times New Roman"/>
          <w:i/>
          <w:iCs/>
          <w:sz w:val="24"/>
          <w:szCs w:val="24"/>
          <w:lang w:val="en-US"/>
        </w:rPr>
        <w:t>[Hepatology. 2020 Jul;72(1):198-212.]</w:t>
      </w:r>
      <w:r w:rsidR="00D50536" w:rsidRPr="00A0600F">
        <w:rPr>
          <w:rFonts w:ascii="Times New Roman" w:hAnsi="Times New Roman" w:cs="Times New Roman"/>
          <w:sz w:val="24"/>
          <w:szCs w:val="24"/>
          <w:lang w:val="en-US"/>
        </w:rPr>
        <w:t>.</w:t>
      </w:r>
      <w:r w:rsidR="00FC1FA5" w:rsidRPr="00A0600F">
        <w:rPr>
          <w:rFonts w:ascii="Times New Roman" w:hAnsi="Times New Roman" w:cs="Times New Roman"/>
          <w:i/>
          <w:iCs/>
          <w:sz w:val="24"/>
          <w:szCs w:val="24"/>
          <w:lang w:val="en-US"/>
        </w:rPr>
        <w:t xml:space="preserve"> </w:t>
      </w:r>
    </w:p>
    <w:p w14:paraId="3C0FAA0A" w14:textId="2549CB6C" w:rsidR="00C727E0" w:rsidRPr="00A0600F" w:rsidRDefault="00C727E0" w:rsidP="00641FFE">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t>Limitations</w:t>
      </w:r>
      <w:r w:rsidR="00112C7F" w:rsidRPr="00A0600F">
        <w:rPr>
          <w:rFonts w:ascii="Times New Roman" w:hAnsi="Times New Roman" w:cs="Times New Roman"/>
          <w:sz w:val="24"/>
          <w:szCs w:val="24"/>
          <w:lang w:val="en-US"/>
        </w:rPr>
        <w:t xml:space="preserve"> of the present study are common to all the retrospective studies. The most affected aspects are probably represented by the assessment of PES, since the grade assessment </w:t>
      </w:r>
      <w:r w:rsidR="000220BF" w:rsidRPr="00A0600F">
        <w:rPr>
          <w:rFonts w:ascii="Times New Roman" w:hAnsi="Times New Roman" w:cs="Times New Roman"/>
          <w:sz w:val="24"/>
          <w:szCs w:val="24"/>
          <w:lang w:val="en-US"/>
        </w:rPr>
        <w:t xml:space="preserve">can be </w:t>
      </w:r>
      <w:r w:rsidR="00112C7F" w:rsidRPr="00A0600F">
        <w:rPr>
          <w:rFonts w:ascii="Times New Roman" w:hAnsi="Times New Roman" w:cs="Times New Roman"/>
          <w:sz w:val="24"/>
          <w:szCs w:val="24"/>
          <w:lang w:val="en-US"/>
        </w:rPr>
        <w:t xml:space="preserve">biased </w:t>
      </w:r>
      <w:r w:rsidR="000220BF" w:rsidRPr="00A0600F">
        <w:rPr>
          <w:rFonts w:ascii="Times New Roman" w:hAnsi="Times New Roman" w:cs="Times New Roman"/>
          <w:sz w:val="24"/>
          <w:szCs w:val="24"/>
          <w:lang w:val="en-US"/>
        </w:rPr>
        <w:t>if</w:t>
      </w:r>
      <w:r w:rsidR="00112C7F" w:rsidRPr="00A0600F">
        <w:rPr>
          <w:rFonts w:ascii="Times New Roman" w:hAnsi="Times New Roman" w:cs="Times New Roman"/>
          <w:sz w:val="24"/>
          <w:szCs w:val="24"/>
          <w:lang w:val="en-US"/>
        </w:rPr>
        <w:t xml:space="preserve"> not defined</w:t>
      </w:r>
      <w:r w:rsidR="000220BF" w:rsidRPr="00A0600F">
        <w:rPr>
          <w:rFonts w:ascii="Times New Roman" w:hAnsi="Times New Roman" w:cs="Times New Roman"/>
          <w:sz w:val="24"/>
          <w:szCs w:val="24"/>
          <w:lang w:val="en-US"/>
        </w:rPr>
        <w:t xml:space="preserve"> prior to its registration</w:t>
      </w:r>
      <w:r w:rsidR="00112C7F" w:rsidRPr="00A0600F">
        <w:rPr>
          <w:rFonts w:ascii="Times New Roman" w:hAnsi="Times New Roman" w:cs="Times New Roman"/>
          <w:sz w:val="24"/>
          <w:szCs w:val="24"/>
          <w:lang w:val="en-US"/>
        </w:rPr>
        <w:t>.</w:t>
      </w:r>
      <w:r w:rsidR="000220BF" w:rsidRPr="00A0600F">
        <w:rPr>
          <w:rFonts w:ascii="Times New Roman" w:hAnsi="Times New Roman" w:cs="Times New Roman"/>
          <w:sz w:val="24"/>
          <w:szCs w:val="24"/>
          <w:lang w:val="en-US"/>
        </w:rPr>
        <w:t xml:space="preserve"> </w:t>
      </w:r>
      <w:r w:rsidR="00112C7F" w:rsidRPr="00A0600F">
        <w:rPr>
          <w:rFonts w:ascii="Times New Roman" w:hAnsi="Times New Roman" w:cs="Times New Roman"/>
          <w:sz w:val="24"/>
          <w:szCs w:val="24"/>
          <w:lang w:val="en-US"/>
        </w:rPr>
        <w:t xml:space="preserve">This probably represent a cause of the heterogeneity observed. However, as previously stated, PES is very subjective when pain or nausea are the only clinical symptoms reported, so that even under a prospective approach, the heterogeneity in reporting it should not change particularly. In addition, for the main outcome endpoint, the quality indicator of complication was defined as “any complication” so that PES reporting bias would be probably minimized. </w:t>
      </w:r>
      <w:r w:rsidR="000220BF" w:rsidRPr="00A0600F">
        <w:rPr>
          <w:rFonts w:ascii="Times New Roman" w:hAnsi="Times New Roman" w:cs="Times New Roman"/>
          <w:sz w:val="24"/>
          <w:szCs w:val="24"/>
          <w:lang w:val="en-US"/>
        </w:rPr>
        <w:t xml:space="preserve">Of sure, a more structured approach to PES registration, through eventual appropriate tools such as Visual Analog Scale. Further appropriate studies investigating this aspect are warranted. </w:t>
      </w:r>
      <w:r w:rsidR="00112C7F" w:rsidRPr="00A0600F">
        <w:rPr>
          <w:rFonts w:ascii="Times New Roman" w:hAnsi="Times New Roman" w:cs="Times New Roman"/>
          <w:sz w:val="24"/>
          <w:szCs w:val="24"/>
          <w:lang w:val="en-US"/>
        </w:rPr>
        <w:t xml:space="preserve">Another </w:t>
      </w:r>
      <w:r w:rsidR="000220BF" w:rsidRPr="00A0600F">
        <w:rPr>
          <w:rFonts w:ascii="Times New Roman" w:hAnsi="Times New Roman" w:cs="Times New Roman"/>
          <w:sz w:val="24"/>
          <w:szCs w:val="24"/>
          <w:lang w:val="en-US"/>
        </w:rPr>
        <w:t>issue</w:t>
      </w:r>
      <w:r w:rsidR="00112C7F" w:rsidRPr="00A0600F">
        <w:rPr>
          <w:rFonts w:ascii="Times New Roman" w:hAnsi="Times New Roman" w:cs="Times New Roman"/>
          <w:sz w:val="24"/>
          <w:szCs w:val="24"/>
          <w:lang w:val="en-US"/>
        </w:rPr>
        <w:t xml:space="preserve"> is represented by the assessment of mRECIST, which is included in the TO definition. </w:t>
      </w:r>
      <w:r w:rsidR="001C235A" w:rsidRPr="00A0600F">
        <w:rPr>
          <w:rFonts w:ascii="Times New Roman" w:hAnsi="Times New Roman" w:cs="Times New Roman"/>
          <w:sz w:val="24"/>
          <w:szCs w:val="24"/>
          <w:lang w:val="en-US"/>
        </w:rPr>
        <w:t>The obvious lack of central radiological review weakens the response evaluation. However, as suggested by the Food and Drugs Administration Clinical Trial Imaging Endpoint Process Standards 2018</w:t>
      </w:r>
      <w:r w:rsidR="000220BF" w:rsidRPr="00A0600F">
        <w:rPr>
          <w:rFonts w:ascii="Times New Roman" w:hAnsi="Times New Roman" w:cs="Times New Roman"/>
          <w:sz w:val="24"/>
          <w:szCs w:val="24"/>
          <w:lang w:val="en-US"/>
        </w:rPr>
        <w:t xml:space="preserve"> </w:t>
      </w:r>
      <w:r w:rsidR="000220BF" w:rsidRPr="00A0600F">
        <w:rPr>
          <w:rFonts w:ascii="Times New Roman" w:hAnsi="Times New Roman" w:cs="Times New Roman"/>
          <w:i/>
          <w:iCs/>
          <w:sz w:val="24"/>
          <w:szCs w:val="24"/>
          <w:lang w:val="en-US"/>
        </w:rPr>
        <w:t>[ref]</w:t>
      </w:r>
      <w:r w:rsidR="001C235A" w:rsidRPr="00A0600F">
        <w:rPr>
          <w:rFonts w:ascii="Times New Roman" w:hAnsi="Times New Roman" w:cs="Times New Roman"/>
          <w:sz w:val="24"/>
          <w:szCs w:val="24"/>
          <w:lang w:val="en-US"/>
        </w:rPr>
        <w:t xml:space="preserve">, centralized image interpretation is not always critical when using some aspects of </w:t>
      </w:r>
      <w:r w:rsidR="001C235A" w:rsidRPr="00A0600F">
        <w:rPr>
          <w:rFonts w:ascii="Times New Roman" w:hAnsi="Times New Roman" w:cs="Times New Roman"/>
          <w:sz w:val="24"/>
          <w:szCs w:val="24"/>
          <w:lang w:val="en-US"/>
        </w:rPr>
        <w:lastRenderedPageBreak/>
        <w:t xml:space="preserve">quantitative imaging when </w:t>
      </w:r>
      <w:r w:rsidR="000220BF" w:rsidRPr="00A0600F">
        <w:rPr>
          <w:rFonts w:ascii="Times New Roman" w:hAnsi="Times New Roman" w:cs="Times New Roman"/>
          <w:sz w:val="24"/>
          <w:szCs w:val="24"/>
          <w:lang w:val="en-US"/>
        </w:rPr>
        <w:t xml:space="preserve">this </w:t>
      </w:r>
      <w:r w:rsidR="001C235A" w:rsidRPr="00A0600F">
        <w:rPr>
          <w:rFonts w:ascii="Times New Roman" w:hAnsi="Times New Roman" w:cs="Times New Roman"/>
          <w:sz w:val="24"/>
          <w:szCs w:val="24"/>
          <w:lang w:val="en-US"/>
        </w:rPr>
        <w:t xml:space="preserve">measure is widely performed and reported in clinical medicine, as for mRECIST evaluation. The present approach certainly introduces more uncertainty </w:t>
      </w:r>
      <w:r w:rsidR="001C235A" w:rsidRPr="00A0600F">
        <w:rPr>
          <w:rFonts w:ascii="Times New Roman" w:hAnsi="Times New Roman" w:cs="Times New Roman"/>
          <w:i/>
          <w:iCs/>
          <w:sz w:val="24"/>
          <w:szCs w:val="24"/>
          <w:lang w:val="en-US"/>
        </w:rPr>
        <w:t>[J Hepatol. 2020 Aug;73(2):342-348.]</w:t>
      </w:r>
      <w:r w:rsidR="001C235A" w:rsidRPr="00A0600F">
        <w:rPr>
          <w:rFonts w:ascii="Times New Roman" w:hAnsi="Times New Roman" w:cs="Times New Roman"/>
          <w:sz w:val="24"/>
          <w:szCs w:val="24"/>
          <w:lang w:val="en-US"/>
        </w:rPr>
        <w:t xml:space="preserve"> but represents a valuable snapshot of the common clinical practice. </w:t>
      </w:r>
      <w:r w:rsidR="00112C7F" w:rsidRPr="00A0600F">
        <w:rPr>
          <w:rFonts w:ascii="Times New Roman" w:hAnsi="Times New Roman" w:cs="Times New Roman"/>
          <w:sz w:val="24"/>
          <w:szCs w:val="24"/>
          <w:lang w:val="en-US"/>
        </w:rPr>
        <w:t xml:space="preserve"> </w:t>
      </w:r>
    </w:p>
    <w:p w14:paraId="3C9F127A" w14:textId="53F31CDC" w:rsidR="00C727E0" w:rsidRPr="00A0600F" w:rsidRDefault="00C727E0" w:rsidP="00641FFE">
      <w:pPr>
        <w:spacing w:line="360" w:lineRule="auto"/>
        <w:jc w:val="both"/>
        <w:rPr>
          <w:rFonts w:ascii="Times New Roman" w:hAnsi="Times New Roman" w:cs="Times New Roman"/>
          <w:sz w:val="24"/>
          <w:szCs w:val="24"/>
          <w:lang w:val="en-US"/>
        </w:rPr>
      </w:pPr>
      <w:r w:rsidRPr="00A0600F">
        <w:rPr>
          <w:rFonts w:ascii="Times New Roman" w:hAnsi="Times New Roman" w:cs="Times New Roman"/>
          <w:sz w:val="24"/>
          <w:szCs w:val="24"/>
          <w:lang w:val="en-US"/>
        </w:rPr>
        <w:tab/>
      </w:r>
      <w:r w:rsidR="0030115E" w:rsidRPr="00A0600F">
        <w:rPr>
          <w:rFonts w:ascii="Times New Roman" w:hAnsi="Times New Roman" w:cs="Times New Roman"/>
          <w:sz w:val="24"/>
          <w:szCs w:val="24"/>
          <w:lang w:val="en-US"/>
        </w:rPr>
        <w:t>In c</w:t>
      </w:r>
      <w:r w:rsidRPr="00A0600F">
        <w:rPr>
          <w:rFonts w:ascii="Times New Roman" w:hAnsi="Times New Roman" w:cs="Times New Roman"/>
          <w:sz w:val="24"/>
          <w:szCs w:val="24"/>
          <w:lang w:val="en-US"/>
        </w:rPr>
        <w:t>onclusion</w:t>
      </w:r>
      <w:r w:rsidR="0030115E" w:rsidRPr="00A0600F">
        <w:rPr>
          <w:rFonts w:ascii="Times New Roman" w:hAnsi="Times New Roman" w:cs="Times New Roman"/>
          <w:sz w:val="24"/>
          <w:szCs w:val="24"/>
          <w:lang w:val="en-US"/>
        </w:rPr>
        <w:t xml:space="preserve">, we here provided for the first time a risk-adjusted assessment of TO as quality indicator after TACE for HCC. The great heterogeneity among clinical </w:t>
      </w:r>
      <w:r w:rsidR="000220BF" w:rsidRPr="00A0600F">
        <w:rPr>
          <w:rFonts w:ascii="Times New Roman" w:hAnsi="Times New Roman" w:cs="Times New Roman"/>
          <w:sz w:val="24"/>
          <w:szCs w:val="24"/>
          <w:lang w:val="en-US"/>
        </w:rPr>
        <w:t>features</w:t>
      </w:r>
      <w:r w:rsidR="0030115E" w:rsidRPr="00A0600F">
        <w:rPr>
          <w:rFonts w:ascii="Times New Roman" w:hAnsi="Times New Roman" w:cs="Times New Roman"/>
          <w:sz w:val="24"/>
          <w:szCs w:val="24"/>
          <w:lang w:val="en-US"/>
        </w:rPr>
        <w:t xml:space="preserve"> </w:t>
      </w:r>
      <w:r w:rsidR="000220BF" w:rsidRPr="00A0600F">
        <w:rPr>
          <w:rFonts w:ascii="Times New Roman" w:hAnsi="Times New Roman" w:cs="Times New Roman"/>
          <w:sz w:val="24"/>
          <w:szCs w:val="24"/>
          <w:lang w:val="en-US"/>
        </w:rPr>
        <w:t>of enrolled patients produces</w:t>
      </w:r>
      <w:r w:rsidR="0030115E" w:rsidRPr="00A0600F">
        <w:rPr>
          <w:rFonts w:ascii="Times New Roman" w:hAnsi="Times New Roman" w:cs="Times New Roman"/>
          <w:sz w:val="24"/>
          <w:szCs w:val="24"/>
          <w:lang w:val="en-US"/>
        </w:rPr>
        <w:t xml:space="preserve"> different TO </w:t>
      </w:r>
      <w:r w:rsidR="000220BF" w:rsidRPr="00A0600F">
        <w:rPr>
          <w:rFonts w:ascii="Times New Roman" w:hAnsi="Times New Roman" w:cs="Times New Roman"/>
          <w:sz w:val="24"/>
          <w:szCs w:val="24"/>
          <w:lang w:val="en-US"/>
        </w:rPr>
        <w:t>probabilities</w:t>
      </w:r>
      <w:r w:rsidR="0030115E" w:rsidRPr="00A0600F">
        <w:rPr>
          <w:rFonts w:ascii="Times New Roman" w:hAnsi="Times New Roman" w:cs="Times New Roman"/>
          <w:sz w:val="24"/>
          <w:szCs w:val="24"/>
          <w:lang w:val="en-US"/>
        </w:rPr>
        <w:t xml:space="preserve"> which mostly depend on gender, performance status and tumor burden. The TO achievement provides prolonged overall survival. Present results can be used for both healthcare quality assessment and for patient information regarding </w:t>
      </w:r>
      <w:r w:rsidR="000220BF" w:rsidRPr="00A0600F">
        <w:rPr>
          <w:rFonts w:ascii="Times New Roman" w:hAnsi="Times New Roman" w:cs="Times New Roman"/>
          <w:sz w:val="24"/>
          <w:szCs w:val="24"/>
          <w:lang w:val="en-US"/>
        </w:rPr>
        <w:t xml:space="preserve">the likelihood </w:t>
      </w:r>
      <w:r w:rsidR="0030115E" w:rsidRPr="00A0600F">
        <w:rPr>
          <w:rFonts w:ascii="Times New Roman" w:hAnsi="Times New Roman" w:cs="Times New Roman"/>
          <w:sz w:val="24"/>
          <w:szCs w:val="24"/>
          <w:lang w:val="en-US"/>
        </w:rPr>
        <w:t xml:space="preserve">of the success of the treatment.   </w:t>
      </w:r>
    </w:p>
    <w:p w14:paraId="35031029" w14:textId="77777777" w:rsidR="005F0E7B" w:rsidRPr="00A0600F" w:rsidRDefault="005F0E7B">
      <w:pPr>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br w:type="page"/>
      </w:r>
    </w:p>
    <w:p w14:paraId="48409868" w14:textId="70778A57" w:rsidR="00BE3BEA" w:rsidRPr="00A0600F" w:rsidRDefault="00BE3BEA" w:rsidP="00BE3BEA">
      <w:pPr>
        <w:rPr>
          <w:rFonts w:ascii="Times New Roman" w:hAnsi="Times New Roman" w:cs="Times New Roman"/>
          <w:sz w:val="24"/>
          <w:szCs w:val="24"/>
          <w:lang w:val="en-US"/>
        </w:rPr>
      </w:pPr>
      <w:r w:rsidRPr="00A0600F">
        <w:rPr>
          <w:rFonts w:ascii="Times New Roman" w:hAnsi="Times New Roman" w:cs="Times New Roman"/>
          <w:b/>
          <w:bCs/>
          <w:sz w:val="24"/>
          <w:szCs w:val="24"/>
          <w:lang w:val="en-US"/>
        </w:rPr>
        <w:lastRenderedPageBreak/>
        <w:t>Table 1.</w:t>
      </w:r>
      <w:r w:rsidRPr="00A0600F">
        <w:rPr>
          <w:rFonts w:ascii="Times New Roman" w:hAnsi="Times New Roman" w:cs="Times New Roman"/>
          <w:sz w:val="24"/>
          <w:szCs w:val="24"/>
          <w:lang w:val="en-US"/>
        </w:rPr>
        <w:t xml:space="preserve"> Clinical features of the study population of </w:t>
      </w:r>
      <w:r w:rsidR="00102276" w:rsidRPr="00A0600F">
        <w:rPr>
          <w:rFonts w:ascii="Times New Roman" w:hAnsi="Times New Roman" w:cs="Times New Roman"/>
          <w:sz w:val="24"/>
          <w:szCs w:val="24"/>
          <w:lang w:val="en-US"/>
        </w:rPr>
        <w:t>1124</w:t>
      </w:r>
      <w:r w:rsidRPr="00A0600F">
        <w:rPr>
          <w:rFonts w:ascii="Times New Roman" w:hAnsi="Times New Roman" w:cs="Times New Roman"/>
          <w:sz w:val="24"/>
          <w:szCs w:val="24"/>
          <w:lang w:val="en-US"/>
        </w:rPr>
        <w:t xml:space="preserve"> patients </w:t>
      </w:r>
      <w:r w:rsidR="00102276" w:rsidRPr="00A0600F">
        <w:rPr>
          <w:rFonts w:ascii="Times New Roman" w:hAnsi="Times New Roman" w:cs="Times New Roman"/>
          <w:sz w:val="24"/>
          <w:szCs w:val="24"/>
          <w:lang w:val="en-US"/>
        </w:rPr>
        <w:t>treated with</w:t>
      </w:r>
      <w:r w:rsidRPr="00A0600F">
        <w:rPr>
          <w:rFonts w:ascii="Times New Roman" w:hAnsi="Times New Roman" w:cs="Times New Roman"/>
          <w:sz w:val="24"/>
          <w:szCs w:val="24"/>
          <w:lang w:val="en-US"/>
        </w:rPr>
        <w:t xml:space="preserve"> TACE</w:t>
      </w:r>
      <w:r w:rsidR="00102276" w:rsidRPr="00A0600F">
        <w:rPr>
          <w:rFonts w:ascii="Times New Roman" w:hAnsi="Times New Roman" w:cs="Times New Roman"/>
          <w:sz w:val="24"/>
          <w:szCs w:val="24"/>
          <w:lang w:val="en-US"/>
        </w:rPr>
        <w:t xml:space="preserve"> for HCC.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2834"/>
        <w:gridCol w:w="1984"/>
      </w:tblGrid>
      <w:tr w:rsidR="00BE3BEA" w:rsidRPr="00A0600F" w14:paraId="4982FFEA" w14:textId="77777777" w:rsidTr="00282F76">
        <w:tc>
          <w:tcPr>
            <w:tcW w:w="1471" w:type="pct"/>
            <w:tcBorders>
              <w:top w:val="single" w:sz="12" w:space="0" w:color="auto"/>
              <w:bottom w:val="single" w:sz="12" w:space="0" w:color="auto"/>
            </w:tcBorders>
          </w:tcPr>
          <w:p w14:paraId="712398B5" w14:textId="77777777" w:rsidR="00BE3BEA" w:rsidRPr="00A0600F" w:rsidRDefault="00BE3BEA" w:rsidP="007B3BD1">
            <w:pPr>
              <w:spacing w:before="120" w:after="120"/>
              <w:rPr>
                <w:rFonts w:ascii="Times New Roman" w:hAnsi="Times New Roman" w:cs="Times New Roman"/>
                <w:b/>
                <w:bCs/>
                <w:lang w:val="en-US"/>
              </w:rPr>
            </w:pPr>
            <w:r w:rsidRPr="00A0600F">
              <w:rPr>
                <w:rFonts w:ascii="Times New Roman" w:hAnsi="Times New Roman" w:cs="Times New Roman"/>
                <w:b/>
                <w:bCs/>
                <w:lang w:val="en-US"/>
              </w:rPr>
              <w:t>Characteristic</w:t>
            </w:r>
          </w:p>
        </w:tc>
        <w:tc>
          <w:tcPr>
            <w:tcW w:w="1030" w:type="pct"/>
            <w:tcBorders>
              <w:top w:val="single" w:sz="12" w:space="0" w:color="auto"/>
              <w:bottom w:val="single" w:sz="12" w:space="0" w:color="auto"/>
            </w:tcBorders>
          </w:tcPr>
          <w:p w14:paraId="7DA64A2A" w14:textId="13289155" w:rsidR="00BE3BEA" w:rsidRPr="00A0600F" w:rsidRDefault="00605A98"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Unweighted</w:t>
            </w:r>
            <w:r w:rsidR="00BE3BEA" w:rsidRPr="00A0600F">
              <w:rPr>
                <w:rFonts w:ascii="Times New Roman" w:hAnsi="Times New Roman" w:cs="Times New Roman"/>
                <w:b/>
                <w:bCs/>
                <w:lang w:val="en-US"/>
              </w:rPr>
              <w:t xml:space="preserve"> values</w:t>
            </w:r>
          </w:p>
        </w:tc>
        <w:tc>
          <w:tcPr>
            <w:tcW w:w="1470" w:type="pct"/>
            <w:tcBorders>
              <w:top w:val="single" w:sz="12" w:space="0" w:color="auto"/>
              <w:bottom w:val="single" w:sz="12" w:space="0" w:color="auto"/>
            </w:tcBorders>
          </w:tcPr>
          <w:p w14:paraId="6F783B8B" w14:textId="67ADB447" w:rsidR="00BE3BEA" w:rsidRPr="00A0600F" w:rsidRDefault="00605A98"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Weighted</w:t>
            </w:r>
            <w:r w:rsidR="00BE3BEA" w:rsidRPr="00A0600F">
              <w:rPr>
                <w:rFonts w:ascii="Times New Roman" w:hAnsi="Times New Roman" w:cs="Times New Roman"/>
                <w:b/>
                <w:bCs/>
                <w:lang w:val="en-US"/>
              </w:rPr>
              <w:t xml:space="preserve"> values (95%C.I.)</w:t>
            </w:r>
          </w:p>
        </w:tc>
        <w:tc>
          <w:tcPr>
            <w:tcW w:w="1029" w:type="pct"/>
            <w:tcBorders>
              <w:top w:val="single" w:sz="12" w:space="0" w:color="auto"/>
              <w:bottom w:val="single" w:sz="12" w:space="0" w:color="auto"/>
            </w:tcBorders>
          </w:tcPr>
          <w:p w14:paraId="7291414C" w14:textId="77777777" w:rsidR="00BE3BEA" w:rsidRPr="00A0600F" w:rsidRDefault="00BE3BEA"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Heterogeneity (</w:t>
            </w:r>
            <w:r w:rsidRPr="00A0600F">
              <w:rPr>
                <w:rFonts w:ascii="Times New Roman" w:hAnsi="Times New Roman" w:cs="Times New Roman"/>
                <w:b/>
                <w:bCs/>
                <w:sz w:val="20"/>
                <w:szCs w:val="20"/>
                <w:lang w:val="en-US"/>
              </w:rPr>
              <w:t>I</w:t>
            </w:r>
            <w:r w:rsidRPr="00A0600F">
              <w:rPr>
                <w:rFonts w:ascii="Times New Roman" w:hAnsi="Times New Roman" w:cs="Times New Roman"/>
                <w:b/>
                <w:bCs/>
                <w:sz w:val="20"/>
                <w:szCs w:val="20"/>
                <w:vertAlign w:val="superscript"/>
                <w:lang w:val="en-US"/>
              </w:rPr>
              <w:t>2</w:t>
            </w:r>
            <w:r w:rsidRPr="00A0600F">
              <w:rPr>
                <w:rFonts w:ascii="Times New Roman" w:hAnsi="Times New Roman" w:cs="Times New Roman"/>
                <w:b/>
                <w:bCs/>
                <w:sz w:val="20"/>
                <w:szCs w:val="20"/>
                <w:lang w:val="en-US"/>
              </w:rPr>
              <w:t>)</w:t>
            </w:r>
          </w:p>
        </w:tc>
      </w:tr>
      <w:tr w:rsidR="00BE3BEA" w:rsidRPr="00A0600F" w14:paraId="1F722A10" w14:textId="77777777" w:rsidTr="00282F76">
        <w:tc>
          <w:tcPr>
            <w:tcW w:w="1471" w:type="pct"/>
            <w:tcBorders>
              <w:top w:val="single" w:sz="12" w:space="0" w:color="auto"/>
            </w:tcBorders>
          </w:tcPr>
          <w:p w14:paraId="41A07EDD" w14:textId="77777777" w:rsidR="00BE3BEA" w:rsidRPr="00A0600F" w:rsidRDefault="00BE3BEA" w:rsidP="007B3BD1">
            <w:pPr>
              <w:spacing w:before="120" w:after="60" w:line="360" w:lineRule="auto"/>
              <w:rPr>
                <w:rFonts w:ascii="Times New Roman" w:hAnsi="Times New Roman" w:cs="Times New Roman"/>
                <w:lang w:val="en-US"/>
              </w:rPr>
            </w:pPr>
            <w:r w:rsidRPr="00A0600F">
              <w:rPr>
                <w:rFonts w:ascii="Times New Roman" w:hAnsi="Times New Roman" w:cs="Times New Roman"/>
                <w:lang w:val="en-US"/>
              </w:rPr>
              <w:t>Age (years)</w:t>
            </w:r>
          </w:p>
        </w:tc>
        <w:tc>
          <w:tcPr>
            <w:tcW w:w="1030" w:type="pct"/>
            <w:tcBorders>
              <w:top w:val="single" w:sz="12" w:space="0" w:color="auto"/>
            </w:tcBorders>
          </w:tcPr>
          <w:p w14:paraId="452FA95E" w14:textId="15D209E3" w:rsidR="00BE3BEA" w:rsidRPr="00A0600F" w:rsidRDefault="00BE3BEA" w:rsidP="007B3BD1">
            <w:pPr>
              <w:spacing w:before="120" w:after="60" w:line="360" w:lineRule="auto"/>
              <w:jc w:val="center"/>
              <w:rPr>
                <w:rFonts w:ascii="Times New Roman" w:hAnsi="Times New Roman" w:cs="Times New Roman"/>
                <w:lang w:val="en-US"/>
              </w:rPr>
            </w:pPr>
            <w:r w:rsidRPr="00A0600F">
              <w:rPr>
                <w:rFonts w:ascii="Times New Roman" w:hAnsi="Times New Roman" w:cs="Times New Roman"/>
                <w:lang w:val="en-US"/>
              </w:rPr>
              <w:t>6</w:t>
            </w:r>
            <w:r w:rsidR="007A15C4" w:rsidRPr="00A0600F">
              <w:rPr>
                <w:rFonts w:ascii="Times New Roman" w:hAnsi="Times New Roman" w:cs="Times New Roman"/>
                <w:lang w:val="en-US"/>
              </w:rPr>
              <w:t>8</w:t>
            </w:r>
            <w:r w:rsidRPr="00A0600F">
              <w:rPr>
                <w:rFonts w:ascii="Times New Roman" w:hAnsi="Times New Roman" w:cs="Times New Roman"/>
                <w:lang w:val="en-US"/>
              </w:rPr>
              <w:t>.</w:t>
            </w:r>
            <w:r w:rsidR="007A15C4" w:rsidRPr="00A0600F">
              <w:rPr>
                <w:rFonts w:ascii="Times New Roman" w:hAnsi="Times New Roman" w:cs="Times New Roman"/>
                <w:lang w:val="en-US"/>
              </w:rPr>
              <w:t>1</w:t>
            </w:r>
            <w:r w:rsidRPr="00A0600F">
              <w:rPr>
                <w:rFonts w:ascii="Times New Roman" w:hAnsi="Times New Roman" w:cs="Times New Roman"/>
                <w:lang w:val="en-US"/>
              </w:rPr>
              <w:t xml:space="preserve"> ± </w:t>
            </w:r>
            <w:r w:rsidR="007A15C4" w:rsidRPr="00A0600F">
              <w:rPr>
                <w:rFonts w:ascii="Times New Roman" w:hAnsi="Times New Roman" w:cs="Times New Roman"/>
                <w:lang w:val="en-US"/>
              </w:rPr>
              <w:t>9</w:t>
            </w:r>
            <w:r w:rsidRPr="00A0600F">
              <w:rPr>
                <w:rFonts w:ascii="Times New Roman" w:hAnsi="Times New Roman" w:cs="Times New Roman"/>
                <w:lang w:val="en-US"/>
              </w:rPr>
              <w:t>.</w:t>
            </w:r>
            <w:r w:rsidR="007A15C4" w:rsidRPr="00A0600F">
              <w:rPr>
                <w:rFonts w:ascii="Times New Roman" w:hAnsi="Times New Roman" w:cs="Times New Roman"/>
                <w:lang w:val="en-US"/>
              </w:rPr>
              <w:t>9</w:t>
            </w:r>
          </w:p>
        </w:tc>
        <w:tc>
          <w:tcPr>
            <w:tcW w:w="1470" w:type="pct"/>
            <w:tcBorders>
              <w:top w:val="single" w:sz="12" w:space="0" w:color="auto"/>
            </w:tcBorders>
          </w:tcPr>
          <w:p w14:paraId="5081671F" w14:textId="2E1381F0" w:rsidR="00BE3BEA" w:rsidRPr="00A0600F" w:rsidRDefault="00BE3BEA" w:rsidP="007B3BD1">
            <w:pPr>
              <w:spacing w:before="120" w:after="60" w:line="360" w:lineRule="auto"/>
              <w:jc w:val="center"/>
              <w:rPr>
                <w:rFonts w:ascii="Times New Roman" w:hAnsi="Times New Roman" w:cs="Times New Roman"/>
                <w:lang w:val="en-US"/>
              </w:rPr>
            </w:pPr>
            <w:r w:rsidRPr="00A0600F">
              <w:rPr>
                <w:rFonts w:ascii="Times New Roman" w:hAnsi="Times New Roman" w:cs="Times New Roman"/>
                <w:lang w:val="en-US"/>
              </w:rPr>
              <w:t>68.</w:t>
            </w:r>
            <w:r w:rsidR="007A15C4" w:rsidRPr="00A0600F">
              <w:rPr>
                <w:rFonts w:ascii="Times New Roman" w:hAnsi="Times New Roman" w:cs="Times New Roman"/>
                <w:lang w:val="en-US"/>
              </w:rPr>
              <w:t>9</w:t>
            </w:r>
            <w:r w:rsidRPr="00A0600F">
              <w:rPr>
                <w:rFonts w:ascii="Times New Roman" w:hAnsi="Times New Roman" w:cs="Times New Roman"/>
                <w:lang w:val="en-US"/>
              </w:rPr>
              <w:t xml:space="preserve"> (6</w:t>
            </w:r>
            <w:r w:rsidR="007A15C4" w:rsidRPr="00A0600F">
              <w:rPr>
                <w:rFonts w:ascii="Times New Roman" w:hAnsi="Times New Roman" w:cs="Times New Roman"/>
                <w:lang w:val="en-US"/>
              </w:rPr>
              <w:t>7</w:t>
            </w:r>
            <w:r w:rsidRPr="00A0600F">
              <w:rPr>
                <w:rFonts w:ascii="Times New Roman" w:hAnsi="Times New Roman" w:cs="Times New Roman"/>
                <w:lang w:val="en-US"/>
              </w:rPr>
              <w:t>.</w:t>
            </w:r>
            <w:r w:rsidR="007A15C4" w:rsidRPr="00A0600F">
              <w:rPr>
                <w:rFonts w:ascii="Times New Roman" w:hAnsi="Times New Roman" w:cs="Times New Roman"/>
                <w:lang w:val="en-US"/>
              </w:rPr>
              <w:t>1</w:t>
            </w:r>
            <w:r w:rsidRPr="00A0600F">
              <w:rPr>
                <w:rFonts w:ascii="Times New Roman" w:hAnsi="Times New Roman" w:cs="Times New Roman"/>
                <w:lang w:val="en-US"/>
              </w:rPr>
              <w:t xml:space="preserve"> – 7</w:t>
            </w:r>
            <w:r w:rsidR="007A15C4" w:rsidRPr="00A0600F">
              <w:rPr>
                <w:rFonts w:ascii="Times New Roman" w:hAnsi="Times New Roman" w:cs="Times New Roman"/>
                <w:lang w:val="en-US"/>
              </w:rPr>
              <w:t>0</w:t>
            </w:r>
            <w:r w:rsidRPr="00A0600F">
              <w:rPr>
                <w:rFonts w:ascii="Times New Roman" w:hAnsi="Times New Roman" w:cs="Times New Roman"/>
                <w:lang w:val="en-US"/>
              </w:rPr>
              <w:t>.</w:t>
            </w:r>
            <w:r w:rsidR="007A15C4" w:rsidRPr="00A0600F">
              <w:rPr>
                <w:rFonts w:ascii="Times New Roman" w:hAnsi="Times New Roman" w:cs="Times New Roman"/>
                <w:lang w:val="en-US"/>
              </w:rPr>
              <w:t>7</w:t>
            </w:r>
            <w:r w:rsidRPr="00A0600F">
              <w:rPr>
                <w:rFonts w:ascii="Times New Roman" w:hAnsi="Times New Roman" w:cs="Times New Roman"/>
                <w:lang w:val="en-US"/>
              </w:rPr>
              <w:t>)</w:t>
            </w:r>
          </w:p>
        </w:tc>
        <w:tc>
          <w:tcPr>
            <w:tcW w:w="1029" w:type="pct"/>
            <w:tcBorders>
              <w:top w:val="single" w:sz="12" w:space="0" w:color="auto"/>
            </w:tcBorders>
          </w:tcPr>
          <w:p w14:paraId="0F5DE04A" w14:textId="44D6E216" w:rsidR="00BE3BEA" w:rsidRPr="00A0600F" w:rsidRDefault="007A15C4" w:rsidP="007B3BD1">
            <w:pPr>
              <w:spacing w:before="120" w:after="60" w:line="360" w:lineRule="auto"/>
              <w:jc w:val="center"/>
              <w:rPr>
                <w:rFonts w:ascii="Times New Roman" w:hAnsi="Times New Roman" w:cs="Times New Roman"/>
                <w:lang w:val="en-US"/>
              </w:rPr>
            </w:pPr>
            <w:r w:rsidRPr="00A0600F">
              <w:rPr>
                <w:rFonts w:ascii="Times New Roman" w:hAnsi="Times New Roman" w:cs="Times New Roman"/>
                <w:lang w:val="en-US"/>
              </w:rPr>
              <w:t>89.8</w:t>
            </w:r>
            <w:r w:rsidR="00BE3BEA" w:rsidRPr="00A0600F">
              <w:rPr>
                <w:rFonts w:ascii="Times New Roman" w:hAnsi="Times New Roman" w:cs="Times New Roman"/>
                <w:lang w:val="en-US"/>
              </w:rPr>
              <w:t>%</w:t>
            </w:r>
          </w:p>
        </w:tc>
      </w:tr>
      <w:tr w:rsidR="00BE3BEA" w:rsidRPr="00A0600F" w14:paraId="4460FA50" w14:textId="77777777" w:rsidTr="00282F76">
        <w:tc>
          <w:tcPr>
            <w:tcW w:w="1471" w:type="pct"/>
          </w:tcPr>
          <w:p w14:paraId="79C45D9C" w14:textId="77777777" w:rsidR="00BE3BEA" w:rsidRPr="00A0600F" w:rsidRDefault="00BE3BEA"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Male</w:t>
            </w:r>
          </w:p>
        </w:tc>
        <w:tc>
          <w:tcPr>
            <w:tcW w:w="1030" w:type="pct"/>
          </w:tcPr>
          <w:p w14:paraId="7D48138B" w14:textId="3C626AE5" w:rsidR="00BE3BEA" w:rsidRPr="00A0600F" w:rsidRDefault="00102276"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905</w:t>
            </w:r>
            <w:r w:rsidR="00BE3BEA" w:rsidRPr="00A0600F">
              <w:rPr>
                <w:rFonts w:ascii="Times New Roman" w:hAnsi="Times New Roman" w:cs="Times New Roman"/>
                <w:lang w:val="en-US"/>
              </w:rPr>
              <w:t xml:space="preserve"> (</w:t>
            </w:r>
            <w:r w:rsidRPr="00A0600F">
              <w:rPr>
                <w:rFonts w:ascii="Times New Roman" w:hAnsi="Times New Roman" w:cs="Times New Roman"/>
                <w:lang w:val="en-US"/>
              </w:rPr>
              <w:t>80</w:t>
            </w:r>
            <w:r w:rsidR="00BE3BEA" w:rsidRPr="00A0600F">
              <w:rPr>
                <w:rFonts w:ascii="Times New Roman" w:hAnsi="Times New Roman" w:cs="Times New Roman"/>
                <w:lang w:val="en-US"/>
              </w:rPr>
              <w:t>.5%)</w:t>
            </w:r>
          </w:p>
        </w:tc>
        <w:tc>
          <w:tcPr>
            <w:tcW w:w="1470" w:type="pct"/>
          </w:tcPr>
          <w:p w14:paraId="5122AEA9" w14:textId="6F9F64EB" w:rsidR="00BE3BEA" w:rsidRPr="00A0600F" w:rsidRDefault="00102276"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80</w:t>
            </w:r>
            <w:r w:rsidR="00BE3BEA" w:rsidRPr="00A0600F">
              <w:rPr>
                <w:rFonts w:ascii="Times New Roman" w:hAnsi="Times New Roman" w:cs="Times New Roman"/>
                <w:lang w:val="en-US"/>
              </w:rPr>
              <w:t>.</w:t>
            </w:r>
            <w:r w:rsidRPr="00A0600F">
              <w:rPr>
                <w:rFonts w:ascii="Times New Roman" w:hAnsi="Times New Roman" w:cs="Times New Roman"/>
                <w:lang w:val="en-US"/>
              </w:rPr>
              <w:t>0</w:t>
            </w:r>
            <w:r w:rsidR="00BE3BEA" w:rsidRPr="00A0600F">
              <w:rPr>
                <w:rFonts w:ascii="Times New Roman" w:hAnsi="Times New Roman" w:cs="Times New Roman"/>
                <w:lang w:val="en-US"/>
              </w:rPr>
              <w:t>% (7</w:t>
            </w:r>
            <w:r w:rsidRPr="00A0600F">
              <w:rPr>
                <w:rFonts w:ascii="Times New Roman" w:hAnsi="Times New Roman" w:cs="Times New Roman"/>
                <w:lang w:val="en-US"/>
              </w:rPr>
              <w:t>6</w:t>
            </w:r>
            <w:r w:rsidR="00BE3BEA" w:rsidRPr="00A0600F">
              <w:rPr>
                <w:rFonts w:ascii="Times New Roman" w:hAnsi="Times New Roman" w:cs="Times New Roman"/>
                <w:lang w:val="en-US"/>
              </w:rPr>
              <w:t>.</w:t>
            </w:r>
            <w:r w:rsidRPr="00A0600F">
              <w:rPr>
                <w:rFonts w:ascii="Times New Roman" w:hAnsi="Times New Roman" w:cs="Times New Roman"/>
                <w:lang w:val="en-US"/>
              </w:rPr>
              <w:t>4</w:t>
            </w:r>
            <w:r w:rsidR="00BE3BEA" w:rsidRPr="00A0600F">
              <w:rPr>
                <w:rFonts w:ascii="Times New Roman" w:hAnsi="Times New Roman" w:cs="Times New Roman"/>
                <w:lang w:val="en-US"/>
              </w:rPr>
              <w:t xml:space="preserve"> – 8</w:t>
            </w:r>
            <w:r w:rsidRPr="00A0600F">
              <w:rPr>
                <w:rFonts w:ascii="Times New Roman" w:hAnsi="Times New Roman" w:cs="Times New Roman"/>
                <w:lang w:val="en-US"/>
              </w:rPr>
              <w:t>3</w:t>
            </w:r>
            <w:r w:rsidR="00BE3BEA" w:rsidRPr="00A0600F">
              <w:rPr>
                <w:rFonts w:ascii="Times New Roman" w:hAnsi="Times New Roman" w:cs="Times New Roman"/>
                <w:lang w:val="en-US"/>
              </w:rPr>
              <w:t>.</w:t>
            </w:r>
            <w:r w:rsidRPr="00A0600F">
              <w:rPr>
                <w:rFonts w:ascii="Times New Roman" w:hAnsi="Times New Roman" w:cs="Times New Roman"/>
                <w:lang w:val="en-US"/>
              </w:rPr>
              <w:t>1</w:t>
            </w:r>
            <w:r w:rsidR="00BE3BEA" w:rsidRPr="00A0600F">
              <w:rPr>
                <w:rFonts w:ascii="Times New Roman" w:hAnsi="Times New Roman" w:cs="Times New Roman"/>
                <w:lang w:val="en-US"/>
              </w:rPr>
              <w:t>)</w:t>
            </w:r>
          </w:p>
        </w:tc>
        <w:tc>
          <w:tcPr>
            <w:tcW w:w="1029" w:type="pct"/>
          </w:tcPr>
          <w:p w14:paraId="3A936A47" w14:textId="7963CFD2" w:rsidR="00BE3BEA" w:rsidRPr="00A0600F" w:rsidRDefault="00102276"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45</w:t>
            </w:r>
            <w:r w:rsidR="00BE3BEA" w:rsidRPr="00A0600F">
              <w:rPr>
                <w:rFonts w:ascii="Times New Roman" w:hAnsi="Times New Roman" w:cs="Times New Roman"/>
                <w:lang w:val="en-US"/>
              </w:rPr>
              <w:t>.</w:t>
            </w:r>
            <w:r w:rsidRPr="00A0600F">
              <w:rPr>
                <w:rFonts w:ascii="Times New Roman" w:hAnsi="Times New Roman" w:cs="Times New Roman"/>
                <w:lang w:val="en-US"/>
              </w:rPr>
              <w:t>0</w:t>
            </w:r>
            <w:r w:rsidR="00BE3BEA" w:rsidRPr="00A0600F">
              <w:rPr>
                <w:rFonts w:ascii="Times New Roman" w:hAnsi="Times New Roman" w:cs="Times New Roman"/>
                <w:lang w:val="en-US"/>
              </w:rPr>
              <w:t>%</w:t>
            </w:r>
          </w:p>
        </w:tc>
      </w:tr>
      <w:tr w:rsidR="00BE3BEA" w:rsidRPr="00A0600F" w14:paraId="34A5E77F" w14:textId="77777777" w:rsidTr="00282F76">
        <w:tc>
          <w:tcPr>
            <w:tcW w:w="1471" w:type="pct"/>
          </w:tcPr>
          <w:p w14:paraId="576FA4B4" w14:textId="4844C610" w:rsidR="00BE3BEA" w:rsidRPr="00A0600F" w:rsidRDefault="00D71AC4"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HB</w:t>
            </w:r>
            <w:r w:rsidR="00FC1FA5" w:rsidRPr="00A0600F">
              <w:rPr>
                <w:rFonts w:ascii="Times New Roman" w:hAnsi="Times New Roman" w:cs="Times New Roman"/>
                <w:lang w:val="en-US"/>
              </w:rPr>
              <w:t>sAg positive</w:t>
            </w:r>
          </w:p>
        </w:tc>
        <w:tc>
          <w:tcPr>
            <w:tcW w:w="1030" w:type="pct"/>
          </w:tcPr>
          <w:p w14:paraId="710E7ED4" w14:textId="44D20AA3" w:rsidR="00BE3BEA" w:rsidRPr="00A0600F" w:rsidRDefault="00D71AC4"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125 (11.1%)</w:t>
            </w:r>
          </w:p>
        </w:tc>
        <w:tc>
          <w:tcPr>
            <w:tcW w:w="1470" w:type="pct"/>
          </w:tcPr>
          <w:p w14:paraId="54248B5E" w14:textId="46A3E00B" w:rsidR="00BE3BEA" w:rsidRPr="00A0600F" w:rsidRDefault="00D71AC4"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12.0% (9.1 – 15.8)</w:t>
            </w:r>
          </w:p>
        </w:tc>
        <w:tc>
          <w:tcPr>
            <w:tcW w:w="1029" w:type="pct"/>
          </w:tcPr>
          <w:p w14:paraId="190374D6" w14:textId="0D14335E" w:rsidR="00BE3BEA" w:rsidRPr="00A0600F" w:rsidRDefault="00D71AC4"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61.7%</w:t>
            </w:r>
          </w:p>
        </w:tc>
      </w:tr>
      <w:tr w:rsidR="00BE3BEA" w:rsidRPr="00A0600F" w14:paraId="2D19FB00" w14:textId="77777777" w:rsidTr="00282F76">
        <w:tc>
          <w:tcPr>
            <w:tcW w:w="1471" w:type="pct"/>
          </w:tcPr>
          <w:p w14:paraId="5BAEBDFD" w14:textId="297B0EA7" w:rsidR="00BE3BEA" w:rsidRPr="00A0600F" w:rsidRDefault="00BE3BEA"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HCV</w:t>
            </w:r>
            <w:r w:rsidR="00FC1FA5" w:rsidRPr="00A0600F">
              <w:rPr>
                <w:rFonts w:ascii="Times New Roman" w:hAnsi="Times New Roman" w:cs="Times New Roman"/>
                <w:lang w:val="en-US"/>
              </w:rPr>
              <w:t>- IgG positive</w:t>
            </w:r>
          </w:p>
        </w:tc>
        <w:tc>
          <w:tcPr>
            <w:tcW w:w="1030" w:type="pct"/>
          </w:tcPr>
          <w:p w14:paraId="59BB7E5B" w14:textId="41BE55D4" w:rsidR="00BE3BEA" w:rsidRPr="00A0600F" w:rsidRDefault="005A210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361 (32.1%)</w:t>
            </w:r>
          </w:p>
        </w:tc>
        <w:tc>
          <w:tcPr>
            <w:tcW w:w="1470" w:type="pct"/>
          </w:tcPr>
          <w:p w14:paraId="08EB5509" w14:textId="58BA45EF" w:rsidR="00BE3BEA" w:rsidRPr="00A0600F" w:rsidRDefault="005A210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30.5% (19.1 – 45.0)</w:t>
            </w:r>
          </w:p>
        </w:tc>
        <w:tc>
          <w:tcPr>
            <w:tcW w:w="1029" w:type="pct"/>
          </w:tcPr>
          <w:p w14:paraId="4729E3EE" w14:textId="14DE2DCE" w:rsidR="00BE3BEA" w:rsidRPr="00A0600F" w:rsidRDefault="005A210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94.6%</w:t>
            </w:r>
          </w:p>
        </w:tc>
      </w:tr>
      <w:tr w:rsidR="00610FB0" w:rsidRPr="00A0600F" w14:paraId="1E88B903" w14:textId="77777777" w:rsidTr="00282F76">
        <w:tc>
          <w:tcPr>
            <w:tcW w:w="1471" w:type="pct"/>
          </w:tcPr>
          <w:p w14:paraId="35ACE1B4" w14:textId="77777777" w:rsidR="00610FB0" w:rsidRPr="00A0600F" w:rsidRDefault="00610FB0"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Alcohol</w:t>
            </w:r>
          </w:p>
        </w:tc>
        <w:tc>
          <w:tcPr>
            <w:tcW w:w="1030" w:type="pct"/>
          </w:tcPr>
          <w:p w14:paraId="445B91CE" w14:textId="77777777" w:rsidR="00610FB0"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354 (31.5%)</w:t>
            </w:r>
          </w:p>
        </w:tc>
        <w:tc>
          <w:tcPr>
            <w:tcW w:w="1470" w:type="pct"/>
          </w:tcPr>
          <w:p w14:paraId="07F55665" w14:textId="77777777" w:rsidR="00610FB0"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28.2% (20.0 – 38.2)</w:t>
            </w:r>
          </w:p>
        </w:tc>
        <w:tc>
          <w:tcPr>
            <w:tcW w:w="1029" w:type="pct"/>
          </w:tcPr>
          <w:p w14:paraId="6A0009E6" w14:textId="77777777" w:rsidR="00610FB0"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89.9%</w:t>
            </w:r>
          </w:p>
        </w:tc>
      </w:tr>
      <w:tr w:rsidR="005A2108" w:rsidRPr="00A0600F" w14:paraId="595FF4FD" w14:textId="77777777" w:rsidTr="00282F76">
        <w:tc>
          <w:tcPr>
            <w:tcW w:w="1471" w:type="pct"/>
          </w:tcPr>
          <w:p w14:paraId="47728389" w14:textId="1AD574E5" w:rsidR="005A2108" w:rsidRPr="00A0600F" w:rsidRDefault="005A2108"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DEB-TACE</w:t>
            </w:r>
          </w:p>
        </w:tc>
        <w:tc>
          <w:tcPr>
            <w:tcW w:w="1030" w:type="pct"/>
          </w:tcPr>
          <w:p w14:paraId="0F2CEC2C" w14:textId="628175F8" w:rsidR="005A2108" w:rsidRPr="00A0600F" w:rsidRDefault="005A210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502 (44.7%)</w:t>
            </w:r>
          </w:p>
        </w:tc>
        <w:tc>
          <w:tcPr>
            <w:tcW w:w="1470" w:type="pct"/>
          </w:tcPr>
          <w:p w14:paraId="496D1FD0" w14:textId="16D7819D" w:rsidR="005A2108" w:rsidRPr="00A0600F" w:rsidRDefault="005A210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41.2% (20.9 – 65.0)</w:t>
            </w:r>
          </w:p>
        </w:tc>
        <w:tc>
          <w:tcPr>
            <w:tcW w:w="1029" w:type="pct"/>
          </w:tcPr>
          <w:p w14:paraId="7A6A4181" w14:textId="69488C21" w:rsidR="005A2108" w:rsidRPr="00A0600F" w:rsidRDefault="005A210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95.9%</w:t>
            </w:r>
          </w:p>
        </w:tc>
      </w:tr>
      <w:tr w:rsidR="00E413E1" w:rsidRPr="00A0600F" w14:paraId="4BDB5D87" w14:textId="77777777" w:rsidTr="00282F76">
        <w:tc>
          <w:tcPr>
            <w:tcW w:w="1471" w:type="pct"/>
          </w:tcPr>
          <w:p w14:paraId="7C6B32F9" w14:textId="3153FB7C" w:rsidR="00E413E1" w:rsidRPr="00A0600F" w:rsidRDefault="000912A5"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 xml:space="preserve">Cone-beam </w:t>
            </w:r>
            <w:r w:rsidR="0095482A" w:rsidRPr="00A0600F">
              <w:rPr>
                <w:rFonts w:ascii="Times New Roman" w:hAnsi="Times New Roman" w:cs="Times New Roman"/>
                <w:lang w:val="en-US"/>
              </w:rPr>
              <w:t>TACE</w:t>
            </w:r>
          </w:p>
        </w:tc>
        <w:tc>
          <w:tcPr>
            <w:tcW w:w="1030" w:type="pct"/>
          </w:tcPr>
          <w:p w14:paraId="378F708B" w14:textId="7854CE4C" w:rsidR="00E413E1" w:rsidRPr="00A0600F" w:rsidRDefault="0095482A"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169 (15.0%)</w:t>
            </w:r>
          </w:p>
        </w:tc>
        <w:tc>
          <w:tcPr>
            <w:tcW w:w="1470" w:type="pct"/>
          </w:tcPr>
          <w:p w14:paraId="14DD6887" w14:textId="15621DD7" w:rsidR="00E413E1" w:rsidRPr="00A0600F" w:rsidRDefault="0095482A"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13.4% (5.0 – 31.2)</w:t>
            </w:r>
          </w:p>
        </w:tc>
        <w:tc>
          <w:tcPr>
            <w:tcW w:w="1029" w:type="pct"/>
          </w:tcPr>
          <w:p w14:paraId="0CFFC954" w14:textId="0C53277F" w:rsidR="00E413E1" w:rsidRPr="00A0600F" w:rsidRDefault="0095482A"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88.9%</w:t>
            </w:r>
          </w:p>
        </w:tc>
      </w:tr>
      <w:tr w:rsidR="00E413E1" w:rsidRPr="00A0600F" w14:paraId="7036E92D" w14:textId="77777777" w:rsidTr="00282F76">
        <w:tc>
          <w:tcPr>
            <w:tcW w:w="1471" w:type="pct"/>
          </w:tcPr>
          <w:p w14:paraId="42E4C920" w14:textId="4BD5283B" w:rsidR="00E413E1" w:rsidRPr="00A0600F" w:rsidRDefault="00E413E1"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ECOG</w:t>
            </w:r>
            <w:r w:rsidR="00610FB0" w:rsidRPr="00A0600F">
              <w:rPr>
                <w:rFonts w:ascii="Times New Roman" w:hAnsi="Times New Roman" w:cs="Times New Roman"/>
                <w:lang w:val="en-US"/>
              </w:rPr>
              <w:t xml:space="preserve"> - PS</w:t>
            </w:r>
            <w:r w:rsidRPr="00A0600F">
              <w:rPr>
                <w:rFonts w:ascii="Times New Roman" w:hAnsi="Times New Roman" w:cs="Times New Roman"/>
                <w:lang w:val="en-US"/>
              </w:rPr>
              <w:t xml:space="preserve"> 1</w:t>
            </w:r>
          </w:p>
        </w:tc>
        <w:tc>
          <w:tcPr>
            <w:tcW w:w="1030" w:type="pct"/>
          </w:tcPr>
          <w:p w14:paraId="5E049F13" w14:textId="205697D7" w:rsidR="00E413E1" w:rsidRPr="00A0600F" w:rsidRDefault="0095482A"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267 (23.8%)</w:t>
            </w:r>
          </w:p>
        </w:tc>
        <w:tc>
          <w:tcPr>
            <w:tcW w:w="1470" w:type="pct"/>
          </w:tcPr>
          <w:p w14:paraId="72577C8F" w14:textId="356BE5D6" w:rsidR="00E413E1" w:rsidRPr="00A0600F" w:rsidRDefault="0095482A"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20.4% (12.8 – 31.0)</w:t>
            </w:r>
          </w:p>
        </w:tc>
        <w:tc>
          <w:tcPr>
            <w:tcW w:w="1029" w:type="pct"/>
          </w:tcPr>
          <w:p w14:paraId="21525FEE" w14:textId="7E26550C" w:rsidR="00E413E1" w:rsidRPr="00A0600F" w:rsidRDefault="0095482A"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91.3%</w:t>
            </w:r>
          </w:p>
        </w:tc>
      </w:tr>
      <w:tr w:rsidR="0095482A" w:rsidRPr="00A0600F" w14:paraId="6A8B189D" w14:textId="77777777" w:rsidTr="00282F76">
        <w:tc>
          <w:tcPr>
            <w:tcW w:w="1471" w:type="pct"/>
          </w:tcPr>
          <w:p w14:paraId="7247DC60" w14:textId="5783F68D" w:rsidR="0095482A" w:rsidRPr="00A0600F" w:rsidRDefault="0095482A"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Child – Pugh B7</w:t>
            </w:r>
          </w:p>
        </w:tc>
        <w:tc>
          <w:tcPr>
            <w:tcW w:w="1030" w:type="pct"/>
          </w:tcPr>
          <w:p w14:paraId="49DE4184" w14:textId="0F44B56D" w:rsidR="0095482A" w:rsidRPr="00A0600F" w:rsidRDefault="0095482A"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119 (10.6%)</w:t>
            </w:r>
          </w:p>
        </w:tc>
        <w:tc>
          <w:tcPr>
            <w:tcW w:w="1470" w:type="pct"/>
          </w:tcPr>
          <w:p w14:paraId="6E84526C" w14:textId="7B0273B7" w:rsidR="0095482A" w:rsidRPr="00A0600F" w:rsidRDefault="0097621F"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11.4% (8.2 – 15.7)</w:t>
            </w:r>
          </w:p>
        </w:tc>
        <w:tc>
          <w:tcPr>
            <w:tcW w:w="1029" w:type="pct"/>
          </w:tcPr>
          <w:p w14:paraId="655AE188" w14:textId="0EABEFFF" w:rsidR="0095482A" w:rsidRPr="00A0600F" w:rsidRDefault="0097621F"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69.2%</w:t>
            </w:r>
          </w:p>
        </w:tc>
      </w:tr>
      <w:tr w:rsidR="0095482A" w:rsidRPr="00A0600F" w14:paraId="2D7A50E5" w14:textId="77777777" w:rsidTr="00282F76">
        <w:tc>
          <w:tcPr>
            <w:tcW w:w="1471" w:type="pct"/>
          </w:tcPr>
          <w:p w14:paraId="66353D47" w14:textId="4ACB7CA3" w:rsidR="0095482A" w:rsidRPr="00A0600F" w:rsidRDefault="0095482A"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MELD score</w:t>
            </w:r>
            <w:r w:rsidR="00062DC1" w:rsidRPr="00A0600F">
              <w:rPr>
                <w:rFonts w:ascii="Times New Roman" w:hAnsi="Times New Roman" w:cs="Times New Roman"/>
                <w:lang w:val="en-US"/>
              </w:rPr>
              <w:t xml:space="preserve"> &gt;10</w:t>
            </w:r>
          </w:p>
        </w:tc>
        <w:tc>
          <w:tcPr>
            <w:tcW w:w="1030" w:type="pct"/>
          </w:tcPr>
          <w:p w14:paraId="237CBFCF" w14:textId="2C282082" w:rsidR="0095482A"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372 (33.1%)</w:t>
            </w:r>
          </w:p>
        </w:tc>
        <w:tc>
          <w:tcPr>
            <w:tcW w:w="1470" w:type="pct"/>
          </w:tcPr>
          <w:p w14:paraId="03D73B13" w14:textId="20E380BF" w:rsidR="0095482A"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33.0% (26.0 – 41.0)</w:t>
            </w:r>
          </w:p>
        </w:tc>
        <w:tc>
          <w:tcPr>
            <w:tcW w:w="1029" w:type="pct"/>
          </w:tcPr>
          <w:p w14:paraId="7301F754" w14:textId="4FE35939" w:rsidR="0095482A"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84.3%</w:t>
            </w:r>
          </w:p>
        </w:tc>
      </w:tr>
      <w:tr w:rsidR="003F2768" w:rsidRPr="00A0600F" w14:paraId="435C6982" w14:textId="77777777" w:rsidTr="00282F76">
        <w:tc>
          <w:tcPr>
            <w:tcW w:w="1471" w:type="pct"/>
          </w:tcPr>
          <w:p w14:paraId="3A075AAC" w14:textId="2389F25B" w:rsidR="003F2768" w:rsidRPr="00A0600F" w:rsidRDefault="003F2768"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ALBI score</w:t>
            </w:r>
            <w:r w:rsidR="00062DC1" w:rsidRPr="00A0600F">
              <w:rPr>
                <w:rFonts w:ascii="Times New Roman" w:hAnsi="Times New Roman" w:cs="Times New Roman"/>
                <w:lang w:val="en-US"/>
              </w:rPr>
              <w:t xml:space="preserve"> </w:t>
            </w:r>
            <w:r w:rsidR="00D610BF" w:rsidRPr="00A0600F">
              <w:rPr>
                <w:rFonts w:ascii="Times New Roman" w:hAnsi="Times New Roman" w:cs="Times New Roman"/>
                <w:lang w:val="en-US"/>
              </w:rPr>
              <w:t>&gt;</w:t>
            </w:r>
            <w:r w:rsidR="00062DC1" w:rsidRPr="00A0600F">
              <w:rPr>
                <w:rFonts w:ascii="Times New Roman" w:hAnsi="Times New Roman" w:cs="Times New Roman"/>
                <w:lang w:val="en-US"/>
              </w:rPr>
              <w:t>1</w:t>
            </w:r>
          </w:p>
        </w:tc>
        <w:tc>
          <w:tcPr>
            <w:tcW w:w="1030" w:type="pct"/>
          </w:tcPr>
          <w:p w14:paraId="472E4463" w14:textId="4DA7B057" w:rsidR="003F2768"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695 (61.8%)</w:t>
            </w:r>
          </w:p>
        </w:tc>
        <w:tc>
          <w:tcPr>
            <w:tcW w:w="1470" w:type="pct"/>
          </w:tcPr>
          <w:p w14:paraId="550263E1" w14:textId="66AB0FBB" w:rsidR="003F2768"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66.2% (54.2 – 76.4)</w:t>
            </w:r>
          </w:p>
        </w:tc>
        <w:tc>
          <w:tcPr>
            <w:tcW w:w="1029" w:type="pct"/>
          </w:tcPr>
          <w:p w14:paraId="57BE8761" w14:textId="746AD1A3" w:rsidR="003F2768" w:rsidRPr="00A0600F" w:rsidRDefault="00610FB0"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92.7%</w:t>
            </w:r>
          </w:p>
        </w:tc>
      </w:tr>
      <w:tr w:rsidR="004043D8" w:rsidRPr="00A0600F" w14:paraId="403517EF" w14:textId="77777777" w:rsidTr="00282F76">
        <w:tc>
          <w:tcPr>
            <w:tcW w:w="1471" w:type="pct"/>
          </w:tcPr>
          <w:p w14:paraId="487555A6" w14:textId="35136187" w:rsidR="004043D8" w:rsidRPr="00A0600F" w:rsidRDefault="004043D8"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Single lesion</w:t>
            </w:r>
          </w:p>
        </w:tc>
        <w:tc>
          <w:tcPr>
            <w:tcW w:w="1030" w:type="pct"/>
          </w:tcPr>
          <w:p w14:paraId="586393F3" w14:textId="46993320" w:rsidR="004043D8" w:rsidRPr="00A0600F" w:rsidRDefault="004043D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444 (39.5%)</w:t>
            </w:r>
          </w:p>
        </w:tc>
        <w:tc>
          <w:tcPr>
            <w:tcW w:w="1470" w:type="pct"/>
          </w:tcPr>
          <w:p w14:paraId="7F2FB886" w14:textId="260C8FA6" w:rsidR="004043D8" w:rsidRPr="00A0600F" w:rsidRDefault="004043D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37.2% (30.2 – 44.9)</w:t>
            </w:r>
          </w:p>
        </w:tc>
        <w:tc>
          <w:tcPr>
            <w:tcW w:w="1029" w:type="pct"/>
          </w:tcPr>
          <w:p w14:paraId="64C6F86B" w14:textId="61A35A52" w:rsidR="004043D8" w:rsidRPr="00A0600F" w:rsidRDefault="004043D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83.3%</w:t>
            </w:r>
          </w:p>
        </w:tc>
      </w:tr>
      <w:tr w:rsidR="004043D8" w:rsidRPr="00A0600F" w14:paraId="11F0E845" w14:textId="77777777" w:rsidTr="00282F76">
        <w:tc>
          <w:tcPr>
            <w:tcW w:w="1471" w:type="pct"/>
          </w:tcPr>
          <w:p w14:paraId="7944E374" w14:textId="777D20CF" w:rsidR="004043D8" w:rsidRPr="00A0600F" w:rsidRDefault="004043D8"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Two or three lesions</w:t>
            </w:r>
          </w:p>
        </w:tc>
        <w:tc>
          <w:tcPr>
            <w:tcW w:w="1030" w:type="pct"/>
          </w:tcPr>
          <w:p w14:paraId="62D6DAD7" w14:textId="5828FC67" w:rsidR="004043D8" w:rsidRPr="00A0600F" w:rsidRDefault="004043D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463 (41.2%)</w:t>
            </w:r>
          </w:p>
        </w:tc>
        <w:tc>
          <w:tcPr>
            <w:tcW w:w="1470" w:type="pct"/>
          </w:tcPr>
          <w:p w14:paraId="67965420" w14:textId="6960323A" w:rsidR="004043D8" w:rsidRPr="00A0600F" w:rsidRDefault="004043D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42.8% (37.3 – 48.5)</w:t>
            </w:r>
          </w:p>
        </w:tc>
        <w:tc>
          <w:tcPr>
            <w:tcW w:w="1029" w:type="pct"/>
          </w:tcPr>
          <w:p w14:paraId="0D2650A8" w14:textId="4BD73612" w:rsidR="004043D8" w:rsidRPr="00A0600F" w:rsidRDefault="004043D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69.6%</w:t>
            </w:r>
          </w:p>
        </w:tc>
      </w:tr>
      <w:tr w:rsidR="004043D8" w:rsidRPr="00A0600F" w14:paraId="78C713B3" w14:textId="77777777" w:rsidTr="00282F76">
        <w:tc>
          <w:tcPr>
            <w:tcW w:w="1471" w:type="pct"/>
          </w:tcPr>
          <w:p w14:paraId="1EC74661" w14:textId="532764B0" w:rsidR="004043D8" w:rsidRPr="00A0600F" w:rsidRDefault="004043D8"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More than three lesions</w:t>
            </w:r>
          </w:p>
        </w:tc>
        <w:tc>
          <w:tcPr>
            <w:tcW w:w="1030" w:type="pct"/>
          </w:tcPr>
          <w:p w14:paraId="5DE3A8B1" w14:textId="5D11456D" w:rsidR="004043D8" w:rsidRPr="00A0600F" w:rsidRDefault="004043D8"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217 (19.3%)</w:t>
            </w:r>
          </w:p>
        </w:tc>
        <w:tc>
          <w:tcPr>
            <w:tcW w:w="1470" w:type="pct"/>
          </w:tcPr>
          <w:p w14:paraId="01CB63A6" w14:textId="36DF9628" w:rsidR="004043D8" w:rsidRPr="00A0600F" w:rsidRDefault="0097621F"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17.5% (10.8 – 27.2)</w:t>
            </w:r>
          </w:p>
        </w:tc>
        <w:tc>
          <w:tcPr>
            <w:tcW w:w="1029" w:type="pct"/>
          </w:tcPr>
          <w:p w14:paraId="72BA8682" w14:textId="12EDC13C" w:rsidR="004043D8" w:rsidRPr="00A0600F" w:rsidRDefault="0097621F"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91.5%</w:t>
            </w:r>
          </w:p>
        </w:tc>
      </w:tr>
      <w:tr w:rsidR="007A15C4" w:rsidRPr="00A0600F" w14:paraId="6FA0CAF1" w14:textId="77777777" w:rsidTr="00282F76">
        <w:tc>
          <w:tcPr>
            <w:tcW w:w="1471" w:type="pct"/>
            <w:tcBorders>
              <w:bottom w:val="single" w:sz="12" w:space="0" w:color="auto"/>
            </w:tcBorders>
          </w:tcPr>
          <w:p w14:paraId="3079243C" w14:textId="0BA3F9B1" w:rsidR="007A15C4" w:rsidRPr="00A0600F" w:rsidRDefault="007A15C4"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Largest diameter (cm)</w:t>
            </w:r>
          </w:p>
        </w:tc>
        <w:tc>
          <w:tcPr>
            <w:tcW w:w="1030" w:type="pct"/>
            <w:tcBorders>
              <w:bottom w:val="single" w:sz="12" w:space="0" w:color="auto"/>
            </w:tcBorders>
          </w:tcPr>
          <w:p w14:paraId="326FEA97" w14:textId="79A8365B" w:rsidR="007A15C4" w:rsidRPr="00A0600F" w:rsidRDefault="007A15C4"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4.1 ± 2.7</w:t>
            </w:r>
          </w:p>
        </w:tc>
        <w:tc>
          <w:tcPr>
            <w:tcW w:w="1470" w:type="pct"/>
            <w:tcBorders>
              <w:bottom w:val="single" w:sz="12" w:space="0" w:color="auto"/>
            </w:tcBorders>
          </w:tcPr>
          <w:p w14:paraId="0A875FB3" w14:textId="0D25D6C2" w:rsidR="007A15C4" w:rsidRPr="00A0600F" w:rsidRDefault="00EF0EB6"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4.0 (2.4 – 5.7)</w:t>
            </w:r>
          </w:p>
        </w:tc>
        <w:tc>
          <w:tcPr>
            <w:tcW w:w="1029" w:type="pct"/>
            <w:tcBorders>
              <w:bottom w:val="single" w:sz="12" w:space="0" w:color="auto"/>
            </w:tcBorders>
          </w:tcPr>
          <w:p w14:paraId="066F1C64" w14:textId="33110939" w:rsidR="007A15C4" w:rsidRPr="00A0600F" w:rsidRDefault="00EF0EB6"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95.0%</w:t>
            </w:r>
          </w:p>
        </w:tc>
      </w:tr>
    </w:tbl>
    <w:p w14:paraId="60DFDA1A" w14:textId="78B9BF9B" w:rsidR="00BE3BEA" w:rsidRPr="00A0600F" w:rsidRDefault="00BE3BEA" w:rsidP="0027561A">
      <w:pPr>
        <w:spacing w:before="120" w:after="120" w:line="240" w:lineRule="auto"/>
        <w:jc w:val="both"/>
        <w:rPr>
          <w:rFonts w:ascii="Times New Roman" w:hAnsi="Times New Roman" w:cs="Times New Roman"/>
          <w:sz w:val="20"/>
          <w:szCs w:val="20"/>
          <w:lang w:val="en-US"/>
        </w:rPr>
      </w:pPr>
      <w:r w:rsidRPr="00A0600F">
        <w:rPr>
          <w:rFonts w:ascii="Times New Roman" w:hAnsi="Times New Roman" w:cs="Times New Roman"/>
          <w:sz w:val="20"/>
          <w:szCs w:val="20"/>
          <w:lang w:val="en-US"/>
        </w:rPr>
        <w:t>Un</w:t>
      </w:r>
      <w:r w:rsidR="00605A98" w:rsidRPr="00A0600F">
        <w:rPr>
          <w:rFonts w:ascii="Times New Roman" w:hAnsi="Times New Roman" w:cs="Times New Roman"/>
          <w:sz w:val="20"/>
          <w:szCs w:val="20"/>
          <w:lang w:val="en-US"/>
        </w:rPr>
        <w:t>weighted</w:t>
      </w:r>
      <w:r w:rsidRPr="00A0600F">
        <w:rPr>
          <w:rFonts w:ascii="Times New Roman" w:hAnsi="Times New Roman" w:cs="Times New Roman"/>
          <w:sz w:val="20"/>
          <w:szCs w:val="20"/>
          <w:lang w:val="en-US"/>
        </w:rPr>
        <w:t xml:space="preserve"> values derive from considering all patients from different centers as a unique study population</w:t>
      </w:r>
      <w:r w:rsidR="00102276" w:rsidRPr="00A0600F">
        <w:rPr>
          <w:rFonts w:ascii="Times New Roman" w:hAnsi="Times New Roman" w:cs="Times New Roman"/>
          <w:sz w:val="20"/>
          <w:szCs w:val="20"/>
          <w:lang w:val="en-US"/>
        </w:rPr>
        <w:t>.</w:t>
      </w:r>
      <w:r w:rsidRPr="00A0600F">
        <w:rPr>
          <w:rFonts w:ascii="Times New Roman" w:hAnsi="Times New Roman" w:cs="Times New Roman"/>
          <w:sz w:val="20"/>
          <w:szCs w:val="20"/>
          <w:lang w:val="en-US"/>
        </w:rPr>
        <w:t xml:space="preserve"> </w:t>
      </w:r>
      <w:r w:rsidR="00605A98" w:rsidRPr="00A0600F">
        <w:rPr>
          <w:rFonts w:ascii="Times New Roman" w:hAnsi="Times New Roman" w:cs="Times New Roman"/>
          <w:sz w:val="20"/>
          <w:szCs w:val="20"/>
          <w:lang w:val="en-US"/>
        </w:rPr>
        <w:t xml:space="preserve">Weighted </w:t>
      </w:r>
      <w:r w:rsidRPr="00A0600F">
        <w:rPr>
          <w:rFonts w:ascii="Times New Roman" w:hAnsi="Times New Roman" w:cs="Times New Roman"/>
          <w:sz w:val="20"/>
          <w:szCs w:val="20"/>
          <w:lang w:val="en-US"/>
        </w:rPr>
        <w:t>values and heterogeneity (I</w:t>
      </w:r>
      <w:r w:rsidRPr="00A0600F">
        <w:rPr>
          <w:rFonts w:ascii="Times New Roman" w:hAnsi="Times New Roman" w:cs="Times New Roman"/>
          <w:sz w:val="20"/>
          <w:szCs w:val="20"/>
          <w:vertAlign w:val="superscript"/>
          <w:lang w:val="en-US"/>
        </w:rPr>
        <w:t>2</w:t>
      </w:r>
      <w:r w:rsidRPr="00A0600F">
        <w:rPr>
          <w:rFonts w:ascii="Times New Roman" w:hAnsi="Times New Roman" w:cs="Times New Roman"/>
          <w:sz w:val="20"/>
          <w:szCs w:val="20"/>
          <w:lang w:val="en-US"/>
        </w:rPr>
        <w:t xml:space="preserve">) derived from meta-analysis of each single center values through the DerSimonian-Laird estimator. </w:t>
      </w:r>
      <w:r w:rsidR="00215F7E" w:rsidRPr="00A0600F">
        <w:rPr>
          <w:rFonts w:ascii="Times New Roman" w:hAnsi="Times New Roman" w:cs="Times New Roman"/>
          <w:sz w:val="20"/>
          <w:szCs w:val="20"/>
          <w:lang w:val="en-US"/>
        </w:rPr>
        <w:t xml:space="preserve">Detailed data stratified by participating center are provided in the </w:t>
      </w:r>
      <w:r w:rsidR="00215F7E" w:rsidRPr="00A0600F">
        <w:rPr>
          <w:rFonts w:ascii="Times New Roman" w:hAnsi="Times New Roman" w:cs="Times New Roman"/>
          <w:i/>
          <w:iCs/>
          <w:sz w:val="20"/>
          <w:szCs w:val="20"/>
          <w:u w:val="single"/>
          <w:lang w:val="en-US"/>
        </w:rPr>
        <w:t>Supplementary Table 1</w:t>
      </w:r>
      <w:r w:rsidR="00215F7E" w:rsidRPr="00A0600F">
        <w:rPr>
          <w:rFonts w:ascii="Times New Roman" w:hAnsi="Times New Roman" w:cs="Times New Roman"/>
          <w:sz w:val="20"/>
          <w:szCs w:val="20"/>
          <w:lang w:val="en-US"/>
        </w:rPr>
        <w:t>.</w:t>
      </w:r>
    </w:p>
    <w:p w14:paraId="06BF1089" w14:textId="20DD30DD" w:rsidR="00BE3BEA" w:rsidRPr="00A0600F" w:rsidRDefault="00BE3BEA" w:rsidP="00BE3BEA">
      <w:pPr>
        <w:spacing w:after="120" w:line="240" w:lineRule="auto"/>
        <w:jc w:val="both"/>
        <w:rPr>
          <w:rFonts w:ascii="Times New Roman" w:hAnsi="Times New Roman" w:cs="Times New Roman"/>
          <w:sz w:val="20"/>
          <w:szCs w:val="20"/>
          <w:lang w:val="en-US"/>
        </w:rPr>
      </w:pPr>
      <w:r w:rsidRPr="00A0600F">
        <w:rPr>
          <w:rFonts w:ascii="Times New Roman" w:hAnsi="Times New Roman" w:cs="Times New Roman"/>
          <w:sz w:val="20"/>
          <w:szCs w:val="20"/>
          <w:lang w:val="en-US"/>
        </w:rPr>
        <w:t>I</w:t>
      </w:r>
      <w:r w:rsidRPr="00A0600F">
        <w:rPr>
          <w:rFonts w:ascii="Times New Roman" w:hAnsi="Times New Roman" w:cs="Times New Roman"/>
          <w:sz w:val="20"/>
          <w:szCs w:val="20"/>
          <w:vertAlign w:val="superscript"/>
          <w:lang w:val="en-US"/>
        </w:rPr>
        <w:t>2</w:t>
      </w:r>
      <w:r w:rsidRPr="00A0600F">
        <w:rPr>
          <w:rFonts w:ascii="Times New Roman" w:hAnsi="Times New Roman" w:cs="Times New Roman"/>
          <w:sz w:val="20"/>
          <w:szCs w:val="20"/>
          <w:lang w:val="en-US"/>
        </w:rPr>
        <w:t xml:space="preserve"> statistic can be interpreted as follows: values of &lt;25% =low heterogeneity; 25% - 50% = medium, 51% - 75% = substantial and &gt;75% = considerable heterogeneity.</w:t>
      </w:r>
    </w:p>
    <w:p w14:paraId="60A86138" w14:textId="00C23164" w:rsidR="00110446" w:rsidRPr="00A0600F" w:rsidRDefault="00110446" w:rsidP="00BE3BEA">
      <w:pPr>
        <w:spacing w:after="120" w:line="240" w:lineRule="auto"/>
        <w:jc w:val="both"/>
        <w:rPr>
          <w:rFonts w:ascii="Times New Roman" w:eastAsia="Times New Roman" w:hAnsi="Times New Roman" w:cs="Times New Roman"/>
          <w:sz w:val="20"/>
          <w:szCs w:val="20"/>
          <w:lang w:val="en-US" w:eastAsia="it-IT"/>
        </w:rPr>
      </w:pPr>
      <w:r w:rsidRPr="00A0600F">
        <w:rPr>
          <w:rFonts w:ascii="Times New Roman" w:hAnsi="Times New Roman" w:cs="Times New Roman"/>
          <w:sz w:val="20"/>
          <w:szCs w:val="20"/>
          <w:lang w:val="en-US"/>
        </w:rPr>
        <w:t>Abbreviations: HCV = hepatitis C virus, DEB = drug-eluting beads; CT = computed tomography, ECOG = Eastern Cooperative Oncology Group; PS = performance status, MELD = model for end-stage liver disease; ALBI = albumin-bilirubin.</w:t>
      </w:r>
    </w:p>
    <w:p w14:paraId="5CD9BEB8" w14:textId="5615A861" w:rsidR="00282F76" w:rsidRPr="00A0600F" w:rsidRDefault="00282F76">
      <w:pPr>
        <w:rPr>
          <w:rFonts w:ascii="Times New Roman" w:eastAsia="Times New Roman" w:hAnsi="Times New Roman" w:cs="Times New Roman"/>
          <w:sz w:val="24"/>
          <w:szCs w:val="24"/>
          <w:lang w:val="en-US"/>
        </w:rPr>
      </w:pPr>
      <w:r w:rsidRPr="00A0600F">
        <w:rPr>
          <w:rFonts w:ascii="Times New Roman" w:eastAsia="Times New Roman" w:hAnsi="Times New Roman" w:cs="Times New Roman"/>
          <w:sz w:val="24"/>
          <w:szCs w:val="24"/>
          <w:lang w:val="en-US"/>
        </w:rPr>
        <w:br w:type="page"/>
      </w:r>
    </w:p>
    <w:p w14:paraId="1CD63720" w14:textId="6C14C8F9" w:rsidR="00282F76" w:rsidRPr="00A0600F" w:rsidRDefault="00282F76" w:rsidP="00282F76">
      <w:pPr>
        <w:rPr>
          <w:rFonts w:ascii="Times New Roman" w:hAnsi="Times New Roman" w:cs="Times New Roman"/>
          <w:sz w:val="24"/>
          <w:szCs w:val="24"/>
          <w:lang w:val="en-US"/>
        </w:rPr>
      </w:pPr>
      <w:r w:rsidRPr="00A0600F">
        <w:rPr>
          <w:rFonts w:ascii="Times New Roman" w:hAnsi="Times New Roman" w:cs="Times New Roman"/>
          <w:b/>
          <w:bCs/>
          <w:sz w:val="24"/>
          <w:szCs w:val="24"/>
          <w:lang w:val="en-US"/>
        </w:rPr>
        <w:lastRenderedPageBreak/>
        <w:t>Table 2.</w:t>
      </w:r>
      <w:r w:rsidRPr="00A0600F">
        <w:rPr>
          <w:rFonts w:ascii="Times New Roman" w:hAnsi="Times New Roman" w:cs="Times New Roman"/>
          <w:sz w:val="24"/>
          <w:szCs w:val="24"/>
          <w:lang w:val="en-US"/>
        </w:rPr>
        <w:t xml:space="preserve"> Complications after TACE</w:t>
      </w:r>
      <w:r w:rsidR="00CB2168" w:rsidRPr="00A0600F">
        <w:rPr>
          <w:rFonts w:ascii="Times New Roman" w:hAnsi="Times New Roman" w:cs="Times New Roman"/>
          <w:sz w:val="24"/>
          <w:szCs w:val="24"/>
          <w:lang w:val="en-US"/>
        </w:rPr>
        <w:t xml:space="preserve"> in the study population of 1124 HCC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2834"/>
        <w:gridCol w:w="1984"/>
      </w:tblGrid>
      <w:tr w:rsidR="00282F76" w:rsidRPr="00A0600F" w14:paraId="3FCC32DE" w14:textId="77777777" w:rsidTr="007B3BD1">
        <w:tc>
          <w:tcPr>
            <w:tcW w:w="1471" w:type="pct"/>
            <w:tcBorders>
              <w:top w:val="single" w:sz="12" w:space="0" w:color="auto"/>
              <w:bottom w:val="single" w:sz="12" w:space="0" w:color="auto"/>
            </w:tcBorders>
          </w:tcPr>
          <w:p w14:paraId="610D7946" w14:textId="77777777" w:rsidR="00282F76" w:rsidRPr="00A0600F" w:rsidRDefault="00282F76" w:rsidP="007B3BD1">
            <w:pPr>
              <w:spacing w:before="120" w:after="120"/>
              <w:rPr>
                <w:rFonts w:ascii="Times New Roman" w:hAnsi="Times New Roman" w:cs="Times New Roman"/>
                <w:b/>
                <w:bCs/>
                <w:lang w:val="en-US"/>
              </w:rPr>
            </w:pPr>
            <w:r w:rsidRPr="00A0600F">
              <w:rPr>
                <w:rFonts w:ascii="Times New Roman" w:hAnsi="Times New Roman" w:cs="Times New Roman"/>
                <w:b/>
                <w:bCs/>
                <w:lang w:val="en-US"/>
              </w:rPr>
              <w:t>Characteristic</w:t>
            </w:r>
          </w:p>
        </w:tc>
        <w:tc>
          <w:tcPr>
            <w:tcW w:w="1030" w:type="pct"/>
            <w:tcBorders>
              <w:top w:val="single" w:sz="12" w:space="0" w:color="auto"/>
              <w:bottom w:val="single" w:sz="12" w:space="0" w:color="auto"/>
            </w:tcBorders>
          </w:tcPr>
          <w:p w14:paraId="5CF26A8A" w14:textId="77777777" w:rsidR="00282F76" w:rsidRPr="00A0600F" w:rsidRDefault="00282F76"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Unweighted values</w:t>
            </w:r>
          </w:p>
        </w:tc>
        <w:tc>
          <w:tcPr>
            <w:tcW w:w="1470" w:type="pct"/>
            <w:tcBorders>
              <w:top w:val="single" w:sz="12" w:space="0" w:color="auto"/>
              <w:bottom w:val="single" w:sz="12" w:space="0" w:color="auto"/>
            </w:tcBorders>
          </w:tcPr>
          <w:p w14:paraId="5AEE107D" w14:textId="77777777" w:rsidR="00282F76" w:rsidRPr="00A0600F" w:rsidRDefault="00282F76"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Weighted values (95%C.I.)</w:t>
            </w:r>
          </w:p>
        </w:tc>
        <w:tc>
          <w:tcPr>
            <w:tcW w:w="1029" w:type="pct"/>
            <w:tcBorders>
              <w:top w:val="single" w:sz="12" w:space="0" w:color="auto"/>
              <w:bottom w:val="single" w:sz="12" w:space="0" w:color="auto"/>
            </w:tcBorders>
          </w:tcPr>
          <w:p w14:paraId="79FB7BE0" w14:textId="77777777" w:rsidR="00282F76" w:rsidRPr="00A0600F" w:rsidRDefault="00282F76"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Heterogeneity (</w:t>
            </w:r>
            <w:r w:rsidRPr="00A0600F">
              <w:rPr>
                <w:rFonts w:ascii="Times New Roman" w:hAnsi="Times New Roman" w:cs="Times New Roman"/>
                <w:b/>
                <w:bCs/>
                <w:sz w:val="20"/>
                <w:szCs w:val="20"/>
                <w:lang w:val="en-US"/>
              </w:rPr>
              <w:t>I</w:t>
            </w:r>
            <w:r w:rsidRPr="00A0600F">
              <w:rPr>
                <w:rFonts w:ascii="Times New Roman" w:hAnsi="Times New Roman" w:cs="Times New Roman"/>
                <w:b/>
                <w:bCs/>
                <w:sz w:val="20"/>
                <w:szCs w:val="20"/>
                <w:vertAlign w:val="superscript"/>
                <w:lang w:val="en-US"/>
              </w:rPr>
              <w:t>2</w:t>
            </w:r>
            <w:r w:rsidRPr="00A0600F">
              <w:rPr>
                <w:rFonts w:ascii="Times New Roman" w:hAnsi="Times New Roman" w:cs="Times New Roman"/>
                <w:b/>
                <w:bCs/>
                <w:sz w:val="20"/>
                <w:szCs w:val="20"/>
                <w:lang w:val="en-US"/>
              </w:rPr>
              <w:t>)</w:t>
            </w:r>
          </w:p>
        </w:tc>
      </w:tr>
      <w:tr w:rsidR="00282F76" w:rsidRPr="00A0600F" w14:paraId="24617A17" w14:textId="77777777" w:rsidTr="007B3BD1">
        <w:tc>
          <w:tcPr>
            <w:tcW w:w="1471" w:type="pct"/>
            <w:tcBorders>
              <w:top w:val="single" w:sz="12" w:space="0" w:color="auto"/>
            </w:tcBorders>
          </w:tcPr>
          <w:p w14:paraId="17C8371B" w14:textId="30E8D487" w:rsidR="00282F76" w:rsidRPr="00A0600F" w:rsidRDefault="00282F76" w:rsidP="007B3BD1">
            <w:pPr>
              <w:spacing w:before="120" w:after="60"/>
              <w:rPr>
                <w:rFonts w:ascii="Times New Roman" w:hAnsi="Times New Roman" w:cs="Times New Roman"/>
                <w:lang w:val="en-US"/>
              </w:rPr>
            </w:pPr>
            <w:r w:rsidRPr="00A0600F">
              <w:rPr>
                <w:rFonts w:ascii="Times New Roman" w:hAnsi="Times New Roman" w:cs="Times New Roman"/>
                <w:lang w:val="en-US"/>
              </w:rPr>
              <w:t>Post-procedural death</w:t>
            </w:r>
          </w:p>
        </w:tc>
        <w:tc>
          <w:tcPr>
            <w:tcW w:w="1030" w:type="pct"/>
            <w:tcBorders>
              <w:top w:val="single" w:sz="12" w:space="0" w:color="auto"/>
            </w:tcBorders>
          </w:tcPr>
          <w:p w14:paraId="76F6D315" w14:textId="5F5A07E0" w:rsidR="00282F76" w:rsidRPr="00A0600F" w:rsidRDefault="00CB2168" w:rsidP="007B3BD1">
            <w:pPr>
              <w:spacing w:before="120" w:after="60"/>
              <w:jc w:val="center"/>
              <w:rPr>
                <w:rFonts w:ascii="Times New Roman" w:hAnsi="Times New Roman" w:cs="Times New Roman"/>
                <w:lang w:val="en-US"/>
              </w:rPr>
            </w:pPr>
            <w:r w:rsidRPr="00A0600F">
              <w:rPr>
                <w:rFonts w:ascii="Times New Roman" w:hAnsi="Times New Roman" w:cs="Times New Roman"/>
                <w:lang w:val="en-US"/>
              </w:rPr>
              <w:t xml:space="preserve">21 </w:t>
            </w:r>
            <w:r w:rsidR="003973F3" w:rsidRPr="00A0600F">
              <w:rPr>
                <w:rFonts w:ascii="Times New Roman" w:hAnsi="Times New Roman" w:cs="Times New Roman"/>
                <w:lang w:val="en-US"/>
              </w:rPr>
              <w:t>(</w:t>
            </w:r>
            <w:r w:rsidRPr="00A0600F">
              <w:rPr>
                <w:rFonts w:ascii="Times New Roman" w:hAnsi="Times New Roman" w:cs="Times New Roman"/>
                <w:lang w:val="en-US"/>
              </w:rPr>
              <w:t>1</w:t>
            </w:r>
            <w:r w:rsidR="003973F3" w:rsidRPr="00A0600F">
              <w:rPr>
                <w:rFonts w:ascii="Times New Roman" w:hAnsi="Times New Roman" w:cs="Times New Roman"/>
                <w:lang w:val="en-US"/>
              </w:rPr>
              <w:t>.</w:t>
            </w:r>
            <w:r w:rsidRPr="00A0600F">
              <w:rPr>
                <w:rFonts w:ascii="Times New Roman" w:hAnsi="Times New Roman" w:cs="Times New Roman"/>
                <w:lang w:val="en-US"/>
              </w:rPr>
              <w:t>9</w:t>
            </w:r>
            <w:r w:rsidR="003973F3" w:rsidRPr="00A0600F">
              <w:rPr>
                <w:rFonts w:ascii="Times New Roman" w:hAnsi="Times New Roman" w:cs="Times New Roman"/>
                <w:lang w:val="en-US"/>
              </w:rPr>
              <w:t>%)</w:t>
            </w:r>
          </w:p>
        </w:tc>
        <w:tc>
          <w:tcPr>
            <w:tcW w:w="1470" w:type="pct"/>
            <w:tcBorders>
              <w:top w:val="single" w:sz="12" w:space="0" w:color="auto"/>
            </w:tcBorders>
          </w:tcPr>
          <w:p w14:paraId="760CC962" w14:textId="0F9F004C" w:rsidR="00282F76" w:rsidRPr="00A0600F" w:rsidRDefault="00B70391" w:rsidP="007B3BD1">
            <w:pPr>
              <w:spacing w:before="120" w:after="60"/>
              <w:jc w:val="center"/>
              <w:rPr>
                <w:rFonts w:ascii="Times New Roman" w:hAnsi="Times New Roman" w:cs="Times New Roman"/>
                <w:lang w:val="en-US"/>
              </w:rPr>
            </w:pPr>
            <w:r w:rsidRPr="00A0600F">
              <w:rPr>
                <w:rFonts w:ascii="Times New Roman" w:hAnsi="Times New Roman" w:cs="Times New Roman"/>
                <w:lang w:val="en-US"/>
              </w:rPr>
              <w:t>2.4% (1.</w:t>
            </w:r>
            <w:r w:rsidR="001D4DDF" w:rsidRPr="00A0600F">
              <w:rPr>
                <w:rFonts w:ascii="Times New Roman" w:hAnsi="Times New Roman" w:cs="Times New Roman"/>
                <w:lang w:val="en-US"/>
              </w:rPr>
              <w:t>5</w:t>
            </w:r>
            <w:r w:rsidRPr="00A0600F">
              <w:rPr>
                <w:rFonts w:ascii="Times New Roman" w:hAnsi="Times New Roman" w:cs="Times New Roman"/>
                <w:lang w:val="en-US"/>
              </w:rPr>
              <w:t xml:space="preserve"> – 3.</w:t>
            </w:r>
            <w:r w:rsidR="001D4DDF" w:rsidRPr="00A0600F">
              <w:rPr>
                <w:rFonts w:ascii="Times New Roman" w:hAnsi="Times New Roman" w:cs="Times New Roman"/>
                <w:lang w:val="en-US"/>
              </w:rPr>
              <w:t>4</w:t>
            </w:r>
            <w:r w:rsidRPr="00A0600F">
              <w:rPr>
                <w:rFonts w:ascii="Times New Roman" w:hAnsi="Times New Roman" w:cs="Times New Roman"/>
                <w:lang w:val="en-US"/>
              </w:rPr>
              <w:t>)</w:t>
            </w:r>
          </w:p>
        </w:tc>
        <w:tc>
          <w:tcPr>
            <w:tcW w:w="1029" w:type="pct"/>
            <w:tcBorders>
              <w:top w:val="single" w:sz="12" w:space="0" w:color="auto"/>
            </w:tcBorders>
          </w:tcPr>
          <w:p w14:paraId="63969F13" w14:textId="089739C7" w:rsidR="00282F76" w:rsidRPr="00A0600F" w:rsidRDefault="00B70391" w:rsidP="007B3BD1">
            <w:pPr>
              <w:spacing w:before="120"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4A5CA67A" w14:textId="77777777" w:rsidTr="007B3BD1">
        <w:tc>
          <w:tcPr>
            <w:tcW w:w="1471" w:type="pct"/>
          </w:tcPr>
          <w:p w14:paraId="4A958432" w14:textId="410AB42F" w:rsidR="00282F76" w:rsidRPr="00A0600F" w:rsidRDefault="00282F76" w:rsidP="007B3BD1">
            <w:pPr>
              <w:spacing w:after="60"/>
              <w:rPr>
                <w:rFonts w:ascii="Times New Roman" w:hAnsi="Times New Roman" w:cs="Times New Roman"/>
                <w:lang w:val="en-US"/>
              </w:rPr>
            </w:pPr>
            <w:r w:rsidRPr="00A0600F">
              <w:rPr>
                <w:rFonts w:ascii="Times New Roman" w:hAnsi="Times New Roman" w:cs="Times New Roman"/>
                <w:lang w:val="en-US"/>
              </w:rPr>
              <w:t>Any complication</w:t>
            </w:r>
          </w:p>
        </w:tc>
        <w:tc>
          <w:tcPr>
            <w:tcW w:w="1030" w:type="pct"/>
          </w:tcPr>
          <w:p w14:paraId="64FD42B6" w14:textId="7DE02920" w:rsidR="00282F76" w:rsidRPr="00A0600F" w:rsidRDefault="006D06B8" w:rsidP="007B3BD1">
            <w:pPr>
              <w:spacing w:after="60"/>
              <w:jc w:val="center"/>
              <w:rPr>
                <w:rFonts w:ascii="Times New Roman" w:hAnsi="Times New Roman" w:cs="Times New Roman"/>
                <w:lang w:val="en-US"/>
              </w:rPr>
            </w:pPr>
            <w:r w:rsidRPr="00A0600F">
              <w:rPr>
                <w:rFonts w:ascii="Times New Roman" w:hAnsi="Times New Roman" w:cs="Times New Roman"/>
                <w:lang w:val="en-US"/>
              </w:rPr>
              <w:t>594</w:t>
            </w:r>
            <w:r w:rsidR="003973F3" w:rsidRPr="00A0600F">
              <w:rPr>
                <w:rFonts w:ascii="Times New Roman" w:hAnsi="Times New Roman" w:cs="Times New Roman"/>
                <w:lang w:val="en-US"/>
              </w:rPr>
              <w:t xml:space="preserve"> (5</w:t>
            </w:r>
            <w:r w:rsidRPr="00A0600F">
              <w:rPr>
                <w:rFonts w:ascii="Times New Roman" w:hAnsi="Times New Roman" w:cs="Times New Roman"/>
                <w:lang w:val="en-US"/>
              </w:rPr>
              <w:t>2</w:t>
            </w:r>
            <w:r w:rsidR="003973F3" w:rsidRPr="00A0600F">
              <w:rPr>
                <w:rFonts w:ascii="Times New Roman" w:hAnsi="Times New Roman" w:cs="Times New Roman"/>
                <w:lang w:val="en-US"/>
              </w:rPr>
              <w:t>.</w:t>
            </w:r>
            <w:r w:rsidRPr="00A0600F">
              <w:rPr>
                <w:rFonts w:ascii="Times New Roman" w:hAnsi="Times New Roman" w:cs="Times New Roman"/>
                <w:lang w:val="en-US"/>
              </w:rPr>
              <w:t>9</w:t>
            </w:r>
            <w:r w:rsidR="003973F3" w:rsidRPr="00A0600F">
              <w:rPr>
                <w:rFonts w:ascii="Times New Roman" w:hAnsi="Times New Roman" w:cs="Times New Roman"/>
                <w:lang w:val="en-US"/>
              </w:rPr>
              <w:t>%)</w:t>
            </w:r>
          </w:p>
        </w:tc>
        <w:tc>
          <w:tcPr>
            <w:tcW w:w="1470" w:type="pct"/>
          </w:tcPr>
          <w:p w14:paraId="62F52412" w14:textId="394E2FB4" w:rsidR="00282F76" w:rsidRPr="00A0600F" w:rsidRDefault="005D00D2" w:rsidP="007B3BD1">
            <w:pPr>
              <w:spacing w:after="60"/>
              <w:jc w:val="center"/>
              <w:rPr>
                <w:rFonts w:ascii="Times New Roman" w:hAnsi="Times New Roman" w:cs="Times New Roman"/>
                <w:lang w:val="en-US"/>
              </w:rPr>
            </w:pPr>
            <w:r w:rsidRPr="00A0600F">
              <w:rPr>
                <w:rFonts w:ascii="Times New Roman" w:hAnsi="Times New Roman" w:cs="Times New Roman"/>
                <w:lang w:val="en-US"/>
              </w:rPr>
              <w:t>50.0% (36.1 – 63.9)</w:t>
            </w:r>
          </w:p>
        </w:tc>
        <w:tc>
          <w:tcPr>
            <w:tcW w:w="1029" w:type="pct"/>
          </w:tcPr>
          <w:p w14:paraId="7175AC37" w14:textId="42B6CC48" w:rsidR="00282F76" w:rsidRPr="00A0600F" w:rsidRDefault="005D00D2" w:rsidP="007B3BD1">
            <w:pPr>
              <w:spacing w:after="60"/>
              <w:jc w:val="center"/>
              <w:rPr>
                <w:rFonts w:ascii="Times New Roman" w:hAnsi="Times New Roman" w:cs="Times New Roman"/>
                <w:lang w:val="en-US"/>
              </w:rPr>
            </w:pPr>
            <w:r w:rsidRPr="00A0600F">
              <w:rPr>
                <w:rFonts w:ascii="Times New Roman" w:hAnsi="Times New Roman" w:cs="Times New Roman"/>
                <w:lang w:val="en-US"/>
              </w:rPr>
              <w:t>94.4%</w:t>
            </w:r>
          </w:p>
        </w:tc>
      </w:tr>
      <w:tr w:rsidR="00282F76" w:rsidRPr="00A0600F" w14:paraId="67D21A1F" w14:textId="77777777" w:rsidTr="007B3BD1">
        <w:tc>
          <w:tcPr>
            <w:tcW w:w="1471" w:type="pct"/>
          </w:tcPr>
          <w:p w14:paraId="5F6B70C2" w14:textId="44232F41" w:rsidR="00282F76" w:rsidRPr="00A0600F" w:rsidRDefault="00282F76" w:rsidP="007B3BD1">
            <w:pPr>
              <w:spacing w:after="60"/>
              <w:rPr>
                <w:rFonts w:ascii="Times New Roman" w:hAnsi="Times New Roman" w:cs="Times New Roman"/>
                <w:lang w:val="en-US"/>
              </w:rPr>
            </w:pPr>
            <w:r w:rsidRPr="00A0600F">
              <w:rPr>
                <w:rFonts w:ascii="Times New Roman" w:hAnsi="Times New Roman" w:cs="Times New Roman"/>
                <w:lang w:val="en-US"/>
              </w:rPr>
              <w:t>Post-embolization syndrome</w:t>
            </w:r>
          </w:p>
        </w:tc>
        <w:tc>
          <w:tcPr>
            <w:tcW w:w="1030" w:type="pct"/>
          </w:tcPr>
          <w:p w14:paraId="37D1A588" w14:textId="07BB256C" w:rsidR="00282F76" w:rsidRPr="00A0600F" w:rsidRDefault="00282F76" w:rsidP="007B3BD1">
            <w:pPr>
              <w:spacing w:after="60"/>
              <w:jc w:val="center"/>
              <w:rPr>
                <w:rFonts w:ascii="Times New Roman" w:hAnsi="Times New Roman" w:cs="Times New Roman"/>
                <w:lang w:val="en-US"/>
              </w:rPr>
            </w:pPr>
          </w:p>
        </w:tc>
        <w:tc>
          <w:tcPr>
            <w:tcW w:w="1470" w:type="pct"/>
          </w:tcPr>
          <w:p w14:paraId="00C83132" w14:textId="62C3AC70" w:rsidR="00282F76" w:rsidRPr="00A0600F" w:rsidRDefault="00282F76" w:rsidP="007B3BD1">
            <w:pPr>
              <w:spacing w:after="60"/>
              <w:jc w:val="center"/>
              <w:rPr>
                <w:rFonts w:ascii="Times New Roman" w:hAnsi="Times New Roman" w:cs="Times New Roman"/>
                <w:lang w:val="en-US"/>
              </w:rPr>
            </w:pPr>
          </w:p>
        </w:tc>
        <w:tc>
          <w:tcPr>
            <w:tcW w:w="1029" w:type="pct"/>
          </w:tcPr>
          <w:p w14:paraId="1B13F607" w14:textId="452CCD10" w:rsidR="00282F76" w:rsidRPr="00A0600F" w:rsidRDefault="00282F76" w:rsidP="007B3BD1">
            <w:pPr>
              <w:spacing w:after="60"/>
              <w:jc w:val="center"/>
              <w:rPr>
                <w:rFonts w:ascii="Times New Roman" w:hAnsi="Times New Roman" w:cs="Times New Roman"/>
                <w:lang w:val="en-US"/>
              </w:rPr>
            </w:pPr>
          </w:p>
        </w:tc>
      </w:tr>
      <w:tr w:rsidR="00282F76" w:rsidRPr="00A0600F" w14:paraId="7BCB47E8" w14:textId="77777777" w:rsidTr="007B3BD1">
        <w:tc>
          <w:tcPr>
            <w:tcW w:w="1471" w:type="pct"/>
          </w:tcPr>
          <w:p w14:paraId="024109B8" w14:textId="66275230"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141E8999" w14:textId="0747986D" w:rsidR="00282F76" w:rsidRPr="00A0600F" w:rsidRDefault="006D06B8" w:rsidP="007B3BD1">
            <w:pPr>
              <w:spacing w:after="60"/>
              <w:jc w:val="center"/>
              <w:rPr>
                <w:rFonts w:ascii="Times New Roman" w:hAnsi="Times New Roman" w:cs="Times New Roman"/>
                <w:lang w:val="en-US"/>
              </w:rPr>
            </w:pPr>
            <w:r w:rsidRPr="00A0600F">
              <w:rPr>
                <w:rFonts w:ascii="Times New Roman" w:hAnsi="Times New Roman" w:cs="Times New Roman"/>
                <w:lang w:val="en-US"/>
              </w:rPr>
              <w:t>301 (26.8%)</w:t>
            </w:r>
          </w:p>
        </w:tc>
        <w:tc>
          <w:tcPr>
            <w:tcW w:w="1470" w:type="pct"/>
          </w:tcPr>
          <w:p w14:paraId="72917D6F" w14:textId="0EC6FBEC" w:rsidR="00282F76" w:rsidRPr="00A0600F" w:rsidRDefault="005D00D2" w:rsidP="007B3BD1">
            <w:pPr>
              <w:spacing w:after="60"/>
              <w:jc w:val="center"/>
              <w:rPr>
                <w:rFonts w:ascii="Times New Roman" w:hAnsi="Times New Roman" w:cs="Times New Roman"/>
                <w:lang w:val="en-US"/>
              </w:rPr>
            </w:pPr>
            <w:r w:rsidRPr="00A0600F">
              <w:rPr>
                <w:rFonts w:ascii="Times New Roman" w:hAnsi="Times New Roman" w:cs="Times New Roman"/>
                <w:lang w:val="en-US"/>
              </w:rPr>
              <w:t>24.7% (14.4 – 39.0)</w:t>
            </w:r>
          </w:p>
        </w:tc>
        <w:tc>
          <w:tcPr>
            <w:tcW w:w="1029" w:type="pct"/>
          </w:tcPr>
          <w:p w14:paraId="52860DC6" w14:textId="7850CD69" w:rsidR="00282F76" w:rsidRPr="00A0600F" w:rsidRDefault="005D00D2" w:rsidP="007B3BD1">
            <w:pPr>
              <w:spacing w:after="60"/>
              <w:jc w:val="center"/>
              <w:rPr>
                <w:rFonts w:ascii="Times New Roman" w:hAnsi="Times New Roman" w:cs="Times New Roman"/>
                <w:lang w:val="en-US"/>
              </w:rPr>
            </w:pPr>
            <w:r w:rsidRPr="00A0600F">
              <w:rPr>
                <w:rFonts w:ascii="Times New Roman" w:hAnsi="Times New Roman" w:cs="Times New Roman"/>
                <w:lang w:val="en-US"/>
              </w:rPr>
              <w:t>94.6%</w:t>
            </w:r>
          </w:p>
        </w:tc>
      </w:tr>
      <w:tr w:rsidR="00282F76" w:rsidRPr="00A0600F" w14:paraId="6A3F9FF8" w14:textId="77777777" w:rsidTr="007B3BD1">
        <w:tc>
          <w:tcPr>
            <w:tcW w:w="1471" w:type="pct"/>
          </w:tcPr>
          <w:p w14:paraId="40928D76" w14:textId="47F0861F"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5149BD36" w14:textId="743BEA69" w:rsidR="00282F76" w:rsidRPr="00A0600F" w:rsidRDefault="006D06B8" w:rsidP="007B3BD1">
            <w:pPr>
              <w:spacing w:after="60"/>
              <w:jc w:val="center"/>
              <w:rPr>
                <w:rFonts w:ascii="Times New Roman" w:hAnsi="Times New Roman" w:cs="Times New Roman"/>
                <w:lang w:val="en-US"/>
              </w:rPr>
            </w:pPr>
            <w:r w:rsidRPr="00A0600F">
              <w:rPr>
                <w:rFonts w:ascii="Times New Roman" w:hAnsi="Times New Roman" w:cs="Times New Roman"/>
                <w:lang w:val="en-US"/>
              </w:rPr>
              <w:t>98 (8.7%)</w:t>
            </w:r>
          </w:p>
        </w:tc>
        <w:tc>
          <w:tcPr>
            <w:tcW w:w="1470" w:type="pct"/>
          </w:tcPr>
          <w:p w14:paraId="14EC9630" w14:textId="611FA8FE" w:rsidR="00282F76" w:rsidRPr="00A0600F" w:rsidRDefault="005D00D2" w:rsidP="007B3BD1">
            <w:pPr>
              <w:spacing w:after="60"/>
              <w:jc w:val="center"/>
              <w:rPr>
                <w:rFonts w:ascii="Times New Roman" w:hAnsi="Times New Roman" w:cs="Times New Roman"/>
                <w:lang w:val="en-US"/>
              </w:rPr>
            </w:pPr>
            <w:r w:rsidRPr="00A0600F">
              <w:rPr>
                <w:rFonts w:ascii="Times New Roman" w:hAnsi="Times New Roman" w:cs="Times New Roman"/>
                <w:lang w:val="en-US"/>
              </w:rPr>
              <w:t>7.2% (3.9 – 12.9)</w:t>
            </w:r>
          </w:p>
        </w:tc>
        <w:tc>
          <w:tcPr>
            <w:tcW w:w="1029" w:type="pct"/>
          </w:tcPr>
          <w:p w14:paraId="534A738C" w14:textId="4169B054" w:rsidR="00282F76" w:rsidRPr="00A0600F" w:rsidRDefault="005D00D2" w:rsidP="007B3BD1">
            <w:pPr>
              <w:spacing w:after="60"/>
              <w:jc w:val="center"/>
              <w:rPr>
                <w:rFonts w:ascii="Times New Roman" w:hAnsi="Times New Roman" w:cs="Times New Roman"/>
                <w:lang w:val="en-US"/>
              </w:rPr>
            </w:pPr>
            <w:r w:rsidRPr="00A0600F">
              <w:rPr>
                <w:rFonts w:ascii="Times New Roman" w:hAnsi="Times New Roman" w:cs="Times New Roman"/>
                <w:lang w:val="en-US"/>
              </w:rPr>
              <w:t>83.7%</w:t>
            </w:r>
          </w:p>
        </w:tc>
      </w:tr>
      <w:tr w:rsidR="003973F3" w:rsidRPr="00A0600F" w14:paraId="03876727" w14:textId="77777777" w:rsidTr="007B3BD1">
        <w:tc>
          <w:tcPr>
            <w:tcW w:w="1471" w:type="pct"/>
          </w:tcPr>
          <w:p w14:paraId="2D4F87DA" w14:textId="77777777" w:rsidR="003973F3" w:rsidRPr="00A0600F" w:rsidRDefault="003973F3" w:rsidP="007B3BD1">
            <w:pPr>
              <w:spacing w:after="60"/>
              <w:rPr>
                <w:rFonts w:ascii="Times New Roman" w:hAnsi="Times New Roman" w:cs="Times New Roman"/>
                <w:lang w:val="en-US"/>
              </w:rPr>
            </w:pPr>
            <w:r w:rsidRPr="00A0600F">
              <w:rPr>
                <w:rFonts w:ascii="Times New Roman" w:hAnsi="Times New Roman" w:cs="Times New Roman"/>
                <w:lang w:val="en-US"/>
              </w:rPr>
              <w:t>Liver dysfunction</w:t>
            </w:r>
          </w:p>
        </w:tc>
        <w:tc>
          <w:tcPr>
            <w:tcW w:w="1030" w:type="pct"/>
          </w:tcPr>
          <w:p w14:paraId="5F1B79A1" w14:textId="77777777" w:rsidR="003973F3" w:rsidRPr="00A0600F" w:rsidRDefault="003973F3" w:rsidP="007B3BD1">
            <w:pPr>
              <w:spacing w:after="60"/>
              <w:jc w:val="center"/>
              <w:rPr>
                <w:rFonts w:ascii="Times New Roman" w:hAnsi="Times New Roman" w:cs="Times New Roman"/>
                <w:lang w:val="en-US"/>
              </w:rPr>
            </w:pPr>
          </w:p>
        </w:tc>
        <w:tc>
          <w:tcPr>
            <w:tcW w:w="1470" w:type="pct"/>
          </w:tcPr>
          <w:p w14:paraId="3C16019C" w14:textId="77777777" w:rsidR="003973F3" w:rsidRPr="00A0600F" w:rsidRDefault="003973F3" w:rsidP="007B3BD1">
            <w:pPr>
              <w:spacing w:after="60"/>
              <w:jc w:val="center"/>
              <w:rPr>
                <w:rFonts w:ascii="Times New Roman" w:hAnsi="Times New Roman" w:cs="Times New Roman"/>
                <w:lang w:val="en-US"/>
              </w:rPr>
            </w:pPr>
          </w:p>
        </w:tc>
        <w:tc>
          <w:tcPr>
            <w:tcW w:w="1029" w:type="pct"/>
          </w:tcPr>
          <w:p w14:paraId="33489BA2" w14:textId="77777777" w:rsidR="003973F3" w:rsidRPr="00A0600F" w:rsidRDefault="003973F3" w:rsidP="007B3BD1">
            <w:pPr>
              <w:spacing w:after="60"/>
              <w:jc w:val="center"/>
              <w:rPr>
                <w:rFonts w:ascii="Times New Roman" w:hAnsi="Times New Roman" w:cs="Times New Roman"/>
                <w:lang w:val="en-US"/>
              </w:rPr>
            </w:pPr>
          </w:p>
        </w:tc>
      </w:tr>
      <w:tr w:rsidR="003973F3" w:rsidRPr="00A0600F" w14:paraId="23CEF66D" w14:textId="77777777" w:rsidTr="007B3BD1">
        <w:tc>
          <w:tcPr>
            <w:tcW w:w="1471" w:type="pct"/>
          </w:tcPr>
          <w:p w14:paraId="7C8CF9B6" w14:textId="77777777" w:rsidR="003973F3" w:rsidRPr="00A0600F" w:rsidRDefault="003973F3" w:rsidP="007B3BD1">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4754C450" w14:textId="77777777" w:rsidR="003973F3" w:rsidRPr="00A0600F" w:rsidRDefault="003973F3" w:rsidP="007B3BD1">
            <w:pPr>
              <w:spacing w:after="60"/>
              <w:jc w:val="center"/>
              <w:rPr>
                <w:rFonts w:ascii="Times New Roman" w:hAnsi="Times New Roman" w:cs="Times New Roman"/>
                <w:lang w:val="en-US"/>
              </w:rPr>
            </w:pPr>
            <w:r w:rsidRPr="00A0600F">
              <w:rPr>
                <w:rFonts w:ascii="Times New Roman" w:hAnsi="Times New Roman" w:cs="Times New Roman"/>
                <w:lang w:val="en-US"/>
              </w:rPr>
              <w:t>237 (21.1%)</w:t>
            </w:r>
          </w:p>
        </w:tc>
        <w:tc>
          <w:tcPr>
            <w:tcW w:w="1470" w:type="pct"/>
          </w:tcPr>
          <w:p w14:paraId="19FBFB05" w14:textId="4A199030" w:rsidR="003973F3" w:rsidRPr="00A0600F" w:rsidRDefault="00D768A2" w:rsidP="007B3BD1">
            <w:pPr>
              <w:spacing w:after="60"/>
              <w:jc w:val="center"/>
              <w:rPr>
                <w:rFonts w:ascii="Times New Roman" w:hAnsi="Times New Roman" w:cs="Times New Roman"/>
                <w:lang w:val="en-US"/>
              </w:rPr>
            </w:pPr>
            <w:r w:rsidRPr="00A0600F">
              <w:rPr>
                <w:rFonts w:ascii="Times New Roman" w:hAnsi="Times New Roman" w:cs="Times New Roman"/>
                <w:lang w:val="en-US"/>
              </w:rPr>
              <w:t>13.2% (6.3 – 25.7)</w:t>
            </w:r>
          </w:p>
        </w:tc>
        <w:tc>
          <w:tcPr>
            <w:tcW w:w="1029" w:type="pct"/>
          </w:tcPr>
          <w:p w14:paraId="72D9AD01" w14:textId="74BF493B" w:rsidR="003973F3" w:rsidRPr="00A0600F" w:rsidRDefault="00D768A2" w:rsidP="007B3BD1">
            <w:pPr>
              <w:spacing w:after="60"/>
              <w:jc w:val="center"/>
              <w:rPr>
                <w:rFonts w:ascii="Times New Roman" w:hAnsi="Times New Roman" w:cs="Times New Roman"/>
                <w:lang w:val="en-US"/>
              </w:rPr>
            </w:pPr>
            <w:r w:rsidRPr="00A0600F">
              <w:rPr>
                <w:rFonts w:ascii="Times New Roman" w:hAnsi="Times New Roman" w:cs="Times New Roman"/>
                <w:lang w:val="en-US"/>
              </w:rPr>
              <w:t>94.4%</w:t>
            </w:r>
          </w:p>
        </w:tc>
      </w:tr>
      <w:tr w:rsidR="003973F3" w:rsidRPr="00A0600F" w14:paraId="131FFF07" w14:textId="77777777" w:rsidTr="007B3BD1">
        <w:tc>
          <w:tcPr>
            <w:tcW w:w="1471" w:type="pct"/>
          </w:tcPr>
          <w:p w14:paraId="55D07F33" w14:textId="77777777" w:rsidR="003973F3" w:rsidRPr="00A0600F" w:rsidRDefault="003973F3" w:rsidP="007B3BD1">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3AACABEF" w14:textId="77777777" w:rsidR="003973F3" w:rsidRPr="00A0600F" w:rsidRDefault="003973F3" w:rsidP="007B3BD1">
            <w:pPr>
              <w:spacing w:after="60"/>
              <w:jc w:val="center"/>
              <w:rPr>
                <w:rFonts w:ascii="Times New Roman" w:hAnsi="Times New Roman" w:cs="Times New Roman"/>
                <w:lang w:val="en-US"/>
              </w:rPr>
            </w:pPr>
            <w:r w:rsidRPr="00A0600F">
              <w:rPr>
                <w:rFonts w:ascii="Times New Roman" w:hAnsi="Times New Roman" w:cs="Times New Roman"/>
                <w:lang w:val="en-US"/>
              </w:rPr>
              <w:t>48 (4.3%)</w:t>
            </w:r>
          </w:p>
        </w:tc>
        <w:tc>
          <w:tcPr>
            <w:tcW w:w="1470" w:type="pct"/>
          </w:tcPr>
          <w:p w14:paraId="0D4CB297" w14:textId="77727DBF" w:rsidR="003973F3" w:rsidRPr="00A0600F" w:rsidRDefault="00D768A2" w:rsidP="007B3BD1">
            <w:pPr>
              <w:spacing w:after="60"/>
              <w:jc w:val="center"/>
              <w:rPr>
                <w:rFonts w:ascii="Times New Roman" w:hAnsi="Times New Roman" w:cs="Times New Roman"/>
                <w:lang w:val="en-US"/>
              </w:rPr>
            </w:pPr>
            <w:r w:rsidRPr="00A0600F">
              <w:rPr>
                <w:rFonts w:ascii="Times New Roman" w:hAnsi="Times New Roman" w:cs="Times New Roman"/>
                <w:lang w:val="en-US"/>
              </w:rPr>
              <w:t>2.6% (1.0 – 7.0)</w:t>
            </w:r>
          </w:p>
        </w:tc>
        <w:tc>
          <w:tcPr>
            <w:tcW w:w="1029" w:type="pct"/>
          </w:tcPr>
          <w:p w14:paraId="526BF843" w14:textId="3C689000" w:rsidR="003973F3" w:rsidRPr="00A0600F" w:rsidRDefault="00D768A2" w:rsidP="007B3BD1">
            <w:pPr>
              <w:spacing w:after="60"/>
              <w:jc w:val="center"/>
              <w:rPr>
                <w:rFonts w:ascii="Times New Roman" w:hAnsi="Times New Roman" w:cs="Times New Roman"/>
                <w:lang w:val="en-US"/>
              </w:rPr>
            </w:pPr>
            <w:r w:rsidRPr="00A0600F">
              <w:rPr>
                <w:rFonts w:ascii="Times New Roman" w:hAnsi="Times New Roman" w:cs="Times New Roman"/>
                <w:lang w:val="en-US"/>
              </w:rPr>
              <w:t>85.3%</w:t>
            </w:r>
          </w:p>
        </w:tc>
      </w:tr>
      <w:tr w:rsidR="003973F3" w:rsidRPr="00A0600F" w14:paraId="75539966" w14:textId="77777777" w:rsidTr="007B3BD1">
        <w:tc>
          <w:tcPr>
            <w:tcW w:w="1471" w:type="pct"/>
          </w:tcPr>
          <w:p w14:paraId="34ED2635" w14:textId="77777777" w:rsidR="003973F3" w:rsidRPr="00A0600F" w:rsidRDefault="003973F3" w:rsidP="007B3BD1">
            <w:pPr>
              <w:spacing w:after="60"/>
              <w:rPr>
                <w:rFonts w:ascii="Times New Roman" w:hAnsi="Times New Roman" w:cs="Times New Roman"/>
                <w:lang w:val="en-US"/>
              </w:rPr>
            </w:pPr>
            <w:r w:rsidRPr="00A0600F">
              <w:rPr>
                <w:rFonts w:ascii="Times New Roman" w:hAnsi="Times New Roman" w:cs="Times New Roman"/>
                <w:lang w:val="en-US"/>
              </w:rPr>
              <w:t>Inguinal hematoma</w:t>
            </w:r>
          </w:p>
        </w:tc>
        <w:tc>
          <w:tcPr>
            <w:tcW w:w="1030" w:type="pct"/>
          </w:tcPr>
          <w:p w14:paraId="08DF8192" w14:textId="77777777" w:rsidR="003973F3" w:rsidRPr="00A0600F" w:rsidRDefault="003973F3" w:rsidP="007B3BD1">
            <w:pPr>
              <w:spacing w:after="60"/>
              <w:jc w:val="center"/>
              <w:rPr>
                <w:rFonts w:ascii="Times New Roman" w:hAnsi="Times New Roman" w:cs="Times New Roman"/>
                <w:lang w:val="en-US"/>
              </w:rPr>
            </w:pPr>
          </w:p>
        </w:tc>
        <w:tc>
          <w:tcPr>
            <w:tcW w:w="1470" w:type="pct"/>
          </w:tcPr>
          <w:p w14:paraId="017A6801" w14:textId="77777777" w:rsidR="003973F3" w:rsidRPr="00A0600F" w:rsidRDefault="003973F3" w:rsidP="007B3BD1">
            <w:pPr>
              <w:spacing w:after="60"/>
              <w:jc w:val="center"/>
              <w:rPr>
                <w:rFonts w:ascii="Times New Roman" w:hAnsi="Times New Roman" w:cs="Times New Roman"/>
                <w:lang w:val="en-US"/>
              </w:rPr>
            </w:pPr>
          </w:p>
        </w:tc>
        <w:tc>
          <w:tcPr>
            <w:tcW w:w="1029" w:type="pct"/>
          </w:tcPr>
          <w:p w14:paraId="4FF4970C" w14:textId="77777777" w:rsidR="003973F3" w:rsidRPr="00A0600F" w:rsidRDefault="003973F3" w:rsidP="007B3BD1">
            <w:pPr>
              <w:spacing w:after="60"/>
              <w:jc w:val="center"/>
              <w:rPr>
                <w:rFonts w:ascii="Times New Roman" w:hAnsi="Times New Roman" w:cs="Times New Roman"/>
                <w:lang w:val="en-US"/>
              </w:rPr>
            </w:pPr>
          </w:p>
        </w:tc>
      </w:tr>
      <w:tr w:rsidR="003973F3" w:rsidRPr="00A0600F" w14:paraId="67F5C7DC" w14:textId="77777777" w:rsidTr="007B3BD1">
        <w:tc>
          <w:tcPr>
            <w:tcW w:w="1471" w:type="pct"/>
          </w:tcPr>
          <w:p w14:paraId="2330D4E5" w14:textId="77777777" w:rsidR="003973F3" w:rsidRPr="00A0600F" w:rsidRDefault="003973F3" w:rsidP="007B3BD1">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23640BF7" w14:textId="77777777" w:rsidR="003973F3" w:rsidRPr="00A0600F" w:rsidRDefault="003973F3" w:rsidP="007B3BD1">
            <w:pPr>
              <w:spacing w:after="60"/>
              <w:jc w:val="center"/>
              <w:rPr>
                <w:rFonts w:ascii="Times New Roman" w:hAnsi="Times New Roman" w:cs="Times New Roman"/>
                <w:lang w:val="en-US"/>
              </w:rPr>
            </w:pPr>
            <w:r w:rsidRPr="00A0600F">
              <w:rPr>
                <w:rFonts w:ascii="Times New Roman" w:hAnsi="Times New Roman" w:cs="Times New Roman"/>
                <w:lang w:val="en-US"/>
              </w:rPr>
              <w:t>22 (2.0%)</w:t>
            </w:r>
          </w:p>
        </w:tc>
        <w:tc>
          <w:tcPr>
            <w:tcW w:w="1470" w:type="pct"/>
          </w:tcPr>
          <w:p w14:paraId="502BD41A" w14:textId="516D9F18"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2.5% (1.7 – 3.8)</w:t>
            </w:r>
          </w:p>
        </w:tc>
        <w:tc>
          <w:tcPr>
            <w:tcW w:w="1029" w:type="pct"/>
          </w:tcPr>
          <w:p w14:paraId="3C74CD53" w14:textId="197283BF"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3973F3" w:rsidRPr="00A0600F" w14:paraId="7FAEFF11" w14:textId="77777777" w:rsidTr="007B3BD1">
        <w:tc>
          <w:tcPr>
            <w:tcW w:w="1471" w:type="pct"/>
          </w:tcPr>
          <w:p w14:paraId="5B01338A" w14:textId="77777777" w:rsidR="003973F3" w:rsidRPr="00A0600F" w:rsidRDefault="003973F3" w:rsidP="007B3BD1">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58230F32" w14:textId="77777777" w:rsidR="003973F3" w:rsidRPr="00A0600F" w:rsidRDefault="003973F3" w:rsidP="007B3BD1">
            <w:pPr>
              <w:spacing w:after="60"/>
              <w:jc w:val="center"/>
              <w:rPr>
                <w:rFonts w:ascii="Times New Roman" w:hAnsi="Times New Roman" w:cs="Times New Roman"/>
                <w:lang w:val="en-US"/>
              </w:rPr>
            </w:pPr>
            <w:r w:rsidRPr="00A0600F">
              <w:rPr>
                <w:rFonts w:ascii="Times New Roman" w:hAnsi="Times New Roman" w:cs="Times New Roman"/>
                <w:lang w:val="en-US"/>
              </w:rPr>
              <w:t>1 (0.1%)</w:t>
            </w:r>
          </w:p>
        </w:tc>
        <w:tc>
          <w:tcPr>
            <w:tcW w:w="1470" w:type="pct"/>
          </w:tcPr>
          <w:p w14:paraId="540AD7BD" w14:textId="3BECC6E9"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0.7% (0.2 – 1.5)</w:t>
            </w:r>
          </w:p>
        </w:tc>
        <w:tc>
          <w:tcPr>
            <w:tcW w:w="1029" w:type="pct"/>
          </w:tcPr>
          <w:p w14:paraId="3F03610D" w14:textId="5035CFDB"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3973F3" w:rsidRPr="00A0600F" w14:paraId="16A1E3C7" w14:textId="77777777" w:rsidTr="007B3BD1">
        <w:tc>
          <w:tcPr>
            <w:tcW w:w="1471" w:type="pct"/>
          </w:tcPr>
          <w:p w14:paraId="608C225F" w14:textId="77777777" w:rsidR="003973F3" w:rsidRPr="00A0600F" w:rsidRDefault="003973F3" w:rsidP="007B3BD1">
            <w:pPr>
              <w:spacing w:after="60"/>
              <w:rPr>
                <w:rFonts w:ascii="Times New Roman" w:hAnsi="Times New Roman" w:cs="Times New Roman"/>
                <w:lang w:val="en-US"/>
              </w:rPr>
            </w:pPr>
            <w:r w:rsidRPr="00A0600F">
              <w:rPr>
                <w:rFonts w:ascii="Times New Roman" w:hAnsi="Times New Roman" w:cs="Times New Roman"/>
                <w:lang w:val="en-US"/>
              </w:rPr>
              <w:t>Acute kidney injury</w:t>
            </w:r>
          </w:p>
        </w:tc>
        <w:tc>
          <w:tcPr>
            <w:tcW w:w="1030" w:type="pct"/>
          </w:tcPr>
          <w:p w14:paraId="7B0F8481" w14:textId="77777777" w:rsidR="003973F3" w:rsidRPr="00A0600F" w:rsidRDefault="003973F3" w:rsidP="007B3BD1">
            <w:pPr>
              <w:spacing w:after="60"/>
              <w:jc w:val="center"/>
              <w:rPr>
                <w:rFonts w:ascii="Times New Roman" w:hAnsi="Times New Roman" w:cs="Times New Roman"/>
                <w:lang w:val="en-US"/>
              </w:rPr>
            </w:pPr>
          </w:p>
        </w:tc>
        <w:tc>
          <w:tcPr>
            <w:tcW w:w="1470" w:type="pct"/>
          </w:tcPr>
          <w:p w14:paraId="1D5B3B95" w14:textId="77777777" w:rsidR="003973F3" w:rsidRPr="00A0600F" w:rsidRDefault="003973F3" w:rsidP="007B3BD1">
            <w:pPr>
              <w:spacing w:after="60"/>
              <w:jc w:val="center"/>
              <w:rPr>
                <w:rFonts w:ascii="Times New Roman" w:hAnsi="Times New Roman" w:cs="Times New Roman"/>
                <w:lang w:val="en-US"/>
              </w:rPr>
            </w:pPr>
          </w:p>
        </w:tc>
        <w:tc>
          <w:tcPr>
            <w:tcW w:w="1029" w:type="pct"/>
          </w:tcPr>
          <w:p w14:paraId="50097A33" w14:textId="77777777" w:rsidR="003973F3" w:rsidRPr="00A0600F" w:rsidRDefault="003973F3" w:rsidP="007B3BD1">
            <w:pPr>
              <w:spacing w:after="60"/>
              <w:jc w:val="center"/>
              <w:rPr>
                <w:rFonts w:ascii="Times New Roman" w:hAnsi="Times New Roman" w:cs="Times New Roman"/>
                <w:lang w:val="en-US"/>
              </w:rPr>
            </w:pPr>
          </w:p>
        </w:tc>
      </w:tr>
      <w:tr w:rsidR="003973F3" w:rsidRPr="00A0600F" w14:paraId="638B74AA" w14:textId="77777777" w:rsidTr="007B3BD1">
        <w:tc>
          <w:tcPr>
            <w:tcW w:w="1471" w:type="pct"/>
          </w:tcPr>
          <w:p w14:paraId="5BABF653" w14:textId="77777777" w:rsidR="003973F3" w:rsidRPr="00A0600F" w:rsidRDefault="003973F3" w:rsidP="007B3BD1">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6F15AE5C" w14:textId="77777777" w:rsidR="003973F3" w:rsidRPr="00A0600F" w:rsidRDefault="003973F3" w:rsidP="007B3BD1">
            <w:pPr>
              <w:spacing w:after="60"/>
              <w:jc w:val="center"/>
              <w:rPr>
                <w:rFonts w:ascii="Times New Roman" w:hAnsi="Times New Roman" w:cs="Times New Roman"/>
                <w:lang w:val="en-US"/>
              </w:rPr>
            </w:pPr>
            <w:r w:rsidRPr="00A0600F">
              <w:rPr>
                <w:rFonts w:ascii="Times New Roman" w:hAnsi="Times New Roman" w:cs="Times New Roman"/>
                <w:lang w:val="en-US"/>
              </w:rPr>
              <w:t>14 (1.3%)</w:t>
            </w:r>
          </w:p>
        </w:tc>
        <w:tc>
          <w:tcPr>
            <w:tcW w:w="1470" w:type="pct"/>
          </w:tcPr>
          <w:p w14:paraId="2DCEE1F4" w14:textId="70C79D8F"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2.0% (1.3 – 3.5)</w:t>
            </w:r>
          </w:p>
        </w:tc>
        <w:tc>
          <w:tcPr>
            <w:tcW w:w="1029" w:type="pct"/>
          </w:tcPr>
          <w:p w14:paraId="74BF2215" w14:textId="5B79BA23"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9.3%</w:t>
            </w:r>
          </w:p>
        </w:tc>
      </w:tr>
      <w:tr w:rsidR="003973F3" w:rsidRPr="00A0600F" w14:paraId="35714AA8" w14:textId="77777777" w:rsidTr="007B3BD1">
        <w:tc>
          <w:tcPr>
            <w:tcW w:w="1471" w:type="pct"/>
          </w:tcPr>
          <w:p w14:paraId="78079378" w14:textId="77777777" w:rsidR="003973F3" w:rsidRPr="00A0600F" w:rsidRDefault="003973F3" w:rsidP="007B3BD1">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55B14A25" w14:textId="77777777" w:rsidR="003973F3" w:rsidRPr="00A0600F" w:rsidRDefault="003973F3" w:rsidP="007B3BD1">
            <w:pPr>
              <w:spacing w:after="60"/>
              <w:jc w:val="center"/>
              <w:rPr>
                <w:rFonts w:ascii="Times New Roman" w:hAnsi="Times New Roman" w:cs="Times New Roman"/>
                <w:lang w:val="en-US"/>
              </w:rPr>
            </w:pPr>
            <w:r w:rsidRPr="00A0600F">
              <w:rPr>
                <w:rFonts w:ascii="Times New Roman" w:hAnsi="Times New Roman" w:cs="Times New Roman"/>
                <w:lang w:val="en-US"/>
              </w:rPr>
              <w:t>2 (0.2%)</w:t>
            </w:r>
          </w:p>
        </w:tc>
        <w:tc>
          <w:tcPr>
            <w:tcW w:w="1470" w:type="pct"/>
          </w:tcPr>
          <w:p w14:paraId="0D76487C" w14:textId="75A8A57F"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0.6% (0.3 – 1.3)</w:t>
            </w:r>
          </w:p>
        </w:tc>
        <w:tc>
          <w:tcPr>
            <w:tcW w:w="1029" w:type="pct"/>
          </w:tcPr>
          <w:p w14:paraId="0DC764C3" w14:textId="14307BED" w:rsidR="003973F3" w:rsidRPr="00A0600F" w:rsidRDefault="00B70391" w:rsidP="007B3BD1">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56085342" w14:textId="77777777" w:rsidTr="007B3BD1">
        <w:tc>
          <w:tcPr>
            <w:tcW w:w="1471" w:type="pct"/>
          </w:tcPr>
          <w:p w14:paraId="25E8CC54" w14:textId="690E47DC" w:rsidR="00282F76" w:rsidRPr="00A0600F" w:rsidRDefault="00282F76" w:rsidP="007B3BD1">
            <w:pPr>
              <w:spacing w:after="60"/>
              <w:rPr>
                <w:rFonts w:ascii="Times New Roman" w:hAnsi="Times New Roman" w:cs="Times New Roman"/>
                <w:lang w:val="en-US"/>
              </w:rPr>
            </w:pPr>
            <w:r w:rsidRPr="00A0600F">
              <w:rPr>
                <w:rFonts w:ascii="Times New Roman" w:hAnsi="Times New Roman" w:cs="Times New Roman"/>
                <w:lang w:val="en-US"/>
              </w:rPr>
              <w:t>Acute cholecystitis</w:t>
            </w:r>
          </w:p>
        </w:tc>
        <w:tc>
          <w:tcPr>
            <w:tcW w:w="1030" w:type="pct"/>
          </w:tcPr>
          <w:p w14:paraId="6EF3872F" w14:textId="71FB1176" w:rsidR="00282F76" w:rsidRPr="00A0600F" w:rsidRDefault="00282F76" w:rsidP="007B3BD1">
            <w:pPr>
              <w:spacing w:after="60"/>
              <w:jc w:val="center"/>
              <w:rPr>
                <w:rFonts w:ascii="Times New Roman" w:hAnsi="Times New Roman" w:cs="Times New Roman"/>
                <w:lang w:val="en-US"/>
              </w:rPr>
            </w:pPr>
          </w:p>
        </w:tc>
        <w:tc>
          <w:tcPr>
            <w:tcW w:w="1470" w:type="pct"/>
          </w:tcPr>
          <w:p w14:paraId="0F95F9A8" w14:textId="3900E26C" w:rsidR="00282F76" w:rsidRPr="00A0600F" w:rsidRDefault="00282F76" w:rsidP="007B3BD1">
            <w:pPr>
              <w:spacing w:after="60"/>
              <w:jc w:val="center"/>
              <w:rPr>
                <w:rFonts w:ascii="Times New Roman" w:hAnsi="Times New Roman" w:cs="Times New Roman"/>
                <w:lang w:val="en-US"/>
              </w:rPr>
            </w:pPr>
          </w:p>
        </w:tc>
        <w:tc>
          <w:tcPr>
            <w:tcW w:w="1029" w:type="pct"/>
          </w:tcPr>
          <w:p w14:paraId="079764F2" w14:textId="614541F9" w:rsidR="00282F76" w:rsidRPr="00A0600F" w:rsidRDefault="00282F76" w:rsidP="007B3BD1">
            <w:pPr>
              <w:spacing w:after="60"/>
              <w:jc w:val="center"/>
              <w:rPr>
                <w:rFonts w:ascii="Times New Roman" w:hAnsi="Times New Roman" w:cs="Times New Roman"/>
                <w:lang w:val="en-US"/>
              </w:rPr>
            </w:pPr>
          </w:p>
        </w:tc>
      </w:tr>
      <w:tr w:rsidR="00282F76" w:rsidRPr="00A0600F" w14:paraId="6E5381A1" w14:textId="77777777" w:rsidTr="007B3BD1">
        <w:tc>
          <w:tcPr>
            <w:tcW w:w="1471" w:type="pct"/>
          </w:tcPr>
          <w:p w14:paraId="186EDF6C" w14:textId="0B34891B"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707E00E8" w14:textId="02D3F946"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7 (0.6%)</w:t>
            </w:r>
          </w:p>
        </w:tc>
        <w:tc>
          <w:tcPr>
            <w:tcW w:w="1470" w:type="pct"/>
          </w:tcPr>
          <w:p w14:paraId="2CF5B9D8" w14:textId="599CF44A" w:rsidR="00282F76" w:rsidRPr="00A0600F" w:rsidRDefault="00B70391" w:rsidP="00282F76">
            <w:pPr>
              <w:spacing w:after="60"/>
              <w:jc w:val="center"/>
              <w:rPr>
                <w:rFonts w:ascii="Times New Roman" w:hAnsi="Times New Roman" w:cs="Times New Roman"/>
                <w:lang w:val="en-US"/>
              </w:rPr>
            </w:pPr>
            <w:r w:rsidRPr="00A0600F">
              <w:rPr>
                <w:rFonts w:ascii="Times New Roman" w:hAnsi="Times New Roman" w:cs="Times New Roman"/>
                <w:lang w:val="en-US"/>
              </w:rPr>
              <w:t>1.2% (0.6 – 2.2)</w:t>
            </w:r>
          </w:p>
        </w:tc>
        <w:tc>
          <w:tcPr>
            <w:tcW w:w="1029" w:type="pct"/>
          </w:tcPr>
          <w:p w14:paraId="69E76D28" w14:textId="07155341" w:rsidR="00282F76" w:rsidRPr="00A0600F" w:rsidRDefault="00B7039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57707498" w14:textId="77777777" w:rsidTr="007B3BD1">
        <w:tc>
          <w:tcPr>
            <w:tcW w:w="1471" w:type="pct"/>
          </w:tcPr>
          <w:p w14:paraId="14A0DF1F" w14:textId="797C912B"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7A9C75CF" w14:textId="6D706EF0"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2 (0.2%)</w:t>
            </w:r>
          </w:p>
        </w:tc>
        <w:tc>
          <w:tcPr>
            <w:tcW w:w="1470" w:type="pct"/>
          </w:tcPr>
          <w:p w14:paraId="5F608653" w14:textId="52D31D1D" w:rsidR="00282F76" w:rsidRPr="00A0600F" w:rsidRDefault="00B70391" w:rsidP="00282F76">
            <w:pPr>
              <w:spacing w:after="60"/>
              <w:jc w:val="center"/>
              <w:rPr>
                <w:rFonts w:ascii="Times New Roman" w:hAnsi="Times New Roman" w:cs="Times New Roman"/>
                <w:lang w:val="en-US"/>
              </w:rPr>
            </w:pPr>
            <w:r w:rsidRPr="00A0600F">
              <w:rPr>
                <w:rFonts w:ascii="Times New Roman" w:hAnsi="Times New Roman" w:cs="Times New Roman"/>
                <w:lang w:val="en-US"/>
              </w:rPr>
              <w:t>0.7% (0.3 – 1.5)</w:t>
            </w:r>
          </w:p>
        </w:tc>
        <w:tc>
          <w:tcPr>
            <w:tcW w:w="1029" w:type="pct"/>
          </w:tcPr>
          <w:p w14:paraId="150E0F5F" w14:textId="268BC686" w:rsidR="00282F76" w:rsidRPr="00A0600F" w:rsidRDefault="00B7039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53F1B01C" w14:textId="77777777" w:rsidTr="007B3BD1">
        <w:tc>
          <w:tcPr>
            <w:tcW w:w="1471" w:type="pct"/>
          </w:tcPr>
          <w:p w14:paraId="1035D732" w14:textId="3C61DEBC" w:rsidR="00282F76" w:rsidRPr="00A0600F" w:rsidRDefault="00282F76" w:rsidP="00282F76">
            <w:pPr>
              <w:spacing w:after="60"/>
              <w:rPr>
                <w:rFonts w:ascii="Times New Roman" w:hAnsi="Times New Roman" w:cs="Times New Roman"/>
                <w:lang w:val="en-US"/>
              </w:rPr>
            </w:pPr>
            <w:r w:rsidRPr="00A0600F">
              <w:rPr>
                <w:rFonts w:ascii="Times New Roman" w:hAnsi="Times New Roman" w:cs="Times New Roman"/>
                <w:lang w:val="en-US"/>
              </w:rPr>
              <w:t>Acute pancreatitis</w:t>
            </w:r>
          </w:p>
        </w:tc>
        <w:tc>
          <w:tcPr>
            <w:tcW w:w="1030" w:type="pct"/>
          </w:tcPr>
          <w:p w14:paraId="7C8D42D2" w14:textId="2444B575" w:rsidR="00282F76" w:rsidRPr="00A0600F" w:rsidRDefault="00282F76" w:rsidP="00282F76">
            <w:pPr>
              <w:spacing w:after="60"/>
              <w:jc w:val="center"/>
              <w:rPr>
                <w:rFonts w:ascii="Times New Roman" w:hAnsi="Times New Roman" w:cs="Times New Roman"/>
                <w:lang w:val="en-US"/>
              </w:rPr>
            </w:pPr>
          </w:p>
        </w:tc>
        <w:tc>
          <w:tcPr>
            <w:tcW w:w="1470" w:type="pct"/>
          </w:tcPr>
          <w:p w14:paraId="52497231" w14:textId="43DD8504" w:rsidR="00282F76" w:rsidRPr="00A0600F" w:rsidRDefault="00282F76" w:rsidP="00282F76">
            <w:pPr>
              <w:spacing w:after="60"/>
              <w:jc w:val="center"/>
              <w:rPr>
                <w:rFonts w:ascii="Times New Roman" w:hAnsi="Times New Roman" w:cs="Times New Roman"/>
                <w:lang w:val="en-US"/>
              </w:rPr>
            </w:pPr>
          </w:p>
        </w:tc>
        <w:tc>
          <w:tcPr>
            <w:tcW w:w="1029" w:type="pct"/>
          </w:tcPr>
          <w:p w14:paraId="66AE9E09" w14:textId="0371E7FD" w:rsidR="00282F76" w:rsidRPr="00A0600F" w:rsidRDefault="00282F76" w:rsidP="00282F76">
            <w:pPr>
              <w:spacing w:after="60"/>
              <w:jc w:val="center"/>
              <w:rPr>
                <w:rFonts w:ascii="Times New Roman" w:hAnsi="Times New Roman" w:cs="Times New Roman"/>
                <w:lang w:val="en-US"/>
              </w:rPr>
            </w:pPr>
          </w:p>
        </w:tc>
      </w:tr>
      <w:tr w:rsidR="00282F76" w:rsidRPr="00A0600F" w14:paraId="00218035" w14:textId="77777777" w:rsidTr="007B3BD1">
        <w:tc>
          <w:tcPr>
            <w:tcW w:w="1471" w:type="pct"/>
          </w:tcPr>
          <w:p w14:paraId="79FE1123" w14:textId="14040852"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22E46C4B" w14:textId="028FF5DE"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1 (0.1%)</w:t>
            </w:r>
          </w:p>
        </w:tc>
        <w:tc>
          <w:tcPr>
            <w:tcW w:w="1470" w:type="pct"/>
          </w:tcPr>
          <w:p w14:paraId="301B4766" w14:textId="57F4164D" w:rsidR="00282F76" w:rsidRPr="00A0600F" w:rsidRDefault="00B70391" w:rsidP="00282F76">
            <w:pPr>
              <w:spacing w:after="60"/>
              <w:jc w:val="center"/>
              <w:rPr>
                <w:rFonts w:ascii="Times New Roman" w:hAnsi="Times New Roman" w:cs="Times New Roman"/>
                <w:lang w:val="en-US"/>
              </w:rPr>
            </w:pPr>
            <w:r w:rsidRPr="00A0600F">
              <w:rPr>
                <w:rFonts w:ascii="Times New Roman" w:hAnsi="Times New Roman" w:cs="Times New Roman"/>
                <w:lang w:val="en-US"/>
              </w:rPr>
              <w:t xml:space="preserve">0.7% (0.3 </w:t>
            </w:r>
            <w:r w:rsidR="00F56601" w:rsidRPr="00A0600F">
              <w:rPr>
                <w:rFonts w:ascii="Times New Roman" w:hAnsi="Times New Roman" w:cs="Times New Roman"/>
                <w:lang w:val="en-US"/>
              </w:rPr>
              <w:t xml:space="preserve">– </w:t>
            </w:r>
            <w:r w:rsidRPr="00A0600F">
              <w:rPr>
                <w:rFonts w:ascii="Times New Roman" w:hAnsi="Times New Roman" w:cs="Times New Roman"/>
                <w:lang w:val="en-US"/>
              </w:rPr>
              <w:t>1.6)</w:t>
            </w:r>
          </w:p>
        </w:tc>
        <w:tc>
          <w:tcPr>
            <w:tcW w:w="1029" w:type="pct"/>
          </w:tcPr>
          <w:p w14:paraId="218ED8D7" w14:textId="71979D07" w:rsidR="00282F76" w:rsidRPr="00A0600F" w:rsidRDefault="00B7039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4313D337" w14:textId="77777777" w:rsidTr="007B3BD1">
        <w:tc>
          <w:tcPr>
            <w:tcW w:w="1471" w:type="pct"/>
          </w:tcPr>
          <w:p w14:paraId="20402B67" w14:textId="79BFDF91"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58CDC019" w14:textId="28640975"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0 (0.0%)</w:t>
            </w:r>
          </w:p>
        </w:tc>
        <w:tc>
          <w:tcPr>
            <w:tcW w:w="1470" w:type="pct"/>
          </w:tcPr>
          <w:p w14:paraId="684F515A" w14:textId="650E8BEF"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0.5% (0.2 – 1.3)</w:t>
            </w:r>
          </w:p>
        </w:tc>
        <w:tc>
          <w:tcPr>
            <w:tcW w:w="1029" w:type="pct"/>
          </w:tcPr>
          <w:p w14:paraId="45F0D478" w14:textId="3197DE2C"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09B41389" w14:textId="77777777" w:rsidTr="007B3BD1">
        <w:tc>
          <w:tcPr>
            <w:tcW w:w="1471" w:type="pct"/>
          </w:tcPr>
          <w:p w14:paraId="6A9AB3BA" w14:textId="52CC13A6" w:rsidR="00282F76" w:rsidRPr="00A0600F" w:rsidRDefault="00282F76" w:rsidP="00282F76">
            <w:pPr>
              <w:spacing w:after="60"/>
              <w:rPr>
                <w:rFonts w:ascii="Times New Roman" w:hAnsi="Times New Roman" w:cs="Times New Roman"/>
                <w:lang w:val="en-US"/>
              </w:rPr>
            </w:pPr>
            <w:r w:rsidRPr="00A0600F">
              <w:rPr>
                <w:rFonts w:ascii="Times New Roman" w:hAnsi="Times New Roman" w:cs="Times New Roman"/>
                <w:lang w:val="en-US"/>
              </w:rPr>
              <w:t>Liver abscess</w:t>
            </w:r>
          </w:p>
        </w:tc>
        <w:tc>
          <w:tcPr>
            <w:tcW w:w="1030" w:type="pct"/>
          </w:tcPr>
          <w:p w14:paraId="4BEDE31A" w14:textId="36CEAF9C" w:rsidR="00282F76" w:rsidRPr="00A0600F" w:rsidRDefault="00282F76" w:rsidP="00282F76">
            <w:pPr>
              <w:spacing w:after="60"/>
              <w:jc w:val="center"/>
              <w:rPr>
                <w:rFonts w:ascii="Times New Roman" w:hAnsi="Times New Roman" w:cs="Times New Roman"/>
                <w:lang w:val="en-US"/>
              </w:rPr>
            </w:pPr>
          </w:p>
        </w:tc>
        <w:tc>
          <w:tcPr>
            <w:tcW w:w="1470" w:type="pct"/>
          </w:tcPr>
          <w:p w14:paraId="002E31F1" w14:textId="774896D0" w:rsidR="00282F76" w:rsidRPr="00A0600F" w:rsidRDefault="00282F76" w:rsidP="00282F76">
            <w:pPr>
              <w:spacing w:after="60"/>
              <w:jc w:val="center"/>
              <w:rPr>
                <w:rFonts w:ascii="Times New Roman" w:hAnsi="Times New Roman" w:cs="Times New Roman"/>
                <w:lang w:val="en-US"/>
              </w:rPr>
            </w:pPr>
          </w:p>
        </w:tc>
        <w:tc>
          <w:tcPr>
            <w:tcW w:w="1029" w:type="pct"/>
          </w:tcPr>
          <w:p w14:paraId="073EA7B2" w14:textId="2CACABD3" w:rsidR="00282F76" w:rsidRPr="00A0600F" w:rsidRDefault="00282F76" w:rsidP="00282F76">
            <w:pPr>
              <w:spacing w:after="60"/>
              <w:jc w:val="center"/>
              <w:rPr>
                <w:rFonts w:ascii="Times New Roman" w:hAnsi="Times New Roman" w:cs="Times New Roman"/>
                <w:lang w:val="en-US"/>
              </w:rPr>
            </w:pPr>
          </w:p>
        </w:tc>
      </w:tr>
      <w:tr w:rsidR="00282F76" w:rsidRPr="00A0600F" w14:paraId="1A043405" w14:textId="77777777" w:rsidTr="007B3BD1">
        <w:tc>
          <w:tcPr>
            <w:tcW w:w="1471" w:type="pct"/>
          </w:tcPr>
          <w:p w14:paraId="5C5E35A4" w14:textId="4BC4FC80"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253CBF15" w14:textId="236AFDA6"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2 (0.2%)</w:t>
            </w:r>
          </w:p>
        </w:tc>
        <w:tc>
          <w:tcPr>
            <w:tcW w:w="1470" w:type="pct"/>
          </w:tcPr>
          <w:p w14:paraId="267B47CC" w14:textId="2B83E232"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0.8% (0.4 – 1.7)</w:t>
            </w:r>
          </w:p>
        </w:tc>
        <w:tc>
          <w:tcPr>
            <w:tcW w:w="1029" w:type="pct"/>
          </w:tcPr>
          <w:p w14:paraId="627E154E" w14:textId="6213217D"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27A5D0A0" w14:textId="77777777" w:rsidTr="007B3BD1">
        <w:tc>
          <w:tcPr>
            <w:tcW w:w="1471" w:type="pct"/>
          </w:tcPr>
          <w:p w14:paraId="2E4C5FC3" w14:textId="5F1791F1"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43027B4E" w14:textId="3F41FA6E"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5 (0.4%)</w:t>
            </w:r>
          </w:p>
        </w:tc>
        <w:tc>
          <w:tcPr>
            <w:tcW w:w="1470" w:type="pct"/>
          </w:tcPr>
          <w:p w14:paraId="51413368" w14:textId="11A09911"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0.9% (0.4 – 1.7)</w:t>
            </w:r>
          </w:p>
        </w:tc>
        <w:tc>
          <w:tcPr>
            <w:tcW w:w="1029" w:type="pct"/>
          </w:tcPr>
          <w:p w14:paraId="4D5DEEFA" w14:textId="7B738769"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64348401" w14:textId="77777777" w:rsidTr="007B3BD1">
        <w:tc>
          <w:tcPr>
            <w:tcW w:w="1471" w:type="pct"/>
          </w:tcPr>
          <w:p w14:paraId="21172DA5" w14:textId="4257A308" w:rsidR="00282F76" w:rsidRPr="00A0600F" w:rsidRDefault="00282F76" w:rsidP="00282F76">
            <w:pPr>
              <w:spacing w:after="60"/>
              <w:rPr>
                <w:rFonts w:ascii="Times New Roman" w:hAnsi="Times New Roman" w:cs="Times New Roman"/>
                <w:lang w:val="en-US"/>
              </w:rPr>
            </w:pPr>
            <w:r w:rsidRPr="00A0600F">
              <w:rPr>
                <w:rFonts w:ascii="Times New Roman" w:hAnsi="Times New Roman" w:cs="Times New Roman"/>
                <w:lang w:val="en-US"/>
              </w:rPr>
              <w:t>Gastrointestinal bleeding</w:t>
            </w:r>
          </w:p>
        </w:tc>
        <w:tc>
          <w:tcPr>
            <w:tcW w:w="1030" w:type="pct"/>
          </w:tcPr>
          <w:p w14:paraId="113EEA03" w14:textId="77777777" w:rsidR="00282F76" w:rsidRPr="00A0600F" w:rsidRDefault="00282F76" w:rsidP="00282F76">
            <w:pPr>
              <w:spacing w:after="60"/>
              <w:jc w:val="center"/>
              <w:rPr>
                <w:rFonts w:ascii="Times New Roman" w:hAnsi="Times New Roman" w:cs="Times New Roman"/>
                <w:lang w:val="en-US"/>
              </w:rPr>
            </w:pPr>
          </w:p>
        </w:tc>
        <w:tc>
          <w:tcPr>
            <w:tcW w:w="1470" w:type="pct"/>
          </w:tcPr>
          <w:p w14:paraId="35A42B1D" w14:textId="77777777" w:rsidR="00282F76" w:rsidRPr="00A0600F" w:rsidRDefault="00282F76" w:rsidP="00282F76">
            <w:pPr>
              <w:spacing w:after="60"/>
              <w:jc w:val="center"/>
              <w:rPr>
                <w:rFonts w:ascii="Times New Roman" w:hAnsi="Times New Roman" w:cs="Times New Roman"/>
                <w:lang w:val="en-US"/>
              </w:rPr>
            </w:pPr>
          </w:p>
        </w:tc>
        <w:tc>
          <w:tcPr>
            <w:tcW w:w="1029" w:type="pct"/>
          </w:tcPr>
          <w:p w14:paraId="7616CFF3" w14:textId="77777777" w:rsidR="00282F76" w:rsidRPr="00A0600F" w:rsidRDefault="00282F76" w:rsidP="00282F76">
            <w:pPr>
              <w:spacing w:after="60"/>
              <w:jc w:val="center"/>
              <w:rPr>
                <w:rFonts w:ascii="Times New Roman" w:hAnsi="Times New Roman" w:cs="Times New Roman"/>
                <w:lang w:val="en-US"/>
              </w:rPr>
            </w:pPr>
          </w:p>
        </w:tc>
      </w:tr>
      <w:tr w:rsidR="00282F76" w:rsidRPr="00A0600F" w14:paraId="696539BF" w14:textId="77777777" w:rsidTr="007B3BD1">
        <w:tc>
          <w:tcPr>
            <w:tcW w:w="1471" w:type="pct"/>
          </w:tcPr>
          <w:p w14:paraId="5AA867A6" w14:textId="3AC156B1"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1-2</w:t>
            </w:r>
          </w:p>
        </w:tc>
        <w:tc>
          <w:tcPr>
            <w:tcW w:w="1030" w:type="pct"/>
          </w:tcPr>
          <w:p w14:paraId="099D23CC" w14:textId="448F8EF4"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3 (0.3%)</w:t>
            </w:r>
          </w:p>
        </w:tc>
        <w:tc>
          <w:tcPr>
            <w:tcW w:w="1470" w:type="pct"/>
          </w:tcPr>
          <w:p w14:paraId="6C731070" w14:textId="36182B15"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0.9% (0.5 – 1.9)</w:t>
            </w:r>
          </w:p>
        </w:tc>
        <w:tc>
          <w:tcPr>
            <w:tcW w:w="1029" w:type="pct"/>
          </w:tcPr>
          <w:p w14:paraId="154A95E5" w14:textId="4E4DA4E2"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282F76" w:rsidRPr="00A0600F" w14:paraId="5CB7BE04" w14:textId="77777777" w:rsidTr="007B3BD1">
        <w:tc>
          <w:tcPr>
            <w:tcW w:w="1471" w:type="pct"/>
          </w:tcPr>
          <w:p w14:paraId="1F4161DE" w14:textId="262789B0" w:rsidR="00282F76" w:rsidRPr="00A0600F" w:rsidRDefault="00282F76" w:rsidP="00282F76">
            <w:pPr>
              <w:spacing w:after="60"/>
              <w:ind w:firstLine="179"/>
              <w:rPr>
                <w:rFonts w:ascii="Times New Roman" w:hAnsi="Times New Roman" w:cs="Times New Roman"/>
                <w:lang w:val="en-US"/>
              </w:rPr>
            </w:pPr>
            <w:r w:rsidRPr="00A0600F">
              <w:rPr>
                <w:rFonts w:ascii="Times New Roman" w:hAnsi="Times New Roman" w:cs="Times New Roman"/>
                <w:lang w:val="en-US"/>
              </w:rPr>
              <w:t>Grade 3-4</w:t>
            </w:r>
          </w:p>
        </w:tc>
        <w:tc>
          <w:tcPr>
            <w:tcW w:w="1030" w:type="pct"/>
          </w:tcPr>
          <w:p w14:paraId="2A545006" w14:textId="4F5CE96A" w:rsidR="00282F76" w:rsidRPr="00A0600F" w:rsidRDefault="003973F3" w:rsidP="00282F76">
            <w:pPr>
              <w:spacing w:after="60"/>
              <w:jc w:val="center"/>
              <w:rPr>
                <w:rFonts w:ascii="Times New Roman" w:hAnsi="Times New Roman" w:cs="Times New Roman"/>
                <w:lang w:val="en-US"/>
              </w:rPr>
            </w:pPr>
            <w:r w:rsidRPr="00A0600F">
              <w:rPr>
                <w:rFonts w:ascii="Times New Roman" w:hAnsi="Times New Roman" w:cs="Times New Roman"/>
                <w:lang w:val="en-US"/>
              </w:rPr>
              <w:t>1 (0.1%)</w:t>
            </w:r>
          </w:p>
        </w:tc>
        <w:tc>
          <w:tcPr>
            <w:tcW w:w="1470" w:type="pct"/>
          </w:tcPr>
          <w:p w14:paraId="7F8ECFDE" w14:textId="1715798E"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0.6% (0.3 – 1.3)</w:t>
            </w:r>
          </w:p>
        </w:tc>
        <w:tc>
          <w:tcPr>
            <w:tcW w:w="1029" w:type="pct"/>
          </w:tcPr>
          <w:p w14:paraId="24C961C0" w14:textId="0F7AC1C7" w:rsidR="00282F76" w:rsidRPr="00A0600F" w:rsidRDefault="00F56601" w:rsidP="00282F76">
            <w:pPr>
              <w:spacing w:after="60"/>
              <w:jc w:val="center"/>
              <w:rPr>
                <w:rFonts w:ascii="Times New Roman" w:hAnsi="Times New Roman" w:cs="Times New Roman"/>
                <w:lang w:val="en-US"/>
              </w:rPr>
            </w:pPr>
            <w:r w:rsidRPr="00A0600F">
              <w:rPr>
                <w:rFonts w:ascii="Times New Roman" w:hAnsi="Times New Roman" w:cs="Times New Roman"/>
                <w:lang w:val="en-US"/>
              </w:rPr>
              <w:t>0.0%</w:t>
            </w:r>
          </w:p>
        </w:tc>
      </w:tr>
      <w:tr w:rsidR="007B3BD1" w:rsidRPr="00A0600F" w14:paraId="03932AE3" w14:textId="77777777" w:rsidTr="007B3BD1">
        <w:tc>
          <w:tcPr>
            <w:tcW w:w="1471" w:type="pct"/>
          </w:tcPr>
          <w:p w14:paraId="594970C9" w14:textId="31AB8E47" w:rsidR="007B3BD1" w:rsidRPr="00A0600F" w:rsidRDefault="007B3BD1" w:rsidP="007B3BD1">
            <w:pPr>
              <w:spacing w:after="60"/>
              <w:rPr>
                <w:rFonts w:ascii="Times New Roman" w:hAnsi="Times New Roman" w:cs="Times New Roman"/>
                <w:lang w:val="en-US"/>
              </w:rPr>
            </w:pPr>
            <w:r w:rsidRPr="00A0600F">
              <w:rPr>
                <w:rFonts w:ascii="Times New Roman" w:hAnsi="Times New Roman" w:cs="Times New Roman"/>
                <w:lang w:val="en-US"/>
              </w:rPr>
              <w:t>Prolonged in-hospital stay</w:t>
            </w:r>
            <w:r w:rsidR="009C2BFC" w:rsidRPr="00A0600F">
              <w:rPr>
                <w:rFonts w:ascii="Times New Roman" w:hAnsi="Times New Roman" w:cs="Times New Roman"/>
                <w:lang w:val="en-US"/>
              </w:rPr>
              <w:t>*</w:t>
            </w:r>
            <w:r w:rsidRPr="00A0600F">
              <w:rPr>
                <w:rFonts w:ascii="Times New Roman" w:hAnsi="Times New Roman" w:cs="Times New Roman"/>
                <w:lang w:val="en-US"/>
              </w:rPr>
              <w:t xml:space="preserve"> </w:t>
            </w:r>
          </w:p>
        </w:tc>
        <w:tc>
          <w:tcPr>
            <w:tcW w:w="1030" w:type="pct"/>
          </w:tcPr>
          <w:p w14:paraId="7178AA0E" w14:textId="7871EB10" w:rsidR="007B3BD1" w:rsidRPr="00A0600F" w:rsidRDefault="007B3BD1" w:rsidP="00282F76">
            <w:pPr>
              <w:spacing w:after="60"/>
              <w:jc w:val="center"/>
              <w:rPr>
                <w:rFonts w:ascii="Times New Roman" w:hAnsi="Times New Roman" w:cs="Times New Roman"/>
                <w:lang w:val="en-US"/>
              </w:rPr>
            </w:pPr>
            <w:r w:rsidRPr="00A0600F">
              <w:rPr>
                <w:rFonts w:ascii="Times New Roman" w:hAnsi="Times New Roman" w:cs="Times New Roman"/>
                <w:lang w:val="en-US"/>
              </w:rPr>
              <w:t>228 (20.3%)</w:t>
            </w:r>
          </w:p>
        </w:tc>
        <w:tc>
          <w:tcPr>
            <w:tcW w:w="1470" w:type="pct"/>
          </w:tcPr>
          <w:p w14:paraId="3D20CF86" w14:textId="6865278D" w:rsidR="007B3BD1" w:rsidRPr="00A0600F" w:rsidRDefault="007B3BD1" w:rsidP="00282F76">
            <w:pPr>
              <w:spacing w:after="60"/>
              <w:jc w:val="center"/>
              <w:rPr>
                <w:rFonts w:ascii="Times New Roman" w:hAnsi="Times New Roman" w:cs="Times New Roman"/>
                <w:lang w:val="en-US"/>
              </w:rPr>
            </w:pPr>
            <w:r w:rsidRPr="00A0600F">
              <w:rPr>
                <w:rFonts w:ascii="Times New Roman" w:hAnsi="Times New Roman" w:cs="Times New Roman"/>
                <w:lang w:val="en-US"/>
              </w:rPr>
              <w:t>28.2% (16.9 – 43.2)</w:t>
            </w:r>
          </w:p>
        </w:tc>
        <w:tc>
          <w:tcPr>
            <w:tcW w:w="1029" w:type="pct"/>
          </w:tcPr>
          <w:p w14:paraId="2EC62C03" w14:textId="18ECD73C" w:rsidR="007B3BD1" w:rsidRPr="00A0600F" w:rsidRDefault="007B3BD1" w:rsidP="00282F76">
            <w:pPr>
              <w:spacing w:after="60"/>
              <w:jc w:val="center"/>
              <w:rPr>
                <w:rFonts w:ascii="Times New Roman" w:hAnsi="Times New Roman" w:cs="Times New Roman"/>
                <w:lang w:val="en-US"/>
              </w:rPr>
            </w:pPr>
            <w:r w:rsidRPr="00A0600F">
              <w:rPr>
                <w:rFonts w:ascii="Times New Roman" w:hAnsi="Times New Roman" w:cs="Times New Roman"/>
                <w:lang w:val="en-US"/>
              </w:rPr>
              <w:t>95.0%</w:t>
            </w:r>
          </w:p>
        </w:tc>
      </w:tr>
      <w:tr w:rsidR="007B3BD1" w:rsidRPr="00A0600F" w14:paraId="6DDA73DB" w14:textId="77777777" w:rsidTr="007B3BD1">
        <w:tc>
          <w:tcPr>
            <w:tcW w:w="1471" w:type="pct"/>
          </w:tcPr>
          <w:p w14:paraId="3FE0F7FE" w14:textId="78211920" w:rsidR="007B3BD1" w:rsidRPr="00A0600F" w:rsidRDefault="007B3BD1" w:rsidP="007B3BD1">
            <w:pPr>
              <w:spacing w:after="60"/>
              <w:rPr>
                <w:rFonts w:ascii="Times New Roman" w:hAnsi="Times New Roman" w:cs="Times New Roman"/>
                <w:lang w:val="en-US"/>
              </w:rPr>
            </w:pPr>
            <w:r w:rsidRPr="00A0600F">
              <w:rPr>
                <w:rFonts w:ascii="Times New Roman" w:hAnsi="Times New Roman" w:cs="Times New Roman"/>
                <w:lang w:val="en-US"/>
              </w:rPr>
              <w:t>Readmission within 30 days</w:t>
            </w:r>
          </w:p>
        </w:tc>
        <w:tc>
          <w:tcPr>
            <w:tcW w:w="1030" w:type="pct"/>
          </w:tcPr>
          <w:p w14:paraId="3496A796" w14:textId="33E9DCC1" w:rsidR="007B3BD1" w:rsidRPr="00A0600F" w:rsidRDefault="007B3BD1" w:rsidP="00282F76">
            <w:pPr>
              <w:spacing w:after="60"/>
              <w:jc w:val="center"/>
              <w:rPr>
                <w:rFonts w:ascii="Times New Roman" w:hAnsi="Times New Roman" w:cs="Times New Roman"/>
                <w:lang w:val="en-US"/>
              </w:rPr>
            </w:pPr>
            <w:r w:rsidRPr="00A0600F">
              <w:rPr>
                <w:rFonts w:ascii="Times New Roman" w:hAnsi="Times New Roman" w:cs="Times New Roman"/>
                <w:lang w:val="en-US"/>
              </w:rPr>
              <w:t>61 (5.4%)</w:t>
            </w:r>
          </w:p>
        </w:tc>
        <w:tc>
          <w:tcPr>
            <w:tcW w:w="1470" w:type="pct"/>
          </w:tcPr>
          <w:p w14:paraId="12A7F6F1" w14:textId="3EBE23DC" w:rsidR="007B3BD1" w:rsidRPr="00A0600F" w:rsidRDefault="007B3BD1" w:rsidP="00282F76">
            <w:pPr>
              <w:spacing w:after="60"/>
              <w:jc w:val="center"/>
              <w:rPr>
                <w:rFonts w:ascii="Times New Roman" w:hAnsi="Times New Roman" w:cs="Times New Roman"/>
                <w:lang w:val="en-US"/>
              </w:rPr>
            </w:pPr>
            <w:r w:rsidRPr="00A0600F">
              <w:rPr>
                <w:rFonts w:ascii="Times New Roman" w:hAnsi="Times New Roman" w:cs="Times New Roman"/>
                <w:lang w:val="en-US"/>
              </w:rPr>
              <w:t>5.1% (3.0 – 8.4)</w:t>
            </w:r>
          </w:p>
        </w:tc>
        <w:tc>
          <w:tcPr>
            <w:tcW w:w="1029" w:type="pct"/>
          </w:tcPr>
          <w:p w14:paraId="50B94009" w14:textId="7AA4FC79" w:rsidR="007B3BD1" w:rsidRPr="00A0600F" w:rsidRDefault="007B3BD1" w:rsidP="00282F76">
            <w:pPr>
              <w:spacing w:after="60"/>
              <w:jc w:val="center"/>
              <w:rPr>
                <w:rFonts w:ascii="Times New Roman" w:hAnsi="Times New Roman" w:cs="Times New Roman"/>
                <w:lang w:val="en-US"/>
              </w:rPr>
            </w:pPr>
            <w:r w:rsidRPr="00A0600F">
              <w:rPr>
                <w:rFonts w:ascii="Times New Roman" w:hAnsi="Times New Roman" w:cs="Times New Roman"/>
                <w:lang w:val="en-US"/>
              </w:rPr>
              <w:t>68.6%</w:t>
            </w:r>
          </w:p>
        </w:tc>
      </w:tr>
      <w:tr w:rsidR="007B3BD1" w:rsidRPr="00A0600F" w14:paraId="2A78044B" w14:textId="77777777" w:rsidTr="007B3BD1">
        <w:tc>
          <w:tcPr>
            <w:tcW w:w="1471" w:type="pct"/>
            <w:tcBorders>
              <w:bottom w:val="single" w:sz="12" w:space="0" w:color="auto"/>
            </w:tcBorders>
          </w:tcPr>
          <w:p w14:paraId="0ED88EA6" w14:textId="2C7E9ADA" w:rsidR="007B3BD1" w:rsidRPr="00A0600F" w:rsidRDefault="007B3BD1" w:rsidP="00F56601">
            <w:pPr>
              <w:spacing w:after="120"/>
              <w:rPr>
                <w:rFonts w:ascii="Times New Roman" w:hAnsi="Times New Roman" w:cs="Times New Roman"/>
                <w:lang w:val="en-US"/>
              </w:rPr>
            </w:pPr>
            <w:r w:rsidRPr="00A0600F">
              <w:rPr>
                <w:rFonts w:ascii="Times New Roman" w:hAnsi="Times New Roman" w:cs="Times New Roman"/>
                <w:lang w:val="en-US"/>
              </w:rPr>
              <w:t>No radiological response</w:t>
            </w:r>
          </w:p>
        </w:tc>
        <w:tc>
          <w:tcPr>
            <w:tcW w:w="1030" w:type="pct"/>
            <w:tcBorders>
              <w:bottom w:val="single" w:sz="12" w:space="0" w:color="auto"/>
            </w:tcBorders>
          </w:tcPr>
          <w:p w14:paraId="24E53925" w14:textId="484B16EF" w:rsidR="007B3BD1" w:rsidRPr="00A0600F" w:rsidRDefault="007B3BD1" w:rsidP="00F56601">
            <w:pPr>
              <w:spacing w:after="120"/>
              <w:jc w:val="center"/>
              <w:rPr>
                <w:rFonts w:ascii="Times New Roman" w:hAnsi="Times New Roman" w:cs="Times New Roman"/>
                <w:lang w:val="en-US"/>
              </w:rPr>
            </w:pPr>
            <w:r w:rsidRPr="00A0600F">
              <w:rPr>
                <w:rFonts w:ascii="Times New Roman" w:hAnsi="Times New Roman" w:cs="Times New Roman"/>
                <w:lang w:val="en-US"/>
              </w:rPr>
              <w:t>427 (38.0%)</w:t>
            </w:r>
          </w:p>
        </w:tc>
        <w:tc>
          <w:tcPr>
            <w:tcW w:w="1470" w:type="pct"/>
            <w:tcBorders>
              <w:bottom w:val="single" w:sz="12" w:space="0" w:color="auto"/>
            </w:tcBorders>
          </w:tcPr>
          <w:p w14:paraId="08CE0052" w14:textId="66700EA6" w:rsidR="007B3BD1" w:rsidRPr="00A0600F" w:rsidRDefault="007B3BD1" w:rsidP="00F56601">
            <w:pPr>
              <w:spacing w:after="120"/>
              <w:jc w:val="center"/>
              <w:rPr>
                <w:rFonts w:ascii="Times New Roman" w:hAnsi="Times New Roman" w:cs="Times New Roman"/>
                <w:lang w:val="en-US"/>
              </w:rPr>
            </w:pPr>
            <w:r w:rsidRPr="00A0600F">
              <w:rPr>
                <w:rFonts w:ascii="Times New Roman" w:hAnsi="Times New Roman" w:cs="Times New Roman"/>
                <w:lang w:val="en-US"/>
              </w:rPr>
              <w:t>31.5% (21.0 – 44.5)</w:t>
            </w:r>
          </w:p>
        </w:tc>
        <w:tc>
          <w:tcPr>
            <w:tcW w:w="1029" w:type="pct"/>
            <w:tcBorders>
              <w:bottom w:val="single" w:sz="12" w:space="0" w:color="auto"/>
            </w:tcBorders>
          </w:tcPr>
          <w:p w14:paraId="61EF0AA3" w14:textId="2A012E33" w:rsidR="007B3BD1" w:rsidRPr="00A0600F" w:rsidRDefault="007B3BD1" w:rsidP="00F56601">
            <w:pPr>
              <w:spacing w:after="120"/>
              <w:jc w:val="center"/>
              <w:rPr>
                <w:rFonts w:ascii="Times New Roman" w:hAnsi="Times New Roman" w:cs="Times New Roman"/>
                <w:lang w:val="en-US"/>
              </w:rPr>
            </w:pPr>
            <w:r w:rsidRPr="00A0600F">
              <w:rPr>
                <w:rFonts w:ascii="Times New Roman" w:hAnsi="Times New Roman" w:cs="Times New Roman"/>
                <w:lang w:val="en-US"/>
              </w:rPr>
              <w:t>93.6%</w:t>
            </w:r>
          </w:p>
        </w:tc>
      </w:tr>
    </w:tbl>
    <w:p w14:paraId="277C770B" w14:textId="5E09C881" w:rsidR="00282F76" w:rsidRPr="00A0600F" w:rsidRDefault="00282F76" w:rsidP="0027561A">
      <w:pPr>
        <w:spacing w:before="120" w:after="120" w:line="240" w:lineRule="auto"/>
        <w:jc w:val="both"/>
        <w:rPr>
          <w:rFonts w:ascii="Times New Roman" w:hAnsi="Times New Roman" w:cs="Times New Roman"/>
          <w:sz w:val="20"/>
          <w:szCs w:val="20"/>
          <w:lang w:val="en-US"/>
        </w:rPr>
      </w:pPr>
      <w:r w:rsidRPr="00A0600F">
        <w:rPr>
          <w:rFonts w:ascii="Times New Roman" w:hAnsi="Times New Roman" w:cs="Times New Roman"/>
          <w:sz w:val="20"/>
          <w:szCs w:val="20"/>
          <w:lang w:val="en-US"/>
        </w:rPr>
        <w:t>Unweighted values derive from considering all patients from different centers as a unique study population. Weighted values and heterogeneity (I</w:t>
      </w:r>
      <w:r w:rsidRPr="00A0600F">
        <w:rPr>
          <w:rFonts w:ascii="Times New Roman" w:hAnsi="Times New Roman" w:cs="Times New Roman"/>
          <w:sz w:val="20"/>
          <w:szCs w:val="20"/>
          <w:vertAlign w:val="superscript"/>
          <w:lang w:val="en-US"/>
        </w:rPr>
        <w:t>2</w:t>
      </w:r>
      <w:r w:rsidRPr="00A0600F">
        <w:rPr>
          <w:rFonts w:ascii="Times New Roman" w:hAnsi="Times New Roman" w:cs="Times New Roman"/>
          <w:sz w:val="20"/>
          <w:szCs w:val="20"/>
          <w:lang w:val="en-US"/>
        </w:rPr>
        <w:t xml:space="preserve">) derived from meta-analysis of each single center values through </w:t>
      </w:r>
      <w:r w:rsidR="00373DBE" w:rsidRPr="00A0600F">
        <w:rPr>
          <w:rFonts w:ascii="Times New Roman" w:hAnsi="Times New Roman" w:cs="Times New Roman"/>
          <w:sz w:val="20"/>
          <w:szCs w:val="20"/>
          <w:lang w:val="en-US"/>
        </w:rPr>
        <w:t>random-effect model</w:t>
      </w:r>
      <w:r w:rsidRPr="00A0600F">
        <w:rPr>
          <w:rFonts w:ascii="Times New Roman" w:hAnsi="Times New Roman" w:cs="Times New Roman"/>
          <w:sz w:val="20"/>
          <w:szCs w:val="20"/>
          <w:lang w:val="en-US"/>
        </w:rPr>
        <w:t xml:space="preserve">. </w:t>
      </w:r>
      <w:r w:rsidR="00D9163C" w:rsidRPr="00A0600F">
        <w:rPr>
          <w:rFonts w:ascii="Times New Roman" w:hAnsi="Times New Roman" w:cs="Times New Roman"/>
          <w:sz w:val="20"/>
          <w:szCs w:val="20"/>
          <w:lang w:val="en-US"/>
        </w:rPr>
        <w:t xml:space="preserve">Detailed data stratified by participating center are provided in the </w:t>
      </w:r>
      <w:r w:rsidR="00D9163C" w:rsidRPr="00A0600F">
        <w:rPr>
          <w:rFonts w:ascii="Times New Roman" w:hAnsi="Times New Roman" w:cs="Times New Roman"/>
          <w:i/>
          <w:iCs/>
          <w:sz w:val="20"/>
          <w:szCs w:val="20"/>
          <w:u w:val="single"/>
          <w:lang w:val="en-US"/>
        </w:rPr>
        <w:t>Supplementary Table 2</w:t>
      </w:r>
      <w:r w:rsidR="00D9163C" w:rsidRPr="00A0600F">
        <w:rPr>
          <w:rFonts w:ascii="Times New Roman" w:hAnsi="Times New Roman" w:cs="Times New Roman"/>
          <w:sz w:val="20"/>
          <w:szCs w:val="20"/>
          <w:lang w:val="en-US"/>
        </w:rPr>
        <w:t>.</w:t>
      </w:r>
    </w:p>
    <w:p w14:paraId="6CEFAFD1" w14:textId="2A331C52" w:rsidR="00282F76" w:rsidRPr="00A0600F" w:rsidRDefault="00282F76" w:rsidP="00282F76">
      <w:pPr>
        <w:spacing w:after="120" w:line="240" w:lineRule="auto"/>
        <w:jc w:val="both"/>
        <w:rPr>
          <w:rFonts w:ascii="Times New Roman" w:hAnsi="Times New Roman" w:cs="Times New Roman"/>
          <w:sz w:val="20"/>
          <w:szCs w:val="20"/>
          <w:lang w:val="en-US"/>
        </w:rPr>
      </w:pPr>
      <w:r w:rsidRPr="00A0600F">
        <w:rPr>
          <w:rFonts w:ascii="Times New Roman" w:hAnsi="Times New Roman" w:cs="Times New Roman"/>
          <w:sz w:val="20"/>
          <w:szCs w:val="20"/>
          <w:lang w:val="en-US"/>
        </w:rPr>
        <w:t>I</w:t>
      </w:r>
      <w:r w:rsidRPr="00A0600F">
        <w:rPr>
          <w:rFonts w:ascii="Times New Roman" w:hAnsi="Times New Roman" w:cs="Times New Roman"/>
          <w:sz w:val="20"/>
          <w:szCs w:val="20"/>
          <w:vertAlign w:val="superscript"/>
          <w:lang w:val="en-US"/>
        </w:rPr>
        <w:t>2</w:t>
      </w:r>
      <w:r w:rsidRPr="00A0600F">
        <w:rPr>
          <w:rFonts w:ascii="Times New Roman" w:hAnsi="Times New Roman" w:cs="Times New Roman"/>
          <w:sz w:val="20"/>
          <w:szCs w:val="20"/>
          <w:lang w:val="en-US"/>
        </w:rPr>
        <w:t xml:space="preserve"> statistic can be interpreted as follows: values of &lt;25% =low heterogeneity; 25% - 50% = medium, 51% - 75% = substantial and &gt;75% = considerable heterogeneity.</w:t>
      </w:r>
    </w:p>
    <w:p w14:paraId="05D24392" w14:textId="1D7DF85C" w:rsidR="00F56601" w:rsidRPr="00A0600F" w:rsidRDefault="00F56601" w:rsidP="00282F76">
      <w:pPr>
        <w:spacing w:after="120" w:line="240" w:lineRule="auto"/>
        <w:jc w:val="both"/>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Continuity correction of 0.5 in studies with zero cell frequencies was adopted</w:t>
      </w:r>
      <w:r w:rsidR="0027561A" w:rsidRPr="00A0600F">
        <w:rPr>
          <w:rFonts w:ascii="Times New Roman" w:eastAsia="Times New Roman" w:hAnsi="Times New Roman" w:cs="Times New Roman"/>
          <w:sz w:val="20"/>
          <w:szCs w:val="20"/>
          <w:lang w:val="en-US" w:eastAsia="it-IT"/>
        </w:rPr>
        <w:t>.</w:t>
      </w:r>
    </w:p>
    <w:p w14:paraId="04ADAE9A" w14:textId="62BD605E" w:rsidR="009C2BFC" w:rsidRPr="00A0600F" w:rsidRDefault="009C2BFC" w:rsidP="009C2BFC">
      <w:pPr>
        <w:spacing w:after="120" w:line="240" w:lineRule="auto"/>
        <w:jc w:val="both"/>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 Defined as defined as a postoperative stay ≤75th percentile of the median values from the total cohort,</w:t>
      </w:r>
    </w:p>
    <w:p w14:paraId="17E96C94" w14:textId="4238E86D" w:rsidR="00282F76" w:rsidRPr="00A0600F" w:rsidRDefault="00282F76">
      <w:pPr>
        <w:rPr>
          <w:rFonts w:ascii="Times New Roman" w:eastAsia="Times New Roman" w:hAnsi="Times New Roman" w:cs="Times New Roman"/>
          <w:sz w:val="24"/>
          <w:szCs w:val="24"/>
          <w:lang w:val="en-US"/>
        </w:rPr>
      </w:pPr>
    </w:p>
    <w:p w14:paraId="5593A964" w14:textId="77777777" w:rsidR="00270392" w:rsidRPr="00A0600F" w:rsidRDefault="00270392">
      <w:pPr>
        <w:rPr>
          <w:rFonts w:ascii="Times New Roman" w:eastAsia="Times New Roman" w:hAnsi="Times New Roman" w:cs="Times New Roman"/>
          <w:sz w:val="24"/>
          <w:szCs w:val="24"/>
          <w:lang w:val="en-US"/>
        </w:rPr>
      </w:pPr>
    </w:p>
    <w:p w14:paraId="35D68A42" w14:textId="77777777" w:rsidR="00282F76" w:rsidRPr="00A0600F" w:rsidRDefault="00282F76">
      <w:pPr>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br w:type="page"/>
      </w:r>
    </w:p>
    <w:p w14:paraId="611A5672" w14:textId="651B2723" w:rsidR="003E6E69" w:rsidRPr="00A0600F" w:rsidRDefault="003E6E69" w:rsidP="003E6E69">
      <w:pPr>
        <w:rPr>
          <w:rFonts w:ascii="Times New Roman" w:hAnsi="Times New Roman" w:cs="Times New Roman"/>
          <w:sz w:val="24"/>
          <w:szCs w:val="24"/>
          <w:lang w:val="en-US"/>
        </w:rPr>
      </w:pPr>
      <w:r w:rsidRPr="00A0600F">
        <w:rPr>
          <w:rFonts w:ascii="Times New Roman" w:hAnsi="Times New Roman" w:cs="Times New Roman"/>
          <w:b/>
          <w:bCs/>
          <w:sz w:val="24"/>
          <w:szCs w:val="24"/>
          <w:lang w:val="en-US"/>
        </w:rPr>
        <w:lastRenderedPageBreak/>
        <w:t>Table 3.</w:t>
      </w:r>
      <w:r w:rsidRPr="00A0600F">
        <w:rPr>
          <w:rFonts w:ascii="Times New Roman" w:hAnsi="Times New Roman" w:cs="Times New Roman"/>
          <w:sz w:val="24"/>
          <w:szCs w:val="24"/>
          <w:lang w:val="en-US"/>
        </w:rPr>
        <w:t xml:space="preserve"> Multilevel mixed-effect models on determinants of TO across participating centers.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0"/>
        <w:gridCol w:w="283"/>
        <w:gridCol w:w="3260"/>
      </w:tblGrid>
      <w:tr w:rsidR="00C47112" w:rsidRPr="00A0600F" w14:paraId="4D873B5B" w14:textId="77777777" w:rsidTr="00C47112">
        <w:tc>
          <w:tcPr>
            <w:tcW w:w="1471" w:type="pct"/>
            <w:tcBorders>
              <w:top w:val="single" w:sz="12" w:space="0" w:color="auto"/>
            </w:tcBorders>
          </w:tcPr>
          <w:p w14:paraId="4A7340A9" w14:textId="50D47BBE" w:rsidR="00C47112" w:rsidRPr="00A0600F" w:rsidRDefault="00C47112" w:rsidP="007B3BD1">
            <w:pPr>
              <w:spacing w:before="120" w:after="120"/>
              <w:rPr>
                <w:rFonts w:ascii="Times New Roman" w:hAnsi="Times New Roman" w:cs="Times New Roman"/>
                <w:b/>
                <w:bCs/>
                <w:lang w:val="en-US"/>
              </w:rPr>
            </w:pPr>
          </w:p>
        </w:tc>
        <w:tc>
          <w:tcPr>
            <w:tcW w:w="1691" w:type="pct"/>
            <w:tcBorders>
              <w:top w:val="single" w:sz="12" w:space="0" w:color="auto"/>
              <w:bottom w:val="single" w:sz="12" w:space="0" w:color="auto"/>
            </w:tcBorders>
          </w:tcPr>
          <w:p w14:paraId="42847241" w14:textId="063FA06D" w:rsidR="00C47112" w:rsidRPr="00A0600F" w:rsidRDefault="00C47112"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Simple regression</w:t>
            </w:r>
          </w:p>
        </w:tc>
        <w:tc>
          <w:tcPr>
            <w:tcW w:w="147" w:type="pct"/>
            <w:tcBorders>
              <w:top w:val="single" w:sz="12" w:space="0" w:color="auto"/>
            </w:tcBorders>
          </w:tcPr>
          <w:p w14:paraId="405D391F" w14:textId="77777777" w:rsidR="00C47112" w:rsidRPr="00A0600F" w:rsidRDefault="00C47112" w:rsidP="007B3BD1">
            <w:pPr>
              <w:spacing w:before="120" w:after="120"/>
              <w:jc w:val="center"/>
              <w:rPr>
                <w:rFonts w:ascii="Times New Roman" w:hAnsi="Times New Roman" w:cs="Times New Roman"/>
                <w:b/>
                <w:bCs/>
                <w:lang w:val="en-US"/>
              </w:rPr>
            </w:pPr>
          </w:p>
        </w:tc>
        <w:tc>
          <w:tcPr>
            <w:tcW w:w="1691" w:type="pct"/>
            <w:tcBorders>
              <w:top w:val="single" w:sz="12" w:space="0" w:color="auto"/>
              <w:bottom w:val="single" w:sz="12" w:space="0" w:color="auto"/>
            </w:tcBorders>
          </w:tcPr>
          <w:p w14:paraId="307413E9" w14:textId="55DE4220" w:rsidR="00C47112" w:rsidRPr="00A0600F" w:rsidRDefault="00C47112"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Multivariable regression</w:t>
            </w:r>
          </w:p>
        </w:tc>
      </w:tr>
      <w:tr w:rsidR="00C47112" w:rsidRPr="00A0600F" w14:paraId="380EAB37" w14:textId="77777777" w:rsidTr="00C47112">
        <w:tc>
          <w:tcPr>
            <w:tcW w:w="1471" w:type="pct"/>
            <w:tcBorders>
              <w:bottom w:val="single" w:sz="12" w:space="0" w:color="auto"/>
            </w:tcBorders>
          </w:tcPr>
          <w:p w14:paraId="235CF17E" w14:textId="029C0324" w:rsidR="00C47112" w:rsidRPr="00A0600F" w:rsidRDefault="00C47112" w:rsidP="007B3BD1">
            <w:pPr>
              <w:spacing w:before="120" w:after="120"/>
              <w:rPr>
                <w:rFonts w:ascii="Times New Roman" w:hAnsi="Times New Roman" w:cs="Times New Roman"/>
                <w:b/>
                <w:bCs/>
                <w:lang w:val="en-US"/>
              </w:rPr>
            </w:pPr>
            <w:r w:rsidRPr="00A0600F">
              <w:rPr>
                <w:rFonts w:ascii="Times New Roman" w:hAnsi="Times New Roman" w:cs="Times New Roman"/>
                <w:b/>
                <w:bCs/>
                <w:lang w:val="en-US"/>
              </w:rPr>
              <w:t>Characteristic</w:t>
            </w:r>
          </w:p>
        </w:tc>
        <w:tc>
          <w:tcPr>
            <w:tcW w:w="1691" w:type="pct"/>
            <w:tcBorders>
              <w:top w:val="single" w:sz="12" w:space="0" w:color="auto"/>
              <w:bottom w:val="single" w:sz="12" w:space="0" w:color="auto"/>
            </w:tcBorders>
          </w:tcPr>
          <w:p w14:paraId="3FA93D99" w14:textId="7667733B" w:rsidR="00C47112" w:rsidRPr="00A0600F" w:rsidRDefault="00C47112"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OR (95%C.I.)</w:t>
            </w:r>
          </w:p>
        </w:tc>
        <w:tc>
          <w:tcPr>
            <w:tcW w:w="147" w:type="pct"/>
            <w:tcBorders>
              <w:bottom w:val="single" w:sz="12" w:space="0" w:color="auto"/>
            </w:tcBorders>
          </w:tcPr>
          <w:p w14:paraId="6C503DD5" w14:textId="77777777" w:rsidR="00C47112" w:rsidRPr="00A0600F" w:rsidRDefault="00C47112" w:rsidP="007B3BD1">
            <w:pPr>
              <w:spacing w:before="120" w:after="120"/>
              <w:jc w:val="center"/>
              <w:rPr>
                <w:rFonts w:ascii="Times New Roman" w:hAnsi="Times New Roman" w:cs="Times New Roman"/>
                <w:b/>
                <w:bCs/>
                <w:lang w:val="en-US"/>
              </w:rPr>
            </w:pPr>
          </w:p>
        </w:tc>
        <w:tc>
          <w:tcPr>
            <w:tcW w:w="1691" w:type="pct"/>
            <w:tcBorders>
              <w:top w:val="single" w:sz="12" w:space="0" w:color="auto"/>
              <w:bottom w:val="single" w:sz="12" w:space="0" w:color="auto"/>
            </w:tcBorders>
          </w:tcPr>
          <w:p w14:paraId="5AACF3B7" w14:textId="53653287" w:rsidR="00C47112" w:rsidRPr="00A0600F" w:rsidRDefault="00C47112" w:rsidP="007B3BD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OR (95%C.I.)</w:t>
            </w:r>
          </w:p>
        </w:tc>
      </w:tr>
      <w:tr w:rsidR="00C47112" w:rsidRPr="00A0600F" w14:paraId="1DAA3B9E" w14:textId="77777777" w:rsidTr="00C47112">
        <w:tc>
          <w:tcPr>
            <w:tcW w:w="1471" w:type="pct"/>
            <w:tcBorders>
              <w:top w:val="single" w:sz="12" w:space="0" w:color="auto"/>
            </w:tcBorders>
          </w:tcPr>
          <w:p w14:paraId="57FCFE67" w14:textId="77777777" w:rsidR="00C47112" w:rsidRPr="00A0600F" w:rsidRDefault="00C47112" w:rsidP="007B3BD1">
            <w:pPr>
              <w:spacing w:before="120" w:after="60" w:line="360" w:lineRule="auto"/>
              <w:rPr>
                <w:rFonts w:ascii="Times New Roman" w:hAnsi="Times New Roman" w:cs="Times New Roman"/>
                <w:lang w:val="en-US"/>
              </w:rPr>
            </w:pPr>
            <w:r w:rsidRPr="00A0600F">
              <w:rPr>
                <w:rFonts w:ascii="Times New Roman" w:hAnsi="Times New Roman" w:cs="Times New Roman"/>
                <w:lang w:val="en-US"/>
              </w:rPr>
              <w:t>Age (years)</w:t>
            </w:r>
          </w:p>
        </w:tc>
        <w:tc>
          <w:tcPr>
            <w:tcW w:w="1691" w:type="pct"/>
            <w:tcBorders>
              <w:top w:val="single" w:sz="12" w:space="0" w:color="auto"/>
            </w:tcBorders>
          </w:tcPr>
          <w:p w14:paraId="1FB8A849" w14:textId="16EC1101" w:rsidR="00C47112" w:rsidRPr="00A0600F" w:rsidRDefault="00B96F11" w:rsidP="007B3BD1">
            <w:pPr>
              <w:spacing w:before="120" w:after="60" w:line="360" w:lineRule="auto"/>
              <w:jc w:val="center"/>
              <w:rPr>
                <w:rFonts w:ascii="Times New Roman" w:hAnsi="Times New Roman" w:cs="Times New Roman"/>
                <w:lang w:val="en-US"/>
              </w:rPr>
            </w:pPr>
            <w:r>
              <w:rPr>
                <w:rFonts w:ascii="Times New Roman" w:hAnsi="Times New Roman" w:cs="Times New Roman"/>
                <w:lang w:val="en-US"/>
              </w:rPr>
              <w:t>0.99</w:t>
            </w:r>
            <w:r w:rsidR="00C47112" w:rsidRPr="00A0600F">
              <w:rPr>
                <w:rFonts w:ascii="Times New Roman" w:hAnsi="Times New Roman" w:cs="Times New Roman"/>
                <w:lang w:val="en-US"/>
              </w:rPr>
              <w:t xml:space="preserve"> (0.98 – </w:t>
            </w:r>
            <w:r>
              <w:rPr>
                <w:rFonts w:ascii="Times New Roman" w:hAnsi="Times New Roman" w:cs="Times New Roman"/>
                <w:lang w:val="en-US"/>
              </w:rPr>
              <w:t>0</w:t>
            </w:r>
            <w:r w:rsidR="00C47112" w:rsidRPr="00A0600F">
              <w:rPr>
                <w:rFonts w:ascii="Times New Roman" w:hAnsi="Times New Roman" w:cs="Times New Roman"/>
                <w:lang w:val="en-US"/>
              </w:rPr>
              <w:t>.</w:t>
            </w:r>
            <w:r>
              <w:rPr>
                <w:rFonts w:ascii="Times New Roman" w:hAnsi="Times New Roman" w:cs="Times New Roman"/>
                <w:lang w:val="en-US"/>
              </w:rPr>
              <w:t>99</w:t>
            </w:r>
            <w:r w:rsidR="00C47112" w:rsidRPr="00A0600F">
              <w:rPr>
                <w:rFonts w:ascii="Times New Roman" w:hAnsi="Times New Roman" w:cs="Times New Roman"/>
                <w:lang w:val="en-US"/>
              </w:rPr>
              <w:t>)</w:t>
            </w:r>
          </w:p>
        </w:tc>
        <w:tc>
          <w:tcPr>
            <w:tcW w:w="147" w:type="pct"/>
            <w:tcBorders>
              <w:top w:val="single" w:sz="12" w:space="0" w:color="auto"/>
            </w:tcBorders>
          </w:tcPr>
          <w:p w14:paraId="6C06FBD9" w14:textId="77777777" w:rsidR="00C47112" w:rsidRPr="00A0600F" w:rsidRDefault="00C47112" w:rsidP="007B3BD1">
            <w:pPr>
              <w:spacing w:before="120" w:after="60" w:line="360" w:lineRule="auto"/>
              <w:jc w:val="center"/>
              <w:rPr>
                <w:rFonts w:ascii="Times New Roman" w:hAnsi="Times New Roman" w:cs="Times New Roman"/>
                <w:lang w:val="en-US"/>
              </w:rPr>
            </w:pPr>
          </w:p>
        </w:tc>
        <w:tc>
          <w:tcPr>
            <w:tcW w:w="1691" w:type="pct"/>
            <w:tcBorders>
              <w:top w:val="single" w:sz="12" w:space="0" w:color="auto"/>
            </w:tcBorders>
          </w:tcPr>
          <w:p w14:paraId="7D06425A" w14:textId="5D60F795" w:rsidR="00C47112" w:rsidRPr="00A0600F" w:rsidRDefault="00C47112" w:rsidP="007B3BD1">
            <w:pPr>
              <w:spacing w:before="120"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C47112" w:rsidRPr="00A0600F" w14:paraId="2F225D69" w14:textId="77777777" w:rsidTr="00C47112">
        <w:tc>
          <w:tcPr>
            <w:tcW w:w="1471" w:type="pct"/>
          </w:tcPr>
          <w:p w14:paraId="26BDCED4" w14:textId="5B5AD64A"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Female</w:t>
            </w:r>
          </w:p>
        </w:tc>
        <w:tc>
          <w:tcPr>
            <w:tcW w:w="1691" w:type="pct"/>
          </w:tcPr>
          <w:p w14:paraId="5AB457DB" w14:textId="3F67860E"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0.4</w:t>
            </w:r>
            <w:r w:rsidR="00B96F11">
              <w:rPr>
                <w:rFonts w:ascii="Times New Roman" w:hAnsi="Times New Roman" w:cs="Times New Roman"/>
                <w:lang w:val="en-US"/>
              </w:rPr>
              <w:t>3</w:t>
            </w:r>
            <w:r w:rsidRPr="00A0600F">
              <w:rPr>
                <w:rFonts w:ascii="Times New Roman" w:hAnsi="Times New Roman" w:cs="Times New Roman"/>
                <w:lang w:val="en-US"/>
              </w:rPr>
              <w:t xml:space="preserve"> (0.</w:t>
            </w:r>
            <w:r w:rsidR="00B96F11">
              <w:rPr>
                <w:rFonts w:ascii="Times New Roman" w:hAnsi="Times New Roman" w:cs="Times New Roman"/>
                <w:lang w:val="en-US"/>
              </w:rPr>
              <w:t>29</w:t>
            </w:r>
            <w:r w:rsidRPr="00A0600F">
              <w:rPr>
                <w:rFonts w:ascii="Times New Roman" w:hAnsi="Times New Roman" w:cs="Times New Roman"/>
                <w:lang w:val="en-US"/>
              </w:rPr>
              <w:t xml:space="preserve"> – 0.6</w:t>
            </w:r>
            <w:r w:rsidR="00B96F11">
              <w:rPr>
                <w:rFonts w:ascii="Times New Roman" w:hAnsi="Times New Roman" w:cs="Times New Roman"/>
                <w:lang w:val="en-US"/>
              </w:rPr>
              <w:t>4</w:t>
            </w:r>
            <w:r w:rsidRPr="00A0600F">
              <w:rPr>
                <w:rFonts w:ascii="Times New Roman" w:hAnsi="Times New Roman" w:cs="Times New Roman"/>
                <w:lang w:val="en-US"/>
              </w:rPr>
              <w:t>)</w:t>
            </w:r>
          </w:p>
        </w:tc>
        <w:tc>
          <w:tcPr>
            <w:tcW w:w="147" w:type="pct"/>
          </w:tcPr>
          <w:p w14:paraId="7798CC30"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69F99A5E" w14:textId="742DACE2" w:rsidR="00C47112" w:rsidRPr="00A0600F" w:rsidRDefault="00721B81" w:rsidP="007B3BD1">
            <w:pPr>
              <w:spacing w:after="60" w:line="360" w:lineRule="auto"/>
              <w:jc w:val="center"/>
              <w:rPr>
                <w:rFonts w:ascii="Times New Roman" w:hAnsi="Times New Roman" w:cs="Times New Roman"/>
                <w:lang w:val="en-US"/>
              </w:rPr>
            </w:pPr>
            <w:r>
              <w:rPr>
                <w:rFonts w:ascii="Times New Roman" w:hAnsi="Times New Roman" w:cs="Times New Roman"/>
                <w:lang w:val="en-US"/>
              </w:rPr>
              <w:t>0.45 (0.30 – 0.67)</w:t>
            </w:r>
          </w:p>
        </w:tc>
      </w:tr>
      <w:tr w:rsidR="00FC1FA5" w:rsidRPr="00A0600F" w14:paraId="0CDA6624" w14:textId="77777777" w:rsidTr="00C47112">
        <w:tc>
          <w:tcPr>
            <w:tcW w:w="1471" w:type="pct"/>
          </w:tcPr>
          <w:p w14:paraId="54663EB0" w14:textId="3EFBDA4B" w:rsidR="00FC1FA5" w:rsidRPr="00A0600F" w:rsidRDefault="00FC1FA5" w:rsidP="00FC1FA5">
            <w:pPr>
              <w:spacing w:after="60" w:line="360" w:lineRule="auto"/>
              <w:rPr>
                <w:rFonts w:ascii="Times New Roman" w:hAnsi="Times New Roman" w:cs="Times New Roman"/>
                <w:lang w:val="en-US"/>
              </w:rPr>
            </w:pPr>
            <w:r w:rsidRPr="00A0600F">
              <w:rPr>
                <w:rFonts w:ascii="Times New Roman" w:hAnsi="Times New Roman" w:cs="Times New Roman"/>
                <w:lang w:val="en-US"/>
              </w:rPr>
              <w:t>HBsAg positive</w:t>
            </w:r>
          </w:p>
        </w:tc>
        <w:tc>
          <w:tcPr>
            <w:tcW w:w="1691" w:type="pct"/>
          </w:tcPr>
          <w:p w14:paraId="717FD2F5" w14:textId="1A86F5D1"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w:t>
            </w:r>
            <w:r w:rsidR="00721B81">
              <w:rPr>
                <w:rFonts w:ascii="Times New Roman" w:hAnsi="Times New Roman" w:cs="Times New Roman"/>
                <w:lang w:val="en-US"/>
              </w:rPr>
              <w:t>92</w:t>
            </w:r>
            <w:r w:rsidRPr="00A0600F">
              <w:rPr>
                <w:rFonts w:ascii="Times New Roman" w:hAnsi="Times New Roman" w:cs="Times New Roman"/>
                <w:lang w:val="en-US"/>
              </w:rPr>
              <w:t xml:space="preserve"> (0.</w:t>
            </w:r>
            <w:r w:rsidR="00721B81">
              <w:rPr>
                <w:rFonts w:ascii="Times New Roman" w:hAnsi="Times New Roman" w:cs="Times New Roman"/>
                <w:lang w:val="en-US"/>
              </w:rPr>
              <w:t>59</w:t>
            </w:r>
            <w:r w:rsidRPr="00A0600F">
              <w:rPr>
                <w:rFonts w:ascii="Times New Roman" w:hAnsi="Times New Roman" w:cs="Times New Roman"/>
                <w:lang w:val="en-US"/>
              </w:rPr>
              <w:t xml:space="preserve"> – 1.</w:t>
            </w:r>
            <w:r w:rsidR="00721B81">
              <w:rPr>
                <w:rFonts w:ascii="Times New Roman" w:hAnsi="Times New Roman" w:cs="Times New Roman"/>
                <w:lang w:val="en-US"/>
              </w:rPr>
              <w:t>42</w:t>
            </w:r>
            <w:r w:rsidRPr="00A0600F">
              <w:rPr>
                <w:rFonts w:ascii="Times New Roman" w:hAnsi="Times New Roman" w:cs="Times New Roman"/>
                <w:lang w:val="en-US"/>
              </w:rPr>
              <w:t>)</w:t>
            </w:r>
          </w:p>
        </w:tc>
        <w:tc>
          <w:tcPr>
            <w:tcW w:w="147" w:type="pct"/>
          </w:tcPr>
          <w:p w14:paraId="57951E15" w14:textId="77777777" w:rsidR="00FC1FA5" w:rsidRPr="00A0600F" w:rsidRDefault="00FC1FA5" w:rsidP="00FC1FA5">
            <w:pPr>
              <w:spacing w:after="60" w:line="360" w:lineRule="auto"/>
              <w:jc w:val="center"/>
              <w:rPr>
                <w:rFonts w:ascii="Times New Roman" w:hAnsi="Times New Roman" w:cs="Times New Roman"/>
                <w:lang w:val="en-US"/>
              </w:rPr>
            </w:pPr>
          </w:p>
        </w:tc>
        <w:tc>
          <w:tcPr>
            <w:tcW w:w="1691" w:type="pct"/>
          </w:tcPr>
          <w:p w14:paraId="5799DC21" w14:textId="3BDE3B48"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FC1FA5" w:rsidRPr="00A0600F" w14:paraId="6354068D" w14:textId="77777777" w:rsidTr="00C47112">
        <w:tc>
          <w:tcPr>
            <w:tcW w:w="1471" w:type="pct"/>
          </w:tcPr>
          <w:p w14:paraId="318D2369" w14:textId="0DBCFBC2" w:rsidR="00FC1FA5" w:rsidRPr="00A0600F" w:rsidRDefault="00FC1FA5" w:rsidP="00FC1FA5">
            <w:pPr>
              <w:spacing w:after="60" w:line="360" w:lineRule="auto"/>
              <w:rPr>
                <w:rFonts w:ascii="Times New Roman" w:hAnsi="Times New Roman" w:cs="Times New Roman"/>
                <w:lang w:val="en-US"/>
              </w:rPr>
            </w:pPr>
            <w:r w:rsidRPr="00A0600F">
              <w:rPr>
                <w:rFonts w:ascii="Times New Roman" w:hAnsi="Times New Roman" w:cs="Times New Roman"/>
                <w:lang w:val="en-US"/>
              </w:rPr>
              <w:t>HCV- IgG positive</w:t>
            </w:r>
          </w:p>
        </w:tc>
        <w:tc>
          <w:tcPr>
            <w:tcW w:w="1691" w:type="pct"/>
          </w:tcPr>
          <w:p w14:paraId="0E9443B0" w14:textId="048551FE"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w:t>
            </w:r>
            <w:r w:rsidR="00FC1FEB" w:rsidRPr="00A0600F">
              <w:rPr>
                <w:rFonts w:ascii="Times New Roman" w:hAnsi="Times New Roman" w:cs="Times New Roman"/>
                <w:lang w:val="en-US"/>
              </w:rPr>
              <w:t>7</w:t>
            </w:r>
            <w:r w:rsidR="00721B81">
              <w:rPr>
                <w:rFonts w:ascii="Times New Roman" w:hAnsi="Times New Roman" w:cs="Times New Roman"/>
                <w:lang w:val="en-US"/>
              </w:rPr>
              <w:t>3</w:t>
            </w:r>
            <w:r w:rsidRPr="00A0600F">
              <w:rPr>
                <w:rFonts w:ascii="Times New Roman" w:hAnsi="Times New Roman" w:cs="Times New Roman"/>
                <w:lang w:val="en-US"/>
              </w:rPr>
              <w:t xml:space="preserve"> (0.</w:t>
            </w:r>
            <w:r w:rsidR="00FC1FEB" w:rsidRPr="00A0600F">
              <w:rPr>
                <w:rFonts w:ascii="Times New Roman" w:hAnsi="Times New Roman" w:cs="Times New Roman"/>
                <w:lang w:val="en-US"/>
              </w:rPr>
              <w:t>5</w:t>
            </w:r>
            <w:r w:rsidRPr="00A0600F">
              <w:rPr>
                <w:rFonts w:ascii="Times New Roman" w:hAnsi="Times New Roman" w:cs="Times New Roman"/>
                <w:lang w:val="en-US"/>
              </w:rPr>
              <w:t>2 – 1.</w:t>
            </w:r>
            <w:r w:rsidR="00FC1FEB" w:rsidRPr="00A0600F">
              <w:rPr>
                <w:rFonts w:ascii="Times New Roman" w:hAnsi="Times New Roman" w:cs="Times New Roman"/>
                <w:lang w:val="en-US"/>
              </w:rPr>
              <w:t>0</w:t>
            </w:r>
            <w:r w:rsidR="00721B81">
              <w:rPr>
                <w:rFonts w:ascii="Times New Roman" w:hAnsi="Times New Roman" w:cs="Times New Roman"/>
                <w:lang w:val="en-US"/>
              </w:rPr>
              <w:t>1</w:t>
            </w:r>
            <w:r w:rsidRPr="00A0600F">
              <w:rPr>
                <w:rFonts w:ascii="Times New Roman" w:hAnsi="Times New Roman" w:cs="Times New Roman"/>
                <w:lang w:val="en-US"/>
              </w:rPr>
              <w:t>)</w:t>
            </w:r>
          </w:p>
        </w:tc>
        <w:tc>
          <w:tcPr>
            <w:tcW w:w="147" w:type="pct"/>
          </w:tcPr>
          <w:p w14:paraId="10DCF1E9" w14:textId="77777777" w:rsidR="00FC1FA5" w:rsidRPr="00A0600F" w:rsidRDefault="00FC1FA5" w:rsidP="00FC1FA5">
            <w:pPr>
              <w:spacing w:after="60" w:line="360" w:lineRule="auto"/>
              <w:jc w:val="center"/>
              <w:rPr>
                <w:rFonts w:ascii="Times New Roman" w:hAnsi="Times New Roman" w:cs="Times New Roman"/>
                <w:lang w:val="en-US"/>
              </w:rPr>
            </w:pPr>
          </w:p>
        </w:tc>
        <w:tc>
          <w:tcPr>
            <w:tcW w:w="1691" w:type="pct"/>
          </w:tcPr>
          <w:p w14:paraId="1A0A3A27" w14:textId="0EAFFF2C"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C47112" w:rsidRPr="00A0600F" w14:paraId="6703B76A" w14:textId="77777777" w:rsidTr="00C47112">
        <w:tc>
          <w:tcPr>
            <w:tcW w:w="1471" w:type="pct"/>
          </w:tcPr>
          <w:p w14:paraId="298C39D9"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Alcohol</w:t>
            </w:r>
          </w:p>
        </w:tc>
        <w:tc>
          <w:tcPr>
            <w:tcW w:w="1691" w:type="pct"/>
          </w:tcPr>
          <w:p w14:paraId="0393FF85" w14:textId="55DA6978"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721B81">
              <w:rPr>
                <w:rFonts w:ascii="Times New Roman" w:hAnsi="Times New Roman" w:cs="Times New Roman"/>
                <w:lang w:val="en-US"/>
              </w:rPr>
              <w:t>57</w:t>
            </w:r>
            <w:r w:rsidRPr="00A0600F">
              <w:rPr>
                <w:rFonts w:ascii="Times New Roman" w:hAnsi="Times New Roman" w:cs="Times New Roman"/>
                <w:lang w:val="en-US"/>
              </w:rPr>
              <w:t xml:space="preserve"> (1.</w:t>
            </w:r>
            <w:r w:rsidR="00721B81">
              <w:rPr>
                <w:rFonts w:ascii="Times New Roman" w:hAnsi="Times New Roman" w:cs="Times New Roman"/>
                <w:lang w:val="en-US"/>
              </w:rPr>
              <w:t>16</w:t>
            </w:r>
            <w:r w:rsidRPr="00A0600F">
              <w:rPr>
                <w:rFonts w:ascii="Times New Roman" w:hAnsi="Times New Roman" w:cs="Times New Roman"/>
                <w:lang w:val="en-US"/>
              </w:rPr>
              <w:t xml:space="preserve"> – 2.</w:t>
            </w:r>
            <w:r w:rsidR="00721B81">
              <w:rPr>
                <w:rFonts w:ascii="Times New Roman" w:hAnsi="Times New Roman" w:cs="Times New Roman"/>
                <w:lang w:val="en-US"/>
              </w:rPr>
              <w:t>13</w:t>
            </w:r>
            <w:r w:rsidRPr="00A0600F">
              <w:rPr>
                <w:rFonts w:ascii="Times New Roman" w:hAnsi="Times New Roman" w:cs="Times New Roman"/>
                <w:lang w:val="en-US"/>
              </w:rPr>
              <w:t>)</w:t>
            </w:r>
          </w:p>
        </w:tc>
        <w:tc>
          <w:tcPr>
            <w:tcW w:w="147" w:type="pct"/>
          </w:tcPr>
          <w:p w14:paraId="3809EC7E"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78E177A4" w14:textId="5EEA37FF" w:rsidR="00C47112" w:rsidRPr="00A0600F" w:rsidRDefault="00721B81" w:rsidP="007B3BD1">
            <w:pPr>
              <w:spacing w:after="60" w:line="360" w:lineRule="auto"/>
              <w:jc w:val="center"/>
              <w:rPr>
                <w:rFonts w:ascii="Times New Roman" w:hAnsi="Times New Roman" w:cs="Times New Roman"/>
                <w:lang w:val="en-US"/>
              </w:rPr>
            </w:pPr>
            <w:r>
              <w:rPr>
                <w:rFonts w:ascii="Times New Roman" w:hAnsi="Times New Roman" w:cs="Times New Roman"/>
                <w:lang w:val="en-US"/>
              </w:rPr>
              <w:t>1.33 (0.88 – 2.01)</w:t>
            </w:r>
          </w:p>
        </w:tc>
      </w:tr>
      <w:tr w:rsidR="00C47112" w:rsidRPr="00A0600F" w14:paraId="2FF2CBFB" w14:textId="77777777" w:rsidTr="00C47112">
        <w:tc>
          <w:tcPr>
            <w:tcW w:w="1471" w:type="pct"/>
          </w:tcPr>
          <w:p w14:paraId="14A043DD"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DEB-TACE</w:t>
            </w:r>
          </w:p>
        </w:tc>
        <w:tc>
          <w:tcPr>
            <w:tcW w:w="1691" w:type="pct"/>
          </w:tcPr>
          <w:p w14:paraId="63582D68" w14:textId="29899ACD"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721B81">
              <w:rPr>
                <w:rFonts w:ascii="Times New Roman" w:hAnsi="Times New Roman" w:cs="Times New Roman"/>
                <w:lang w:val="en-US"/>
              </w:rPr>
              <w:t>53</w:t>
            </w:r>
            <w:r w:rsidRPr="00A0600F">
              <w:rPr>
                <w:rFonts w:ascii="Times New Roman" w:hAnsi="Times New Roman" w:cs="Times New Roman"/>
                <w:lang w:val="en-US"/>
              </w:rPr>
              <w:t xml:space="preserve"> (1.</w:t>
            </w:r>
            <w:r w:rsidR="00721B81">
              <w:rPr>
                <w:rFonts w:ascii="Times New Roman" w:hAnsi="Times New Roman" w:cs="Times New Roman"/>
                <w:lang w:val="en-US"/>
              </w:rPr>
              <w:t>01</w:t>
            </w:r>
            <w:r w:rsidRPr="00A0600F">
              <w:rPr>
                <w:rFonts w:ascii="Times New Roman" w:hAnsi="Times New Roman" w:cs="Times New Roman"/>
                <w:lang w:val="en-US"/>
              </w:rPr>
              <w:t xml:space="preserve"> – 2.</w:t>
            </w:r>
            <w:r w:rsidR="00721B81">
              <w:rPr>
                <w:rFonts w:ascii="Times New Roman" w:hAnsi="Times New Roman" w:cs="Times New Roman"/>
                <w:lang w:val="en-US"/>
              </w:rPr>
              <w:t>31</w:t>
            </w:r>
            <w:r w:rsidRPr="00A0600F">
              <w:rPr>
                <w:rFonts w:ascii="Times New Roman" w:hAnsi="Times New Roman" w:cs="Times New Roman"/>
                <w:lang w:val="en-US"/>
              </w:rPr>
              <w:t>)</w:t>
            </w:r>
          </w:p>
        </w:tc>
        <w:tc>
          <w:tcPr>
            <w:tcW w:w="147" w:type="pct"/>
          </w:tcPr>
          <w:p w14:paraId="134B2A03"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32176552" w14:textId="164997CC" w:rsidR="00C47112" w:rsidRPr="00A0600F" w:rsidRDefault="00721B81" w:rsidP="007B3BD1">
            <w:pPr>
              <w:spacing w:after="60" w:line="360" w:lineRule="auto"/>
              <w:jc w:val="center"/>
              <w:rPr>
                <w:rFonts w:ascii="Times New Roman" w:hAnsi="Times New Roman" w:cs="Times New Roman"/>
                <w:lang w:val="en-US"/>
              </w:rPr>
            </w:pPr>
            <w:r>
              <w:rPr>
                <w:rFonts w:ascii="Times New Roman" w:hAnsi="Times New Roman" w:cs="Times New Roman"/>
                <w:lang w:val="en-US"/>
              </w:rPr>
              <w:t>1.32 (0.88 – 1.98)</w:t>
            </w:r>
          </w:p>
        </w:tc>
      </w:tr>
      <w:tr w:rsidR="00C47112" w:rsidRPr="00A0600F" w14:paraId="7A2B9686" w14:textId="77777777" w:rsidTr="00C47112">
        <w:tc>
          <w:tcPr>
            <w:tcW w:w="1471" w:type="pct"/>
          </w:tcPr>
          <w:p w14:paraId="108833C7" w14:textId="5C60E3AF" w:rsidR="00C47112" w:rsidRPr="00A0600F" w:rsidRDefault="000912A5"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 xml:space="preserve">Cone-beam </w:t>
            </w:r>
            <w:r w:rsidR="00C47112" w:rsidRPr="00A0600F">
              <w:rPr>
                <w:rFonts w:ascii="Times New Roman" w:hAnsi="Times New Roman" w:cs="Times New Roman"/>
                <w:lang w:val="en-US"/>
              </w:rPr>
              <w:t>TACE</w:t>
            </w:r>
          </w:p>
        </w:tc>
        <w:tc>
          <w:tcPr>
            <w:tcW w:w="1691" w:type="pct"/>
          </w:tcPr>
          <w:p w14:paraId="543719BB" w14:textId="42761CD7"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721B81">
              <w:rPr>
                <w:rFonts w:ascii="Times New Roman" w:hAnsi="Times New Roman" w:cs="Times New Roman"/>
                <w:lang w:val="en-US"/>
              </w:rPr>
              <w:t>1</w:t>
            </w:r>
            <w:r w:rsidR="00FC1FEB" w:rsidRPr="00A0600F">
              <w:rPr>
                <w:rFonts w:ascii="Times New Roman" w:hAnsi="Times New Roman" w:cs="Times New Roman"/>
                <w:lang w:val="en-US"/>
              </w:rPr>
              <w:t>3</w:t>
            </w:r>
            <w:r w:rsidRPr="00A0600F">
              <w:rPr>
                <w:rFonts w:ascii="Times New Roman" w:hAnsi="Times New Roman" w:cs="Times New Roman"/>
                <w:lang w:val="en-US"/>
              </w:rPr>
              <w:t xml:space="preserve"> (0.</w:t>
            </w:r>
            <w:r w:rsidR="00721B81">
              <w:rPr>
                <w:rFonts w:ascii="Times New Roman" w:hAnsi="Times New Roman" w:cs="Times New Roman"/>
                <w:lang w:val="en-US"/>
              </w:rPr>
              <w:t>64</w:t>
            </w:r>
            <w:r w:rsidRPr="00A0600F">
              <w:rPr>
                <w:rFonts w:ascii="Times New Roman" w:hAnsi="Times New Roman" w:cs="Times New Roman"/>
                <w:lang w:val="en-US"/>
              </w:rPr>
              <w:t xml:space="preserve"> – </w:t>
            </w:r>
            <w:r w:rsidR="00FC1FEB" w:rsidRPr="00A0600F">
              <w:rPr>
                <w:rFonts w:ascii="Times New Roman" w:hAnsi="Times New Roman" w:cs="Times New Roman"/>
                <w:lang w:val="en-US"/>
              </w:rPr>
              <w:t>2</w:t>
            </w:r>
            <w:r w:rsidRPr="00A0600F">
              <w:rPr>
                <w:rFonts w:ascii="Times New Roman" w:hAnsi="Times New Roman" w:cs="Times New Roman"/>
                <w:lang w:val="en-US"/>
              </w:rPr>
              <w:t>.</w:t>
            </w:r>
            <w:r w:rsidR="00721B81">
              <w:rPr>
                <w:rFonts w:ascii="Times New Roman" w:hAnsi="Times New Roman" w:cs="Times New Roman"/>
                <w:lang w:val="en-US"/>
              </w:rPr>
              <w:t>01</w:t>
            </w:r>
            <w:r w:rsidRPr="00A0600F">
              <w:rPr>
                <w:rFonts w:ascii="Times New Roman" w:hAnsi="Times New Roman" w:cs="Times New Roman"/>
                <w:lang w:val="en-US"/>
              </w:rPr>
              <w:t>)</w:t>
            </w:r>
          </w:p>
        </w:tc>
        <w:tc>
          <w:tcPr>
            <w:tcW w:w="147" w:type="pct"/>
          </w:tcPr>
          <w:p w14:paraId="5C3198BE"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1F1DE791" w14:textId="45976605"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C47112" w:rsidRPr="00A0600F" w14:paraId="11E7E0CF" w14:textId="77777777" w:rsidTr="00C47112">
        <w:tc>
          <w:tcPr>
            <w:tcW w:w="1471" w:type="pct"/>
          </w:tcPr>
          <w:p w14:paraId="753A8970"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ECOG - PS 1</w:t>
            </w:r>
          </w:p>
        </w:tc>
        <w:tc>
          <w:tcPr>
            <w:tcW w:w="1691" w:type="pct"/>
          </w:tcPr>
          <w:p w14:paraId="61B78A24" w14:textId="1D3ADAE6"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0.6</w:t>
            </w:r>
            <w:r w:rsidR="00721B81">
              <w:rPr>
                <w:rFonts w:ascii="Times New Roman" w:hAnsi="Times New Roman" w:cs="Times New Roman"/>
                <w:lang w:val="en-US"/>
              </w:rPr>
              <w:t>0</w:t>
            </w:r>
            <w:r w:rsidRPr="00A0600F">
              <w:rPr>
                <w:rFonts w:ascii="Times New Roman" w:hAnsi="Times New Roman" w:cs="Times New Roman"/>
                <w:lang w:val="en-US"/>
              </w:rPr>
              <w:t xml:space="preserve"> (0.4</w:t>
            </w:r>
            <w:r w:rsidR="00721B81">
              <w:rPr>
                <w:rFonts w:ascii="Times New Roman" w:hAnsi="Times New Roman" w:cs="Times New Roman"/>
                <w:lang w:val="en-US"/>
              </w:rPr>
              <w:t>2</w:t>
            </w:r>
            <w:r w:rsidRPr="00A0600F">
              <w:rPr>
                <w:rFonts w:ascii="Times New Roman" w:hAnsi="Times New Roman" w:cs="Times New Roman"/>
                <w:lang w:val="en-US"/>
              </w:rPr>
              <w:t xml:space="preserve"> – 0.</w:t>
            </w:r>
            <w:r w:rsidR="00721B81">
              <w:rPr>
                <w:rFonts w:ascii="Times New Roman" w:hAnsi="Times New Roman" w:cs="Times New Roman"/>
                <w:lang w:val="en-US"/>
              </w:rPr>
              <w:t>87</w:t>
            </w:r>
            <w:r w:rsidRPr="00A0600F">
              <w:rPr>
                <w:rFonts w:ascii="Times New Roman" w:hAnsi="Times New Roman" w:cs="Times New Roman"/>
                <w:lang w:val="en-US"/>
              </w:rPr>
              <w:t>)</w:t>
            </w:r>
          </w:p>
        </w:tc>
        <w:tc>
          <w:tcPr>
            <w:tcW w:w="147" w:type="pct"/>
          </w:tcPr>
          <w:p w14:paraId="0733E78B"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6E107D49" w14:textId="430A5058" w:rsidR="00C47112" w:rsidRPr="00A0600F" w:rsidRDefault="00721B81" w:rsidP="007B3BD1">
            <w:pPr>
              <w:spacing w:after="60" w:line="360" w:lineRule="auto"/>
              <w:jc w:val="center"/>
              <w:rPr>
                <w:rFonts w:ascii="Times New Roman" w:hAnsi="Times New Roman" w:cs="Times New Roman"/>
                <w:lang w:val="en-US"/>
              </w:rPr>
            </w:pPr>
            <w:r>
              <w:rPr>
                <w:rFonts w:ascii="Times New Roman" w:hAnsi="Times New Roman" w:cs="Times New Roman"/>
                <w:lang w:val="en-US"/>
              </w:rPr>
              <w:t>0.67 (0.46 – 0.97)</w:t>
            </w:r>
          </w:p>
        </w:tc>
      </w:tr>
      <w:tr w:rsidR="00C47112" w:rsidRPr="00A0600F" w14:paraId="3B622BEC" w14:textId="77777777" w:rsidTr="00C47112">
        <w:tc>
          <w:tcPr>
            <w:tcW w:w="1471" w:type="pct"/>
          </w:tcPr>
          <w:p w14:paraId="07A82198"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Child – Pugh B7</w:t>
            </w:r>
          </w:p>
        </w:tc>
        <w:tc>
          <w:tcPr>
            <w:tcW w:w="1691" w:type="pct"/>
          </w:tcPr>
          <w:p w14:paraId="581D8721" w14:textId="7EDE30AA"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506DEB" w:rsidRPr="00A0600F">
              <w:rPr>
                <w:rFonts w:ascii="Times New Roman" w:hAnsi="Times New Roman" w:cs="Times New Roman"/>
                <w:lang w:val="en-US"/>
              </w:rPr>
              <w:t>0</w:t>
            </w:r>
            <w:r w:rsidR="00721B81">
              <w:rPr>
                <w:rFonts w:ascii="Times New Roman" w:hAnsi="Times New Roman" w:cs="Times New Roman"/>
                <w:lang w:val="en-US"/>
              </w:rPr>
              <w:t>2</w:t>
            </w:r>
            <w:r w:rsidRPr="00A0600F">
              <w:rPr>
                <w:rFonts w:ascii="Times New Roman" w:hAnsi="Times New Roman" w:cs="Times New Roman"/>
                <w:lang w:val="en-US"/>
              </w:rPr>
              <w:t xml:space="preserve"> (0.</w:t>
            </w:r>
            <w:r w:rsidR="00506DEB" w:rsidRPr="00A0600F">
              <w:rPr>
                <w:rFonts w:ascii="Times New Roman" w:hAnsi="Times New Roman" w:cs="Times New Roman"/>
                <w:lang w:val="en-US"/>
              </w:rPr>
              <w:t>6</w:t>
            </w:r>
            <w:r w:rsidR="00721B81">
              <w:rPr>
                <w:rFonts w:ascii="Times New Roman" w:hAnsi="Times New Roman" w:cs="Times New Roman"/>
                <w:lang w:val="en-US"/>
              </w:rPr>
              <w:t>5</w:t>
            </w:r>
            <w:r w:rsidRPr="00A0600F">
              <w:rPr>
                <w:rFonts w:ascii="Times New Roman" w:hAnsi="Times New Roman" w:cs="Times New Roman"/>
                <w:lang w:val="en-US"/>
              </w:rPr>
              <w:t xml:space="preserve"> – 1.</w:t>
            </w:r>
            <w:r w:rsidR="00721B81">
              <w:rPr>
                <w:rFonts w:ascii="Times New Roman" w:hAnsi="Times New Roman" w:cs="Times New Roman"/>
                <w:lang w:val="en-US"/>
              </w:rPr>
              <w:t>59</w:t>
            </w:r>
            <w:r w:rsidRPr="00A0600F">
              <w:rPr>
                <w:rFonts w:ascii="Times New Roman" w:hAnsi="Times New Roman" w:cs="Times New Roman"/>
                <w:lang w:val="en-US"/>
              </w:rPr>
              <w:t>)</w:t>
            </w:r>
          </w:p>
        </w:tc>
        <w:tc>
          <w:tcPr>
            <w:tcW w:w="147" w:type="pct"/>
          </w:tcPr>
          <w:p w14:paraId="41511C2A"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58FB33DE" w14:textId="6D4669AE"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C47112" w:rsidRPr="00A0600F" w14:paraId="439A68A1" w14:textId="77777777" w:rsidTr="00C47112">
        <w:tc>
          <w:tcPr>
            <w:tcW w:w="1471" w:type="pct"/>
          </w:tcPr>
          <w:p w14:paraId="403BD2E7"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MELD score &gt;10</w:t>
            </w:r>
          </w:p>
        </w:tc>
        <w:tc>
          <w:tcPr>
            <w:tcW w:w="1691" w:type="pct"/>
          </w:tcPr>
          <w:p w14:paraId="5216BD69" w14:textId="054B3F5D"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0.9</w:t>
            </w:r>
            <w:r w:rsidR="00721B81">
              <w:rPr>
                <w:rFonts w:ascii="Times New Roman" w:hAnsi="Times New Roman" w:cs="Times New Roman"/>
                <w:lang w:val="en-US"/>
              </w:rPr>
              <w:t>0</w:t>
            </w:r>
            <w:r w:rsidRPr="00A0600F">
              <w:rPr>
                <w:rFonts w:ascii="Times New Roman" w:hAnsi="Times New Roman" w:cs="Times New Roman"/>
                <w:lang w:val="en-US"/>
              </w:rPr>
              <w:t xml:space="preserve"> (0.</w:t>
            </w:r>
            <w:r w:rsidR="00721B81">
              <w:rPr>
                <w:rFonts w:ascii="Times New Roman" w:hAnsi="Times New Roman" w:cs="Times New Roman"/>
                <w:lang w:val="en-US"/>
              </w:rPr>
              <w:t>66</w:t>
            </w:r>
            <w:r w:rsidRPr="00A0600F">
              <w:rPr>
                <w:rFonts w:ascii="Times New Roman" w:hAnsi="Times New Roman" w:cs="Times New Roman"/>
                <w:lang w:val="en-US"/>
              </w:rPr>
              <w:t xml:space="preserve"> – 1.</w:t>
            </w:r>
            <w:r w:rsidR="00506DEB" w:rsidRPr="00A0600F">
              <w:rPr>
                <w:rFonts w:ascii="Times New Roman" w:hAnsi="Times New Roman" w:cs="Times New Roman"/>
                <w:lang w:val="en-US"/>
              </w:rPr>
              <w:t>2</w:t>
            </w:r>
            <w:r w:rsidR="00721B81">
              <w:rPr>
                <w:rFonts w:ascii="Times New Roman" w:hAnsi="Times New Roman" w:cs="Times New Roman"/>
                <w:lang w:val="en-US"/>
              </w:rPr>
              <w:t>1</w:t>
            </w:r>
            <w:r w:rsidRPr="00A0600F">
              <w:rPr>
                <w:rFonts w:ascii="Times New Roman" w:hAnsi="Times New Roman" w:cs="Times New Roman"/>
                <w:lang w:val="en-US"/>
              </w:rPr>
              <w:t>)</w:t>
            </w:r>
          </w:p>
        </w:tc>
        <w:tc>
          <w:tcPr>
            <w:tcW w:w="147" w:type="pct"/>
          </w:tcPr>
          <w:p w14:paraId="58A9E910"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364FAEE1" w14:textId="5FB25D15"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C47112" w:rsidRPr="00A0600F" w14:paraId="247DEDE6" w14:textId="77777777" w:rsidTr="00C47112">
        <w:tc>
          <w:tcPr>
            <w:tcW w:w="1471" w:type="pct"/>
          </w:tcPr>
          <w:p w14:paraId="15ACC0D5"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ALBI score &gt;1</w:t>
            </w:r>
          </w:p>
        </w:tc>
        <w:tc>
          <w:tcPr>
            <w:tcW w:w="1691" w:type="pct"/>
          </w:tcPr>
          <w:p w14:paraId="1F6E64C7" w14:textId="38ACA0CA"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w:t>
            </w:r>
            <w:r w:rsidR="00721B81">
              <w:rPr>
                <w:rFonts w:ascii="Times New Roman" w:hAnsi="Times New Roman" w:cs="Times New Roman"/>
                <w:lang w:val="en-US"/>
              </w:rPr>
              <w:t>76</w:t>
            </w:r>
            <w:r w:rsidRPr="00A0600F">
              <w:rPr>
                <w:rFonts w:ascii="Times New Roman" w:hAnsi="Times New Roman" w:cs="Times New Roman"/>
                <w:lang w:val="en-US"/>
              </w:rPr>
              <w:t xml:space="preserve"> (0.</w:t>
            </w:r>
            <w:r w:rsidR="00721B81">
              <w:rPr>
                <w:rFonts w:ascii="Times New Roman" w:hAnsi="Times New Roman" w:cs="Times New Roman"/>
                <w:lang w:val="en-US"/>
              </w:rPr>
              <w:t>57</w:t>
            </w:r>
            <w:r w:rsidRPr="00A0600F">
              <w:rPr>
                <w:rFonts w:ascii="Times New Roman" w:hAnsi="Times New Roman" w:cs="Times New Roman"/>
                <w:lang w:val="en-US"/>
              </w:rPr>
              <w:t xml:space="preserve"> – 1.</w:t>
            </w:r>
            <w:r w:rsidR="00721B81">
              <w:rPr>
                <w:rFonts w:ascii="Times New Roman" w:hAnsi="Times New Roman" w:cs="Times New Roman"/>
                <w:lang w:val="en-US"/>
              </w:rPr>
              <w:t>02</w:t>
            </w:r>
            <w:r w:rsidRPr="00A0600F">
              <w:rPr>
                <w:rFonts w:ascii="Times New Roman" w:hAnsi="Times New Roman" w:cs="Times New Roman"/>
                <w:lang w:val="en-US"/>
              </w:rPr>
              <w:t>)</w:t>
            </w:r>
          </w:p>
        </w:tc>
        <w:tc>
          <w:tcPr>
            <w:tcW w:w="147" w:type="pct"/>
          </w:tcPr>
          <w:p w14:paraId="17517989"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2D54790E" w14:textId="095EDD03"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C47112" w:rsidRPr="00A0600F" w14:paraId="564B1E2F" w14:textId="77777777" w:rsidTr="00C47112">
        <w:tc>
          <w:tcPr>
            <w:tcW w:w="1471" w:type="pct"/>
          </w:tcPr>
          <w:p w14:paraId="0E1C52A5"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Single lesion</w:t>
            </w:r>
          </w:p>
        </w:tc>
        <w:tc>
          <w:tcPr>
            <w:tcW w:w="1691" w:type="pct"/>
          </w:tcPr>
          <w:p w14:paraId="6F9B3F5B" w14:textId="100B7FF4"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Ref.</w:t>
            </w:r>
          </w:p>
        </w:tc>
        <w:tc>
          <w:tcPr>
            <w:tcW w:w="147" w:type="pct"/>
          </w:tcPr>
          <w:p w14:paraId="20E7362F"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5E2D5A94" w14:textId="2BB02E26"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Ref.</w:t>
            </w:r>
          </w:p>
        </w:tc>
      </w:tr>
      <w:tr w:rsidR="00C47112" w:rsidRPr="00A0600F" w14:paraId="6517ED28" w14:textId="77777777" w:rsidTr="00C47112">
        <w:tc>
          <w:tcPr>
            <w:tcW w:w="1471" w:type="pct"/>
          </w:tcPr>
          <w:p w14:paraId="1AD1C72B"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Two or three lesions</w:t>
            </w:r>
          </w:p>
        </w:tc>
        <w:tc>
          <w:tcPr>
            <w:tcW w:w="1691" w:type="pct"/>
          </w:tcPr>
          <w:p w14:paraId="7CD28B24" w14:textId="592284D1"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721B81">
              <w:rPr>
                <w:rFonts w:ascii="Times New Roman" w:hAnsi="Times New Roman" w:cs="Times New Roman"/>
                <w:lang w:val="en-US"/>
              </w:rPr>
              <w:t>05</w:t>
            </w:r>
            <w:r w:rsidRPr="00A0600F">
              <w:rPr>
                <w:rFonts w:ascii="Times New Roman" w:hAnsi="Times New Roman" w:cs="Times New Roman"/>
                <w:lang w:val="en-US"/>
              </w:rPr>
              <w:t xml:space="preserve"> (0.</w:t>
            </w:r>
            <w:r w:rsidR="00721B81">
              <w:rPr>
                <w:rFonts w:ascii="Times New Roman" w:hAnsi="Times New Roman" w:cs="Times New Roman"/>
                <w:lang w:val="en-US"/>
              </w:rPr>
              <w:t>78</w:t>
            </w:r>
            <w:r w:rsidRPr="00A0600F">
              <w:rPr>
                <w:rFonts w:ascii="Times New Roman" w:hAnsi="Times New Roman" w:cs="Times New Roman"/>
                <w:lang w:val="en-US"/>
              </w:rPr>
              <w:t xml:space="preserve"> – 1.</w:t>
            </w:r>
            <w:r w:rsidR="00506DEB" w:rsidRPr="00A0600F">
              <w:rPr>
                <w:rFonts w:ascii="Times New Roman" w:hAnsi="Times New Roman" w:cs="Times New Roman"/>
                <w:lang w:val="en-US"/>
              </w:rPr>
              <w:t>4</w:t>
            </w:r>
            <w:r w:rsidR="00721B81">
              <w:rPr>
                <w:rFonts w:ascii="Times New Roman" w:hAnsi="Times New Roman" w:cs="Times New Roman"/>
                <w:lang w:val="en-US"/>
              </w:rPr>
              <w:t>2</w:t>
            </w:r>
            <w:r w:rsidRPr="00A0600F">
              <w:rPr>
                <w:rFonts w:ascii="Times New Roman" w:hAnsi="Times New Roman" w:cs="Times New Roman"/>
                <w:lang w:val="en-US"/>
              </w:rPr>
              <w:t>)</w:t>
            </w:r>
          </w:p>
        </w:tc>
        <w:tc>
          <w:tcPr>
            <w:tcW w:w="147" w:type="pct"/>
          </w:tcPr>
          <w:p w14:paraId="31E39F28"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3CFDE098" w14:textId="61165C66"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Ref.</w:t>
            </w:r>
          </w:p>
        </w:tc>
      </w:tr>
      <w:tr w:rsidR="00C47112" w:rsidRPr="00A0600F" w14:paraId="52BE2951" w14:textId="77777777" w:rsidTr="00C47112">
        <w:tc>
          <w:tcPr>
            <w:tcW w:w="1471" w:type="pct"/>
          </w:tcPr>
          <w:p w14:paraId="61F20034"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More than three lesions</w:t>
            </w:r>
          </w:p>
        </w:tc>
        <w:tc>
          <w:tcPr>
            <w:tcW w:w="1691" w:type="pct"/>
          </w:tcPr>
          <w:p w14:paraId="1BFEC194" w14:textId="3FAE60E2"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w:t>
            </w:r>
            <w:r w:rsidR="00721B81">
              <w:rPr>
                <w:rFonts w:ascii="Times New Roman" w:hAnsi="Times New Roman" w:cs="Times New Roman"/>
                <w:lang w:val="en-US"/>
              </w:rPr>
              <w:t>46</w:t>
            </w:r>
            <w:r w:rsidRPr="00A0600F">
              <w:rPr>
                <w:rFonts w:ascii="Times New Roman" w:hAnsi="Times New Roman" w:cs="Times New Roman"/>
                <w:lang w:val="en-US"/>
              </w:rPr>
              <w:t xml:space="preserve"> (0.</w:t>
            </w:r>
            <w:r w:rsidR="00721B81">
              <w:rPr>
                <w:rFonts w:ascii="Times New Roman" w:hAnsi="Times New Roman" w:cs="Times New Roman"/>
                <w:lang w:val="en-US"/>
              </w:rPr>
              <w:t>29</w:t>
            </w:r>
            <w:r w:rsidRPr="00A0600F">
              <w:rPr>
                <w:rFonts w:ascii="Times New Roman" w:hAnsi="Times New Roman" w:cs="Times New Roman"/>
                <w:lang w:val="en-US"/>
              </w:rPr>
              <w:t xml:space="preserve"> – 0.</w:t>
            </w:r>
            <w:r w:rsidR="00506DEB" w:rsidRPr="00A0600F">
              <w:rPr>
                <w:rFonts w:ascii="Times New Roman" w:hAnsi="Times New Roman" w:cs="Times New Roman"/>
                <w:lang w:val="en-US"/>
              </w:rPr>
              <w:t>7</w:t>
            </w:r>
            <w:r w:rsidR="00721B81">
              <w:rPr>
                <w:rFonts w:ascii="Times New Roman" w:hAnsi="Times New Roman" w:cs="Times New Roman"/>
                <w:lang w:val="en-US"/>
              </w:rPr>
              <w:t>0</w:t>
            </w:r>
            <w:r w:rsidRPr="00A0600F">
              <w:rPr>
                <w:rFonts w:ascii="Times New Roman" w:hAnsi="Times New Roman" w:cs="Times New Roman"/>
                <w:lang w:val="en-US"/>
              </w:rPr>
              <w:t>)</w:t>
            </w:r>
          </w:p>
        </w:tc>
        <w:tc>
          <w:tcPr>
            <w:tcW w:w="147" w:type="pct"/>
          </w:tcPr>
          <w:p w14:paraId="118991F4"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Pr>
          <w:p w14:paraId="30AFE43D" w14:textId="493DD616" w:rsidR="00C47112" w:rsidRPr="00A0600F" w:rsidRDefault="00721B81" w:rsidP="007B3BD1">
            <w:pPr>
              <w:spacing w:after="60" w:line="360" w:lineRule="auto"/>
              <w:jc w:val="center"/>
              <w:rPr>
                <w:rFonts w:ascii="Times New Roman" w:hAnsi="Times New Roman" w:cs="Times New Roman"/>
                <w:lang w:val="en-US"/>
              </w:rPr>
            </w:pPr>
            <w:r>
              <w:rPr>
                <w:rFonts w:ascii="Times New Roman" w:hAnsi="Times New Roman" w:cs="Times New Roman"/>
                <w:lang w:val="en-US"/>
              </w:rPr>
              <w:t>0.46 (0.31 – 0.69)</w:t>
            </w:r>
          </w:p>
        </w:tc>
      </w:tr>
      <w:tr w:rsidR="00C47112" w:rsidRPr="00A0600F" w14:paraId="71E6BE31" w14:textId="77777777" w:rsidTr="00C47112">
        <w:tc>
          <w:tcPr>
            <w:tcW w:w="1471" w:type="pct"/>
            <w:tcBorders>
              <w:bottom w:val="single" w:sz="12" w:space="0" w:color="auto"/>
            </w:tcBorders>
          </w:tcPr>
          <w:p w14:paraId="6443ED6D" w14:textId="77777777" w:rsidR="00C47112" w:rsidRPr="00A0600F" w:rsidRDefault="00C47112" w:rsidP="007B3BD1">
            <w:pPr>
              <w:spacing w:after="60" w:line="360" w:lineRule="auto"/>
              <w:rPr>
                <w:rFonts w:ascii="Times New Roman" w:hAnsi="Times New Roman" w:cs="Times New Roman"/>
                <w:lang w:val="en-US"/>
              </w:rPr>
            </w:pPr>
            <w:r w:rsidRPr="00A0600F">
              <w:rPr>
                <w:rFonts w:ascii="Times New Roman" w:hAnsi="Times New Roman" w:cs="Times New Roman"/>
                <w:lang w:val="en-US"/>
              </w:rPr>
              <w:t>Largest diameter (cm)</w:t>
            </w:r>
          </w:p>
        </w:tc>
        <w:tc>
          <w:tcPr>
            <w:tcW w:w="1691" w:type="pct"/>
            <w:tcBorders>
              <w:bottom w:val="single" w:sz="12" w:space="0" w:color="auto"/>
            </w:tcBorders>
          </w:tcPr>
          <w:p w14:paraId="1CF8691C" w14:textId="72A3539E" w:rsidR="00C47112" w:rsidRPr="00A0600F" w:rsidRDefault="00C47112" w:rsidP="007B3BD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w:t>
            </w:r>
            <w:r w:rsidR="00506DEB" w:rsidRPr="00A0600F">
              <w:rPr>
                <w:rFonts w:ascii="Times New Roman" w:hAnsi="Times New Roman" w:cs="Times New Roman"/>
                <w:lang w:val="en-US"/>
              </w:rPr>
              <w:t>8</w:t>
            </w:r>
            <w:r w:rsidR="00721B81">
              <w:rPr>
                <w:rFonts w:ascii="Times New Roman" w:hAnsi="Times New Roman" w:cs="Times New Roman"/>
                <w:lang w:val="en-US"/>
              </w:rPr>
              <w:t>1</w:t>
            </w:r>
            <w:r w:rsidRPr="00A0600F">
              <w:rPr>
                <w:rFonts w:ascii="Times New Roman" w:hAnsi="Times New Roman" w:cs="Times New Roman"/>
                <w:lang w:val="en-US"/>
              </w:rPr>
              <w:t xml:space="preserve"> (0.7</w:t>
            </w:r>
            <w:r w:rsidR="00506DEB" w:rsidRPr="00A0600F">
              <w:rPr>
                <w:rFonts w:ascii="Times New Roman" w:hAnsi="Times New Roman" w:cs="Times New Roman"/>
                <w:lang w:val="en-US"/>
              </w:rPr>
              <w:t>6</w:t>
            </w:r>
            <w:r w:rsidRPr="00A0600F">
              <w:rPr>
                <w:rFonts w:ascii="Times New Roman" w:hAnsi="Times New Roman" w:cs="Times New Roman"/>
                <w:lang w:val="en-US"/>
              </w:rPr>
              <w:t xml:space="preserve"> – 0.8</w:t>
            </w:r>
            <w:r w:rsidR="00721B81">
              <w:rPr>
                <w:rFonts w:ascii="Times New Roman" w:hAnsi="Times New Roman" w:cs="Times New Roman"/>
                <w:lang w:val="en-US"/>
              </w:rPr>
              <w:t>6</w:t>
            </w:r>
            <w:r w:rsidRPr="00A0600F">
              <w:rPr>
                <w:rFonts w:ascii="Times New Roman" w:hAnsi="Times New Roman" w:cs="Times New Roman"/>
                <w:lang w:val="en-US"/>
              </w:rPr>
              <w:t>)</w:t>
            </w:r>
          </w:p>
        </w:tc>
        <w:tc>
          <w:tcPr>
            <w:tcW w:w="147" w:type="pct"/>
            <w:tcBorders>
              <w:bottom w:val="single" w:sz="12" w:space="0" w:color="auto"/>
            </w:tcBorders>
          </w:tcPr>
          <w:p w14:paraId="4F10A9BA" w14:textId="77777777" w:rsidR="00C47112" w:rsidRPr="00A0600F" w:rsidRDefault="00C47112" w:rsidP="007B3BD1">
            <w:pPr>
              <w:spacing w:after="60" w:line="360" w:lineRule="auto"/>
              <w:jc w:val="center"/>
              <w:rPr>
                <w:rFonts w:ascii="Times New Roman" w:hAnsi="Times New Roman" w:cs="Times New Roman"/>
                <w:lang w:val="en-US"/>
              </w:rPr>
            </w:pPr>
          </w:p>
        </w:tc>
        <w:tc>
          <w:tcPr>
            <w:tcW w:w="1691" w:type="pct"/>
            <w:tcBorders>
              <w:bottom w:val="single" w:sz="12" w:space="0" w:color="auto"/>
            </w:tcBorders>
          </w:tcPr>
          <w:p w14:paraId="637D4617" w14:textId="4E1D9ECE" w:rsidR="00C47112" w:rsidRPr="00A0600F" w:rsidRDefault="00721B81" w:rsidP="007B3BD1">
            <w:pPr>
              <w:spacing w:after="60" w:line="360" w:lineRule="auto"/>
              <w:jc w:val="center"/>
              <w:rPr>
                <w:rFonts w:ascii="Times New Roman" w:hAnsi="Times New Roman" w:cs="Times New Roman"/>
                <w:lang w:val="en-US"/>
              </w:rPr>
            </w:pPr>
            <w:r>
              <w:rPr>
                <w:rFonts w:ascii="Times New Roman" w:hAnsi="Times New Roman" w:cs="Times New Roman"/>
                <w:lang w:val="en-US"/>
              </w:rPr>
              <w:t>0.83 (0.78 – 0.89)</w:t>
            </w:r>
          </w:p>
        </w:tc>
      </w:tr>
    </w:tbl>
    <w:p w14:paraId="274C5143" w14:textId="77777777" w:rsidR="002200FC" w:rsidRDefault="00721B81" w:rsidP="00DD53F5">
      <w:pPr>
        <w:spacing w:before="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residual intraclass correlation </w:t>
      </w:r>
      <w:r w:rsidR="00DD53F5">
        <w:rPr>
          <w:rFonts w:ascii="Times New Roman" w:hAnsi="Times New Roman" w:cs="Times New Roman"/>
          <w:sz w:val="20"/>
          <w:szCs w:val="20"/>
          <w:lang w:val="en-US"/>
        </w:rPr>
        <w:t>after multivariable analysis was 0.139 (95%C.I.: 0.56 – 0.31) meaning that c</w:t>
      </w:r>
      <w:r w:rsidR="00DD53F5" w:rsidRPr="00DD53F5">
        <w:rPr>
          <w:rFonts w:ascii="Times New Roman" w:hAnsi="Times New Roman" w:cs="Times New Roman"/>
          <w:sz w:val="20"/>
          <w:szCs w:val="20"/>
          <w:lang w:val="en-US"/>
        </w:rPr>
        <w:t xml:space="preserve">onditional on the fixed-effects covariates, </w:t>
      </w:r>
      <w:r w:rsidR="00DD53F5">
        <w:rPr>
          <w:rFonts w:ascii="Times New Roman" w:hAnsi="Times New Roman" w:cs="Times New Roman"/>
          <w:sz w:val="20"/>
          <w:szCs w:val="20"/>
          <w:lang w:val="en-US"/>
        </w:rPr>
        <w:t xml:space="preserve">the center effect accounts for </w:t>
      </w:r>
      <w:r w:rsidR="00DD53F5" w:rsidRPr="00DD53F5">
        <w:rPr>
          <w:rFonts w:ascii="Times New Roman" w:hAnsi="Times New Roman" w:cs="Times New Roman"/>
          <w:sz w:val="20"/>
          <w:szCs w:val="20"/>
          <w:lang w:val="en-US"/>
        </w:rPr>
        <w:t xml:space="preserve">approximately </w:t>
      </w:r>
      <w:r w:rsidR="00DD53F5">
        <w:rPr>
          <w:rFonts w:ascii="Times New Roman" w:hAnsi="Times New Roman" w:cs="Times New Roman"/>
          <w:sz w:val="20"/>
          <w:szCs w:val="20"/>
          <w:lang w:val="en-US"/>
        </w:rPr>
        <w:t>13.9</w:t>
      </w:r>
      <w:r w:rsidR="00DD53F5" w:rsidRPr="00DD53F5">
        <w:rPr>
          <w:rFonts w:ascii="Times New Roman" w:hAnsi="Times New Roman" w:cs="Times New Roman"/>
          <w:sz w:val="20"/>
          <w:szCs w:val="20"/>
          <w:lang w:val="en-US"/>
        </w:rPr>
        <w:t xml:space="preserve">% of the total residual variance. </w:t>
      </w:r>
    </w:p>
    <w:p w14:paraId="56C4A451" w14:textId="5F2862AD" w:rsidR="00721B81" w:rsidRDefault="00EF5D8F" w:rsidP="00DD53F5">
      <w:pPr>
        <w:spacing w:before="120"/>
        <w:jc w:val="both"/>
        <w:rPr>
          <w:rFonts w:ascii="Times New Roman" w:hAnsi="Times New Roman" w:cs="Times New Roman"/>
          <w:b/>
          <w:bCs/>
          <w:sz w:val="24"/>
          <w:szCs w:val="24"/>
          <w:lang w:val="en-US"/>
        </w:rPr>
      </w:pPr>
      <w:r>
        <w:rPr>
          <w:rFonts w:ascii="Times New Roman" w:hAnsi="Times New Roman" w:cs="Times New Roman"/>
          <w:sz w:val="20"/>
          <w:szCs w:val="20"/>
          <w:lang w:val="en-US"/>
        </w:rPr>
        <w:t>The</w:t>
      </w:r>
      <w:r w:rsidR="002200FC">
        <w:rPr>
          <w:rFonts w:ascii="Times New Roman" w:hAnsi="Times New Roman" w:cs="Times New Roman"/>
          <w:sz w:val="20"/>
          <w:szCs w:val="20"/>
          <w:lang w:val="en-US"/>
        </w:rPr>
        <w:t xml:space="preserve"> final mixed-effect logistic regression </w:t>
      </w:r>
      <w:r>
        <w:rPr>
          <w:rFonts w:ascii="Times New Roman" w:hAnsi="Times New Roman" w:cs="Times New Roman"/>
          <w:sz w:val="20"/>
          <w:szCs w:val="20"/>
          <w:lang w:val="en-US"/>
        </w:rPr>
        <w:t>had</w:t>
      </w:r>
      <w:r w:rsidR="002200FC">
        <w:rPr>
          <w:rFonts w:ascii="Times New Roman" w:hAnsi="Times New Roman" w:cs="Times New Roman"/>
          <w:sz w:val="20"/>
          <w:szCs w:val="20"/>
          <w:lang w:val="en-US"/>
        </w:rPr>
        <w:t xml:space="preserve"> an AUC of </w:t>
      </w:r>
      <w:r>
        <w:rPr>
          <w:rFonts w:ascii="Times New Roman" w:hAnsi="Times New Roman" w:cs="Times New Roman"/>
          <w:sz w:val="20"/>
          <w:szCs w:val="20"/>
          <w:lang w:val="en-US"/>
        </w:rPr>
        <w:t xml:space="preserve">0.751 (95%C.I.: 0.72 – 0.78) and the corresponding plot is reported in the </w:t>
      </w:r>
      <w:r w:rsidRPr="00EF5D8F">
        <w:rPr>
          <w:rFonts w:ascii="Times New Roman" w:hAnsi="Times New Roman" w:cs="Times New Roman"/>
          <w:i/>
          <w:iCs/>
          <w:sz w:val="20"/>
          <w:szCs w:val="20"/>
          <w:u w:val="single"/>
          <w:lang w:val="en-US"/>
        </w:rPr>
        <w:t>Supplementary Figure 1</w:t>
      </w:r>
      <w:r>
        <w:rPr>
          <w:rFonts w:ascii="Times New Roman" w:hAnsi="Times New Roman" w:cs="Times New Roman"/>
          <w:sz w:val="20"/>
          <w:szCs w:val="20"/>
          <w:lang w:val="en-US"/>
        </w:rPr>
        <w:t xml:space="preserve">. </w:t>
      </w:r>
      <w:r w:rsidR="00721B81">
        <w:rPr>
          <w:rFonts w:ascii="Times New Roman" w:hAnsi="Times New Roman" w:cs="Times New Roman"/>
          <w:b/>
          <w:bCs/>
          <w:sz w:val="24"/>
          <w:szCs w:val="24"/>
          <w:lang w:val="en-US"/>
        </w:rPr>
        <w:br w:type="page"/>
      </w:r>
    </w:p>
    <w:p w14:paraId="05342E48" w14:textId="3D67EB8F" w:rsidR="00E55CB1" w:rsidRPr="00A0600F" w:rsidRDefault="00E55CB1" w:rsidP="00E55CB1">
      <w:pPr>
        <w:rPr>
          <w:rFonts w:ascii="Times New Roman" w:hAnsi="Times New Roman" w:cs="Times New Roman"/>
          <w:sz w:val="24"/>
          <w:szCs w:val="24"/>
          <w:lang w:val="en-US"/>
        </w:rPr>
      </w:pPr>
      <w:r w:rsidRPr="00A0600F">
        <w:rPr>
          <w:rFonts w:ascii="Times New Roman" w:hAnsi="Times New Roman" w:cs="Times New Roman"/>
          <w:b/>
          <w:bCs/>
          <w:sz w:val="24"/>
          <w:szCs w:val="24"/>
          <w:lang w:val="en-US"/>
        </w:rPr>
        <w:lastRenderedPageBreak/>
        <w:t>Table 4.</w:t>
      </w:r>
      <w:r w:rsidRPr="00A0600F">
        <w:rPr>
          <w:rFonts w:ascii="Times New Roman" w:hAnsi="Times New Roman" w:cs="Times New Roman"/>
          <w:sz w:val="24"/>
          <w:szCs w:val="24"/>
          <w:lang w:val="en-US"/>
        </w:rPr>
        <w:t xml:space="preserve"> Results from Cox regression with TO as time-dependent covariate, on overall survival.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0"/>
        <w:gridCol w:w="283"/>
        <w:gridCol w:w="3260"/>
      </w:tblGrid>
      <w:tr w:rsidR="00E55CB1" w:rsidRPr="00A0600F" w14:paraId="60A7F179" w14:textId="77777777" w:rsidTr="00EA03C1">
        <w:tc>
          <w:tcPr>
            <w:tcW w:w="1471" w:type="pct"/>
            <w:tcBorders>
              <w:top w:val="single" w:sz="12" w:space="0" w:color="auto"/>
            </w:tcBorders>
          </w:tcPr>
          <w:p w14:paraId="3DE039A0" w14:textId="77777777" w:rsidR="00E55CB1" w:rsidRPr="00A0600F" w:rsidRDefault="00E55CB1" w:rsidP="00EA03C1">
            <w:pPr>
              <w:spacing w:before="120" w:after="120"/>
              <w:rPr>
                <w:rFonts w:ascii="Times New Roman" w:hAnsi="Times New Roman" w:cs="Times New Roman"/>
                <w:b/>
                <w:bCs/>
                <w:lang w:val="en-US"/>
              </w:rPr>
            </w:pPr>
          </w:p>
        </w:tc>
        <w:tc>
          <w:tcPr>
            <w:tcW w:w="1691" w:type="pct"/>
            <w:tcBorders>
              <w:top w:val="single" w:sz="12" w:space="0" w:color="auto"/>
              <w:bottom w:val="single" w:sz="12" w:space="0" w:color="auto"/>
            </w:tcBorders>
          </w:tcPr>
          <w:p w14:paraId="5E0F952D" w14:textId="77777777" w:rsidR="00E55CB1" w:rsidRPr="00A0600F" w:rsidRDefault="00E55CB1" w:rsidP="00EA03C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Simple regression</w:t>
            </w:r>
          </w:p>
        </w:tc>
        <w:tc>
          <w:tcPr>
            <w:tcW w:w="147" w:type="pct"/>
            <w:tcBorders>
              <w:top w:val="single" w:sz="12" w:space="0" w:color="auto"/>
            </w:tcBorders>
          </w:tcPr>
          <w:p w14:paraId="16DAC853" w14:textId="77777777" w:rsidR="00E55CB1" w:rsidRPr="00A0600F" w:rsidRDefault="00E55CB1" w:rsidP="00EA03C1">
            <w:pPr>
              <w:spacing w:before="120" w:after="120"/>
              <w:jc w:val="center"/>
              <w:rPr>
                <w:rFonts w:ascii="Times New Roman" w:hAnsi="Times New Roman" w:cs="Times New Roman"/>
                <w:b/>
                <w:bCs/>
                <w:lang w:val="en-US"/>
              </w:rPr>
            </w:pPr>
          </w:p>
        </w:tc>
        <w:tc>
          <w:tcPr>
            <w:tcW w:w="1691" w:type="pct"/>
            <w:tcBorders>
              <w:top w:val="single" w:sz="12" w:space="0" w:color="auto"/>
              <w:bottom w:val="single" w:sz="12" w:space="0" w:color="auto"/>
            </w:tcBorders>
          </w:tcPr>
          <w:p w14:paraId="6243DDFC" w14:textId="3B039DFA" w:rsidR="00E55CB1" w:rsidRPr="00A0600F" w:rsidRDefault="00E55CB1" w:rsidP="00EA03C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Multivariable regression*</w:t>
            </w:r>
          </w:p>
        </w:tc>
      </w:tr>
      <w:tr w:rsidR="00E55CB1" w:rsidRPr="00A0600F" w14:paraId="3B65A0D0" w14:textId="77777777" w:rsidTr="00EA03C1">
        <w:tc>
          <w:tcPr>
            <w:tcW w:w="1471" w:type="pct"/>
            <w:tcBorders>
              <w:bottom w:val="single" w:sz="12" w:space="0" w:color="auto"/>
            </w:tcBorders>
          </w:tcPr>
          <w:p w14:paraId="25E7A280" w14:textId="77777777" w:rsidR="00E55CB1" w:rsidRPr="00A0600F" w:rsidRDefault="00E55CB1" w:rsidP="00EA03C1">
            <w:pPr>
              <w:spacing w:before="120" w:after="120"/>
              <w:rPr>
                <w:rFonts w:ascii="Times New Roman" w:hAnsi="Times New Roman" w:cs="Times New Roman"/>
                <w:b/>
                <w:bCs/>
                <w:lang w:val="en-US"/>
              </w:rPr>
            </w:pPr>
            <w:r w:rsidRPr="00A0600F">
              <w:rPr>
                <w:rFonts w:ascii="Times New Roman" w:hAnsi="Times New Roman" w:cs="Times New Roman"/>
                <w:b/>
                <w:bCs/>
                <w:lang w:val="en-US"/>
              </w:rPr>
              <w:t>Characteristic</w:t>
            </w:r>
          </w:p>
        </w:tc>
        <w:tc>
          <w:tcPr>
            <w:tcW w:w="1691" w:type="pct"/>
            <w:tcBorders>
              <w:top w:val="single" w:sz="12" w:space="0" w:color="auto"/>
              <w:bottom w:val="single" w:sz="12" w:space="0" w:color="auto"/>
            </w:tcBorders>
          </w:tcPr>
          <w:p w14:paraId="4251BF6C" w14:textId="76A84D90" w:rsidR="00E55CB1" w:rsidRPr="00A0600F" w:rsidRDefault="00E55CB1" w:rsidP="00EA03C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HR (95%C.I.)</w:t>
            </w:r>
          </w:p>
        </w:tc>
        <w:tc>
          <w:tcPr>
            <w:tcW w:w="147" w:type="pct"/>
            <w:tcBorders>
              <w:bottom w:val="single" w:sz="12" w:space="0" w:color="auto"/>
            </w:tcBorders>
          </w:tcPr>
          <w:p w14:paraId="5529718B" w14:textId="77777777" w:rsidR="00E55CB1" w:rsidRPr="00A0600F" w:rsidRDefault="00E55CB1" w:rsidP="00EA03C1">
            <w:pPr>
              <w:spacing w:before="120" w:after="120"/>
              <w:jc w:val="center"/>
              <w:rPr>
                <w:rFonts w:ascii="Times New Roman" w:hAnsi="Times New Roman" w:cs="Times New Roman"/>
                <w:b/>
                <w:bCs/>
                <w:lang w:val="en-US"/>
              </w:rPr>
            </w:pPr>
          </w:p>
        </w:tc>
        <w:tc>
          <w:tcPr>
            <w:tcW w:w="1691" w:type="pct"/>
            <w:tcBorders>
              <w:top w:val="single" w:sz="12" w:space="0" w:color="auto"/>
              <w:bottom w:val="single" w:sz="12" w:space="0" w:color="auto"/>
            </w:tcBorders>
          </w:tcPr>
          <w:p w14:paraId="31F5BD22" w14:textId="762D1821" w:rsidR="00E55CB1" w:rsidRPr="00A0600F" w:rsidRDefault="00E55CB1" w:rsidP="00EA03C1">
            <w:pPr>
              <w:spacing w:before="120" w:after="120"/>
              <w:jc w:val="center"/>
              <w:rPr>
                <w:rFonts w:ascii="Times New Roman" w:hAnsi="Times New Roman" w:cs="Times New Roman"/>
                <w:b/>
                <w:bCs/>
                <w:lang w:val="en-US"/>
              </w:rPr>
            </w:pPr>
            <w:r w:rsidRPr="00A0600F">
              <w:rPr>
                <w:rFonts w:ascii="Times New Roman" w:hAnsi="Times New Roman" w:cs="Times New Roman"/>
                <w:b/>
                <w:bCs/>
                <w:lang w:val="en-US"/>
              </w:rPr>
              <w:t>HR (95%C.I.)</w:t>
            </w:r>
          </w:p>
        </w:tc>
      </w:tr>
      <w:tr w:rsidR="0036013C" w:rsidRPr="00A0600F" w14:paraId="79BB082D" w14:textId="77777777" w:rsidTr="0036013C">
        <w:trPr>
          <w:trHeight w:val="298"/>
        </w:trPr>
        <w:tc>
          <w:tcPr>
            <w:tcW w:w="1471" w:type="pct"/>
            <w:tcBorders>
              <w:top w:val="single" w:sz="12" w:space="0" w:color="auto"/>
            </w:tcBorders>
          </w:tcPr>
          <w:p w14:paraId="3C1A7199" w14:textId="20226089" w:rsidR="0036013C" w:rsidRPr="00A0600F" w:rsidRDefault="0036013C" w:rsidP="0036013C">
            <w:pPr>
              <w:spacing w:before="120" w:line="360" w:lineRule="auto"/>
              <w:rPr>
                <w:rFonts w:ascii="Times New Roman" w:hAnsi="Times New Roman" w:cs="Times New Roman"/>
                <w:lang w:val="en-US"/>
              </w:rPr>
            </w:pPr>
            <w:r w:rsidRPr="00A0600F">
              <w:rPr>
                <w:rFonts w:ascii="Times New Roman" w:hAnsi="Times New Roman" w:cs="Times New Roman"/>
                <w:lang w:val="en-US"/>
              </w:rPr>
              <w:t>TO achievement</w:t>
            </w:r>
          </w:p>
        </w:tc>
        <w:tc>
          <w:tcPr>
            <w:tcW w:w="1691" w:type="pct"/>
            <w:tcBorders>
              <w:top w:val="single" w:sz="12" w:space="0" w:color="auto"/>
            </w:tcBorders>
          </w:tcPr>
          <w:p w14:paraId="5D84D0E6" w14:textId="2A11A2C5" w:rsidR="0036013C" w:rsidRPr="00A0600F" w:rsidRDefault="0036013C" w:rsidP="0036013C">
            <w:pPr>
              <w:spacing w:before="120" w:line="360" w:lineRule="auto"/>
              <w:jc w:val="center"/>
              <w:rPr>
                <w:rFonts w:ascii="Times New Roman" w:hAnsi="Times New Roman" w:cs="Times New Roman"/>
                <w:lang w:val="en-US"/>
              </w:rPr>
            </w:pPr>
            <w:r w:rsidRPr="00A0600F">
              <w:rPr>
                <w:rFonts w:ascii="Times New Roman" w:hAnsi="Times New Roman" w:cs="Times New Roman"/>
                <w:lang w:val="en-US"/>
              </w:rPr>
              <w:t>0.</w:t>
            </w:r>
            <w:r w:rsidR="00666C96" w:rsidRPr="00A0600F">
              <w:rPr>
                <w:rFonts w:ascii="Times New Roman" w:hAnsi="Times New Roman" w:cs="Times New Roman"/>
                <w:lang w:val="en-US"/>
              </w:rPr>
              <w:t>57</w:t>
            </w:r>
            <w:r w:rsidR="0033530E" w:rsidRPr="00A0600F">
              <w:rPr>
                <w:rFonts w:ascii="Times New Roman" w:hAnsi="Times New Roman" w:cs="Times New Roman"/>
                <w:lang w:val="en-US"/>
              </w:rPr>
              <w:t xml:space="preserve"> (0.4</w:t>
            </w:r>
            <w:r w:rsidR="00666C96" w:rsidRPr="00A0600F">
              <w:rPr>
                <w:rFonts w:ascii="Times New Roman" w:hAnsi="Times New Roman" w:cs="Times New Roman"/>
                <w:lang w:val="en-US"/>
              </w:rPr>
              <w:t>4</w:t>
            </w:r>
            <w:r w:rsidR="0033530E" w:rsidRPr="00A0600F">
              <w:rPr>
                <w:rFonts w:ascii="Times New Roman" w:hAnsi="Times New Roman" w:cs="Times New Roman"/>
                <w:lang w:val="en-US"/>
              </w:rPr>
              <w:t xml:space="preserve"> – 0.7</w:t>
            </w:r>
            <w:r w:rsidR="00666C96" w:rsidRPr="00A0600F">
              <w:rPr>
                <w:rFonts w:ascii="Times New Roman" w:hAnsi="Times New Roman" w:cs="Times New Roman"/>
                <w:lang w:val="en-US"/>
              </w:rPr>
              <w:t>2</w:t>
            </w:r>
            <w:r w:rsidR="0033530E" w:rsidRPr="00A0600F">
              <w:rPr>
                <w:rFonts w:ascii="Times New Roman" w:hAnsi="Times New Roman" w:cs="Times New Roman"/>
                <w:lang w:val="en-US"/>
              </w:rPr>
              <w:t>)</w:t>
            </w:r>
          </w:p>
        </w:tc>
        <w:tc>
          <w:tcPr>
            <w:tcW w:w="147" w:type="pct"/>
            <w:tcBorders>
              <w:top w:val="single" w:sz="12" w:space="0" w:color="auto"/>
            </w:tcBorders>
          </w:tcPr>
          <w:p w14:paraId="4B4EEAFC" w14:textId="77777777" w:rsidR="0036013C" w:rsidRPr="00A0600F" w:rsidRDefault="0036013C" w:rsidP="0036013C">
            <w:pPr>
              <w:spacing w:before="120" w:line="360" w:lineRule="auto"/>
              <w:jc w:val="center"/>
              <w:rPr>
                <w:rFonts w:ascii="Times New Roman" w:hAnsi="Times New Roman" w:cs="Times New Roman"/>
                <w:lang w:val="en-US"/>
              </w:rPr>
            </w:pPr>
          </w:p>
        </w:tc>
        <w:tc>
          <w:tcPr>
            <w:tcW w:w="1691" w:type="pct"/>
            <w:tcBorders>
              <w:top w:val="single" w:sz="12" w:space="0" w:color="auto"/>
            </w:tcBorders>
          </w:tcPr>
          <w:p w14:paraId="2D99A0D0" w14:textId="4285CDE1" w:rsidR="0036013C" w:rsidRPr="00A0600F" w:rsidRDefault="0033530E" w:rsidP="0036013C">
            <w:pPr>
              <w:spacing w:before="120" w:line="360" w:lineRule="auto"/>
              <w:jc w:val="center"/>
              <w:rPr>
                <w:rFonts w:ascii="Times New Roman" w:hAnsi="Times New Roman" w:cs="Times New Roman"/>
                <w:lang w:val="en-US"/>
              </w:rPr>
            </w:pPr>
            <w:r w:rsidRPr="00A0600F">
              <w:rPr>
                <w:rFonts w:ascii="Times New Roman" w:hAnsi="Times New Roman" w:cs="Times New Roman"/>
                <w:lang w:val="en-US"/>
              </w:rPr>
              <w:t>0.</w:t>
            </w:r>
            <w:r w:rsidR="000137DF" w:rsidRPr="00A0600F">
              <w:rPr>
                <w:rFonts w:ascii="Times New Roman" w:hAnsi="Times New Roman" w:cs="Times New Roman"/>
                <w:lang w:val="en-US"/>
              </w:rPr>
              <w:t>57</w:t>
            </w:r>
            <w:r w:rsidRPr="00A0600F">
              <w:rPr>
                <w:rFonts w:ascii="Times New Roman" w:hAnsi="Times New Roman" w:cs="Times New Roman"/>
                <w:lang w:val="en-US"/>
              </w:rPr>
              <w:t xml:space="preserve"> (0.4</w:t>
            </w:r>
            <w:r w:rsidR="000137DF" w:rsidRPr="00A0600F">
              <w:rPr>
                <w:rFonts w:ascii="Times New Roman" w:hAnsi="Times New Roman" w:cs="Times New Roman"/>
                <w:lang w:val="en-US"/>
              </w:rPr>
              <w:t>6</w:t>
            </w:r>
            <w:r w:rsidRPr="00A0600F">
              <w:rPr>
                <w:rFonts w:ascii="Times New Roman" w:hAnsi="Times New Roman" w:cs="Times New Roman"/>
                <w:lang w:val="en-US"/>
              </w:rPr>
              <w:t xml:space="preserve"> – 0.7</w:t>
            </w:r>
            <w:r w:rsidR="000137DF" w:rsidRPr="00A0600F">
              <w:rPr>
                <w:rFonts w:ascii="Times New Roman" w:hAnsi="Times New Roman" w:cs="Times New Roman"/>
                <w:lang w:val="en-US"/>
              </w:rPr>
              <w:t>0</w:t>
            </w:r>
            <w:r w:rsidRPr="00A0600F">
              <w:rPr>
                <w:rFonts w:ascii="Times New Roman" w:hAnsi="Times New Roman" w:cs="Times New Roman"/>
                <w:lang w:val="en-US"/>
              </w:rPr>
              <w:t>)</w:t>
            </w:r>
          </w:p>
        </w:tc>
      </w:tr>
      <w:tr w:rsidR="00E55CB1" w:rsidRPr="00A0600F" w14:paraId="1AA8375B" w14:textId="77777777" w:rsidTr="0036013C">
        <w:tc>
          <w:tcPr>
            <w:tcW w:w="1471" w:type="pct"/>
          </w:tcPr>
          <w:p w14:paraId="44D70EC6" w14:textId="77777777" w:rsidR="00E55CB1" w:rsidRPr="00A0600F" w:rsidRDefault="00E55CB1" w:rsidP="0036013C">
            <w:pPr>
              <w:spacing w:after="60" w:line="360" w:lineRule="auto"/>
              <w:rPr>
                <w:rFonts w:ascii="Times New Roman" w:hAnsi="Times New Roman" w:cs="Times New Roman"/>
                <w:lang w:val="en-US"/>
              </w:rPr>
            </w:pPr>
            <w:r w:rsidRPr="00A0600F">
              <w:rPr>
                <w:rFonts w:ascii="Times New Roman" w:hAnsi="Times New Roman" w:cs="Times New Roman"/>
                <w:lang w:val="en-US"/>
              </w:rPr>
              <w:t>Age (years)</w:t>
            </w:r>
          </w:p>
        </w:tc>
        <w:tc>
          <w:tcPr>
            <w:tcW w:w="1691" w:type="pct"/>
          </w:tcPr>
          <w:p w14:paraId="095E9926" w14:textId="43FF70BB" w:rsidR="00E55CB1" w:rsidRPr="00A0600F" w:rsidRDefault="00E55CB1" w:rsidP="0036013C">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1.01 (0.99 – 1.02)</w:t>
            </w:r>
          </w:p>
        </w:tc>
        <w:tc>
          <w:tcPr>
            <w:tcW w:w="147" w:type="pct"/>
          </w:tcPr>
          <w:p w14:paraId="0D260AC5" w14:textId="77777777" w:rsidR="00E55CB1" w:rsidRPr="00A0600F" w:rsidRDefault="00E55CB1" w:rsidP="0036013C">
            <w:pPr>
              <w:spacing w:after="60" w:line="360" w:lineRule="auto"/>
              <w:jc w:val="center"/>
              <w:rPr>
                <w:rFonts w:ascii="Times New Roman" w:hAnsi="Times New Roman" w:cs="Times New Roman"/>
                <w:lang w:val="en-US"/>
              </w:rPr>
            </w:pPr>
          </w:p>
        </w:tc>
        <w:tc>
          <w:tcPr>
            <w:tcW w:w="1691" w:type="pct"/>
          </w:tcPr>
          <w:p w14:paraId="0777D161" w14:textId="77777777" w:rsidR="00E55CB1" w:rsidRPr="00A0600F" w:rsidRDefault="00E55CB1" w:rsidP="0036013C">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E55CB1" w:rsidRPr="00A0600F" w14:paraId="53C29F63" w14:textId="77777777" w:rsidTr="00EA03C1">
        <w:tc>
          <w:tcPr>
            <w:tcW w:w="1471" w:type="pct"/>
          </w:tcPr>
          <w:p w14:paraId="42604B9D" w14:textId="12966AD4"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Female</w:t>
            </w:r>
            <w:r w:rsidR="00666C96" w:rsidRPr="00A0600F">
              <w:rPr>
                <w:rFonts w:ascii="Times New Roman" w:hAnsi="Times New Roman" w:cs="Times New Roman"/>
                <w:lang w:val="en-US"/>
              </w:rPr>
              <w:t xml:space="preserve"> *</w:t>
            </w:r>
          </w:p>
        </w:tc>
        <w:tc>
          <w:tcPr>
            <w:tcW w:w="1691" w:type="pct"/>
          </w:tcPr>
          <w:p w14:paraId="0341B0AA" w14:textId="236FFC60" w:rsidR="00E55CB1" w:rsidRPr="00A0600F" w:rsidRDefault="004461C1"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w:t>
            </w:r>
            <w:r w:rsidR="00666C96" w:rsidRPr="00A0600F">
              <w:rPr>
                <w:rFonts w:ascii="Times New Roman" w:hAnsi="Times New Roman" w:cs="Times New Roman"/>
                <w:lang w:val="en-US"/>
              </w:rPr>
              <w:t>96</w:t>
            </w:r>
            <w:r w:rsidRPr="00A0600F">
              <w:rPr>
                <w:rFonts w:ascii="Times New Roman" w:hAnsi="Times New Roman" w:cs="Times New Roman"/>
                <w:lang w:val="en-US"/>
              </w:rPr>
              <w:t xml:space="preserve"> (0.</w:t>
            </w:r>
            <w:r w:rsidR="00666C96" w:rsidRPr="00A0600F">
              <w:rPr>
                <w:rFonts w:ascii="Times New Roman" w:hAnsi="Times New Roman" w:cs="Times New Roman"/>
                <w:lang w:val="en-US"/>
              </w:rPr>
              <w:t>74</w:t>
            </w:r>
            <w:r w:rsidRPr="00A0600F">
              <w:rPr>
                <w:rFonts w:ascii="Times New Roman" w:hAnsi="Times New Roman" w:cs="Times New Roman"/>
                <w:lang w:val="en-US"/>
              </w:rPr>
              <w:t xml:space="preserve"> – 1.</w:t>
            </w:r>
            <w:r w:rsidR="00666C96" w:rsidRPr="00A0600F">
              <w:rPr>
                <w:rFonts w:ascii="Times New Roman" w:hAnsi="Times New Roman" w:cs="Times New Roman"/>
                <w:lang w:val="en-US"/>
              </w:rPr>
              <w:t>23</w:t>
            </w:r>
            <w:r w:rsidRPr="00A0600F">
              <w:rPr>
                <w:rFonts w:ascii="Times New Roman" w:hAnsi="Times New Roman" w:cs="Times New Roman"/>
                <w:lang w:val="en-US"/>
              </w:rPr>
              <w:t>)</w:t>
            </w:r>
          </w:p>
        </w:tc>
        <w:tc>
          <w:tcPr>
            <w:tcW w:w="147" w:type="pct"/>
          </w:tcPr>
          <w:p w14:paraId="0A230915"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7D201B42" w14:textId="262551B9"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Not evaluated</w:t>
            </w:r>
          </w:p>
        </w:tc>
      </w:tr>
      <w:tr w:rsidR="00FC1FA5" w:rsidRPr="00A0600F" w14:paraId="49A53177" w14:textId="77777777" w:rsidTr="00EA03C1">
        <w:tc>
          <w:tcPr>
            <w:tcW w:w="1471" w:type="pct"/>
          </w:tcPr>
          <w:p w14:paraId="6C698396" w14:textId="177CEB22" w:rsidR="00FC1FA5" w:rsidRPr="00A0600F" w:rsidRDefault="00FC1FA5" w:rsidP="00FC1FA5">
            <w:pPr>
              <w:spacing w:after="60" w:line="360" w:lineRule="auto"/>
              <w:rPr>
                <w:rFonts w:ascii="Times New Roman" w:hAnsi="Times New Roman" w:cs="Times New Roman"/>
                <w:lang w:val="en-US"/>
              </w:rPr>
            </w:pPr>
            <w:r w:rsidRPr="00A0600F">
              <w:rPr>
                <w:rFonts w:ascii="Times New Roman" w:hAnsi="Times New Roman" w:cs="Times New Roman"/>
                <w:lang w:val="en-US"/>
              </w:rPr>
              <w:t>HBsAg positive</w:t>
            </w:r>
          </w:p>
        </w:tc>
        <w:tc>
          <w:tcPr>
            <w:tcW w:w="1691" w:type="pct"/>
          </w:tcPr>
          <w:p w14:paraId="26E9FD8A" w14:textId="0D8D3BAE"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0.8</w:t>
            </w:r>
            <w:r w:rsidR="00666C96" w:rsidRPr="00A0600F">
              <w:rPr>
                <w:rFonts w:ascii="Times New Roman" w:hAnsi="Times New Roman" w:cs="Times New Roman"/>
                <w:lang w:val="en-US"/>
              </w:rPr>
              <w:t>8</w:t>
            </w:r>
            <w:r w:rsidRPr="00A0600F">
              <w:rPr>
                <w:rFonts w:ascii="Times New Roman" w:hAnsi="Times New Roman" w:cs="Times New Roman"/>
                <w:lang w:val="en-US"/>
              </w:rPr>
              <w:t xml:space="preserve"> (0.6</w:t>
            </w:r>
            <w:r w:rsidR="00666C96" w:rsidRPr="00A0600F">
              <w:rPr>
                <w:rFonts w:ascii="Times New Roman" w:hAnsi="Times New Roman" w:cs="Times New Roman"/>
                <w:lang w:val="en-US"/>
              </w:rPr>
              <w:t>1</w:t>
            </w:r>
            <w:r w:rsidRPr="00A0600F">
              <w:rPr>
                <w:rFonts w:ascii="Times New Roman" w:hAnsi="Times New Roman" w:cs="Times New Roman"/>
                <w:lang w:val="en-US"/>
              </w:rPr>
              <w:t xml:space="preserve"> – 1.</w:t>
            </w:r>
            <w:r w:rsidR="00666C96" w:rsidRPr="00A0600F">
              <w:rPr>
                <w:rFonts w:ascii="Times New Roman" w:hAnsi="Times New Roman" w:cs="Times New Roman"/>
                <w:lang w:val="en-US"/>
              </w:rPr>
              <w:t>27</w:t>
            </w:r>
            <w:r w:rsidRPr="00A0600F">
              <w:rPr>
                <w:rFonts w:ascii="Times New Roman" w:hAnsi="Times New Roman" w:cs="Times New Roman"/>
                <w:lang w:val="en-US"/>
              </w:rPr>
              <w:t>)</w:t>
            </w:r>
          </w:p>
        </w:tc>
        <w:tc>
          <w:tcPr>
            <w:tcW w:w="147" w:type="pct"/>
          </w:tcPr>
          <w:p w14:paraId="79B06E45" w14:textId="77777777" w:rsidR="00FC1FA5" w:rsidRPr="00A0600F" w:rsidRDefault="00FC1FA5" w:rsidP="00FC1FA5">
            <w:pPr>
              <w:spacing w:after="60" w:line="360" w:lineRule="auto"/>
              <w:jc w:val="center"/>
              <w:rPr>
                <w:rFonts w:ascii="Times New Roman" w:hAnsi="Times New Roman" w:cs="Times New Roman"/>
                <w:lang w:val="en-US"/>
              </w:rPr>
            </w:pPr>
          </w:p>
        </w:tc>
        <w:tc>
          <w:tcPr>
            <w:tcW w:w="1691" w:type="pct"/>
          </w:tcPr>
          <w:p w14:paraId="008356CA" w14:textId="70C38C21"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FC1FA5" w:rsidRPr="00A0600F" w14:paraId="20FA6C70" w14:textId="77777777" w:rsidTr="00EA03C1">
        <w:tc>
          <w:tcPr>
            <w:tcW w:w="1471" w:type="pct"/>
          </w:tcPr>
          <w:p w14:paraId="616770E8" w14:textId="13B22031" w:rsidR="00FC1FA5" w:rsidRPr="00A0600F" w:rsidRDefault="00FC1FA5" w:rsidP="00FC1FA5">
            <w:pPr>
              <w:spacing w:after="60" w:line="360" w:lineRule="auto"/>
              <w:rPr>
                <w:rFonts w:ascii="Times New Roman" w:hAnsi="Times New Roman" w:cs="Times New Roman"/>
                <w:lang w:val="en-US"/>
              </w:rPr>
            </w:pPr>
            <w:r w:rsidRPr="00A0600F">
              <w:rPr>
                <w:rFonts w:ascii="Times New Roman" w:hAnsi="Times New Roman" w:cs="Times New Roman"/>
                <w:lang w:val="en-US"/>
              </w:rPr>
              <w:t>HCV- IgG positive</w:t>
            </w:r>
          </w:p>
        </w:tc>
        <w:tc>
          <w:tcPr>
            <w:tcW w:w="1691" w:type="pct"/>
          </w:tcPr>
          <w:p w14:paraId="58634EF1" w14:textId="25CEA13A"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0.61 (0.46 – 0.8</w:t>
            </w:r>
            <w:r w:rsidR="00666C96" w:rsidRPr="00A0600F">
              <w:rPr>
                <w:rFonts w:ascii="Times New Roman" w:hAnsi="Times New Roman" w:cs="Times New Roman"/>
                <w:lang w:val="en-US"/>
              </w:rPr>
              <w:t>0</w:t>
            </w:r>
            <w:r w:rsidRPr="00A0600F">
              <w:rPr>
                <w:rFonts w:ascii="Times New Roman" w:hAnsi="Times New Roman" w:cs="Times New Roman"/>
                <w:lang w:val="en-US"/>
              </w:rPr>
              <w:t>)</w:t>
            </w:r>
          </w:p>
        </w:tc>
        <w:tc>
          <w:tcPr>
            <w:tcW w:w="147" w:type="pct"/>
          </w:tcPr>
          <w:p w14:paraId="74D86B82" w14:textId="77777777" w:rsidR="00FC1FA5" w:rsidRPr="00A0600F" w:rsidRDefault="00FC1FA5" w:rsidP="00FC1FA5">
            <w:pPr>
              <w:spacing w:after="60" w:line="360" w:lineRule="auto"/>
              <w:jc w:val="center"/>
              <w:rPr>
                <w:rFonts w:ascii="Times New Roman" w:hAnsi="Times New Roman" w:cs="Times New Roman"/>
                <w:lang w:val="en-US"/>
              </w:rPr>
            </w:pPr>
          </w:p>
        </w:tc>
        <w:tc>
          <w:tcPr>
            <w:tcW w:w="1691" w:type="pct"/>
          </w:tcPr>
          <w:p w14:paraId="2DA15303" w14:textId="3859A9CB" w:rsidR="00FC1FA5" w:rsidRPr="00A0600F" w:rsidRDefault="00FC1FA5" w:rsidP="00FC1FA5">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0.6</w:t>
            </w:r>
            <w:r w:rsidR="000137DF" w:rsidRPr="00A0600F">
              <w:rPr>
                <w:rFonts w:ascii="Times New Roman" w:hAnsi="Times New Roman" w:cs="Times New Roman"/>
                <w:lang w:val="en-US"/>
              </w:rPr>
              <w:t>0</w:t>
            </w:r>
            <w:r w:rsidRPr="00A0600F">
              <w:rPr>
                <w:rFonts w:ascii="Times New Roman" w:hAnsi="Times New Roman" w:cs="Times New Roman"/>
                <w:lang w:val="en-US"/>
              </w:rPr>
              <w:t xml:space="preserve"> (0.4</w:t>
            </w:r>
            <w:r w:rsidR="000137DF" w:rsidRPr="00A0600F">
              <w:rPr>
                <w:rFonts w:ascii="Times New Roman" w:hAnsi="Times New Roman" w:cs="Times New Roman"/>
                <w:lang w:val="en-US"/>
              </w:rPr>
              <w:t>4</w:t>
            </w:r>
            <w:r w:rsidRPr="00A0600F">
              <w:rPr>
                <w:rFonts w:ascii="Times New Roman" w:hAnsi="Times New Roman" w:cs="Times New Roman"/>
                <w:lang w:val="en-US"/>
              </w:rPr>
              <w:t xml:space="preserve"> – 0.8</w:t>
            </w:r>
            <w:r w:rsidR="000137DF" w:rsidRPr="00A0600F">
              <w:rPr>
                <w:rFonts w:ascii="Times New Roman" w:hAnsi="Times New Roman" w:cs="Times New Roman"/>
                <w:lang w:val="en-US"/>
              </w:rPr>
              <w:t>3</w:t>
            </w:r>
            <w:r w:rsidRPr="00A0600F">
              <w:rPr>
                <w:rFonts w:ascii="Times New Roman" w:hAnsi="Times New Roman" w:cs="Times New Roman"/>
                <w:lang w:val="en-US"/>
              </w:rPr>
              <w:t>)</w:t>
            </w:r>
          </w:p>
        </w:tc>
      </w:tr>
      <w:tr w:rsidR="00E55CB1" w:rsidRPr="00A0600F" w14:paraId="442DEDB2" w14:textId="77777777" w:rsidTr="00EA03C1">
        <w:tc>
          <w:tcPr>
            <w:tcW w:w="1471" w:type="pct"/>
          </w:tcPr>
          <w:p w14:paraId="421ED011" w14:textId="77777777"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Alcohol</w:t>
            </w:r>
          </w:p>
        </w:tc>
        <w:tc>
          <w:tcPr>
            <w:tcW w:w="1691" w:type="pct"/>
          </w:tcPr>
          <w:p w14:paraId="3320EBAD" w14:textId="6671B6FA" w:rsidR="00E55CB1" w:rsidRPr="00A0600F" w:rsidRDefault="004461C1"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1.2</w:t>
            </w:r>
            <w:r w:rsidR="00666C96" w:rsidRPr="00A0600F">
              <w:rPr>
                <w:rFonts w:ascii="Times New Roman" w:hAnsi="Times New Roman" w:cs="Times New Roman"/>
                <w:lang w:val="en-US"/>
              </w:rPr>
              <w:t>3</w:t>
            </w:r>
            <w:r w:rsidRPr="00A0600F">
              <w:rPr>
                <w:rFonts w:ascii="Times New Roman" w:hAnsi="Times New Roman" w:cs="Times New Roman"/>
                <w:lang w:val="en-US"/>
              </w:rPr>
              <w:t xml:space="preserve"> (</w:t>
            </w:r>
            <w:r w:rsidR="00666C96" w:rsidRPr="00A0600F">
              <w:rPr>
                <w:rFonts w:ascii="Times New Roman" w:hAnsi="Times New Roman" w:cs="Times New Roman"/>
                <w:lang w:val="en-US"/>
              </w:rPr>
              <w:t>0</w:t>
            </w:r>
            <w:r w:rsidRPr="00A0600F">
              <w:rPr>
                <w:rFonts w:ascii="Times New Roman" w:hAnsi="Times New Roman" w:cs="Times New Roman"/>
                <w:lang w:val="en-US"/>
              </w:rPr>
              <w:t>.</w:t>
            </w:r>
            <w:r w:rsidR="00666C96" w:rsidRPr="00A0600F">
              <w:rPr>
                <w:rFonts w:ascii="Times New Roman" w:hAnsi="Times New Roman" w:cs="Times New Roman"/>
                <w:lang w:val="en-US"/>
              </w:rPr>
              <w:t>98</w:t>
            </w:r>
            <w:r w:rsidRPr="00A0600F">
              <w:rPr>
                <w:rFonts w:ascii="Times New Roman" w:hAnsi="Times New Roman" w:cs="Times New Roman"/>
                <w:lang w:val="en-US"/>
              </w:rPr>
              <w:t xml:space="preserve"> – 1.5</w:t>
            </w:r>
            <w:r w:rsidR="00666C96" w:rsidRPr="00A0600F">
              <w:rPr>
                <w:rFonts w:ascii="Times New Roman" w:hAnsi="Times New Roman" w:cs="Times New Roman"/>
                <w:lang w:val="en-US"/>
              </w:rPr>
              <w:t>1</w:t>
            </w:r>
            <w:r w:rsidRPr="00A0600F">
              <w:rPr>
                <w:rFonts w:ascii="Times New Roman" w:hAnsi="Times New Roman" w:cs="Times New Roman"/>
                <w:lang w:val="en-US"/>
              </w:rPr>
              <w:t>)</w:t>
            </w:r>
          </w:p>
        </w:tc>
        <w:tc>
          <w:tcPr>
            <w:tcW w:w="147" w:type="pct"/>
          </w:tcPr>
          <w:p w14:paraId="10FE1AFA"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7F5D9519" w14:textId="2126D8BE" w:rsidR="00E55CB1" w:rsidRPr="00A0600F" w:rsidRDefault="00666C96"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E55CB1" w:rsidRPr="00A0600F" w14:paraId="53EAAB94" w14:textId="77777777" w:rsidTr="00EA03C1">
        <w:tc>
          <w:tcPr>
            <w:tcW w:w="1471" w:type="pct"/>
          </w:tcPr>
          <w:p w14:paraId="3104AB31" w14:textId="77777777"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DEB-TACE</w:t>
            </w:r>
          </w:p>
        </w:tc>
        <w:tc>
          <w:tcPr>
            <w:tcW w:w="1691" w:type="pct"/>
          </w:tcPr>
          <w:p w14:paraId="1B28555D" w14:textId="7D14CCFD" w:rsidR="00E55CB1" w:rsidRPr="00A0600F" w:rsidRDefault="004461C1"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1.3</w:t>
            </w:r>
            <w:r w:rsidR="00666C96" w:rsidRPr="00A0600F">
              <w:rPr>
                <w:rFonts w:ascii="Times New Roman" w:hAnsi="Times New Roman" w:cs="Times New Roman"/>
                <w:lang w:val="en-US"/>
              </w:rPr>
              <w:t>2</w:t>
            </w:r>
            <w:r w:rsidRPr="00A0600F">
              <w:rPr>
                <w:rFonts w:ascii="Times New Roman" w:hAnsi="Times New Roman" w:cs="Times New Roman"/>
                <w:lang w:val="en-US"/>
              </w:rPr>
              <w:t xml:space="preserve"> (0.</w:t>
            </w:r>
            <w:r w:rsidR="00666C96" w:rsidRPr="00A0600F">
              <w:rPr>
                <w:rFonts w:ascii="Times New Roman" w:hAnsi="Times New Roman" w:cs="Times New Roman"/>
                <w:lang w:val="en-US"/>
              </w:rPr>
              <w:t>76</w:t>
            </w:r>
            <w:r w:rsidRPr="00A0600F">
              <w:rPr>
                <w:rFonts w:ascii="Times New Roman" w:hAnsi="Times New Roman" w:cs="Times New Roman"/>
                <w:lang w:val="en-US"/>
              </w:rPr>
              <w:t xml:space="preserve"> – 2.</w:t>
            </w:r>
            <w:r w:rsidR="00666C96" w:rsidRPr="00A0600F">
              <w:rPr>
                <w:rFonts w:ascii="Times New Roman" w:hAnsi="Times New Roman" w:cs="Times New Roman"/>
                <w:lang w:val="en-US"/>
              </w:rPr>
              <w:t>2</w:t>
            </w:r>
            <w:r w:rsidRPr="00A0600F">
              <w:rPr>
                <w:rFonts w:ascii="Times New Roman" w:hAnsi="Times New Roman" w:cs="Times New Roman"/>
                <w:lang w:val="en-US"/>
              </w:rPr>
              <w:t>8)</w:t>
            </w:r>
          </w:p>
        </w:tc>
        <w:tc>
          <w:tcPr>
            <w:tcW w:w="147" w:type="pct"/>
          </w:tcPr>
          <w:p w14:paraId="755F8D19"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6DB500C0" w14:textId="42BA7C85"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E55CB1" w:rsidRPr="00A0600F" w14:paraId="4D7E13FA" w14:textId="77777777" w:rsidTr="00EA03C1">
        <w:tc>
          <w:tcPr>
            <w:tcW w:w="1471" w:type="pct"/>
          </w:tcPr>
          <w:p w14:paraId="6CC520E8" w14:textId="6B8CE98E" w:rsidR="00E55CB1" w:rsidRPr="00A0600F" w:rsidRDefault="000912A5"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 xml:space="preserve">Cone-beam </w:t>
            </w:r>
            <w:r w:rsidR="00E55CB1" w:rsidRPr="00A0600F">
              <w:rPr>
                <w:rFonts w:ascii="Times New Roman" w:hAnsi="Times New Roman" w:cs="Times New Roman"/>
                <w:lang w:val="en-US"/>
              </w:rPr>
              <w:t>TACE</w:t>
            </w:r>
          </w:p>
        </w:tc>
        <w:tc>
          <w:tcPr>
            <w:tcW w:w="1691" w:type="pct"/>
          </w:tcPr>
          <w:p w14:paraId="618C63CF" w14:textId="370E9154" w:rsidR="00E55CB1" w:rsidRPr="00A0600F" w:rsidRDefault="004461C1"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0.7</w:t>
            </w:r>
            <w:r w:rsidR="00666C96" w:rsidRPr="00A0600F">
              <w:rPr>
                <w:rFonts w:ascii="Times New Roman" w:hAnsi="Times New Roman" w:cs="Times New Roman"/>
                <w:lang w:val="en-US"/>
              </w:rPr>
              <w:t>4</w:t>
            </w:r>
            <w:r w:rsidRPr="00A0600F">
              <w:rPr>
                <w:rFonts w:ascii="Times New Roman" w:hAnsi="Times New Roman" w:cs="Times New Roman"/>
                <w:lang w:val="en-US"/>
              </w:rPr>
              <w:t xml:space="preserve"> (0.44 – 1.2</w:t>
            </w:r>
            <w:r w:rsidR="00666C96" w:rsidRPr="00A0600F">
              <w:rPr>
                <w:rFonts w:ascii="Times New Roman" w:hAnsi="Times New Roman" w:cs="Times New Roman"/>
                <w:lang w:val="en-US"/>
              </w:rPr>
              <w:t>1</w:t>
            </w:r>
            <w:r w:rsidRPr="00A0600F">
              <w:rPr>
                <w:rFonts w:ascii="Times New Roman" w:hAnsi="Times New Roman" w:cs="Times New Roman"/>
                <w:lang w:val="en-US"/>
              </w:rPr>
              <w:t>)</w:t>
            </w:r>
          </w:p>
        </w:tc>
        <w:tc>
          <w:tcPr>
            <w:tcW w:w="147" w:type="pct"/>
          </w:tcPr>
          <w:p w14:paraId="61DDDC08"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174F04F6" w14:textId="0747C5C6"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E55CB1" w:rsidRPr="00A0600F" w14:paraId="585C45F7" w14:textId="77777777" w:rsidTr="00EA03C1">
        <w:tc>
          <w:tcPr>
            <w:tcW w:w="1471" w:type="pct"/>
          </w:tcPr>
          <w:p w14:paraId="78D14A03" w14:textId="30AC85EB"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ECOG - PS 1</w:t>
            </w:r>
            <w:r w:rsidR="004461C1" w:rsidRPr="00A0600F">
              <w:rPr>
                <w:rFonts w:ascii="Times New Roman" w:hAnsi="Times New Roman" w:cs="Times New Roman"/>
                <w:lang w:val="en-US"/>
              </w:rPr>
              <w:t xml:space="preserve"> *</w:t>
            </w:r>
          </w:p>
        </w:tc>
        <w:tc>
          <w:tcPr>
            <w:tcW w:w="1691" w:type="pct"/>
          </w:tcPr>
          <w:p w14:paraId="10116063" w14:textId="79FAC49F" w:rsidR="00E55CB1" w:rsidRPr="00A0600F" w:rsidRDefault="004461C1"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666C96" w:rsidRPr="00A0600F">
              <w:rPr>
                <w:rFonts w:ascii="Times New Roman" w:hAnsi="Times New Roman" w:cs="Times New Roman"/>
                <w:lang w:val="en-US"/>
              </w:rPr>
              <w:t>.41</w:t>
            </w:r>
            <w:r w:rsidRPr="00A0600F">
              <w:rPr>
                <w:rFonts w:ascii="Times New Roman" w:hAnsi="Times New Roman" w:cs="Times New Roman"/>
                <w:lang w:val="en-US"/>
              </w:rPr>
              <w:t xml:space="preserve"> (1.06 – 1.</w:t>
            </w:r>
            <w:r w:rsidR="00666C96" w:rsidRPr="00A0600F">
              <w:rPr>
                <w:rFonts w:ascii="Times New Roman" w:hAnsi="Times New Roman" w:cs="Times New Roman"/>
                <w:lang w:val="en-US"/>
              </w:rPr>
              <w:t>92</w:t>
            </w:r>
            <w:r w:rsidRPr="00A0600F">
              <w:rPr>
                <w:rFonts w:ascii="Times New Roman" w:hAnsi="Times New Roman" w:cs="Times New Roman"/>
                <w:lang w:val="en-US"/>
              </w:rPr>
              <w:t>)</w:t>
            </w:r>
          </w:p>
        </w:tc>
        <w:tc>
          <w:tcPr>
            <w:tcW w:w="147" w:type="pct"/>
          </w:tcPr>
          <w:p w14:paraId="05AB5CDB"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1A15FB74" w14:textId="71E43D45"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E55CB1" w:rsidRPr="00A0600F" w14:paraId="45C03798" w14:textId="77777777" w:rsidTr="00EA03C1">
        <w:tc>
          <w:tcPr>
            <w:tcW w:w="1471" w:type="pct"/>
          </w:tcPr>
          <w:p w14:paraId="66F4F0BE" w14:textId="445359C8" w:rsidR="00E55CB1" w:rsidRPr="00A0600F" w:rsidRDefault="00E55CB1" w:rsidP="0033530E">
            <w:pPr>
              <w:spacing w:after="60" w:line="360" w:lineRule="auto"/>
              <w:rPr>
                <w:rFonts w:ascii="Times New Roman" w:hAnsi="Times New Roman" w:cs="Times New Roman"/>
                <w:lang w:val="en-US"/>
              </w:rPr>
            </w:pPr>
            <w:r w:rsidRPr="00A0600F">
              <w:rPr>
                <w:rFonts w:ascii="Times New Roman" w:hAnsi="Times New Roman" w:cs="Times New Roman"/>
                <w:lang w:val="en-US"/>
              </w:rPr>
              <w:t>Child – Pugh B7</w:t>
            </w:r>
            <w:r w:rsidR="0033530E" w:rsidRPr="00A0600F">
              <w:rPr>
                <w:rFonts w:ascii="Times New Roman" w:hAnsi="Times New Roman" w:cs="Times New Roman"/>
                <w:lang w:val="en-US"/>
              </w:rPr>
              <w:t xml:space="preserve"> </w:t>
            </w:r>
            <w:r w:rsidR="0033530E" w:rsidRPr="00A0600F">
              <w:rPr>
                <w:rStyle w:val="hgkelc"/>
                <w:rFonts w:ascii="Times New Roman" w:hAnsi="Times New Roman" w:cs="Times New Roman"/>
              </w:rPr>
              <w:t>†</w:t>
            </w:r>
          </w:p>
        </w:tc>
        <w:tc>
          <w:tcPr>
            <w:tcW w:w="1691" w:type="pct"/>
          </w:tcPr>
          <w:p w14:paraId="5DC484F5" w14:textId="39D495F5"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666C96" w:rsidRPr="00A0600F">
              <w:rPr>
                <w:rFonts w:ascii="Times New Roman" w:hAnsi="Times New Roman" w:cs="Times New Roman"/>
                <w:lang w:val="en-US"/>
              </w:rPr>
              <w:t>58</w:t>
            </w:r>
            <w:r w:rsidRPr="00A0600F">
              <w:rPr>
                <w:rFonts w:ascii="Times New Roman" w:hAnsi="Times New Roman" w:cs="Times New Roman"/>
                <w:lang w:val="en-US"/>
              </w:rPr>
              <w:t xml:space="preserve"> (1.</w:t>
            </w:r>
            <w:r w:rsidR="00666C96" w:rsidRPr="00A0600F">
              <w:rPr>
                <w:rFonts w:ascii="Times New Roman" w:hAnsi="Times New Roman" w:cs="Times New Roman"/>
                <w:lang w:val="en-US"/>
              </w:rPr>
              <w:t>23</w:t>
            </w:r>
            <w:r w:rsidRPr="00A0600F">
              <w:rPr>
                <w:rFonts w:ascii="Times New Roman" w:hAnsi="Times New Roman" w:cs="Times New Roman"/>
                <w:lang w:val="en-US"/>
              </w:rPr>
              <w:t xml:space="preserve"> – 2.</w:t>
            </w:r>
            <w:r w:rsidR="00666C96" w:rsidRPr="00A0600F">
              <w:rPr>
                <w:rFonts w:ascii="Times New Roman" w:hAnsi="Times New Roman" w:cs="Times New Roman"/>
                <w:lang w:val="en-US"/>
              </w:rPr>
              <w:t>03</w:t>
            </w:r>
            <w:r w:rsidRPr="00A0600F">
              <w:rPr>
                <w:rFonts w:ascii="Times New Roman" w:hAnsi="Times New Roman" w:cs="Times New Roman"/>
                <w:lang w:val="en-US"/>
              </w:rPr>
              <w:t>)</w:t>
            </w:r>
          </w:p>
        </w:tc>
        <w:tc>
          <w:tcPr>
            <w:tcW w:w="147" w:type="pct"/>
          </w:tcPr>
          <w:p w14:paraId="572DA656"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0D530A56" w14:textId="067879B8"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0137DF" w:rsidRPr="00A0600F">
              <w:rPr>
                <w:rFonts w:ascii="Times New Roman" w:hAnsi="Times New Roman" w:cs="Times New Roman"/>
                <w:lang w:val="en-US"/>
              </w:rPr>
              <w:t>66</w:t>
            </w:r>
            <w:r w:rsidRPr="00A0600F">
              <w:rPr>
                <w:rFonts w:ascii="Times New Roman" w:hAnsi="Times New Roman" w:cs="Times New Roman"/>
                <w:lang w:val="en-US"/>
              </w:rPr>
              <w:t xml:space="preserve"> (1.</w:t>
            </w:r>
            <w:r w:rsidR="000137DF" w:rsidRPr="00A0600F">
              <w:rPr>
                <w:rFonts w:ascii="Times New Roman" w:hAnsi="Times New Roman" w:cs="Times New Roman"/>
                <w:lang w:val="en-US"/>
              </w:rPr>
              <w:t>29</w:t>
            </w:r>
            <w:r w:rsidRPr="00A0600F">
              <w:rPr>
                <w:rFonts w:ascii="Times New Roman" w:hAnsi="Times New Roman" w:cs="Times New Roman"/>
                <w:lang w:val="en-US"/>
              </w:rPr>
              <w:t xml:space="preserve"> – 2.1</w:t>
            </w:r>
            <w:r w:rsidR="000137DF" w:rsidRPr="00A0600F">
              <w:rPr>
                <w:rFonts w:ascii="Times New Roman" w:hAnsi="Times New Roman" w:cs="Times New Roman"/>
                <w:lang w:val="en-US"/>
              </w:rPr>
              <w:t>1</w:t>
            </w:r>
            <w:r w:rsidRPr="00A0600F">
              <w:rPr>
                <w:rFonts w:ascii="Times New Roman" w:hAnsi="Times New Roman" w:cs="Times New Roman"/>
                <w:lang w:val="en-US"/>
              </w:rPr>
              <w:t>)</w:t>
            </w:r>
          </w:p>
        </w:tc>
      </w:tr>
      <w:tr w:rsidR="00E55CB1" w:rsidRPr="00A0600F" w14:paraId="7D995F66" w14:textId="77777777" w:rsidTr="00EA03C1">
        <w:tc>
          <w:tcPr>
            <w:tcW w:w="1471" w:type="pct"/>
          </w:tcPr>
          <w:p w14:paraId="7A219E74" w14:textId="77777777"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MELD score &gt;10</w:t>
            </w:r>
          </w:p>
        </w:tc>
        <w:tc>
          <w:tcPr>
            <w:tcW w:w="1691" w:type="pct"/>
          </w:tcPr>
          <w:p w14:paraId="76C8B8FB" w14:textId="5C6FF488"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1.3</w:t>
            </w:r>
            <w:r w:rsidR="00666C96" w:rsidRPr="00A0600F">
              <w:rPr>
                <w:rFonts w:ascii="Times New Roman" w:hAnsi="Times New Roman" w:cs="Times New Roman"/>
                <w:lang w:val="en-US"/>
              </w:rPr>
              <w:t>4</w:t>
            </w:r>
            <w:r w:rsidRPr="00A0600F">
              <w:rPr>
                <w:rFonts w:ascii="Times New Roman" w:hAnsi="Times New Roman" w:cs="Times New Roman"/>
                <w:lang w:val="en-US"/>
              </w:rPr>
              <w:t xml:space="preserve"> (0.94 – 1.86)</w:t>
            </w:r>
          </w:p>
        </w:tc>
        <w:tc>
          <w:tcPr>
            <w:tcW w:w="147" w:type="pct"/>
          </w:tcPr>
          <w:p w14:paraId="0D6D644E"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38ADC633" w14:textId="78F15107"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w:t>
            </w:r>
          </w:p>
        </w:tc>
      </w:tr>
      <w:tr w:rsidR="00E55CB1" w:rsidRPr="00A0600F" w14:paraId="5A55D34E" w14:textId="77777777" w:rsidTr="00EA03C1">
        <w:tc>
          <w:tcPr>
            <w:tcW w:w="1471" w:type="pct"/>
          </w:tcPr>
          <w:p w14:paraId="7FEDDA31" w14:textId="06BA0ED1"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ALBI score &gt;1</w:t>
            </w:r>
            <w:r w:rsidR="0033530E" w:rsidRPr="00A0600F">
              <w:rPr>
                <w:rFonts w:ascii="Times New Roman" w:hAnsi="Times New Roman" w:cs="Times New Roman"/>
                <w:lang w:val="en-US"/>
              </w:rPr>
              <w:t xml:space="preserve"> </w:t>
            </w:r>
            <w:r w:rsidR="0033530E" w:rsidRPr="00A0600F">
              <w:rPr>
                <w:rStyle w:val="hgkelc"/>
                <w:rFonts w:ascii="Times New Roman" w:hAnsi="Times New Roman" w:cs="Times New Roman"/>
              </w:rPr>
              <w:t>†</w:t>
            </w:r>
          </w:p>
        </w:tc>
        <w:tc>
          <w:tcPr>
            <w:tcW w:w="1691" w:type="pct"/>
          </w:tcPr>
          <w:p w14:paraId="62D879AB" w14:textId="36DEA4FE"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1.37 (1.07 – 1.75)</w:t>
            </w:r>
          </w:p>
        </w:tc>
        <w:tc>
          <w:tcPr>
            <w:tcW w:w="147" w:type="pct"/>
          </w:tcPr>
          <w:p w14:paraId="25C0764E"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6387585D" w14:textId="7C6B11EF"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Not evaluated</w:t>
            </w:r>
          </w:p>
        </w:tc>
      </w:tr>
      <w:tr w:rsidR="00E55CB1" w:rsidRPr="00A0600F" w14:paraId="71F7640C" w14:textId="77777777" w:rsidTr="00EA03C1">
        <w:tc>
          <w:tcPr>
            <w:tcW w:w="1471" w:type="pct"/>
          </w:tcPr>
          <w:p w14:paraId="29984A47" w14:textId="77777777"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Single lesion</w:t>
            </w:r>
          </w:p>
        </w:tc>
        <w:tc>
          <w:tcPr>
            <w:tcW w:w="1691" w:type="pct"/>
          </w:tcPr>
          <w:p w14:paraId="526651B2" w14:textId="4AC8892C"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Ref.</w:t>
            </w:r>
          </w:p>
        </w:tc>
        <w:tc>
          <w:tcPr>
            <w:tcW w:w="147" w:type="pct"/>
          </w:tcPr>
          <w:p w14:paraId="3A58F394"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01854D69" w14:textId="39D0EA73"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Not evaluated</w:t>
            </w:r>
          </w:p>
        </w:tc>
      </w:tr>
      <w:tr w:rsidR="00E55CB1" w:rsidRPr="00A0600F" w14:paraId="4A253257" w14:textId="77777777" w:rsidTr="00EA03C1">
        <w:tc>
          <w:tcPr>
            <w:tcW w:w="1471" w:type="pct"/>
          </w:tcPr>
          <w:p w14:paraId="3AC61553" w14:textId="77777777"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Two or three lesions</w:t>
            </w:r>
          </w:p>
        </w:tc>
        <w:tc>
          <w:tcPr>
            <w:tcW w:w="1691" w:type="pct"/>
          </w:tcPr>
          <w:p w14:paraId="5C2CE4FF" w14:textId="1C0E99A7"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1.3</w:t>
            </w:r>
            <w:r w:rsidR="00666C96" w:rsidRPr="00A0600F">
              <w:rPr>
                <w:rFonts w:ascii="Times New Roman" w:hAnsi="Times New Roman" w:cs="Times New Roman"/>
                <w:lang w:val="en-US"/>
              </w:rPr>
              <w:t>1</w:t>
            </w:r>
            <w:r w:rsidRPr="00A0600F">
              <w:rPr>
                <w:rFonts w:ascii="Times New Roman" w:hAnsi="Times New Roman" w:cs="Times New Roman"/>
                <w:lang w:val="en-US"/>
              </w:rPr>
              <w:t xml:space="preserve"> (1.</w:t>
            </w:r>
            <w:r w:rsidR="00666C96" w:rsidRPr="00A0600F">
              <w:rPr>
                <w:rFonts w:ascii="Times New Roman" w:hAnsi="Times New Roman" w:cs="Times New Roman"/>
                <w:lang w:val="en-US"/>
              </w:rPr>
              <w:t>09</w:t>
            </w:r>
            <w:r w:rsidRPr="00A0600F">
              <w:rPr>
                <w:rFonts w:ascii="Times New Roman" w:hAnsi="Times New Roman" w:cs="Times New Roman"/>
                <w:lang w:val="en-US"/>
              </w:rPr>
              <w:t xml:space="preserve"> – 1.5</w:t>
            </w:r>
            <w:r w:rsidR="00666C96" w:rsidRPr="00A0600F">
              <w:rPr>
                <w:rFonts w:ascii="Times New Roman" w:hAnsi="Times New Roman" w:cs="Times New Roman"/>
                <w:lang w:val="en-US"/>
              </w:rPr>
              <w:t>8</w:t>
            </w:r>
            <w:r w:rsidRPr="00A0600F">
              <w:rPr>
                <w:rFonts w:ascii="Times New Roman" w:hAnsi="Times New Roman" w:cs="Times New Roman"/>
                <w:lang w:val="en-US"/>
              </w:rPr>
              <w:t>)</w:t>
            </w:r>
          </w:p>
        </w:tc>
        <w:tc>
          <w:tcPr>
            <w:tcW w:w="147" w:type="pct"/>
          </w:tcPr>
          <w:p w14:paraId="4159EE4B"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32177D0D" w14:textId="253BCB96"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Not evaluated</w:t>
            </w:r>
          </w:p>
        </w:tc>
      </w:tr>
      <w:tr w:rsidR="00E55CB1" w:rsidRPr="00A0600F" w14:paraId="23D70E58" w14:textId="77777777" w:rsidTr="00EA03C1">
        <w:tc>
          <w:tcPr>
            <w:tcW w:w="1471" w:type="pct"/>
          </w:tcPr>
          <w:p w14:paraId="10090C8C" w14:textId="6B1BCCCD"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More than three lesions</w:t>
            </w:r>
            <w:r w:rsidR="004461C1" w:rsidRPr="00A0600F">
              <w:rPr>
                <w:rFonts w:ascii="Times New Roman" w:hAnsi="Times New Roman" w:cs="Times New Roman"/>
                <w:lang w:val="en-US"/>
              </w:rPr>
              <w:t xml:space="preserve"> *</w:t>
            </w:r>
          </w:p>
        </w:tc>
        <w:tc>
          <w:tcPr>
            <w:tcW w:w="1691" w:type="pct"/>
          </w:tcPr>
          <w:p w14:paraId="463321A3" w14:textId="71598947"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w:t>
            </w:r>
            <w:r w:rsidR="00666C96" w:rsidRPr="00A0600F">
              <w:rPr>
                <w:rFonts w:ascii="Times New Roman" w:hAnsi="Times New Roman" w:cs="Times New Roman"/>
                <w:lang w:val="en-US"/>
              </w:rPr>
              <w:t>84</w:t>
            </w:r>
            <w:r w:rsidRPr="00A0600F">
              <w:rPr>
                <w:rFonts w:ascii="Times New Roman" w:hAnsi="Times New Roman" w:cs="Times New Roman"/>
                <w:lang w:val="en-US"/>
              </w:rPr>
              <w:t xml:space="preserve"> (1.</w:t>
            </w:r>
            <w:r w:rsidR="00666C96" w:rsidRPr="00A0600F">
              <w:rPr>
                <w:rFonts w:ascii="Times New Roman" w:hAnsi="Times New Roman" w:cs="Times New Roman"/>
                <w:lang w:val="en-US"/>
              </w:rPr>
              <w:t>19</w:t>
            </w:r>
            <w:r w:rsidRPr="00A0600F">
              <w:rPr>
                <w:rFonts w:ascii="Times New Roman" w:hAnsi="Times New Roman" w:cs="Times New Roman"/>
                <w:lang w:val="en-US"/>
              </w:rPr>
              <w:t xml:space="preserve"> – 2.</w:t>
            </w:r>
            <w:r w:rsidR="00666C96" w:rsidRPr="00A0600F">
              <w:rPr>
                <w:rFonts w:ascii="Times New Roman" w:hAnsi="Times New Roman" w:cs="Times New Roman"/>
                <w:lang w:val="en-US"/>
              </w:rPr>
              <w:t>85</w:t>
            </w:r>
            <w:r w:rsidRPr="00A0600F">
              <w:rPr>
                <w:rFonts w:ascii="Times New Roman" w:hAnsi="Times New Roman" w:cs="Times New Roman"/>
                <w:lang w:val="en-US"/>
              </w:rPr>
              <w:t>)</w:t>
            </w:r>
          </w:p>
        </w:tc>
        <w:tc>
          <w:tcPr>
            <w:tcW w:w="147" w:type="pct"/>
          </w:tcPr>
          <w:p w14:paraId="329E4EB2"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Pr>
          <w:p w14:paraId="7E3DCC64" w14:textId="0AF93866" w:rsidR="00E55CB1" w:rsidRPr="00A0600F" w:rsidRDefault="0033530E"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Not evaluated</w:t>
            </w:r>
          </w:p>
        </w:tc>
      </w:tr>
      <w:tr w:rsidR="00E55CB1" w:rsidRPr="00A0600F" w14:paraId="463ED701" w14:textId="77777777" w:rsidTr="00EA03C1">
        <w:tc>
          <w:tcPr>
            <w:tcW w:w="1471" w:type="pct"/>
            <w:tcBorders>
              <w:bottom w:val="single" w:sz="12" w:space="0" w:color="auto"/>
            </w:tcBorders>
          </w:tcPr>
          <w:p w14:paraId="0C4DFCBF" w14:textId="46BCC591" w:rsidR="00E55CB1" w:rsidRPr="00A0600F" w:rsidRDefault="00E55CB1" w:rsidP="00EA03C1">
            <w:pPr>
              <w:spacing w:after="60" w:line="360" w:lineRule="auto"/>
              <w:rPr>
                <w:rFonts w:ascii="Times New Roman" w:hAnsi="Times New Roman" w:cs="Times New Roman"/>
                <w:lang w:val="en-US"/>
              </w:rPr>
            </w:pPr>
            <w:r w:rsidRPr="00A0600F">
              <w:rPr>
                <w:rFonts w:ascii="Times New Roman" w:hAnsi="Times New Roman" w:cs="Times New Roman"/>
                <w:lang w:val="en-US"/>
              </w:rPr>
              <w:t>Largest diameter (cm)</w:t>
            </w:r>
            <w:r w:rsidR="004461C1" w:rsidRPr="00A0600F">
              <w:rPr>
                <w:rFonts w:ascii="Times New Roman" w:hAnsi="Times New Roman" w:cs="Times New Roman"/>
                <w:lang w:val="en-US"/>
              </w:rPr>
              <w:t xml:space="preserve"> *</w:t>
            </w:r>
          </w:p>
        </w:tc>
        <w:tc>
          <w:tcPr>
            <w:tcW w:w="1691" w:type="pct"/>
            <w:tcBorders>
              <w:bottom w:val="single" w:sz="12" w:space="0" w:color="auto"/>
            </w:tcBorders>
          </w:tcPr>
          <w:p w14:paraId="26E5D666" w14:textId="0D7F1D79" w:rsidR="00E55CB1" w:rsidRPr="00A0600F" w:rsidRDefault="0036013C" w:rsidP="00EA03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1.1</w:t>
            </w:r>
            <w:r w:rsidR="00666C96" w:rsidRPr="00A0600F">
              <w:rPr>
                <w:rFonts w:ascii="Times New Roman" w:hAnsi="Times New Roman" w:cs="Times New Roman"/>
                <w:lang w:val="en-US"/>
              </w:rPr>
              <w:t>4</w:t>
            </w:r>
            <w:r w:rsidRPr="00A0600F">
              <w:rPr>
                <w:rFonts w:ascii="Times New Roman" w:hAnsi="Times New Roman" w:cs="Times New Roman"/>
                <w:lang w:val="en-US"/>
              </w:rPr>
              <w:t xml:space="preserve"> (1.0</w:t>
            </w:r>
            <w:r w:rsidR="00666C96" w:rsidRPr="00A0600F">
              <w:rPr>
                <w:rFonts w:ascii="Times New Roman" w:hAnsi="Times New Roman" w:cs="Times New Roman"/>
                <w:lang w:val="en-US"/>
              </w:rPr>
              <w:t>9</w:t>
            </w:r>
            <w:r w:rsidRPr="00A0600F">
              <w:rPr>
                <w:rFonts w:ascii="Times New Roman" w:hAnsi="Times New Roman" w:cs="Times New Roman"/>
                <w:lang w:val="en-US"/>
              </w:rPr>
              <w:t xml:space="preserve"> – 1.</w:t>
            </w:r>
            <w:r w:rsidR="00666C96" w:rsidRPr="00A0600F">
              <w:rPr>
                <w:rFonts w:ascii="Times New Roman" w:hAnsi="Times New Roman" w:cs="Times New Roman"/>
                <w:lang w:val="en-US"/>
              </w:rPr>
              <w:t>20</w:t>
            </w:r>
            <w:r w:rsidRPr="00A0600F">
              <w:rPr>
                <w:rFonts w:ascii="Times New Roman" w:hAnsi="Times New Roman" w:cs="Times New Roman"/>
                <w:lang w:val="en-US"/>
              </w:rPr>
              <w:t>)</w:t>
            </w:r>
          </w:p>
        </w:tc>
        <w:tc>
          <w:tcPr>
            <w:tcW w:w="147" w:type="pct"/>
            <w:tcBorders>
              <w:bottom w:val="single" w:sz="12" w:space="0" w:color="auto"/>
            </w:tcBorders>
          </w:tcPr>
          <w:p w14:paraId="5A5EC492" w14:textId="77777777" w:rsidR="00E55CB1" w:rsidRPr="00A0600F" w:rsidRDefault="00E55CB1" w:rsidP="00EA03C1">
            <w:pPr>
              <w:spacing w:after="60" w:line="360" w:lineRule="auto"/>
              <w:jc w:val="center"/>
              <w:rPr>
                <w:rFonts w:ascii="Times New Roman" w:hAnsi="Times New Roman" w:cs="Times New Roman"/>
                <w:lang w:val="en-US"/>
              </w:rPr>
            </w:pPr>
          </w:p>
        </w:tc>
        <w:tc>
          <w:tcPr>
            <w:tcW w:w="1691" w:type="pct"/>
            <w:tcBorders>
              <w:bottom w:val="single" w:sz="12" w:space="0" w:color="auto"/>
            </w:tcBorders>
          </w:tcPr>
          <w:p w14:paraId="00A7F3C1" w14:textId="01BE36CC" w:rsidR="00E55CB1" w:rsidRPr="00A0600F" w:rsidRDefault="0033530E" w:rsidP="004461C1">
            <w:pPr>
              <w:spacing w:after="60" w:line="360" w:lineRule="auto"/>
              <w:jc w:val="center"/>
              <w:rPr>
                <w:rFonts w:ascii="Times New Roman" w:hAnsi="Times New Roman" w:cs="Times New Roman"/>
                <w:lang w:val="en-US"/>
              </w:rPr>
            </w:pPr>
            <w:r w:rsidRPr="00A0600F">
              <w:rPr>
                <w:rFonts w:ascii="Times New Roman" w:hAnsi="Times New Roman" w:cs="Times New Roman"/>
                <w:lang w:val="en-US"/>
              </w:rPr>
              <w:t>Not evaluated</w:t>
            </w:r>
          </w:p>
        </w:tc>
      </w:tr>
    </w:tbl>
    <w:p w14:paraId="1751C677" w14:textId="48267E90" w:rsidR="0033530E" w:rsidRPr="00A0600F" w:rsidRDefault="00E55CB1" w:rsidP="00E55CB1">
      <w:pPr>
        <w:spacing w:before="120"/>
        <w:jc w:val="both"/>
        <w:rPr>
          <w:rFonts w:ascii="Times New Roman" w:hAnsi="Times New Roman" w:cs="Times New Roman"/>
          <w:sz w:val="20"/>
          <w:szCs w:val="20"/>
          <w:lang w:val="en-US"/>
        </w:rPr>
      </w:pPr>
      <w:r w:rsidRPr="00A0600F">
        <w:rPr>
          <w:rFonts w:ascii="Times New Roman" w:hAnsi="Times New Roman" w:cs="Times New Roman"/>
          <w:sz w:val="20"/>
          <w:szCs w:val="20"/>
          <w:lang w:val="en-US"/>
        </w:rPr>
        <w:t xml:space="preserve">* </w:t>
      </w:r>
      <w:r w:rsidR="00666C96" w:rsidRPr="00A0600F">
        <w:rPr>
          <w:rFonts w:ascii="Times New Roman" w:hAnsi="Times New Roman" w:cs="Times New Roman"/>
          <w:sz w:val="20"/>
          <w:szCs w:val="20"/>
          <w:lang w:val="en-US"/>
        </w:rPr>
        <w:t>These f</w:t>
      </w:r>
      <w:r w:rsidRPr="00A0600F">
        <w:rPr>
          <w:rFonts w:ascii="Times New Roman" w:hAnsi="Times New Roman" w:cs="Times New Roman"/>
          <w:sz w:val="20"/>
          <w:szCs w:val="20"/>
          <w:lang w:val="en-US"/>
        </w:rPr>
        <w:t xml:space="preserve">actors </w:t>
      </w:r>
      <w:r w:rsidR="00666C96" w:rsidRPr="00A0600F">
        <w:rPr>
          <w:rFonts w:ascii="Times New Roman" w:hAnsi="Times New Roman" w:cs="Times New Roman"/>
          <w:sz w:val="20"/>
          <w:szCs w:val="20"/>
          <w:lang w:val="en-US"/>
        </w:rPr>
        <w:t xml:space="preserve">were </w:t>
      </w:r>
      <w:r w:rsidRPr="00A0600F">
        <w:rPr>
          <w:rFonts w:ascii="Times New Roman" w:hAnsi="Times New Roman" w:cs="Times New Roman"/>
          <w:sz w:val="20"/>
          <w:szCs w:val="20"/>
          <w:lang w:val="en-US"/>
        </w:rPr>
        <w:t xml:space="preserve">related to </w:t>
      </w:r>
      <w:r w:rsidR="00666C96" w:rsidRPr="00A0600F">
        <w:rPr>
          <w:rFonts w:ascii="Times New Roman" w:hAnsi="Times New Roman" w:cs="Times New Roman"/>
          <w:sz w:val="20"/>
          <w:szCs w:val="20"/>
          <w:lang w:val="en-US"/>
        </w:rPr>
        <w:t>Textbook Outcome (</w:t>
      </w:r>
      <w:r w:rsidRPr="00A0600F">
        <w:rPr>
          <w:rFonts w:ascii="Times New Roman" w:hAnsi="Times New Roman" w:cs="Times New Roman"/>
          <w:i/>
          <w:iCs/>
          <w:sz w:val="20"/>
          <w:szCs w:val="20"/>
          <w:u w:val="single"/>
          <w:lang w:val="en-US"/>
        </w:rPr>
        <w:t>Table 3</w:t>
      </w:r>
      <w:r w:rsidR="00666C96" w:rsidRPr="00A0600F">
        <w:rPr>
          <w:rFonts w:ascii="Times New Roman" w:hAnsi="Times New Roman" w:cs="Times New Roman"/>
          <w:sz w:val="20"/>
          <w:szCs w:val="20"/>
          <w:lang w:val="en-US"/>
        </w:rPr>
        <w:t>) and</w:t>
      </w:r>
      <w:r w:rsidRPr="00A0600F">
        <w:rPr>
          <w:rFonts w:ascii="Times New Roman" w:hAnsi="Times New Roman" w:cs="Times New Roman"/>
          <w:sz w:val="20"/>
          <w:szCs w:val="20"/>
          <w:lang w:val="en-US"/>
        </w:rPr>
        <w:t xml:space="preserve"> </w:t>
      </w:r>
      <w:r w:rsidR="00666C96" w:rsidRPr="00A0600F">
        <w:rPr>
          <w:rFonts w:ascii="Times New Roman" w:hAnsi="Times New Roman" w:cs="Times New Roman"/>
          <w:sz w:val="20"/>
          <w:szCs w:val="20"/>
          <w:lang w:val="en-US"/>
        </w:rPr>
        <w:t>not entered the</w:t>
      </w:r>
      <w:r w:rsidRPr="00A0600F">
        <w:rPr>
          <w:rFonts w:ascii="Times New Roman" w:hAnsi="Times New Roman" w:cs="Times New Roman"/>
          <w:sz w:val="20"/>
          <w:szCs w:val="20"/>
          <w:lang w:val="en-US"/>
        </w:rPr>
        <w:t xml:space="preserve"> multivariable analysis because of </w:t>
      </w:r>
      <w:r w:rsidR="000137DF" w:rsidRPr="00A0600F">
        <w:rPr>
          <w:rFonts w:ascii="Times New Roman" w:hAnsi="Times New Roman" w:cs="Times New Roman"/>
          <w:sz w:val="20"/>
          <w:szCs w:val="20"/>
          <w:lang w:val="en-US"/>
        </w:rPr>
        <w:t>th</w:t>
      </w:r>
      <w:r w:rsidRPr="00A0600F">
        <w:rPr>
          <w:rFonts w:ascii="Times New Roman" w:hAnsi="Times New Roman" w:cs="Times New Roman"/>
          <w:sz w:val="20"/>
          <w:szCs w:val="20"/>
          <w:lang w:val="en-US"/>
        </w:rPr>
        <w:t>e observed collinearity. The HR</w:t>
      </w:r>
      <w:r w:rsidR="00666C96" w:rsidRPr="00A0600F">
        <w:rPr>
          <w:rFonts w:ascii="Times New Roman" w:hAnsi="Times New Roman" w:cs="Times New Roman"/>
          <w:sz w:val="20"/>
          <w:szCs w:val="20"/>
          <w:lang w:val="en-US"/>
        </w:rPr>
        <w:t>s resulting from simple regression</w:t>
      </w:r>
      <w:r w:rsidRPr="00A0600F">
        <w:rPr>
          <w:rFonts w:ascii="Times New Roman" w:hAnsi="Times New Roman" w:cs="Times New Roman"/>
          <w:sz w:val="20"/>
          <w:szCs w:val="20"/>
          <w:lang w:val="en-US"/>
        </w:rPr>
        <w:t xml:space="preserve"> w</w:t>
      </w:r>
      <w:r w:rsidR="00666C96" w:rsidRPr="00A0600F">
        <w:rPr>
          <w:rFonts w:ascii="Times New Roman" w:hAnsi="Times New Roman" w:cs="Times New Roman"/>
          <w:sz w:val="20"/>
          <w:szCs w:val="20"/>
          <w:lang w:val="en-US"/>
        </w:rPr>
        <w:t>ere</w:t>
      </w:r>
      <w:r w:rsidRPr="00A0600F">
        <w:rPr>
          <w:rFonts w:ascii="Times New Roman" w:hAnsi="Times New Roman" w:cs="Times New Roman"/>
          <w:sz w:val="20"/>
          <w:szCs w:val="20"/>
          <w:lang w:val="en-US"/>
        </w:rPr>
        <w:t xml:space="preserve"> provided for descriptive purposes only.</w:t>
      </w:r>
      <w:r w:rsidR="0033530E" w:rsidRPr="00A0600F">
        <w:rPr>
          <w:rFonts w:ascii="Times New Roman" w:hAnsi="Times New Roman" w:cs="Times New Roman"/>
          <w:sz w:val="20"/>
          <w:szCs w:val="20"/>
          <w:lang w:val="en-US"/>
        </w:rPr>
        <w:t xml:space="preserve"> </w:t>
      </w:r>
    </w:p>
    <w:p w14:paraId="58AD689F" w14:textId="77777777" w:rsidR="00537E64" w:rsidRPr="00A0600F" w:rsidRDefault="0033530E" w:rsidP="00E55CB1">
      <w:pPr>
        <w:spacing w:before="120"/>
        <w:jc w:val="both"/>
        <w:rPr>
          <w:rFonts w:ascii="Times New Roman" w:hAnsi="Times New Roman" w:cs="Times New Roman"/>
          <w:sz w:val="20"/>
          <w:szCs w:val="20"/>
          <w:lang w:val="en-US"/>
        </w:rPr>
      </w:pPr>
      <w:r w:rsidRPr="00A0600F">
        <w:rPr>
          <w:rStyle w:val="hgkelc"/>
          <w:lang w:val="en-US"/>
        </w:rPr>
        <w:t>†</w:t>
      </w:r>
      <w:r w:rsidRPr="00A0600F">
        <w:rPr>
          <w:rFonts w:ascii="Times New Roman" w:hAnsi="Times New Roman" w:cs="Times New Roman"/>
          <w:sz w:val="20"/>
          <w:szCs w:val="20"/>
          <w:lang w:val="en-US"/>
        </w:rPr>
        <w:t xml:space="preserve"> Child – Pugh class B was chosen instead of ALBI score because of the lower -2 Log-likelihood.</w:t>
      </w:r>
    </w:p>
    <w:p w14:paraId="275B4363" w14:textId="77777777" w:rsidR="00537E64" w:rsidRPr="00A0600F" w:rsidRDefault="00537E64">
      <w:pPr>
        <w:rPr>
          <w:rFonts w:ascii="Times New Roman" w:hAnsi="Times New Roman" w:cs="Times New Roman"/>
          <w:sz w:val="20"/>
          <w:szCs w:val="20"/>
          <w:lang w:val="en-US"/>
        </w:rPr>
      </w:pPr>
      <w:r w:rsidRPr="00A0600F">
        <w:rPr>
          <w:rFonts w:ascii="Times New Roman" w:hAnsi="Times New Roman" w:cs="Times New Roman"/>
          <w:sz w:val="20"/>
          <w:szCs w:val="20"/>
          <w:lang w:val="en-US"/>
        </w:rPr>
        <w:br w:type="page"/>
      </w:r>
    </w:p>
    <w:p w14:paraId="09098F3D" w14:textId="77777777" w:rsidR="00537E64" w:rsidRPr="00A0600F" w:rsidRDefault="00537E64" w:rsidP="00E55CB1">
      <w:pPr>
        <w:spacing w:before="120"/>
        <w:jc w:val="both"/>
        <w:rPr>
          <w:rFonts w:ascii="Times New Roman" w:hAnsi="Times New Roman" w:cs="Times New Roman"/>
          <w:b/>
          <w:bCs/>
          <w:sz w:val="28"/>
          <w:szCs w:val="28"/>
          <w:lang w:val="en-US"/>
        </w:rPr>
      </w:pPr>
      <w:r w:rsidRPr="00A0600F">
        <w:rPr>
          <w:rFonts w:ascii="Times New Roman" w:hAnsi="Times New Roman" w:cs="Times New Roman"/>
          <w:b/>
          <w:bCs/>
          <w:sz w:val="28"/>
          <w:szCs w:val="28"/>
          <w:lang w:val="en-US"/>
        </w:rPr>
        <w:lastRenderedPageBreak/>
        <w:t>LEGENDS TO FIGURES</w:t>
      </w:r>
    </w:p>
    <w:p w14:paraId="7D77B482" w14:textId="6AC528A9" w:rsidR="00537E64" w:rsidRPr="00A0600F" w:rsidRDefault="00537E64" w:rsidP="00E55CB1">
      <w:pPr>
        <w:spacing w:before="120"/>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t xml:space="preserve">Figure 1. </w:t>
      </w:r>
      <w:r w:rsidR="001F0FE5" w:rsidRPr="00A0600F">
        <w:rPr>
          <w:rFonts w:ascii="Times New Roman" w:hAnsi="Times New Roman" w:cs="Times New Roman"/>
          <w:sz w:val="24"/>
          <w:szCs w:val="24"/>
          <w:lang w:val="en-US"/>
        </w:rPr>
        <w:t>Proportion of patients estimated through random-effect modelling</w:t>
      </w:r>
      <w:r w:rsidRPr="00A0600F">
        <w:rPr>
          <w:rFonts w:ascii="Times New Roman" w:hAnsi="Times New Roman" w:cs="Times New Roman"/>
          <w:sz w:val="24"/>
          <w:szCs w:val="24"/>
          <w:lang w:val="en-US"/>
        </w:rPr>
        <w:t xml:space="preserve"> for whom each desired health outcome forming the Textbook Outcome (TO) was realized.</w:t>
      </w:r>
    </w:p>
    <w:p w14:paraId="60841D3E" w14:textId="3992A0F1" w:rsidR="003E6E69" w:rsidRPr="00A0600F" w:rsidRDefault="00537E64" w:rsidP="00E55CB1">
      <w:pPr>
        <w:spacing w:before="120"/>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 xml:space="preserve">Figure 2. </w:t>
      </w:r>
      <w:r w:rsidRPr="00A0600F">
        <w:rPr>
          <w:rFonts w:ascii="Times New Roman" w:hAnsi="Times New Roman" w:cs="Times New Roman"/>
          <w:sz w:val="24"/>
          <w:szCs w:val="24"/>
          <w:lang w:val="en-US"/>
        </w:rPr>
        <w:t xml:space="preserve">TO </w:t>
      </w:r>
      <w:r w:rsidR="001F0FE5" w:rsidRPr="00A0600F">
        <w:rPr>
          <w:rFonts w:ascii="Times New Roman" w:hAnsi="Times New Roman" w:cs="Times New Roman"/>
          <w:sz w:val="24"/>
          <w:szCs w:val="24"/>
          <w:lang w:val="en-US"/>
        </w:rPr>
        <w:t xml:space="preserve">estimation </w:t>
      </w:r>
      <w:r w:rsidRPr="00A0600F">
        <w:rPr>
          <w:rFonts w:ascii="Times New Roman" w:hAnsi="Times New Roman" w:cs="Times New Roman"/>
          <w:sz w:val="24"/>
          <w:szCs w:val="24"/>
          <w:lang w:val="en-US"/>
        </w:rPr>
        <w:t>after risk-adjustment for each center involved. As noticeable, all the centers had TO values around the average of 25.5%</w:t>
      </w:r>
      <w:r w:rsidR="00DB2FA3" w:rsidRPr="00A0600F">
        <w:rPr>
          <w:rFonts w:ascii="Times New Roman" w:hAnsi="Times New Roman" w:cs="Times New Roman"/>
          <w:sz w:val="24"/>
          <w:szCs w:val="24"/>
          <w:lang w:val="en-US"/>
        </w:rPr>
        <w:t xml:space="preserve"> (dotted line)</w:t>
      </w:r>
      <w:r w:rsidRPr="00A0600F">
        <w:rPr>
          <w:rFonts w:ascii="Times New Roman" w:hAnsi="Times New Roman" w:cs="Times New Roman"/>
          <w:sz w:val="24"/>
          <w:szCs w:val="24"/>
          <w:lang w:val="en-US"/>
        </w:rPr>
        <w:t>.</w:t>
      </w:r>
      <w:r w:rsidR="00C73AE2" w:rsidRPr="00A0600F">
        <w:rPr>
          <w:rFonts w:ascii="Times New Roman" w:hAnsi="Times New Roman" w:cs="Times New Roman"/>
          <w:sz w:val="24"/>
          <w:szCs w:val="24"/>
          <w:lang w:val="en-US"/>
        </w:rPr>
        <w:t xml:space="preserve"> </w:t>
      </w:r>
      <w:r w:rsidR="001F0FE5" w:rsidRPr="00A0600F">
        <w:rPr>
          <w:rFonts w:ascii="Times New Roman" w:hAnsi="Times New Roman" w:cs="Times New Roman"/>
          <w:sz w:val="24"/>
          <w:szCs w:val="24"/>
          <w:lang w:val="en-US"/>
        </w:rPr>
        <w:t xml:space="preserve">Darker columns represent centers with a volume of &gt;200 procedures/years, brighter columns represent centers with a volume of &lt;100 procedures/years. Intermediate gray columns represent centers with a volume of 100-200 procedures/years. </w:t>
      </w:r>
      <w:r w:rsidR="00C73AE2" w:rsidRPr="00A0600F">
        <w:rPr>
          <w:rFonts w:ascii="Times New Roman" w:hAnsi="Times New Roman" w:cs="Times New Roman"/>
          <w:sz w:val="24"/>
          <w:szCs w:val="24"/>
          <w:lang w:val="en-US"/>
        </w:rPr>
        <w:t>Bars represent 95% confidence intervals</w:t>
      </w:r>
      <w:r w:rsidR="003E6E69" w:rsidRPr="00A0600F">
        <w:rPr>
          <w:rFonts w:ascii="Times New Roman" w:hAnsi="Times New Roman" w:cs="Times New Roman"/>
          <w:b/>
          <w:bCs/>
          <w:sz w:val="24"/>
          <w:szCs w:val="24"/>
          <w:lang w:val="en-US"/>
        </w:rPr>
        <w:br w:type="page"/>
      </w:r>
    </w:p>
    <w:p w14:paraId="4A88295E" w14:textId="77777777" w:rsidR="00C73AE2" w:rsidRPr="00A0600F" w:rsidRDefault="00C73AE2">
      <w:pPr>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lastRenderedPageBreak/>
        <w:t>FIGURE 1.</w:t>
      </w:r>
    </w:p>
    <w:p w14:paraId="3B2102ED" w14:textId="33E2FE04" w:rsidR="00C73AE2" w:rsidRPr="00A0600F" w:rsidRDefault="006E1A65">
      <w:pPr>
        <w:rPr>
          <w:rFonts w:ascii="Times New Roman" w:hAnsi="Times New Roman" w:cs="Times New Roman"/>
          <w:b/>
          <w:bCs/>
          <w:sz w:val="24"/>
          <w:szCs w:val="24"/>
          <w:lang w:val="en-US"/>
        </w:rPr>
      </w:pPr>
      <w:r w:rsidRPr="00A0600F">
        <w:rPr>
          <w:rFonts w:ascii="Times New Roman" w:hAnsi="Times New Roman" w:cs="Times New Roman"/>
          <w:b/>
          <w:bCs/>
          <w:noProof/>
          <w:sz w:val="24"/>
          <w:szCs w:val="24"/>
          <w:lang w:val="en-US"/>
        </w:rPr>
        <w:drawing>
          <wp:inline distT="0" distB="0" distL="0" distR="0" wp14:anchorId="0BA45FAE" wp14:editId="7686FE9F">
            <wp:extent cx="6236970" cy="32188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6970" cy="3218815"/>
                    </a:xfrm>
                    <a:prstGeom prst="rect">
                      <a:avLst/>
                    </a:prstGeom>
                    <a:noFill/>
                  </pic:spPr>
                </pic:pic>
              </a:graphicData>
            </a:graphic>
          </wp:inline>
        </w:drawing>
      </w:r>
    </w:p>
    <w:p w14:paraId="718B0B28" w14:textId="77777777" w:rsidR="00C73AE2" w:rsidRPr="00A0600F" w:rsidRDefault="00C73AE2">
      <w:pPr>
        <w:rPr>
          <w:rFonts w:ascii="Times New Roman" w:hAnsi="Times New Roman" w:cs="Times New Roman"/>
          <w:b/>
          <w:bCs/>
          <w:sz w:val="24"/>
          <w:szCs w:val="24"/>
          <w:lang w:val="en-US"/>
        </w:rPr>
      </w:pPr>
    </w:p>
    <w:p w14:paraId="6FA2321D" w14:textId="77777777" w:rsidR="00C73AE2" w:rsidRPr="00A0600F" w:rsidRDefault="00C73AE2">
      <w:pPr>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t>FIGURE 2.</w:t>
      </w:r>
    </w:p>
    <w:p w14:paraId="2BB49B7B" w14:textId="4B53DE3C" w:rsidR="00C73AE2" w:rsidRPr="00A0600F" w:rsidRDefault="00DB2FA3">
      <w:pPr>
        <w:rPr>
          <w:rFonts w:ascii="Times New Roman" w:hAnsi="Times New Roman" w:cs="Times New Roman"/>
          <w:b/>
          <w:bCs/>
          <w:sz w:val="24"/>
          <w:szCs w:val="24"/>
          <w:lang w:val="en-US"/>
        </w:rPr>
      </w:pPr>
      <w:r w:rsidRPr="00A0600F">
        <w:rPr>
          <w:noProof/>
          <w:lang w:val="en-US"/>
        </w:rPr>
        <mc:AlternateContent>
          <mc:Choice Requires="wps">
            <w:drawing>
              <wp:anchor distT="0" distB="0" distL="114300" distR="114300" simplePos="0" relativeHeight="251659264" behindDoc="0" locked="0" layoutInCell="1" allowOverlap="1" wp14:anchorId="1E1EF428" wp14:editId="23FBE008">
                <wp:simplePos x="0" y="0"/>
                <wp:positionH relativeFrom="column">
                  <wp:posOffset>718185</wp:posOffset>
                </wp:positionH>
                <wp:positionV relativeFrom="paragraph">
                  <wp:posOffset>2008505</wp:posOffset>
                </wp:positionV>
                <wp:extent cx="5372100" cy="9525"/>
                <wp:effectExtent l="0" t="0" r="19050" b="28575"/>
                <wp:wrapNone/>
                <wp:docPr id="4" name="Connettore diritto 4"/>
                <wp:cNvGraphicFramePr/>
                <a:graphic xmlns:a="http://schemas.openxmlformats.org/drawingml/2006/main">
                  <a:graphicData uri="http://schemas.microsoft.com/office/word/2010/wordprocessingShape">
                    <wps:wsp>
                      <wps:cNvCnPr/>
                      <wps:spPr>
                        <a:xfrm>
                          <a:off x="0" y="0"/>
                          <a:ext cx="5372100" cy="9525"/>
                        </a:xfrm>
                        <a:prstGeom prst="line">
                          <a:avLst/>
                        </a:prstGeom>
                        <a:ln>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0F45" id="Connettore dirit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5pt,158.15pt" to="479.5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" strokecolor="#aeaaaa [2414]" strokeweight=".5pt">
                <v:stroke dashstyle="3 1" joinstyle="miter"/>
              </v:line>
            </w:pict>
          </mc:Fallback>
        </mc:AlternateContent>
      </w:r>
      <w:r w:rsidR="001F0FE5" w:rsidRPr="00A0600F">
        <w:rPr>
          <w:rFonts w:ascii="Times New Roman" w:hAnsi="Times New Roman" w:cs="Times New Roman"/>
          <w:b/>
          <w:bCs/>
          <w:sz w:val="24"/>
          <w:szCs w:val="24"/>
          <w:lang w:val="en-US"/>
        </w:rPr>
        <w:t xml:space="preserve"> </w:t>
      </w:r>
      <w:r w:rsidR="007D639A" w:rsidRPr="00A0600F">
        <w:rPr>
          <w:rFonts w:ascii="Times New Roman" w:hAnsi="Times New Roman" w:cs="Times New Roman"/>
          <w:b/>
          <w:bCs/>
          <w:noProof/>
          <w:sz w:val="24"/>
          <w:szCs w:val="24"/>
          <w:lang w:val="en-US"/>
        </w:rPr>
        <w:drawing>
          <wp:inline distT="0" distB="0" distL="0" distR="0" wp14:anchorId="7768FC7C" wp14:editId="3AA0A2DC">
            <wp:extent cx="6210300" cy="375433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5173" cy="3763330"/>
                    </a:xfrm>
                    <a:prstGeom prst="rect">
                      <a:avLst/>
                    </a:prstGeom>
                    <a:noFill/>
                  </pic:spPr>
                </pic:pic>
              </a:graphicData>
            </a:graphic>
          </wp:inline>
        </w:drawing>
      </w:r>
    </w:p>
    <w:p w14:paraId="61396DD5" w14:textId="77777777" w:rsidR="007D639A" w:rsidRPr="00A0600F" w:rsidRDefault="007D639A">
      <w:pPr>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br w:type="page"/>
      </w:r>
    </w:p>
    <w:p w14:paraId="67E5DE06" w14:textId="6B817A30" w:rsidR="00270392" w:rsidRPr="00A0600F" w:rsidRDefault="00270392" w:rsidP="005968F4">
      <w:pPr>
        <w:spacing w:line="360" w:lineRule="auto"/>
        <w:jc w:val="both"/>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lastRenderedPageBreak/>
        <w:t>APPENDIX</w:t>
      </w:r>
    </w:p>
    <w:p w14:paraId="5A595BDC" w14:textId="4206DC56" w:rsidR="00EA03C1" w:rsidRPr="00EF5D8F" w:rsidRDefault="00EA03C1" w:rsidP="005968F4">
      <w:pPr>
        <w:spacing w:line="360" w:lineRule="auto"/>
        <w:jc w:val="both"/>
        <w:rPr>
          <w:rFonts w:ascii="Times New Roman" w:hAnsi="Times New Roman" w:cs="Times New Roman"/>
          <w:sz w:val="24"/>
          <w:szCs w:val="24"/>
          <w:lang w:val="en-US"/>
        </w:rPr>
      </w:pPr>
      <w:r w:rsidRPr="00EF5D8F">
        <w:rPr>
          <w:rFonts w:ascii="Times New Roman" w:hAnsi="Times New Roman" w:cs="Times New Roman"/>
          <w:sz w:val="24"/>
          <w:szCs w:val="24"/>
          <w:lang w:val="en-US"/>
        </w:rPr>
        <w:t>Adverse events definitions:</w:t>
      </w:r>
    </w:p>
    <w:tbl>
      <w:tblPr>
        <w:tblStyle w:val="TableGrid"/>
        <w:tblW w:w="0" w:type="auto"/>
        <w:tblLook w:val="04A0" w:firstRow="1" w:lastRow="0" w:firstColumn="1" w:lastColumn="0" w:noHBand="0" w:noVBand="1"/>
      </w:tblPr>
      <w:tblGrid>
        <w:gridCol w:w="1980"/>
        <w:gridCol w:w="3827"/>
        <w:gridCol w:w="3821"/>
      </w:tblGrid>
      <w:tr w:rsidR="00270392" w:rsidRPr="00A0600F" w14:paraId="6256FD19" w14:textId="77777777" w:rsidTr="00DB2FA3">
        <w:trPr>
          <w:trHeight w:val="900"/>
        </w:trPr>
        <w:tc>
          <w:tcPr>
            <w:tcW w:w="1980" w:type="dxa"/>
            <w:noWrap/>
            <w:hideMark/>
          </w:tcPr>
          <w:p w14:paraId="587FC047"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AE Grading</w:t>
            </w:r>
          </w:p>
        </w:tc>
        <w:tc>
          <w:tcPr>
            <w:tcW w:w="3827" w:type="dxa"/>
            <w:noWrap/>
            <w:hideMark/>
          </w:tcPr>
          <w:p w14:paraId="38003EFB" w14:textId="4D9F1C6D"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Grades 1-2</w:t>
            </w:r>
          </w:p>
        </w:tc>
        <w:tc>
          <w:tcPr>
            <w:tcW w:w="3821" w:type="dxa"/>
            <w:noWrap/>
            <w:hideMark/>
          </w:tcPr>
          <w:p w14:paraId="7C7CFF31" w14:textId="5248CAF6"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Grades 3-4</w:t>
            </w:r>
          </w:p>
        </w:tc>
      </w:tr>
      <w:tr w:rsidR="00270392" w:rsidRPr="00D5236E" w14:paraId="1DD8800D" w14:textId="77777777" w:rsidTr="00DB2FA3">
        <w:trPr>
          <w:trHeight w:val="900"/>
        </w:trPr>
        <w:tc>
          <w:tcPr>
            <w:tcW w:w="1980" w:type="dxa"/>
            <w:noWrap/>
            <w:hideMark/>
          </w:tcPr>
          <w:p w14:paraId="3E38A37D"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Post Embolization Syndrome (PES)</w:t>
            </w:r>
          </w:p>
        </w:tc>
        <w:tc>
          <w:tcPr>
            <w:tcW w:w="3827" w:type="dxa"/>
            <w:hideMark/>
          </w:tcPr>
          <w:p w14:paraId="1DE4D278" w14:textId="3C3E10D9"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 xml:space="preserve">Mild pain, with or without fever, with or without nausea </w:t>
            </w:r>
            <w:r w:rsidR="0092325D" w:rsidRPr="00A0600F">
              <w:rPr>
                <w:rFonts w:ascii="Times New Roman" w:eastAsia="Times New Roman" w:hAnsi="Times New Roman" w:cs="Times New Roman"/>
                <w:sz w:val="20"/>
                <w:szCs w:val="20"/>
                <w:lang w:val="en-US" w:eastAsia="it-IT"/>
              </w:rPr>
              <w:t xml:space="preserve">/ vomiting </w:t>
            </w:r>
            <w:r w:rsidRPr="00A0600F">
              <w:rPr>
                <w:rFonts w:ascii="Times New Roman" w:eastAsia="Times New Roman" w:hAnsi="Times New Roman" w:cs="Times New Roman"/>
                <w:sz w:val="20"/>
                <w:szCs w:val="20"/>
                <w:lang w:val="en-US" w:eastAsia="it-IT"/>
              </w:rPr>
              <w:t>requiring eventual administration of analgesic, antiemetics, antipyretics.</w:t>
            </w:r>
          </w:p>
        </w:tc>
        <w:tc>
          <w:tcPr>
            <w:tcW w:w="3821" w:type="dxa"/>
            <w:hideMark/>
          </w:tcPr>
          <w:p w14:paraId="6E6B1A2F"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 xml:space="preserve">Moderate to severe pain, with mild to moderate peritonitis requiring narcotics, fever requiring antibiotics, vomiting requiring </w:t>
            </w:r>
            <w:proofErr w:type="spellStart"/>
            <w:r w:rsidRPr="00A0600F">
              <w:rPr>
                <w:rFonts w:ascii="Times New Roman" w:eastAsia="Times New Roman" w:hAnsi="Times New Roman" w:cs="Times New Roman"/>
                <w:sz w:val="20"/>
                <w:szCs w:val="20"/>
                <w:lang w:val="en-US" w:eastAsia="it-IT"/>
              </w:rPr>
              <w:t>naso</w:t>
            </w:r>
            <w:proofErr w:type="spellEnd"/>
            <w:r w:rsidRPr="00A0600F">
              <w:rPr>
                <w:rFonts w:ascii="Times New Roman" w:eastAsia="Times New Roman" w:hAnsi="Times New Roman" w:cs="Times New Roman"/>
                <w:sz w:val="20"/>
                <w:szCs w:val="20"/>
                <w:lang w:val="en-US" w:eastAsia="it-IT"/>
              </w:rPr>
              <w:t>-gastric tube placement</w:t>
            </w:r>
          </w:p>
        </w:tc>
      </w:tr>
      <w:tr w:rsidR="00270392" w:rsidRPr="00D5236E" w14:paraId="02194752" w14:textId="77777777" w:rsidTr="00DB2FA3">
        <w:trPr>
          <w:trHeight w:val="900"/>
        </w:trPr>
        <w:tc>
          <w:tcPr>
            <w:tcW w:w="1980" w:type="dxa"/>
            <w:noWrap/>
            <w:hideMark/>
          </w:tcPr>
          <w:p w14:paraId="15B539AF"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Cholecystitis (Acute)</w:t>
            </w:r>
          </w:p>
        </w:tc>
        <w:tc>
          <w:tcPr>
            <w:tcW w:w="3827" w:type="dxa"/>
            <w:hideMark/>
          </w:tcPr>
          <w:p w14:paraId="6472A293"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Asymptomatic with radiographic findings only/Symptomatic requiring medical intervention</w:t>
            </w:r>
          </w:p>
        </w:tc>
        <w:tc>
          <w:tcPr>
            <w:tcW w:w="3821" w:type="dxa"/>
            <w:hideMark/>
          </w:tcPr>
          <w:p w14:paraId="1CD3BD7E" w14:textId="71677FD6"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Interventional radiology, endoscopic, or operative intervention indicated / Life-threatening consequences (</w:t>
            </w:r>
            <w:r w:rsidR="00DB2FA3" w:rsidRPr="00A0600F">
              <w:rPr>
                <w:rFonts w:ascii="Times New Roman" w:eastAsia="Times New Roman" w:hAnsi="Times New Roman" w:cs="Times New Roman"/>
                <w:sz w:val="20"/>
                <w:szCs w:val="20"/>
                <w:lang w:val="en-US" w:eastAsia="it-IT"/>
              </w:rPr>
              <w:t xml:space="preserve">i.e. </w:t>
            </w:r>
            <w:r w:rsidRPr="00A0600F">
              <w:rPr>
                <w:rFonts w:ascii="Times New Roman" w:eastAsia="Times New Roman" w:hAnsi="Times New Roman" w:cs="Times New Roman"/>
                <w:sz w:val="20"/>
                <w:szCs w:val="20"/>
                <w:lang w:val="en-US" w:eastAsia="it-IT"/>
              </w:rPr>
              <w:t>sepsis or perforation)</w:t>
            </w:r>
          </w:p>
        </w:tc>
      </w:tr>
      <w:tr w:rsidR="00270392" w:rsidRPr="00D5236E" w14:paraId="0C7424E6" w14:textId="77777777" w:rsidTr="00DB2FA3">
        <w:trPr>
          <w:trHeight w:val="900"/>
        </w:trPr>
        <w:tc>
          <w:tcPr>
            <w:tcW w:w="1980" w:type="dxa"/>
            <w:noWrap/>
            <w:hideMark/>
          </w:tcPr>
          <w:p w14:paraId="1ED1BF47"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Pancreatitis (Acute)</w:t>
            </w:r>
          </w:p>
        </w:tc>
        <w:tc>
          <w:tcPr>
            <w:tcW w:w="3827" w:type="dxa"/>
            <w:hideMark/>
          </w:tcPr>
          <w:p w14:paraId="6FA3B9E5"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Asymptomatic, enzyme elevation and/or radiographic findings or symptomatic, medical intervention indicated</w:t>
            </w:r>
          </w:p>
        </w:tc>
        <w:tc>
          <w:tcPr>
            <w:tcW w:w="3821" w:type="dxa"/>
            <w:hideMark/>
          </w:tcPr>
          <w:p w14:paraId="771F7263" w14:textId="5FD5CBD6"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Interventional radiology or operative intervention indicated / Life-threatening consequences (</w:t>
            </w:r>
            <w:r w:rsidR="00DB2FA3" w:rsidRPr="00A0600F">
              <w:rPr>
                <w:rFonts w:ascii="Times New Roman" w:eastAsia="Times New Roman" w:hAnsi="Times New Roman" w:cs="Times New Roman"/>
                <w:sz w:val="20"/>
                <w:szCs w:val="20"/>
                <w:lang w:val="en-US" w:eastAsia="it-IT"/>
              </w:rPr>
              <w:t>i.e.</w:t>
            </w:r>
            <w:r w:rsidRPr="00A0600F">
              <w:rPr>
                <w:rFonts w:ascii="Times New Roman" w:eastAsia="Times New Roman" w:hAnsi="Times New Roman" w:cs="Times New Roman"/>
                <w:sz w:val="20"/>
                <w:szCs w:val="20"/>
                <w:lang w:val="en-US" w:eastAsia="it-IT"/>
              </w:rPr>
              <w:t xml:space="preserve"> circulatory failure,</w:t>
            </w:r>
            <w:r w:rsidR="00F35310" w:rsidRPr="00A0600F">
              <w:rPr>
                <w:rFonts w:ascii="Times New Roman" w:eastAsia="Times New Roman" w:hAnsi="Times New Roman" w:cs="Times New Roman"/>
                <w:sz w:val="20"/>
                <w:szCs w:val="20"/>
                <w:lang w:val="en-US" w:eastAsia="it-IT"/>
              </w:rPr>
              <w:t xml:space="preserve"> </w:t>
            </w:r>
            <w:r w:rsidRPr="00A0600F">
              <w:rPr>
                <w:rFonts w:ascii="Times New Roman" w:eastAsia="Times New Roman" w:hAnsi="Times New Roman" w:cs="Times New Roman"/>
                <w:sz w:val="20"/>
                <w:szCs w:val="20"/>
                <w:lang w:val="en-US" w:eastAsia="it-IT"/>
              </w:rPr>
              <w:t>hemorrhage, sepsis)</w:t>
            </w:r>
          </w:p>
        </w:tc>
      </w:tr>
      <w:tr w:rsidR="00270392" w:rsidRPr="00D5236E" w14:paraId="4A8814B1" w14:textId="77777777" w:rsidTr="00DB2FA3">
        <w:trPr>
          <w:trHeight w:val="900"/>
        </w:trPr>
        <w:tc>
          <w:tcPr>
            <w:tcW w:w="1980" w:type="dxa"/>
            <w:noWrap/>
            <w:hideMark/>
          </w:tcPr>
          <w:p w14:paraId="5EB83271"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Liver Abscess</w:t>
            </w:r>
          </w:p>
        </w:tc>
        <w:tc>
          <w:tcPr>
            <w:tcW w:w="3827" w:type="dxa"/>
            <w:hideMark/>
          </w:tcPr>
          <w:p w14:paraId="5B73FD4E"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 xml:space="preserve">Radiological finding only without any clinical signs of systemic infection. Analgesics and electrolytes allowed </w:t>
            </w:r>
          </w:p>
        </w:tc>
        <w:tc>
          <w:tcPr>
            <w:tcW w:w="3821" w:type="dxa"/>
            <w:hideMark/>
          </w:tcPr>
          <w:p w14:paraId="0BC97487"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 xml:space="preserve">Antibiotic, antifungal intervention indicated; radiologic or surgical intervention indicated / Life-threatening consequences  </w:t>
            </w:r>
          </w:p>
        </w:tc>
      </w:tr>
      <w:tr w:rsidR="00270392" w:rsidRPr="00D5236E" w14:paraId="043755FC" w14:textId="77777777" w:rsidTr="00DB2FA3">
        <w:trPr>
          <w:trHeight w:val="900"/>
        </w:trPr>
        <w:tc>
          <w:tcPr>
            <w:tcW w:w="1980" w:type="dxa"/>
            <w:noWrap/>
            <w:hideMark/>
          </w:tcPr>
          <w:p w14:paraId="618EA63C"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Acute kidney injury</w:t>
            </w:r>
          </w:p>
        </w:tc>
        <w:tc>
          <w:tcPr>
            <w:tcW w:w="3827" w:type="dxa"/>
            <w:hideMark/>
          </w:tcPr>
          <w:p w14:paraId="388C4721"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Creatinine 2-3 x above baseline value</w:t>
            </w:r>
          </w:p>
        </w:tc>
        <w:tc>
          <w:tcPr>
            <w:tcW w:w="3821" w:type="dxa"/>
            <w:hideMark/>
          </w:tcPr>
          <w:p w14:paraId="78919613"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Creatinine &gt;3 x baseline or &gt;4.0mg/dL or requiring dialysis</w:t>
            </w:r>
          </w:p>
        </w:tc>
      </w:tr>
      <w:tr w:rsidR="00270392" w:rsidRPr="00A0600F" w14:paraId="6B01AA34" w14:textId="77777777" w:rsidTr="00DB2FA3">
        <w:trPr>
          <w:trHeight w:val="900"/>
        </w:trPr>
        <w:tc>
          <w:tcPr>
            <w:tcW w:w="1980" w:type="dxa"/>
            <w:noWrap/>
            <w:hideMark/>
          </w:tcPr>
          <w:p w14:paraId="59EA5A6B"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Inguinal hematoma</w:t>
            </w:r>
          </w:p>
        </w:tc>
        <w:tc>
          <w:tcPr>
            <w:tcW w:w="3827" w:type="dxa"/>
            <w:hideMark/>
          </w:tcPr>
          <w:p w14:paraId="0E9BABB7"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Mild symptoms / minimally invasive evacuation or aspiration indicated, medical therapy</w:t>
            </w:r>
          </w:p>
        </w:tc>
        <w:tc>
          <w:tcPr>
            <w:tcW w:w="3821" w:type="dxa"/>
            <w:hideMark/>
          </w:tcPr>
          <w:p w14:paraId="05175417"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Transfusion, radiologic, endoscopic or intervention indicated</w:t>
            </w:r>
          </w:p>
        </w:tc>
      </w:tr>
      <w:tr w:rsidR="00270392" w:rsidRPr="00D5236E" w14:paraId="548F4754" w14:textId="77777777" w:rsidTr="00DB2FA3">
        <w:trPr>
          <w:trHeight w:val="900"/>
        </w:trPr>
        <w:tc>
          <w:tcPr>
            <w:tcW w:w="1980" w:type="dxa"/>
            <w:noWrap/>
            <w:hideMark/>
          </w:tcPr>
          <w:p w14:paraId="39EB8168"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Liver dysfunction</w:t>
            </w:r>
          </w:p>
        </w:tc>
        <w:tc>
          <w:tcPr>
            <w:tcW w:w="3827" w:type="dxa"/>
            <w:hideMark/>
          </w:tcPr>
          <w:p w14:paraId="1AD037A5" w14:textId="5A11D879"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 xml:space="preserve">Transient bilirubin </w:t>
            </w:r>
            <w:r w:rsidR="00DB2FA3" w:rsidRPr="00A0600F">
              <w:rPr>
                <w:rFonts w:ascii="Times New Roman" w:eastAsia="Times New Roman" w:hAnsi="Times New Roman" w:cs="Times New Roman"/>
                <w:sz w:val="20"/>
                <w:szCs w:val="20"/>
                <w:lang w:val="en-US" w:eastAsia="it-IT"/>
              </w:rPr>
              <w:t>increases</w:t>
            </w:r>
            <w:r w:rsidRPr="00A0600F">
              <w:rPr>
                <w:rFonts w:ascii="Times New Roman" w:eastAsia="Times New Roman" w:hAnsi="Times New Roman" w:cs="Times New Roman"/>
                <w:sz w:val="20"/>
                <w:szCs w:val="20"/>
                <w:lang w:val="en-US" w:eastAsia="it-IT"/>
              </w:rPr>
              <w:t xml:space="preserve"> ≥ 50% compared with baseline, Albumin decrease by 0.3 g/dL, AST or ALT increase of &gt; 25%, INR increase of ≥ 25%, eventual albumin supplementation for ascites</w:t>
            </w:r>
          </w:p>
        </w:tc>
        <w:tc>
          <w:tcPr>
            <w:tcW w:w="3821" w:type="dxa"/>
            <w:hideMark/>
          </w:tcPr>
          <w:p w14:paraId="40F365A5" w14:textId="3087C280"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 xml:space="preserve">Development of jaundice, encephalopathy, increasing ascites eventually requiring </w:t>
            </w:r>
            <w:r w:rsidR="00DB2FA3" w:rsidRPr="00A0600F">
              <w:rPr>
                <w:rFonts w:ascii="Times New Roman" w:eastAsia="Times New Roman" w:hAnsi="Times New Roman" w:cs="Times New Roman"/>
                <w:sz w:val="20"/>
                <w:szCs w:val="20"/>
                <w:lang w:val="en-US" w:eastAsia="it-IT"/>
              </w:rPr>
              <w:t>drainage /</w:t>
            </w:r>
            <w:r w:rsidRPr="00A0600F">
              <w:rPr>
                <w:rFonts w:ascii="Times New Roman" w:eastAsia="Times New Roman" w:hAnsi="Times New Roman" w:cs="Times New Roman"/>
                <w:sz w:val="20"/>
                <w:szCs w:val="20"/>
                <w:lang w:val="en-US" w:eastAsia="it-IT"/>
              </w:rPr>
              <w:t xml:space="preserve"> Life-threatening consequences</w:t>
            </w:r>
          </w:p>
        </w:tc>
      </w:tr>
      <w:tr w:rsidR="00270392" w:rsidRPr="00D5236E" w14:paraId="6C548886" w14:textId="77777777" w:rsidTr="00DB2FA3">
        <w:trPr>
          <w:trHeight w:val="900"/>
        </w:trPr>
        <w:tc>
          <w:tcPr>
            <w:tcW w:w="1980" w:type="dxa"/>
            <w:noWrap/>
            <w:hideMark/>
          </w:tcPr>
          <w:p w14:paraId="17B039EF" w14:textId="77777777" w:rsidR="00270392" w:rsidRPr="00A0600F" w:rsidRDefault="00270392" w:rsidP="007B3BD1">
            <w:pPr>
              <w:jc w:val="both"/>
              <w:rPr>
                <w:rFonts w:ascii="Times New Roman" w:eastAsia="Times New Roman" w:hAnsi="Times New Roman" w:cs="Times New Roman"/>
                <w:b/>
                <w:bCs/>
                <w:sz w:val="20"/>
                <w:szCs w:val="20"/>
                <w:lang w:val="en-US" w:eastAsia="it-IT"/>
              </w:rPr>
            </w:pPr>
            <w:r w:rsidRPr="00A0600F">
              <w:rPr>
                <w:rFonts w:ascii="Times New Roman" w:eastAsia="Times New Roman" w:hAnsi="Times New Roman" w:cs="Times New Roman"/>
                <w:b/>
                <w:bCs/>
                <w:sz w:val="20"/>
                <w:szCs w:val="20"/>
                <w:lang w:val="en-US" w:eastAsia="it-IT"/>
              </w:rPr>
              <w:t>GI bleeding</w:t>
            </w:r>
          </w:p>
        </w:tc>
        <w:tc>
          <w:tcPr>
            <w:tcW w:w="3827" w:type="dxa"/>
            <w:hideMark/>
          </w:tcPr>
          <w:p w14:paraId="5EAB4630"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Hematemesis or tarry stool without the need for transfusion or endoscopy</w:t>
            </w:r>
          </w:p>
        </w:tc>
        <w:tc>
          <w:tcPr>
            <w:tcW w:w="3821" w:type="dxa"/>
            <w:hideMark/>
          </w:tcPr>
          <w:p w14:paraId="6BB07A66" w14:textId="77777777" w:rsidR="00270392" w:rsidRPr="00A0600F" w:rsidRDefault="00270392" w:rsidP="00DB2FA3">
            <w:pPr>
              <w:rPr>
                <w:rFonts w:ascii="Times New Roman" w:eastAsia="Times New Roman" w:hAnsi="Times New Roman" w:cs="Times New Roman"/>
                <w:sz w:val="20"/>
                <w:szCs w:val="20"/>
                <w:lang w:val="en-US" w:eastAsia="it-IT"/>
              </w:rPr>
            </w:pPr>
            <w:r w:rsidRPr="00A0600F">
              <w:rPr>
                <w:rFonts w:ascii="Times New Roman" w:eastAsia="Times New Roman" w:hAnsi="Times New Roman" w:cs="Times New Roman"/>
                <w:sz w:val="20"/>
                <w:szCs w:val="20"/>
                <w:lang w:val="en-US" w:eastAsia="it-IT"/>
              </w:rPr>
              <w:t>Transfusion, radiologic, endoscopic or intervention indicated / Life-threatening consequences</w:t>
            </w:r>
          </w:p>
        </w:tc>
      </w:tr>
    </w:tbl>
    <w:p w14:paraId="7BADE038" w14:textId="4700830D" w:rsidR="00EA03C1" w:rsidRPr="00A0600F" w:rsidRDefault="00EA03C1" w:rsidP="005968F4">
      <w:pPr>
        <w:spacing w:line="360" w:lineRule="auto"/>
        <w:jc w:val="both"/>
        <w:rPr>
          <w:rFonts w:ascii="Times New Roman" w:hAnsi="Times New Roman" w:cs="Times New Roman"/>
          <w:b/>
          <w:bCs/>
          <w:sz w:val="24"/>
          <w:szCs w:val="24"/>
          <w:lang w:val="en-US"/>
        </w:rPr>
      </w:pPr>
    </w:p>
    <w:p w14:paraId="79B06F06" w14:textId="77777777" w:rsidR="00EA03C1" w:rsidRPr="00A0600F" w:rsidRDefault="00EA03C1">
      <w:pPr>
        <w:rPr>
          <w:rFonts w:ascii="Times New Roman" w:hAnsi="Times New Roman" w:cs="Times New Roman"/>
          <w:b/>
          <w:bCs/>
          <w:sz w:val="24"/>
          <w:szCs w:val="24"/>
          <w:lang w:val="en-US"/>
        </w:rPr>
      </w:pPr>
      <w:r w:rsidRPr="00A0600F">
        <w:rPr>
          <w:rFonts w:ascii="Times New Roman" w:hAnsi="Times New Roman" w:cs="Times New Roman"/>
          <w:b/>
          <w:bCs/>
          <w:sz w:val="24"/>
          <w:szCs w:val="24"/>
          <w:lang w:val="en-US"/>
        </w:rPr>
        <w:br w:type="page"/>
      </w:r>
    </w:p>
    <w:p w14:paraId="0FCB6FC6" w14:textId="77777777" w:rsidR="00EA03C1" w:rsidRPr="00A0600F" w:rsidRDefault="00EA03C1" w:rsidP="005968F4">
      <w:pPr>
        <w:spacing w:line="360" w:lineRule="auto"/>
        <w:jc w:val="both"/>
        <w:rPr>
          <w:rFonts w:ascii="Times New Roman" w:hAnsi="Times New Roman" w:cs="Times New Roman"/>
          <w:b/>
          <w:bCs/>
          <w:sz w:val="24"/>
          <w:szCs w:val="24"/>
          <w:lang w:val="en-US"/>
        </w:rPr>
        <w:sectPr w:rsidR="00EA03C1" w:rsidRPr="00A0600F">
          <w:headerReference w:type="default" r:id="rId13"/>
          <w:pgSz w:w="11906" w:h="16838"/>
          <w:pgMar w:top="1417" w:right="1134" w:bottom="1134" w:left="1134" w:header="708" w:footer="708" w:gutter="0"/>
          <w:cols w:space="708"/>
          <w:docGrid w:linePitch="360"/>
        </w:sectPr>
      </w:pPr>
    </w:p>
    <w:p w14:paraId="20A72343" w14:textId="6F49E0D6" w:rsidR="00270392" w:rsidRPr="00A0600F" w:rsidRDefault="00EA03C1" w:rsidP="005968F4">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lastRenderedPageBreak/>
        <w:t xml:space="preserve">Supplementary Table 1. </w:t>
      </w:r>
      <w:r w:rsidRPr="00A0600F">
        <w:rPr>
          <w:rFonts w:ascii="Times New Roman" w:hAnsi="Times New Roman" w:cs="Times New Roman"/>
          <w:sz w:val="24"/>
          <w:szCs w:val="24"/>
          <w:lang w:val="en-US"/>
        </w:rPr>
        <w:t>Main clinical and radiological features by each center included in the analysis.</w:t>
      </w:r>
    </w:p>
    <w:tbl>
      <w:tblPr>
        <w:tblStyle w:val="TableGrid"/>
        <w:tblW w:w="0" w:type="auto"/>
        <w:tblLook w:val="04A0" w:firstRow="1" w:lastRow="0" w:firstColumn="1" w:lastColumn="0" w:noHBand="0" w:noVBand="1"/>
      </w:tblPr>
      <w:tblGrid>
        <w:gridCol w:w="1838"/>
        <w:gridCol w:w="1243"/>
        <w:gridCol w:w="1244"/>
        <w:gridCol w:w="1244"/>
        <w:gridCol w:w="1244"/>
        <w:gridCol w:w="1244"/>
        <w:gridCol w:w="1243"/>
        <w:gridCol w:w="1244"/>
        <w:gridCol w:w="1244"/>
        <w:gridCol w:w="1244"/>
        <w:gridCol w:w="1244"/>
      </w:tblGrid>
      <w:tr w:rsidR="00EA03C1" w:rsidRPr="00A0600F" w14:paraId="13C3B45C" w14:textId="77777777" w:rsidTr="00EA03C1">
        <w:tc>
          <w:tcPr>
            <w:tcW w:w="1838" w:type="dxa"/>
          </w:tcPr>
          <w:p w14:paraId="24979DCE" w14:textId="77777777" w:rsidR="00EA03C1" w:rsidRPr="00A0600F" w:rsidRDefault="00EA03C1" w:rsidP="005968F4">
            <w:pPr>
              <w:spacing w:line="360" w:lineRule="auto"/>
              <w:jc w:val="both"/>
              <w:rPr>
                <w:rFonts w:ascii="Times New Roman" w:hAnsi="Times New Roman" w:cs="Times New Roman"/>
                <w:sz w:val="18"/>
                <w:szCs w:val="18"/>
                <w:lang w:val="en-US"/>
              </w:rPr>
            </w:pPr>
          </w:p>
        </w:tc>
        <w:tc>
          <w:tcPr>
            <w:tcW w:w="1243" w:type="dxa"/>
          </w:tcPr>
          <w:p w14:paraId="4E7B5D68" w14:textId="73D6BB50"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 xml:space="preserve">Birmingham </w:t>
            </w:r>
            <w:r w:rsidR="00EA03C1" w:rsidRPr="00A0600F">
              <w:rPr>
                <w:rFonts w:ascii="Times New Roman" w:hAnsi="Times New Roman" w:cs="Times New Roman"/>
                <w:sz w:val="18"/>
                <w:szCs w:val="18"/>
                <w:lang w:val="en-US"/>
              </w:rPr>
              <w:t>(n=261)</w:t>
            </w:r>
          </w:p>
        </w:tc>
        <w:tc>
          <w:tcPr>
            <w:tcW w:w="1244" w:type="dxa"/>
          </w:tcPr>
          <w:p w14:paraId="6DBB4295" w14:textId="3972800C"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Mainz</w:t>
            </w:r>
            <w:r w:rsidR="00EA03C1" w:rsidRPr="00A0600F">
              <w:rPr>
                <w:rFonts w:ascii="Times New Roman" w:hAnsi="Times New Roman" w:cs="Times New Roman"/>
                <w:sz w:val="18"/>
                <w:szCs w:val="18"/>
                <w:lang w:val="en-US"/>
              </w:rPr>
              <w:t xml:space="preserve"> (n=166)</w:t>
            </w:r>
          </w:p>
        </w:tc>
        <w:tc>
          <w:tcPr>
            <w:tcW w:w="1244" w:type="dxa"/>
          </w:tcPr>
          <w:p w14:paraId="43F64C3C" w14:textId="71BEDB3C"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Freiburg</w:t>
            </w:r>
            <w:r w:rsidR="00EA03C1" w:rsidRPr="00A0600F">
              <w:rPr>
                <w:rFonts w:ascii="Times New Roman" w:hAnsi="Times New Roman" w:cs="Times New Roman"/>
                <w:sz w:val="18"/>
                <w:szCs w:val="18"/>
                <w:lang w:val="en-US"/>
              </w:rPr>
              <w:t xml:space="preserve"> (n=164)</w:t>
            </w:r>
          </w:p>
        </w:tc>
        <w:tc>
          <w:tcPr>
            <w:tcW w:w="1244" w:type="dxa"/>
          </w:tcPr>
          <w:p w14:paraId="5AD7683F" w14:textId="1BDA8FF1"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Bologna</w:t>
            </w:r>
            <w:r w:rsidR="00EA03C1" w:rsidRPr="00A0600F">
              <w:rPr>
                <w:rFonts w:ascii="Times New Roman" w:hAnsi="Times New Roman" w:cs="Times New Roman"/>
                <w:sz w:val="18"/>
                <w:szCs w:val="18"/>
                <w:lang w:val="en-US"/>
              </w:rPr>
              <w:t xml:space="preserve"> (n=154)</w:t>
            </w:r>
          </w:p>
        </w:tc>
        <w:tc>
          <w:tcPr>
            <w:tcW w:w="1244" w:type="dxa"/>
          </w:tcPr>
          <w:p w14:paraId="14C7198C" w14:textId="15099EAE"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Palermo</w:t>
            </w:r>
            <w:r w:rsidR="00EA03C1" w:rsidRPr="00A0600F">
              <w:rPr>
                <w:rFonts w:ascii="Times New Roman" w:hAnsi="Times New Roman" w:cs="Times New Roman"/>
                <w:sz w:val="18"/>
                <w:szCs w:val="18"/>
                <w:lang w:val="en-US"/>
              </w:rPr>
              <w:t xml:space="preserve"> (n=97)</w:t>
            </w:r>
          </w:p>
        </w:tc>
        <w:tc>
          <w:tcPr>
            <w:tcW w:w="1243" w:type="dxa"/>
          </w:tcPr>
          <w:p w14:paraId="352BCF79" w14:textId="204D94A0"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Nottingham</w:t>
            </w:r>
            <w:r w:rsidR="00EA03C1" w:rsidRPr="00A0600F">
              <w:rPr>
                <w:rFonts w:ascii="Times New Roman" w:hAnsi="Times New Roman" w:cs="Times New Roman"/>
                <w:sz w:val="18"/>
                <w:szCs w:val="18"/>
                <w:lang w:val="en-US"/>
              </w:rPr>
              <w:t xml:space="preserve"> (n=90)</w:t>
            </w:r>
          </w:p>
        </w:tc>
        <w:tc>
          <w:tcPr>
            <w:tcW w:w="1244" w:type="dxa"/>
          </w:tcPr>
          <w:p w14:paraId="6CC336F6" w14:textId="3DEBB7D7"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H</w:t>
            </w:r>
            <w:r w:rsidR="00670C3D" w:rsidRPr="00A0600F">
              <w:rPr>
                <w:rFonts w:ascii="Times New Roman" w:hAnsi="Times New Roman" w:cs="Times New Roman"/>
                <w:sz w:val="18"/>
                <w:szCs w:val="18"/>
                <w:lang w:val="en-US"/>
              </w:rPr>
              <w:t>o</w:t>
            </w:r>
            <w:r w:rsidRPr="00A0600F">
              <w:rPr>
                <w:rFonts w:ascii="Times New Roman" w:hAnsi="Times New Roman" w:cs="Times New Roman"/>
                <w:sz w:val="18"/>
                <w:szCs w:val="18"/>
                <w:lang w:val="en-US"/>
              </w:rPr>
              <w:t>uston</w:t>
            </w:r>
            <w:r w:rsidR="00EA03C1" w:rsidRPr="00A0600F">
              <w:rPr>
                <w:rFonts w:ascii="Times New Roman" w:hAnsi="Times New Roman" w:cs="Times New Roman"/>
                <w:sz w:val="18"/>
                <w:szCs w:val="18"/>
                <w:lang w:val="en-US"/>
              </w:rPr>
              <w:t xml:space="preserve"> (n=72)</w:t>
            </w:r>
          </w:p>
        </w:tc>
        <w:tc>
          <w:tcPr>
            <w:tcW w:w="1244" w:type="dxa"/>
          </w:tcPr>
          <w:p w14:paraId="29EE93B1" w14:textId="77777777" w:rsidR="00EA3A0F"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Milan</w:t>
            </w:r>
          </w:p>
          <w:p w14:paraId="18206BB0" w14:textId="40A4C3B2" w:rsidR="00EA03C1" w:rsidRPr="00A0600F" w:rsidRDefault="00EA03C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(n=55)</w:t>
            </w:r>
          </w:p>
        </w:tc>
        <w:tc>
          <w:tcPr>
            <w:tcW w:w="1244" w:type="dxa"/>
          </w:tcPr>
          <w:p w14:paraId="2ECFFD34" w14:textId="7E6489D4"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Klagenfurt</w:t>
            </w:r>
            <w:r w:rsidR="00EA03C1" w:rsidRPr="00A0600F">
              <w:rPr>
                <w:rFonts w:ascii="Times New Roman" w:hAnsi="Times New Roman" w:cs="Times New Roman"/>
                <w:sz w:val="18"/>
                <w:szCs w:val="18"/>
                <w:lang w:val="en-US"/>
              </w:rPr>
              <w:t xml:space="preserve"> (n=35)</w:t>
            </w:r>
          </w:p>
        </w:tc>
        <w:tc>
          <w:tcPr>
            <w:tcW w:w="1244" w:type="dxa"/>
          </w:tcPr>
          <w:p w14:paraId="7C318B8E" w14:textId="5A178CE5" w:rsidR="00EA03C1" w:rsidRPr="00A0600F" w:rsidRDefault="00EA3A0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Faenza</w:t>
            </w:r>
            <w:r w:rsidR="00EA03C1" w:rsidRPr="00A0600F">
              <w:rPr>
                <w:rFonts w:ascii="Times New Roman" w:hAnsi="Times New Roman" w:cs="Times New Roman"/>
                <w:sz w:val="18"/>
                <w:szCs w:val="18"/>
                <w:lang w:val="en-US"/>
              </w:rPr>
              <w:t xml:space="preserve"> (n=30)</w:t>
            </w:r>
          </w:p>
        </w:tc>
      </w:tr>
      <w:tr w:rsidR="00EA03C1" w:rsidRPr="00A0600F" w14:paraId="366E3B78" w14:textId="77777777" w:rsidTr="00EA03C1">
        <w:tc>
          <w:tcPr>
            <w:tcW w:w="1838" w:type="dxa"/>
          </w:tcPr>
          <w:p w14:paraId="3F1057C9" w14:textId="076C16C3"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Age (years)</w:t>
            </w:r>
          </w:p>
        </w:tc>
        <w:tc>
          <w:tcPr>
            <w:tcW w:w="1243" w:type="dxa"/>
          </w:tcPr>
          <w:p w14:paraId="55EAE4F1" w14:textId="46D9FB10"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66.2 ± 9.6</w:t>
            </w:r>
          </w:p>
        </w:tc>
        <w:tc>
          <w:tcPr>
            <w:tcW w:w="1244" w:type="dxa"/>
          </w:tcPr>
          <w:p w14:paraId="2F5DE23F" w14:textId="6D5152B8"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66.9 ± 9.3</w:t>
            </w:r>
          </w:p>
        </w:tc>
        <w:tc>
          <w:tcPr>
            <w:tcW w:w="1244" w:type="dxa"/>
          </w:tcPr>
          <w:p w14:paraId="3FBD458E" w14:textId="0C80F9D1"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68.4 ± 10.4</w:t>
            </w:r>
          </w:p>
        </w:tc>
        <w:tc>
          <w:tcPr>
            <w:tcW w:w="1244" w:type="dxa"/>
          </w:tcPr>
          <w:p w14:paraId="5B223B0A" w14:textId="296CCF08"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67.9 ± 10.6</w:t>
            </w:r>
          </w:p>
        </w:tc>
        <w:tc>
          <w:tcPr>
            <w:tcW w:w="1244" w:type="dxa"/>
          </w:tcPr>
          <w:p w14:paraId="4B3FE266" w14:textId="5C4D2183"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72.4 ± 8.6</w:t>
            </w:r>
          </w:p>
        </w:tc>
        <w:tc>
          <w:tcPr>
            <w:tcW w:w="1243" w:type="dxa"/>
          </w:tcPr>
          <w:p w14:paraId="6CDD2EE1" w14:textId="789D78B7"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71.1 ± 7.5</w:t>
            </w:r>
          </w:p>
        </w:tc>
        <w:tc>
          <w:tcPr>
            <w:tcW w:w="1244" w:type="dxa"/>
          </w:tcPr>
          <w:p w14:paraId="7C5C670B" w14:textId="7F1B118D"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68.9 ± 9.2</w:t>
            </w:r>
          </w:p>
        </w:tc>
        <w:tc>
          <w:tcPr>
            <w:tcW w:w="1244" w:type="dxa"/>
          </w:tcPr>
          <w:p w14:paraId="7FEA1431" w14:textId="2E18E7ED"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63.1 ± 11.1</w:t>
            </w:r>
          </w:p>
        </w:tc>
        <w:tc>
          <w:tcPr>
            <w:tcW w:w="1244" w:type="dxa"/>
          </w:tcPr>
          <w:p w14:paraId="52159E1A" w14:textId="3A525EF4"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73.7 ± 6.3</w:t>
            </w:r>
          </w:p>
        </w:tc>
        <w:tc>
          <w:tcPr>
            <w:tcW w:w="1244" w:type="dxa"/>
          </w:tcPr>
          <w:p w14:paraId="225F207E" w14:textId="022E7856" w:rsidR="00EA03C1" w:rsidRPr="00A0600F" w:rsidRDefault="00A50FB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70.0 ± 12.3</w:t>
            </w:r>
          </w:p>
        </w:tc>
      </w:tr>
      <w:tr w:rsidR="00EA03C1" w:rsidRPr="00A0600F" w14:paraId="4087E33E" w14:textId="77777777" w:rsidTr="00EA03C1">
        <w:tc>
          <w:tcPr>
            <w:tcW w:w="1838" w:type="dxa"/>
          </w:tcPr>
          <w:p w14:paraId="57EE2D7D" w14:textId="58B1EEA9"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Male</w:t>
            </w:r>
          </w:p>
        </w:tc>
        <w:tc>
          <w:tcPr>
            <w:tcW w:w="1243" w:type="dxa"/>
          </w:tcPr>
          <w:p w14:paraId="3DEC3F30" w14:textId="7C97FD40"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218 (83.5%)</w:t>
            </w:r>
          </w:p>
        </w:tc>
        <w:tc>
          <w:tcPr>
            <w:tcW w:w="1244" w:type="dxa"/>
          </w:tcPr>
          <w:p w14:paraId="2B40F10D" w14:textId="604358D2"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142 (85.5%)</w:t>
            </w:r>
          </w:p>
        </w:tc>
        <w:tc>
          <w:tcPr>
            <w:tcW w:w="1244" w:type="dxa"/>
          </w:tcPr>
          <w:p w14:paraId="756C46AD" w14:textId="0E1F3F1A"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138 (84.1%)</w:t>
            </w:r>
          </w:p>
        </w:tc>
        <w:tc>
          <w:tcPr>
            <w:tcW w:w="1244" w:type="dxa"/>
          </w:tcPr>
          <w:p w14:paraId="55E05B93" w14:textId="038FC547"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114 (74.0%)</w:t>
            </w:r>
          </w:p>
        </w:tc>
        <w:tc>
          <w:tcPr>
            <w:tcW w:w="1244" w:type="dxa"/>
          </w:tcPr>
          <w:p w14:paraId="1B25F2A4" w14:textId="2EE28F2B"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69 (71.1%)</w:t>
            </w:r>
          </w:p>
        </w:tc>
        <w:tc>
          <w:tcPr>
            <w:tcW w:w="1243" w:type="dxa"/>
          </w:tcPr>
          <w:p w14:paraId="19DA480F" w14:textId="29CE1620"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72 (80.0%)</w:t>
            </w:r>
          </w:p>
        </w:tc>
        <w:tc>
          <w:tcPr>
            <w:tcW w:w="1244" w:type="dxa"/>
          </w:tcPr>
          <w:p w14:paraId="660B300E" w14:textId="549DBADC"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56 (77.8%)</w:t>
            </w:r>
          </w:p>
        </w:tc>
        <w:tc>
          <w:tcPr>
            <w:tcW w:w="1244" w:type="dxa"/>
          </w:tcPr>
          <w:p w14:paraId="563F634C" w14:textId="7C057098"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46 (83.6%)</w:t>
            </w:r>
          </w:p>
        </w:tc>
        <w:tc>
          <w:tcPr>
            <w:tcW w:w="1244" w:type="dxa"/>
          </w:tcPr>
          <w:p w14:paraId="58D14F1F" w14:textId="12895EEC"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26 (74.3%)</w:t>
            </w:r>
          </w:p>
        </w:tc>
        <w:tc>
          <w:tcPr>
            <w:tcW w:w="1244" w:type="dxa"/>
          </w:tcPr>
          <w:p w14:paraId="70D54368" w14:textId="261F23E9" w:rsidR="00EA03C1" w:rsidRPr="00A0600F" w:rsidRDefault="006564D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24 (80.0%)</w:t>
            </w:r>
          </w:p>
        </w:tc>
      </w:tr>
      <w:tr w:rsidR="00EA03C1" w:rsidRPr="00A0600F" w14:paraId="18CE9589" w14:textId="77777777" w:rsidTr="00EA03C1">
        <w:tc>
          <w:tcPr>
            <w:tcW w:w="1838" w:type="dxa"/>
          </w:tcPr>
          <w:p w14:paraId="1C494382" w14:textId="3D1DAF99"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HBsAg positive</w:t>
            </w:r>
          </w:p>
        </w:tc>
        <w:tc>
          <w:tcPr>
            <w:tcW w:w="1243" w:type="dxa"/>
          </w:tcPr>
          <w:p w14:paraId="3825A21B" w14:textId="08393A6F"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15 (5.7%)</w:t>
            </w:r>
          </w:p>
        </w:tc>
        <w:tc>
          <w:tcPr>
            <w:tcW w:w="1244" w:type="dxa"/>
          </w:tcPr>
          <w:p w14:paraId="16C8C4D2" w14:textId="08685699"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15 (9.0%)</w:t>
            </w:r>
          </w:p>
        </w:tc>
        <w:tc>
          <w:tcPr>
            <w:tcW w:w="1244" w:type="dxa"/>
          </w:tcPr>
          <w:p w14:paraId="2F336C0E" w14:textId="28E7616B"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22 (13.4%)</w:t>
            </w:r>
          </w:p>
        </w:tc>
        <w:tc>
          <w:tcPr>
            <w:tcW w:w="1244" w:type="dxa"/>
          </w:tcPr>
          <w:p w14:paraId="62C51EAA" w14:textId="14AC8585"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24 (15.6%)</w:t>
            </w:r>
          </w:p>
        </w:tc>
        <w:tc>
          <w:tcPr>
            <w:tcW w:w="1244" w:type="dxa"/>
          </w:tcPr>
          <w:p w14:paraId="3F3647D5" w14:textId="00FE3BA0"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 (7.2%)</w:t>
            </w:r>
          </w:p>
        </w:tc>
        <w:tc>
          <w:tcPr>
            <w:tcW w:w="1243" w:type="dxa"/>
          </w:tcPr>
          <w:p w14:paraId="206E9BAF" w14:textId="37ACD142"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 (11.1%)</w:t>
            </w:r>
          </w:p>
        </w:tc>
        <w:tc>
          <w:tcPr>
            <w:tcW w:w="1244" w:type="dxa"/>
          </w:tcPr>
          <w:p w14:paraId="4E57523A" w14:textId="3AC1A4E9"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(15.3%)</w:t>
            </w:r>
          </w:p>
        </w:tc>
        <w:tc>
          <w:tcPr>
            <w:tcW w:w="1244" w:type="dxa"/>
          </w:tcPr>
          <w:p w14:paraId="06FA6A1E" w14:textId="0180B8C6"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 (18.2%)</w:t>
            </w:r>
          </w:p>
        </w:tc>
        <w:tc>
          <w:tcPr>
            <w:tcW w:w="1244" w:type="dxa"/>
          </w:tcPr>
          <w:p w14:paraId="4FC5BBB7" w14:textId="7FFA4DA8"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(8.6%)</w:t>
            </w:r>
          </w:p>
        </w:tc>
        <w:tc>
          <w:tcPr>
            <w:tcW w:w="1244" w:type="dxa"/>
          </w:tcPr>
          <w:p w14:paraId="6FBF4BDF" w14:textId="23B43C9C"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(26.7%)</w:t>
            </w:r>
          </w:p>
        </w:tc>
      </w:tr>
      <w:tr w:rsidR="00EA03C1" w:rsidRPr="00A0600F" w14:paraId="164F02A6" w14:textId="77777777" w:rsidTr="00EA03C1">
        <w:tc>
          <w:tcPr>
            <w:tcW w:w="1838" w:type="dxa"/>
          </w:tcPr>
          <w:p w14:paraId="06E54DD7" w14:textId="5AD2D752"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HCV-IgG positive</w:t>
            </w:r>
          </w:p>
        </w:tc>
        <w:tc>
          <w:tcPr>
            <w:tcW w:w="1243" w:type="dxa"/>
          </w:tcPr>
          <w:p w14:paraId="484B756C" w14:textId="04D64867"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60 (23.0%)</w:t>
            </w:r>
          </w:p>
        </w:tc>
        <w:tc>
          <w:tcPr>
            <w:tcW w:w="1244" w:type="dxa"/>
          </w:tcPr>
          <w:p w14:paraId="11E4831C" w14:textId="2F23C882"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30 (18.1%)</w:t>
            </w:r>
          </w:p>
        </w:tc>
        <w:tc>
          <w:tcPr>
            <w:tcW w:w="1244" w:type="dxa"/>
          </w:tcPr>
          <w:p w14:paraId="0686789B" w14:textId="5288B6D9"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41 (25.0%)</w:t>
            </w:r>
          </w:p>
        </w:tc>
        <w:tc>
          <w:tcPr>
            <w:tcW w:w="1244" w:type="dxa"/>
          </w:tcPr>
          <w:p w14:paraId="6FCD84F5" w14:textId="7560F6F9"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85 (55.2%)</w:t>
            </w:r>
          </w:p>
        </w:tc>
        <w:tc>
          <w:tcPr>
            <w:tcW w:w="1244" w:type="dxa"/>
          </w:tcPr>
          <w:p w14:paraId="3A72A31D" w14:textId="43E0CD36"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77 (79.4%)</w:t>
            </w:r>
          </w:p>
        </w:tc>
        <w:tc>
          <w:tcPr>
            <w:tcW w:w="1243" w:type="dxa"/>
          </w:tcPr>
          <w:p w14:paraId="5AE86FF7" w14:textId="6BEE52E5"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(8.9%)</w:t>
            </w:r>
          </w:p>
        </w:tc>
        <w:tc>
          <w:tcPr>
            <w:tcW w:w="1244" w:type="dxa"/>
          </w:tcPr>
          <w:p w14:paraId="221C4E2B" w14:textId="3BB05235"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20 (27.8%)</w:t>
            </w:r>
          </w:p>
        </w:tc>
        <w:tc>
          <w:tcPr>
            <w:tcW w:w="1244" w:type="dxa"/>
          </w:tcPr>
          <w:p w14:paraId="32EF8FA1" w14:textId="0D04E2A0"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28 (50.9%)</w:t>
            </w:r>
          </w:p>
        </w:tc>
        <w:tc>
          <w:tcPr>
            <w:tcW w:w="1244" w:type="dxa"/>
          </w:tcPr>
          <w:p w14:paraId="2B65DC52" w14:textId="2DDE9B8A"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(11.4%)</w:t>
            </w:r>
          </w:p>
        </w:tc>
        <w:tc>
          <w:tcPr>
            <w:tcW w:w="1244" w:type="dxa"/>
          </w:tcPr>
          <w:p w14:paraId="7DC1FE8A" w14:textId="2E16032B" w:rsidR="00EA03C1" w:rsidRPr="00A0600F" w:rsidRDefault="0065631B"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(26.7%)</w:t>
            </w:r>
          </w:p>
        </w:tc>
      </w:tr>
      <w:tr w:rsidR="00EA03C1" w:rsidRPr="00A0600F" w14:paraId="17B4DB34" w14:textId="77777777" w:rsidTr="00EA03C1">
        <w:tc>
          <w:tcPr>
            <w:tcW w:w="1838" w:type="dxa"/>
          </w:tcPr>
          <w:p w14:paraId="4D35EE6B" w14:textId="3CC342F1"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Alcohol</w:t>
            </w:r>
          </w:p>
        </w:tc>
        <w:tc>
          <w:tcPr>
            <w:tcW w:w="1243" w:type="dxa"/>
          </w:tcPr>
          <w:p w14:paraId="7025605C" w14:textId="3B9A55B0"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98 (37.5%)</w:t>
            </w:r>
          </w:p>
        </w:tc>
        <w:tc>
          <w:tcPr>
            <w:tcW w:w="1244" w:type="dxa"/>
          </w:tcPr>
          <w:p w14:paraId="64EEA341" w14:textId="1DF4FF2A"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85 (51.2%)</w:t>
            </w:r>
          </w:p>
        </w:tc>
        <w:tc>
          <w:tcPr>
            <w:tcW w:w="1244" w:type="dxa"/>
          </w:tcPr>
          <w:p w14:paraId="31F9DBF1" w14:textId="00057DB8"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45 (27.4%)</w:t>
            </w:r>
          </w:p>
        </w:tc>
        <w:tc>
          <w:tcPr>
            <w:tcW w:w="1244" w:type="dxa"/>
          </w:tcPr>
          <w:p w14:paraId="59777288" w14:textId="07EDAB76"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36 (23.4%)</w:t>
            </w:r>
          </w:p>
        </w:tc>
        <w:tc>
          <w:tcPr>
            <w:tcW w:w="1244" w:type="dxa"/>
          </w:tcPr>
          <w:p w14:paraId="5671BE45" w14:textId="32CCEB61"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 (5.2%)</w:t>
            </w:r>
          </w:p>
        </w:tc>
        <w:tc>
          <w:tcPr>
            <w:tcW w:w="1243" w:type="dxa"/>
          </w:tcPr>
          <w:p w14:paraId="649D485D" w14:textId="17A4C9E9"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35 (38.9%)</w:t>
            </w:r>
          </w:p>
        </w:tc>
        <w:tc>
          <w:tcPr>
            <w:tcW w:w="1244" w:type="dxa"/>
          </w:tcPr>
          <w:p w14:paraId="00EDF5D3" w14:textId="3743F87A"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 (8.3%)</w:t>
            </w:r>
          </w:p>
        </w:tc>
        <w:tc>
          <w:tcPr>
            <w:tcW w:w="1244" w:type="dxa"/>
          </w:tcPr>
          <w:p w14:paraId="43FC518E" w14:textId="2CE80210"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16 (29.1%)</w:t>
            </w:r>
          </w:p>
        </w:tc>
        <w:tc>
          <w:tcPr>
            <w:tcW w:w="1244" w:type="dxa"/>
          </w:tcPr>
          <w:p w14:paraId="41D18D61" w14:textId="2C27AF6D"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22 (62.9%)</w:t>
            </w:r>
          </w:p>
        </w:tc>
        <w:tc>
          <w:tcPr>
            <w:tcW w:w="1244" w:type="dxa"/>
          </w:tcPr>
          <w:p w14:paraId="1F298A8C" w14:textId="58A0FD7B"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 (20.0%)</w:t>
            </w:r>
          </w:p>
        </w:tc>
      </w:tr>
      <w:tr w:rsidR="00EA03C1" w:rsidRPr="00A0600F" w14:paraId="445940C9" w14:textId="77777777" w:rsidTr="00EA03C1">
        <w:tc>
          <w:tcPr>
            <w:tcW w:w="1838" w:type="dxa"/>
          </w:tcPr>
          <w:p w14:paraId="4353AC5B" w14:textId="29EBFD3B"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DEB-TACE</w:t>
            </w:r>
          </w:p>
        </w:tc>
        <w:tc>
          <w:tcPr>
            <w:tcW w:w="1243" w:type="dxa"/>
          </w:tcPr>
          <w:p w14:paraId="104A122A" w14:textId="77F54FE9"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71 (27.2%)</w:t>
            </w:r>
          </w:p>
        </w:tc>
        <w:tc>
          <w:tcPr>
            <w:tcW w:w="1244" w:type="dxa"/>
          </w:tcPr>
          <w:p w14:paraId="04A7988C" w14:textId="6EF364D7"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131 (78.9%)</w:t>
            </w:r>
          </w:p>
        </w:tc>
        <w:tc>
          <w:tcPr>
            <w:tcW w:w="1244" w:type="dxa"/>
          </w:tcPr>
          <w:p w14:paraId="2C93EAAF" w14:textId="7BF54A0E"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111 (67.7%)</w:t>
            </w:r>
          </w:p>
        </w:tc>
        <w:tc>
          <w:tcPr>
            <w:tcW w:w="1244" w:type="dxa"/>
          </w:tcPr>
          <w:p w14:paraId="419EFB6A" w14:textId="0BA99CF2"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(1.3%)</w:t>
            </w:r>
          </w:p>
        </w:tc>
        <w:tc>
          <w:tcPr>
            <w:tcW w:w="1244" w:type="dxa"/>
          </w:tcPr>
          <w:p w14:paraId="0B1FE20F" w14:textId="464443B1"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6130170A" w14:textId="34DAD0D9"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55 (61.1%)</w:t>
            </w:r>
          </w:p>
        </w:tc>
        <w:tc>
          <w:tcPr>
            <w:tcW w:w="1244" w:type="dxa"/>
          </w:tcPr>
          <w:p w14:paraId="0CF0C050" w14:textId="65C777DF"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71 (98.6%)</w:t>
            </w:r>
          </w:p>
        </w:tc>
        <w:tc>
          <w:tcPr>
            <w:tcW w:w="1244" w:type="dxa"/>
          </w:tcPr>
          <w:p w14:paraId="0B0E8333" w14:textId="4E1A3B48"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55 (100%)</w:t>
            </w:r>
          </w:p>
        </w:tc>
        <w:tc>
          <w:tcPr>
            <w:tcW w:w="1244" w:type="dxa"/>
          </w:tcPr>
          <w:p w14:paraId="46CBEF9A" w14:textId="5EFA7B92"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8B3CA01" w14:textId="4C8F7D65"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 (20.0%)</w:t>
            </w:r>
          </w:p>
        </w:tc>
      </w:tr>
      <w:tr w:rsidR="00EA03C1" w:rsidRPr="00A0600F" w14:paraId="294A15C6" w14:textId="77777777" w:rsidTr="00EA03C1">
        <w:tc>
          <w:tcPr>
            <w:tcW w:w="1838" w:type="dxa"/>
          </w:tcPr>
          <w:p w14:paraId="5654FEB6" w14:textId="34790BB9"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CT- TACE</w:t>
            </w:r>
          </w:p>
        </w:tc>
        <w:tc>
          <w:tcPr>
            <w:tcW w:w="1243" w:type="dxa"/>
          </w:tcPr>
          <w:p w14:paraId="2F17303E" w14:textId="3A03B8F1"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7A29078" w14:textId="744DCCAE"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34 (20.5%)</w:t>
            </w:r>
          </w:p>
        </w:tc>
        <w:tc>
          <w:tcPr>
            <w:tcW w:w="1244" w:type="dxa"/>
          </w:tcPr>
          <w:p w14:paraId="228D0C2F" w14:textId="78204CA4"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8193095" w14:textId="2104BDBB"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9697EE0" w14:textId="0EB36EFE"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7F351A6F" w14:textId="7935584F"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(8.9%)</w:t>
            </w:r>
          </w:p>
        </w:tc>
        <w:tc>
          <w:tcPr>
            <w:tcW w:w="1244" w:type="dxa"/>
          </w:tcPr>
          <w:p w14:paraId="334403F8" w14:textId="4F42B596"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72 (100%)</w:t>
            </w:r>
          </w:p>
        </w:tc>
        <w:tc>
          <w:tcPr>
            <w:tcW w:w="1244" w:type="dxa"/>
          </w:tcPr>
          <w:p w14:paraId="53590D72" w14:textId="01985EF7"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(23.6%)</w:t>
            </w:r>
          </w:p>
        </w:tc>
        <w:tc>
          <w:tcPr>
            <w:tcW w:w="1244" w:type="dxa"/>
          </w:tcPr>
          <w:p w14:paraId="1A65ABC7" w14:textId="49318834"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35 (100%)</w:t>
            </w:r>
          </w:p>
        </w:tc>
        <w:tc>
          <w:tcPr>
            <w:tcW w:w="1244" w:type="dxa"/>
          </w:tcPr>
          <w:p w14:paraId="497BB135" w14:textId="7B5228B0"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 (23.3%)</w:t>
            </w:r>
          </w:p>
        </w:tc>
      </w:tr>
      <w:tr w:rsidR="00EA03C1" w:rsidRPr="00A0600F" w14:paraId="191762BF" w14:textId="77777777" w:rsidTr="00EA03C1">
        <w:tc>
          <w:tcPr>
            <w:tcW w:w="1838" w:type="dxa"/>
          </w:tcPr>
          <w:p w14:paraId="697186F7" w14:textId="3133F58E"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ECOG - PS 1</w:t>
            </w:r>
          </w:p>
        </w:tc>
        <w:tc>
          <w:tcPr>
            <w:tcW w:w="1243" w:type="dxa"/>
          </w:tcPr>
          <w:p w14:paraId="4353A040" w14:textId="64EE8616"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107 (41.0%)</w:t>
            </w:r>
          </w:p>
        </w:tc>
        <w:tc>
          <w:tcPr>
            <w:tcW w:w="1244" w:type="dxa"/>
          </w:tcPr>
          <w:p w14:paraId="7A378E04" w14:textId="683E77B7"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(1.8%)</w:t>
            </w:r>
          </w:p>
        </w:tc>
        <w:tc>
          <w:tcPr>
            <w:tcW w:w="1244" w:type="dxa"/>
          </w:tcPr>
          <w:p w14:paraId="40501654" w14:textId="4219059A"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38 (23.2%)</w:t>
            </w:r>
          </w:p>
        </w:tc>
        <w:tc>
          <w:tcPr>
            <w:tcW w:w="1244" w:type="dxa"/>
          </w:tcPr>
          <w:p w14:paraId="5B757D7D" w14:textId="7A55990A"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(8.4%)</w:t>
            </w:r>
          </w:p>
        </w:tc>
        <w:tc>
          <w:tcPr>
            <w:tcW w:w="1244" w:type="dxa"/>
          </w:tcPr>
          <w:p w14:paraId="455C109B" w14:textId="3B23D87A"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35 (36.1%)</w:t>
            </w:r>
          </w:p>
        </w:tc>
        <w:tc>
          <w:tcPr>
            <w:tcW w:w="1243" w:type="dxa"/>
          </w:tcPr>
          <w:p w14:paraId="77F5EF3C" w14:textId="1707B903"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24 (26.7%)</w:t>
            </w:r>
          </w:p>
        </w:tc>
        <w:tc>
          <w:tcPr>
            <w:tcW w:w="1244" w:type="dxa"/>
          </w:tcPr>
          <w:p w14:paraId="30E7C456" w14:textId="40DD0806"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30 (41.7%)</w:t>
            </w:r>
          </w:p>
        </w:tc>
        <w:tc>
          <w:tcPr>
            <w:tcW w:w="1244" w:type="dxa"/>
          </w:tcPr>
          <w:p w14:paraId="4663F4AD" w14:textId="38080369"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(1.8%)</w:t>
            </w:r>
          </w:p>
        </w:tc>
        <w:tc>
          <w:tcPr>
            <w:tcW w:w="1244" w:type="dxa"/>
          </w:tcPr>
          <w:p w14:paraId="03AE7E19" w14:textId="6CD50D28"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828321D" w14:textId="482C91E4"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 (23.3%)</w:t>
            </w:r>
          </w:p>
        </w:tc>
      </w:tr>
      <w:tr w:rsidR="00EA03C1" w:rsidRPr="00A0600F" w14:paraId="20BEF55E" w14:textId="77777777" w:rsidTr="00EA03C1">
        <w:tc>
          <w:tcPr>
            <w:tcW w:w="1838" w:type="dxa"/>
          </w:tcPr>
          <w:p w14:paraId="33ED53EE" w14:textId="58D7D1E4"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Child – Pugh B7</w:t>
            </w:r>
          </w:p>
        </w:tc>
        <w:tc>
          <w:tcPr>
            <w:tcW w:w="1243" w:type="dxa"/>
          </w:tcPr>
          <w:p w14:paraId="32B99AAB" w14:textId="7FB85922"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(4.2%)</w:t>
            </w:r>
          </w:p>
        </w:tc>
        <w:tc>
          <w:tcPr>
            <w:tcW w:w="1244" w:type="dxa"/>
          </w:tcPr>
          <w:p w14:paraId="156F575C" w14:textId="42DD84BA"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25 (15.1%)</w:t>
            </w:r>
          </w:p>
        </w:tc>
        <w:tc>
          <w:tcPr>
            <w:tcW w:w="1244" w:type="dxa"/>
          </w:tcPr>
          <w:p w14:paraId="6B77119A" w14:textId="7F57CEDF"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16 (9.8%)</w:t>
            </w:r>
          </w:p>
        </w:tc>
        <w:tc>
          <w:tcPr>
            <w:tcW w:w="1244" w:type="dxa"/>
          </w:tcPr>
          <w:p w14:paraId="51EB2F17" w14:textId="196A218E"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18 (11.7%)</w:t>
            </w:r>
          </w:p>
        </w:tc>
        <w:tc>
          <w:tcPr>
            <w:tcW w:w="1244" w:type="dxa"/>
          </w:tcPr>
          <w:p w14:paraId="467A5FCB" w14:textId="48B148F8"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17 (17.5%)</w:t>
            </w:r>
          </w:p>
        </w:tc>
        <w:tc>
          <w:tcPr>
            <w:tcW w:w="1243" w:type="dxa"/>
          </w:tcPr>
          <w:p w14:paraId="5FB9D1CD" w14:textId="2901FA36"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(14.4%)</w:t>
            </w:r>
          </w:p>
        </w:tc>
        <w:tc>
          <w:tcPr>
            <w:tcW w:w="1244" w:type="dxa"/>
          </w:tcPr>
          <w:p w14:paraId="76B28441" w14:textId="7F70E113"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(2.8%)</w:t>
            </w:r>
          </w:p>
        </w:tc>
        <w:tc>
          <w:tcPr>
            <w:tcW w:w="1244" w:type="dxa"/>
          </w:tcPr>
          <w:p w14:paraId="3988A933" w14:textId="767FE8CD"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(7.3%)</w:t>
            </w:r>
          </w:p>
        </w:tc>
        <w:tc>
          <w:tcPr>
            <w:tcW w:w="1244" w:type="dxa"/>
          </w:tcPr>
          <w:p w14:paraId="4ACFDF78" w14:textId="61A92638"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(22.9%)</w:t>
            </w:r>
          </w:p>
        </w:tc>
        <w:tc>
          <w:tcPr>
            <w:tcW w:w="1244" w:type="dxa"/>
          </w:tcPr>
          <w:p w14:paraId="23BCE58C" w14:textId="65BA08CB" w:rsidR="00EA03C1" w:rsidRPr="00A0600F" w:rsidRDefault="0089749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 (16.7%)</w:t>
            </w:r>
          </w:p>
        </w:tc>
      </w:tr>
      <w:tr w:rsidR="00EA03C1" w:rsidRPr="00A0600F" w14:paraId="795326CD" w14:textId="77777777" w:rsidTr="00EA03C1">
        <w:tc>
          <w:tcPr>
            <w:tcW w:w="1838" w:type="dxa"/>
          </w:tcPr>
          <w:p w14:paraId="7322B9DA" w14:textId="06048B53"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MELD score &gt;10</w:t>
            </w:r>
          </w:p>
        </w:tc>
        <w:tc>
          <w:tcPr>
            <w:tcW w:w="1243" w:type="dxa"/>
          </w:tcPr>
          <w:p w14:paraId="1640DD8E" w14:textId="79DA0C43"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73 (28.0%)</w:t>
            </w:r>
          </w:p>
        </w:tc>
        <w:tc>
          <w:tcPr>
            <w:tcW w:w="1244" w:type="dxa"/>
          </w:tcPr>
          <w:p w14:paraId="51803FB7" w14:textId="2535D8EB"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66 (39.8%)</w:t>
            </w:r>
          </w:p>
        </w:tc>
        <w:tc>
          <w:tcPr>
            <w:tcW w:w="1244" w:type="dxa"/>
          </w:tcPr>
          <w:p w14:paraId="401932FC" w14:textId="687D89C7"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55 (33.5%)</w:t>
            </w:r>
          </w:p>
        </w:tc>
        <w:tc>
          <w:tcPr>
            <w:tcW w:w="1244" w:type="dxa"/>
          </w:tcPr>
          <w:p w14:paraId="21C5CFC8" w14:textId="04E657CB"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76 (49.4%)</w:t>
            </w:r>
          </w:p>
        </w:tc>
        <w:tc>
          <w:tcPr>
            <w:tcW w:w="1244" w:type="dxa"/>
          </w:tcPr>
          <w:p w14:paraId="3CC0E427" w14:textId="0C3DEA3C"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26 (26.8%)</w:t>
            </w:r>
          </w:p>
        </w:tc>
        <w:tc>
          <w:tcPr>
            <w:tcW w:w="1243" w:type="dxa"/>
          </w:tcPr>
          <w:p w14:paraId="4EFD845C" w14:textId="3ADDDD06"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(12.2%)</w:t>
            </w:r>
          </w:p>
        </w:tc>
        <w:tc>
          <w:tcPr>
            <w:tcW w:w="1244" w:type="dxa"/>
          </w:tcPr>
          <w:p w14:paraId="6ECB8F3E" w14:textId="4A05C747"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(18.1%)</w:t>
            </w:r>
          </w:p>
        </w:tc>
        <w:tc>
          <w:tcPr>
            <w:tcW w:w="1244" w:type="dxa"/>
          </w:tcPr>
          <w:p w14:paraId="124324DA" w14:textId="24F60A97"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19 (34.5%)</w:t>
            </w:r>
          </w:p>
        </w:tc>
        <w:tc>
          <w:tcPr>
            <w:tcW w:w="1244" w:type="dxa"/>
          </w:tcPr>
          <w:p w14:paraId="34E98541" w14:textId="02904137"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16 (45.7%)</w:t>
            </w:r>
          </w:p>
        </w:tc>
        <w:tc>
          <w:tcPr>
            <w:tcW w:w="1244" w:type="dxa"/>
          </w:tcPr>
          <w:p w14:paraId="7DA9E214" w14:textId="292978A9"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17 (56.7%)</w:t>
            </w:r>
          </w:p>
        </w:tc>
      </w:tr>
      <w:tr w:rsidR="00EA03C1" w:rsidRPr="00A0600F" w14:paraId="51E37432" w14:textId="77777777" w:rsidTr="00EA03C1">
        <w:tc>
          <w:tcPr>
            <w:tcW w:w="1838" w:type="dxa"/>
          </w:tcPr>
          <w:p w14:paraId="299B2FDF" w14:textId="1DED714A"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ALBI score &gt;1</w:t>
            </w:r>
          </w:p>
        </w:tc>
        <w:tc>
          <w:tcPr>
            <w:tcW w:w="1243" w:type="dxa"/>
          </w:tcPr>
          <w:p w14:paraId="41884AF7" w14:textId="661B9DBD"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113 (43.3%)</w:t>
            </w:r>
          </w:p>
        </w:tc>
        <w:tc>
          <w:tcPr>
            <w:tcW w:w="1244" w:type="dxa"/>
          </w:tcPr>
          <w:p w14:paraId="24B0AE1D" w14:textId="4F1F0AD2"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136 (81.9%)</w:t>
            </w:r>
          </w:p>
        </w:tc>
        <w:tc>
          <w:tcPr>
            <w:tcW w:w="1244" w:type="dxa"/>
          </w:tcPr>
          <w:p w14:paraId="291453D8" w14:textId="215207D1"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78 (47.6%)</w:t>
            </w:r>
          </w:p>
        </w:tc>
        <w:tc>
          <w:tcPr>
            <w:tcW w:w="1244" w:type="dxa"/>
          </w:tcPr>
          <w:p w14:paraId="0BE15FFC" w14:textId="7E05619B"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117 (76.0%)</w:t>
            </w:r>
          </w:p>
        </w:tc>
        <w:tc>
          <w:tcPr>
            <w:tcW w:w="1244" w:type="dxa"/>
          </w:tcPr>
          <w:p w14:paraId="602C0A35" w14:textId="32DF26B7"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79 (81.4%)</w:t>
            </w:r>
          </w:p>
        </w:tc>
        <w:tc>
          <w:tcPr>
            <w:tcW w:w="1243" w:type="dxa"/>
          </w:tcPr>
          <w:p w14:paraId="14906DEC" w14:textId="15E735F3"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60 (66.7%)</w:t>
            </w:r>
          </w:p>
        </w:tc>
        <w:tc>
          <w:tcPr>
            <w:tcW w:w="1244" w:type="dxa"/>
          </w:tcPr>
          <w:p w14:paraId="03D5A1F9" w14:textId="55923FEB"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33 (45.8%)</w:t>
            </w:r>
          </w:p>
        </w:tc>
        <w:tc>
          <w:tcPr>
            <w:tcW w:w="1244" w:type="dxa"/>
          </w:tcPr>
          <w:p w14:paraId="35B37984" w14:textId="24F59ADC"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27 (49.1%)</w:t>
            </w:r>
          </w:p>
        </w:tc>
        <w:tc>
          <w:tcPr>
            <w:tcW w:w="1244" w:type="dxa"/>
          </w:tcPr>
          <w:p w14:paraId="41498F4D" w14:textId="66E972FE"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32 (91.4%)</w:t>
            </w:r>
          </w:p>
        </w:tc>
        <w:tc>
          <w:tcPr>
            <w:tcW w:w="1244" w:type="dxa"/>
          </w:tcPr>
          <w:p w14:paraId="3E0B485A" w14:textId="6F703F6A" w:rsidR="00EA03C1" w:rsidRPr="00A0600F" w:rsidRDefault="00720F21"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20 (66.7%)</w:t>
            </w:r>
          </w:p>
        </w:tc>
      </w:tr>
      <w:tr w:rsidR="00EA03C1" w:rsidRPr="00A0600F" w14:paraId="5C9C8A56" w14:textId="77777777" w:rsidTr="00EA03C1">
        <w:tc>
          <w:tcPr>
            <w:tcW w:w="1838" w:type="dxa"/>
          </w:tcPr>
          <w:p w14:paraId="164D018B" w14:textId="7C73DD5B"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Single lesion</w:t>
            </w:r>
          </w:p>
        </w:tc>
        <w:tc>
          <w:tcPr>
            <w:tcW w:w="1243" w:type="dxa"/>
          </w:tcPr>
          <w:p w14:paraId="2340E5B9" w14:textId="455CDB94"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141 (54.0%)</w:t>
            </w:r>
          </w:p>
        </w:tc>
        <w:tc>
          <w:tcPr>
            <w:tcW w:w="1244" w:type="dxa"/>
          </w:tcPr>
          <w:p w14:paraId="0BB9B4D7" w14:textId="621F02C1"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39 (23.5%)</w:t>
            </w:r>
          </w:p>
        </w:tc>
        <w:tc>
          <w:tcPr>
            <w:tcW w:w="1244" w:type="dxa"/>
          </w:tcPr>
          <w:p w14:paraId="6E5B4C48" w14:textId="724C275F"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59 (36.0%)</w:t>
            </w:r>
          </w:p>
        </w:tc>
        <w:tc>
          <w:tcPr>
            <w:tcW w:w="1244" w:type="dxa"/>
          </w:tcPr>
          <w:p w14:paraId="3F8A5E7E" w14:textId="27E1512D"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71 (46.1%)</w:t>
            </w:r>
          </w:p>
        </w:tc>
        <w:tc>
          <w:tcPr>
            <w:tcW w:w="1244" w:type="dxa"/>
          </w:tcPr>
          <w:p w14:paraId="3A57D6D3" w14:textId="157297B3"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27 (27.8%)</w:t>
            </w:r>
          </w:p>
        </w:tc>
        <w:tc>
          <w:tcPr>
            <w:tcW w:w="1243" w:type="dxa"/>
          </w:tcPr>
          <w:p w14:paraId="56D92854" w14:textId="0F6F2EB3"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42 (46.7%)</w:t>
            </w:r>
          </w:p>
        </w:tc>
        <w:tc>
          <w:tcPr>
            <w:tcW w:w="1244" w:type="dxa"/>
          </w:tcPr>
          <w:p w14:paraId="63ED09E3" w14:textId="7F23A651"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23 (31.9%)</w:t>
            </w:r>
          </w:p>
        </w:tc>
        <w:tc>
          <w:tcPr>
            <w:tcW w:w="1244" w:type="dxa"/>
          </w:tcPr>
          <w:p w14:paraId="17A12E79" w14:textId="2394B89B"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18 (32.7%)</w:t>
            </w:r>
          </w:p>
        </w:tc>
        <w:tc>
          <w:tcPr>
            <w:tcW w:w="1244" w:type="dxa"/>
          </w:tcPr>
          <w:p w14:paraId="1D8085BE" w14:textId="3920E8BC"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(31.4%)</w:t>
            </w:r>
          </w:p>
        </w:tc>
        <w:tc>
          <w:tcPr>
            <w:tcW w:w="1244" w:type="dxa"/>
          </w:tcPr>
          <w:p w14:paraId="66977CD3" w14:textId="589BB55C"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(43.3%)</w:t>
            </w:r>
          </w:p>
        </w:tc>
      </w:tr>
      <w:tr w:rsidR="00EA03C1" w:rsidRPr="00A0600F" w14:paraId="39B759C7" w14:textId="77777777" w:rsidTr="00EA03C1">
        <w:tc>
          <w:tcPr>
            <w:tcW w:w="1838" w:type="dxa"/>
          </w:tcPr>
          <w:p w14:paraId="25EC93BD" w14:textId="137EDBBB"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2-3 lesions</w:t>
            </w:r>
          </w:p>
        </w:tc>
        <w:tc>
          <w:tcPr>
            <w:tcW w:w="1243" w:type="dxa"/>
          </w:tcPr>
          <w:p w14:paraId="7FEC82F0" w14:textId="3A4B92F8"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103 (39.5%)</w:t>
            </w:r>
          </w:p>
        </w:tc>
        <w:tc>
          <w:tcPr>
            <w:tcW w:w="1244" w:type="dxa"/>
          </w:tcPr>
          <w:p w14:paraId="2F6823C1" w14:textId="16FF2EEA"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48 (28.9%)</w:t>
            </w:r>
          </w:p>
        </w:tc>
        <w:tc>
          <w:tcPr>
            <w:tcW w:w="1244" w:type="dxa"/>
          </w:tcPr>
          <w:p w14:paraId="4930729D" w14:textId="20F24AD4"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64 (39.0%)</w:t>
            </w:r>
          </w:p>
        </w:tc>
        <w:tc>
          <w:tcPr>
            <w:tcW w:w="1244" w:type="dxa"/>
          </w:tcPr>
          <w:p w14:paraId="62A9C028" w14:textId="5FD733D0"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61 (39.6%)</w:t>
            </w:r>
          </w:p>
        </w:tc>
        <w:tc>
          <w:tcPr>
            <w:tcW w:w="1244" w:type="dxa"/>
          </w:tcPr>
          <w:p w14:paraId="253DB78B" w14:textId="6188FB77"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58 (59.8%)</w:t>
            </w:r>
          </w:p>
        </w:tc>
        <w:tc>
          <w:tcPr>
            <w:tcW w:w="1243" w:type="dxa"/>
          </w:tcPr>
          <w:p w14:paraId="4BB71062" w14:textId="6BA93A2E"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37 (41.1%)</w:t>
            </w:r>
          </w:p>
        </w:tc>
        <w:tc>
          <w:tcPr>
            <w:tcW w:w="1244" w:type="dxa"/>
          </w:tcPr>
          <w:p w14:paraId="48FC64FB" w14:textId="110D8F02"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35 (48.6%)</w:t>
            </w:r>
          </w:p>
        </w:tc>
        <w:tc>
          <w:tcPr>
            <w:tcW w:w="1244" w:type="dxa"/>
          </w:tcPr>
          <w:p w14:paraId="15BAC1CF" w14:textId="355AB985"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28 (50.9%)</w:t>
            </w:r>
          </w:p>
        </w:tc>
        <w:tc>
          <w:tcPr>
            <w:tcW w:w="1244" w:type="dxa"/>
          </w:tcPr>
          <w:p w14:paraId="38A9E6C2" w14:textId="1FBCACDA"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18 (51.4%)</w:t>
            </w:r>
          </w:p>
        </w:tc>
        <w:tc>
          <w:tcPr>
            <w:tcW w:w="1244" w:type="dxa"/>
          </w:tcPr>
          <w:p w14:paraId="69068208" w14:textId="632D5705"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(36.7%)</w:t>
            </w:r>
          </w:p>
        </w:tc>
      </w:tr>
      <w:tr w:rsidR="00EA03C1" w:rsidRPr="00A0600F" w14:paraId="17E914C1" w14:textId="77777777" w:rsidTr="00EA03C1">
        <w:tc>
          <w:tcPr>
            <w:tcW w:w="1838" w:type="dxa"/>
          </w:tcPr>
          <w:p w14:paraId="611EADDA" w14:textId="6BD7EC39"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&gt;3 lesions</w:t>
            </w:r>
          </w:p>
        </w:tc>
        <w:tc>
          <w:tcPr>
            <w:tcW w:w="1243" w:type="dxa"/>
          </w:tcPr>
          <w:p w14:paraId="71006573" w14:textId="47C6A99D"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17 (6.5%)</w:t>
            </w:r>
          </w:p>
        </w:tc>
        <w:tc>
          <w:tcPr>
            <w:tcW w:w="1244" w:type="dxa"/>
          </w:tcPr>
          <w:p w14:paraId="3740E424" w14:textId="791DE7BC"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79 (47.6%)</w:t>
            </w:r>
          </w:p>
        </w:tc>
        <w:tc>
          <w:tcPr>
            <w:tcW w:w="1244" w:type="dxa"/>
          </w:tcPr>
          <w:p w14:paraId="4F7CFA31" w14:textId="10F04051"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41 (25.0%)</w:t>
            </w:r>
          </w:p>
        </w:tc>
        <w:tc>
          <w:tcPr>
            <w:tcW w:w="1244" w:type="dxa"/>
          </w:tcPr>
          <w:p w14:paraId="0896FDB9" w14:textId="6C8E8180"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22 (14.3%)</w:t>
            </w:r>
          </w:p>
        </w:tc>
        <w:tc>
          <w:tcPr>
            <w:tcW w:w="1244" w:type="dxa"/>
          </w:tcPr>
          <w:p w14:paraId="23906678" w14:textId="3ABF86F9"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12 (12.4%)</w:t>
            </w:r>
          </w:p>
        </w:tc>
        <w:tc>
          <w:tcPr>
            <w:tcW w:w="1243" w:type="dxa"/>
          </w:tcPr>
          <w:p w14:paraId="75B7CF46" w14:textId="59FD837C"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(12.2%)</w:t>
            </w:r>
          </w:p>
        </w:tc>
        <w:tc>
          <w:tcPr>
            <w:tcW w:w="1244" w:type="dxa"/>
          </w:tcPr>
          <w:p w14:paraId="2797ADC9" w14:textId="3ADDBBBC"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14 (19.4%)</w:t>
            </w:r>
          </w:p>
        </w:tc>
        <w:tc>
          <w:tcPr>
            <w:tcW w:w="1244" w:type="dxa"/>
          </w:tcPr>
          <w:p w14:paraId="00F2CD84" w14:textId="56B12A56"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 (16.4%)</w:t>
            </w:r>
          </w:p>
        </w:tc>
        <w:tc>
          <w:tcPr>
            <w:tcW w:w="1244" w:type="dxa"/>
          </w:tcPr>
          <w:p w14:paraId="7DC2FE17" w14:textId="10908696"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 (17.1%)</w:t>
            </w:r>
          </w:p>
        </w:tc>
        <w:tc>
          <w:tcPr>
            <w:tcW w:w="1244" w:type="dxa"/>
          </w:tcPr>
          <w:p w14:paraId="3C9AC0F4" w14:textId="2CB50531"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 (20.0%)</w:t>
            </w:r>
          </w:p>
        </w:tc>
      </w:tr>
      <w:tr w:rsidR="00EA03C1" w:rsidRPr="00A0600F" w14:paraId="13D39681" w14:textId="77777777" w:rsidTr="00EA03C1">
        <w:tc>
          <w:tcPr>
            <w:tcW w:w="1838" w:type="dxa"/>
          </w:tcPr>
          <w:p w14:paraId="1358BD64" w14:textId="37417EFF" w:rsidR="00EA03C1" w:rsidRPr="00A0600F" w:rsidRDefault="00EA03C1"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Largest diameter (cm)</w:t>
            </w:r>
          </w:p>
        </w:tc>
        <w:tc>
          <w:tcPr>
            <w:tcW w:w="1243" w:type="dxa"/>
          </w:tcPr>
          <w:p w14:paraId="4E66640B" w14:textId="44D4A9FD"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4.7 ± 2.8</w:t>
            </w:r>
          </w:p>
        </w:tc>
        <w:tc>
          <w:tcPr>
            <w:tcW w:w="1244" w:type="dxa"/>
          </w:tcPr>
          <w:p w14:paraId="4918D51C" w14:textId="230FDE7D"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3.9 ± 2.7</w:t>
            </w:r>
          </w:p>
        </w:tc>
        <w:tc>
          <w:tcPr>
            <w:tcW w:w="1244" w:type="dxa"/>
          </w:tcPr>
          <w:p w14:paraId="58B46837" w14:textId="587FADAC"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4.8 ± 3.0</w:t>
            </w:r>
          </w:p>
        </w:tc>
        <w:tc>
          <w:tcPr>
            <w:tcW w:w="1244" w:type="dxa"/>
          </w:tcPr>
          <w:p w14:paraId="1C0EE60B" w14:textId="0F76E593"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2.7 ± 1.3</w:t>
            </w:r>
          </w:p>
        </w:tc>
        <w:tc>
          <w:tcPr>
            <w:tcW w:w="1244" w:type="dxa"/>
          </w:tcPr>
          <w:p w14:paraId="029BE23B" w14:textId="4CBD4A00"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3.1 ± 1.4</w:t>
            </w:r>
          </w:p>
        </w:tc>
        <w:tc>
          <w:tcPr>
            <w:tcW w:w="1243" w:type="dxa"/>
          </w:tcPr>
          <w:p w14:paraId="3142A7AF" w14:textId="666D2559"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5.4 ± 3.4</w:t>
            </w:r>
          </w:p>
        </w:tc>
        <w:tc>
          <w:tcPr>
            <w:tcW w:w="1244" w:type="dxa"/>
          </w:tcPr>
          <w:p w14:paraId="6527AB88" w14:textId="39BC087F"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4.1 ± 2.8</w:t>
            </w:r>
          </w:p>
        </w:tc>
        <w:tc>
          <w:tcPr>
            <w:tcW w:w="1244" w:type="dxa"/>
          </w:tcPr>
          <w:p w14:paraId="3DEC71C6" w14:textId="4E006948"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3.2 ± 1.4</w:t>
            </w:r>
          </w:p>
        </w:tc>
        <w:tc>
          <w:tcPr>
            <w:tcW w:w="1244" w:type="dxa"/>
          </w:tcPr>
          <w:p w14:paraId="32D58BF4" w14:textId="211F0AB0"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4.4 ± 1.9</w:t>
            </w:r>
          </w:p>
        </w:tc>
        <w:tc>
          <w:tcPr>
            <w:tcW w:w="1244" w:type="dxa"/>
          </w:tcPr>
          <w:p w14:paraId="4566CD02" w14:textId="5F51EB47" w:rsidR="00EA03C1" w:rsidRPr="00A0600F" w:rsidRDefault="00E31EF8"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4.0 ± 3.4</w:t>
            </w:r>
          </w:p>
        </w:tc>
      </w:tr>
      <w:tr w:rsidR="001B473F" w:rsidRPr="00A0600F" w14:paraId="47CA93B3" w14:textId="77777777" w:rsidTr="00EA03C1">
        <w:tc>
          <w:tcPr>
            <w:tcW w:w="1838" w:type="dxa"/>
          </w:tcPr>
          <w:p w14:paraId="2019D36E" w14:textId="048E6DC8" w:rsidR="001B473F" w:rsidRPr="00A0600F" w:rsidRDefault="001B473F" w:rsidP="00EA03C1">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#TACE /year</w:t>
            </w:r>
          </w:p>
        </w:tc>
        <w:tc>
          <w:tcPr>
            <w:tcW w:w="1243" w:type="dxa"/>
          </w:tcPr>
          <w:p w14:paraId="19D0EEDE" w14:textId="48510145" w:rsidR="001B473F" w:rsidRPr="00A0600F" w:rsidRDefault="00800912"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100-200</w:t>
            </w:r>
          </w:p>
        </w:tc>
        <w:tc>
          <w:tcPr>
            <w:tcW w:w="1244" w:type="dxa"/>
          </w:tcPr>
          <w:p w14:paraId="7F686E32" w14:textId="00D08CBE"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&gt;200</w:t>
            </w:r>
          </w:p>
        </w:tc>
        <w:tc>
          <w:tcPr>
            <w:tcW w:w="1244" w:type="dxa"/>
          </w:tcPr>
          <w:p w14:paraId="6458732A" w14:textId="46A0AA34"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&gt;200</w:t>
            </w:r>
          </w:p>
        </w:tc>
        <w:tc>
          <w:tcPr>
            <w:tcW w:w="1244" w:type="dxa"/>
          </w:tcPr>
          <w:p w14:paraId="30470DF7" w14:textId="7CF2CBCD"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&gt;200</w:t>
            </w:r>
          </w:p>
        </w:tc>
        <w:tc>
          <w:tcPr>
            <w:tcW w:w="1244" w:type="dxa"/>
          </w:tcPr>
          <w:p w14:paraId="30EF924D" w14:textId="5520310A"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&gt;200</w:t>
            </w:r>
          </w:p>
        </w:tc>
        <w:tc>
          <w:tcPr>
            <w:tcW w:w="1243" w:type="dxa"/>
          </w:tcPr>
          <w:p w14:paraId="71CC5814" w14:textId="0B62D41E"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100-200</w:t>
            </w:r>
          </w:p>
        </w:tc>
        <w:tc>
          <w:tcPr>
            <w:tcW w:w="1244" w:type="dxa"/>
          </w:tcPr>
          <w:p w14:paraId="475BFBBD" w14:textId="727C9EA4"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100-200</w:t>
            </w:r>
          </w:p>
        </w:tc>
        <w:tc>
          <w:tcPr>
            <w:tcW w:w="1244" w:type="dxa"/>
          </w:tcPr>
          <w:p w14:paraId="2ED560E5" w14:textId="594E37BC"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100-200</w:t>
            </w:r>
          </w:p>
        </w:tc>
        <w:tc>
          <w:tcPr>
            <w:tcW w:w="1244" w:type="dxa"/>
          </w:tcPr>
          <w:p w14:paraId="4AF305DC" w14:textId="327A16FC"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&lt;100</w:t>
            </w:r>
          </w:p>
        </w:tc>
        <w:tc>
          <w:tcPr>
            <w:tcW w:w="1244" w:type="dxa"/>
          </w:tcPr>
          <w:p w14:paraId="6834AC80" w14:textId="0FFA4904" w:rsidR="001B473F" w:rsidRPr="00A0600F" w:rsidRDefault="001B473F" w:rsidP="00EA3A0F">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&lt;100</w:t>
            </w:r>
          </w:p>
        </w:tc>
      </w:tr>
    </w:tbl>
    <w:p w14:paraId="004372D9" w14:textId="5862DDD7" w:rsidR="00290768" w:rsidRPr="00A0600F" w:rsidRDefault="00290768" w:rsidP="005968F4">
      <w:pPr>
        <w:spacing w:line="360" w:lineRule="auto"/>
        <w:jc w:val="both"/>
        <w:rPr>
          <w:rFonts w:ascii="Times New Roman" w:hAnsi="Times New Roman" w:cs="Times New Roman"/>
          <w:sz w:val="24"/>
          <w:szCs w:val="24"/>
          <w:lang w:val="en-US"/>
        </w:rPr>
      </w:pPr>
    </w:p>
    <w:p w14:paraId="63E56489" w14:textId="77777777" w:rsidR="00290768" w:rsidRPr="00A0600F" w:rsidRDefault="00290768">
      <w:pPr>
        <w:rPr>
          <w:rFonts w:ascii="Times New Roman" w:hAnsi="Times New Roman" w:cs="Times New Roman"/>
          <w:sz w:val="24"/>
          <w:szCs w:val="24"/>
          <w:lang w:val="en-US"/>
        </w:rPr>
      </w:pPr>
      <w:r w:rsidRPr="00A0600F">
        <w:rPr>
          <w:rFonts w:ascii="Times New Roman" w:hAnsi="Times New Roman" w:cs="Times New Roman"/>
          <w:sz w:val="24"/>
          <w:szCs w:val="24"/>
          <w:lang w:val="en-US"/>
        </w:rPr>
        <w:br w:type="page"/>
      </w:r>
    </w:p>
    <w:p w14:paraId="724EB708" w14:textId="6D646BC1" w:rsidR="00290768" w:rsidRPr="00A0600F" w:rsidRDefault="00290768" w:rsidP="00290768">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lastRenderedPageBreak/>
        <w:t xml:space="preserve">Supplementary Table 2. </w:t>
      </w:r>
      <w:r w:rsidRPr="00A0600F">
        <w:rPr>
          <w:rFonts w:ascii="Times New Roman" w:hAnsi="Times New Roman" w:cs="Times New Roman"/>
          <w:sz w:val="24"/>
          <w:szCs w:val="24"/>
          <w:lang w:val="en-US"/>
        </w:rPr>
        <w:t>Clinical outcomes by each center included in the analysis.</w:t>
      </w:r>
    </w:p>
    <w:tbl>
      <w:tblPr>
        <w:tblStyle w:val="TableGrid"/>
        <w:tblW w:w="0" w:type="auto"/>
        <w:tblLook w:val="04A0" w:firstRow="1" w:lastRow="0" w:firstColumn="1" w:lastColumn="0" w:noHBand="0" w:noVBand="1"/>
      </w:tblPr>
      <w:tblGrid>
        <w:gridCol w:w="1838"/>
        <w:gridCol w:w="1243"/>
        <w:gridCol w:w="1244"/>
        <w:gridCol w:w="1244"/>
        <w:gridCol w:w="1244"/>
        <w:gridCol w:w="1244"/>
        <w:gridCol w:w="1243"/>
        <w:gridCol w:w="1244"/>
        <w:gridCol w:w="1244"/>
        <w:gridCol w:w="1244"/>
        <w:gridCol w:w="1244"/>
      </w:tblGrid>
      <w:tr w:rsidR="00290768" w:rsidRPr="00A0600F" w14:paraId="73DB6C87" w14:textId="77777777" w:rsidTr="00CF3A78">
        <w:tc>
          <w:tcPr>
            <w:tcW w:w="1838" w:type="dxa"/>
          </w:tcPr>
          <w:p w14:paraId="50D090E3" w14:textId="77777777" w:rsidR="00290768" w:rsidRPr="00A0600F" w:rsidRDefault="00290768" w:rsidP="00CF3A78">
            <w:pPr>
              <w:spacing w:line="360" w:lineRule="auto"/>
              <w:jc w:val="both"/>
              <w:rPr>
                <w:rFonts w:ascii="Times New Roman" w:hAnsi="Times New Roman" w:cs="Times New Roman"/>
                <w:sz w:val="18"/>
                <w:szCs w:val="18"/>
                <w:lang w:val="en-US"/>
              </w:rPr>
            </w:pPr>
          </w:p>
        </w:tc>
        <w:tc>
          <w:tcPr>
            <w:tcW w:w="1243" w:type="dxa"/>
          </w:tcPr>
          <w:p w14:paraId="6C532C5A"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Birmingham (n=261)</w:t>
            </w:r>
          </w:p>
        </w:tc>
        <w:tc>
          <w:tcPr>
            <w:tcW w:w="1244" w:type="dxa"/>
          </w:tcPr>
          <w:p w14:paraId="4DD97B5F"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Mainz (n=166)</w:t>
            </w:r>
          </w:p>
        </w:tc>
        <w:tc>
          <w:tcPr>
            <w:tcW w:w="1244" w:type="dxa"/>
          </w:tcPr>
          <w:p w14:paraId="2B5EBCF6"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Freiburg (n=164)</w:t>
            </w:r>
          </w:p>
        </w:tc>
        <w:tc>
          <w:tcPr>
            <w:tcW w:w="1244" w:type="dxa"/>
          </w:tcPr>
          <w:p w14:paraId="6C83EDD9"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Bologna (n=154)</w:t>
            </w:r>
          </w:p>
        </w:tc>
        <w:tc>
          <w:tcPr>
            <w:tcW w:w="1244" w:type="dxa"/>
          </w:tcPr>
          <w:p w14:paraId="1C489EC9"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Palermo (n=97)</w:t>
            </w:r>
          </w:p>
        </w:tc>
        <w:tc>
          <w:tcPr>
            <w:tcW w:w="1243" w:type="dxa"/>
          </w:tcPr>
          <w:p w14:paraId="29004FBA"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Nottingham (n=90)</w:t>
            </w:r>
          </w:p>
        </w:tc>
        <w:tc>
          <w:tcPr>
            <w:tcW w:w="1244" w:type="dxa"/>
          </w:tcPr>
          <w:p w14:paraId="0BFF49B9" w14:textId="25D993A9"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H</w:t>
            </w:r>
            <w:r w:rsidR="00670C3D" w:rsidRPr="00A0600F">
              <w:rPr>
                <w:rFonts w:ascii="Times New Roman" w:hAnsi="Times New Roman" w:cs="Times New Roman"/>
                <w:sz w:val="18"/>
                <w:szCs w:val="18"/>
                <w:lang w:val="en-US"/>
              </w:rPr>
              <w:t>o</w:t>
            </w:r>
            <w:r w:rsidRPr="00A0600F">
              <w:rPr>
                <w:rFonts w:ascii="Times New Roman" w:hAnsi="Times New Roman" w:cs="Times New Roman"/>
                <w:sz w:val="18"/>
                <w:szCs w:val="18"/>
                <w:lang w:val="en-US"/>
              </w:rPr>
              <w:t>uston (n=72)</w:t>
            </w:r>
          </w:p>
        </w:tc>
        <w:tc>
          <w:tcPr>
            <w:tcW w:w="1244" w:type="dxa"/>
          </w:tcPr>
          <w:p w14:paraId="5BBBE5B1"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Milan</w:t>
            </w:r>
          </w:p>
          <w:p w14:paraId="5267ACF0"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(n=55)</w:t>
            </w:r>
          </w:p>
        </w:tc>
        <w:tc>
          <w:tcPr>
            <w:tcW w:w="1244" w:type="dxa"/>
          </w:tcPr>
          <w:p w14:paraId="6E6253C4"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Klagenfurt (n=35)</w:t>
            </w:r>
          </w:p>
        </w:tc>
        <w:tc>
          <w:tcPr>
            <w:tcW w:w="1244" w:type="dxa"/>
          </w:tcPr>
          <w:p w14:paraId="4D348B93" w14:textId="77777777" w:rsidR="00290768" w:rsidRPr="00A0600F" w:rsidRDefault="00290768" w:rsidP="00CF3A78">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Faenza (n=30)</w:t>
            </w:r>
          </w:p>
        </w:tc>
      </w:tr>
      <w:tr w:rsidR="00A50FB2" w:rsidRPr="00A0600F" w14:paraId="14D7F000" w14:textId="77777777" w:rsidTr="00CF3A78">
        <w:tc>
          <w:tcPr>
            <w:tcW w:w="1838" w:type="dxa"/>
          </w:tcPr>
          <w:p w14:paraId="43DF66FC" w14:textId="51FEC050"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Post-procedural death</w:t>
            </w:r>
          </w:p>
        </w:tc>
        <w:tc>
          <w:tcPr>
            <w:tcW w:w="1243" w:type="dxa"/>
          </w:tcPr>
          <w:p w14:paraId="6C7EB9C5" w14:textId="29C06BD7"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(1.5%)</w:t>
            </w:r>
          </w:p>
        </w:tc>
        <w:tc>
          <w:tcPr>
            <w:tcW w:w="1244" w:type="dxa"/>
          </w:tcPr>
          <w:p w14:paraId="54A9ADCE" w14:textId="6B0EFCCB"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(0.6%)</w:t>
            </w:r>
          </w:p>
        </w:tc>
        <w:tc>
          <w:tcPr>
            <w:tcW w:w="1244" w:type="dxa"/>
          </w:tcPr>
          <w:p w14:paraId="0C7D9FC4" w14:textId="57F0BEF7"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 (3.0%)</w:t>
            </w:r>
          </w:p>
        </w:tc>
        <w:tc>
          <w:tcPr>
            <w:tcW w:w="1244" w:type="dxa"/>
          </w:tcPr>
          <w:p w14:paraId="4A66D335" w14:textId="18D42F7F"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(1.3%)</w:t>
            </w:r>
          </w:p>
        </w:tc>
        <w:tc>
          <w:tcPr>
            <w:tcW w:w="1244" w:type="dxa"/>
          </w:tcPr>
          <w:p w14:paraId="65C16A26" w14:textId="58FA6485"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(2.1%)</w:t>
            </w:r>
          </w:p>
        </w:tc>
        <w:tc>
          <w:tcPr>
            <w:tcW w:w="1243" w:type="dxa"/>
          </w:tcPr>
          <w:p w14:paraId="48122219" w14:textId="6C79B7CE"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(4.4%)</w:t>
            </w:r>
          </w:p>
        </w:tc>
        <w:tc>
          <w:tcPr>
            <w:tcW w:w="1244" w:type="dxa"/>
          </w:tcPr>
          <w:p w14:paraId="7AB3014E" w14:textId="538658B5" w:rsidR="00A50FB2" w:rsidRPr="00A0600F" w:rsidRDefault="005A623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0460093" w14:textId="69832953"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890EF54" w14:textId="4089A7C6"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(5.7%)</w:t>
            </w:r>
          </w:p>
        </w:tc>
        <w:tc>
          <w:tcPr>
            <w:tcW w:w="1244" w:type="dxa"/>
          </w:tcPr>
          <w:p w14:paraId="4B3A40E2" w14:textId="38273AE6" w:rsidR="00A50FB2" w:rsidRPr="00A0600F" w:rsidRDefault="00CF3A78"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(3.3%)</w:t>
            </w:r>
          </w:p>
        </w:tc>
      </w:tr>
      <w:tr w:rsidR="00A50FB2" w:rsidRPr="00A0600F" w14:paraId="7F1E5C80" w14:textId="77777777" w:rsidTr="00CF3A78">
        <w:tc>
          <w:tcPr>
            <w:tcW w:w="1838" w:type="dxa"/>
          </w:tcPr>
          <w:p w14:paraId="3B1EF7EF" w14:textId="3524A178"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Any complication</w:t>
            </w:r>
          </w:p>
        </w:tc>
        <w:tc>
          <w:tcPr>
            <w:tcW w:w="1243" w:type="dxa"/>
          </w:tcPr>
          <w:p w14:paraId="2E1A4DB0" w14:textId="5BA91B20"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167 (64.0%)</w:t>
            </w:r>
          </w:p>
        </w:tc>
        <w:tc>
          <w:tcPr>
            <w:tcW w:w="1244" w:type="dxa"/>
          </w:tcPr>
          <w:p w14:paraId="422325D0" w14:textId="22056832"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95 (57.2%)</w:t>
            </w:r>
          </w:p>
        </w:tc>
        <w:tc>
          <w:tcPr>
            <w:tcW w:w="1244" w:type="dxa"/>
          </w:tcPr>
          <w:p w14:paraId="596E8456" w14:textId="1EA16544"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137 (83.5%)</w:t>
            </w:r>
          </w:p>
        </w:tc>
        <w:tc>
          <w:tcPr>
            <w:tcW w:w="1244" w:type="dxa"/>
          </w:tcPr>
          <w:p w14:paraId="7FD7C708" w14:textId="03337746"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17 (11.0%)</w:t>
            </w:r>
          </w:p>
        </w:tc>
        <w:tc>
          <w:tcPr>
            <w:tcW w:w="1244" w:type="dxa"/>
          </w:tcPr>
          <w:p w14:paraId="13FB7E69" w14:textId="7D05AEE8"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45 (46.4%)</w:t>
            </w:r>
          </w:p>
        </w:tc>
        <w:tc>
          <w:tcPr>
            <w:tcW w:w="1243" w:type="dxa"/>
          </w:tcPr>
          <w:p w14:paraId="322D4967" w14:textId="0EC3A91C"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39 (43.3%)</w:t>
            </w:r>
          </w:p>
        </w:tc>
        <w:tc>
          <w:tcPr>
            <w:tcW w:w="1244" w:type="dxa"/>
          </w:tcPr>
          <w:p w14:paraId="0E65C44B" w14:textId="4B5FE052" w:rsidR="00A50FB2" w:rsidRPr="00A0600F" w:rsidRDefault="0074324E"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27</w:t>
            </w:r>
            <w:r w:rsidR="00967CFA" w:rsidRPr="00A0600F">
              <w:rPr>
                <w:rFonts w:ascii="Times New Roman" w:hAnsi="Times New Roman" w:cs="Times New Roman"/>
                <w:sz w:val="18"/>
                <w:szCs w:val="18"/>
                <w:lang w:val="en-US"/>
              </w:rPr>
              <w:t xml:space="preserve"> (</w:t>
            </w:r>
            <w:r w:rsidRPr="00A0600F">
              <w:rPr>
                <w:rFonts w:ascii="Times New Roman" w:hAnsi="Times New Roman" w:cs="Times New Roman"/>
                <w:sz w:val="18"/>
                <w:szCs w:val="18"/>
                <w:lang w:val="en-US"/>
              </w:rPr>
              <w:t>37</w:t>
            </w:r>
            <w:r w:rsidR="00967CFA" w:rsidRPr="00A0600F">
              <w:rPr>
                <w:rFonts w:ascii="Times New Roman" w:hAnsi="Times New Roman" w:cs="Times New Roman"/>
                <w:sz w:val="18"/>
                <w:szCs w:val="18"/>
                <w:lang w:val="en-US"/>
              </w:rPr>
              <w:t>.</w:t>
            </w:r>
            <w:r w:rsidRPr="00A0600F">
              <w:rPr>
                <w:rFonts w:ascii="Times New Roman" w:hAnsi="Times New Roman" w:cs="Times New Roman"/>
                <w:sz w:val="18"/>
                <w:szCs w:val="18"/>
                <w:lang w:val="en-US"/>
              </w:rPr>
              <w:t>5</w:t>
            </w:r>
            <w:r w:rsidR="00967CFA" w:rsidRPr="00A0600F">
              <w:rPr>
                <w:rFonts w:ascii="Times New Roman" w:hAnsi="Times New Roman" w:cs="Times New Roman"/>
                <w:sz w:val="18"/>
                <w:szCs w:val="18"/>
                <w:lang w:val="en-US"/>
              </w:rPr>
              <w:t>%)</w:t>
            </w:r>
          </w:p>
        </w:tc>
        <w:tc>
          <w:tcPr>
            <w:tcW w:w="1244" w:type="dxa"/>
          </w:tcPr>
          <w:p w14:paraId="71283CD9" w14:textId="3F674225"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38 (69.1%)</w:t>
            </w:r>
          </w:p>
        </w:tc>
        <w:tc>
          <w:tcPr>
            <w:tcW w:w="1244" w:type="dxa"/>
          </w:tcPr>
          <w:p w14:paraId="2FB3353D" w14:textId="692127F5"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(31.4%)</w:t>
            </w:r>
          </w:p>
        </w:tc>
        <w:tc>
          <w:tcPr>
            <w:tcW w:w="1244" w:type="dxa"/>
          </w:tcPr>
          <w:p w14:paraId="090E27ED" w14:textId="7FFD0103"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18 (60.0%)</w:t>
            </w:r>
          </w:p>
        </w:tc>
      </w:tr>
      <w:tr w:rsidR="00A50FB2" w:rsidRPr="00A0600F" w14:paraId="778B366D" w14:textId="77777777" w:rsidTr="00CF3A78">
        <w:tc>
          <w:tcPr>
            <w:tcW w:w="1838" w:type="dxa"/>
          </w:tcPr>
          <w:p w14:paraId="4ACF9D8D" w14:textId="2675652B"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PES G1-G2</w:t>
            </w:r>
          </w:p>
        </w:tc>
        <w:tc>
          <w:tcPr>
            <w:tcW w:w="1243" w:type="dxa"/>
          </w:tcPr>
          <w:p w14:paraId="19DBF83A" w14:textId="53625261"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38 (14.6%)</w:t>
            </w:r>
          </w:p>
        </w:tc>
        <w:tc>
          <w:tcPr>
            <w:tcW w:w="1244" w:type="dxa"/>
          </w:tcPr>
          <w:p w14:paraId="26CE7FEB" w14:textId="7449DB74"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54 (32.5%)</w:t>
            </w:r>
          </w:p>
        </w:tc>
        <w:tc>
          <w:tcPr>
            <w:tcW w:w="1244" w:type="dxa"/>
          </w:tcPr>
          <w:p w14:paraId="5B0E32B6" w14:textId="10B4D1E3"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98 (59.8%)</w:t>
            </w:r>
          </w:p>
        </w:tc>
        <w:tc>
          <w:tcPr>
            <w:tcW w:w="1244" w:type="dxa"/>
          </w:tcPr>
          <w:p w14:paraId="4ABC4FE0" w14:textId="0EE3F2E2"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 (6.5%)</w:t>
            </w:r>
          </w:p>
        </w:tc>
        <w:tc>
          <w:tcPr>
            <w:tcW w:w="1244" w:type="dxa"/>
          </w:tcPr>
          <w:p w14:paraId="35512376" w14:textId="02CE33D1"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17 (17.5%)</w:t>
            </w:r>
          </w:p>
        </w:tc>
        <w:tc>
          <w:tcPr>
            <w:tcW w:w="1243" w:type="dxa"/>
          </w:tcPr>
          <w:p w14:paraId="04CA2C9A" w14:textId="6672AEE5"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14 (15.6%)</w:t>
            </w:r>
          </w:p>
        </w:tc>
        <w:tc>
          <w:tcPr>
            <w:tcW w:w="1244" w:type="dxa"/>
          </w:tcPr>
          <w:p w14:paraId="5B1DD567" w14:textId="31F58B04" w:rsidR="00A50FB2" w:rsidRPr="00A0600F" w:rsidRDefault="0074324E"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 xml:space="preserve">26 </w:t>
            </w:r>
            <w:r w:rsidR="00967CFA" w:rsidRPr="00A0600F">
              <w:rPr>
                <w:rFonts w:ascii="Times New Roman" w:hAnsi="Times New Roman" w:cs="Times New Roman"/>
                <w:sz w:val="18"/>
                <w:szCs w:val="18"/>
                <w:lang w:val="en-US"/>
              </w:rPr>
              <w:t>(</w:t>
            </w:r>
            <w:r w:rsidRPr="00A0600F">
              <w:rPr>
                <w:rFonts w:ascii="Times New Roman" w:hAnsi="Times New Roman" w:cs="Times New Roman"/>
                <w:sz w:val="18"/>
                <w:szCs w:val="18"/>
                <w:lang w:val="en-US"/>
              </w:rPr>
              <w:t>36.1</w:t>
            </w:r>
            <w:r w:rsidR="00967CFA" w:rsidRPr="00A0600F">
              <w:rPr>
                <w:rFonts w:ascii="Times New Roman" w:hAnsi="Times New Roman" w:cs="Times New Roman"/>
                <w:sz w:val="18"/>
                <w:szCs w:val="18"/>
                <w:lang w:val="en-US"/>
              </w:rPr>
              <w:t>%)</w:t>
            </w:r>
          </w:p>
        </w:tc>
        <w:tc>
          <w:tcPr>
            <w:tcW w:w="1244" w:type="dxa"/>
          </w:tcPr>
          <w:p w14:paraId="2290B8DF" w14:textId="6FE67C7D"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35 (63.6%)</w:t>
            </w:r>
          </w:p>
        </w:tc>
        <w:tc>
          <w:tcPr>
            <w:tcW w:w="1244" w:type="dxa"/>
          </w:tcPr>
          <w:p w14:paraId="2510FE6F" w14:textId="55580834"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(2.9%)</w:t>
            </w:r>
          </w:p>
        </w:tc>
        <w:tc>
          <w:tcPr>
            <w:tcW w:w="1244" w:type="dxa"/>
          </w:tcPr>
          <w:p w14:paraId="17FD9D60" w14:textId="7942140A"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 (33.3%)</w:t>
            </w:r>
          </w:p>
        </w:tc>
      </w:tr>
      <w:tr w:rsidR="00A50FB2" w:rsidRPr="00A0600F" w14:paraId="061CA770" w14:textId="77777777" w:rsidTr="00CF3A78">
        <w:tc>
          <w:tcPr>
            <w:tcW w:w="1838" w:type="dxa"/>
          </w:tcPr>
          <w:p w14:paraId="32B3E989" w14:textId="68F18B7B" w:rsidR="00A50FB2" w:rsidRPr="00A0600F" w:rsidRDefault="00A50FB2" w:rsidP="000C75AC">
            <w:pPr>
              <w:spacing w:line="360" w:lineRule="auto"/>
              <w:ind w:firstLine="164"/>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G3 – G4</w:t>
            </w:r>
          </w:p>
        </w:tc>
        <w:tc>
          <w:tcPr>
            <w:tcW w:w="1243" w:type="dxa"/>
          </w:tcPr>
          <w:p w14:paraId="3B130303" w14:textId="149D173B"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14 (5.4%)</w:t>
            </w:r>
          </w:p>
        </w:tc>
        <w:tc>
          <w:tcPr>
            <w:tcW w:w="1244" w:type="dxa"/>
          </w:tcPr>
          <w:p w14:paraId="6367668D" w14:textId="5EB754DF"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29 (17.5%)</w:t>
            </w:r>
          </w:p>
        </w:tc>
        <w:tc>
          <w:tcPr>
            <w:tcW w:w="1244" w:type="dxa"/>
          </w:tcPr>
          <w:p w14:paraId="10D60E9C" w14:textId="102A240F"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33 (20.1%)</w:t>
            </w:r>
          </w:p>
        </w:tc>
        <w:tc>
          <w:tcPr>
            <w:tcW w:w="1244" w:type="dxa"/>
          </w:tcPr>
          <w:p w14:paraId="7EFB32E9" w14:textId="64F80F82"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(1.9%)</w:t>
            </w:r>
          </w:p>
        </w:tc>
        <w:tc>
          <w:tcPr>
            <w:tcW w:w="1244" w:type="dxa"/>
          </w:tcPr>
          <w:p w14:paraId="05DD1659" w14:textId="0AE25F0C"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0DAF17FF" w14:textId="193D4335"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 (10.0%)</w:t>
            </w:r>
          </w:p>
        </w:tc>
        <w:tc>
          <w:tcPr>
            <w:tcW w:w="1244" w:type="dxa"/>
          </w:tcPr>
          <w:p w14:paraId="113845F1" w14:textId="5A523ADE"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(2.8%)</w:t>
            </w:r>
          </w:p>
        </w:tc>
        <w:tc>
          <w:tcPr>
            <w:tcW w:w="1244" w:type="dxa"/>
          </w:tcPr>
          <w:p w14:paraId="36DFD9C9" w14:textId="6C24557C"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4B2C671" w14:textId="449E5B2E"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(22.9%)</w:t>
            </w:r>
          </w:p>
        </w:tc>
        <w:tc>
          <w:tcPr>
            <w:tcW w:w="1244" w:type="dxa"/>
          </w:tcPr>
          <w:p w14:paraId="1973AF66" w14:textId="748BDF6B"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64A7CF9D" w14:textId="77777777" w:rsidTr="00CF3A78">
        <w:tc>
          <w:tcPr>
            <w:tcW w:w="1838" w:type="dxa"/>
          </w:tcPr>
          <w:p w14:paraId="6F3DE757" w14:textId="2665861B"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Dysfunction G1-G2</w:t>
            </w:r>
          </w:p>
        </w:tc>
        <w:tc>
          <w:tcPr>
            <w:tcW w:w="1243" w:type="dxa"/>
          </w:tcPr>
          <w:p w14:paraId="34E0E48D" w14:textId="1D2040C6"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135 (51.7%)</w:t>
            </w:r>
          </w:p>
        </w:tc>
        <w:tc>
          <w:tcPr>
            <w:tcW w:w="1244" w:type="dxa"/>
          </w:tcPr>
          <w:p w14:paraId="32ACB716" w14:textId="2D9E7A13"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(2.4%)</w:t>
            </w:r>
          </w:p>
        </w:tc>
        <w:tc>
          <w:tcPr>
            <w:tcW w:w="1244" w:type="dxa"/>
          </w:tcPr>
          <w:p w14:paraId="26F893DF" w14:textId="6DEC4794"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11 (6.7%)</w:t>
            </w:r>
          </w:p>
        </w:tc>
        <w:tc>
          <w:tcPr>
            <w:tcW w:w="1244" w:type="dxa"/>
          </w:tcPr>
          <w:p w14:paraId="294D936D" w14:textId="0A04B948"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(1.3%)</w:t>
            </w:r>
          </w:p>
        </w:tc>
        <w:tc>
          <w:tcPr>
            <w:tcW w:w="1244" w:type="dxa"/>
          </w:tcPr>
          <w:p w14:paraId="201D8608" w14:textId="4528DDDB"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34 (35.1%)</w:t>
            </w:r>
          </w:p>
        </w:tc>
        <w:tc>
          <w:tcPr>
            <w:tcW w:w="1243" w:type="dxa"/>
          </w:tcPr>
          <w:p w14:paraId="27AB94AF" w14:textId="527F254F"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22 (24.4%)</w:t>
            </w:r>
          </w:p>
        </w:tc>
        <w:tc>
          <w:tcPr>
            <w:tcW w:w="1244" w:type="dxa"/>
          </w:tcPr>
          <w:p w14:paraId="7C73C4C1" w14:textId="42C9A4F6"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0500F63" w14:textId="019A22D3"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15 (27.3%)</w:t>
            </w:r>
          </w:p>
        </w:tc>
        <w:tc>
          <w:tcPr>
            <w:tcW w:w="1244" w:type="dxa"/>
          </w:tcPr>
          <w:p w14:paraId="1A6AF267" w14:textId="0580C8C3"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(5.7%)</w:t>
            </w:r>
          </w:p>
        </w:tc>
        <w:tc>
          <w:tcPr>
            <w:tcW w:w="1244" w:type="dxa"/>
          </w:tcPr>
          <w:p w14:paraId="13E21E0F" w14:textId="2DB89F10"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12 (40.0%)</w:t>
            </w:r>
          </w:p>
        </w:tc>
      </w:tr>
      <w:tr w:rsidR="00A50FB2" w:rsidRPr="00A0600F" w14:paraId="41420F67" w14:textId="77777777" w:rsidTr="00CF3A78">
        <w:tc>
          <w:tcPr>
            <w:tcW w:w="1838" w:type="dxa"/>
          </w:tcPr>
          <w:p w14:paraId="14D4A5D7" w14:textId="4804AB17" w:rsidR="00A50FB2" w:rsidRPr="00A0600F" w:rsidRDefault="00A50FB2" w:rsidP="000C75AC">
            <w:pPr>
              <w:spacing w:line="360" w:lineRule="auto"/>
              <w:ind w:firstLine="164"/>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G3 – G4</w:t>
            </w:r>
          </w:p>
        </w:tc>
        <w:tc>
          <w:tcPr>
            <w:tcW w:w="1243" w:type="dxa"/>
          </w:tcPr>
          <w:p w14:paraId="3CEAF30F" w14:textId="132FE6B7"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 (1.9%)</w:t>
            </w:r>
          </w:p>
        </w:tc>
        <w:tc>
          <w:tcPr>
            <w:tcW w:w="1244" w:type="dxa"/>
          </w:tcPr>
          <w:p w14:paraId="1C7B6B01" w14:textId="4CC158B9"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(2.4%)</w:t>
            </w:r>
          </w:p>
        </w:tc>
        <w:tc>
          <w:tcPr>
            <w:tcW w:w="1244" w:type="dxa"/>
          </w:tcPr>
          <w:p w14:paraId="45C4D610" w14:textId="1681B1FB"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32 (19.5%)</w:t>
            </w:r>
          </w:p>
        </w:tc>
        <w:tc>
          <w:tcPr>
            <w:tcW w:w="1244" w:type="dxa"/>
          </w:tcPr>
          <w:p w14:paraId="2B54EF58" w14:textId="5574A314"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46EBA0A" w14:textId="62F5A202"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56E3FEE1" w14:textId="58E522C5"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(4.4%)</w:t>
            </w:r>
          </w:p>
        </w:tc>
        <w:tc>
          <w:tcPr>
            <w:tcW w:w="1244" w:type="dxa"/>
          </w:tcPr>
          <w:p w14:paraId="03B5D14A" w14:textId="7061C174"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12AA54C" w14:textId="6973D55A"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C145544" w14:textId="70C4F16B"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(5.7%)</w:t>
            </w:r>
          </w:p>
        </w:tc>
        <w:tc>
          <w:tcPr>
            <w:tcW w:w="1244" w:type="dxa"/>
          </w:tcPr>
          <w:p w14:paraId="0317C08A" w14:textId="11C8BA8A" w:rsidR="00A50FB2" w:rsidRPr="00A0600F" w:rsidRDefault="00F832F9"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(3.3%)</w:t>
            </w:r>
          </w:p>
        </w:tc>
      </w:tr>
      <w:tr w:rsidR="00A50FB2" w:rsidRPr="00A0600F" w14:paraId="1F99DFB0" w14:textId="77777777" w:rsidTr="00CF3A78">
        <w:tc>
          <w:tcPr>
            <w:tcW w:w="1838" w:type="dxa"/>
          </w:tcPr>
          <w:p w14:paraId="5AFA6D10" w14:textId="4108F53B"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Hematoma G1-G2</w:t>
            </w:r>
          </w:p>
        </w:tc>
        <w:tc>
          <w:tcPr>
            <w:tcW w:w="1243" w:type="dxa"/>
          </w:tcPr>
          <w:p w14:paraId="5436E6AA" w14:textId="0F7367D2"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 (2.3%)</w:t>
            </w:r>
          </w:p>
        </w:tc>
        <w:tc>
          <w:tcPr>
            <w:tcW w:w="1244" w:type="dxa"/>
          </w:tcPr>
          <w:p w14:paraId="593BD828" w14:textId="0A45FEAA"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(4.9%)</w:t>
            </w:r>
          </w:p>
        </w:tc>
        <w:tc>
          <w:tcPr>
            <w:tcW w:w="1244" w:type="dxa"/>
          </w:tcPr>
          <w:p w14:paraId="67E04C8C" w14:textId="1BDDBABB"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(1.2%)</w:t>
            </w:r>
          </w:p>
        </w:tc>
        <w:tc>
          <w:tcPr>
            <w:tcW w:w="1244" w:type="dxa"/>
          </w:tcPr>
          <w:p w14:paraId="22E584C8" w14:textId="5DBB4D55"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A23B20A" w14:textId="2866D015"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(1.0%)</w:t>
            </w:r>
          </w:p>
        </w:tc>
        <w:tc>
          <w:tcPr>
            <w:tcW w:w="1243" w:type="dxa"/>
          </w:tcPr>
          <w:p w14:paraId="26720B1E" w14:textId="464432B2"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(2.2%)</w:t>
            </w:r>
          </w:p>
        </w:tc>
        <w:tc>
          <w:tcPr>
            <w:tcW w:w="1244" w:type="dxa"/>
          </w:tcPr>
          <w:p w14:paraId="00213D71" w14:textId="68AE7C4A"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(1.4%)</w:t>
            </w:r>
          </w:p>
        </w:tc>
        <w:tc>
          <w:tcPr>
            <w:tcW w:w="1244" w:type="dxa"/>
          </w:tcPr>
          <w:p w14:paraId="163ECCBA" w14:textId="0A1F7330"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240C9A7" w14:textId="07D4836A"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(2.9%)</w:t>
            </w:r>
          </w:p>
        </w:tc>
        <w:tc>
          <w:tcPr>
            <w:tcW w:w="1244" w:type="dxa"/>
          </w:tcPr>
          <w:p w14:paraId="0A84B17E" w14:textId="1132A2B6"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(3.3%)</w:t>
            </w:r>
          </w:p>
        </w:tc>
      </w:tr>
      <w:tr w:rsidR="00A50FB2" w:rsidRPr="00A0600F" w14:paraId="59B8B5A1" w14:textId="77777777" w:rsidTr="00CF3A78">
        <w:tc>
          <w:tcPr>
            <w:tcW w:w="1838" w:type="dxa"/>
          </w:tcPr>
          <w:p w14:paraId="6D272658" w14:textId="32FC8167" w:rsidR="00A50FB2" w:rsidRPr="00A0600F" w:rsidRDefault="00A50FB2" w:rsidP="000C75AC">
            <w:pPr>
              <w:spacing w:line="360" w:lineRule="auto"/>
              <w:ind w:firstLine="164"/>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G3 – G4</w:t>
            </w:r>
          </w:p>
        </w:tc>
        <w:tc>
          <w:tcPr>
            <w:tcW w:w="1243" w:type="dxa"/>
          </w:tcPr>
          <w:p w14:paraId="11F6E2AD" w14:textId="7016703E"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762BF1E" w14:textId="6D1D9609"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24ACB8C" w14:textId="24514B1D"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A6F980A" w14:textId="75929FC0"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628C433" w14:textId="0B4986A1"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04FBA914" w14:textId="4159ABEF"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59221DB" w14:textId="08E31168"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229B43D" w14:textId="7392B8F3"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4F44E4B" w14:textId="32C6D596" w:rsidR="00A50FB2" w:rsidRPr="00A0600F" w:rsidRDefault="00703143"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(2.9%)</w:t>
            </w:r>
          </w:p>
        </w:tc>
        <w:tc>
          <w:tcPr>
            <w:tcW w:w="1244" w:type="dxa"/>
          </w:tcPr>
          <w:p w14:paraId="0B6C6DB0" w14:textId="11B45AEE"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14E5CA2A" w14:textId="77777777" w:rsidTr="00CF3A78">
        <w:tc>
          <w:tcPr>
            <w:tcW w:w="1838" w:type="dxa"/>
          </w:tcPr>
          <w:p w14:paraId="2DC74673" w14:textId="64D7FB10"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Kidney injury G1-G2</w:t>
            </w:r>
          </w:p>
        </w:tc>
        <w:tc>
          <w:tcPr>
            <w:tcW w:w="1243" w:type="dxa"/>
          </w:tcPr>
          <w:p w14:paraId="50E66558" w14:textId="57022BF2"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1CACA52" w14:textId="58EDD370"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(1.8%)</w:t>
            </w:r>
          </w:p>
        </w:tc>
        <w:tc>
          <w:tcPr>
            <w:tcW w:w="1244" w:type="dxa"/>
          </w:tcPr>
          <w:p w14:paraId="4BC06E1A" w14:textId="783B1EA5"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 (3.0%)</w:t>
            </w:r>
          </w:p>
        </w:tc>
        <w:tc>
          <w:tcPr>
            <w:tcW w:w="1244" w:type="dxa"/>
          </w:tcPr>
          <w:p w14:paraId="304CABC5" w14:textId="7F1BBB60"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866739F" w14:textId="7E55C392"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(2.1%)</w:t>
            </w:r>
          </w:p>
        </w:tc>
        <w:tc>
          <w:tcPr>
            <w:tcW w:w="1243" w:type="dxa"/>
          </w:tcPr>
          <w:p w14:paraId="5D6E4013" w14:textId="4C9F9617"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(4.4%)</w:t>
            </w:r>
          </w:p>
        </w:tc>
        <w:tc>
          <w:tcPr>
            <w:tcW w:w="1244" w:type="dxa"/>
          </w:tcPr>
          <w:p w14:paraId="699D0446" w14:textId="3E2F1A83"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7B9D66F" w14:textId="541D2379"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F643478" w14:textId="3C8529D4"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23DB8C3" w14:textId="056131F5"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5BA836EC" w14:textId="77777777" w:rsidTr="00CF3A78">
        <w:tc>
          <w:tcPr>
            <w:tcW w:w="1838" w:type="dxa"/>
          </w:tcPr>
          <w:p w14:paraId="4E895F03" w14:textId="59C5A2BE" w:rsidR="00A50FB2" w:rsidRPr="00A0600F" w:rsidRDefault="00A50FB2" w:rsidP="000C75AC">
            <w:pPr>
              <w:spacing w:line="360" w:lineRule="auto"/>
              <w:ind w:firstLine="164"/>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G3 – G4</w:t>
            </w:r>
          </w:p>
        </w:tc>
        <w:tc>
          <w:tcPr>
            <w:tcW w:w="1243" w:type="dxa"/>
          </w:tcPr>
          <w:p w14:paraId="070ED7F3" w14:textId="79C0DC81"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(0.4%)</w:t>
            </w:r>
          </w:p>
        </w:tc>
        <w:tc>
          <w:tcPr>
            <w:tcW w:w="1244" w:type="dxa"/>
          </w:tcPr>
          <w:p w14:paraId="5F7F414B" w14:textId="7D209925"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(0.6%)</w:t>
            </w:r>
          </w:p>
        </w:tc>
        <w:tc>
          <w:tcPr>
            <w:tcW w:w="1244" w:type="dxa"/>
          </w:tcPr>
          <w:p w14:paraId="2FF8C70B" w14:textId="0F13A132"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5F8C0F1" w14:textId="65F04543"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30ED67C" w14:textId="3B3CB326"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4B47337B" w14:textId="214DBBEC" w:rsidR="00A50FB2" w:rsidRPr="00A0600F" w:rsidRDefault="000C75AC"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58EC6C3" w14:textId="11F08B4F"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16BC87B" w14:textId="7CE6C79F"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EF705E1" w14:textId="5BA288A6" w:rsidR="00A50FB2" w:rsidRPr="00A0600F" w:rsidRDefault="00651610" w:rsidP="005A6239">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5A9517E" w14:textId="7CC63BD2"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5F9C2ABF" w14:textId="77777777" w:rsidTr="00CF3A78">
        <w:tc>
          <w:tcPr>
            <w:tcW w:w="1838" w:type="dxa"/>
          </w:tcPr>
          <w:p w14:paraId="4B2FAC54" w14:textId="79466FB3"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Cholecystitis G1-G2</w:t>
            </w:r>
          </w:p>
        </w:tc>
        <w:tc>
          <w:tcPr>
            <w:tcW w:w="1243" w:type="dxa"/>
          </w:tcPr>
          <w:p w14:paraId="7EF2EAED" w14:textId="5BF1F3DA"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82B9330" w14:textId="5F0F94C3"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ABA737A" w14:textId="57B7668D"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(1.2%)</w:t>
            </w:r>
          </w:p>
        </w:tc>
        <w:tc>
          <w:tcPr>
            <w:tcW w:w="1244" w:type="dxa"/>
          </w:tcPr>
          <w:p w14:paraId="6DECDD65" w14:textId="654B0A86"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(1.9%)</w:t>
            </w:r>
          </w:p>
        </w:tc>
        <w:tc>
          <w:tcPr>
            <w:tcW w:w="1244" w:type="dxa"/>
          </w:tcPr>
          <w:p w14:paraId="32F64FDF" w14:textId="79E17FB8"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(1.0%)</w:t>
            </w:r>
          </w:p>
        </w:tc>
        <w:tc>
          <w:tcPr>
            <w:tcW w:w="1243" w:type="dxa"/>
          </w:tcPr>
          <w:p w14:paraId="2E62F24F" w14:textId="6A937184"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4F68170" w14:textId="7AAF94B1"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FD07D22" w14:textId="37483F8F"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C5D33DB" w14:textId="4A62D034"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E9B1C5E" w14:textId="4FA6F9FE"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(3.3%)</w:t>
            </w:r>
          </w:p>
        </w:tc>
      </w:tr>
      <w:tr w:rsidR="00A50FB2" w:rsidRPr="00A0600F" w14:paraId="6741D743" w14:textId="77777777" w:rsidTr="00CF3A78">
        <w:tc>
          <w:tcPr>
            <w:tcW w:w="1838" w:type="dxa"/>
          </w:tcPr>
          <w:p w14:paraId="0520D11C" w14:textId="5F7EBC4F" w:rsidR="00A50FB2" w:rsidRPr="00A0600F" w:rsidRDefault="00A50FB2" w:rsidP="000C75AC">
            <w:pPr>
              <w:spacing w:line="360" w:lineRule="auto"/>
              <w:ind w:firstLine="164"/>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G3 – G4</w:t>
            </w:r>
          </w:p>
        </w:tc>
        <w:tc>
          <w:tcPr>
            <w:tcW w:w="1243" w:type="dxa"/>
          </w:tcPr>
          <w:p w14:paraId="5702CBFA" w14:textId="6C24E91B"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158277D" w14:textId="73CAE2AA"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DEFAEF1" w14:textId="31E6235D"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F1726CB" w14:textId="0ADF9C83"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6383262" w14:textId="5AEDA9AE"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24F19E2A" w14:textId="53DA59B0"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(1.1%)</w:t>
            </w:r>
          </w:p>
        </w:tc>
        <w:tc>
          <w:tcPr>
            <w:tcW w:w="1244" w:type="dxa"/>
          </w:tcPr>
          <w:p w14:paraId="644D6C73" w14:textId="3CE84FC0"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94664A7" w14:textId="69BB1D60"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C900B38" w14:textId="4BDA3D0C"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D0B5828" w14:textId="53D1737E"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6BAEB2EB" w14:textId="77777777" w:rsidTr="00CF3A78">
        <w:tc>
          <w:tcPr>
            <w:tcW w:w="1838" w:type="dxa"/>
          </w:tcPr>
          <w:p w14:paraId="793FFBE3" w14:textId="4CD93CC1"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Pancreatitis G1-G2</w:t>
            </w:r>
          </w:p>
        </w:tc>
        <w:tc>
          <w:tcPr>
            <w:tcW w:w="1243" w:type="dxa"/>
          </w:tcPr>
          <w:p w14:paraId="26AF2D3A" w14:textId="25488A08"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966C3FE" w14:textId="6AE425E7"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679AA68" w14:textId="4D8EF652"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48B4E64" w14:textId="008C74BF"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4F4B40C6" w14:textId="27676568"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1500BBBB" w14:textId="44AA0C17"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82EB991" w14:textId="4A9EB45F"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391D834" w14:textId="457A72C8"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D200547" w14:textId="05924D6F"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0774C16" w14:textId="0D2D7E39"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(3.3%)</w:t>
            </w:r>
          </w:p>
        </w:tc>
      </w:tr>
      <w:tr w:rsidR="00A50FB2" w:rsidRPr="00A0600F" w14:paraId="2D241A98" w14:textId="77777777" w:rsidTr="00CF3A78">
        <w:tc>
          <w:tcPr>
            <w:tcW w:w="1838" w:type="dxa"/>
          </w:tcPr>
          <w:p w14:paraId="61BAE6FE" w14:textId="1747C62A"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Liver abscess G1-G2</w:t>
            </w:r>
          </w:p>
        </w:tc>
        <w:tc>
          <w:tcPr>
            <w:tcW w:w="1243" w:type="dxa"/>
          </w:tcPr>
          <w:p w14:paraId="5A3C9B07" w14:textId="25501891"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21445F0" w14:textId="0CCB2D93"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ECC05B1" w14:textId="69A00B09"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4033AA8" w14:textId="3BD43FAC"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AEE1353" w14:textId="1079AB35"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(2.1%)</w:t>
            </w:r>
          </w:p>
        </w:tc>
        <w:tc>
          <w:tcPr>
            <w:tcW w:w="1243" w:type="dxa"/>
          </w:tcPr>
          <w:p w14:paraId="1A683E42" w14:textId="26A9B87E"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C291B0E" w14:textId="58178201"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3FFFC0F4" w14:textId="18E33E1A"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19A1473" w14:textId="60D227D6"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F0F6861" w14:textId="794F2603"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7D990E00" w14:textId="77777777" w:rsidTr="00CF3A78">
        <w:tc>
          <w:tcPr>
            <w:tcW w:w="1838" w:type="dxa"/>
          </w:tcPr>
          <w:p w14:paraId="704DBB4B" w14:textId="04F06949" w:rsidR="00A50FB2" w:rsidRPr="00A0600F" w:rsidRDefault="00A50FB2" w:rsidP="000C75AC">
            <w:pPr>
              <w:spacing w:line="360" w:lineRule="auto"/>
              <w:ind w:firstLine="164"/>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G3 – G4</w:t>
            </w:r>
          </w:p>
        </w:tc>
        <w:tc>
          <w:tcPr>
            <w:tcW w:w="1243" w:type="dxa"/>
          </w:tcPr>
          <w:p w14:paraId="71172EEB" w14:textId="776D7E56"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16FE52F" w14:textId="6D71094A"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(0.6%)</w:t>
            </w:r>
          </w:p>
        </w:tc>
        <w:tc>
          <w:tcPr>
            <w:tcW w:w="1244" w:type="dxa"/>
          </w:tcPr>
          <w:p w14:paraId="5CB800A2" w14:textId="475D3E4F"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(0.6%)</w:t>
            </w:r>
          </w:p>
        </w:tc>
        <w:tc>
          <w:tcPr>
            <w:tcW w:w="1244" w:type="dxa"/>
          </w:tcPr>
          <w:p w14:paraId="19FD2869" w14:textId="5F2C4945"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0040AA8" w14:textId="4103BD79"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56197F95" w14:textId="652A94FC"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(2.2%)</w:t>
            </w:r>
          </w:p>
        </w:tc>
        <w:tc>
          <w:tcPr>
            <w:tcW w:w="1244" w:type="dxa"/>
          </w:tcPr>
          <w:p w14:paraId="2B406BF2" w14:textId="2DA272D8"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179DD35" w14:textId="4C1CA681"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B28203C" w14:textId="022C7B22"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D695970" w14:textId="6C724928" w:rsidR="00A50FB2" w:rsidRPr="00A0600F" w:rsidRDefault="00651610"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2776A618" w14:textId="77777777" w:rsidTr="00CF3A78">
        <w:tc>
          <w:tcPr>
            <w:tcW w:w="1838" w:type="dxa"/>
          </w:tcPr>
          <w:p w14:paraId="3815525B" w14:textId="41E87212"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GI bleeding G1-G2</w:t>
            </w:r>
          </w:p>
        </w:tc>
        <w:tc>
          <w:tcPr>
            <w:tcW w:w="1243" w:type="dxa"/>
          </w:tcPr>
          <w:p w14:paraId="2505470D" w14:textId="3ECB80EF"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68376F8" w14:textId="201E3109"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C77D93F" w14:textId="16FB15E6"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(1.8%)</w:t>
            </w:r>
          </w:p>
        </w:tc>
        <w:tc>
          <w:tcPr>
            <w:tcW w:w="1244" w:type="dxa"/>
          </w:tcPr>
          <w:p w14:paraId="6CD5EE7F" w14:textId="3983D1E0"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662B6935" w14:textId="1117567E"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2A7005D3" w14:textId="475DEAA0"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69C34E3" w14:textId="78FEE792"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1A5BC02" w14:textId="6606B802"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E2A86DF" w14:textId="2ACE1B31"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2084F34D" w14:textId="3FF5E0F2"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5EF690AD" w14:textId="77777777" w:rsidTr="00CF3A78">
        <w:tc>
          <w:tcPr>
            <w:tcW w:w="1838" w:type="dxa"/>
          </w:tcPr>
          <w:p w14:paraId="0AA6163B" w14:textId="2ACCAA1A" w:rsidR="00A50FB2" w:rsidRPr="00A0600F" w:rsidRDefault="00A50FB2" w:rsidP="000C75AC">
            <w:pPr>
              <w:spacing w:line="360" w:lineRule="auto"/>
              <w:ind w:firstLine="164"/>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G3 – G4</w:t>
            </w:r>
          </w:p>
        </w:tc>
        <w:tc>
          <w:tcPr>
            <w:tcW w:w="1243" w:type="dxa"/>
          </w:tcPr>
          <w:p w14:paraId="20AF8C82" w14:textId="56C37BF4"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9AE1E1D" w14:textId="247729E4"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7C5EB90" w14:textId="60F39265"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(0.6%)</w:t>
            </w:r>
          </w:p>
        </w:tc>
        <w:tc>
          <w:tcPr>
            <w:tcW w:w="1244" w:type="dxa"/>
          </w:tcPr>
          <w:p w14:paraId="7EEAF9E1" w14:textId="7B440A0C"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178135A3" w14:textId="7C427AFF"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3" w:type="dxa"/>
          </w:tcPr>
          <w:p w14:paraId="52F35C4B" w14:textId="1D758698"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5D289E48" w14:textId="40B935BB"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A4D25B7" w14:textId="1C4F2FD6"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CACDD74" w14:textId="24EAE39C"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0EB8B4A3" w14:textId="622A9A5B"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r>
      <w:tr w:rsidR="00A50FB2" w:rsidRPr="00A0600F" w14:paraId="6230E248" w14:textId="77777777" w:rsidTr="00CF3A78">
        <w:tc>
          <w:tcPr>
            <w:tcW w:w="1838" w:type="dxa"/>
          </w:tcPr>
          <w:p w14:paraId="25F35D28" w14:textId="32CA5E5D"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 xml:space="preserve">Prolonged LOS </w:t>
            </w:r>
          </w:p>
        </w:tc>
        <w:tc>
          <w:tcPr>
            <w:tcW w:w="1243" w:type="dxa"/>
          </w:tcPr>
          <w:p w14:paraId="04499769" w14:textId="4EB96D8F"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36 (13.8%)</w:t>
            </w:r>
          </w:p>
        </w:tc>
        <w:tc>
          <w:tcPr>
            <w:tcW w:w="1244" w:type="dxa"/>
          </w:tcPr>
          <w:p w14:paraId="16423C63" w14:textId="32C1963A"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(37.1%)</w:t>
            </w:r>
          </w:p>
        </w:tc>
        <w:tc>
          <w:tcPr>
            <w:tcW w:w="1244" w:type="dxa"/>
          </w:tcPr>
          <w:p w14:paraId="06136002" w14:textId="02B86C49"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56 (34.1%)</w:t>
            </w:r>
          </w:p>
        </w:tc>
        <w:tc>
          <w:tcPr>
            <w:tcW w:w="1244" w:type="dxa"/>
          </w:tcPr>
          <w:p w14:paraId="3056EF7D" w14:textId="614E379B"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61 (39.6%)</w:t>
            </w:r>
          </w:p>
        </w:tc>
        <w:tc>
          <w:tcPr>
            <w:tcW w:w="1244" w:type="dxa"/>
          </w:tcPr>
          <w:p w14:paraId="122E622F" w14:textId="76A22512"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24 (24.7%)</w:t>
            </w:r>
          </w:p>
        </w:tc>
        <w:tc>
          <w:tcPr>
            <w:tcW w:w="1243" w:type="dxa"/>
          </w:tcPr>
          <w:p w14:paraId="18795B66" w14:textId="5D41A4E3"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 (10.0%)</w:t>
            </w:r>
          </w:p>
        </w:tc>
        <w:tc>
          <w:tcPr>
            <w:tcW w:w="1244" w:type="dxa"/>
          </w:tcPr>
          <w:p w14:paraId="02B425FC" w14:textId="05F4F269"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(2.8%)</w:t>
            </w:r>
          </w:p>
        </w:tc>
        <w:tc>
          <w:tcPr>
            <w:tcW w:w="1244" w:type="dxa"/>
          </w:tcPr>
          <w:p w14:paraId="5421E46D" w14:textId="5C2F355D"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(1.8%)</w:t>
            </w:r>
          </w:p>
        </w:tc>
        <w:tc>
          <w:tcPr>
            <w:tcW w:w="1244" w:type="dxa"/>
          </w:tcPr>
          <w:p w14:paraId="33450610" w14:textId="269AFF32"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(37.1%)</w:t>
            </w:r>
          </w:p>
        </w:tc>
        <w:tc>
          <w:tcPr>
            <w:tcW w:w="1244" w:type="dxa"/>
          </w:tcPr>
          <w:p w14:paraId="7A0663D5" w14:textId="067BFFAE"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(43.3%)</w:t>
            </w:r>
          </w:p>
        </w:tc>
      </w:tr>
      <w:tr w:rsidR="00A50FB2" w:rsidRPr="00A0600F" w14:paraId="35CD0D41" w14:textId="77777777" w:rsidTr="00CF3A78">
        <w:tc>
          <w:tcPr>
            <w:tcW w:w="1838" w:type="dxa"/>
          </w:tcPr>
          <w:p w14:paraId="11B8D143" w14:textId="565A23E8"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Readmission</w:t>
            </w:r>
          </w:p>
        </w:tc>
        <w:tc>
          <w:tcPr>
            <w:tcW w:w="1243" w:type="dxa"/>
          </w:tcPr>
          <w:p w14:paraId="7A40B693" w14:textId="7FCFA458"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(5.0%)</w:t>
            </w:r>
          </w:p>
        </w:tc>
        <w:tc>
          <w:tcPr>
            <w:tcW w:w="1244" w:type="dxa"/>
          </w:tcPr>
          <w:p w14:paraId="1FA9314C" w14:textId="5CB3F1E8"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(2.4%)</w:t>
            </w:r>
          </w:p>
        </w:tc>
        <w:tc>
          <w:tcPr>
            <w:tcW w:w="1244" w:type="dxa"/>
          </w:tcPr>
          <w:p w14:paraId="38D4E8E2" w14:textId="7F8C674A"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21 (12.8%)</w:t>
            </w:r>
          </w:p>
        </w:tc>
        <w:tc>
          <w:tcPr>
            <w:tcW w:w="1244" w:type="dxa"/>
          </w:tcPr>
          <w:p w14:paraId="5AF6E963" w14:textId="180F19AB"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(1.9%)</w:t>
            </w:r>
          </w:p>
        </w:tc>
        <w:tc>
          <w:tcPr>
            <w:tcW w:w="1244" w:type="dxa"/>
          </w:tcPr>
          <w:p w14:paraId="4D645926" w14:textId="1B3EFEB3"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 (4.1%)</w:t>
            </w:r>
          </w:p>
        </w:tc>
        <w:tc>
          <w:tcPr>
            <w:tcW w:w="1243" w:type="dxa"/>
          </w:tcPr>
          <w:p w14:paraId="1DBCED02" w14:textId="52F74E5A"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 (11.1%)</w:t>
            </w:r>
          </w:p>
        </w:tc>
        <w:tc>
          <w:tcPr>
            <w:tcW w:w="1244" w:type="dxa"/>
          </w:tcPr>
          <w:p w14:paraId="73DD3646" w14:textId="0613A1CE"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 (2.8%)</w:t>
            </w:r>
          </w:p>
        </w:tc>
        <w:tc>
          <w:tcPr>
            <w:tcW w:w="1244" w:type="dxa"/>
          </w:tcPr>
          <w:p w14:paraId="0877FF63" w14:textId="3A331B74"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0 (0.0%)</w:t>
            </w:r>
          </w:p>
        </w:tc>
        <w:tc>
          <w:tcPr>
            <w:tcW w:w="1244" w:type="dxa"/>
          </w:tcPr>
          <w:p w14:paraId="7E8D386D" w14:textId="7B1DFBDD"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 (2.9%)</w:t>
            </w:r>
          </w:p>
        </w:tc>
        <w:tc>
          <w:tcPr>
            <w:tcW w:w="1244" w:type="dxa"/>
          </w:tcPr>
          <w:p w14:paraId="0ABAA809" w14:textId="5F10C13A"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(10.0%)</w:t>
            </w:r>
          </w:p>
        </w:tc>
      </w:tr>
      <w:tr w:rsidR="00A50FB2" w:rsidRPr="00A0600F" w14:paraId="1A232C2D" w14:textId="77777777" w:rsidTr="00D5236E">
        <w:tc>
          <w:tcPr>
            <w:tcW w:w="1838" w:type="dxa"/>
            <w:tcBorders>
              <w:bottom w:val="single" w:sz="4" w:space="0" w:color="auto"/>
            </w:tcBorders>
          </w:tcPr>
          <w:p w14:paraId="4BEF5BD5" w14:textId="4FB90DD9"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 xml:space="preserve">No OR </w:t>
            </w:r>
          </w:p>
        </w:tc>
        <w:tc>
          <w:tcPr>
            <w:tcW w:w="1243" w:type="dxa"/>
            <w:tcBorders>
              <w:bottom w:val="single" w:sz="4" w:space="0" w:color="auto"/>
            </w:tcBorders>
          </w:tcPr>
          <w:p w14:paraId="38A2E766" w14:textId="6DEDD33B"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92 (35.2%)</w:t>
            </w:r>
          </w:p>
        </w:tc>
        <w:tc>
          <w:tcPr>
            <w:tcW w:w="1244" w:type="dxa"/>
            <w:tcBorders>
              <w:bottom w:val="single" w:sz="4" w:space="0" w:color="auto"/>
            </w:tcBorders>
          </w:tcPr>
          <w:p w14:paraId="5C9418E8" w14:textId="64A02A70"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82 (49.4%)</w:t>
            </w:r>
          </w:p>
        </w:tc>
        <w:tc>
          <w:tcPr>
            <w:tcW w:w="1244" w:type="dxa"/>
            <w:tcBorders>
              <w:bottom w:val="single" w:sz="4" w:space="0" w:color="auto"/>
            </w:tcBorders>
          </w:tcPr>
          <w:p w14:paraId="388C68DA" w14:textId="7DCA7AD4"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108 (65.9%)</w:t>
            </w:r>
          </w:p>
        </w:tc>
        <w:tc>
          <w:tcPr>
            <w:tcW w:w="1244" w:type="dxa"/>
            <w:tcBorders>
              <w:bottom w:val="single" w:sz="4" w:space="0" w:color="auto"/>
            </w:tcBorders>
          </w:tcPr>
          <w:p w14:paraId="7D9F5499" w14:textId="204499D5"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(8.4%)</w:t>
            </w:r>
          </w:p>
        </w:tc>
        <w:tc>
          <w:tcPr>
            <w:tcW w:w="1244" w:type="dxa"/>
            <w:tcBorders>
              <w:bottom w:val="single" w:sz="4" w:space="0" w:color="auto"/>
            </w:tcBorders>
          </w:tcPr>
          <w:p w14:paraId="647D76E1" w14:textId="34FF23B3"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50 (51.5%)</w:t>
            </w:r>
          </w:p>
        </w:tc>
        <w:tc>
          <w:tcPr>
            <w:tcW w:w="1243" w:type="dxa"/>
            <w:tcBorders>
              <w:bottom w:val="single" w:sz="4" w:space="0" w:color="auto"/>
            </w:tcBorders>
          </w:tcPr>
          <w:p w14:paraId="3C4674F9" w14:textId="37AAF66E"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47 (52.2%)</w:t>
            </w:r>
          </w:p>
        </w:tc>
        <w:tc>
          <w:tcPr>
            <w:tcW w:w="1244" w:type="dxa"/>
            <w:tcBorders>
              <w:bottom w:val="single" w:sz="4" w:space="0" w:color="auto"/>
            </w:tcBorders>
          </w:tcPr>
          <w:p w14:paraId="7602491F" w14:textId="1AB6E177"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15 (20.8%)</w:t>
            </w:r>
          </w:p>
        </w:tc>
        <w:tc>
          <w:tcPr>
            <w:tcW w:w="1244" w:type="dxa"/>
            <w:tcBorders>
              <w:bottom w:val="single" w:sz="4" w:space="0" w:color="auto"/>
            </w:tcBorders>
          </w:tcPr>
          <w:p w14:paraId="50BC3434" w14:textId="5CB9D0FA"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 (14.5%)</w:t>
            </w:r>
          </w:p>
        </w:tc>
        <w:tc>
          <w:tcPr>
            <w:tcW w:w="1244" w:type="dxa"/>
            <w:tcBorders>
              <w:bottom w:val="single" w:sz="4" w:space="0" w:color="auto"/>
            </w:tcBorders>
          </w:tcPr>
          <w:p w14:paraId="5F2B982A" w14:textId="5E6074C7"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 (8.6%)</w:t>
            </w:r>
          </w:p>
        </w:tc>
        <w:tc>
          <w:tcPr>
            <w:tcW w:w="1244" w:type="dxa"/>
            <w:tcBorders>
              <w:bottom w:val="single" w:sz="4" w:space="0" w:color="auto"/>
            </w:tcBorders>
          </w:tcPr>
          <w:p w14:paraId="267964F7" w14:textId="04A29188" w:rsidR="00A50FB2" w:rsidRPr="00A0600F" w:rsidRDefault="00911596"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9 (30.0%)</w:t>
            </w:r>
          </w:p>
        </w:tc>
      </w:tr>
      <w:tr w:rsidR="00A50FB2" w:rsidRPr="00A0600F" w14:paraId="4795AB4D" w14:textId="77777777" w:rsidTr="00D5236E">
        <w:tc>
          <w:tcPr>
            <w:tcW w:w="1838" w:type="dxa"/>
            <w:tcBorders>
              <w:top w:val="single" w:sz="4" w:space="0" w:color="auto"/>
              <w:left w:val="single" w:sz="4" w:space="0" w:color="auto"/>
              <w:bottom w:val="single" w:sz="4" w:space="0" w:color="auto"/>
              <w:right w:val="single" w:sz="4" w:space="0" w:color="auto"/>
            </w:tcBorders>
          </w:tcPr>
          <w:p w14:paraId="3ACBCC24" w14:textId="7707BDFD" w:rsidR="00A50FB2" w:rsidRPr="00A0600F" w:rsidRDefault="00A50FB2" w:rsidP="00A50FB2">
            <w:pPr>
              <w:spacing w:line="360" w:lineRule="auto"/>
              <w:jc w:val="both"/>
              <w:rPr>
                <w:rFonts w:ascii="Times New Roman" w:hAnsi="Times New Roman" w:cs="Times New Roman"/>
                <w:sz w:val="18"/>
                <w:szCs w:val="18"/>
                <w:lang w:val="en-US"/>
              </w:rPr>
            </w:pPr>
            <w:r w:rsidRPr="00A0600F">
              <w:rPr>
                <w:rFonts w:ascii="Times New Roman" w:hAnsi="Times New Roman" w:cs="Times New Roman"/>
                <w:sz w:val="18"/>
                <w:szCs w:val="18"/>
                <w:lang w:val="en-US"/>
              </w:rPr>
              <w:t>TO achi</w:t>
            </w:r>
            <w:r w:rsidR="00967CFA" w:rsidRPr="00A0600F">
              <w:rPr>
                <w:rFonts w:ascii="Times New Roman" w:hAnsi="Times New Roman" w:cs="Times New Roman"/>
                <w:sz w:val="18"/>
                <w:szCs w:val="18"/>
                <w:lang w:val="en-US"/>
              </w:rPr>
              <w:t>e</w:t>
            </w:r>
            <w:r w:rsidRPr="00A0600F">
              <w:rPr>
                <w:rFonts w:ascii="Times New Roman" w:hAnsi="Times New Roman" w:cs="Times New Roman"/>
                <w:sz w:val="18"/>
                <w:szCs w:val="18"/>
                <w:lang w:val="en-US"/>
              </w:rPr>
              <w:t>vement</w:t>
            </w:r>
          </w:p>
        </w:tc>
        <w:tc>
          <w:tcPr>
            <w:tcW w:w="1243" w:type="dxa"/>
            <w:tcBorders>
              <w:top w:val="single" w:sz="4" w:space="0" w:color="auto"/>
              <w:left w:val="single" w:sz="4" w:space="0" w:color="auto"/>
              <w:bottom w:val="single" w:sz="4" w:space="0" w:color="auto"/>
              <w:right w:val="single" w:sz="4" w:space="0" w:color="auto"/>
            </w:tcBorders>
          </w:tcPr>
          <w:p w14:paraId="37636482" w14:textId="646A0066"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58 (22.2%)</w:t>
            </w:r>
          </w:p>
        </w:tc>
        <w:tc>
          <w:tcPr>
            <w:tcW w:w="1244" w:type="dxa"/>
            <w:tcBorders>
              <w:top w:val="single" w:sz="4" w:space="0" w:color="auto"/>
              <w:left w:val="single" w:sz="4" w:space="0" w:color="auto"/>
              <w:bottom w:val="single" w:sz="4" w:space="0" w:color="auto"/>
              <w:right w:val="single" w:sz="4" w:space="0" w:color="auto"/>
            </w:tcBorders>
          </w:tcPr>
          <w:p w14:paraId="7B13AA7C" w14:textId="5C358411"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48 (28.9%)</w:t>
            </w:r>
          </w:p>
        </w:tc>
        <w:tc>
          <w:tcPr>
            <w:tcW w:w="1244" w:type="dxa"/>
            <w:tcBorders>
              <w:top w:val="single" w:sz="4" w:space="0" w:color="auto"/>
              <w:left w:val="single" w:sz="4" w:space="0" w:color="auto"/>
              <w:bottom w:val="single" w:sz="4" w:space="0" w:color="auto"/>
              <w:right w:val="single" w:sz="4" w:space="0" w:color="auto"/>
            </w:tcBorders>
          </w:tcPr>
          <w:p w14:paraId="3C806064" w14:textId="2CD860EB"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14 (8.5%)</w:t>
            </w:r>
          </w:p>
        </w:tc>
        <w:tc>
          <w:tcPr>
            <w:tcW w:w="1244" w:type="dxa"/>
            <w:tcBorders>
              <w:top w:val="single" w:sz="4" w:space="0" w:color="auto"/>
              <w:left w:val="single" w:sz="4" w:space="0" w:color="auto"/>
              <w:bottom w:val="single" w:sz="4" w:space="0" w:color="auto"/>
              <w:right w:val="single" w:sz="4" w:space="0" w:color="auto"/>
            </w:tcBorders>
          </w:tcPr>
          <w:p w14:paraId="23FEB439" w14:textId="2FB210CA"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81 (52.6%)</w:t>
            </w:r>
          </w:p>
        </w:tc>
        <w:tc>
          <w:tcPr>
            <w:tcW w:w="1244" w:type="dxa"/>
            <w:tcBorders>
              <w:top w:val="single" w:sz="4" w:space="0" w:color="auto"/>
              <w:left w:val="single" w:sz="4" w:space="0" w:color="auto"/>
              <w:bottom w:val="single" w:sz="4" w:space="0" w:color="auto"/>
              <w:right w:val="single" w:sz="4" w:space="0" w:color="auto"/>
            </w:tcBorders>
          </w:tcPr>
          <w:p w14:paraId="7D54A4A7" w14:textId="6AAE4DBB"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19 (19.6%)</w:t>
            </w:r>
          </w:p>
        </w:tc>
        <w:tc>
          <w:tcPr>
            <w:tcW w:w="1243" w:type="dxa"/>
            <w:tcBorders>
              <w:top w:val="single" w:sz="4" w:space="0" w:color="auto"/>
              <w:left w:val="single" w:sz="4" w:space="0" w:color="auto"/>
              <w:bottom w:val="single" w:sz="4" w:space="0" w:color="auto"/>
              <w:right w:val="single" w:sz="4" w:space="0" w:color="auto"/>
            </w:tcBorders>
          </w:tcPr>
          <w:p w14:paraId="333D927B" w14:textId="3B6DFFBD"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27 (30.0%)</w:t>
            </w:r>
          </w:p>
        </w:tc>
        <w:tc>
          <w:tcPr>
            <w:tcW w:w="1244" w:type="dxa"/>
            <w:tcBorders>
              <w:top w:val="single" w:sz="4" w:space="0" w:color="auto"/>
              <w:left w:val="single" w:sz="4" w:space="0" w:color="auto"/>
              <w:bottom w:val="single" w:sz="4" w:space="0" w:color="auto"/>
              <w:right w:val="single" w:sz="4" w:space="0" w:color="auto"/>
            </w:tcBorders>
          </w:tcPr>
          <w:p w14:paraId="5C293D3E" w14:textId="6B82B81A" w:rsidR="00A50FB2" w:rsidRPr="00A0600F" w:rsidRDefault="0074324E"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37</w:t>
            </w:r>
            <w:r w:rsidR="00967CFA" w:rsidRPr="00A0600F">
              <w:rPr>
                <w:rFonts w:ascii="Times New Roman" w:hAnsi="Times New Roman" w:cs="Times New Roman"/>
                <w:sz w:val="18"/>
                <w:szCs w:val="18"/>
                <w:lang w:val="en-US"/>
              </w:rPr>
              <w:t xml:space="preserve"> (</w:t>
            </w:r>
            <w:r w:rsidRPr="00A0600F">
              <w:rPr>
                <w:rFonts w:ascii="Times New Roman" w:hAnsi="Times New Roman" w:cs="Times New Roman"/>
                <w:sz w:val="18"/>
                <w:szCs w:val="18"/>
                <w:lang w:val="en-US"/>
              </w:rPr>
              <w:t>51.4</w:t>
            </w:r>
            <w:r w:rsidR="00967CFA" w:rsidRPr="00A0600F">
              <w:rPr>
                <w:rFonts w:ascii="Times New Roman" w:hAnsi="Times New Roman" w:cs="Times New Roman"/>
                <w:sz w:val="18"/>
                <w:szCs w:val="18"/>
                <w:lang w:val="en-US"/>
              </w:rPr>
              <w:t>%)</w:t>
            </w:r>
          </w:p>
        </w:tc>
        <w:tc>
          <w:tcPr>
            <w:tcW w:w="1244" w:type="dxa"/>
            <w:tcBorders>
              <w:top w:val="single" w:sz="4" w:space="0" w:color="auto"/>
              <w:left w:val="single" w:sz="4" w:space="0" w:color="auto"/>
              <w:bottom w:val="single" w:sz="4" w:space="0" w:color="auto"/>
              <w:right w:val="single" w:sz="4" w:space="0" w:color="auto"/>
            </w:tcBorders>
          </w:tcPr>
          <w:p w14:paraId="351F5515" w14:textId="440B5185"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13 (23.6%)</w:t>
            </w:r>
          </w:p>
        </w:tc>
        <w:tc>
          <w:tcPr>
            <w:tcW w:w="1244" w:type="dxa"/>
            <w:tcBorders>
              <w:top w:val="single" w:sz="4" w:space="0" w:color="auto"/>
              <w:left w:val="single" w:sz="4" w:space="0" w:color="auto"/>
              <w:bottom w:val="single" w:sz="4" w:space="0" w:color="auto"/>
              <w:right w:val="single" w:sz="4" w:space="0" w:color="auto"/>
            </w:tcBorders>
          </w:tcPr>
          <w:p w14:paraId="0E0FCD24" w14:textId="453D0E9B"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17 (48.6%)</w:t>
            </w:r>
          </w:p>
        </w:tc>
        <w:tc>
          <w:tcPr>
            <w:tcW w:w="1244" w:type="dxa"/>
            <w:tcBorders>
              <w:top w:val="single" w:sz="4" w:space="0" w:color="auto"/>
              <w:left w:val="single" w:sz="4" w:space="0" w:color="auto"/>
              <w:bottom w:val="single" w:sz="4" w:space="0" w:color="auto"/>
              <w:right w:val="single" w:sz="4" w:space="0" w:color="auto"/>
            </w:tcBorders>
          </w:tcPr>
          <w:p w14:paraId="0F3D8EA3" w14:textId="4EF894D8" w:rsidR="00A50FB2" w:rsidRPr="00A0600F" w:rsidRDefault="00967CFA" w:rsidP="00A50FB2">
            <w:pPr>
              <w:spacing w:line="360" w:lineRule="auto"/>
              <w:jc w:val="center"/>
              <w:rPr>
                <w:rFonts w:ascii="Times New Roman" w:hAnsi="Times New Roman" w:cs="Times New Roman"/>
                <w:sz w:val="18"/>
                <w:szCs w:val="18"/>
                <w:lang w:val="en-US"/>
              </w:rPr>
            </w:pPr>
            <w:r w:rsidRPr="00A0600F">
              <w:rPr>
                <w:rFonts w:ascii="Times New Roman" w:hAnsi="Times New Roman" w:cs="Times New Roman"/>
                <w:sz w:val="18"/>
                <w:szCs w:val="18"/>
                <w:lang w:val="en-US"/>
              </w:rPr>
              <w:t>7 (23.3%)</w:t>
            </w:r>
          </w:p>
        </w:tc>
      </w:tr>
    </w:tbl>
    <w:p w14:paraId="63EC125C" w14:textId="2513B1EC" w:rsidR="00D5236E" w:rsidRDefault="00D5236E" w:rsidP="00290768">
      <w:pPr>
        <w:spacing w:line="360" w:lineRule="auto"/>
        <w:jc w:val="both"/>
        <w:rPr>
          <w:rFonts w:ascii="Times New Roman" w:hAnsi="Times New Roman" w:cs="Times New Roman"/>
          <w:sz w:val="24"/>
          <w:szCs w:val="24"/>
          <w:lang w:val="en-US"/>
        </w:rPr>
      </w:pPr>
    </w:p>
    <w:p w14:paraId="7F9D6FD1" w14:textId="77777777" w:rsidR="00D5236E" w:rsidRDefault="00D5236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D790E5" w14:textId="348B269B" w:rsidR="00D5236E" w:rsidRDefault="00D5236E" w:rsidP="00D5236E">
      <w:pPr>
        <w:spacing w:line="360" w:lineRule="auto"/>
        <w:jc w:val="both"/>
        <w:rPr>
          <w:rFonts w:ascii="Times New Roman" w:hAnsi="Times New Roman" w:cs="Times New Roman"/>
          <w:sz w:val="24"/>
          <w:szCs w:val="24"/>
          <w:lang w:val="en-US"/>
        </w:rPr>
      </w:pPr>
      <w:r w:rsidRPr="00A0600F">
        <w:rPr>
          <w:rFonts w:ascii="Times New Roman" w:hAnsi="Times New Roman" w:cs="Times New Roman"/>
          <w:b/>
          <w:bCs/>
          <w:sz w:val="24"/>
          <w:szCs w:val="24"/>
          <w:lang w:val="en-US"/>
        </w:rPr>
        <w:lastRenderedPageBreak/>
        <w:t xml:space="preserve">Supplementary Table </w:t>
      </w:r>
      <w:r>
        <w:rPr>
          <w:rFonts w:ascii="Times New Roman" w:hAnsi="Times New Roman" w:cs="Times New Roman"/>
          <w:b/>
          <w:bCs/>
          <w:sz w:val="24"/>
          <w:szCs w:val="24"/>
          <w:lang w:val="en-US"/>
        </w:rPr>
        <w:t>3</w:t>
      </w:r>
      <w:r w:rsidRPr="00A0600F">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Results of mixed-effect logistic regression of gender, ECOG, number and diameter of tumors in determine TO components.</w:t>
      </w:r>
    </w:p>
    <w:tbl>
      <w:tblPr>
        <w:tblStyle w:val="TableGrid"/>
        <w:tblW w:w="5000" w:type="pct"/>
        <w:tblLook w:val="04A0" w:firstRow="1" w:lastRow="0" w:firstColumn="1" w:lastColumn="0" w:noHBand="0" w:noVBand="1"/>
      </w:tblPr>
      <w:tblGrid>
        <w:gridCol w:w="2825"/>
        <w:gridCol w:w="1668"/>
        <w:gridCol w:w="1667"/>
        <w:gridCol w:w="1667"/>
        <w:gridCol w:w="1667"/>
        <w:gridCol w:w="2124"/>
        <w:gridCol w:w="2658"/>
      </w:tblGrid>
      <w:tr w:rsidR="004D2683" w:rsidRPr="00A0600F" w14:paraId="0AC32A24" w14:textId="77777777" w:rsidTr="004D2683">
        <w:tc>
          <w:tcPr>
            <w:tcW w:w="989" w:type="pct"/>
          </w:tcPr>
          <w:p w14:paraId="7AD4AAE5" w14:textId="77777777" w:rsidR="004D2683" w:rsidRPr="00A0600F" w:rsidRDefault="004D2683" w:rsidP="004D2683">
            <w:pPr>
              <w:spacing w:line="360" w:lineRule="auto"/>
              <w:jc w:val="both"/>
              <w:rPr>
                <w:rFonts w:ascii="Times New Roman" w:hAnsi="Times New Roman" w:cs="Times New Roman"/>
                <w:sz w:val="18"/>
                <w:szCs w:val="18"/>
                <w:lang w:val="en-US"/>
              </w:rPr>
            </w:pPr>
          </w:p>
        </w:tc>
        <w:tc>
          <w:tcPr>
            <w:tcW w:w="584" w:type="pct"/>
          </w:tcPr>
          <w:p w14:paraId="4BAD0947" w14:textId="0FB4BFBD"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PES (any grade)</w:t>
            </w:r>
          </w:p>
        </w:tc>
        <w:tc>
          <w:tcPr>
            <w:tcW w:w="584" w:type="pct"/>
          </w:tcPr>
          <w:p w14:paraId="560CA7B5" w14:textId="7418F18E" w:rsidR="004D2683"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Any adverse event</w:t>
            </w:r>
          </w:p>
        </w:tc>
        <w:tc>
          <w:tcPr>
            <w:tcW w:w="584" w:type="pct"/>
          </w:tcPr>
          <w:p w14:paraId="3E8AA8CA" w14:textId="7BF7C2CD" w:rsidR="004D2683"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Mortality</w:t>
            </w:r>
          </w:p>
        </w:tc>
        <w:tc>
          <w:tcPr>
            <w:tcW w:w="584" w:type="pct"/>
          </w:tcPr>
          <w:p w14:paraId="4849CCD2" w14:textId="5FAEF57D"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Prolonged LOS</w:t>
            </w:r>
          </w:p>
        </w:tc>
        <w:tc>
          <w:tcPr>
            <w:tcW w:w="744" w:type="pct"/>
          </w:tcPr>
          <w:p w14:paraId="23BD3458" w14:textId="4B86717F"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Readmission &lt;30 days</w:t>
            </w:r>
          </w:p>
        </w:tc>
        <w:tc>
          <w:tcPr>
            <w:tcW w:w="931" w:type="pct"/>
          </w:tcPr>
          <w:p w14:paraId="2C8DCD25" w14:textId="42EAE6EE"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Radiological Objective response</w:t>
            </w:r>
          </w:p>
        </w:tc>
      </w:tr>
      <w:tr w:rsidR="004D2683" w:rsidRPr="00A0600F" w14:paraId="653B91B3" w14:textId="77777777" w:rsidTr="004D2683">
        <w:tc>
          <w:tcPr>
            <w:tcW w:w="989" w:type="pct"/>
          </w:tcPr>
          <w:p w14:paraId="0DD8C9DC" w14:textId="77777777" w:rsidR="004D2683" w:rsidRDefault="004D2683" w:rsidP="004D2683">
            <w:pPr>
              <w:spacing w:line="360" w:lineRule="auto"/>
              <w:jc w:val="both"/>
              <w:rPr>
                <w:rFonts w:ascii="Times New Roman" w:hAnsi="Times New Roman" w:cs="Times New Roman"/>
                <w:sz w:val="18"/>
                <w:szCs w:val="18"/>
                <w:lang w:val="en-US"/>
              </w:rPr>
            </w:pPr>
          </w:p>
        </w:tc>
        <w:tc>
          <w:tcPr>
            <w:tcW w:w="584" w:type="pct"/>
          </w:tcPr>
          <w:p w14:paraId="50C4C766" w14:textId="2BABEB0D"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OR (95%C.I.)</w:t>
            </w:r>
          </w:p>
        </w:tc>
        <w:tc>
          <w:tcPr>
            <w:tcW w:w="584" w:type="pct"/>
          </w:tcPr>
          <w:p w14:paraId="31032A19" w14:textId="6AF93A2A" w:rsidR="004D2683" w:rsidRPr="006568FA" w:rsidRDefault="004D2683" w:rsidP="004D2683">
            <w:pPr>
              <w:spacing w:line="360" w:lineRule="auto"/>
              <w:jc w:val="center"/>
              <w:rPr>
                <w:rFonts w:ascii="Times New Roman" w:hAnsi="Times New Roman" w:cs="Times New Roman"/>
                <w:sz w:val="18"/>
                <w:szCs w:val="18"/>
                <w:lang w:val="en-US"/>
              </w:rPr>
            </w:pPr>
            <w:r w:rsidRPr="006568FA">
              <w:rPr>
                <w:rFonts w:ascii="Times New Roman" w:hAnsi="Times New Roman" w:cs="Times New Roman"/>
                <w:sz w:val="18"/>
                <w:szCs w:val="18"/>
                <w:lang w:val="en-US"/>
              </w:rPr>
              <w:t>OR (95%C.I.)</w:t>
            </w:r>
          </w:p>
        </w:tc>
        <w:tc>
          <w:tcPr>
            <w:tcW w:w="584" w:type="pct"/>
          </w:tcPr>
          <w:p w14:paraId="6172BDEC" w14:textId="76395BA9" w:rsidR="004D2683" w:rsidRPr="006568FA" w:rsidRDefault="004D2683" w:rsidP="004D2683">
            <w:pPr>
              <w:spacing w:line="360" w:lineRule="auto"/>
              <w:jc w:val="center"/>
              <w:rPr>
                <w:rFonts w:ascii="Times New Roman" w:hAnsi="Times New Roman" w:cs="Times New Roman"/>
                <w:sz w:val="18"/>
                <w:szCs w:val="18"/>
                <w:lang w:val="en-US"/>
              </w:rPr>
            </w:pPr>
            <w:r w:rsidRPr="006568FA">
              <w:rPr>
                <w:rFonts w:ascii="Times New Roman" w:hAnsi="Times New Roman" w:cs="Times New Roman"/>
                <w:sz w:val="18"/>
                <w:szCs w:val="18"/>
                <w:lang w:val="en-US"/>
              </w:rPr>
              <w:t>OR (95%C.I.)</w:t>
            </w:r>
          </w:p>
        </w:tc>
        <w:tc>
          <w:tcPr>
            <w:tcW w:w="584" w:type="pct"/>
          </w:tcPr>
          <w:p w14:paraId="28228306" w14:textId="687A25A5" w:rsidR="004D2683" w:rsidRPr="00A0600F" w:rsidRDefault="004D2683" w:rsidP="004D2683">
            <w:pPr>
              <w:spacing w:line="360" w:lineRule="auto"/>
              <w:jc w:val="center"/>
              <w:rPr>
                <w:rFonts w:ascii="Times New Roman" w:hAnsi="Times New Roman" w:cs="Times New Roman"/>
                <w:sz w:val="18"/>
                <w:szCs w:val="18"/>
                <w:lang w:val="en-US"/>
              </w:rPr>
            </w:pPr>
            <w:r w:rsidRPr="006568FA">
              <w:rPr>
                <w:rFonts w:ascii="Times New Roman" w:hAnsi="Times New Roman" w:cs="Times New Roman"/>
                <w:sz w:val="18"/>
                <w:szCs w:val="18"/>
                <w:lang w:val="en-US"/>
              </w:rPr>
              <w:t>OR (95%C.I.)</w:t>
            </w:r>
          </w:p>
        </w:tc>
        <w:tc>
          <w:tcPr>
            <w:tcW w:w="744" w:type="pct"/>
          </w:tcPr>
          <w:p w14:paraId="7683A240" w14:textId="1F368EAA" w:rsidR="004D2683" w:rsidRPr="00A0600F" w:rsidRDefault="004D2683" w:rsidP="004D2683">
            <w:pPr>
              <w:spacing w:line="360" w:lineRule="auto"/>
              <w:jc w:val="center"/>
              <w:rPr>
                <w:rFonts w:ascii="Times New Roman" w:hAnsi="Times New Roman" w:cs="Times New Roman"/>
                <w:sz w:val="18"/>
                <w:szCs w:val="18"/>
                <w:lang w:val="en-US"/>
              </w:rPr>
            </w:pPr>
            <w:r w:rsidRPr="006568FA">
              <w:rPr>
                <w:rFonts w:ascii="Times New Roman" w:hAnsi="Times New Roman" w:cs="Times New Roman"/>
                <w:sz w:val="18"/>
                <w:szCs w:val="18"/>
                <w:lang w:val="en-US"/>
              </w:rPr>
              <w:t>OR (95%C.I.)</w:t>
            </w:r>
          </w:p>
        </w:tc>
        <w:tc>
          <w:tcPr>
            <w:tcW w:w="931" w:type="pct"/>
          </w:tcPr>
          <w:p w14:paraId="32F467B6" w14:textId="0B0BE22F" w:rsidR="004D2683" w:rsidRPr="00A0600F" w:rsidRDefault="004D2683" w:rsidP="004D2683">
            <w:pPr>
              <w:spacing w:line="360" w:lineRule="auto"/>
              <w:jc w:val="center"/>
              <w:rPr>
                <w:rFonts w:ascii="Times New Roman" w:hAnsi="Times New Roman" w:cs="Times New Roman"/>
                <w:sz w:val="18"/>
                <w:szCs w:val="18"/>
                <w:lang w:val="en-US"/>
              </w:rPr>
            </w:pPr>
            <w:r w:rsidRPr="006568FA">
              <w:rPr>
                <w:rFonts w:ascii="Times New Roman" w:hAnsi="Times New Roman" w:cs="Times New Roman"/>
                <w:sz w:val="18"/>
                <w:szCs w:val="18"/>
                <w:lang w:val="en-US"/>
              </w:rPr>
              <w:t>OR (95%C.I.)</w:t>
            </w:r>
          </w:p>
        </w:tc>
      </w:tr>
      <w:tr w:rsidR="004D2683" w:rsidRPr="00A0600F" w14:paraId="017343E7" w14:textId="77777777" w:rsidTr="004D2683">
        <w:tc>
          <w:tcPr>
            <w:tcW w:w="989" w:type="pct"/>
          </w:tcPr>
          <w:p w14:paraId="7C34511C" w14:textId="32C195CE" w:rsidR="004D2683" w:rsidRPr="00A0600F" w:rsidRDefault="004D2683" w:rsidP="004D2683">
            <w:pPr>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Female</w:t>
            </w:r>
          </w:p>
        </w:tc>
        <w:tc>
          <w:tcPr>
            <w:tcW w:w="584" w:type="pct"/>
          </w:tcPr>
          <w:p w14:paraId="7E189B8D" w14:textId="5015401A"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1.67 (1.17 – 2.38)</w:t>
            </w:r>
          </w:p>
        </w:tc>
        <w:tc>
          <w:tcPr>
            <w:tcW w:w="584" w:type="pct"/>
          </w:tcPr>
          <w:p w14:paraId="6244987B" w14:textId="0241D034"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1.94 (1.35 – 2.77)</w:t>
            </w:r>
          </w:p>
        </w:tc>
        <w:tc>
          <w:tcPr>
            <w:tcW w:w="584" w:type="pct"/>
          </w:tcPr>
          <w:p w14:paraId="7C9AA3BC" w14:textId="44A0C40A"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0.95 (0.31 – 2.89)</w:t>
            </w:r>
          </w:p>
        </w:tc>
        <w:tc>
          <w:tcPr>
            <w:tcW w:w="584" w:type="pct"/>
          </w:tcPr>
          <w:p w14:paraId="11145E25" w14:textId="1062F28E"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1.80 (1.21 – 2.59)</w:t>
            </w:r>
          </w:p>
        </w:tc>
        <w:tc>
          <w:tcPr>
            <w:tcW w:w="744" w:type="pct"/>
          </w:tcPr>
          <w:p w14:paraId="32C98E25" w14:textId="62C73FB1"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0.92 (0.46 – 1.83)</w:t>
            </w:r>
          </w:p>
        </w:tc>
        <w:tc>
          <w:tcPr>
            <w:tcW w:w="931" w:type="pct"/>
          </w:tcPr>
          <w:p w14:paraId="795EFCDA" w14:textId="362E7012"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0.84 (0.89 – 1.18)</w:t>
            </w:r>
          </w:p>
        </w:tc>
      </w:tr>
      <w:tr w:rsidR="004D2683" w:rsidRPr="00A0600F" w14:paraId="4FB9EA0D" w14:textId="77777777" w:rsidTr="004D2683">
        <w:tc>
          <w:tcPr>
            <w:tcW w:w="989" w:type="pct"/>
          </w:tcPr>
          <w:p w14:paraId="3E00ACE4" w14:textId="044440B7" w:rsidR="004D2683" w:rsidRPr="00A0600F" w:rsidRDefault="004D2683" w:rsidP="004D2683">
            <w:pPr>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ECOG PS1</w:t>
            </w:r>
          </w:p>
        </w:tc>
        <w:tc>
          <w:tcPr>
            <w:tcW w:w="584" w:type="pct"/>
          </w:tcPr>
          <w:p w14:paraId="3AF5749B" w14:textId="1D6A3836"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1.36 (0.95 – 1.97)</w:t>
            </w:r>
          </w:p>
        </w:tc>
        <w:tc>
          <w:tcPr>
            <w:tcW w:w="584" w:type="pct"/>
          </w:tcPr>
          <w:p w14:paraId="3346CCB3" w14:textId="0315C78F"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1.51 (1.08 – 2.11)</w:t>
            </w:r>
          </w:p>
        </w:tc>
        <w:tc>
          <w:tcPr>
            <w:tcW w:w="584" w:type="pct"/>
          </w:tcPr>
          <w:p w14:paraId="3E27AD85" w14:textId="28C7DF8E"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3.41 (1.37 – 8.47)</w:t>
            </w:r>
          </w:p>
        </w:tc>
        <w:tc>
          <w:tcPr>
            <w:tcW w:w="584" w:type="pct"/>
          </w:tcPr>
          <w:p w14:paraId="75873213" w14:textId="332EB120"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1.73 (1.17 – 2.54)</w:t>
            </w:r>
          </w:p>
        </w:tc>
        <w:tc>
          <w:tcPr>
            <w:tcW w:w="744" w:type="pct"/>
          </w:tcPr>
          <w:p w14:paraId="49DE83CA" w14:textId="528FF123"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1.72 (0.97 – 3.04)</w:t>
            </w:r>
          </w:p>
        </w:tc>
        <w:tc>
          <w:tcPr>
            <w:tcW w:w="931" w:type="pct"/>
          </w:tcPr>
          <w:p w14:paraId="7872B4B8" w14:textId="51EDB176"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0.83 (0.60 – 1.15)</w:t>
            </w:r>
          </w:p>
        </w:tc>
      </w:tr>
      <w:tr w:rsidR="004D2683" w:rsidRPr="00A0600F" w14:paraId="76AB3B9B" w14:textId="77777777" w:rsidTr="004D2683">
        <w:tc>
          <w:tcPr>
            <w:tcW w:w="989" w:type="pct"/>
          </w:tcPr>
          <w:p w14:paraId="2A54CF76" w14:textId="7BD76CC4" w:rsidR="004D2683" w:rsidRPr="00A0600F" w:rsidRDefault="004D2683" w:rsidP="004D2683">
            <w:pPr>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More than 3 lesions</w:t>
            </w:r>
          </w:p>
        </w:tc>
        <w:tc>
          <w:tcPr>
            <w:tcW w:w="584" w:type="pct"/>
          </w:tcPr>
          <w:p w14:paraId="12A7BA6F" w14:textId="6611B6CC"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1.86 (1.28 – 2.69)</w:t>
            </w:r>
          </w:p>
        </w:tc>
        <w:tc>
          <w:tcPr>
            <w:tcW w:w="584" w:type="pct"/>
          </w:tcPr>
          <w:p w14:paraId="7B9A2F15" w14:textId="460A36BD"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2.36 (1.61 – 3.43)</w:t>
            </w:r>
          </w:p>
        </w:tc>
        <w:tc>
          <w:tcPr>
            <w:tcW w:w="584" w:type="pct"/>
          </w:tcPr>
          <w:p w14:paraId="650D3DED" w14:textId="1146AD35"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0.77 (0.22 – 1.22)</w:t>
            </w:r>
          </w:p>
        </w:tc>
        <w:tc>
          <w:tcPr>
            <w:tcW w:w="584" w:type="pct"/>
          </w:tcPr>
          <w:p w14:paraId="47A802A0" w14:textId="3CC52806"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0.61 (0.38 – 0.96)</w:t>
            </w:r>
          </w:p>
        </w:tc>
        <w:tc>
          <w:tcPr>
            <w:tcW w:w="744" w:type="pct"/>
          </w:tcPr>
          <w:p w14:paraId="303C1332" w14:textId="113796F2"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1.28 (0.66 – 2.48)</w:t>
            </w:r>
          </w:p>
        </w:tc>
        <w:tc>
          <w:tcPr>
            <w:tcW w:w="931" w:type="pct"/>
          </w:tcPr>
          <w:p w14:paraId="0BB9362A" w14:textId="52344812"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0.39 (0.27 – 0.55)</w:t>
            </w:r>
          </w:p>
        </w:tc>
      </w:tr>
      <w:tr w:rsidR="004D2683" w:rsidRPr="00A0600F" w14:paraId="756236E5" w14:textId="77777777" w:rsidTr="004D2683">
        <w:tc>
          <w:tcPr>
            <w:tcW w:w="989" w:type="pct"/>
          </w:tcPr>
          <w:p w14:paraId="221A9595" w14:textId="47B18A7B" w:rsidR="004D2683" w:rsidRPr="00A0600F" w:rsidRDefault="004D2683" w:rsidP="004D2683">
            <w:pPr>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Largest tumor diameter (per cm)</w:t>
            </w:r>
          </w:p>
        </w:tc>
        <w:tc>
          <w:tcPr>
            <w:tcW w:w="584" w:type="pct"/>
          </w:tcPr>
          <w:p w14:paraId="70E93ABC" w14:textId="444EAE4D"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1.19 (1.12 – 1.26)</w:t>
            </w:r>
          </w:p>
        </w:tc>
        <w:tc>
          <w:tcPr>
            <w:tcW w:w="584" w:type="pct"/>
          </w:tcPr>
          <w:p w14:paraId="4ACD6D8C" w14:textId="47AFB26F"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1.20 (1.13 – 1.28)</w:t>
            </w:r>
          </w:p>
        </w:tc>
        <w:tc>
          <w:tcPr>
            <w:tcW w:w="584" w:type="pct"/>
          </w:tcPr>
          <w:p w14:paraId="45F07770" w14:textId="30D7DDF4" w:rsidR="004D2683" w:rsidRPr="00A0600F" w:rsidRDefault="004D2683"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1.08 (0.96 – 1.21)</w:t>
            </w:r>
          </w:p>
        </w:tc>
        <w:tc>
          <w:tcPr>
            <w:tcW w:w="584" w:type="pct"/>
          </w:tcPr>
          <w:p w14:paraId="3E7F34AF" w14:textId="4AA1A0A2"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1.09 (1.03 – 1.16)</w:t>
            </w:r>
          </w:p>
        </w:tc>
        <w:tc>
          <w:tcPr>
            <w:tcW w:w="744" w:type="pct"/>
          </w:tcPr>
          <w:p w14:paraId="4AF0698A" w14:textId="77AB6265"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0.99 (0.90 – 1.09)</w:t>
            </w:r>
          </w:p>
        </w:tc>
        <w:tc>
          <w:tcPr>
            <w:tcW w:w="931" w:type="pct"/>
          </w:tcPr>
          <w:p w14:paraId="040D9FDD" w14:textId="225BFE8E" w:rsidR="004D2683" w:rsidRPr="00A0600F" w:rsidRDefault="003C50D8" w:rsidP="004D2683">
            <w:pPr>
              <w:spacing w:line="36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0.89 (0.84 – 0.94)</w:t>
            </w:r>
          </w:p>
        </w:tc>
      </w:tr>
    </w:tbl>
    <w:p w14:paraId="5954CE11" w14:textId="77777777" w:rsidR="00D5236E" w:rsidRPr="00A0600F" w:rsidRDefault="00D5236E" w:rsidP="00D5236E">
      <w:pPr>
        <w:spacing w:line="360" w:lineRule="auto"/>
        <w:jc w:val="both"/>
        <w:rPr>
          <w:rFonts w:ascii="Times New Roman" w:hAnsi="Times New Roman" w:cs="Times New Roman"/>
          <w:sz w:val="24"/>
          <w:szCs w:val="24"/>
          <w:lang w:val="en-US"/>
        </w:rPr>
      </w:pPr>
    </w:p>
    <w:p w14:paraId="2705D045" w14:textId="2B5E615D" w:rsidR="00EF5D8F" w:rsidRDefault="00EF5D8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EFA0B5" w14:textId="77777777" w:rsidR="00EF5D8F" w:rsidRDefault="00EF5D8F" w:rsidP="00290768">
      <w:pPr>
        <w:spacing w:line="360" w:lineRule="auto"/>
        <w:jc w:val="both"/>
        <w:rPr>
          <w:rFonts w:ascii="Times New Roman" w:hAnsi="Times New Roman" w:cs="Times New Roman"/>
          <w:sz w:val="24"/>
          <w:szCs w:val="24"/>
          <w:lang w:val="en-US"/>
        </w:rPr>
        <w:sectPr w:rsidR="00EF5D8F" w:rsidSect="00EA03C1">
          <w:pgSz w:w="16838" w:h="11906" w:orient="landscape"/>
          <w:pgMar w:top="1134" w:right="1418" w:bottom="1134" w:left="1134" w:header="709" w:footer="709" w:gutter="0"/>
          <w:cols w:space="708"/>
          <w:docGrid w:linePitch="360"/>
        </w:sectPr>
      </w:pPr>
    </w:p>
    <w:p w14:paraId="6ABD5EC3" w14:textId="621F665F" w:rsidR="0077312B" w:rsidRDefault="0077312B">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Supplementary Table 4. </w:t>
      </w:r>
      <w:r>
        <w:rPr>
          <w:rFonts w:ascii="Times New Roman" w:hAnsi="Times New Roman" w:cs="Times New Roman"/>
          <w:sz w:val="24"/>
          <w:szCs w:val="24"/>
          <w:lang w:val="en-US"/>
        </w:rPr>
        <w:t xml:space="preserve">Instruction to compute </w:t>
      </w:r>
      <w:r w:rsidR="009451BD">
        <w:rPr>
          <w:rFonts w:ascii="Times New Roman" w:hAnsi="Times New Roman" w:cs="Times New Roman"/>
          <w:sz w:val="24"/>
          <w:szCs w:val="24"/>
          <w:lang w:val="en-US"/>
        </w:rPr>
        <w:t xml:space="preserve">the </w:t>
      </w:r>
      <w:r>
        <w:rPr>
          <w:rFonts w:ascii="Times New Roman" w:hAnsi="Times New Roman" w:cs="Times New Roman"/>
          <w:sz w:val="24"/>
          <w:szCs w:val="24"/>
          <w:lang w:val="en-US"/>
        </w:rPr>
        <w:t>comparison between an external center and the present risk-adjusted analysis.</w:t>
      </w:r>
    </w:p>
    <w:tbl>
      <w:tblPr>
        <w:tblStyle w:val="TableGrid"/>
        <w:tblW w:w="0" w:type="auto"/>
        <w:tblLook w:val="04A0" w:firstRow="1" w:lastRow="0" w:firstColumn="1" w:lastColumn="0" w:noHBand="0" w:noVBand="1"/>
      </w:tblPr>
      <w:tblGrid>
        <w:gridCol w:w="9628"/>
      </w:tblGrid>
      <w:tr w:rsidR="0077312B" w:rsidRPr="0077312B" w14:paraId="6D59269F" w14:textId="77777777" w:rsidTr="0077312B">
        <w:tc>
          <w:tcPr>
            <w:tcW w:w="9628" w:type="dxa"/>
          </w:tcPr>
          <w:p w14:paraId="46DF1E90" w14:textId="3D0DEBA4" w:rsidR="0077312B" w:rsidRPr="0077312B" w:rsidRDefault="0077312B" w:rsidP="0077312B">
            <w:pPr>
              <w:spacing w:before="120" w:line="360" w:lineRule="auto"/>
              <w:ind w:left="360"/>
              <w:jc w:val="both"/>
              <w:rPr>
                <w:rFonts w:ascii="Times New Roman" w:hAnsi="Times New Roman" w:cs="Times New Roman"/>
                <w:b/>
                <w:bCs/>
                <w:lang w:val="en-US"/>
              </w:rPr>
            </w:pPr>
            <w:r w:rsidRPr="0077312B">
              <w:rPr>
                <w:rFonts w:ascii="Times New Roman" w:hAnsi="Times New Roman" w:cs="Times New Roman"/>
                <w:b/>
                <w:bCs/>
                <w:lang w:val="en-US"/>
              </w:rPr>
              <w:t xml:space="preserve">STEP 1. </w:t>
            </w:r>
            <w:r>
              <w:rPr>
                <w:rFonts w:ascii="Times New Roman" w:hAnsi="Times New Roman" w:cs="Times New Roman"/>
                <w:b/>
                <w:bCs/>
                <w:lang w:val="en-US"/>
              </w:rPr>
              <w:t>Calculation of Expected Probabilities</w:t>
            </w:r>
          </w:p>
          <w:p w14:paraId="67E2A895" w14:textId="197E5CC0" w:rsidR="0077312B" w:rsidRPr="0077312B" w:rsidRDefault="0077312B" w:rsidP="0077312B">
            <w:pPr>
              <w:pStyle w:val="ListParagraph"/>
              <w:numPr>
                <w:ilvl w:val="0"/>
                <w:numId w:val="9"/>
              </w:numPr>
              <w:spacing w:before="120" w:line="360" w:lineRule="auto"/>
              <w:jc w:val="both"/>
              <w:rPr>
                <w:rFonts w:ascii="Times New Roman" w:hAnsi="Times New Roman" w:cs="Times New Roman"/>
                <w:lang w:val="en-US"/>
              </w:rPr>
            </w:pPr>
            <w:r w:rsidRPr="0077312B">
              <w:rPr>
                <w:rFonts w:ascii="Times New Roman" w:hAnsi="Times New Roman" w:cs="Times New Roman"/>
                <w:lang w:val="en-US"/>
              </w:rPr>
              <w:t>Compute the linear predictor of the fixed part of the model:</w:t>
            </w:r>
          </w:p>
          <w:p w14:paraId="4C360808" w14:textId="744C882D" w:rsidR="0077312B" w:rsidRDefault="0077312B" w:rsidP="0077312B">
            <w:pPr>
              <w:pStyle w:val="ListParagraph"/>
              <w:spacing w:line="360" w:lineRule="auto"/>
              <w:jc w:val="both"/>
              <w:rPr>
                <w:rFonts w:ascii="Times New Roman" w:hAnsi="Times New Roman" w:cs="Times New Roman"/>
                <w:lang w:val="en-US"/>
              </w:rPr>
            </w:pPr>
            <w:proofErr w:type="spellStart"/>
            <w:r w:rsidRPr="0077312B">
              <w:rPr>
                <w:rFonts w:ascii="Times New Roman" w:hAnsi="Times New Roman" w:cs="Times New Roman"/>
                <w:lang w:val="en-US"/>
              </w:rPr>
              <w:t>xb</w:t>
            </w:r>
            <w:proofErr w:type="spellEnd"/>
            <w:r w:rsidRPr="0077312B">
              <w:rPr>
                <w:rFonts w:ascii="Times New Roman" w:hAnsi="Times New Roman" w:cs="Times New Roman"/>
                <w:lang w:val="en-US"/>
              </w:rPr>
              <w:t xml:space="preserve"> = 1.916 if male + 0.634 if ECOG-PS of 1 + 0.441 if &gt;3 lesions + 0.800 per cm of largest diameter;</w:t>
            </w:r>
          </w:p>
          <w:p w14:paraId="37110CED" w14:textId="51875DD6" w:rsidR="009451BD" w:rsidRPr="0077312B" w:rsidRDefault="009451BD" w:rsidP="0077312B">
            <w:pPr>
              <w:pStyle w:val="ListParagraph"/>
              <w:spacing w:line="360" w:lineRule="auto"/>
              <w:jc w:val="both"/>
              <w:rPr>
                <w:rFonts w:ascii="Times New Roman" w:hAnsi="Times New Roman" w:cs="Times New Roman"/>
                <w:lang w:val="en-US"/>
              </w:rPr>
            </w:pPr>
            <w:r>
              <w:rPr>
                <w:rFonts w:ascii="Times New Roman" w:hAnsi="Times New Roman" w:cs="Times New Roman"/>
                <w:lang w:val="en-US"/>
              </w:rPr>
              <w:t>In this formula, data are entered as proportions (male, ECOG-PS1 and lesions&gt;3) and mean (tumor diameter) for the external cohort.</w:t>
            </w:r>
          </w:p>
          <w:p w14:paraId="4B5D3445" w14:textId="1D8BD379" w:rsidR="0077312B" w:rsidRPr="0077312B" w:rsidRDefault="0077312B" w:rsidP="0077312B">
            <w:pPr>
              <w:pStyle w:val="ListParagraph"/>
              <w:numPr>
                <w:ilvl w:val="0"/>
                <w:numId w:val="9"/>
              </w:numPr>
              <w:rPr>
                <w:rFonts w:ascii="Times New Roman" w:hAnsi="Times New Roman" w:cs="Times New Roman"/>
                <w:lang w:val="en-US"/>
              </w:rPr>
            </w:pPr>
            <w:r w:rsidRPr="0077312B">
              <w:rPr>
                <w:rFonts w:ascii="Times New Roman" w:hAnsi="Times New Roman" w:cs="Times New Roman"/>
                <w:lang w:val="en-US"/>
              </w:rPr>
              <w:t xml:space="preserve">Add the following values to solve the </w:t>
            </w:r>
            <w:r w:rsidR="00DE0383">
              <w:rPr>
                <w:rFonts w:ascii="Times New Roman" w:hAnsi="Times New Roman" w:cs="Times New Roman"/>
                <w:lang w:val="en-US"/>
              </w:rPr>
              <w:t xml:space="preserve">subsequent </w:t>
            </w:r>
            <w:r w:rsidRPr="0077312B">
              <w:rPr>
                <w:rFonts w:ascii="Times New Roman" w:hAnsi="Times New Roman" w:cs="Times New Roman"/>
                <w:lang w:val="en-US"/>
              </w:rPr>
              <w:t>formula:</w:t>
            </w:r>
          </w:p>
          <w:tbl>
            <w:tblPr>
              <w:tblW w:w="3748" w:type="dxa"/>
              <w:tblInd w:w="1422" w:type="dxa"/>
              <w:tblCellMar>
                <w:left w:w="70" w:type="dxa"/>
                <w:right w:w="70" w:type="dxa"/>
              </w:tblCellMar>
              <w:tblLook w:val="04A0" w:firstRow="1" w:lastRow="0" w:firstColumn="1" w:lastColumn="0" w:noHBand="0" w:noVBand="1"/>
            </w:tblPr>
            <w:tblGrid>
              <w:gridCol w:w="868"/>
              <w:gridCol w:w="2410"/>
              <w:gridCol w:w="470"/>
            </w:tblGrid>
            <w:tr w:rsidR="00DE0383" w:rsidRPr="0077312B" w14:paraId="7D1E4F4F" w14:textId="77777777" w:rsidTr="00DE0383">
              <w:trPr>
                <w:trHeight w:val="285"/>
              </w:trPr>
              <w:tc>
                <w:tcPr>
                  <w:tcW w:w="868" w:type="dxa"/>
                  <w:tcBorders>
                    <w:top w:val="nil"/>
                    <w:left w:val="nil"/>
                    <w:bottom w:val="nil"/>
                    <w:right w:val="nil"/>
                  </w:tcBorders>
                  <w:shd w:val="clear" w:color="auto" w:fill="auto"/>
                  <w:noWrap/>
                  <w:vAlign w:val="bottom"/>
                </w:tcPr>
                <w:p w14:paraId="38DB1F0C" w14:textId="4DFD9871"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Center</w:t>
                  </w:r>
                </w:p>
              </w:tc>
              <w:tc>
                <w:tcPr>
                  <w:tcW w:w="2410" w:type="dxa"/>
                  <w:tcBorders>
                    <w:top w:val="nil"/>
                    <w:left w:val="nil"/>
                    <w:bottom w:val="nil"/>
                    <w:right w:val="nil"/>
                  </w:tcBorders>
                  <w:shd w:val="clear" w:color="auto" w:fill="auto"/>
                  <w:noWrap/>
                  <w:vAlign w:val="bottom"/>
                </w:tcPr>
                <w:p w14:paraId="4942D45E" w14:textId="48DAF596"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Random effect values</w:t>
                  </w:r>
                </w:p>
              </w:tc>
              <w:tc>
                <w:tcPr>
                  <w:tcW w:w="470" w:type="dxa"/>
                  <w:tcBorders>
                    <w:top w:val="nil"/>
                    <w:left w:val="nil"/>
                    <w:bottom w:val="nil"/>
                    <w:right w:val="nil"/>
                  </w:tcBorders>
                </w:tcPr>
                <w:p w14:paraId="23D9FF27" w14:textId="4E1BAF56"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n</w:t>
                  </w:r>
                </w:p>
              </w:tc>
            </w:tr>
            <w:tr w:rsidR="00DE0383" w:rsidRPr="0077312B" w14:paraId="533D1419" w14:textId="6449AE66" w:rsidTr="00DE0383">
              <w:trPr>
                <w:trHeight w:val="285"/>
              </w:trPr>
              <w:tc>
                <w:tcPr>
                  <w:tcW w:w="868" w:type="dxa"/>
                  <w:tcBorders>
                    <w:top w:val="nil"/>
                    <w:left w:val="nil"/>
                    <w:bottom w:val="nil"/>
                    <w:right w:val="nil"/>
                  </w:tcBorders>
                  <w:shd w:val="clear" w:color="auto" w:fill="auto"/>
                  <w:noWrap/>
                  <w:vAlign w:val="bottom"/>
                  <w:hideMark/>
                </w:tcPr>
                <w:p w14:paraId="177628DF" w14:textId="5407486E"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#1</w:t>
                  </w:r>
                </w:p>
              </w:tc>
              <w:tc>
                <w:tcPr>
                  <w:tcW w:w="2410" w:type="dxa"/>
                  <w:tcBorders>
                    <w:top w:val="nil"/>
                    <w:left w:val="nil"/>
                    <w:bottom w:val="nil"/>
                    <w:right w:val="nil"/>
                  </w:tcBorders>
                  <w:shd w:val="clear" w:color="auto" w:fill="auto"/>
                  <w:noWrap/>
                  <w:vAlign w:val="bottom"/>
                  <w:hideMark/>
                </w:tcPr>
                <w:p w14:paraId="2B0AAA89"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-0,81488</w:t>
                  </w:r>
                </w:p>
              </w:tc>
              <w:tc>
                <w:tcPr>
                  <w:tcW w:w="470" w:type="dxa"/>
                  <w:tcBorders>
                    <w:top w:val="nil"/>
                    <w:left w:val="nil"/>
                    <w:bottom w:val="nil"/>
                    <w:right w:val="nil"/>
                  </w:tcBorders>
                </w:tcPr>
                <w:p w14:paraId="79B46614" w14:textId="1D34C56A"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55</w:t>
                  </w:r>
                </w:p>
              </w:tc>
            </w:tr>
            <w:tr w:rsidR="00DE0383" w:rsidRPr="0077312B" w14:paraId="390FF3AD" w14:textId="18BD041B" w:rsidTr="00DE0383">
              <w:trPr>
                <w:trHeight w:val="285"/>
              </w:trPr>
              <w:tc>
                <w:tcPr>
                  <w:tcW w:w="868" w:type="dxa"/>
                  <w:tcBorders>
                    <w:top w:val="nil"/>
                    <w:left w:val="nil"/>
                    <w:bottom w:val="nil"/>
                    <w:right w:val="nil"/>
                  </w:tcBorders>
                  <w:shd w:val="clear" w:color="auto" w:fill="auto"/>
                  <w:noWrap/>
                  <w:vAlign w:val="bottom"/>
                  <w:hideMark/>
                </w:tcPr>
                <w:p w14:paraId="6938E41D" w14:textId="36727CD4"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#2</w:t>
                  </w:r>
                </w:p>
              </w:tc>
              <w:tc>
                <w:tcPr>
                  <w:tcW w:w="2410" w:type="dxa"/>
                  <w:tcBorders>
                    <w:top w:val="nil"/>
                    <w:left w:val="nil"/>
                    <w:bottom w:val="nil"/>
                    <w:right w:val="nil"/>
                  </w:tcBorders>
                  <w:shd w:val="clear" w:color="auto" w:fill="auto"/>
                  <w:noWrap/>
                  <w:vAlign w:val="bottom"/>
                  <w:hideMark/>
                </w:tcPr>
                <w:p w14:paraId="46940EFE"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-1,61516</w:t>
                  </w:r>
                </w:p>
              </w:tc>
              <w:tc>
                <w:tcPr>
                  <w:tcW w:w="470" w:type="dxa"/>
                  <w:tcBorders>
                    <w:top w:val="nil"/>
                    <w:left w:val="nil"/>
                    <w:bottom w:val="nil"/>
                    <w:right w:val="nil"/>
                  </w:tcBorders>
                </w:tcPr>
                <w:p w14:paraId="26533695" w14:textId="0413C4F0"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164</w:t>
                  </w:r>
                </w:p>
              </w:tc>
            </w:tr>
            <w:tr w:rsidR="00DE0383" w:rsidRPr="0077312B" w14:paraId="43FEE282" w14:textId="6161C380" w:rsidTr="00DE0383">
              <w:trPr>
                <w:trHeight w:val="285"/>
              </w:trPr>
              <w:tc>
                <w:tcPr>
                  <w:tcW w:w="868" w:type="dxa"/>
                  <w:tcBorders>
                    <w:top w:val="nil"/>
                    <w:left w:val="nil"/>
                    <w:bottom w:val="nil"/>
                    <w:right w:val="nil"/>
                  </w:tcBorders>
                  <w:shd w:val="clear" w:color="auto" w:fill="auto"/>
                  <w:noWrap/>
                  <w:vAlign w:val="bottom"/>
                  <w:hideMark/>
                </w:tcPr>
                <w:p w14:paraId="3403FFAD" w14:textId="612B94D3"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#3</w:t>
                  </w:r>
                </w:p>
              </w:tc>
              <w:tc>
                <w:tcPr>
                  <w:tcW w:w="2410" w:type="dxa"/>
                  <w:tcBorders>
                    <w:top w:val="nil"/>
                    <w:left w:val="nil"/>
                    <w:bottom w:val="nil"/>
                    <w:right w:val="nil"/>
                  </w:tcBorders>
                  <w:shd w:val="clear" w:color="auto" w:fill="auto"/>
                  <w:noWrap/>
                  <w:vAlign w:val="bottom"/>
                  <w:hideMark/>
                </w:tcPr>
                <w:p w14:paraId="187462CC"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0,360922</w:t>
                  </w:r>
                </w:p>
              </w:tc>
              <w:tc>
                <w:tcPr>
                  <w:tcW w:w="470" w:type="dxa"/>
                  <w:tcBorders>
                    <w:top w:val="nil"/>
                    <w:left w:val="nil"/>
                    <w:bottom w:val="nil"/>
                    <w:right w:val="nil"/>
                  </w:tcBorders>
                </w:tcPr>
                <w:p w14:paraId="7E95E960" w14:textId="66DE3E3E"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154</w:t>
                  </w:r>
                </w:p>
              </w:tc>
            </w:tr>
            <w:tr w:rsidR="00DE0383" w:rsidRPr="0077312B" w14:paraId="1A170171" w14:textId="58270CF2" w:rsidTr="00DE0383">
              <w:trPr>
                <w:trHeight w:val="285"/>
              </w:trPr>
              <w:tc>
                <w:tcPr>
                  <w:tcW w:w="868" w:type="dxa"/>
                  <w:tcBorders>
                    <w:top w:val="nil"/>
                    <w:left w:val="nil"/>
                    <w:bottom w:val="nil"/>
                    <w:right w:val="nil"/>
                  </w:tcBorders>
                  <w:shd w:val="clear" w:color="auto" w:fill="auto"/>
                  <w:noWrap/>
                  <w:vAlign w:val="bottom"/>
                  <w:hideMark/>
                </w:tcPr>
                <w:p w14:paraId="24446A1F" w14:textId="5FF94B40"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#4</w:t>
                  </w:r>
                </w:p>
              </w:tc>
              <w:tc>
                <w:tcPr>
                  <w:tcW w:w="2410" w:type="dxa"/>
                  <w:tcBorders>
                    <w:top w:val="nil"/>
                    <w:left w:val="nil"/>
                    <w:bottom w:val="nil"/>
                    <w:right w:val="nil"/>
                  </w:tcBorders>
                  <w:shd w:val="clear" w:color="auto" w:fill="auto"/>
                  <w:noWrap/>
                  <w:vAlign w:val="bottom"/>
                  <w:hideMark/>
                </w:tcPr>
                <w:p w14:paraId="6FA7F961"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-0,93586</w:t>
                  </w:r>
                </w:p>
              </w:tc>
              <w:tc>
                <w:tcPr>
                  <w:tcW w:w="470" w:type="dxa"/>
                  <w:tcBorders>
                    <w:top w:val="nil"/>
                    <w:left w:val="nil"/>
                    <w:bottom w:val="nil"/>
                    <w:right w:val="nil"/>
                  </w:tcBorders>
                </w:tcPr>
                <w:p w14:paraId="6D289087" w14:textId="5B430416"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97</w:t>
                  </w:r>
                </w:p>
              </w:tc>
            </w:tr>
            <w:tr w:rsidR="00DE0383" w:rsidRPr="0077312B" w14:paraId="44BE6DF5" w14:textId="483D8B78" w:rsidTr="00DE0383">
              <w:trPr>
                <w:trHeight w:val="285"/>
              </w:trPr>
              <w:tc>
                <w:tcPr>
                  <w:tcW w:w="868" w:type="dxa"/>
                  <w:tcBorders>
                    <w:top w:val="nil"/>
                    <w:left w:val="nil"/>
                    <w:bottom w:val="nil"/>
                    <w:right w:val="nil"/>
                  </w:tcBorders>
                  <w:shd w:val="clear" w:color="auto" w:fill="auto"/>
                  <w:noWrap/>
                  <w:vAlign w:val="bottom"/>
                  <w:hideMark/>
                </w:tcPr>
                <w:p w14:paraId="7F9F019F" w14:textId="79C8C5F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#5</w:t>
                  </w:r>
                </w:p>
              </w:tc>
              <w:tc>
                <w:tcPr>
                  <w:tcW w:w="2410" w:type="dxa"/>
                  <w:tcBorders>
                    <w:top w:val="nil"/>
                    <w:left w:val="nil"/>
                    <w:bottom w:val="nil"/>
                    <w:right w:val="nil"/>
                  </w:tcBorders>
                  <w:shd w:val="clear" w:color="auto" w:fill="auto"/>
                  <w:noWrap/>
                  <w:vAlign w:val="bottom"/>
                  <w:hideMark/>
                </w:tcPr>
                <w:p w14:paraId="120E2C19"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0,473366</w:t>
                  </w:r>
                </w:p>
              </w:tc>
              <w:tc>
                <w:tcPr>
                  <w:tcW w:w="470" w:type="dxa"/>
                  <w:tcBorders>
                    <w:top w:val="nil"/>
                    <w:left w:val="nil"/>
                    <w:bottom w:val="nil"/>
                    <w:right w:val="nil"/>
                  </w:tcBorders>
                </w:tcPr>
                <w:p w14:paraId="7C1C6151" w14:textId="751FBAC5"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35</w:t>
                  </w:r>
                </w:p>
              </w:tc>
            </w:tr>
            <w:tr w:rsidR="00DE0383" w:rsidRPr="0077312B" w14:paraId="2DBF9AC6" w14:textId="67CE61C0" w:rsidTr="00DE0383">
              <w:trPr>
                <w:trHeight w:val="285"/>
              </w:trPr>
              <w:tc>
                <w:tcPr>
                  <w:tcW w:w="868" w:type="dxa"/>
                  <w:tcBorders>
                    <w:top w:val="nil"/>
                    <w:left w:val="nil"/>
                    <w:bottom w:val="nil"/>
                    <w:right w:val="nil"/>
                  </w:tcBorders>
                  <w:shd w:val="clear" w:color="auto" w:fill="auto"/>
                  <w:noWrap/>
                  <w:vAlign w:val="bottom"/>
                  <w:hideMark/>
                </w:tcPr>
                <w:p w14:paraId="588D36A8" w14:textId="265F8E44"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#6</w:t>
                  </w:r>
                </w:p>
              </w:tc>
              <w:tc>
                <w:tcPr>
                  <w:tcW w:w="2410" w:type="dxa"/>
                  <w:tcBorders>
                    <w:top w:val="nil"/>
                    <w:left w:val="nil"/>
                    <w:bottom w:val="nil"/>
                    <w:right w:val="nil"/>
                  </w:tcBorders>
                  <w:shd w:val="clear" w:color="auto" w:fill="auto"/>
                  <w:noWrap/>
                  <w:vAlign w:val="bottom"/>
                  <w:hideMark/>
                </w:tcPr>
                <w:p w14:paraId="3C769F07"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-0,30496</w:t>
                  </w:r>
                </w:p>
              </w:tc>
              <w:tc>
                <w:tcPr>
                  <w:tcW w:w="470" w:type="dxa"/>
                  <w:tcBorders>
                    <w:top w:val="nil"/>
                    <w:left w:val="nil"/>
                    <w:bottom w:val="nil"/>
                    <w:right w:val="nil"/>
                  </w:tcBorders>
                </w:tcPr>
                <w:p w14:paraId="7388F05E" w14:textId="69F0E6E1"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166</w:t>
                  </w:r>
                </w:p>
              </w:tc>
            </w:tr>
            <w:tr w:rsidR="00DE0383" w:rsidRPr="0077312B" w14:paraId="27E502FA" w14:textId="677A3C62" w:rsidTr="00DE0383">
              <w:trPr>
                <w:trHeight w:val="285"/>
              </w:trPr>
              <w:tc>
                <w:tcPr>
                  <w:tcW w:w="868" w:type="dxa"/>
                  <w:tcBorders>
                    <w:top w:val="nil"/>
                    <w:left w:val="nil"/>
                    <w:bottom w:val="nil"/>
                    <w:right w:val="nil"/>
                  </w:tcBorders>
                  <w:shd w:val="clear" w:color="auto" w:fill="auto"/>
                  <w:noWrap/>
                  <w:vAlign w:val="bottom"/>
                  <w:hideMark/>
                </w:tcPr>
                <w:p w14:paraId="2AA15F7E" w14:textId="3AE19228"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#7</w:t>
                  </w:r>
                </w:p>
              </w:tc>
              <w:tc>
                <w:tcPr>
                  <w:tcW w:w="2410" w:type="dxa"/>
                  <w:tcBorders>
                    <w:top w:val="nil"/>
                    <w:left w:val="nil"/>
                    <w:bottom w:val="nil"/>
                    <w:right w:val="nil"/>
                  </w:tcBorders>
                  <w:shd w:val="clear" w:color="auto" w:fill="auto"/>
                  <w:noWrap/>
                  <w:vAlign w:val="bottom"/>
                  <w:hideMark/>
                </w:tcPr>
                <w:p w14:paraId="0BD93C25"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-0,63594</w:t>
                  </w:r>
                </w:p>
              </w:tc>
              <w:tc>
                <w:tcPr>
                  <w:tcW w:w="470" w:type="dxa"/>
                  <w:tcBorders>
                    <w:top w:val="nil"/>
                    <w:left w:val="nil"/>
                    <w:bottom w:val="nil"/>
                    <w:right w:val="nil"/>
                  </w:tcBorders>
                </w:tcPr>
                <w:p w14:paraId="576B6DB7" w14:textId="379BF468" w:rsidR="00DE0383" w:rsidRPr="0077312B" w:rsidRDefault="00DE0383" w:rsidP="00DE0383">
                  <w:pPr>
                    <w:spacing w:after="0" w:line="240" w:lineRule="auto"/>
                    <w:jc w:val="center"/>
                    <w:rPr>
                      <w:rFonts w:ascii="Times" w:eastAsia="Times New Roman" w:hAnsi="Times" w:cs="Arial"/>
                      <w:color w:val="000000"/>
                      <w:lang w:eastAsia="it-IT"/>
                    </w:rPr>
                  </w:pPr>
                  <w:r>
                    <w:rPr>
                      <w:rFonts w:ascii="Times" w:eastAsia="Times New Roman" w:hAnsi="Times" w:cs="Arial"/>
                      <w:color w:val="000000"/>
                      <w:lang w:eastAsia="it-IT"/>
                    </w:rPr>
                    <w:t>261</w:t>
                  </w:r>
                </w:p>
              </w:tc>
            </w:tr>
            <w:tr w:rsidR="00DE0383" w:rsidRPr="00DE0383" w14:paraId="3445D4B3" w14:textId="4F5CF7D2" w:rsidTr="00DE0383">
              <w:trPr>
                <w:trHeight w:val="285"/>
              </w:trPr>
              <w:tc>
                <w:tcPr>
                  <w:tcW w:w="868" w:type="dxa"/>
                  <w:tcBorders>
                    <w:top w:val="nil"/>
                    <w:left w:val="nil"/>
                    <w:bottom w:val="nil"/>
                    <w:right w:val="nil"/>
                  </w:tcBorders>
                  <w:shd w:val="clear" w:color="auto" w:fill="auto"/>
                  <w:noWrap/>
                  <w:vAlign w:val="bottom"/>
                  <w:hideMark/>
                </w:tcPr>
                <w:p w14:paraId="17AFF8C1" w14:textId="7AB0DEFF" w:rsidR="00DE0383" w:rsidRPr="0077312B" w:rsidRDefault="00DE0383" w:rsidP="00DE0383">
                  <w:pPr>
                    <w:spacing w:after="0" w:line="240" w:lineRule="auto"/>
                    <w:jc w:val="center"/>
                    <w:rPr>
                      <w:rFonts w:ascii="Times" w:eastAsia="Times New Roman" w:hAnsi="Times" w:cs="Arial"/>
                      <w:color w:val="000000"/>
                      <w:lang w:eastAsia="it-IT"/>
                    </w:rPr>
                  </w:pPr>
                  <w:r w:rsidRPr="00DE0383">
                    <w:rPr>
                      <w:rFonts w:ascii="Times" w:eastAsia="Times New Roman" w:hAnsi="Times" w:cs="Arial"/>
                      <w:color w:val="000000"/>
                      <w:lang w:eastAsia="it-IT"/>
                    </w:rPr>
                    <w:t>#</w:t>
                  </w:r>
                  <w:r w:rsidRPr="0077312B">
                    <w:rPr>
                      <w:rFonts w:ascii="Times" w:eastAsia="Times New Roman" w:hAnsi="Times" w:cs="Arial"/>
                      <w:color w:val="000000"/>
                      <w:lang w:eastAsia="it-IT"/>
                    </w:rPr>
                    <w:t>8</w:t>
                  </w:r>
                </w:p>
              </w:tc>
              <w:tc>
                <w:tcPr>
                  <w:tcW w:w="2410" w:type="dxa"/>
                  <w:tcBorders>
                    <w:top w:val="nil"/>
                    <w:left w:val="nil"/>
                    <w:bottom w:val="nil"/>
                    <w:right w:val="nil"/>
                  </w:tcBorders>
                  <w:shd w:val="clear" w:color="auto" w:fill="auto"/>
                  <w:noWrap/>
                  <w:vAlign w:val="bottom"/>
                  <w:hideMark/>
                </w:tcPr>
                <w:p w14:paraId="54E6C5F9"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0,725746</w:t>
                  </w:r>
                </w:p>
              </w:tc>
              <w:tc>
                <w:tcPr>
                  <w:tcW w:w="470" w:type="dxa"/>
                  <w:tcBorders>
                    <w:top w:val="nil"/>
                    <w:left w:val="nil"/>
                    <w:bottom w:val="nil"/>
                    <w:right w:val="nil"/>
                  </w:tcBorders>
                </w:tcPr>
                <w:p w14:paraId="3C9C142C" w14:textId="05476F69" w:rsidR="00DE0383" w:rsidRPr="00DE0383" w:rsidRDefault="00DE0383" w:rsidP="00DE0383">
                  <w:pPr>
                    <w:spacing w:after="0" w:line="240" w:lineRule="auto"/>
                    <w:jc w:val="center"/>
                    <w:rPr>
                      <w:rFonts w:ascii="Times" w:eastAsia="Times New Roman" w:hAnsi="Times" w:cs="Arial"/>
                      <w:color w:val="000000"/>
                      <w:lang w:eastAsia="it-IT"/>
                    </w:rPr>
                  </w:pPr>
                  <w:r w:rsidRPr="00DE0383">
                    <w:rPr>
                      <w:rFonts w:ascii="Times" w:eastAsia="Times New Roman" w:hAnsi="Times" w:cs="Arial"/>
                      <w:color w:val="000000"/>
                      <w:lang w:eastAsia="it-IT"/>
                    </w:rPr>
                    <w:t>72</w:t>
                  </w:r>
                </w:p>
              </w:tc>
            </w:tr>
            <w:tr w:rsidR="00DE0383" w:rsidRPr="00DE0383" w14:paraId="238F78D3" w14:textId="4ABEB081" w:rsidTr="00DE0383">
              <w:trPr>
                <w:trHeight w:val="285"/>
              </w:trPr>
              <w:tc>
                <w:tcPr>
                  <w:tcW w:w="868" w:type="dxa"/>
                  <w:tcBorders>
                    <w:top w:val="nil"/>
                    <w:left w:val="nil"/>
                    <w:bottom w:val="nil"/>
                    <w:right w:val="nil"/>
                  </w:tcBorders>
                  <w:shd w:val="clear" w:color="auto" w:fill="auto"/>
                  <w:noWrap/>
                  <w:vAlign w:val="bottom"/>
                  <w:hideMark/>
                </w:tcPr>
                <w:p w14:paraId="75FD9870" w14:textId="6E67CE00" w:rsidR="00DE0383" w:rsidRPr="0077312B" w:rsidRDefault="00DE0383" w:rsidP="00DE0383">
                  <w:pPr>
                    <w:spacing w:after="0" w:line="240" w:lineRule="auto"/>
                    <w:jc w:val="center"/>
                    <w:rPr>
                      <w:rFonts w:ascii="Times" w:eastAsia="Times New Roman" w:hAnsi="Times" w:cs="Arial"/>
                      <w:color w:val="000000"/>
                      <w:lang w:eastAsia="it-IT"/>
                    </w:rPr>
                  </w:pPr>
                  <w:r w:rsidRPr="00DE0383">
                    <w:rPr>
                      <w:rFonts w:ascii="Times" w:eastAsia="Times New Roman" w:hAnsi="Times" w:cs="Arial"/>
                      <w:color w:val="000000"/>
                      <w:lang w:eastAsia="it-IT"/>
                    </w:rPr>
                    <w:t>#</w:t>
                  </w:r>
                  <w:r w:rsidRPr="0077312B">
                    <w:rPr>
                      <w:rFonts w:ascii="Times" w:eastAsia="Times New Roman" w:hAnsi="Times" w:cs="Arial"/>
                      <w:color w:val="000000"/>
                      <w:lang w:eastAsia="it-IT"/>
                    </w:rPr>
                    <w:t>9</w:t>
                  </w:r>
                </w:p>
              </w:tc>
              <w:tc>
                <w:tcPr>
                  <w:tcW w:w="2410" w:type="dxa"/>
                  <w:tcBorders>
                    <w:top w:val="nil"/>
                    <w:left w:val="nil"/>
                    <w:bottom w:val="nil"/>
                    <w:right w:val="nil"/>
                  </w:tcBorders>
                  <w:shd w:val="clear" w:color="auto" w:fill="auto"/>
                  <w:noWrap/>
                  <w:vAlign w:val="bottom"/>
                  <w:hideMark/>
                </w:tcPr>
                <w:p w14:paraId="1CCDF07C"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-0,0848</w:t>
                  </w:r>
                </w:p>
              </w:tc>
              <w:tc>
                <w:tcPr>
                  <w:tcW w:w="470" w:type="dxa"/>
                  <w:tcBorders>
                    <w:top w:val="nil"/>
                    <w:left w:val="nil"/>
                    <w:bottom w:val="nil"/>
                    <w:right w:val="nil"/>
                  </w:tcBorders>
                </w:tcPr>
                <w:p w14:paraId="10861A82" w14:textId="62A280E9" w:rsidR="00DE0383" w:rsidRPr="00DE0383" w:rsidRDefault="00DE0383" w:rsidP="00DE0383">
                  <w:pPr>
                    <w:spacing w:after="0" w:line="240" w:lineRule="auto"/>
                    <w:jc w:val="center"/>
                    <w:rPr>
                      <w:rFonts w:ascii="Times" w:eastAsia="Times New Roman" w:hAnsi="Times" w:cs="Arial"/>
                      <w:color w:val="000000"/>
                      <w:lang w:eastAsia="it-IT"/>
                    </w:rPr>
                  </w:pPr>
                  <w:r w:rsidRPr="00DE0383">
                    <w:rPr>
                      <w:rFonts w:ascii="Times" w:eastAsia="Times New Roman" w:hAnsi="Times" w:cs="Arial"/>
                      <w:color w:val="000000"/>
                      <w:lang w:eastAsia="it-IT"/>
                    </w:rPr>
                    <w:t>90</w:t>
                  </w:r>
                </w:p>
              </w:tc>
            </w:tr>
            <w:tr w:rsidR="00DE0383" w:rsidRPr="00DE0383" w14:paraId="49C68707" w14:textId="03B3B84F" w:rsidTr="00DE0383">
              <w:trPr>
                <w:trHeight w:val="285"/>
              </w:trPr>
              <w:tc>
                <w:tcPr>
                  <w:tcW w:w="868" w:type="dxa"/>
                  <w:tcBorders>
                    <w:top w:val="nil"/>
                    <w:left w:val="nil"/>
                    <w:bottom w:val="nil"/>
                    <w:right w:val="nil"/>
                  </w:tcBorders>
                  <w:shd w:val="clear" w:color="auto" w:fill="auto"/>
                  <w:noWrap/>
                  <w:vAlign w:val="bottom"/>
                  <w:hideMark/>
                </w:tcPr>
                <w:p w14:paraId="521AFDD5" w14:textId="1F56CF76" w:rsidR="00DE0383" w:rsidRPr="0077312B" w:rsidRDefault="00DE0383" w:rsidP="00DE0383">
                  <w:pPr>
                    <w:spacing w:after="0" w:line="240" w:lineRule="auto"/>
                    <w:jc w:val="center"/>
                    <w:rPr>
                      <w:rFonts w:ascii="Times" w:eastAsia="Times New Roman" w:hAnsi="Times" w:cs="Arial"/>
                      <w:color w:val="000000"/>
                      <w:lang w:eastAsia="it-IT"/>
                    </w:rPr>
                  </w:pPr>
                  <w:r w:rsidRPr="00DE0383">
                    <w:rPr>
                      <w:rFonts w:ascii="Times" w:eastAsia="Times New Roman" w:hAnsi="Times" w:cs="Arial"/>
                      <w:color w:val="000000"/>
                      <w:lang w:eastAsia="it-IT"/>
                    </w:rPr>
                    <w:t>#</w:t>
                  </w:r>
                  <w:r w:rsidRPr="0077312B">
                    <w:rPr>
                      <w:rFonts w:ascii="Times" w:eastAsia="Times New Roman" w:hAnsi="Times" w:cs="Arial"/>
                      <w:color w:val="000000"/>
                      <w:lang w:eastAsia="it-IT"/>
                    </w:rPr>
                    <w:t>10</w:t>
                  </w:r>
                </w:p>
              </w:tc>
              <w:tc>
                <w:tcPr>
                  <w:tcW w:w="2410" w:type="dxa"/>
                  <w:tcBorders>
                    <w:top w:val="nil"/>
                    <w:left w:val="nil"/>
                    <w:bottom w:val="nil"/>
                    <w:right w:val="nil"/>
                  </w:tcBorders>
                  <w:shd w:val="clear" w:color="auto" w:fill="auto"/>
                  <w:noWrap/>
                  <w:vAlign w:val="bottom"/>
                  <w:hideMark/>
                </w:tcPr>
                <w:p w14:paraId="7088C3A5" w14:textId="77777777" w:rsidR="00DE0383" w:rsidRPr="0077312B" w:rsidRDefault="00DE0383" w:rsidP="00DE0383">
                  <w:pPr>
                    <w:spacing w:after="0" w:line="240" w:lineRule="auto"/>
                    <w:jc w:val="center"/>
                    <w:rPr>
                      <w:rFonts w:ascii="Times" w:eastAsia="Times New Roman" w:hAnsi="Times" w:cs="Arial"/>
                      <w:color w:val="000000"/>
                      <w:lang w:eastAsia="it-IT"/>
                    </w:rPr>
                  </w:pPr>
                  <w:r w:rsidRPr="0077312B">
                    <w:rPr>
                      <w:rFonts w:ascii="Times" w:eastAsia="Times New Roman" w:hAnsi="Times" w:cs="Arial"/>
                      <w:color w:val="000000"/>
                      <w:lang w:eastAsia="it-IT"/>
                    </w:rPr>
                    <w:t>-0,57069</w:t>
                  </w:r>
                </w:p>
              </w:tc>
              <w:tc>
                <w:tcPr>
                  <w:tcW w:w="470" w:type="dxa"/>
                  <w:tcBorders>
                    <w:top w:val="nil"/>
                    <w:left w:val="nil"/>
                    <w:bottom w:val="nil"/>
                    <w:right w:val="nil"/>
                  </w:tcBorders>
                </w:tcPr>
                <w:p w14:paraId="20B26254" w14:textId="00513090" w:rsidR="00DE0383" w:rsidRPr="00DE0383" w:rsidRDefault="00DE0383" w:rsidP="00DE0383">
                  <w:pPr>
                    <w:spacing w:after="0" w:line="240" w:lineRule="auto"/>
                    <w:jc w:val="center"/>
                    <w:rPr>
                      <w:rFonts w:ascii="Times" w:eastAsia="Times New Roman" w:hAnsi="Times" w:cs="Arial"/>
                      <w:color w:val="000000"/>
                      <w:lang w:eastAsia="it-IT"/>
                    </w:rPr>
                  </w:pPr>
                  <w:r w:rsidRPr="00DE0383">
                    <w:rPr>
                      <w:rFonts w:ascii="Times" w:eastAsia="Times New Roman" w:hAnsi="Times" w:cs="Arial"/>
                      <w:color w:val="000000"/>
                      <w:lang w:eastAsia="it-IT"/>
                    </w:rPr>
                    <w:t>30</w:t>
                  </w:r>
                </w:p>
              </w:tc>
            </w:tr>
          </w:tbl>
          <w:p w14:paraId="17DD14DD" w14:textId="77777777" w:rsidR="0077312B" w:rsidRPr="00DE0383" w:rsidRDefault="0077312B" w:rsidP="0077312B">
            <w:pPr>
              <w:pStyle w:val="ListParagraph"/>
              <w:rPr>
                <w:rFonts w:ascii="Times New Roman" w:hAnsi="Times New Roman" w:cs="Times New Roman"/>
                <w:lang w:val="en-US"/>
              </w:rPr>
            </w:pPr>
          </w:p>
          <w:p w14:paraId="70251E16" w14:textId="27A6A714" w:rsidR="0077312B" w:rsidRPr="00DE0383" w:rsidRDefault="00DE0383" w:rsidP="0077312B">
            <w:pPr>
              <w:pStyle w:val="ListParagraph"/>
              <w:numPr>
                <w:ilvl w:val="0"/>
                <w:numId w:val="9"/>
              </w:numPr>
              <w:spacing w:line="360" w:lineRule="auto"/>
              <w:jc w:val="both"/>
              <w:rPr>
                <w:rFonts w:ascii="Times New Roman" w:hAnsi="Times New Roman" w:cs="Times New Roman"/>
                <w:lang w:val="en-US"/>
              </w:rPr>
            </w:pPr>
            <w:r>
              <w:rPr>
                <w:rFonts w:ascii="Times New Roman" w:hAnsi="Times New Roman" w:cs="Times New Roman"/>
                <w:lang w:val="en-US"/>
              </w:rPr>
              <w:t>The</w:t>
            </w:r>
            <w:r w:rsidR="0077312B" w:rsidRPr="00DE0383">
              <w:rPr>
                <w:rFonts w:ascii="Times New Roman" w:hAnsi="Times New Roman" w:cs="Times New Roman"/>
                <w:lang w:val="en-US"/>
              </w:rPr>
              <w:t xml:space="preserve"> weighted linear predictor is </w:t>
            </w:r>
            <w:r>
              <w:rPr>
                <w:rFonts w:ascii="Times New Roman" w:hAnsi="Times New Roman" w:cs="Times New Roman"/>
                <w:lang w:val="en-US"/>
              </w:rPr>
              <w:t xml:space="preserve">then </w:t>
            </w:r>
            <w:r w:rsidR="0077312B" w:rsidRPr="00DE0383">
              <w:rPr>
                <w:rFonts w:ascii="Times New Roman" w:hAnsi="Times New Roman" w:cs="Times New Roman"/>
                <w:lang w:val="en-US"/>
              </w:rPr>
              <w:t xml:space="preserve">calculated as follows: </w:t>
            </w:r>
            <w:proofErr w:type="spellStart"/>
            <w:r w:rsidR="0077312B" w:rsidRPr="00DE0383">
              <w:rPr>
                <w:rFonts w:ascii="Times New Roman" w:hAnsi="Times New Roman" w:cs="Times New Roman"/>
                <w:lang w:val="en-US"/>
              </w:rPr>
              <w:t>Wxb</w:t>
            </w:r>
            <w:proofErr w:type="spellEnd"/>
            <w:r w:rsidR="0077312B" w:rsidRPr="00DE0383">
              <w:rPr>
                <w:rFonts w:ascii="Times New Roman" w:hAnsi="Times New Roman" w:cs="Times New Roman"/>
                <w:lang w:val="en-US"/>
              </w:rPr>
              <w:t xml:space="preserve"> = [(</w:t>
            </w:r>
            <w:proofErr w:type="spellStart"/>
            <w:r w:rsidR="0077312B" w:rsidRPr="00DE0383">
              <w:rPr>
                <w:rFonts w:ascii="Times New Roman" w:hAnsi="Times New Roman" w:cs="Times New Roman"/>
                <w:lang w:val="en-US"/>
              </w:rPr>
              <w:t>xb</w:t>
            </w:r>
            <w:proofErr w:type="spellEnd"/>
            <w:r w:rsidR="0077312B" w:rsidRPr="00DE0383">
              <w:rPr>
                <w:rFonts w:ascii="Times New Roman" w:hAnsi="Times New Roman" w:cs="Times New Roman"/>
                <w:lang w:val="en-US"/>
              </w:rPr>
              <w:t xml:space="preserve"> + re</w:t>
            </w:r>
            <w:r w:rsidR="0077312B" w:rsidRPr="00DE0383">
              <w:rPr>
                <w:rFonts w:ascii="Times New Roman" w:hAnsi="Times New Roman" w:cs="Times New Roman"/>
                <w:vertAlign w:val="subscript"/>
                <w:lang w:val="en-US"/>
              </w:rPr>
              <w:t>1</w:t>
            </w:r>
            <w:r w:rsidR="0077312B" w:rsidRPr="00DE0383">
              <w:rPr>
                <w:rFonts w:ascii="Times New Roman" w:hAnsi="Times New Roman" w:cs="Times New Roman"/>
                <w:lang w:val="en-US"/>
              </w:rPr>
              <w:t>) * n1 + (</w:t>
            </w:r>
            <w:proofErr w:type="spellStart"/>
            <w:r w:rsidR="0077312B" w:rsidRPr="00DE0383">
              <w:rPr>
                <w:rFonts w:ascii="Times New Roman" w:hAnsi="Times New Roman" w:cs="Times New Roman"/>
                <w:lang w:val="en-US"/>
              </w:rPr>
              <w:t>xb</w:t>
            </w:r>
            <w:proofErr w:type="spellEnd"/>
            <w:r w:rsidR="0077312B" w:rsidRPr="00DE0383">
              <w:rPr>
                <w:rFonts w:ascii="Times New Roman" w:hAnsi="Times New Roman" w:cs="Times New Roman"/>
                <w:lang w:val="en-US"/>
              </w:rPr>
              <w:t xml:space="preserve"> + re</w:t>
            </w:r>
            <w:r w:rsidR="0077312B" w:rsidRPr="00DE0383">
              <w:rPr>
                <w:rFonts w:ascii="Times New Roman" w:hAnsi="Times New Roman" w:cs="Times New Roman"/>
                <w:vertAlign w:val="subscript"/>
                <w:lang w:val="en-US"/>
              </w:rPr>
              <w:t>2</w:t>
            </w:r>
            <w:r w:rsidR="0077312B" w:rsidRPr="00DE0383">
              <w:rPr>
                <w:rFonts w:ascii="Times New Roman" w:hAnsi="Times New Roman" w:cs="Times New Roman"/>
                <w:lang w:val="en-US"/>
              </w:rPr>
              <w:t>) * n</w:t>
            </w:r>
            <w:r w:rsidR="0077312B" w:rsidRPr="00DE0383">
              <w:rPr>
                <w:rFonts w:ascii="Times New Roman" w:hAnsi="Times New Roman" w:cs="Times New Roman"/>
                <w:vertAlign w:val="subscript"/>
                <w:lang w:val="en-US"/>
              </w:rPr>
              <w:t>2</w:t>
            </w:r>
            <w:r w:rsidR="0077312B" w:rsidRPr="00DE0383">
              <w:rPr>
                <w:rFonts w:ascii="Times New Roman" w:hAnsi="Times New Roman" w:cs="Times New Roman"/>
                <w:lang w:val="en-US"/>
              </w:rPr>
              <w:t xml:space="preserve"> + …. (</w:t>
            </w:r>
            <w:proofErr w:type="spellStart"/>
            <w:r w:rsidR="0077312B" w:rsidRPr="00DE0383">
              <w:rPr>
                <w:rFonts w:ascii="Times New Roman" w:hAnsi="Times New Roman" w:cs="Times New Roman"/>
                <w:lang w:val="en-US"/>
              </w:rPr>
              <w:t>xb</w:t>
            </w:r>
            <w:proofErr w:type="spellEnd"/>
            <w:r w:rsidR="0077312B" w:rsidRPr="00DE0383">
              <w:rPr>
                <w:rFonts w:ascii="Times New Roman" w:hAnsi="Times New Roman" w:cs="Times New Roman"/>
                <w:lang w:val="en-US"/>
              </w:rPr>
              <w:t xml:space="preserve"> + re</w:t>
            </w:r>
            <w:r w:rsidR="0077312B" w:rsidRPr="00DE0383">
              <w:rPr>
                <w:rFonts w:ascii="Times New Roman" w:hAnsi="Times New Roman" w:cs="Times New Roman"/>
                <w:vertAlign w:val="subscript"/>
                <w:lang w:val="en-US"/>
              </w:rPr>
              <w:t>10</w:t>
            </w:r>
            <w:r w:rsidR="0077312B" w:rsidRPr="00DE0383">
              <w:rPr>
                <w:rFonts w:ascii="Times New Roman" w:hAnsi="Times New Roman" w:cs="Times New Roman"/>
                <w:lang w:val="en-US"/>
              </w:rPr>
              <w:t>) * n</w:t>
            </w:r>
            <w:r w:rsidR="0077312B" w:rsidRPr="00DE0383">
              <w:rPr>
                <w:rFonts w:ascii="Times New Roman" w:hAnsi="Times New Roman" w:cs="Times New Roman"/>
                <w:vertAlign w:val="subscript"/>
                <w:lang w:val="en-US"/>
              </w:rPr>
              <w:t>10</w:t>
            </w:r>
            <w:r w:rsidR="0077312B" w:rsidRPr="00DE0383">
              <w:rPr>
                <w:rFonts w:ascii="Times New Roman" w:hAnsi="Times New Roman" w:cs="Times New Roman"/>
                <w:lang w:val="en-US"/>
              </w:rPr>
              <w:t xml:space="preserve">] / </w:t>
            </w:r>
            <w:r w:rsidR="009451BD" w:rsidRPr="00DE0383">
              <w:rPr>
                <w:rFonts w:ascii="Times New Roman" w:hAnsi="Times New Roman" w:cs="Times New Roman"/>
                <w:lang w:val="en-US"/>
              </w:rPr>
              <w:t>1124</w:t>
            </w:r>
            <w:r w:rsidR="0077312B" w:rsidRPr="00DE0383">
              <w:rPr>
                <w:rFonts w:ascii="Times New Roman" w:hAnsi="Times New Roman" w:cs="Times New Roman"/>
                <w:lang w:val="en-US"/>
              </w:rPr>
              <w:t>;</w:t>
            </w:r>
            <w:r w:rsidR="002546CA" w:rsidRPr="00DE0383">
              <w:rPr>
                <w:rFonts w:ascii="Times New Roman" w:hAnsi="Times New Roman" w:cs="Times New Roman"/>
                <w:lang w:val="en-US"/>
              </w:rPr>
              <w:t xml:space="preserve"> </w:t>
            </w:r>
          </w:p>
          <w:p w14:paraId="566D2578" w14:textId="6A122C87" w:rsidR="0077312B" w:rsidRPr="00DE0383" w:rsidRDefault="0077312B" w:rsidP="0077312B">
            <w:pPr>
              <w:pStyle w:val="ListParagraph"/>
              <w:numPr>
                <w:ilvl w:val="0"/>
                <w:numId w:val="9"/>
              </w:numPr>
              <w:rPr>
                <w:rFonts w:ascii="Times New Roman" w:hAnsi="Times New Roman" w:cs="Times New Roman"/>
                <w:lang w:val="en-US"/>
              </w:rPr>
            </w:pPr>
            <w:r w:rsidRPr="00DE0383">
              <w:rPr>
                <w:rFonts w:ascii="Times New Roman" w:hAnsi="Times New Roman" w:cs="Times New Roman"/>
                <w:lang w:val="en-US"/>
              </w:rPr>
              <w:t xml:space="preserve">Calculate the </w:t>
            </w:r>
            <w:r w:rsidR="009451BD" w:rsidRPr="00DE0383">
              <w:rPr>
                <w:rFonts w:ascii="Times New Roman" w:hAnsi="Times New Roman" w:cs="Times New Roman"/>
                <w:lang w:val="en-US"/>
              </w:rPr>
              <w:t xml:space="preserve">expected </w:t>
            </w:r>
            <w:r w:rsidRPr="00DE0383">
              <w:rPr>
                <w:rFonts w:ascii="Times New Roman" w:hAnsi="Times New Roman" w:cs="Times New Roman"/>
                <w:lang w:val="en-US"/>
              </w:rPr>
              <w:t xml:space="preserve">weighted probability of TO across participating centers as follows: </w:t>
            </w:r>
            <w:r w:rsidR="009451BD" w:rsidRPr="00DE0383">
              <w:rPr>
                <w:rFonts w:ascii="Times New Roman" w:hAnsi="Times New Roman" w:cs="Times New Roman"/>
                <w:lang w:val="en-US"/>
              </w:rPr>
              <w:t>Expected</w:t>
            </w:r>
            <w:r w:rsidRPr="00DE0383">
              <w:rPr>
                <w:rFonts w:ascii="Times New Roman" w:hAnsi="Times New Roman" w:cs="Times New Roman"/>
                <w:lang w:val="en-US"/>
              </w:rPr>
              <w:t xml:space="preserve"> = 1 / (1 + e^-</w:t>
            </w:r>
            <w:proofErr w:type="spellStart"/>
            <w:r w:rsidRPr="00DE0383">
              <w:rPr>
                <w:rFonts w:ascii="Times New Roman" w:hAnsi="Times New Roman" w:cs="Times New Roman"/>
                <w:lang w:val="en-US"/>
              </w:rPr>
              <w:t>Wxb</w:t>
            </w:r>
            <w:proofErr w:type="spellEnd"/>
            <w:r w:rsidRPr="00DE0383">
              <w:rPr>
                <w:rFonts w:ascii="Times New Roman" w:hAnsi="Times New Roman" w:cs="Times New Roman"/>
                <w:lang w:val="en-US"/>
              </w:rPr>
              <w:t>)</w:t>
            </w:r>
          </w:p>
          <w:p w14:paraId="6CAE3E46" w14:textId="77777777" w:rsidR="0077312B" w:rsidRDefault="0077312B" w:rsidP="0077312B">
            <w:pPr>
              <w:spacing w:before="120" w:line="360" w:lineRule="auto"/>
              <w:ind w:left="360"/>
              <w:jc w:val="both"/>
              <w:rPr>
                <w:rFonts w:ascii="Times New Roman" w:hAnsi="Times New Roman" w:cs="Times New Roman"/>
                <w:b/>
                <w:bCs/>
                <w:lang w:val="en-US"/>
              </w:rPr>
            </w:pPr>
          </w:p>
          <w:p w14:paraId="3B1F3BA0" w14:textId="63661D43" w:rsidR="0077312B" w:rsidRDefault="0077312B" w:rsidP="0077312B">
            <w:pPr>
              <w:spacing w:before="120" w:line="360" w:lineRule="auto"/>
              <w:ind w:left="360"/>
              <w:jc w:val="both"/>
              <w:rPr>
                <w:rFonts w:ascii="Times New Roman" w:hAnsi="Times New Roman" w:cs="Times New Roman"/>
                <w:b/>
                <w:bCs/>
                <w:lang w:val="en-US"/>
              </w:rPr>
            </w:pPr>
            <w:r w:rsidRPr="0077312B">
              <w:rPr>
                <w:rFonts w:ascii="Times New Roman" w:hAnsi="Times New Roman" w:cs="Times New Roman"/>
                <w:b/>
                <w:bCs/>
                <w:lang w:val="en-US"/>
              </w:rPr>
              <w:t xml:space="preserve">STEP </w:t>
            </w:r>
            <w:r>
              <w:rPr>
                <w:rFonts w:ascii="Times New Roman" w:hAnsi="Times New Roman" w:cs="Times New Roman"/>
                <w:b/>
                <w:bCs/>
                <w:lang w:val="en-US"/>
              </w:rPr>
              <w:t>2</w:t>
            </w:r>
            <w:r w:rsidRPr="0077312B">
              <w:rPr>
                <w:rFonts w:ascii="Times New Roman" w:hAnsi="Times New Roman" w:cs="Times New Roman"/>
                <w:b/>
                <w:bCs/>
                <w:lang w:val="en-US"/>
              </w:rPr>
              <w:t xml:space="preserve">. </w:t>
            </w:r>
            <w:r>
              <w:rPr>
                <w:rFonts w:ascii="Times New Roman" w:hAnsi="Times New Roman" w:cs="Times New Roman"/>
                <w:b/>
                <w:bCs/>
                <w:lang w:val="en-US"/>
              </w:rPr>
              <w:t xml:space="preserve">Calculation of </w:t>
            </w:r>
            <w:r w:rsidR="009451BD">
              <w:rPr>
                <w:rFonts w:ascii="Times New Roman" w:hAnsi="Times New Roman" w:cs="Times New Roman"/>
                <w:b/>
                <w:bCs/>
                <w:lang w:val="en-US"/>
              </w:rPr>
              <w:t>o</w:t>
            </w:r>
            <w:r>
              <w:rPr>
                <w:rFonts w:ascii="Times New Roman" w:hAnsi="Times New Roman" w:cs="Times New Roman"/>
                <w:b/>
                <w:bCs/>
                <w:lang w:val="en-US"/>
              </w:rPr>
              <w:t>bserved</w:t>
            </w:r>
            <w:r w:rsidR="009451BD">
              <w:rPr>
                <w:rFonts w:ascii="Times New Roman" w:hAnsi="Times New Roman" w:cs="Times New Roman"/>
                <w:b/>
                <w:bCs/>
                <w:lang w:val="en-US"/>
              </w:rPr>
              <w:t>-to-e</w:t>
            </w:r>
            <w:r>
              <w:rPr>
                <w:rFonts w:ascii="Times New Roman" w:hAnsi="Times New Roman" w:cs="Times New Roman"/>
                <w:b/>
                <w:bCs/>
                <w:lang w:val="en-US"/>
              </w:rPr>
              <w:t xml:space="preserve">xpected </w:t>
            </w:r>
            <w:r w:rsidR="009451BD">
              <w:rPr>
                <w:rFonts w:ascii="Times New Roman" w:hAnsi="Times New Roman" w:cs="Times New Roman"/>
                <w:b/>
                <w:bCs/>
                <w:lang w:val="en-US"/>
              </w:rPr>
              <w:t>ratio</w:t>
            </w:r>
          </w:p>
          <w:p w14:paraId="7C869B71" w14:textId="6FA57FB5" w:rsidR="009451BD" w:rsidRDefault="009451BD" w:rsidP="009451BD">
            <w:pPr>
              <w:pStyle w:val="ListParagraph"/>
              <w:numPr>
                <w:ilvl w:val="0"/>
                <w:numId w:val="10"/>
              </w:numPr>
              <w:spacing w:before="120" w:line="360" w:lineRule="auto"/>
              <w:jc w:val="both"/>
              <w:rPr>
                <w:rFonts w:ascii="Times New Roman" w:hAnsi="Times New Roman" w:cs="Times New Roman"/>
                <w:lang w:val="en-US"/>
              </w:rPr>
            </w:pPr>
            <w:r>
              <w:rPr>
                <w:rFonts w:ascii="Times New Roman" w:hAnsi="Times New Roman" w:cs="Times New Roman"/>
                <w:lang w:val="en-US"/>
              </w:rPr>
              <w:t xml:space="preserve">Calculate the observed TO proportion in your external cohort as Observed = </w:t>
            </w:r>
            <w:proofErr w:type="spellStart"/>
            <w:r>
              <w:rPr>
                <w:rFonts w:ascii="Times New Roman" w:hAnsi="Times New Roman" w:cs="Times New Roman"/>
                <w:lang w:val="en-US"/>
              </w:rPr>
              <w:t>TO</w:t>
            </w:r>
            <w:r w:rsidRPr="009451BD">
              <w:rPr>
                <w:rFonts w:ascii="Times New Roman" w:hAnsi="Times New Roman" w:cs="Times New Roman"/>
                <w:vertAlign w:val="subscript"/>
                <w:lang w:val="en-US"/>
              </w:rPr>
              <w:t>external</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n</w:t>
            </w:r>
            <w:r w:rsidRPr="009451BD">
              <w:rPr>
                <w:rFonts w:ascii="Times New Roman" w:hAnsi="Times New Roman" w:cs="Times New Roman"/>
                <w:vertAlign w:val="subscript"/>
                <w:lang w:val="en-US"/>
              </w:rPr>
              <w:t>external</w:t>
            </w:r>
            <w:proofErr w:type="spellEnd"/>
          </w:p>
          <w:p w14:paraId="210E3FD5" w14:textId="08B88DDA" w:rsidR="009451BD" w:rsidRDefault="009451BD" w:rsidP="009451BD">
            <w:pPr>
              <w:pStyle w:val="ListParagraph"/>
              <w:numPr>
                <w:ilvl w:val="0"/>
                <w:numId w:val="10"/>
              </w:numPr>
              <w:spacing w:before="120" w:line="360" w:lineRule="auto"/>
              <w:jc w:val="both"/>
              <w:rPr>
                <w:rFonts w:ascii="Times New Roman" w:hAnsi="Times New Roman" w:cs="Times New Roman"/>
                <w:lang w:val="en-US"/>
              </w:rPr>
            </w:pPr>
            <w:r>
              <w:rPr>
                <w:rFonts w:ascii="Times New Roman" w:hAnsi="Times New Roman" w:cs="Times New Roman"/>
                <w:lang w:val="en-US"/>
              </w:rPr>
              <w:t xml:space="preserve">Calculate the observed-to-expected ratio as </w:t>
            </w:r>
            <w:proofErr w:type="spellStart"/>
            <w:r>
              <w:rPr>
                <w:rFonts w:ascii="Times New Roman" w:hAnsi="Times New Roman" w:cs="Times New Roman"/>
                <w:lang w:val="en-US"/>
              </w:rPr>
              <w:t>ST</w:t>
            </w:r>
            <w:r w:rsidR="00AD794E">
              <w:rPr>
                <w:rFonts w:ascii="Times New Roman" w:hAnsi="Times New Roman" w:cs="Times New Roman"/>
                <w:lang w:val="en-US"/>
              </w:rPr>
              <w:t>o</w:t>
            </w:r>
            <w:r>
              <w:rPr>
                <w:rFonts w:ascii="Times New Roman" w:hAnsi="Times New Roman" w:cs="Times New Roman"/>
                <w:lang w:val="en-US"/>
              </w:rPr>
              <w:t>R</w:t>
            </w:r>
            <w:proofErr w:type="spellEnd"/>
            <w:r>
              <w:rPr>
                <w:rFonts w:ascii="Times New Roman" w:hAnsi="Times New Roman" w:cs="Times New Roman"/>
                <w:lang w:val="en-US"/>
              </w:rPr>
              <w:t xml:space="preserve"> = Observed / Expected</w:t>
            </w:r>
          </w:p>
          <w:p w14:paraId="4A80CF10" w14:textId="308FD348" w:rsidR="009451BD" w:rsidRDefault="009451BD" w:rsidP="009451BD">
            <w:pPr>
              <w:pStyle w:val="ListParagraph"/>
              <w:numPr>
                <w:ilvl w:val="0"/>
                <w:numId w:val="10"/>
              </w:numPr>
              <w:spacing w:before="120" w:line="360" w:lineRule="auto"/>
              <w:jc w:val="both"/>
              <w:rPr>
                <w:rFonts w:ascii="Times New Roman" w:hAnsi="Times New Roman" w:cs="Times New Roman"/>
                <w:lang w:val="en-US"/>
              </w:rPr>
            </w:pPr>
            <w:r>
              <w:rPr>
                <w:rFonts w:ascii="Times New Roman" w:hAnsi="Times New Roman" w:cs="Times New Roman"/>
                <w:lang w:val="en-US"/>
              </w:rPr>
              <w:t>The risk adjusted TO value</w:t>
            </w:r>
            <w:r w:rsidR="00AD794E">
              <w:rPr>
                <w:rFonts w:ascii="Times New Roman" w:hAnsi="Times New Roman" w:cs="Times New Roman"/>
                <w:lang w:val="en-US"/>
              </w:rPr>
              <w:t xml:space="preserve"> (</w:t>
            </w:r>
            <w:proofErr w:type="spellStart"/>
            <w:r w:rsidR="00AD794E">
              <w:rPr>
                <w:rFonts w:ascii="Times New Roman" w:hAnsi="Times New Roman" w:cs="Times New Roman"/>
                <w:lang w:val="en-US"/>
              </w:rPr>
              <w:t>RSToR</w:t>
            </w:r>
            <w:proofErr w:type="spellEnd"/>
            <w:r w:rsidR="00AD794E">
              <w:rPr>
                <w:rFonts w:ascii="Times New Roman" w:hAnsi="Times New Roman" w:cs="Times New Roman"/>
                <w:lang w:val="en-US"/>
              </w:rPr>
              <w:t>)</w:t>
            </w:r>
            <w:r>
              <w:rPr>
                <w:rFonts w:ascii="Times New Roman" w:hAnsi="Times New Roman" w:cs="Times New Roman"/>
                <w:lang w:val="en-US"/>
              </w:rPr>
              <w:t xml:space="preserve"> is finally calculated by the following formula: (321 + </w:t>
            </w:r>
            <w:proofErr w:type="spellStart"/>
            <w:r w:rsidRPr="009451BD">
              <w:rPr>
                <w:rFonts w:ascii="Times New Roman" w:hAnsi="Times New Roman" w:cs="Times New Roman"/>
                <w:lang w:val="en-US"/>
              </w:rPr>
              <w:t>TO</w:t>
            </w:r>
            <w:r w:rsidRPr="009451BD">
              <w:rPr>
                <w:rFonts w:ascii="Times New Roman" w:hAnsi="Times New Roman" w:cs="Times New Roman"/>
                <w:vertAlign w:val="subscript"/>
                <w:lang w:val="en-US"/>
              </w:rPr>
              <w:t>external</w:t>
            </w:r>
            <w:proofErr w:type="spellEnd"/>
            <w:r>
              <w:rPr>
                <w:rFonts w:ascii="Times New Roman" w:hAnsi="Times New Roman" w:cs="Times New Roman"/>
                <w:vertAlign w:val="subscript"/>
                <w:lang w:val="en-US"/>
              </w:rPr>
              <w:t xml:space="preserve"> </w:t>
            </w:r>
            <w:r>
              <w:rPr>
                <w:rFonts w:ascii="Times New Roman" w:hAnsi="Times New Roman" w:cs="Times New Roman"/>
                <w:lang w:val="en-US"/>
              </w:rPr>
              <w:t xml:space="preserve">/ 1124 + </w:t>
            </w:r>
            <w:proofErr w:type="spellStart"/>
            <w:r>
              <w:rPr>
                <w:rFonts w:ascii="Times New Roman" w:hAnsi="Times New Roman" w:cs="Times New Roman"/>
                <w:lang w:val="en-US"/>
              </w:rPr>
              <w:t>n</w:t>
            </w:r>
            <w:r w:rsidRPr="009451BD">
              <w:rPr>
                <w:rFonts w:ascii="Times New Roman" w:hAnsi="Times New Roman" w:cs="Times New Roman"/>
                <w:vertAlign w:val="subscript"/>
                <w:lang w:val="en-US"/>
              </w:rPr>
              <w:t>external</w:t>
            </w:r>
            <w:proofErr w:type="spellEnd"/>
            <w:r w:rsidRPr="009451BD">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ST</w:t>
            </w:r>
            <w:r w:rsidR="00AD794E">
              <w:rPr>
                <w:rFonts w:ascii="Times New Roman" w:hAnsi="Times New Roman" w:cs="Times New Roman"/>
                <w:lang w:val="en-US"/>
              </w:rPr>
              <w:t>o</w:t>
            </w:r>
            <w:r>
              <w:rPr>
                <w:rFonts w:ascii="Times New Roman" w:hAnsi="Times New Roman" w:cs="Times New Roman"/>
                <w:lang w:val="en-US"/>
              </w:rPr>
              <w:t>R</w:t>
            </w:r>
            <w:proofErr w:type="spellEnd"/>
            <w:r>
              <w:rPr>
                <w:rFonts w:ascii="Times New Roman" w:hAnsi="Times New Roman" w:cs="Times New Roman"/>
                <w:lang w:val="en-US"/>
              </w:rPr>
              <w:t>.</w:t>
            </w:r>
          </w:p>
          <w:p w14:paraId="554A003E" w14:textId="5719484C" w:rsidR="009451BD" w:rsidRDefault="009451BD" w:rsidP="009451BD">
            <w:pPr>
              <w:pStyle w:val="ListParagraph"/>
              <w:numPr>
                <w:ilvl w:val="0"/>
                <w:numId w:val="10"/>
              </w:numPr>
              <w:spacing w:before="120" w:line="360" w:lineRule="auto"/>
              <w:jc w:val="both"/>
              <w:rPr>
                <w:rFonts w:ascii="Times New Roman" w:hAnsi="Times New Roman" w:cs="Times New Roman"/>
                <w:lang w:val="en-US"/>
              </w:rPr>
            </w:pPr>
            <w:r>
              <w:rPr>
                <w:rFonts w:ascii="Times New Roman" w:hAnsi="Times New Roman" w:cs="Times New Roman"/>
                <w:lang w:val="en-US"/>
              </w:rPr>
              <w:t xml:space="preserve">Compute the 95%C.I. of </w:t>
            </w:r>
            <w:proofErr w:type="spellStart"/>
            <w:r w:rsidR="00AD794E">
              <w:rPr>
                <w:rFonts w:ascii="Times New Roman" w:hAnsi="Times New Roman" w:cs="Times New Roman"/>
                <w:lang w:val="en-US"/>
              </w:rPr>
              <w:t>SToR</w:t>
            </w:r>
            <w:proofErr w:type="spellEnd"/>
            <w:r w:rsidR="00B51A0F">
              <w:rPr>
                <w:rFonts w:ascii="Times New Roman" w:hAnsi="Times New Roman" w:cs="Times New Roman"/>
                <w:lang w:val="en-US"/>
              </w:rPr>
              <w:t xml:space="preserve"> using </w:t>
            </w:r>
            <w:proofErr w:type="spellStart"/>
            <w:r w:rsidR="00B51A0F">
              <w:rPr>
                <w:rFonts w:ascii="Times New Roman" w:hAnsi="Times New Roman" w:cs="Times New Roman"/>
                <w:lang w:val="en-US"/>
              </w:rPr>
              <w:t>n</w:t>
            </w:r>
            <w:r w:rsidR="00B51A0F" w:rsidRPr="009451BD">
              <w:rPr>
                <w:rFonts w:ascii="Times New Roman" w:hAnsi="Times New Roman" w:cs="Times New Roman"/>
                <w:vertAlign w:val="subscript"/>
                <w:lang w:val="en-US"/>
              </w:rPr>
              <w:t>external</w:t>
            </w:r>
            <w:proofErr w:type="spellEnd"/>
            <w:r w:rsidR="00B51A0F" w:rsidRPr="00B51A0F">
              <w:rPr>
                <w:rFonts w:ascii="Times New Roman" w:hAnsi="Times New Roman" w:cs="Times New Roman"/>
                <w:lang w:val="en-US"/>
              </w:rPr>
              <w:t>.</w:t>
            </w:r>
          </w:p>
          <w:p w14:paraId="27EBBB12" w14:textId="34A7BA24" w:rsidR="00AD794E" w:rsidRPr="009451BD" w:rsidRDefault="00AD794E" w:rsidP="009451BD">
            <w:pPr>
              <w:pStyle w:val="ListParagraph"/>
              <w:numPr>
                <w:ilvl w:val="0"/>
                <w:numId w:val="10"/>
              </w:numPr>
              <w:spacing w:before="120" w:line="360" w:lineRule="auto"/>
              <w:jc w:val="both"/>
              <w:rPr>
                <w:rFonts w:ascii="Times New Roman" w:hAnsi="Times New Roman" w:cs="Times New Roman"/>
                <w:lang w:val="en-US"/>
              </w:rPr>
            </w:pPr>
            <w:r>
              <w:rPr>
                <w:rFonts w:ascii="Times New Roman" w:hAnsi="Times New Roman" w:cs="Times New Roman"/>
                <w:lang w:val="en-US"/>
              </w:rPr>
              <w:t>If the 95%C.I. includes the present risk-adjusted value of 27.7%, then the external cohort had similar performance of the present cohort when covariate distribution was similar. If the 95%C.I. places over 27.7% it means that the external cohort performs better than the present cohort. If the 95%C.I. places below 27.7% it means that the external cohort performs worse than the present cohort.</w:t>
            </w:r>
          </w:p>
          <w:p w14:paraId="204AB6F2" w14:textId="46F43616" w:rsidR="0077312B" w:rsidRPr="0077312B" w:rsidRDefault="0077312B" w:rsidP="0077312B">
            <w:pPr>
              <w:ind w:left="720"/>
              <w:rPr>
                <w:rFonts w:ascii="Times New Roman" w:hAnsi="Times New Roman" w:cs="Times New Roman"/>
                <w:lang w:val="en-US"/>
              </w:rPr>
            </w:pPr>
          </w:p>
        </w:tc>
      </w:tr>
    </w:tbl>
    <w:p w14:paraId="78F5D65C" w14:textId="77777777" w:rsidR="0077312B" w:rsidRPr="0077312B" w:rsidRDefault="0077312B">
      <w:pPr>
        <w:rPr>
          <w:rFonts w:ascii="Times New Roman" w:hAnsi="Times New Roman" w:cs="Times New Roman"/>
          <w:sz w:val="24"/>
          <w:szCs w:val="24"/>
          <w:lang w:val="en-US"/>
        </w:rPr>
      </w:pPr>
    </w:p>
    <w:p w14:paraId="05636D22" w14:textId="77777777" w:rsidR="0077312B" w:rsidRDefault="0077312B">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EC9F072" w14:textId="5E9E9914" w:rsidR="00290768" w:rsidRDefault="00EF5D8F" w:rsidP="00290768">
      <w:pPr>
        <w:spacing w:line="360" w:lineRule="auto"/>
        <w:jc w:val="both"/>
        <w:rPr>
          <w:rFonts w:ascii="Times New Roman" w:hAnsi="Times New Roman" w:cs="Times New Roman"/>
          <w:sz w:val="24"/>
          <w:szCs w:val="24"/>
          <w:lang w:val="en-US"/>
        </w:rPr>
      </w:pPr>
      <w:r w:rsidRPr="00EF5D8F">
        <w:rPr>
          <w:rFonts w:ascii="Times New Roman" w:hAnsi="Times New Roman" w:cs="Times New Roman"/>
          <w:b/>
          <w:bCs/>
          <w:sz w:val="24"/>
          <w:szCs w:val="24"/>
          <w:lang w:val="en-US"/>
        </w:rPr>
        <w:lastRenderedPageBreak/>
        <w:t>Supplementary Figure 1.</w:t>
      </w:r>
      <w:r>
        <w:rPr>
          <w:rFonts w:ascii="Times New Roman" w:hAnsi="Times New Roman" w:cs="Times New Roman"/>
          <w:sz w:val="24"/>
          <w:szCs w:val="24"/>
          <w:lang w:val="en-US"/>
        </w:rPr>
        <w:t xml:space="preserve"> Calibration plot for the final mixed-effect multivariable analysis model used for risk-adjustment across participating centers.</w:t>
      </w:r>
    </w:p>
    <w:p w14:paraId="350D734F" w14:textId="7E6DC949" w:rsidR="00EF5D8F" w:rsidRPr="00A0600F" w:rsidRDefault="00EF5D8F" w:rsidP="009F2BC4">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4CFF678" wp14:editId="0BF021BA">
            <wp:extent cx="5099989" cy="48768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bration_plot.png"/>
                    <pic:cNvPicPr/>
                  </pic:nvPicPr>
                  <pic:blipFill rotWithShape="1">
                    <a:blip r:embed="rId14">
                      <a:extLst>
                        <a:ext uri="{28A0092B-C50C-407E-A947-70E740481C1C}">
                          <a14:useLocalDpi xmlns:a14="http://schemas.microsoft.com/office/drawing/2010/main" val="0"/>
                        </a:ext>
                      </a:extLst>
                    </a:blip>
                    <a:srcRect r="23895"/>
                    <a:stretch/>
                  </pic:blipFill>
                  <pic:spPr bwMode="auto">
                    <a:xfrm>
                      <a:off x="0" y="0"/>
                      <a:ext cx="5106473" cy="4883001"/>
                    </a:xfrm>
                    <a:prstGeom prst="rect">
                      <a:avLst/>
                    </a:prstGeom>
                    <a:ln>
                      <a:noFill/>
                    </a:ln>
                    <a:extLst>
                      <a:ext uri="{53640926-AAD7-44D8-BBD7-CCE9431645EC}">
                        <a14:shadowObscured xmlns:a14="http://schemas.microsoft.com/office/drawing/2010/main"/>
                      </a:ext>
                    </a:extLst>
                  </pic:spPr>
                </pic:pic>
              </a:graphicData>
            </a:graphic>
          </wp:inline>
        </w:drawing>
      </w:r>
    </w:p>
    <w:p w14:paraId="0699E13F" w14:textId="77777777" w:rsidR="00EA03C1" w:rsidRPr="00A0600F" w:rsidRDefault="00EA03C1" w:rsidP="005968F4">
      <w:pPr>
        <w:spacing w:line="360" w:lineRule="auto"/>
        <w:jc w:val="both"/>
        <w:rPr>
          <w:rFonts w:ascii="Times New Roman" w:hAnsi="Times New Roman" w:cs="Times New Roman"/>
          <w:sz w:val="24"/>
          <w:szCs w:val="24"/>
          <w:lang w:val="en-US"/>
        </w:rPr>
      </w:pPr>
    </w:p>
    <w:sectPr w:rsidR="00EA03C1" w:rsidRPr="00A0600F" w:rsidSect="00EF5D8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F5AA" w14:textId="77777777" w:rsidR="00843872" w:rsidRDefault="00843872" w:rsidP="001D4516">
      <w:pPr>
        <w:spacing w:after="0" w:line="240" w:lineRule="auto"/>
      </w:pPr>
      <w:r>
        <w:separator/>
      </w:r>
    </w:p>
  </w:endnote>
  <w:endnote w:type="continuationSeparator" w:id="0">
    <w:p w14:paraId="2E776786" w14:textId="77777777" w:rsidR="00843872" w:rsidRDefault="00843872" w:rsidP="001D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D1862" w14:textId="77777777" w:rsidR="00843872" w:rsidRDefault="00843872" w:rsidP="001D4516">
      <w:pPr>
        <w:spacing w:after="0" w:line="240" w:lineRule="auto"/>
      </w:pPr>
      <w:r>
        <w:separator/>
      </w:r>
    </w:p>
  </w:footnote>
  <w:footnote w:type="continuationSeparator" w:id="0">
    <w:p w14:paraId="09F029D4" w14:textId="77777777" w:rsidR="00843872" w:rsidRDefault="00843872" w:rsidP="001D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724706"/>
      <w:docPartObj>
        <w:docPartGallery w:val="Page Numbers (Top of Page)"/>
        <w:docPartUnique/>
      </w:docPartObj>
    </w:sdtPr>
    <w:sdtEndPr/>
    <w:sdtContent>
      <w:p w14:paraId="434B58BA" w14:textId="249482C4" w:rsidR="00D5236E" w:rsidRDefault="00D5236E">
        <w:pPr>
          <w:pStyle w:val="Header"/>
          <w:jc w:val="right"/>
        </w:pPr>
        <w:r>
          <w:fldChar w:fldCharType="begin"/>
        </w:r>
        <w:r>
          <w:instrText>PAGE   \* MERGEFORMAT</w:instrText>
        </w:r>
        <w:r>
          <w:fldChar w:fldCharType="separate"/>
        </w:r>
        <w:r>
          <w:t>2</w:t>
        </w:r>
        <w:r>
          <w:fldChar w:fldCharType="end"/>
        </w:r>
      </w:p>
    </w:sdtContent>
  </w:sdt>
  <w:p w14:paraId="18301E1E" w14:textId="77777777" w:rsidR="00D5236E" w:rsidRDefault="00D52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35ED"/>
    <w:multiLevelType w:val="hybridMultilevel"/>
    <w:tmpl w:val="5B16F36A"/>
    <w:lvl w:ilvl="0" w:tplc="73A869B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9611F"/>
    <w:multiLevelType w:val="hybridMultilevel"/>
    <w:tmpl w:val="C56C72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B8178E"/>
    <w:multiLevelType w:val="hybridMultilevel"/>
    <w:tmpl w:val="200849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930B40"/>
    <w:multiLevelType w:val="hybridMultilevel"/>
    <w:tmpl w:val="83745F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35575E"/>
    <w:multiLevelType w:val="multilevel"/>
    <w:tmpl w:val="FB5CA076"/>
    <w:lvl w:ilvl="0">
      <w:numFmt w:val="decimal"/>
      <w:lvlText w:val="%1"/>
      <w:lvlJc w:val="left"/>
      <w:pPr>
        <w:ind w:left="420" w:hanging="420"/>
      </w:pPr>
      <w:rPr>
        <w:rFonts w:hint="default"/>
      </w:rPr>
    </w:lvl>
    <w:lvl w:ilvl="1">
      <w:start w:val="8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B02111"/>
    <w:multiLevelType w:val="hybridMultilevel"/>
    <w:tmpl w:val="C5804508"/>
    <w:lvl w:ilvl="0" w:tplc="3156130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6D47637"/>
    <w:multiLevelType w:val="hybridMultilevel"/>
    <w:tmpl w:val="222E7F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3346C1"/>
    <w:multiLevelType w:val="hybridMultilevel"/>
    <w:tmpl w:val="4264546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2E39AA"/>
    <w:multiLevelType w:val="hybridMultilevel"/>
    <w:tmpl w:val="C7FC9F8C"/>
    <w:lvl w:ilvl="0" w:tplc="A4B43E98">
      <w:start w:val="3"/>
      <w:numFmt w:val="bullet"/>
      <w:lvlText w:val="-"/>
      <w:lvlJc w:val="left"/>
      <w:pPr>
        <w:ind w:left="1069" w:hanging="360"/>
      </w:pPr>
      <w:rPr>
        <w:rFonts w:ascii="Calibri" w:eastAsiaTheme="minorHAnsi" w:hAnsi="Calibri" w:cstheme="minorBidi" w:hint="default"/>
        <w:sz w:val="22"/>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7E67790B"/>
    <w:multiLevelType w:val="hybridMultilevel"/>
    <w:tmpl w:val="DD8843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7"/>
  </w:num>
  <w:num w:numId="6">
    <w:abstractNumId w:val="3"/>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F7"/>
    <w:rsid w:val="000101C8"/>
    <w:rsid w:val="000137DF"/>
    <w:rsid w:val="000220BF"/>
    <w:rsid w:val="000333A1"/>
    <w:rsid w:val="00036C3E"/>
    <w:rsid w:val="00044ACF"/>
    <w:rsid w:val="0005043C"/>
    <w:rsid w:val="00055B35"/>
    <w:rsid w:val="00062DC1"/>
    <w:rsid w:val="000860A8"/>
    <w:rsid w:val="000912A5"/>
    <w:rsid w:val="00093342"/>
    <w:rsid w:val="00095EFC"/>
    <w:rsid w:val="000A18C1"/>
    <w:rsid w:val="000A1C55"/>
    <w:rsid w:val="000C415A"/>
    <w:rsid w:val="000C4367"/>
    <w:rsid w:val="000C647C"/>
    <w:rsid w:val="000C75AC"/>
    <w:rsid w:val="000F2649"/>
    <w:rsid w:val="000F4331"/>
    <w:rsid w:val="0010148C"/>
    <w:rsid w:val="00102276"/>
    <w:rsid w:val="00102473"/>
    <w:rsid w:val="00106A02"/>
    <w:rsid w:val="0011000F"/>
    <w:rsid w:val="00110446"/>
    <w:rsid w:val="00112C7F"/>
    <w:rsid w:val="001228C1"/>
    <w:rsid w:val="00125185"/>
    <w:rsid w:val="00141C30"/>
    <w:rsid w:val="001457E9"/>
    <w:rsid w:val="00176F77"/>
    <w:rsid w:val="0018212E"/>
    <w:rsid w:val="001B473F"/>
    <w:rsid w:val="001B476E"/>
    <w:rsid w:val="001C1CD2"/>
    <w:rsid w:val="001C235A"/>
    <w:rsid w:val="001C2D2B"/>
    <w:rsid w:val="001D4516"/>
    <w:rsid w:val="001D4DDF"/>
    <w:rsid w:val="001F0FE5"/>
    <w:rsid w:val="00206865"/>
    <w:rsid w:val="00215F7E"/>
    <w:rsid w:val="00220012"/>
    <w:rsid w:val="002200FC"/>
    <w:rsid w:val="00231335"/>
    <w:rsid w:val="002429BE"/>
    <w:rsid w:val="002546CA"/>
    <w:rsid w:val="00255E6F"/>
    <w:rsid w:val="00256F80"/>
    <w:rsid w:val="00270392"/>
    <w:rsid w:val="0027482B"/>
    <w:rsid w:val="0027561A"/>
    <w:rsid w:val="00280CEF"/>
    <w:rsid w:val="00282F76"/>
    <w:rsid w:val="00290768"/>
    <w:rsid w:val="00295FDB"/>
    <w:rsid w:val="002B412B"/>
    <w:rsid w:val="002C6EC6"/>
    <w:rsid w:val="002F7B00"/>
    <w:rsid w:val="0030115E"/>
    <w:rsid w:val="0030129C"/>
    <w:rsid w:val="00310FEA"/>
    <w:rsid w:val="003208F8"/>
    <w:rsid w:val="0032219B"/>
    <w:rsid w:val="0033530E"/>
    <w:rsid w:val="00346E07"/>
    <w:rsid w:val="0035207E"/>
    <w:rsid w:val="0035646A"/>
    <w:rsid w:val="0036013C"/>
    <w:rsid w:val="00364F5C"/>
    <w:rsid w:val="00373DBE"/>
    <w:rsid w:val="00383CA4"/>
    <w:rsid w:val="003973F3"/>
    <w:rsid w:val="003B1290"/>
    <w:rsid w:val="003C0989"/>
    <w:rsid w:val="003C50D8"/>
    <w:rsid w:val="003E5FF4"/>
    <w:rsid w:val="003E6E69"/>
    <w:rsid w:val="003F2768"/>
    <w:rsid w:val="004043D8"/>
    <w:rsid w:val="004173AF"/>
    <w:rsid w:val="0041757D"/>
    <w:rsid w:val="00420B05"/>
    <w:rsid w:val="00427CAB"/>
    <w:rsid w:val="004461C1"/>
    <w:rsid w:val="00452225"/>
    <w:rsid w:val="004563EF"/>
    <w:rsid w:val="00477657"/>
    <w:rsid w:val="00481DA8"/>
    <w:rsid w:val="004821E1"/>
    <w:rsid w:val="00484FFA"/>
    <w:rsid w:val="004926C8"/>
    <w:rsid w:val="004B10F4"/>
    <w:rsid w:val="004B4DDC"/>
    <w:rsid w:val="004D2683"/>
    <w:rsid w:val="00503E70"/>
    <w:rsid w:val="00506DEB"/>
    <w:rsid w:val="00526A18"/>
    <w:rsid w:val="0053506A"/>
    <w:rsid w:val="00537E64"/>
    <w:rsid w:val="00550945"/>
    <w:rsid w:val="00551BBE"/>
    <w:rsid w:val="00576BAA"/>
    <w:rsid w:val="00584209"/>
    <w:rsid w:val="00584DC6"/>
    <w:rsid w:val="005968F4"/>
    <w:rsid w:val="005A2108"/>
    <w:rsid w:val="005A5CD1"/>
    <w:rsid w:val="005A6239"/>
    <w:rsid w:val="005B5DB7"/>
    <w:rsid w:val="005C04BE"/>
    <w:rsid w:val="005D00D2"/>
    <w:rsid w:val="005F0E7B"/>
    <w:rsid w:val="005F2EF3"/>
    <w:rsid w:val="005F3C32"/>
    <w:rsid w:val="00600C2C"/>
    <w:rsid w:val="00605A98"/>
    <w:rsid w:val="006073D7"/>
    <w:rsid w:val="00610C89"/>
    <w:rsid w:val="00610FB0"/>
    <w:rsid w:val="006353E6"/>
    <w:rsid w:val="00641FFE"/>
    <w:rsid w:val="00651610"/>
    <w:rsid w:val="0065247C"/>
    <w:rsid w:val="0065631B"/>
    <w:rsid w:val="006564D8"/>
    <w:rsid w:val="00666C96"/>
    <w:rsid w:val="00670C3D"/>
    <w:rsid w:val="00692A3D"/>
    <w:rsid w:val="006933E5"/>
    <w:rsid w:val="00697098"/>
    <w:rsid w:val="006C472A"/>
    <w:rsid w:val="006C5C15"/>
    <w:rsid w:val="006D06B8"/>
    <w:rsid w:val="006D07CB"/>
    <w:rsid w:val="006E1A65"/>
    <w:rsid w:val="006E7BC2"/>
    <w:rsid w:val="006F6809"/>
    <w:rsid w:val="006F7174"/>
    <w:rsid w:val="00703143"/>
    <w:rsid w:val="007108DD"/>
    <w:rsid w:val="0071484B"/>
    <w:rsid w:val="00720F21"/>
    <w:rsid w:val="00721B81"/>
    <w:rsid w:val="0072291E"/>
    <w:rsid w:val="00735B6A"/>
    <w:rsid w:val="00742546"/>
    <w:rsid w:val="0074324E"/>
    <w:rsid w:val="007665E7"/>
    <w:rsid w:val="00771505"/>
    <w:rsid w:val="0077312B"/>
    <w:rsid w:val="007808F7"/>
    <w:rsid w:val="007A15C4"/>
    <w:rsid w:val="007A1A90"/>
    <w:rsid w:val="007B3BD1"/>
    <w:rsid w:val="007C602D"/>
    <w:rsid w:val="007D639A"/>
    <w:rsid w:val="00800912"/>
    <w:rsid w:val="008010D3"/>
    <w:rsid w:val="00806AEB"/>
    <w:rsid w:val="00826085"/>
    <w:rsid w:val="008361E3"/>
    <w:rsid w:val="00843872"/>
    <w:rsid w:val="008455E5"/>
    <w:rsid w:val="0085715B"/>
    <w:rsid w:val="008614A7"/>
    <w:rsid w:val="00874549"/>
    <w:rsid w:val="00882FFE"/>
    <w:rsid w:val="00883BCD"/>
    <w:rsid w:val="00892FBB"/>
    <w:rsid w:val="00897498"/>
    <w:rsid w:val="008B37D4"/>
    <w:rsid w:val="008C06F6"/>
    <w:rsid w:val="008C156B"/>
    <w:rsid w:val="008C24CA"/>
    <w:rsid w:val="008D5160"/>
    <w:rsid w:val="0090030C"/>
    <w:rsid w:val="00907A2F"/>
    <w:rsid w:val="00910181"/>
    <w:rsid w:val="00911596"/>
    <w:rsid w:val="0092325D"/>
    <w:rsid w:val="009451BD"/>
    <w:rsid w:val="0095482A"/>
    <w:rsid w:val="00967CFA"/>
    <w:rsid w:val="0097621F"/>
    <w:rsid w:val="0098278E"/>
    <w:rsid w:val="009A0901"/>
    <w:rsid w:val="009A3BEB"/>
    <w:rsid w:val="009A50C6"/>
    <w:rsid w:val="009C2BFC"/>
    <w:rsid w:val="009E4396"/>
    <w:rsid w:val="009E4C7C"/>
    <w:rsid w:val="009E707F"/>
    <w:rsid w:val="009F2BC4"/>
    <w:rsid w:val="00A03B53"/>
    <w:rsid w:val="00A0600F"/>
    <w:rsid w:val="00A06012"/>
    <w:rsid w:val="00A070AC"/>
    <w:rsid w:val="00A274F2"/>
    <w:rsid w:val="00A313F8"/>
    <w:rsid w:val="00A4018E"/>
    <w:rsid w:val="00A41B5F"/>
    <w:rsid w:val="00A44472"/>
    <w:rsid w:val="00A50FB2"/>
    <w:rsid w:val="00A5201F"/>
    <w:rsid w:val="00A5518C"/>
    <w:rsid w:val="00A551B1"/>
    <w:rsid w:val="00A6363C"/>
    <w:rsid w:val="00A66EB2"/>
    <w:rsid w:val="00A92BE0"/>
    <w:rsid w:val="00AC7D79"/>
    <w:rsid w:val="00AD1FB6"/>
    <w:rsid w:val="00AD6118"/>
    <w:rsid w:val="00AD794E"/>
    <w:rsid w:val="00AF5397"/>
    <w:rsid w:val="00AF5B06"/>
    <w:rsid w:val="00B02C77"/>
    <w:rsid w:val="00B14D63"/>
    <w:rsid w:val="00B16F4F"/>
    <w:rsid w:val="00B357B9"/>
    <w:rsid w:val="00B42F1C"/>
    <w:rsid w:val="00B51A0F"/>
    <w:rsid w:val="00B51E6A"/>
    <w:rsid w:val="00B70391"/>
    <w:rsid w:val="00B74EC7"/>
    <w:rsid w:val="00B8311C"/>
    <w:rsid w:val="00B9079C"/>
    <w:rsid w:val="00B96F11"/>
    <w:rsid w:val="00BC17A9"/>
    <w:rsid w:val="00BE3BEA"/>
    <w:rsid w:val="00BE6F42"/>
    <w:rsid w:val="00C47112"/>
    <w:rsid w:val="00C52AE5"/>
    <w:rsid w:val="00C651A4"/>
    <w:rsid w:val="00C715AC"/>
    <w:rsid w:val="00C71F71"/>
    <w:rsid w:val="00C727E0"/>
    <w:rsid w:val="00C72CDD"/>
    <w:rsid w:val="00C73AE2"/>
    <w:rsid w:val="00C812B6"/>
    <w:rsid w:val="00CB2168"/>
    <w:rsid w:val="00CE0E50"/>
    <w:rsid w:val="00CF3A78"/>
    <w:rsid w:val="00D05E0E"/>
    <w:rsid w:val="00D104A5"/>
    <w:rsid w:val="00D153C9"/>
    <w:rsid w:val="00D3257A"/>
    <w:rsid w:val="00D50536"/>
    <w:rsid w:val="00D5236E"/>
    <w:rsid w:val="00D5427F"/>
    <w:rsid w:val="00D610BF"/>
    <w:rsid w:val="00D71AC4"/>
    <w:rsid w:val="00D768A2"/>
    <w:rsid w:val="00D8596F"/>
    <w:rsid w:val="00D9163C"/>
    <w:rsid w:val="00D97EC2"/>
    <w:rsid w:val="00DB2FA3"/>
    <w:rsid w:val="00DB32C7"/>
    <w:rsid w:val="00DB477F"/>
    <w:rsid w:val="00DD53F5"/>
    <w:rsid w:val="00DD5BC1"/>
    <w:rsid w:val="00DE0383"/>
    <w:rsid w:val="00DF24F4"/>
    <w:rsid w:val="00DF2DF7"/>
    <w:rsid w:val="00E205F6"/>
    <w:rsid w:val="00E31EF8"/>
    <w:rsid w:val="00E413E1"/>
    <w:rsid w:val="00E517BD"/>
    <w:rsid w:val="00E55CB1"/>
    <w:rsid w:val="00E571A1"/>
    <w:rsid w:val="00E62858"/>
    <w:rsid w:val="00E632CA"/>
    <w:rsid w:val="00E97D80"/>
    <w:rsid w:val="00EA03C1"/>
    <w:rsid w:val="00EA3366"/>
    <w:rsid w:val="00EA3A0F"/>
    <w:rsid w:val="00EB1C54"/>
    <w:rsid w:val="00EC6124"/>
    <w:rsid w:val="00EF0EB6"/>
    <w:rsid w:val="00EF5D8F"/>
    <w:rsid w:val="00F066C1"/>
    <w:rsid w:val="00F14E34"/>
    <w:rsid w:val="00F16720"/>
    <w:rsid w:val="00F21C80"/>
    <w:rsid w:val="00F31347"/>
    <w:rsid w:val="00F35310"/>
    <w:rsid w:val="00F55940"/>
    <w:rsid w:val="00F56601"/>
    <w:rsid w:val="00F613B0"/>
    <w:rsid w:val="00F65E3D"/>
    <w:rsid w:val="00F80CA0"/>
    <w:rsid w:val="00F832F9"/>
    <w:rsid w:val="00F83586"/>
    <w:rsid w:val="00FA0ECC"/>
    <w:rsid w:val="00FA2C14"/>
    <w:rsid w:val="00FC1FA5"/>
    <w:rsid w:val="00FC1FEB"/>
    <w:rsid w:val="00FC4A74"/>
    <w:rsid w:val="00FC554E"/>
    <w:rsid w:val="00FE25E4"/>
    <w:rsid w:val="00FF0114"/>
    <w:rsid w:val="00FF1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33D3"/>
  <w15:chartTrackingRefBased/>
  <w15:docId w15:val="{1716F991-12DA-4337-B473-09CFC8D7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6A"/>
    <w:pPr>
      <w:ind w:left="720"/>
      <w:contextualSpacing/>
    </w:pPr>
  </w:style>
  <w:style w:type="character" w:styleId="CommentReference">
    <w:name w:val="annotation reference"/>
    <w:basedOn w:val="DefaultParagraphFont"/>
    <w:uiPriority w:val="99"/>
    <w:semiHidden/>
    <w:unhideWhenUsed/>
    <w:rsid w:val="00A03B53"/>
    <w:rPr>
      <w:sz w:val="16"/>
      <w:szCs w:val="16"/>
    </w:rPr>
  </w:style>
  <w:style w:type="paragraph" w:styleId="CommentText">
    <w:name w:val="annotation text"/>
    <w:basedOn w:val="Normal"/>
    <w:link w:val="CommentTextChar"/>
    <w:uiPriority w:val="99"/>
    <w:semiHidden/>
    <w:unhideWhenUsed/>
    <w:rsid w:val="00A03B53"/>
    <w:pPr>
      <w:spacing w:line="240" w:lineRule="auto"/>
    </w:pPr>
    <w:rPr>
      <w:sz w:val="20"/>
      <w:szCs w:val="20"/>
    </w:rPr>
  </w:style>
  <w:style w:type="character" w:customStyle="1" w:styleId="CommentTextChar">
    <w:name w:val="Comment Text Char"/>
    <w:basedOn w:val="DefaultParagraphFont"/>
    <w:link w:val="CommentText"/>
    <w:uiPriority w:val="99"/>
    <w:semiHidden/>
    <w:rsid w:val="00A03B53"/>
    <w:rPr>
      <w:sz w:val="20"/>
      <w:szCs w:val="20"/>
    </w:rPr>
  </w:style>
  <w:style w:type="paragraph" w:styleId="CommentSubject">
    <w:name w:val="annotation subject"/>
    <w:basedOn w:val="CommentText"/>
    <w:next w:val="CommentText"/>
    <w:link w:val="CommentSubjectChar"/>
    <w:uiPriority w:val="99"/>
    <w:semiHidden/>
    <w:unhideWhenUsed/>
    <w:rsid w:val="00A03B53"/>
    <w:rPr>
      <w:b/>
      <w:bCs/>
    </w:rPr>
  </w:style>
  <w:style w:type="character" w:customStyle="1" w:styleId="CommentSubjectChar">
    <w:name w:val="Comment Subject Char"/>
    <w:basedOn w:val="CommentTextChar"/>
    <w:link w:val="CommentSubject"/>
    <w:uiPriority w:val="99"/>
    <w:semiHidden/>
    <w:rsid w:val="00A03B53"/>
    <w:rPr>
      <w:b/>
      <w:bCs/>
      <w:sz w:val="20"/>
      <w:szCs w:val="20"/>
    </w:rPr>
  </w:style>
  <w:style w:type="paragraph" w:styleId="BalloonText">
    <w:name w:val="Balloon Text"/>
    <w:basedOn w:val="Normal"/>
    <w:link w:val="BalloonTextChar"/>
    <w:uiPriority w:val="99"/>
    <w:semiHidden/>
    <w:unhideWhenUsed/>
    <w:rsid w:val="00A0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53"/>
    <w:rPr>
      <w:rFonts w:ascii="Segoe UI" w:hAnsi="Segoe UI" w:cs="Segoe UI"/>
      <w:sz w:val="18"/>
      <w:szCs w:val="18"/>
    </w:rPr>
  </w:style>
  <w:style w:type="table" w:styleId="TableGrid">
    <w:name w:val="Table Grid"/>
    <w:basedOn w:val="TableNormal"/>
    <w:uiPriority w:val="39"/>
    <w:rsid w:val="00D9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366"/>
    <w:rPr>
      <w:color w:val="0563C1" w:themeColor="hyperlink"/>
      <w:u w:val="single"/>
    </w:rPr>
  </w:style>
  <w:style w:type="character" w:customStyle="1" w:styleId="Menzionenonrisolta1">
    <w:name w:val="Menzione non risolta1"/>
    <w:basedOn w:val="DefaultParagraphFont"/>
    <w:uiPriority w:val="99"/>
    <w:semiHidden/>
    <w:unhideWhenUsed/>
    <w:rsid w:val="00EA3366"/>
    <w:rPr>
      <w:color w:val="605E5C"/>
      <w:shd w:val="clear" w:color="auto" w:fill="E1DFDD"/>
    </w:rPr>
  </w:style>
  <w:style w:type="character" w:customStyle="1" w:styleId="hgkelc">
    <w:name w:val="hgkelc"/>
    <w:basedOn w:val="DefaultParagraphFont"/>
    <w:rsid w:val="0033530E"/>
  </w:style>
  <w:style w:type="character" w:customStyle="1" w:styleId="docsum-journal-citation">
    <w:name w:val="docsum-journal-citation"/>
    <w:basedOn w:val="DefaultParagraphFont"/>
    <w:rsid w:val="000912A5"/>
  </w:style>
  <w:style w:type="paragraph" w:styleId="Header">
    <w:name w:val="header"/>
    <w:basedOn w:val="Normal"/>
    <w:link w:val="HeaderChar"/>
    <w:uiPriority w:val="99"/>
    <w:unhideWhenUsed/>
    <w:rsid w:val="001D45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4516"/>
  </w:style>
  <w:style w:type="paragraph" w:styleId="Footer">
    <w:name w:val="footer"/>
    <w:basedOn w:val="Normal"/>
    <w:link w:val="FooterChar"/>
    <w:uiPriority w:val="99"/>
    <w:unhideWhenUsed/>
    <w:rsid w:val="001D45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4516"/>
  </w:style>
  <w:style w:type="character" w:styleId="PlaceholderText">
    <w:name w:val="Placeholder Text"/>
    <w:basedOn w:val="DefaultParagraphFont"/>
    <w:uiPriority w:val="99"/>
    <w:semiHidden/>
    <w:rsid w:val="006524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1399">
      <w:bodyDiv w:val="1"/>
      <w:marLeft w:val="0"/>
      <w:marRight w:val="0"/>
      <w:marTop w:val="0"/>
      <w:marBottom w:val="0"/>
      <w:divBdr>
        <w:top w:val="none" w:sz="0" w:space="0" w:color="auto"/>
        <w:left w:val="none" w:sz="0" w:space="0" w:color="auto"/>
        <w:bottom w:val="none" w:sz="0" w:space="0" w:color="auto"/>
        <w:right w:val="none" w:sz="0" w:space="0" w:color="auto"/>
      </w:divBdr>
    </w:div>
    <w:div w:id="242449639">
      <w:bodyDiv w:val="1"/>
      <w:marLeft w:val="0"/>
      <w:marRight w:val="0"/>
      <w:marTop w:val="0"/>
      <w:marBottom w:val="0"/>
      <w:divBdr>
        <w:top w:val="none" w:sz="0" w:space="0" w:color="auto"/>
        <w:left w:val="none" w:sz="0" w:space="0" w:color="auto"/>
        <w:bottom w:val="none" w:sz="0" w:space="0" w:color="auto"/>
        <w:right w:val="none" w:sz="0" w:space="0" w:color="auto"/>
      </w:divBdr>
    </w:div>
    <w:div w:id="267393556">
      <w:bodyDiv w:val="1"/>
      <w:marLeft w:val="0"/>
      <w:marRight w:val="0"/>
      <w:marTop w:val="0"/>
      <w:marBottom w:val="0"/>
      <w:divBdr>
        <w:top w:val="none" w:sz="0" w:space="0" w:color="auto"/>
        <w:left w:val="none" w:sz="0" w:space="0" w:color="auto"/>
        <w:bottom w:val="none" w:sz="0" w:space="0" w:color="auto"/>
        <w:right w:val="none" w:sz="0" w:space="0" w:color="auto"/>
      </w:divBdr>
    </w:div>
    <w:div w:id="333414238">
      <w:bodyDiv w:val="1"/>
      <w:marLeft w:val="0"/>
      <w:marRight w:val="0"/>
      <w:marTop w:val="0"/>
      <w:marBottom w:val="0"/>
      <w:divBdr>
        <w:top w:val="none" w:sz="0" w:space="0" w:color="auto"/>
        <w:left w:val="none" w:sz="0" w:space="0" w:color="auto"/>
        <w:bottom w:val="none" w:sz="0" w:space="0" w:color="auto"/>
        <w:right w:val="none" w:sz="0" w:space="0" w:color="auto"/>
      </w:divBdr>
      <w:divsChild>
        <w:div w:id="1847868414">
          <w:marLeft w:val="0"/>
          <w:marRight w:val="0"/>
          <w:marTop w:val="0"/>
          <w:marBottom w:val="0"/>
          <w:divBdr>
            <w:top w:val="none" w:sz="0" w:space="0" w:color="auto"/>
            <w:left w:val="none" w:sz="0" w:space="0" w:color="auto"/>
            <w:bottom w:val="none" w:sz="0" w:space="0" w:color="auto"/>
            <w:right w:val="none" w:sz="0" w:space="0" w:color="auto"/>
          </w:divBdr>
        </w:div>
      </w:divsChild>
    </w:div>
    <w:div w:id="375546594">
      <w:bodyDiv w:val="1"/>
      <w:marLeft w:val="0"/>
      <w:marRight w:val="0"/>
      <w:marTop w:val="0"/>
      <w:marBottom w:val="0"/>
      <w:divBdr>
        <w:top w:val="none" w:sz="0" w:space="0" w:color="auto"/>
        <w:left w:val="none" w:sz="0" w:space="0" w:color="auto"/>
        <w:bottom w:val="none" w:sz="0" w:space="0" w:color="auto"/>
        <w:right w:val="none" w:sz="0" w:space="0" w:color="auto"/>
      </w:divBdr>
    </w:div>
    <w:div w:id="442388268">
      <w:bodyDiv w:val="1"/>
      <w:marLeft w:val="0"/>
      <w:marRight w:val="0"/>
      <w:marTop w:val="0"/>
      <w:marBottom w:val="0"/>
      <w:divBdr>
        <w:top w:val="none" w:sz="0" w:space="0" w:color="auto"/>
        <w:left w:val="none" w:sz="0" w:space="0" w:color="auto"/>
        <w:bottom w:val="none" w:sz="0" w:space="0" w:color="auto"/>
        <w:right w:val="none" w:sz="0" w:space="0" w:color="auto"/>
      </w:divBdr>
    </w:div>
    <w:div w:id="878199405">
      <w:bodyDiv w:val="1"/>
      <w:marLeft w:val="0"/>
      <w:marRight w:val="0"/>
      <w:marTop w:val="0"/>
      <w:marBottom w:val="0"/>
      <w:divBdr>
        <w:top w:val="none" w:sz="0" w:space="0" w:color="auto"/>
        <w:left w:val="none" w:sz="0" w:space="0" w:color="auto"/>
        <w:bottom w:val="none" w:sz="0" w:space="0" w:color="auto"/>
        <w:right w:val="none" w:sz="0" w:space="0" w:color="auto"/>
      </w:divBdr>
    </w:div>
    <w:div w:id="1058934909">
      <w:bodyDiv w:val="1"/>
      <w:marLeft w:val="0"/>
      <w:marRight w:val="0"/>
      <w:marTop w:val="0"/>
      <w:marBottom w:val="0"/>
      <w:divBdr>
        <w:top w:val="none" w:sz="0" w:space="0" w:color="auto"/>
        <w:left w:val="none" w:sz="0" w:space="0" w:color="auto"/>
        <w:bottom w:val="none" w:sz="0" w:space="0" w:color="auto"/>
        <w:right w:val="none" w:sz="0" w:space="0" w:color="auto"/>
      </w:divBdr>
      <w:divsChild>
        <w:div w:id="1421639371">
          <w:marLeft w:val="0"/>
          <w:marRight w:val="0"/>
          <w:marTop w:val="0"/>
          <w:marBottom w:val="0"/>
          <w:divBdr>
            <w:top w:val="none" w:sz="0" w:space="0" w:color="auto"/>
            <w:left w:val="none" w:sz="0" w:space="0" w:color="auto"/>
            <w:bottom w:val="none" w:sz="0" w:space="0" w:color="auto"/>
            <w:right w:val="none" w:sz="0" w:space="0" w:color="auto"/>
          </w:divBdr>
        </w:div>
        <w:div w:id="1989942319">
          <w:marLeft w:val="0"/>
          <w:marRight w:val="0"/>
          <w:marTop w:val="0"/>
          <w:marBottom w:val="0"/>
          <w:divBdr>
            <w:top w:val="none" w:sz="0" w:space="0" w:color="auto"/>
            <w:left w:val="none" w:sz="0" w:space="0" w:color="auto"/>
            <w:bottom w:val="none" w:sz="0" w:space="0" w:color="auto"/>
            <w:right w:val="none" w:sz="0" w:space="0" w:color="auto"/>
          </w:divBdr>
          <w:divsChild>
            <w:div w:id="1832283905">
              <w:marLeft w:val="0"/>
              <w:marRight w:val="0"/>
              <w:marTop w:val="0"/>
              <w:marBottom w:val="0"/>
              <w:divBdr>
                <w:top w:val="none" w:sz="0" w:space="0" w:color="auto"/>
                <w:left w:val="none" w:sz="0" w:space="0" w:color="auto"/>
                <w:bottom w:val="none" w:sz="0" w:space="0" w:color="auto"/>
                <w:right w:val="none" w:sz="0" w:space="0" w:color="auto"/>
              </w:divBdr>
            </w:div>
            <w:div w:id="319433416">
              <w:marLeft w:val="0"/>
              <w:marRight w:val="0"/>
              <w:marTop w:val="0"/>
              <w:marBottom w:val="0"/>
              <w:divBdr>
                <w:top w:val="none" w:sz="0" w:space="0" w:color="auto"/>
                <w:left w:val="none" w:sz="0" w:space="0" w:color="auto"/>
                <w:bottom w:val="none" w:sz="0" w:space="0" w:color="auto"/>
                <w:right w:val="none" w:sz="0" w:space="0" w:color="auto"/>
              </w:divBdr>
            </w:div>
            <w:div w:id="1157648193">
              <w:marLeft w:val="0"/>
              <w:marRight w:val="0"/>
              <w:marTop w:val="0"/>
              <w:marBottom w:val="0"/>
              <w:divBdr>
                <w:top w:val="none" w:sz="0" w:space="0" w:color="auto"/>
                <w:left w:val="none" w:sz="0" w:space="0" w:color="auto"/>
                <w:bottom w:val="none" w:sz="0" w:space="0" w:color="auto"/>
                <w:right w:val="none" w:sz="0" w:space="0" w:color="auto"/>
              </w:divBdr>
            </w:div>
            <w:div w:id="508446866">
              <w:marLeft w:val="0"/>
              <w:marRight w:val="0"/>
              <w:marTop w:val="0"/>
              <w:marBottom w:val="0"/>
              <w:divBdr>
                <w:top w:val="none" w:sz="0" w:space="0" w:color="auto"/>
                <w:left w:val="none" w:sz="0" w:space="0" w:color="auto"/>
                <w:bottom w:val="none" w:sz="0" w:space="0" w:color="auto"/>
                <w:right w:val="none" w:sz="0" w:space="0" w:color="auto"/>
              </w:divBdr>
            </w:div>
            <w:div w:id="763260685">
              <w:marLeft w:val="0"/>
              <w:marRight w:val="0"/>
              <w:marTop w:val="0"/>
              <w:marBottom w:val="0"/>
              <w:divBdr>
                <w:top w:val="none" w:sz="0" w:space="0" w:color="auto"/>
                <w:left w:val="none" w:sz="0" w:space="0" w:color="auto"/>
                <w:bottom w:val="none" w:sz="0" w:space="0" w:color="auto"/>
                <w:right w:val="none" w:sz="0" w:space="0" w:color="auto"/>
              </w:divBdr>
            </w:div>
            <w:div w:id="1547719077">
              <w:marLeft w:val="0"/>
              <w:marRight w:val="0"/>
              <w:marTop w:val="0"/>
              <w:marBottom w:val="0"/>
              <w:divBdr>
                <w:top w:val="none" w:sz="0" w:space="0" w:color="auto"/>
                <w:left w:val="none" w:sz="0" w:space="0" w:color="auto"/>
                <w:bottom w:val="none" w:sz="0" w:space="0" w:color="auto"/>
                <w:right w:val="none" w:sz="0" w:space="0" w:color="auto"/>
              </w:divBdr>
            </w:div>
            <w:div w:id="1513185276">
              <w:marLeft w:val="0"/>
              <w:marRight w:val="0"/>
              <w:marTop w:val="0"/>
              <w:marBottom w:val="0"/>
              <w:divBdr>
                <w:top w:val="none" w:sz="0" w:space="0" w:color="auto"/>
                <w:left w:val="none" w:sz="0" w:space="0" w:color="auto"/>
                <w:bottom w:val="none" w:sz="0" w:space="0" w:color="auto"/>
                <w:right w:val="none" w:sz="0" w:space="0" w:color="auto"/>
              </w:divBdr>
            </w:div>
            <w:div w:id="19825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7746">
      <w:bodyDiv w:val="1"/>
      <w:marLeft w:val="0"/>
      <w:marRight w:val="0"/>
      <w:marTop w:val="0"/>
      <w:marBottom w:val="0"/>
      <w:divBdr>
        <w:top w:val="none" w:sz="0" w:space="0" w:color="auto"/>
        <w:left w:val="none" w:sz="0" w:space="0" w:color="auto"/>
        <w:bottom w:val="none" w:sz="0" w:space="0" w:color="auto"/>
        <w:right w:val="none" w:sz="0" w:space="0" w:color="auto"/>
      </w:divBdr>
    </w:div>
    <w:div w:id="1195463178">
      <w:bodyDiv w:val="1"/>
      <w:marLeft w:val="0"/>
      <w:marRight w:val="0"/>
      <w:marTop w:val="0"/>
      <w:marBottom w:val="0"/>
      <w:divBdr>
        <w:top w:val="none" w:sz="0" w:space="0" w:color="auto"/>
        <w:left w:val="none" w:sz="0" w:space="0" w:color="auto"/>
        <w:bottom w:val="none" w:sz="0" w:space="0" w:color="auto"/>
        <w:right w:val="none" w:sz="0" w:space="0" w:color="auto"/>
      </w:divBdr>
      <w:divsChild>
        <w:div w:id="1006784218">
          <w:marLeft w:val="0"/>
          <w:marRight w:val="0"/>
          <w:marTop w:val="0"/>
          <w:marBottom w:val="0"/>
          <w:divBdr>
            <w:top w:val="none" w:sz="0" w:space="0" w:color="auto"/>
            <w:left w:val="none" w:sz="0" w:space="0" w:color="auto"/>
            <w:bottom w:val="none" w:sz="0" w:space="0" w:color="auto"/>
            <w:right w:val="none" w:sz="0" w:space="0" w:color="auto"/>
          </w:divBdr>
        </w:div>
        <w:div w:id="324626260">
          <w:marLeft w:val="0"/>
          <w:marRight w:val="0"/>
          <w:marTop w:val="0"/>
          <w:marBottom w:val="0"/>
          <w:divBdr>
            <w:top w:val="none" w:sz="0" w:space="0" w:color="auto"/>
            <w:left w:val="none" w:sz="0" w:space="0" w:color="auto"/>
            <w:bottom w:val="none" w:sz="0" w:space="0" w:color="auto"/>
            <w:right w:val="none" w:sz="0" w:space="0" w:color="auto"/>
          </w:divBdr>
        </w:div>
        <w:div w:id="886452708">
          <w:marLeft w:val="0"/>
          <w:marRight w:val="0"/>
          <w:marTop w:val="0"/>
          <w:marBottom w:val="0"/>
          <w:divBdr>
            <w:top w:val="none" w:sz="0" w:space="0" w:color="auto"/>
            <w:left w:val="none" w:sz="0" w:space="0" w:color="auto"/>
            <w:bottom w:val="none" w:sz="0" w:space="0" w:color="auto"/>
            <w:right w:val="none" w:sz="0" w:space="0" w:color="auto"/>
          </w:divBdr>
        </w:div>
        <w:div w:id="406731482">
          <w:marLeft w:val="0"/>
          <w:marRight w:val="0"/>
          <w:marTop w:val="0"/>
          <w:marBottom w:val="0"/>
          <w:divBdr>
            <w:top w:val="none" w:sz="0" w:space="0" w:color="auto"/>
            <w:left w:val="none" w:sz="0" w:space="0" w:color="auto"/>
            <w:bottom w:val="none" w:sz="0" w:space="0" w:color="auto"/>
            <w:right w:val="none" w:sz="0" w:space="0" w:color="auto"/>
          </w:divBdr>
        </w:div>
        <w:div w:id="1402675766">
          <w:marLeft w:val="0"/>
          <w:marRight w:val="0"/>
          <w:marTop w:val="0"/>
          <w:marBottom w:val="0"/>
          <w:divBdr>
            <w:top w:val="none" w:sz="0" w:space="0" w:color="auto"/>
            <w:left w:val="none" w:sz="0" w:space="0" w:color="auto"/>
            <w:bottom w:val="none" w:sz="0" w:space="0" w:color="auto"/>
            <w:right w:val="none" w:sz="0" w:space="0" w:color="auto"/>
          </w:divBdr>
        </w:div>
        <w:div w:id="2049336308">
          <w:marLeft w:val="0"/>
          <w:marRight w:val="0"/>
          <w:marTop w:val="0"/>
          <w:marBottom w:val="0"/>
          <w:divBdr>
            <w:top w:val="none" w:sz="0" w:space="0" w:color="auto"/>
            <w:left w:val="none" w:sz="0" w:space="0" w:color="auto"/>
            <w:bottom w:val="none" w:sz="0" w:space="0" w:color="auto"/>
            <w:right w:val="none" w:sz="0" w:space="0" w:color="auto"/>
          </w:divBdr>
        </w:div>
        <w:div w:id="789785198">
          <w:marLeft w:val="0"/>
          <w:marRight w:val="0"/>
          <w:marTop w:val="0"/>
          <w:marBottom w:val="0"/>
          <w:divBdr>
            <w:top w:val="none" w:sz="0" w:space="0" w:color="auto"/>
            <w:left w:val="none" w:sz="0" w:space="0" w:color="auto"/>
            <w:bottom w:val="none" w:sz="0" w:space="0" w:color="auto"/>
            <w:right w:val="none" w:sz="0" w:space="0" w:color="auto"/>
          </w:divBdr>
        </w:div>
        <w:div w:id="1565139824">
          <w:marLeft w:val="0"/>
          <w:marRight w:val="0"/>
          <w:marTop w:val="0"/>
          <w:marBottom w:val="0"/>
          <w:divBdr>
            <w:top w:val="none" w:sz="0" w:space="0" w:color="auto"/>
            <w:left w:val="none" w:sz="0" w:space="0" w:color="auto"/>
            <w:bottom w:val="none" w:sz="0" w:space="0" w:color="auto"/>
            <w:right w:val="none" w:sz="0" w:space="0" w:color="auto"/>
          </w:divBdr>
        </w:div>
        <w:div w:id="497306435">
          <w:marLeft w:val="0"/>
          <w:marRight w:val="0"/>
          <w:marTop w:val="0"/>
          <w:marBottom w:val="0"/>
          <w:divBdr>
            <w:top w:val="none" w:sz="0" w:space="0" w:color="auto"/>
            <w:left w:val="none" w:sz="0" w:space="0" w:color="auto"/>
            <w:bottom w:val="none" w:sz="0" w:space="0" w:color="auto"/>
            <w:right w:val="none" w:sz="0" w:space="0" w:color="auto"/>
          </w:divBdr>
        </w:div>
        <w:div w:id="1886915917">
          <w:marLeft w:val="0"/>
          <w:marRight w:val="0"/>
          <w:marTop w:val="0"/>
          <w:marBottom w:val="0"/>
          <w:divBdr>
            <w:top w:val="none" w:sz="0" w:space="0" w:color="auto"/>
            <w:left w:val="none" w:sz="0" w:space="0" w:color="auto"/>
            <w:bottom w:val="none" w:sz="0" w:space="0" w:color="auto"/>
            <w:right w:val="none" w:sz="0" w:space="0" w:color="auto"/>
          </w:divBdr>
        </w:div>
      </w:divsChild>
    </w:div>
    <w:div w:id="1315142706">
      <w:bodyDiv w:val="1"/>
      <w:marLeft w:val="0"/>
      <w:marRight w:val="0"/>
      <w:marTop w:val="0"/>
      <w:marBottom w:val="0"/>
      <w:divBdr>
        <w:top w:val="none" w:sz="0" w:space="0" w:color="auto"/>
        <w:left w:val="none" w:sz="0" w:space="0" w:color="auto"/>
        <w:bottom w:val="none" w:sz="0" w:space="0" w:color="auto"/>
        <w:right w:val="none" w:sz="0" w:space="0" w:color="auto"/>
      </w:divBdr>
    </w:div>
    <w:div w:id="1684939981">
      <w:bodyDiv w:val="1"/>
      <w:marLeft w:val="0"/>
      <w:marRight w:val="0"/>
      <w:marTop w:val="0"/>
      <w:marBottom w:val="0"/>
      <w:divBdr>
        <w:top w:val="none" w:sz="0" w:space="0" w:color="auto"/>
        <w:left w:val="none" w:sz="0" w:space="0" w:color="auto"/>
        <w:bottom w:val="none" w:sz="0" w:space="0" w:color="auto"/>
        <w:right w:val="none" w:sz="0" w:space="0" w:color="auto"/>
      </w:divBdr>
    </w:div>
    <w:div w:id="1903253737">
      <w:bodyDiv w:val="1"/>
      <w:marLeft w:val="0"/>
      <w:marRight w:val="0"/>
      <w:marTop w:val="0"/>
      <w:marBottom w:val="0"/>
      <w:divBdr>
        <w:top w:val="none" w:sz="0" w:space="0" w:color="auto"/>
        <w:left w:val="none" w:sz="0" w:space="0" w:color="auto"/>
        <w:bottom w:val="none" w:sz="0" w:space="0" w:color="auto"/>
        <w:right w:val="none" w:sz="0" w:space="0" w:color="auto"/>
      </w:divBdr>
    </w:div>
    <w:div w:id="20033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qko@libero.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scalc.io/calc/bz7p3W8LgH21CuDy" TargetMode="External"/><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7CA9-0246-4B28-A3A2-C5653A84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6944</Words>
  <Characters>39581</Characters>
  <Application>Microsoft Office Word</Application>
  <DocSecurity>0</DocSecurity>
  <Lines>329</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Cucchetti</dc:creator>
  <cp:keywords/>
  <dc:description/>
  <cp:lastModifiedBy>Joanne O'Rourke</cp:lastModifiedBy>
  <cp:revision>2</cp:revision>
  <dcterms:created xsi:type="dcterms:W3CDTF">2021-02-02T22:08:00Z</dcterms:created>
  <dcterms:modified xsi:type="dcterms:W3CDTF">2021-02-02T22:08:00Z</dcterms:modified>
</cp:coreProperties>
</file>