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F5BAA" w14:textId="34E59CD1" w:rsidR="00BC7FED" w:rsidRDefault="00BC7FED" w:rsidP="00BC7FED">
      <w:pPr>
        <w:rPr>
          <w:b/>
          <w:bCs/>
          <w:color w:val="000000" w:themeColor="text1"/>
          <w:sz w:val="32"/>
          <w:szCs w:val="32"/>
        </w:rPr>
      </w:pPr>
      <w:r w:rsidRPr="00C841A3">
        <w:rPr>
          <w:b/>
          <w:bCs/>
          <w:color w:val="000000" w:themeColor="text1"/>
          <w:sz w:val="32"/>
          <w:szCs w:val="32"/>
        </w:rPr>
        <w:t>Valid</w:t>
      </w:r>
      <w:r w:rsidR="00173AE1" w:rsidRPr="00C841A3">
        <w:rPr>
          <w:b/>
          <w:bCs/>
          <w:color w:val="000000" w:themeColor="text1"/>
          <w:sz w:val="32"/>
          <w:szCs w:val="32"/>
        </w:rPr>
        <w:t>ation</w:t>
      </w:r>
      <w:r w:rsidRPr="00C841A3">
        <w:rPr>
          <w:b/>
          <w:bCs/>
          <w:color w:val="000000" w:themeColor="text1"/>
          <w:sz w:val="32"/>
          <w:szCs w:val="32"/>
        </w:rPr>
        <w:t xml:space="preserve"> of the IBD</w:t>
      </w:r>
      <w:r w:rsidR="0040374F">
        <w:rPr>
          <w:b/>
          <w:bCs/>
          <w:color w:val="000000" w:themeColor="text1"/>
          <w:sz w:val="32"/>
          <w:szCs w:val="32"/>
        </w:rPr>
        <w:t>-</w:t>
      </w:r>
      <w:r w:rsidRPr="00C841A3">
        <w:rPr>
          <w:b/>
          <w:bCs/>
          <w:color w:val="000000" w:themeColor="text1"/>
          <w:sz w:val="32"/>
          <w:szCs w:val="32"/>
        </w:rPr>
        <w:t>Control Questionnaire</w:t>
      </w:r>
      <w:r w:rsidR="00E4008F">
        <w:rPr>
          <w:b/>
          <w:bCs/>
          <w:color w:val="000000" w:themeColor="text1"/>
          <w:sz w:val="32"/>
          <w:szCs w:val="32"/>
        </w:rPr>
        <w:t xml:space="preserve"> across different socio</w:t>
      </w:r>
      <w:r w:rsidR="0040374F">
        <w:rPr>
          <w:b/>
          <w:bCs/>
          <w:color w:val="000000" w:themeColor="text1"/>
          <w:sz w:val="32"/>
          <w:szCs w:val="32"/>
        </w:rPr>
        <w:t>demographic</w:t>
      </w:r>
      <w:r w:rsidR="00E4008F">
        <w:rPr>
          <w:b/>
          <w:bCs/>
          <w:color w:val="000000" w:themeColor="text1"/>
          <w:sz w:val="32"/>
          <w:szCs w:val="32"/>
        </w:rPr>
        <w:t xml:space="preserve"> and clinical subgroups</w:t>
      </w:r>
      <w:r w:rsidR="0078689C">
        <w:rPr>
          <w:b/>
          <w:bCs/>
          <w:color w:val="000000" w:themeColor="text1"/>
          <w:sz w:val="32"/>
          <w:szCs w:val="32"/>
        </w:rPr>
        <w:t xml:space="preserve">: </w:t>
      </w:r>
      <w:r w:rsidRPr="00C841A3">
        <w:rPr>
          <w:b/>
          <w:bCs/>
          <w:color w:val="000000" w:themeColor="text1"/>
          <w:sz w:val="32"/>
          <w:szCs w:val="32"/>
        </w:rPr>
        <w:t xml:space="preserve">Secondary analysis of </w:t>
      </w:r>
      <w:r w:rsidR="00BA4312" w:rsidRPr="00C841A3">
        <w:rPr>
          <w:b/>
          <w:bCs/>
          <w:color w:val="000000" w:themeColor="text1"/>
          <w:sz w:val="32"/>
          <w:szCs w:val="32"/>
        </w:rPr>
        <w:t xml:space="preserve">a </w:t>
      </w:r>
      <w:r w:rsidRPr="00C841A3">
        <w:rPr>
          <w:b/>
          <w:bCs/>
          <w:color w:val="000000" w:themeColor="text1"/>
          <w:sz w:val="32"/>
          <w:szCs w:val="32"/>
        </w:rPr>
        <w:t>nationwide electronic survey</w:t>
      </w:r>
    </w:p>
    <w:p w14:paraId="2810487A" w14:textId="4DC67F8B" w:rsidR="006071EE" w:rsidRPr="002C0E5F" w:rsidRDefault="003C19BC">
      <w:pPr>
        <w:rPr>
          <w:color w:val="000000" w:themeColor="text1"/>
          <w:sz w:val="28"/>
          <w:szCs w:val="28"/>
        </w:rPr>
      </w:pPr>
      <w:r w:rsidRPr="003C19BC">
        <w:rPr>
          <w:b/>
          <w:bCs/>
          <w:color w:val="000000" w:themeColor="text1"/>
          <w:sz w:val="28"/>
          <w:szCs w:val="28"/>
        </w:rPr>
        <w:t xml:space="preserve">Gerum </w:t>
      </w:r>
      <w:r w:rsidR="00C2273F">
        <w:rPr>
          <w:b/>
          <w:bCs/>
          <w:color w:val="000000" w:themeColor="text1"/>
          <w:sz w:val="28"/>
          <w:szCs w:val="28"/>
        </w:rPr>
        <w:t xml:space="preserve">G. </w:t>
      </w:r>
      <w:r w:rsidR="00A36840" w:rsidRPr="002C0E5F">
        <w:rPr>
          <w:b/>
          <w:bCs/>
          <w:color w:val="000000" w:themeColor="text1"/>
          <w:sz w:val="28"/>
          <w:szCs w:val="28"/>
        </w:rPr>
        <w:t>Geb</w:t>
      </w:r>
      <w:r w:rsidR="00286831">
        <w:rPr>
          <w:b/>
          <w:bCs/>
          <w:color w:val="000000" w:themeColor="text1"/>
          <w:sz w:val="28"/>
          <w:szCs w:val="28"/>
        </w:rPr>
        <w:t>e</w:t>
      </w:r>
      <w:r w:rsidR="00A36840" w:rsidRPr="002C0E5F">
        <w:rPr>
          <w:b/>
          <w:bCs/>
          <w:color w:val="000000" w:themeColor="text1"/>
          <w:sz w:val="28"/>
          <w:szCs w:val="28"/>
        </w:rPr>
        <w:t>yehu</w:t>
      </w:r>
      <w:r w:rsidR="008E7B05">
        <w:rPr>
          <w:color w:val="000000" w:themeColor="text1"/>
          <w:sz w:val="28"/>
          <w:szCs w:val="28"/>
          <w:vertAlign w:val="superscript"/>
        </w:rPr>
        <w:t>a</w:t>
      </w:r>
      <w:r w:rsidR="00A36840" w:rsidRPr="002C0E5F">
        <w:rPr>
          <w:color w:val="000000" w:themeColor="text1"/>
          <w:sz w:val="28"/>
          <w:szCs w:val="28"/>
        </w:rPr>
        <w:t>,</w:t>
      </w:r>
      <w:r>
        <w:rPr>
          <w:color w:val="000000" w:themeColor="text1"/>
          <w:sz w:val="28"/>
          <w:szCs w:val="28"/>
        </w:rPr>
        <w:t xml:space="preserve"> </w:t>
      </w:r>
      <w:r w:rsidRPr="003C19BC">
        <w:rPr>
          <w:b/>
          <w:bCs/>
          <w:color w:val="000000" w:themeColor="text1"/>
          <w:sz w:val="28"/>
          <w:szCs w:val="28"/>
        </w:rPr>
        <w:t>Frederick</w:t>
      </w:r>
      <w:r w:rsidR="00A36840" w:rsidRPr="003C19BC">
        <w:rPr>
          <w:b/>
          <w:bCs/>
          <w:color w:val="000000" w:themeColor="text1"/>
          <w:sz w:val="28"/>
          <w:szCs w:val="28"/>
        </w:rPr>
        <w:t xml:space="preserve"> </w:t>
      </w:r>
      <w:r w:rsidR="00A36840" w:rsidRPr="002C0E5F">
        <w:rPr>
          <w:b/>
          <w:bCs/>
          <w:color w:val="000000" w:themeColor="text1"/>
          <w:sz w:val="28"/>
          <w:szCs w:val="28"/>
        </w:rPr>
        <w:t>Taylor</w:t>
      </w:r>
      <w:r w:rsidR="008E7B05">
        <w:rPr>
          <w:color w:val="000000" w:themeColor="text1"/>
          <w:sz w:val="28"/>
          <w:szCs w:val="28"/>
          <w:vertAlign w:val="superscript"/>
        </w:rPr>
        <w:t>a,b</w:t>
      </w:r>
      <w:r w:rsidR="00A36840" w:rsidRPr="002C0E5F">
        <w:rPr>
          <w:color w:val="000000" w:themeColor="text1"/>
          <w:sz w:val="28"/>
          <w:szCs w:val="28"/>
        </w:rPr>
        <w:t xml:space="preserve">, </w:t>
      </w:r>
      <w:r w:rsidR="00E414D6">
        <w:rPr>
          <w:b/>
          <w:bCs/>
          <w:color w:val="000000" w:themeColor="text1"/>
          <w:sz w:val="28"/>
          <w:szCs w:val="28"/>
        </w:rPr>
        <w:t>Liz</w:t>
      </w:r>
      <w:r w:rsidRPr="003C19BC">
        <w:rPr>
          <w:b/>
          <w:bCs/>
          <w:color w:val="000000" w:themeColor="text1"/>
          <w:sz w:val="28"/>
          <w:szCs w:val="28"/>
        </w:rPr>
        <w:t xml:space="preserve"> </w:t>
      </w:r>
      <w:r w:rsidR="00A56906" w:rsidRPr="002C0E5F">
        <w:rPr>
          <w:b/>
          <w:bCs/>
          <w:color w:val="000000" w:themeColor="text1"/>
          <w:sz w:val="28"/>
          <w:szCs w:val="28"/>
        </w:rPr>
        <w:t>Dobson</w:t>
      </w:r>
      <w:r w:rsidR="008E7B05">
        <w:rPr>
          <w:color w:val="000000" w:themeColor="text1"/>
          <w:sz w:val="28"/>
          <w:szCs w:val="28"/>
          <w:vertAlign w:val="superscript"/>
        </w:rPr>
        <w:t>b</w:t>
      </w:r>
      <w:r w:rsidR="00A56906" w:rsidRPr="002C0E5F">
        <w:rPr>
          <w:color w:val="000000" w:themeColor="text1"/>
          <w:sz w:val="28"/>
          <w:szCs w:val="28"/>
        </w:rPr>
        <w:t>,</w:t>
      </w:r>
      <w:r w:rsidR="00B12CF3">
        <w:rPr>
          <w:color w:val="000000" w:themeColor="text1"/>
          <w:sz w:val="28"/>
          <w:szCs w:val="28"/>
        </w:rPr>
        <w:t xml:space="preserve"> </w:t>
      </w:r>
      <w:r w:rsidR="00B12CF3" w:rsidRPr="00C9595F">
        <w:rPr>
          <w:b/>
          <w:bCs/>
          <w:color w:val="000000" w:themeColor="text1"/>
          <w:sz w:val="28"/>
          <w:szCs w:val="28"/>
        </w:rPr>
        <w:t>Fraser Cummings</w:t>
      </w:r>
      <w:r w:rsidR="00C9595F" w:rsidRPr="00C9595F">
        <w:rPr>
          <w:i/>
          <w:iCs/>
          <w:color w:val="000000" w:themeColor="text1"/>
          <w:sz w:val="28"/>
          <w:szCs w:val="28"/>
          <w:vertAlign w:val="superscript"/>
        </w:rPr>
        <w:t>c</w:t>
      </w:r>
      <w:r w:rsidR="00B12CF3">
        <w:rPr>
          <w:color w:val="000000" w:themeColor="text1"/>
          <w:sz w:val="28"/>
          <w:szCs w:val="28"/>
        </w:rPr>
        <w:t>,</w:t>
      </w:r>
      <w:r w:rsidR="00A56906" w:rsidRPr="002C0E5F">
        <w:rPr>
          <w:color w:val="000000" w:themeColor="text1"/>
          <w:sz w:val="28"/>
          <w:szCs w:val="28"/>
        </w:rPr>
        <w:t xml:space="preserve"> </w:t>
      </w:r>
      <w:r w:rsidRPr="003C19BC">
        <w:rPr>
          <w:b/>
          <w:bCs/>
          <w:color w:val="000000" w:themeColor="text1"/>
          <w:sz w:val="28"/>
          <w:szCs w:val="28"/>
        </w:rPr>
        <w:t xml:space="preserve">Stuart </w:t>
      </w:r>
      <w:r w:rsidR="00A56906" w:rsidRPr="002C0E5F">
        <w:rPr>
          <w:b/>
          <w:bCs/>
          <w:color w:val="000000" w:themeColor="text1"/>
          <w:sz w:val="28"/>
          <w:szCs w:val="28"/>
        </w:rPr>
        <w:t>Bloom</w:t>
      </w:r>
      <w:r w:rsidR="00C9595F">
        <w:rPr>
          <w:color w:val="000000" w:themeColor="text1"/>
          <w:sz w:val="28"/>
          <w:szCs w:val="28"/>
          <w:vertAlign w:val="superscript"/>
        </w:rPr>
        <w:t>d</w:t>
      </w:r>
      <w:r w:rsidR="00A56906" w:rsidRPr="002C0E5F">
        <w:rPr>
          <w:color w:val="000000" w:themeColor="text1"/>
          <w:sz w:val="28"/>
          <w:szCs w:val="28"/>
        </w:rPr>
        <w:t xml:space="preserve">, </w:t>
      </w:r>
      <w:r w:rsidRPr="003C19BC">
        <w:rPr>
          <w:b/>
          <w:bCs/>
          <w:color w:val="000000" w:themeColor="text1"/>
          <w:sz w:val="28"/>
          <w:szCs w:val="28"/>
        </w:rPr>
        <w:t>Nicholas A</w:t>
      </w:r>
      <w:r w:rsidR="00C2273F">
        <w:rPr>
          <w:b/>
          <w:bCs/>
          <w:color w:val="000000" w:themeColor="text1"/>
          <w:sz w:val="28"/>
          <w:szCs w:val="28"/>
        </w:rPr>
        <w:t>.</w:t>
      </w:r>
      <w:r>
        <w:rPr>
          <w:color w:val="000000" w:themeColor="text1"/>
          <w:sz w:val="28"/>
          <w:szCs w:val="28"/>
        </w:rPr>
        <w:t xml:space="preserve"> </w:t>
      </w:r>
      <w:r w:rsidR="00A56906" w:rsidRPr="002C0E5F">
        <w:rPr>
          <w:b/>
          <w:bCs/>
          <w:color w:val="000000" w:themeColor="text1"/>
          <w:sz w:val="28"/>
          <w:szCs w:val="28"/>
        </w:rPr>
        <w:t>Kennedy</w:t>
      </w:r>
      <w:r w:rsidR="00C9595F">
        <w:rPr>
          <w:color w:val="000000" w:themeColor="text1"/>
          <w:sz w:val="28"/>
          <w:szCs w:val="28"/>
          <w:vertAlign w:val="superscript"/>
        </w:rPr>
        <w:t>e</w:t>
      </w:r>
      <w:r w:rsidR="00A36840" w:rsidRPr="002C0E5F">
        <w:rPr>
          <w:color w:val="000000" w:themeColor="text1"/>
          <w:sz w:val="28"/>
          <w:szCs w:val="28"/>
        </w:rPr>
        <w:t>,</w:t>
      </w:r>
      <w:r w:rsidR="00A56906" w:rsidRPr="002C0E5F">
        <w:rPr>
          <w:color w:val="000000" w:themeColor="text1"/>
          <w:sz w:val="28"/>
          <w:szCs w:val="28"/>
        </w:rPr>
        <w:t xml:space="preserve"> </w:t>
      </w:r>
      <w:r w:rsidRPr="003C19BC">
        <w:rPr>
          <w:b/>
          <w:bCs/>
          <w:color w:val="000000" w:themeColor="text1"/>
          <w:sz w:val="28"/>
          <w:szCs w:val="28"/>
        </w:rPr>
        <w:t xml:space="preserve">Paul </w:t>
      </w:r>
      <w:r w:rsidR="00A36840" w:rsidRPr="002C0E5F">
        <w:rPr>
          <w:b/>
          <w:bCs/>
          <w:color w:val="000000" w:themeColor="text1"/>
          <w:sz w:val="28"/>
          <w:szCs w:val="28"/>
        </w:rPr>
        <w:t>Christianse</w:t>
      </w:r>
      <w:r w:rsidR="00C9595F">
        <w:rPr>
          <w:b/>
          <w:bCs/>
          <w:color w:val="000000" w:themeColor="text1"/>
          <w:sz w:val="28"/>
          <w:szCs w:val="28"/>
        </w:rPr>
        <w:t>n</w:t>
      </w:r>
      <w:r w:rsidR="00C9595F">
        <w:rPr>
          <w:color w:val="000000" w:themeColor="text1"/>
          <w:sz w:val="28"/>
          <w:szCs w:val="28"/>
          <w:vertAlign w:val="superscript"/>
        </w:rPr>
        <w:t>f</w:t>
      </w:r>
      <w:r w:rsidR="007C0718" w:rsidRPr="002C0E5F">
        <w:rPr>
          <w:color w:val="000000" w:themeColor="text1"/>
          <w:sz w:val="28"/>
          <w:szCs w:val="28"/>
        </w:rPr>
        <w:t xml:space="preserve"> and </w:t>
      </w:r>
      <w:r w:rsidRPr="003C19BC">
        <w:rPr>
          <w:b/>
          <w:bCs/>
          <w:color w:val="000000" w:themeColor="text1"/>
          <w:sz w:val="28"/>
          <w:szCs w:val="28"/>
        </w:rPr>
        <w:t xml:space="preserve">Keith </w:t>
      </w:r>
      <w:r w:rsidR="00A36840" w:rsidRPr="002C0E5F">
        <w:rPr>
          <w:b/>
          <w:bCs/>
          <w:color w:val="000000" w:themeColor="text1"/>
          <w:sz w:val="28"/>
          <w:szCs w:val="28"/>
        </w:rPr>
        <w:t>Bodger</w:t>
      </w:r>
      <w:r w:rsidR="008E7B05">
        <w:rPr>
          <w:color w:val="000000" w:themeColor="text1"/>
          <w:sz w:val="28"/>
          <w:szCs w:val="28"/>
          <w:vertAlign w:val="superscript"/>
        </w:rPr>
        <w:t>a,</w:t>
      </w:r>
      <w:r w:rsidR="00C9595F">
        <w:rPr>
          <w:color w:val="000000" w:themeColor="text1"/>
          <w:sz w:val="28"/>
          <w:szCs w:val="28"/>
          <w:vertAlign w:val="superscript"/>
        </w:rPr>
        <w:t>g</w:t>
      </w:r>
    </w:p>
    <w:p w14:paraId="3A7454A9" w14:textId="29EA8BA8" w:rsidR="00027D9D" w:rsidRPr="00714E37" w:rsidRDefault="008E7B05" w:rsidP="008C2D30">
      <w:pPr>
        <w:spacing w:after="0"/>
        <w:rPr>
          <w:i/>
          <w:iCs/>
          <w:color w:val="000000" w:themeColor="text1"/>
          <w:sz w:val="18"/>
          <w:szCs w:val="18"/>
        </w:rPr>
      </w:pPr>
      <w:r w:rsidRPr="008E7B05">
        <w:rPr>
          <w:color w:val="000000" w:themeColor="text1"/>
          <w:sz w:val="18"/>
          <w:szCs w:val="18"/>
          <w:vertAlign w:val="superscript"/>
        </w:rPr>
        <w:t>a</w:t>
      </w:r>
      <w:r w:rsidR="006E6D6F" w:rsidRPr="008E7B05">
        <w:rPr>
          <w:color w:val="000000" w:themeColor="text1"/>
          <w:sz w:val="18"/>
          <w:szCs w:val="18"/>
          <w:vertAlign w:val="superscript"/>
        </w:rPr>
        <w:t xml:space="preserve"> </w:t>
      </w:r>
      <w:r w:rsidR="00A56906" w:rsidRPr="008C2D30">
        <w:rPr>
          <w:color w:val="000000" w:themeColor="text1"/>
          <w:sz w:val="18"/>
          <w:szCs w:val="18"/>
        </w:rPr>
        <w:t>Dep</w:t>
      </w:r>
      <w:r w:rsidR="00253F35" w:rsidRPr="008C2D30">
        <w:rPr>
          <w:color w:val="000000" w:themeColor="text1"/>
          <w:sz w:val="18"/>
          <w:szCs w:val="18"/>
        </w:rPr>
        <w:t>t</w:t>
      </w:r>
      <w:r w:rsidR="00A56906" w:rsidRPr="008C2D30">
        <w:rPr>
          <w:color w:val="000000" w:themeColor="text1"/>
          <w:sz w:val="18"/>
          <w:szCs w:val="18"/>
        </w:rPr>
        <w:t xml:space="preserve"> of Health Data Science</w:t>
      </w:r>
      <w:r w:rsidR="006E6D6F" w:rsidRPr="008C2D30">
        <w:rPr>
          <w:color w:val="000000" w:themeColor="text1"/>
          <w:sz w:val="18"/>
          <w:szCs w:val="18"/>
        </w:rPr>
        <w:t xml:space="preserve">, Institute of Population Health, </w:t>
      </w:r>
      <w:r w:rsidR="00A56906" w:rsidRPr="008C2D30">
        <w:rPr>
          <w:color w:val="000000" w:themeColor="text1"/>
          <w:sz w:val="18"/>
          <w:szCs w:val="18"/>
        </w:rPr>
        <w:t>University of Liverpool</w:t>
      </w:r>
      <w:r w:rsidR="008C2D30" w:rsidRPr="008C2D30">
        <w:rPr>
          <w:color w:val="000000" w:themeColor="text1"/>
          <w:sz w:val="18"/>
          <w:szCs w:val="18"/>
        </w:rPr>
        <w:t>, UK</w:t>
      </w:r>
      <w:r>
        <w:rPr>
          <w:color w:val="000000" w:themeColor="text1"/>
          <w:sz w:val="18"/>
          <w:szCs w:val="18"/>
        </w:rPr>
        <w:t xml:space="preserve">; </w:t>
      </w:r>
      <w:r w:rsidRPr="008E7B05">
        <w:rPr>
          <w:color w:val="000000" w:themeColor="text1"/>
          <w:sz w:val="18"/>
          <w:szCs w:val="18"/>
          <w:vertAlign w:val="superscript"/>
        </w:rPr>
        <w:t>b</w:t>
      </w:r>
      <w:r>
        <w:rPr>
          <w:color w:val="000000" w:themeColor="text1"/>
          <w:sz w:val="18"/>
          <w:szCs w:val="18"/>
        </w:rPr>
        <w:t xml:space="preserve"> </w:t>
      </w:r>
      <w:r w:rsidRPr="00714E37">
        <w:rPr>
          <w:color w:val="000000" w:themeColor="text1"/>
          <w:sz w:val="18"/>
          <w:szCs w:val="18"/>
        </w:rPr>
        <w:t>IBD Registry Ltd, London, UK</w:t>
      </w:r>
      <w:r>
        <w:rPr>
          <w:color w:val="000000" w:themeColor="text1"/>
          <w:sz w:val="18"/>
          <w:szCs w:val="18"/>
        </w:rPr>
        <w:t xml:space="preserve">; </w:t>
      </w:r>
      <w:r w:rsidR="00C9595F" w:rsidRPr="00C9595F">
        <w:rPr>
          <w:color w:val="000000" w:themeColor="text1"/>
          <w:sz w:val="18"/>
          <w:szCs w:val="18"/>
          <w:vertAlign w:val="superscript"/>
        </w:rPr>
        <w:t xml:space="preserve">c </w:t>
      </w:r>
      <w:r w:rsidR="00C9595F">
        <w:rPr>
          <w:color w:val="000000" w:themeColor="text1"/>
          <w:sz w:val="18"/>
          <w:szCs w:val="18"/>
        </w:rPr>
        <w:t xml:space="preserve">Dept of Gastroenteroogy, University Hospitals Southampton, Southampton, UK; </w:t>
      </w:r>
      <w:r w:rsidR="00C9595F">
        <w:rPr>
          <w:color w:val="000000" w:themeColor="text1"/>
          <w:sz w:val="18"/>
          <w:szCs w:val="18"/>
          <w:vertAlign w:val="superscript"/>
        </w:rPr>
        <w:t>d</w:t>
      </w:r>
      <w:r>
        <w:rPr>
          <w:color w:val="000000" w:themeColor="text1"/>
          <w:sz w:val="18"/>
          <w:szCs w:val="18"/>
        </w:rPr>
        <w:t xml:space="preserve"> </w:t>
      </w:r>
      <w:r w:rsidRPr="008C2D30">
        <w:rPr>
          <w:sz w:val="18"/>
          <w:szCs w:val="18"/>
        </w:rPr>
        <w:t>Dept of Gastroenterology, University College London Hospitals NHS Foundation Trust, London, UK</w:t>
      </w:r>
      <w:r>
        <w:rPr>
          <w:sz w:val="18"/>
          <w:szCs w:val="18"/>
        </w:rPr>
        <w:t>;</w:t>
      </w:r>
      <w:r w:rsidRPr="008E7B05">
        <w:rPr>
          <w:sz w:val="18"/>
          <w:szCs w:val="18"/>
          <w:vertAlign w:val="superscript"/>
        </w:rPr>
        <w:t xml:space="preserve"> </w:t>
      </w:r>
      <w:r w:rsidR="00C9595F">
        <w:rPr>
          <w:sz w:val="18"/>
          <w:szCs w:val="18"/>
          <w:vertAlign w:val="superscript"/>
        </w:rPr>
        <w:t>e</w:t>
      </w:r>
      <w:r>
        <w:rPr>
          <w:sz w:val="18"/>
          <w:szCs w:val="18"/>
        </w:rPr>
        <w:t xml:space="preserve"> </w:t>
      </w:r>
      <w:r w:rsidRPr="008C2D30">
        <w:rPr>
          <w:sz w:val="18"/>
          <w:szCs w:val="18"/>
        </w:rPr>
        <w:t>Exeter Inflammatory Bowel Disease Research Group, University of Exeter, Exeter, UK</w:t>
      </w:r>
      <w:r>
        <w:rPr>
          <w:sz w:val="18"/>
          <w:szCs w:val="18"/>
        </w:rPr>
        <w:t>;</w:t>
      </w:r>
      <w:r w:rsidDel="008E7B05">
        <w:rPr>
          <w:color w:val="000000" w:themeColor="text1"/>
          <w:sz w:val="18"/>
          <w:szCs w:val="18"/>
        </w:rPr>
        <w:t xml:space="preserve"> </w:t>
      </w:r>
      <w:r w:rsidR="00C9595F">
        <w:rPr>
          <w:color w:val="000000" w:themeColor="text1"/>
          <w:sz w:val="18"/>
          <w:szCs w:val="18"/>
          <w:vertAlign w:val="superscript"/>
        </w:rPr>
        <w:t>f</w:t>
      </w:r>
      <w:r>
        <w:rPr>
          <w:color w:val="000000" w:themeColor="text1"/>
          <w:sz w:val="18"/>
          <w:szCs w:val="18"/>
        </w:rPr>
        <w:t xml:space="preserve"> </w:t>
      </w:r>
      <w:r w:rsidR="006E6D6F" w:rsidRPr="008C2D30">
        <w:rPr>
          <w:color w:val="000000" w:themeColor="text1"/>
          <w:sz w:val="18"/>
          <w:szCs w:val="18"/>
        </w:rPr>
        <w:t>Dep</w:t>
      </w:r>
      <w:r w:rsidR="00253F35" w:rsidRPr="008C2D30">
        <w:rPr>
          <w:color w:val="000000" w:themeColor="text1"/>
          <w:sz w:val="18"/>
          <w:szCs w:val="18"/>
        </w:rPr>
        <w:t>t</w:t>
      </w:r>
      <w:r w:rsidR="006E6D6F" w:rsidRPr="008C2D30">
        <w:rPr>
          <w:color w:val="000000" w:themeColor="text1"/>
          <w:sz w:val="18"/>
          <w:szCs w:val="18"/>
        </w:rPr>
        <w:t xml:space="preserve"> of Psychology, Institute of Population Health, University of Liverpool</w:t>
      </w:r>
      <w:r w:rsidR="008C2D30" w:rsidRPr="008C2D30">
        <w:rPr>
          <w:color w:val="000000" w:themeColor="text1"/>
          <w:sz w:val="18"/>
          <w:szCs w:val="18"/>
        </w:rPr>
        <w:t>, UK</w:t>
      </w:r>
      <w:r>
        <w:rPr>
          <w:color w:val="000000" w:themeColor="text1"/>
          <w:sz w:val="18"/>
          <w:szCs w:val="18"/>
        </w:rPr>
        <w:t>;</w:t>
      </w:r>
      <w:r w:rsidRPr="008C13F4">
        <w:rPr>
          <w:color w:val="000000" w:themeColor="text1"/>
          <w:sz w:val="18"/>
          <w:szCs w:val="18"/>
          <w:vertAlign w:val="superscript"/>
        </w:rPr>
        <w:t xml:space="preserve"> </w:t>
      </w:r>
      <w:r w:rsidR="00C9595F">
        <w:rPr>
          <w:color w:val="000000" w:themeColor="text1"/>
          <w:sz w:val="18"/>
          <w:szCs w:val="18"/>
          <w:vertAlign w:val="superscript"/>
        </w:rPr>
        <w:t>g</w:t>
      </w:r>
      <w:r>
        <w:rPr>
          <w:color w:val="000000" w:themeColor="text1"/>
          <w:sz w:val="18"/>
          <w:szCs w:val="18"/>
        </w:rPr>
        <w:t xml:space="preserve"> Aintree University Hospital, Liverpool University Hospital Foundation Trust, Liverpool, UK.</w:t>
      </w:r>
    </w:p>
    <w:p w14:paraId="52EB12AB" w14:textId="409EB56D" w:rsidR="008C2D30" w:rsidRPr="008C2D30" w:rsidRDefault="008C2D30" w:rsidP="008C2D30">
      <w:pPr>
        <w:spacing w:after="0"/>
        <w:rPr>
          <w:color w:val="000000" w:themeColor="text1"/>
          <w:sz w:val="18"/>
          <w:szCs w:val="18"/>
        </w:rPr>
      </w:pPr>
    </w:p>
    <w:p w14:paraId="2494F073" w14:textId="302C713F" w:rsidR="008E7B05" w:rsidRPr="008C13F4" w:rsidRDefault="008E7B05" w:rsidP="00027D9D">
      <w:pPr>
        <w:rPr>
          <w:color w:val="000000" w:themeColor="text1"/>
          <w:sz w:val="18"/>
          <w:szCs w:val="18"/>
        </w:rPr>
      </w:pPr>
      <w:r w:rsidRPr="008C13F4">
        <w:rPr>
          <w:b/>
          <w:bCs/>
          <w:color w:val="000000" w:themeColor="text1"/>
          <w:sz w:val="18"/>
          <w:szCs w:val="18"/>
        </w:rPr>
        <w:t xml:space="preserve">Corresponding Author: </w:t>
      </w:r>
      <w:r w:rsidRPr="008C13F4">
        <w:rPr>
          <w:color w:val="000000" w:themeColor="text1"/>
          <w:sz w:val="18"/>
          <w:szCs w:val="18"/>
        </w:rPr>
        <w:t>Dr Keith Bodger, MBChB(Hons) MD FRCP,</w:t>
      </w:r>
      <w:r w:rsidRPr="008C13F4">
        <w:rPr>
          <w:b/>
          <w:bCs/>
          <w:color w:val="000000" w:themeColor="text1"/>
          <w:sz w:val="18"/>
          <w:szCs w:val="18"/>
        </w:rPr>
        <w:t xml:space="preserve"> </w:t>
      </w:r>
      <w:r w:rsidR="00027D9D" w:rsidRPr="00027D9D">
        <w:rPr>
          <w:color w:val="000000" w:themeColor="text1"/>
          <w:sz w:val="18"/>
          <w:szCs w:val="18"/>
        </w:rPr>
        <w:t>Dep</w:t>
      </w:r>
      <w:r w:rsidR="002D2483">
        <w:rPr>
          <w:color w:val="000000" w:themeColor="text1"/>
          <w:sz w:val="18"/>
          <w:szCs w:val="18"/>
        </w:rPr>
        <w:t>ar</w:t>
      </w:r>
      <w:r w:rsidR="00027D9D" w:rsidRPr="00027D9D">
        <w:rPr>
          <w:color w:val="000000" w:themeColor="text1"/>
          <w:sz w:val="18"/>
          <w:szCs w:val="18"/>
        </w:rPr>
        <w:t>t</w:t>
      </w:r>
      <w:r w:rsidR="002D2483">
        <w:rPr>
          <w:color w:val="000000" w:themeColor="text1"/>
          <w:sz w:val="18"/>
          <w:szCs w:val="18"/>
        </w:rPr>
        <w:t>ment</w:t>
      </w:r>
      <w:r w:rsidR="00027D9D" w:rsidRPr="00027D9D">
        <w:rPr>
          <w:color w:val="000000" w:themeColor="text1"/>
          <w:sz w:val="18"/>
          <w:szCs w:val="18"/>
        </w:rPr>
        <w:t xml:space="preserve"> of Health Data Science, Institute of Population Health, University of Liverpool,</w:t>
      </w:r>
      <w:r w:rsidR="00027D9D" w:rsidRPr="00027D9D">
        <w:t xml:space="preserve"> </w:t>
      </w:r>
      <w:r w:rsidR="00027D9D" w:rsidRPr="00027D9D">
        <w:rPr>
          <w:color w:val="000000" w:themeColor="text1"/>
          <w:sz w:val="18"/>
          <w:szCs w:val="18"/>
        </w:rPr>
        <w:t>Block F Waterhouse Building</w:t>
      </w:r>
      <w:r w:rsidR="00027D9D">
        <w:rPr>
          <w:color w:val="000000" w:themeColor="text1"/>
          <w:sz w:val="18"/>
          <w:szCs w:val="18"/>
        </w:rPr>
        <w:t xml:space="preserve">, </w:t>
      </w:r>
      <w:r w:rsidR="00027D9D" w:rsidRPr="00027D9D">
        <w:rPr>
          <w:color w:val="000000" w:themeColor="text1"/>
          <w:sz w:val="18"/>
          <w:szCs w:val="18"/>
        </w:rPr>
        <w:t>1-5 Brownlow Street</w:t>
      </w:r>
      <w:r w:rsidR="00027D9D">
        <w:rPr>
          <w:color w:val="000000" w:themeColor="text1"/>
          <w:sz w:val="18"/>
          <w:szCs w:val="18"/>
        </w:rPr>
        <w:t>, Liverpool, L69 3GL,</w:t>
      </w:r>
      <w:r w:rsidR="00027D9D" w:rsidRPr="00027D9D">
        <w:rPr>
          <w:color w:val="000000" w:themeColor="text1"/>
          <w:sz w:val="18"/>
          <w:szCs w:val="18"/>
        </w:rPr>
        <w:t xml:space="preserve"> UK</w:t>
      </w:r>
    </w:p>
    <w:p w14:paraId="45D1FEE7" w14:textId="5EED763C" w:rsidR="006071EE" w:rsidRDefault="006071EE">
      <w:pPr>
        <w:rPr>
          <w:b/>
          <w:bCs/>
          <w:color w:val="000000" w:themeColor="text1"/>
        </w:rPr>
      </w:pPr>
      <w:r>
        <w:rPr>
          <w:b/>
          <w:bCs/>
          <w:color w:val="000000" w:themeColor="text1"/>
        </w:rPr>
        <w:t>Abstract</w:t>
      </w:r>
    </w:p>
    <w:p w14:paraId="385990C6" w14:textId="7687ED93" w:rsidR="006071EE" w:rsidRPr="00ED4DA7" w:rsidRDefault="006071EE" w:rsidP="00584A59">
      <w:pPr>
        <w:jc w:val="both"/>
        <w:rPr>
          <w:color w:val="000000" w:themeColor="text1"/>
        </w:rPr>
      </w:pPr>
      <w:r>
        <w:rPr>
          <w:b/>
          <w:bCs/>
          <w:color w:val="000000" w:themeColor="text1"/>
        </w:rPr>
        <w:t>Background</w:t>
      </w:r>
      <w:r w:rsidR="00584A59">
        <w:rPr>
          <w:b/>
          <w:bCs/>
          <w:color w:val="000000" w:themeColor="text1"/>
        </w:rPr>
        <w:t xml:space="preserve">  </w:t>
      </w:r>
      <w:r w:rsidR="00584A59" w:rsidRPr="00D94326">
        <w:rPr>
          <w:color w:val="000000" w:themeColor="text1"/>
        </w:rPr>
        <w:t xml:space="preserve">The IBD-Control Questionnaire is a simple, generic measure of patient-perceived disease control </w:t>
      </w:r>
      <w:r w:rsidR="00734337">
        <w:rPr>
          <w:color w:val="000000" w:themeColor="text1"/>
        </w:rPr>
        <w:t xml:space="preserve">used </w:t>
      </w:r>
      <w:r w:rsidR="004F0D04">
        <w:rPr>
          <w:color w:val="000000" w:themeColor="text1"/>
        </w:rPr>
        <w:t>increasingly</w:t>
      </w:r>
      <w:r w:rsidR="00584A59" w:rsidRPr="00D94326">
        <w:rPr>
          <w:color w:val="000000" w:themeColor="text1"/>
        </w:rPr>
        <w:t xml:space="preserve"> </w:t>
      </w:r>
      <w:r w:rsidR="00584A59">
        <w:rPr>
          <w:color w:val="000000" w:themeColor="text1"/>
        </w:rPr>
        <w:t>in clinical practice and research</w:t>
      </w:r>
      <w:r w:rsidR="00584A59" w:rsidRPr="00D94326">
        <w:rPr>
          <w:color w:val="000000" w:themeColor="text1"/>
        </w:rPr>
        <w:t xml:space="preserve">. </w:t>
      </w:r>
      <w:r w:rsidRPr="00584A59">
        <w:t>We</w:t>
      </w:r>
      <w:r>
        <w:t xml:space="preserve"> aimed to address knowledge gaps in </w:t>
      </w:r>
      <w:r w:rsidR="00584A59">
        <w:t xml:space="preserve">its psychometric performance, </w:t>
      </w:r>
      <w:r w:rsidR="00584A59" w:rsidRPr="00E80AD2">
        <w:rPr>
          <w:color w:val="000000" w:themeColor="text1"/>
        </w:rPr>
        <w:t>to ensure that it can be used with confidence in a variety of c</w:t>
      </w:r>
      <w:r w:rsidR="00584A59">
        <w:rPr>
          <w:color w:val="000000" w:themeColor="text1"/>
        </w:rPr>
        <w:t>ontexts</w:t>
      </w:r>
      <w:r w:rsidR="006A2006">
        <w:rPr>
          <w:color w:val="000000" w:themeColor="text1"/>
        </w:rPr>
        <w:t>.</w:t>
      </w:r>
      <w:r w:rsidRPr="00E80AD2">
        <w:rPr>
          <w:color w:val="000000" w:themeColor="text1"/>
        </w:rPr>
        <w:t xml:space="preserve"> </w:t>
      </w:r>
    </w:p>
    <w:p w14:paraId="51A8A4DD" w14:textId="1ACDF5FC" w:rsidR="002551A8" w:rsidRDefault="006071EE" w:rsidP="00584A59">
      <w:pPr>
        <w:jc w:val="both"/>
        <w:rPr>
          <w:color w:val="000000" w:themeColor="text1"/>
        </w:rPr>
      </w:pPr>
      <w:r>
        <w:rPr>
          <w:b/>
          <w:bCs/>
          <w:color w:val="000000" w:themeColor="text1"/>
        </w:rPr>
        <w:t>Methods</w:t>
      </w:r>
      <w:r w:rsidR="00D520B2">
        <w:rPr>
          <w:b/>
          <w:bCs/>
          <w:color w:val="000000" w:themeColor="text1"/>
        </w:rPr>
        <w:t xml:space="preserve">  </w:t>
      </w:r>
      <w:r w:rsidR="0091174A">
        <w:rPr>
          <w:color w:val="000000" w:themeColor="text1"/>
        </w:rPr>
        <w:t>We analysed 7,341 respons</w:t>
      </w:r>
      <w:r w:rsidR="00231235">
        <w:rPr>
          <w:color w:val="000000" w:themeColor="text1"/>
        </w:rPr>
        <w:t>es</w:t>
      </w:r>
      <w:r w:rsidR="0091174A" w:rsidRPr="0095593B">
        <w:rPr>
          <w:color w:val="000000" w:themeColor="text1"/>
        </w:rPr>
        <w:t xml:space="preserve"> </w:t>
      </w:r>
      <w:r w:rsidR="0091174A">
        <w:rPr>
          <w:color w:val="000000" w:themeColor="text1"/>
        </w:rPr>
        <w:t>to t</w:t>
      </w:r>
      <w:r w:rsidR="002551A8" w:rsidRPr="0095593B">
        <w:rPr>
          <w:color w:val="000000" w:themeColor="text1"/>
        </w:rPr>
        <w:t>he</w:t>
      </w:r>
      <w:r w:rsidR="002551A8">
        <w:rPr>
          <w:b/>
          <w:bCs/>
          <w:color w:val="000000" w:themeColor="text1"/>
        </w:rPr>
        <w:t xml:space="preserve"> </w:t>
      </w:r>
      <w:r w:rsidRPr="006071EE">
        <w:rPr>
          <w:color w:val="000000" w:themeColor="text1"/>
        </w:rPr>
        <w:t>IBD Registry COVID-19 surve</w:t>
      </w:r>
      <w:r>
        <w:rPr>
          <w:color w:val="000000" w:themeColor="text1"/>
        </w:rPr>
        <w:t>y</w:t>
      </w:r>
      <w:r w:rsidR="0091174A">
        <w:rPr>
          <w:color w:val="000000" w:themeColor="text1"/>
        </w:rPr>
        <w:t>,</w:t>
      </w:r>
      <w:r>
        <w:rPr>
          <w:color w:val="000000" w:themeColor="text1"/>
        </w:rPr>
        <w:t xml:space="preserve"> sent to</w:t>
      </w:r>
      <w:r w:rsidR="002551A8">
        <w:rPr>
          <w:color w:val="000000" w:themeColor="text1"/>
        </w:rPr>
        <w:t xml:space="preserve"> 40,911</w:t>
      </w:r>
      <w:r>
        <w:rPr>
          <w:color w:val="000000" w:themeColor="text1"/>
        </w:rPr>
        <w:t xml:space="preserve"> patients who completed </w:t>
      </w:r>
      <w:r w:rsidR="006A2006">
        <w:rPr>
          <w:color w:val="000000" w:themeColor="text1"/>
        </w:rPr>
        <w:t xml:space="preserve">an </w:t>
      </w:r>
      <w:r w:rsidR="002551A8">
        <w:rPr>
          <w:color w:val="000000" w:themeColor="text1"/>
        </w:rPr>
        <w:t>online self-assessment tool</w:t>
      </w:r>
      <w:r w:rsidR="0091174A">
        <w:rPr>
          <w:color w:val="000000" w:themeColor="text1"/>
        </w:rPr>
        <w:t xml:space="preserve"> during the pandemic</w:t>
      </w:r>
      <w:r w:rsidR="002551A8">
        <w:rPr>
          <w:color w:val="000000" w:themeColor="text1"/>
        </w:rPr>
        <w:t xml:space="preserve">. </w:t>
      </w:r>
      <w:r w:rsidR="00231235">
        <w:rPr>
          <w:color w:val="000000" w:themeColor="text1"/>
        </w:rPr>
        <w:t>Questions</w:t>
      </w:r>
      <w:r w:rsidR="0091174A">
        <w:rPr>
          <w:color w:val="000000" w:themeColor="text1"/>
        </w:rPr>
        <w:t xml:space="preserve"> covered </w:t>
      </w:r>
      <w:r w:rsidR="002551A8">
        <w:rPr>
          <w:color w:val="000000" w:themeColor="text1"/>
        </w:rPr>
        <w:t>demographics, comorbidities, IBD sub-type, IBD-Control Questionnaire and</w:t>
      </w:r>
      <w:r w:rsidR="001C7FBF">
        <w:rPr>
          <w:color w:val="000000" w:themeColor="text1"/>
        </w:rPr>
        <w:t xml:space="preserve"> </w:t>
      </w:r>
      <w:r w:rsidR="002551A8">
        <w:rPr>
          <w:color w:val="000000" w:themeColor="text1"/>
        </w:rPr>
        <w:t>symptom scores (CD-PRO2 or UC-PRO2).  Psychometric properties</w:t>
      </w:r>
      <w:r w:rsidR="0095593B">
        <w:rPr>
          <w:color w:val="000000" w:themeColor="text1"/>
        </w:rPr>
        <w:t xml:space="preserve"> of IBD-Control</w:t>
      </w:r>
      <w:r w:rsidR="00E60204">
        <w:rPr>
          <w:color w:val="000000" w:themeColor="text1"/>
        </w:rPr>
        <w:t>-8</w:t>
      </w:r>
      <w:r w:rsidR="002551A8">
        <w:rPr>
          <w:color w:val="000000" w:themeColor="text1"/>
        </w:rPr>
        <w:t xml:space="preserve"> were tested overall and within </w:t>
      </w:r>
      <w:r w:rsidR="0040374F">
        <w:rPr>
          <w:color w:val="000000" w:themeColor="text1"/>
        </w:rPr>
        <w:t>subgroups</w:t>
      </w:r>
      <w:r w:rsidR="002551A8">
        <w:rPr>
          <w:color w:val="000000" w:themeColor="text1"/>
        </w:rPr>
        <w:t xml:space="preserve"> (CD, UC and IBD-U; male and female; ≤65 and &gt; 65 years; </w:t>
      </w:r>
      <w:r w:rsidR="0095593B">
        <w:rPr>
          <w:color w:val="000000" w:themeColor="text1"/>
        </w:rPr>
        <w:t>number of co-morbidities; deprivation status).</w:t>
      </w:r>
    </w:p>
    <w:p w14:paraId="10F6ACDD" w14:textId="3DD804A5" w:rsidR="006071EE" w:rsidRDefault="002551A8" w:rsidP="00584A59">
      <w:pPr>
        <w:jc w:val="both"/>
        <w:rPr>
          <w:color w:val="000000" w:themeColor="text1"/>
        </w:rPr>
      </w:pPr>
      <w:r w:rsidRPr="0095593B">
        <w:rPr>
          <w:b/>
          <w:bCs/>
          <w:color w:val="000000" w:themeColor="text1"/>
        </w:rPr>
        <w:t>Results</w:t>
      </w:r>
      <w:r w:rsidR="00D520B2">
        <w:rPr>
          <w:b/>
          <w:bCs/>
          <w:color w:val="000000" w:themeColor="text1"/>
        </w:rPr>
        <w:t xml:space="preserve">  </w:t>
      </w:r>
      <w:r w:rsidRPr="00584A59">
        <w:rPr>
          <w:color w:val="000000" w:themeColor="text1"/>
        </w:rPr>
        <w:t>Internal consistency</w:t>
      </w:r>
      <w:r w:rsidR="0091174A">
        <w:rPr>
          <w:color w:val="000000" w:themeColor="text1"/>
        </w:rPr>
        <w:t xml:space="preserve"> </w:t>
      </w:r>
      <w:r w:rsidR="0095593B" w:rsidRPr="0095593B">
        <w:rPr>
          <w:color w:val="000000" w:themeColor="text1"/>
        </w:rPr>
        <w:t xml:space="preserve">was very strong overall (α: 0.84, ω: 0.89) and for each </w:t>
      </w:r>
      <w:r w:rsidR="0040374F">
        <w:rPr>
          <w:color w:val="000000" w:themeColor="text1"/>
        </w:rPr>
        <w:t>subgroup</w:t>
      </w:r>
      <w:r w:rsidR="0095593B">
        <w:rPr>
          <w:color w:val="000000" w:themeColor="text1"/>
        </w:rPr>
        <w:t xml:space="preserve"> </w:t>
      </w:r>
      <w:r w:rsidR="0095593B" w:rsidRPr="0095593B">
        <w:rPr>
          <w:color w:val="000000" w:themeColor="text1"/>
        </w:rPr>
        <w:t>(α range: 0.81-0.85; ω: 0.86-0.90).</w:t>
      </w:r>
      <w:r w:rsidR="0095593B">
        <w:rPr>
          <w:color w:val="000000" w:themeColor="text1"/>
        </w:rPr>
        <w:t xml:space="preserve">  Construct validity</w:t>
      </w:r>
      <w:r w:rsidR="00C8515B">
        <w:rPr>
          <w:color w:val="000000" w:themeColor="text1"/>
        </w:rPr>
        <w:t xml:space="preserve"> was </w:t>
      </w:r>
      <w:r w:rsidR="0040374F">
        <w:rPr>
          <w:color w:val="000000" w:themeColor="text1"/>
        </w:rPr>
        <w:t>demonstrated by</w:t>
      </w:r>
      <w:r w:rsidR="00C8515B">
        <w:rPr>
          <w:color w:val="000000" w:themeColor="text1"/>
        </w:rPr>
        <w:t xml:space="preserve"> moderate correlation</w:t>
      </w:r>
      <w:r w:rsidR="0040374F">
        <w:rPr>
          <w:color w:val="000000" w:themeColor="text1"/>
        </w:rPr>
        <w:t xml:space="preserve"> of each item with</w:t>
      </w:r>
      <w:r w:rsidR="0095593B" w:rsidRPr="0095593B">
        <w:rPr>
          <w:color w:val="000000" w:themeColor="text1"/>
        </w:rPr>
        <w:t xml:space="preserve"> global</w:t>
      </w:r>
      <w:r w:rsidR="0040374F">
        <w:rPr>
          <w:color w:val="000000" w:themeColor="text1"/>
        </w:rPr>
        <w:t xml:space="preserve"> </w:t>
      </w:r>
      <w:r w:rsidR="0095593B" w:rsidRPr="0095593B">
        <w:rPr>
          <w:color w:val="000000" w:themeColor="text1"/>
        </w:rPr>
        <w:t>rating (VAS)</w:t>
      </w:r>
      <w:r w:rsidR="00C8515B">
        <w:rPr>
          <w:color w:val="000000" w:themeColor="text1"/>
        </w:rPr>
        <w:t xml:space="preserve"> (</w:t>
      </w:r>
      <w:r w:rsidR="00C8515B" w:rsidRPr="00223D16">
        <w:rPr>
          <w:color w:val="000000" w:themeColor="text1"/>
        </w:rPr>
        <w:t>r</w:t>
      </w:r>
      <w:r w:rsidR="00C8515B" w:rsidRPr="00223D16">
        <w:rPr>
          <w:color w:val="000000" w:themeColor="text1"/>
          <w:vertAlign w:val="subscript"/>
        </w:rPr>
        <w:t>s</w:t>
      </w:r>
      <w:r w:rsidR="00C8515B">
        <w:rPr>
          <w:color w:val="000000" w:themeColor="text1"/>
        </w:rPr>
        <w:t xml:space="preserve"> range: 0.47 to 0.65)</w:t>
      </w:r>
      <w:r w:rsidR="00392F0C">
        <w:rPr>
          <w:color w:val="000000" w:themeColor="text1"/>
        </w:rPr>
        <w:t xml:space="preserve">, </w:t>
      </w:r>
      <w:r w:rsidR="00C8515B">
        <w:rPr>
          <w:color w:val="000000" w:themeColor="text1"/>
        </w:rPr>
        <w:t>strong correlation between IBD-Control-8 score and VAS (</w:t>
      </w:r>
      <w:r w:rsidR="00C8515B" w:rsidRPr="00223D16">
        <w:rPr>
          <w:color w:val="000000" w:themeColor="text1"/>
        </w:rPr>
        <w:t>r</w:t>
      </w:r>
      <w:r w:rsidR="00C8515B" w:rsidRPr="00223D16">
        <w:rPr>
          <w:color w:val="000000" w:themeColor="text1"/>
          <w:vertAlign w:val="subscript"/>
        </w:rPr>
        <w:t>s</w:t>
      </w:r>
      <w:r w:rsidR="00C8515B" w:rsidRPr="00584A59">
        <w:rPr>
          <w:color w:val="000000" w:themeColor="text1"/>
        </w:rPr>
        <w:t>=0.74</w:t>
      </w:r>
      <w:r w:rsidR="00C8515B">
        <w:rPr>
          <w:color w:val="000000" w:themeColor="text1"/>
        </w:rPr>
        <w:t>)</w:t>
      </w:r>
      <w:r w:rsidR="00392F0C">
        <w:rPr>
          <w:color w:val="000000" w:themeColor="text1"/>
        </w:rPr>
        <w:t>,</w:t>
      </w:r>
      <w:r w:rsidR="00D520B2">
        <w:rPr>
          <w:color w:val="000000" w:themeColor="text1"/>
        </w:rPr>
        <w:t xml:space="preserve"> moderate-to-strong </w:t>
      </w:r>
      <w:r w:rsidR="00C8515B" w:rsidRPr="00C841A3">
        <w:rPr>
          <w:color w:val="000000" w:themeColor="text1"/>
        </w:rPr>
        <w:t>with PRO2 score</w:t>
      </w:r>
      <w:r w:rsidR="001D43F3">
        <w:rPr>
          <w:color w:val="000000" w:themeColor="text1"/>
        </w:rPr>
        <w:t>s</w:t>
      </w:r>
      <w:r w:rsidR="00C8515B" w:rsidRPr="00C841A3">
        <w:rPr>
          <w:color w:val="000000" w:themeColor="text1"/>
        </w:rPr>
        <w:t xml:space="preserve"> (CD: r</w:t>
      </w:r>
      <w:r w:rsidR="00C8515B" w:rsidRPr="00C841A3">
        <w:rPr>
          <w:color w:val="000000" w:themeColor="text1"/>
          <w:vertAlign w:val="subscript"/>
        </w:rPr>
        <w:t>s</w:t>
      </w:r>
      <w:r w:rsidR="00C8515B" w:rsidRPr="00C841A3">
        <w:rPr>
          <w:color w:val="000000" w:themeColor="text1"/>
        </w:rPr>
        <w:t xml:space="preserve"> = -0.718; UC: r</w:t>
      </w:r>
      <w:r w:rsidR="00C8515B" w:rsidRPr="00C841A3">
        <w:rPr>
          <w:color w:val="000000" w:themeColor="text1"/>
          <w:vertAlign w:val="subscript"/>
        </w:rPr>
        <w:t>s</w:t>
      </w:r>
      <w:r w:rsidR="00C8515B" w:rsidRPr="00C841A3">
        <w:rPr>
          <w:color w:val="000000" w:themeColor="text1"/>
        </w:rPr>
        <w:t xml:space="preserve"> = -0.602)</w:t>
      </w:r>
      <w:r w:rsidR="00C8515B">
        <w:rPr>
          <w:color w:val="000000" w:themeColor="text1"/>
        </w:rPr>
        <w:t xml:space="preserve"> and significantly higher </w:t>
      </w:r>
      <w:r w:rsidR="00D520B2">
        <w:rPr>
          <w:color w:val="000000" w:themeColor="text1"/>
        </w:rPr>
        <w:t xml:space="preserve">IBD-Control-8 </w:t>
      </w:r>
      <w:r w:rsidR="00C8515B">
        <w:rPr>
          <w:color w:val="000000" w:themeColor="text1"/>
        </w:rPr>
        <w:t xml:space="preserve">scores </w:t>
      </w:r>
      <w:r w:rsidR="006A2006">
        <w:rPr>
          <w:color w:val="000000" w:themeColor="text1"/>
        </w:rPr>
        <w:t>for</w:t>
      </w:r>
      <w:r w:rsidR="00C8515B">
        <w:rPr>
          <w:color w:val="000000" w:themeColor="text1"/>
        </w:rPr>
        <w:t xml:space="preserve"> </w:t>
      </w:r>
      <w:r w:rsidR="00D520B2">
        <w:rPr>
          <w:color w:val="000000" w:themeColor="text1"/>
        </w:rPr>
        <w:t>PRO2</w:t>
      </w:r>
      <w:r w:rsidR="00392F0C">
        <w:rPr>
          <w:color w:val="000000" w:themeColor="text1"/>
        </w:rPr>
        <w:t>-</w:t>
      </w:r>
      <w:r w:rsidR="00C8515B">
        <w:rPr>
          <w:color w:val="000000" w:themeColor="text1"/>
        </w:rPr>
        <w:t>remission vers</w:t>
      </w:r>
      <w:r w:rsidR="00D520B2">
        <w:rPr>
          <w:color w:val="000000" w:themeColor="text1"/>
        </w:rPr>
        <w:t xml:space="preserve">us </w:t>
      </w:r>
      <w:r w:rsidR="00392F0C">
        <w:rPr>
          <w:color w:val="000000" w:themeColor="text1"/>
        </w:rPr>
        <w:t>-</w:t>
      </w:r>
      <w:r w:rsidR="00D520B2">
        <w:rPr>
          <w:color w:val="000000" w:themeColor="text1"/>
        </w:rPr>
        <w:t>active</w:t>
      </w:r>
      <w:r w:rsidR="00392F0C">
        <w:rPr>
          <w:color w:val="000000" w:themeColor="text1"/>
        </w:rPr>
        <w:t>,</w:t>
      </w:r>
      <w:r w:rsidR="00584A59">
        <w:rPr>
          <w:color w:val="000000" w:themeColor="text1"/>
        </w:rPr>
        <w:t xml:space="preserve"> consisten</w:t>
      </w:r>
      <w:r w:rsidR="00392F0C">
        <w:rPr>
          <w:color w:val="000000" w:themeColor="text1"/>
        </w:rPr>
        <w:t xml:space="preserve">t across </w:t>
      </w:r>
      <w:r w:rsidR="0040374F">
        <w:rPr>
          <w:color w:val="000000" w:themeColor="text1"/>
        </w:rPr>
        <w:t>subgroup</w:t>
      </w:r>
      <w:r w:rsidR="00392F0C">
        <w:rPr>
          <w:color w:val="000000" w:themeColor="text1"/>
        </w:rPr>
        <w:t>s</w:t>
      </w:r>
      <w:r w:rsidR="00D520B2">
        <w:rPr>
          <w:color w:val="000000" w:themeColor="text1"/>
        </w:rPr>
        <w:t xml:space="preserve">. </w:t>
      </w:r>
      <w:r>
        <w:rPr>
          <w:color w:val="000000" w:themeColor="text1"/>
        </w:rPr>
        <w:t xml:space="preserve">Exploratory and </w:t>
      </w:r>
      <w:r w:rsidR="006A2006">
        <w:rPr>
          <w:color w:val="000000" w:themeColor="text1"/>
        </w:rPr>
        <w:t>C</w:t>
      </w:r>
      <w:r>
        <w:rPr>
          <w:color w:val="000000" w:themeColor="text1"/>
        </w:rPr>
        <w:t xml:space="preserve">onfirmatory </w:t>
      </w:r>
      <w:r w:rsidR="006A2006">
        <w:rPr>
          <w:color w:val="000000" w:themeColor="text1"/>
        </w:rPr>
        <w:t>F</w:t>
      </w:r>
      <w:r>
        <w:rPr>
          <w:color w:val="000000" w:themeColor="text1"/>
        </w:rPr>
        <w:t xml:space="preserve">actor </w:t>
      </w:r>
      <w:r w:rsidR="006A2006">
        <w:rPr>
          <w:color w:val="000000" w:themeColor="text1"/>
        </w:rPr>
        <w:t>A</w:t>
      </w:r>
      <w:r>
        <w:rPr>
          <w:color w:val="000000" w:themeColor="text1"/>
        </w:rPr>
        <w:t xml:space="preserve">nalyses </w:t>
      </w:r>
      <w:r w:rsidR="00D520B2">
        <w:rPr>
          <w:color w:val="000000" w:themeColor="text1"/>
        </w:rPr>
        <w:t>demonstrated a two-factor model</w:t>
      </w:r>
      <w:r w:rsidR="00A30EC8">
        <w:rPr>
          <w:color w:val="000000" w:themeColor="text1"/>
        </w:rPr>
        <w:t xml:space="preserve"> (</w:t>
      </w:r>
      <w:r w:rsidR="00D520B2">
        <w:rPr>
          <w:color w:val="000000" w:themeColor="text1"/>
        </w:rPr>
        <w:t xml:space="preserve">items loading onto </w:t>
      </w:r>
      <w:r w:rsidR="00392F0C">
        <w:rPr>
          <w:color w:val="000000" w:themeColor="text1"/>
        </w:rPr>
        <w:t>‘</w:t>
      </w:r>
      <w:r w:rsidR="00D520B2" w:rsidRPr="00392F0C">
        <w:rPr>
          <w:color w:val="000000" w:themeColor="text1"/>
        </w:rPr>
        <w:t>Health-related Quality of Life</w:t>
      </w:r>
      <w:r w:rsidR="00392F0C">
        <w:rPr>
          <w:color w:val="000000" w:themeColor="text1"/>
        </w:rPr>
        <w:t>’</w:t>
      </w:r>
      <w:r w:rsidR="006A2006" w:rsidRPr="00392F0C">
        <w:rPr>
          <w:color w:val="000000" w:themeColor="text1"/>
        </w:rPr>
        <w:t xml:space="preserve"> </w:t>
      </w:r>
      <w:r w:rsidR="00392F0C">
        <w:rPr>
          <w:color w:val="000000" w:themeColor="text1"/>
        </w:rPr>
        <w:t>[</w:t>
      </w:r>
      <w:r w:rsidR="006A2006" w:rsidRPr="00392F0C">
        <w:rPr>
          <w:color w:val="000000" w:themeColor="text1"/>
        </w:rPr>
        <w:t>HRQoL</w:t>
      </w:r>
      <w:r w:rsidR="00392F0C">
        <w:rPr>
          <w:color w:val="000000" w:themeColor="text1"/>
        </w:rPr>
        <w:t>]</w:t>
      </w:r>
      <w:r w:rsidR="00D520B2">
        <w:rPr>
          <w:color w:val="000000" w:themeColor="text1"/>
        </w:rPr>
        <w:t xml:space="preserve"> or </w:t>
      </w:r>
      <w:r w:rsidR="00392F0C">
        <w:rPr>
          <w:color w:val="000000" w:themeColor="text1"/>
        </w:rPr>
        <w:t>‘</w:t>
      </w:r>
      <w:r w:rsidR="00D520B2" w:rsidRPr="00392F0C">
        <w:rPr>
          <w:color w:val="000000" w:themeColor="text1"/>
        </w:rPr>
        <w:t>Treatment</w:t>
      </w:r>
      <w:r w:rsidR="00392F0C">
        <w:rPr>
          <w:color w:val="000000" w:themeColor="text1"/>
        </w:rPr>
        <w:t>’</w:t>
      </w:r>
      <w:r w:rsidR="00D520B2">
        <w:rPr>
          <w:color w:val="000000" w:themeColor="text1"/>
        </w:rPr>
        <w:t xml:space="preserve"> domains</w:t>
      </w:r>
      <w:r w:rsidR="00A30EC8">
        <w:rPr>
          <w:color w:val="000000" w:themeColor="text1"/>
        </w:rPr>
        <w:t>)</w:t>
      </w:r>
      <w:r w:rsidR="00D520B2">
        <w:rPr>
          <w:color w:val="000000" w:themeColor="text1"/>
        </w:rPr>
        <w:t xml:space="preserve">. </w:t>
      </w:r>
      <w:r w:rsidR="00584A59">
        <w:rPr>
          <w:color w:val="000000" w:themeColor="text1"/>
        </w:rPr>
        <w:t>Extensive t</w:t>
      </w:r>
      <w:r w:rsidR="00D520B2">
        <w:rPr>
          <w:color w:val="000000" w:themeColor="text1"/>
        </w:rPr>
        <w:t>ests for factorial invariance confirmed consistency.</w:t>
      </w:r>
    </w:p>
    <w:p w14:paraId="78F7195A" w14:textId="77777777" w:rsidR="000748C9" w:rsidRDefault="0095593B" w:rsidP="006A2006">
      <w:pPr>
        <w:jc w:val="both"/>
        <w:rPr>
          <w:color w:val="000000" w:themeColor="text1"/>
        </w:rPr>
      </w:pPr>
      <w:r w:rsidRPr="0095593B">
        <w:rPr>
          <w:b/>
          <w:bCs/>
          <w:color w:val="000000" w:themeColor="text1"/>
        </w:rPr>
        <w:t xml:space="preserve">Conclusions </w:t>
      </w:r>
      <w:r>
        <w:rPr>
          <w:color w:val="000000" w:themeColor="text1"/>
        </w:rPr>
        <w:t>IBD-Control-8 is a psychometrically robust scale which can be used across a range of populations</w:t>
      </w:r>
      <w:r w:rsidR="00392F0C">
        <w:rPr>
          <w:color w:val="000000" w:themeColor="text1"/>
        </w:rPr>
        <w:t>. It</w:t>
      </w:r>
      <w:r>
        <w:rPr>
          <w:color w:val="000000" w:themeColor="text1"/>
        </w:rPr>
        <w:t xml:space="preserve"> offer</w:t>
      </w:r>
      <w:r w:rsidR="00392F0C">
        <w:rPr>
          <w:color w:val="000000" w:themeColor="text1"/>
        </w:rPr>
        <w:t>s</w:t>
      </w:r>
      <w:r>
        <w:rPr>
          <w:color w:val="000000" w:themeColor="text1"/>
        </w:rPr>
        <w:t xml:space="preserve"> a quick</w:t>
      </w:r>
      <w:r w:rsidR="006A2006">
        <w:rPr>
          <w:color w:val="000000" w:themeColor="text1"/>
        </w:rPr>
        <w:t>, reliable and valid</w:t>
      </w:r>
      <w:r>
        <w:rPr>
          <w:color w:val="000000" w:themeColor="text1"/>
        </w:rPr>
        <w:t xml:space="preserve"> method of assessing patient</w:t>
      </w:r>
      <w:r w:rsidR="00C95B13">
        <w:rPr>
          <w:color w:val="000000" w:themeColor="text1"/>
        </w:rPr>
        <w:t>-</w:t>
      </w:r>
      <w:r>
        <w:rPr>
          <w:color w:val="000000" w:themeColor="text1"/>
        </w:rPr>
        <w:t>perceived control.</w:t>
      </w:r>
      <w:r w:rsidR="00D520B2">
        <w:rPr>
          <w:color w:val="000000" w:themeColor="text1"/>
        </w:rPr>
        <w:t xml:space="preserve"> </w:t>
      </w:r>
      <w:r w:rsidR="001C7FBF">
        <w:rPr>
          <w:color w:val="000000" w:themeColor="text1"/>
        </w:rPr>
        <w:t>The construct of “control” includes traditional HRQoL and a novel domain relating to treatment perception.</w:t>
      </w:r>
    </w:p>
    <w:p w14:paraId="699CE37A" w14:textId="77777777" w:rsidR="000748C9" w:rsidRDefault="000748C9" w:rsidP="006A2006">
      <w:pPr>
        <w:jc w:val="both"/>
        <w:rPr>
          <w:color w:val="000000" w:themeColor="text1"/>
        </w:rPr>
      </w:pPr>
    </w:p>
    <w:p w14:paraId="7C6AD63E" w14:textId="62A2BD00" w:rsidR="0095593B" w:rsidRPr="006A2006" w:rsidRDefault="000748C9" w:rsidP="006A2006">
      <w:pPr>
        <w:jc w:val="both"/>
        <w:rPr>
          <w:color w:val="000000" w:themeColor="text1"/>
        </w:rPr>
      </w:pPr>
      <w:r w:rsidRPr="000748C9">
        <w:rPr>
          <w:b/>
          <w:bCs/>
          <w:color w:val="000000" w:themeColor="text1"/>
        </w:rPr>
        <w:t>Keywords:</w:t>
      </w:r>
      <w:r>
        <w:rPr>
          <w:color w:val="000000" w:themeColor="text1"/>
        </w:rPr>
        <w:t xml:space="preserve"> Inflammatory Bowel Disease; Patient Reported Outcome Measures</w:t>
      </w:r>
      <w:r w:rsidR="0095593B" w:rsidRPr="002C0E5F">
        <w:rPr>
          <w:i/>
          <w:iCs/>
          <w:color w:val="000000" w:themeColor="text1"/>
        </w:rPr>
        <w:br w:type="page"/>
      </w:r>
    </w:p>
    <w:p w14:paraId="46221C7F" w14:textId="681EB0A0" w:rsidR="00E510CF" w:rsidRPr="000D346F" w:rsidRDefault="00E510CF">
      <w:pPr>
        <w:rPr>
          <w:b/>
          <w:bCs/>
          <w:color w:val="000000" w:themeColor="text1"/>
          <w:sz w:val="24"/>
          <w:szCs w:val="24"/>
        </w:rPr>
      </w:pPr>
      <w:r w:rsidRPr="000D346F">
        <w:rPr>
          <w:b/>
          <w:bCs/>
          <w:color w:val="000000" w:themeColor="text1"/>
          <w:sz w:val="24"/>
          <w:szCs w:val="24"/>
        </w:rPr>
        <w:lastRenderedPageBreak/>
        <w:t>Introduction</w:t>
      </w:r>
    </w:p>
    <w:p w14:paraId="3B7567C4" w14:textId="5451F3FA" w:rsidR="009B4FF1" w:rsidRPr="00804A81" w:rsidRDefault="00A43936" w:rsidP="00402CDB">
      <w:pPr>
        <w:jc w:val="both"/>
        <w:rPr>
          <w:color w:val="000000" w:themeColor="text1"/>
        </w:rPr>
      </w:pPr>
      <w:r w:rsidRPr="00C841A3">
        <w:rPr>
          <w:color w:val="000000" w:themeColor="text1"/>
        </w:rPr>
        <w:t>The potential for patient-reported outcome measures (PROMs) to support patient-centred care</w:t>
      </w:r>
      <w:r w:rsidR="009B4FF1" w:rsidRPr="00C841A3">
        <w:rPr>
          <w:color w:val="000000" w:themeColor="text1"/>
        </w:rPr>
        <w:t>, quality improvement</w:t>
      </w:r>
      <w:r w:rsidRPr="00C841A3">
        <w:rPr>
          <w:color w:val="000000" w:themeColor="text1"/>
        </w:rPr>
        <w:t xml:space="preserve"> and research </w:t>
      </w:r>
      <w:r w:rsidR="00A36840">
        <w:rPr>
          <w:color w:val="000000" w:themeColor="text1"/>
        </w:rPr>
        <w:t>f</w:t>
      </w:r>
      <w:r w:rsidRPr="00C841A3">
        <w:rPr>
          <w:color w:val="000000" w:themeColor="text1"/>
        </w:rPr>
        <w:t>or inflammatory bowel disease (IBD)</w:t>
      </w:r>
      <w:r w:rsidR="009B4FF1" w:rsidRPr="00C841A3">
        <w:rPr>
          <w:color w:val="000000" w:themeColor="text1"/>
        </w:rPr>
        <w:t xml:space="preserve"> is </w:t>
      </w:r>
      <w:r w:rsidR="005B6624">
        <w:rPr>
          <w:color w:val="000000" w:themeColor="text1"/>
        </w:rPr>
        <w:t xml:space="preserve">increasingly </w:t>
      </w:r>
      <w:r w:rsidRPr="00C841A3">
        <w:rPr>
          <w:color w:val="000000" w:themeColor="text1"/>
        </w:rPr>
        <w:t>recognised</w:t>
      </w:r>
      <w:r w:rsidR="003E2433" w:rsidRPr="00C841A3">
        <w:rPr>
          <w:color w:val="000000" w:themeColor="text1"/>
        </w:rPr>
        <w:t>.</w:t>
      </w:r>
      <w:r w:rsidR="00103753">
        <w:rPr>
          <w:color w:val="000000" w:themeColor="text1"/>
        </w:rPr>
        <w:fldChar w:fldCharType="begin"/>
      </w:r>
      <w:r w:rsidR="00D071AC">
        <w:rPr>
          <w:color w:val="000000" w:themeColor="text1"/>
        </w:rPr>
        <w:instrText xml:space="preserve"> ADDIN ZOTERO_ITEM CSL_CITATION {"citationID":"Cz13874z","properties":{"formattedCitation":"\\super 1,2\\nosupersub{}","plainCitation":"1,2","noteIndex":0},"citationItems":[{"id":566,"uris":["http://zotero.org/users/2016235/items/7H6BZG6I"],"itemData":{"id":566,"type":"article-journal","abstract":"Patient reported outcome measures [PROMs] are standardized, validated questionnaires intended for completion by patients in order to measure their perceptions of their own health condition or its treatment without interpretation of the patient's response by a clinician or anyone else. Mayo Clinic Score [MCS] or Crohn's Disease Activity Index [CDAI], most frequently used as end points in conventional clinical trials, are composite instruments that are not fully objective nor capture the impact of disease from the patient's perspective. They are difficult to apply to routine clinical practice because they are complex and time consuming. The European Medicines Agency and Food and Drug Administration are re-evaluating composite indices in clinical trials and product development guidelines. The ultimate goal is to support labelling claims to improve safety and effectiveness of medical products through PROMs allied to an objective measure of inflammation, as happens informally in clinical practice. PROMs, developed and validated according to rigorous criteria, are set to become a co-primary end point for clinical trials of therapy, together with objective measure[s] of inflammation. This will affect future trials' design and their results. To find a place in routine care, PROMs should be easy to use, acceptable to patients and healthcare teams, and able to demonstrate added value to normal practice, supporting decision-making at the level of individual patients. Ideally, the same PROMs should be used in clinical trials and practice, to avoid the current disconnect when interpreting the results of clinical trials and translating them into routine clinical practice.","container-title":"Journal of Crohn's &amp; Colitis","DOI":"10.1093/ecco-jcc/jjw187","ISSN":"1876-4479","issue":"suppl_2","journalAbbreviation":"J Crohns Colitis","language":"eng","note":"PMID: 27797917","page":"S576-S585","source":"PubMed","title":"Patient Reported Outcome Measures (PROMs) in Inflammatory Bowel Disease: New Data","title-short":"Patient Reported Outcome Measures (PROMs) in Inflammatory Bowel Disease","volume":"11","author":[{"family":"Bojic","given":"Daniela"},{"family":"Bodger","given":"Keith"},{"family":"Travis","given":"Simon"}],"issued":{"date-parts":[["2017",3,1]]}}},{"id":2298,"uris":["http://zotero.org/users/2016235/items/ADDDULEG"],"itemData":{"id":2298,"type":"article-journal","abstract":"The measurement of outcomes is key in evaluating healthcare or research interventions in inﬂammatory bowel disease (IBD). In patient-centred care, patient-reported outcome measures (PROMs) are central to this evaluation. In this review, we provide an overview of validated, adult disease-speciﬁc PROMs developed for use in IBD. Our aim is to assist clinicians and researchers in selection of PROMs to measure outcomes in their patient cohort. The Consensus-based Standards for the Selection of Health Measurement Instruments database of systematic reviews was the primary resource used to identify PROMs used in IBD. Search terms were ‘Crohn’s disease’, ‘ulcerative colitis’, and ‘IBD’. Seven systematic reviews were identiﬁed from this search. In addition, the publication by the IBD Core Outcome Set Working Group was used to identify further PROMs. Three systematic reviews were excluded as they did not meet the inclusion criteria. From the ﬁve included systematic reviews, we identiﬁed 21 PROMs and their shortened versions. In conclusion, it does not appear that any one PROM is entirely suitable for both research and clinical practice. Overall, the IBDQ-32 is most widely used in research but has the limitation of cost, whereas the IBD-Control has been recommended in the clinical core outcome set.","container-title":"Gastroenterology Insights","DOI":"10.3390/gastroent12020020","ISSN":"2036-7422","issue":"2","journalAbbreviation":"Gastroenterology Insights","language":"en","page":"225-237","source":"DOI.org (Crossref)","title":"Patient-Reported Outcomes in Inflammatory Bowel Disease: A Measurement of Effect in Research and Clinical Care","title-short":"Patient-Reported Outcomes in Inflammatory Bowel Disease","volume":"12","author":[{"family":"Fletcher","given":"Jane"},{"family":"Cooper","given":"Sheldon C."},{"family":"Swift","given":"Amelia"}],"issued":{"date-parts":[["2021",5,12]]}}}],"schema":"https://github.com/citation-style-language/schema/raw/master/csl-citation.json"} </w:instrText>
      </w:r>
      <w:r w:rsidR="00103753">
        <w:rPr>
          <w:color w:val="000000" w:themeColor="text1"/>
        </w:rPr>
        <w:fldChar w:fldCharType="separate"/>
      </w:r>
      <w:r w:rsidR="00D071AC" w:rsidRPr="00D071AC">
        <w:rPr>
          <w:rFonts w:ascii="Calibri" w:cs="Calibri"/>
          <w:color w:val="000000"/>
          <w:vertAlign w:val="superscript"/>
        </w:rPr>
        <w:t>1,2</w:t>
      </w:r>
      <w:r w:rsidR="00103753">
        <w:rPr>
          <w:color w:val="000000" w:themeColor="text1"/>
        </w:rPr>
        <w:fldChar w:fldCharType="end"/>
      </w:r>
      <w:r w:rsidR="000877C1" w:rsidRPr="00C841A3">
        <w:rPr>
          <w:color w:val="000000" w:themeColor="text1"/>
        </w:rPr>
        <w:t xml:space="preserve"> </w:t>
      </w:r>
      <w:r w:rsidR="00EA53C1">
        <w:rPr>
          <w:color w:val="000000" w:themeColor="text1"/>
        </w:rPr>
        <w:t>C</w:t>
      </w:r>
      <w:r w:rsidR="00B46313">
        <w:rPr>
          <w:color w:val="000000" w:themeColor="text1"/>
        </w:rPr>
        <w:t>ondition-specific</w:t>
      </w:r>
      <w:r w:rsidR="00EA53C1">
        <w:rPr>
          <w:color w:val="000000" w:themeColor="text1"/>
        </w:rPr>
        <w:t xml:space="preserve"> </w:t>
      </w:r>
      <w:r w:rsidR="000877C1" w:rsidRPr="00C841A3">
        <w:rPr>
          <w:color w:val="000000" w:themeColor="text1"/>
        </w:rPr>
        <w:t>PROMs vary in</w:t>
      </w:r>
      <w:r w:rsidR="00103753">
        <w:rPr>
          <w:color w:val="000000" w:themeColor="text1"/>
        </w:rPr>
        <w:t xml:space="preserve"> their</w:t>
      </w:r>
      <w:r w:rsidR="000B46C7">
        <w:rPr>
          <w:color w:val="000000" w:themeColor="text1"/>
        </w:rPr>
        <w:t xml:space="preserve"> </w:t>
      </w:r>
      <w:r w:rsidR="00315DD3">
        <w:rPr>
          <w:color w:val="000000" w:themeColor="text1"/>
        </w:rPr>
        <w:t xml:space="preserve">outcome </w:t>
      </w:r>
      <w:r w:rsidR="000877C1" w:rsidRPr="00C841A3">
        <w:rPr>
          <w:color w:val="000000" w:themeColor="text1"/>
        </w:rPr>
        <w:t>coverage</w:t>
      </w:r>
      <w:r w:rsidR="00C019FC">
        <w:rPr>
          <w:color w:val="000000" w:themeColor="text1"/>
        </w:rPr>
        <w:t>,</w:t>
      </w:r>
      <w:r w:rsidR="004E2C81">
        <w:rPr>
          <w:color w:val="000000" w:themeColor="text1"/>
        </w:rPr>
        <w:t xml:space="preserve"> </w:t>
      </w:r>
      <w:r w:rsidR="000877C1" w:rsidRPr="00C841A3">
        <w:rPr>
          <w:color w:val="000000" w:themeColor="text1"/>
        </w:rPr>
        <w:t>rang</w:t>
      </w:r>
      <w:r w:rsidR="00C019FC">
        <w:rPr>
          <w:color w:val="000000" w:themeColor="text1"/>
        </w:rPr>
        <w:t>ing</w:t>
      </w:r>
      <w:r w:rsidR="000877C1" w:rsidRPr="00C841A3">
        <w:rPr>
          <w:color w:val="000000" w:themeColor="text1"/>
        </w:rPr>
        <w:t xml:space="preserve"> from </w:t>
      </w:r>
      <w:r w:rsidR="004E2C81">
        <w:rPr>
          <w:color w:val="000000" w:themeColor="text1"/>
        </w:rPr>
        <w:t xml:space="preserve">very </w:t>
      </w:r>
      <w:r w:rsidR="000877C1" w:rsidRPr="00C841A3">
        <w:rPr>
          <w:color w:val="000000" w:themeColor="text1"/>
        </w:rPr>
        <w:t>short instruments</w:t>
      </w:r>
      <w:r w:rsidR="00315DD3">
        <w:rPr>
          <w:color w:val="000000" w:themeColor="text1"/>
        </w:rPr>
        <w:t xml:space="preserve"> </w:t>
      </w:r>
      <w:r w:rsidR="004E2C81">
        <w:rPr>
          <w:color w:val="000000" w:themeColor="text1"/>
        </w:rPr>
        <w:t xml:space="preserve">(e.g. </w:t>
      </w:r>
      <w:r w:rsidR="00315DD3">
        <w:rPr>
          <w:color w:val="000000" w:themeColor="text1"/>
        </w:rPr>
        <w:t>elicit</w:t>
      </w:r>
      <w:r w:rsidR="00103753">
        <w:rPr>
          <w:color w:val="000000" w:themeColor="text1"/>
        </w:rPr>
        <w:t>ing</w:t>
      </w:r>
      <w:r w:rsidR="00315DD3">
        <w:rPr>
          <w:color w:val="000000" w:themeColor="text1"/>
        </w:rPr>
        <w:t xml:space="preserve"> information</w:t>
      </w:r>
      <w:r w:rsidR="00103753">
        <w:rPr>
          <w:color w:val="000000" w:themeColor="text1"/>
        </w:rPr>
        <w:t xml:space="preserve"> about</w:t>
      </w:r>
      <w:r w:rsidR="00315DD3">
        <w:rPr>
          <w:color w:val="000000" w:themeColor="text1"/>
        </w:rPr>
        <w:t xml:space="preserve"> two </w:t>
      </w:r>
      <w:r w:rsidR="000877C1" w:rsidRPr="00C841A3">
        <w:rPr>
          <w:color w:val="000000" w:themeColor="text1"/>
        </w:rPr>
        <w:t>dominant symptoms</w:t>
      </w:r>
      <w:r w:rsidR="004E2C81">
        <w:rPr>
          <w:color w:val="000000" w:themeColor="text1"/>
        </w:rPr>
        <w:t>)</w:t>
      </w:r>
      <w:r w:rsidR="00D071AC">
        <w:rPr>
          <w:color w:val="000000" w:themeColor="text1"/>
        </w:rPr>
        <w:fldChar w:fldCharType="begin"/>
      </w:r>
      <w:r w:rsidR="00741033">
        <w:rPr>
          <w:color w:val="000000" w:themeColor="text1"/>
        </w:rPr>
        <w:instrText xml:space="preserve"> ADDIN ZOTERO_ITEM CSL_CITATION {"citationID":"he7aWbZ9","properties":{"formattedCitation":"\\super 3,4\\nosupersub{}","plainCitation":"3,4","noteIndex":0},"citationItems":[{"id":2362,"uris":["http://zotero.org/users/2016235/items/DV8VK7XW"],"itemData":{"id":2362,"type":"article-journal","abstract":"BACKGROUND: Patient-reported outcomes (PROs) have an increasingly important role in the evaluation of new therapies for inflammatory bowel disease. The US Food and Drug Administration has issued formal guidance to describe the role of PRO instruments in evaluation of claims for product labelling. However, no validated PRO exists for ulcerative colitis.\nAIM: To investigate whether the PROs from the Mayo Clinic Score (MCS) for UC can be modified, to develop an interim PRO for use in clinical trials, alone or in combination with endoscopy.\nMETHODS: Data from an induction trial of a mesalazine (mesalamine) formulation were used to compare effect sizes between mesalazine and placebo for PRO items (stool frequency and rectal bleeding) alone and in combination with endoscopy. The operating properties of the PRO were validated using data from a phase 2 trial of MLN02, a humanised antibody to the α4β7 integrin in patients with UC.\nRESULTS: A two-item PRO (PRO2) consisting of rectal bleeding = 0 and stool frequency ≤1 or ≤2, combined with an endoscopy subscore ≤1 yielded statistically significant differences between active drug and placebo. This combination yielded the most similar effect sizes and placebo rates for remission, compared to the primary trials. Use of PRO items alone yielded high placebo remission rates in both data sets, although rates were lower when the items were combined and remission defined as PRO2 = 0.\nCONCLUSION: Patient-reported outcomes items derived from the Mayo Clinic Score combined with endoscopy as a co-primary endpoint may be an appropriate interim outcome measure for ulcerative colitis trials.","container-title":"Alimentary Pharmacology &amp; Therapeutics","DOI":"10.1111/apt.13408","ISSN":"1365-2036","issue":"10","journalAbbreviation":"Aliment Pharmacol Ther","language":"eng","note":"PMID: 26388424","page":"1200-1210","source":"PubMed","title":"Development of interim patient-reported outcome measures for the assessment of ulcerative colitis disease activity in clinical trials","volume":"42","author":[{"family":"Jairath","given":"V."},{"family":"Khanna","given":"R."},{"family":"Zou","given":"G. Y."},{"family":"Stitt","given":"L."},{"family":"Mosli","given":"M."},{"family":"Vandervoort","given":"M. K."},{"family":"D'Haens","given":"G."},{"family":"Sandborn","given":"W. J."},{"family":"Feagan","given":"B. G."},{"family":"Levesque","given":"B. G."}],"issued":{"date-parts":[["2015",11]]}}},{"id":2355,"uris":["http://zotero.org/users/2016235/items/VMZBIJZ6"],"itemData":{"id":2355,"type":"article-journal","abstract":"BACKGROUND: The Crohn's Disease Activity Index (CDAI) is a measure of disease activity based on symptoms, signs and a laboratory test. The US Food and Drug Administration has indicated that patient reported outcomes (PROs) should be the primary outcome in randomised controlled trials for Crohn's disease (CD).\nAIM: As no validated PRO exists for CD, to investigate whether CDAI diary card items could be modified for this purpose.\nMETHODS: Data from a trial of rifaximin-extended intestinal release were used to identify cut-points for stool frequency, pain and general well-being using receiver operating characteristic curves with CDAI &lt;150 as criterion. The operating properties of 2- and 3-item PRO were evaluated using data from a trial of methotrexate in CD. Regression analysis determined PRO2 and PRO3 scores that correspond to CDAI-defined thresholds of 150, 220 and 450 and changes of 50, 70 and 100 points.\nRESULTS: Optimum cut-points for CDAI remission were mean daily stool frequency ≤1.5, abdominal pain ≤1, and general well-being score of ≤1 (areas under the ROC curve 0.79, 0.91 and 0.89, respectively). The effect estimates were similar using 2- and 3-item PROs or CDAI. PRO2 and PRO3 values corresponding to CDAI scores of 150, 220 and 450 points were 8, 14, 34 and 13, 22, 53. The corresponding values for CDAI changes of 50, 70 and 100, were 2, 5, 8 and 5, 9, 14. Responsiveness to change was similar for both PROs.\nCONCLUSION: Patient reported outcomes derived from CDAI diary items may be appropriate for use in clinical trials for CD.","container-title":"Alimentary Pharmacology &amp; Therapeutics","DOI":"10.1111/apt.13001","ISSN":"1365-2036","issue":"1","journalAbbreviation":"Aliment Pharmacol Ther","language":"eng","note":"PMID: 25348809","page":"77-86","source":"PubMed","title":"A retrospective analysis: the development of patient reported outcome measures for the assessment of Crohn's disease activity","title-short":"A retrospective analysis","volume":"41","author":[{"family":"Khanna","given":"R."},{"family":"Zou","given":"G."},{"family":"D'Haens","given":"G."},{"family":"Feagan","given":"B. G."},{"family":"Sandborn","given":"W. J."},{"family":"Vandervoort","given":"M. K."},{"family":"Rolleri","given":"R. L."},{"family":"Bortey","given":"E."},{"family":"Paterson","given":"C."},{"family":"Forbes","given":"W. P."},{"family":"Levesque","given":"B. G."}],"issued":{"date-parts":[["2015",1]]}}}],"schema":"https://github.com/citation-style-language/schema/raw/master/csl-citation.json"} </w:instrText>
      </w:r>
      <w:r w:rsidR="00D071AC">
        <w:rPr>
          <w:color w:val="000000" w:themeColor="text1"/>
        </w:rPr>
        <w:fldChar w:fldCharType="separate"/>
      </w:r>
      <w:r w:rsidR="00741033" w:rsidRPr="00741033">
        <w:rPr>
          <w:rFonts w:ascii="Calibri" w:cs="Calibri"/>
          <w:color w:val="000000"/>
          <w:vertAlign w:val="superscript"/>
        </w:rPr>
        <w:t>3,4</w:t>
      </w:r>
      <w:r w:rsidR="00D071AC">
        <w:rPr>
          <w:color w:val="000000" w:themeColor="text1"/>
        </w:rPr>
        <w:fldChar w:fldCharType="end"/>
      </w:r>
      <w:r w:rsidR="002D2609">
        <w:rPr>
          <w:color w:val="000000" w:themeColor="text1"/>
        </w:rPr>
        <w:t xml:space="preserve"> </w:t>
      </w:r>
      <w:r w:rsidR="000877C1" w:rsidRPr="00C841A3">
        <w:rPr>
          <w:color w:val="000000" w:themeColor="text1"/>
        </w:rPr>
        <w:t>to multi-</w:t>
      </w:r>
      <w:r w:rsidR="00EA53C1">
        <w:rPr>
          <w:color w:val="000000" w:themeColor="text1"/>
        </w:rPr>
        <w:t xml:space="preserve">item </w:t>
      </w:r>
      <w:r w:rsidR="000877C1" w:rsidRPr="00C841A3">
        <w:rPr>
          <w:color w:val="000000" w:themeColor="text1"/>
        </w:rPr>
        <w:t>questionnaires</w:t>
      </w:r>
      <w:r w:rsidR="00B46313">
        <w:rPr>
          <w:color w:val="000000" w:themeColor="text1"/>
        </w:rPr>
        <w:t xml:space="preserve"> </w:t>
      </w:r>
      <w:r w:rsidR="004E2C81">
        <w:rPr>
          <w:color w:val="000000" w:themeColor="text1"/>
        </w:rPr>
        <w:t>(</w:t>
      </w:r>
      <w:r w:rsidR="00B46313">
        <w:rPr>
          <w:color w:val="000000" w:themeColor="text1"/>
        </w:rPr>
        <w:t>measur</w:t>
      </w:r>
      <w:r w:rsidR="004E2C81">
        <w:rPr>
          <w:color w:val="000000" w:themeColor="text1"/>
        </w:rPr>
        <w:t>ing</w:t>
      </w:r>
      <w:r w:rsidR="00315DD3">
        <w:rPr>
          <w:color w:val="000000" w:themeColor="text1"/>
        </w:rPr>
        <w:t xml:space="preserve"> the broader construct of</w:t>
      </w:r>
      <w:r w:rsidR="00B46313">
        <w:rPr>
          <w:color w:val="000000" w:themeColor="text1"/>
        </w:rPr>
        <w:t xml:space="preserve"> </w:t>
      </w:r>
      <w:r w:rsidR="00D6261F" w:rsidRPr="00C841A3">
        <w:rPr>
          <w:color w:val="000000" w:themeColor="text1"/>
        </w:rPr>
        <w:t xml:space="preserve">health-related quality of life </w:t>
      </w:r>
      <w:r w:rsidR="004E2C81">
        <w:rPr>
          <w:color w:val="000000" w:themeColor="text1"/>
        </w:rPr>
        <w:t>[</w:t>
      </w:r>
      <w:r w:rsidR="00D6261F" w:rsidRPr="00C841A3">
        <w:rPr>
          <w:color w:val="000000" w:themeColor="text1"/>
        </w:rPr>
        <w:t>HRQoL</w:t>
      </w:r>
      <w:r w:rsidR="004E2C81">
        <w:rPr>
          <w:color w:val="000000" w:themeColor="text1"/>
        </w:rPr>
        <w:t xml:space="preserve">] which encompasses </w:t>
      </w:r>
      <w:r w:rsidR="00F66A3D">
        <w:rPr>
          <w:color w:val="000000" w:themeColor="text1"/>
        </w:rPr>
        <w:t>physical, social and psychological impacts of disease</w:t>
      </w:r>
      <w:r w:rsidR="004E2C81">
        <w:rPr>
          <w:color w:val="000000" w:themeColor="text1"/>
        </w:rPr>
        <w:t>)</w:t>
      </w:r>
      <w:r w:rsidR="00B46313">
        <w:rPr>
          <w:color w:val="000000" w:themeColor="text1"/>
        </w:rPr>
        <w:t>.</w:t>
      </w:r>
      <w:r w:rsidR="00DA70D1">
        <w:rPr>
          <w:color w:val="000000" w:themeColor="text1"/>
        </w:rPr>
        <w:fldChar w:fldCharType="begin"/>
      </w:r>
      <w:r w:rsidR="00DA70D1">
        <w:rPr>
          <w:color w:val="000000" w:themeColor="text1"/>
        </w:rPr>
        <w:instrText xml:space="preserve"> ADDIN ZOTERO_ITEM CSL_CITATION {"citationID":"PGaw5Sek","properties":{"formattedCitation":"\\super 5\\uc0\\u8211{}7\\nosupersub{}","plainCitation":"5–7","noteIndex":0},"citationItems":[{"id":381,"uris":["http://zotero.org/users/2016235/items/RAAGMUEB"],"itemData":{"id":381,"type":"article-journal","abstract":"We have developed a measure of subjective health status (quality of life) for patients with inflammatory bowel disease (IBD). Ninety-seven patients with IBD described problems they had experienced as a result of the disease; the 32 most frequent and important items were included in the Inflammatory Bowel Disease Questionnaire (IBDQ). Sixty-one IBD patients were evaluated twice. One month separated the evaluations, at which disease activity indices, the IBDQ, and a number of other questionnaires were administered. Reproducibility studies in 19 stable patients showed improvement in scores, but also a small within-person standard deviation. Responsiveness studies revealed large changes in scores in patients who had improved or deteriorated and suggested that the IBDQ was more responsive than a general health status measure. Responsiveness appeared greater in patients with ulcerative colitis than in those with Crohn's disease. Predicted and observed correlations between changes in IBDQ score and changes in other measures were similar. We conclude that although further testing is required, particularly in examining the relation between changes in the IBDQ and changes in the activity of Crohn's disease, the IBDQ shows promise as a measure of health status for clinical trials in IBD.","container-title":"Gastroenterology","ISSN":"0016-5085","issue":"3","journalAbbreviation":"Gastroenterology","language":"eng","note":"PMID: 2644154","page":"804-810","source":"PubMed","title":"A new measure of health status for clinical trials in inflammatory bowel disease","volume":"96","author":[{"family":"Guyatt","given":"G."},{"family":"Mitchell","given":"A."},{"family":"Irvine","given":"E. J."},{"family":"Singer","given":"J."},{"family":"Williams","given":"N."},{"family":"Goodacre","given":"R."},{"family":"Tompkins","given":"C."}],"issued":{"date-parts":[["1989",3]]}}},{"id":365,"uris":["http://zotero.org/users/2016235/items/C35P5FGP"],"itemData":{"id":365,"type":"article-journal","abstract":"BACKGROUND: Health-related quality of life (HRQOL) describes the physical, social, and emotional attitudes and behavior of people in relation to health status. By the 1980s, HRQOL was noted to be impaired in chronic diseases but inflammatory bowel disease, had not been extensively described.\nMETHODS: This review summarizes the results of several studies describing the development and application of a disease-specific HRQOL instrument, the Inflammatory Bowel Disease Questionnaire (IBDQ).\nRESULTS: An initial study described how patients with inflammatory bowel disease identified 150 problems they had experienced in four domains: bowel, systemic, emotional, and social function. Almost half of patients underreported impairment until encouraged by a reminder list. Thirty-two questions were included in the final questionnaire and were scored on a 7-point scale from I (worst) to 7 (best) for a range of possible scores from 32 to 224. Physicians' and spouses' global assessments correlated poorly with patient-reported HRQOL. Subsequent validation of the IBDQ suggested a strong correlation with disease severity (r = -0.5; p &lt; 0.001) and a test-retest reliability of 0.7. Mean score changes of 16 to 30 points have been linked to changes in therapy. Statistically significant differences also occur between active and inactive disease. Results of four clinical trials have included the IBDQ as a measure of outcome. A self-administered version and a shortened version of the IBDQ have also been validated.\nCONCLUSIONS: The IBDQ is a valid, reliable, and sensitive measure that can be meaningfully applied in clinical trials. The short IBDQ may also be useful in clinical research and office practice.","container-title":"Journal of Pediatric Gastroenterology and Nutrition","ISSN":"0277-2116","issue":"4","journalAbbreviation":"J. Pediatr. Gastroenterol. Nutr.","language":"eng","note":"PMID: 10204520","page":"S23-27","source":"PubMed","title":"Development and subsequent refinement of the inflammatory bowel disease questionnaire: a quality-of-life instrument for adult patients with inflammatory bowel disease","title-short":"Development and subsequent refinement of the inflammatory bowel disease questionnaire","volume":"28","author":[{"family":"Irvine","given":"E. J."}],"issued":{"date-parts":[["1999",4]]}}},{"id":3124,"uris":["http://zotero.org/users/2016235/items/2UW75P3S"],"itemData":{"id":3124,"type":"article-journal","abstract":"BACKGROUND: This review aims to critically appraise and compare the measurement properties of inflammatory bowel disease (IBD)-specific health-related quality of life instruments.\nMETHODS: Medline, EMBASE and ISI Web of Knowledge were searched from their inception to May 2016. IBD-specific instruments for patients with Crohn's disease, ulcerative colitis or IBD were enrolled. The basic characteristics and domains of the instruments were collected. The methodological quality of measurement properties and measurement properties of the instruments were assessed.\nRESULTS: Fifteen IBD-specific instruments were included, which included twelve instruments for adult IBD patients and three for paediatric IBD patients. All of the instruments were developed in North American and European countries. The following common domains were identified: IBD-related symptoms, physical, emotional and social domain. The methodological quality was satisfactory for content validity; fair in internal consistency, reliability, structural validity, hypotheses testing and criterion validity; and poor in measurement error, cross-cultural validity and responsiveness. For adult IBD patients, the IBDQ-32 and its short version (SIBDQ) had good measurement properties and were the most widely used worldwide. For paediatric IBD patients, the IMPACT-III had good measurement properties and had more translated versions.\nCONCLUSIONS: Most methodological quality should be promoted, especially measurement error, cross-cultural validity and responsiveness. The IBDQ-32 was the most widely used instrument with good reliability and validity, followed by the SIBDQ and IMPACT-III. Further validation studies are necessary to support the use of other instruments.","container-title":"Health and Quality of Life Outcomes","DOI":"10.1186/s12955-017-0753-2","ISSN":"1477-7525","issue":"1","journalAbbreviation":"Health Qual Life Outcomes","language":"eng","note":"PMID: 28915891\nPMCID: PMC5603012","page":"177","source":"PubMed","title":"Inflammatory bowel disease-specific health-related quality of life instruments: a systematic review of measurement properties","title-short":"Inflammatory bowel disease-specific health-related quality of life instruments","volume":"15","author":[{"family":"Chen","given":"Xin-Lin"},{"family":"Zhong","given":"Liang-Huan"},{"family":"Wen","given":"Yi"},{"family":"Liu","given":"Tian-Wen"},{"family":"Li","given":"Xiao-Ying"},{"family":"Hou","given":"Zheng-Kun"},{"family":"Hu","given":"Yue"},{"family":"Mo","given":"Chuan-Wei"},{"family":"Liu","given":"Feng-Bin"}],"issued":{"date-parts":[["2017",9,15]]}}}],"schema":"https://github.com/citation-style-language/schema/raw/master/csl-citation.json"} </w:instrText>
      </w:r>
      <w:r w:rsidR="00DA70D1">
        <w:rPr>
          <w:color w:val="000000" w:themeColor="text1"/>
        </w:rPr>
        <w:fldChar w:fldCharType="separate"/>
      </w:r>
      <w:r w:rsidR="00DA70D1" w:rsidRPr="00DA70D1">
        <w:rPr>
          <w:rFonts w:ascii="Calibri" w:cs="Calibri"/>
          <w:color w:val="000000"/>
          <w:vertAlign w:val="superscript"/>
        </w:rPr>
        <w:t>5–7</w:t>
      </w:r>
      <w:r w:rsidR="00DA70D1">
        <w:rPr>
          <w:color w:val="000000" w:themeColor="text1"/>
        </w:rPr>
        <w:fldChar w:fldCharType="end"/>
      </w:r>
      <w:r w:rsidR="005B267E">
        <w:rPr>
          <w:color w:val="000000" w:themeColor="text1"/>
        </w:rPr>
        <w:t xml:space="preserve"> Multidomain instruments measuring HRQoL have been available for decades and continue to be developed</w:t>
      </w:r>
      <w:r w:rsidR="005B6624">
        <w:rPr>
          <w:color w:val="000000" w:themeColor="text1"/>
        </w:rPr>
        <w:t>,</w:t>
      </w:r>
      <w:r w:rsidR="005B267E">
        <w:rPr>
          <w:color w:val="000000" w:themeColor="text1"/>
        </w:rPr>
        <w:t xml:space="preserve"> albeit there </w:t>
      </w:r>
      <w:r w:rsidR="005B6624">
        <w:rPr>
          <w:color w:val="000000" w:themeColor="text1"/>
        </w:rPr>
        <w:t>has been</w:t>
      </w:r>
      <w:r w:rsidR="005B267E">
        <w:rPr>
          <w:color w:val="000000" w:themeColor="text1"/>
        </w:rPr>
        <w:t xml:space="preserve"> li</w:t>
      </w:r>
      <w:r w:rsidR="005B6624">
        <w:rPr>
          <w:color w:val="000000" w:themeColor="text1"/>
        </w:rPr>
        <w:t>mited</w:t>
      </w:r>
      <w:r w:rsidR="005B267E">
        <w:rPr>
          <w:color w:val="000000" w:themeColor="text1"/>
        </w:rPr>
        <w:t xml:space="preserve"> evidence of uptake beyond research settings.</w:t>
      </w:r>
    </w:p>
    <w:p w14:paraId="328E4D50" w14:textId="27AAFA10" w:rsidR="00103753" w:rsidRDefault="00D755F2" w:rsidP="00402CDB">
      <w:pPr>
        <w:jc w:val="both"/>
        <w:rPr>
          <w:color w:val="000000" w:themeColor="text1"/>
        </w:rPr>
      </w:pPr>
      <w:r w:rsidRPr="00C841A3">
        <w:rPr>
          <w:color w:val="000000" w:themeColor="text1"/>
        </w:rPr>
        <w:t>The Inflammatory Bowel Disease Control Questionnaire (IBD-Control) was developed to measure</w:t>
      </w:r>
      <w:r w:rsidR="00B46313">
        <w:rPr>
          <w:color w:val="000000" w:themeColor="text1"/>
        </w:rPr>
        <w:t xml:space="preserve"> </w:t>
      </w:r>
      <w:r w:rsidR="00B67D3F" w:rsidRPr="00C841A3">
        <w:rPr>
          <w:color w:val="000000" w:themeColor="text1"/>
        </w:rPr>
        <w:t>“</w:t>
      </w:r>
      <w:r w:rsidRPr="00C841A3">
        <w:rPr>
          <w:color w:val="000000" w:themeColor="text1"/>
        </w:rPr>
        <w:t>disease control from the patient perspective</w:t>
      </w:r>
      <w:r w:rsidR="00924A0C">
        <w:rPr>
          <w:color w:val="000000" w:themeColor="text1"/>
        </w:rPr>
        <w:t>”</w:t>
      </w:r>
      <w:r w:rsidR="00924A0C" w:rsidRPr="00924A0C">
        <w:rPr>
          <w:color w:val="000000" w:themeColor="text1"/>
        </w:rPr>
        <w:t>.</w:t>
      </w:r>
      <w:r w:rsidR="00DA70D1">
        <w:rPr>
          <w:color w:val="000000" w:themeColor="text1"/>
        </w:rPr>
        <w:fldChar w:fldCharType="begin"/>
      </w:r>
      <w:r w:rsidR="00766711">
        <w:rPr>
          <w:color w:val="000000" w:themeColor="text1"/>
        </w:rPr>
        <w:instrText xml:space="preserve"> ADDIN ZOTERO_ITEM CSL_CITATION {"citationID":"dU3pICrZ","properties":{"formattedCitation":"\\super 8\\nosupersub{}","plainCitation":"8","noteIndex":0},"citationItems":[{"id":154,"uris":["http://zotero.org/users/2016235/items/6SBF99P6"],"itemData":{"id":154,"type":"article-journal","abstract":"INTRODUCTION: The use of patient reported outcome measures to support routine inflammatory bowel disease (IBD) care is not widespread and suggests that existing questionnaires lack relevance to day-to-day decisions or are too cumbersome to administer. We developed a simple, generic tool for capturing disease control from the patient's perspective to address these barriers.\nMETHODS: Development based on literature review, patient focus groups/interviews and a steering group, defining a limited set of generic questions. The 'IBD-Control' questionnaire comprises 13 items plus a visual analogue scale (VAS) (0-100). Prospective validation involved baseline completion of IBD-Control, quality of life (QoL) questionnaire (UK-IBD-Q), EuroQol (EQ-5D), Hospital Anxiety and Depression Score; and clinician assessment (blinded to questionnaire; recording Harvey-Bradshaw Index or Simple Clinical Colitis Activity Index; Global Clinician Rating; treatment outcome).\nRESULTS: 299 patients returned baseline surveys (Crohn's disease, n=160; ulcerative colitis, n=139) and 138 attended for repeat visits. Completion time (mean; SD): 1 min 15 s; 25 s; Internal consistency: Cronbach's α for all 13 items (0.85); for subgroup of eight questions ('IBD-Control-8'; 0.86). Strong correlation between IBD-Control-8 and IBD-Control-VAS (r=0.81). Test-retest reliability (2 week repeat): intra-class correlation=0.97 for IBD-Control-8 and 0.96 for IBD-Control-VAS. Construct validity: Moderate-to-strong correlations between IBD-Control-8 and IBD-Control-VAS versus activity indices, UK-IBD-Q and EQ-5D (utility) with r values 0.52-0.86. Discriminant validity (mean instrument scores for remission, mild, moderate or severe): p&lt;0.001 (analysis of variance (ANOVA)). Sensitivity to change: Effect sizes: 0.76-1.44.\nCONCLUSIONS: The IBD-Control is a rapid, reliable, valid and sensitive instrument for measuring overall disease control from the patient's perspective. Unlike existing patient reported outcome measures, its simplicity, ease-of-use and generic applicability make it a candidate for supporting routine care.","container-title":"Gut","DOI":"10.1136/gutjnl-2013-305600","ISSN":"1468-3288","issue":"7","journalAbbreviation":"Gut","language":"eng","note":"PMID: 24107590 \nPMCID: PMC4078750","page":"1092-1102","source":"NCBI PubMed","title":"Development and validation of a rapid, generic measure of disease control from the patient's perspective: the IBD-control questionnaire","title-short":"Development and validation of a rapid, generic measure of disease control from the patient's perspective","volume":"63","author":[{"family":"Bodger","given":"Keith"},{"family":"Ormerod","given":"Clare"},{"family":"Shackcloth","given":"Daniela"},{"family":"Harrison","given":"Melanie"},{"literal":"IBD Control Collaborative"}],"issued":{"date-parts":[["2014",7]]}}}],"schema":"https://github.com/citation-style-language/schema/raw/master/csl-citation.json"} </w:instrText>
      </w:r>
      <w:r w:rsidR="00DA70D1">
        <w:rPr>
          <w:color w:val="000000" w:themeColor="text1"/>
        </w:rPr>
        <w:fldChar w:fldCharType="separate"/>
      </w:r>
      <w:r w:rsidR="00766711" w:rsidRPr="00766711">
        <w:rPr>
          <w:rFonts w:ascii="Calibri" w:cs="Calibri"/>
          <w:color w:val="000000"/>
          <w:vertAlign w:val="superscript"/>
        </w:rPr>
        <w:t>8</w:t>
      </w:r>
      <w:r w:rsidR="00DA70D1">
        <w:rPr>
          <w:color w:val="000000" w:themeColor="text1"/>
        </w:rPr>
        <w:fldChar w:fldCharType="end"/>
      </w:r>
      <w:r w:rsidR="00A9612C" w:rsidRPr="00A9612C">
        <w:rPr>
          <w:color w:val="000000" w:themeColor="text1"/>
        </w:rPr>
        <w:t xml:space="preserve"> </w:t>
      </w:r>
      <w:r w:rsidR="004E2C81">
        <w:rPr>
          <w:color w:val="000000" w:themeColor="text1"/>
        </w:rPr>
        <w:t xml:space="preserve">Its intended purpose was to </w:t>
      </w:r>
      <w:r w:rsidR="00A9612C" w:rsidRPr="00C841A3">
        <w:rPr>
          <w:color w:val="000000" w:themeColor="text1"/>
        </w:rPr>
        <w:t>provid</w:t>
      </w:r>
      <w:r w:rsidR="004E2C81">
        <w:rPr>
          <w:color w:val="000000" w:themeColor="text1"/>
        </w:rPr>
        <w:t>e</w:t>
      </w:r>
      <w:r w:rsidR="00A9612C" w:rsidRPr="00C841A3">
        <w:rPr>
          <w:color w:val="000000" w:themeColor="text1"/>
        </w:rPr>
        <w:t xml:space="preserve"> a simple, intuitive screening tool for </w:t>
      </w:r>
      <w:r w:rsidR="005B6624">
        <w:rPr>
          <w:color w:val="000000" w:themeColor="text1"/>
        </w:rPr>
        <w:t xml:space="preserve">routine </w:t>
      </w:r>
      <w:r w:rsidR="00A9612C" w:rsidRPr="00C841A3">
        <w:rPr>
          <w:color w:val="000000" w:themeColor="text1"/>
        </w:rPr>
        <w:t>clinical practice</w:t>
      </w:r>
      <w:r w:rsidR="00A9612C">
        <w:rPr>
          <w:color w:val="000000" w:themeColor="text1"/>
        </w:rPr>
        <w:t>.</w:t>
      </w:r>
      <w:r w:rsidR="003F2C6B" w:rsidRPr="003F2C6B">
        <w:rPr>
          <w:color w:val="000000" w:themeColor="text1"/>
        </w:rPr>
        <w:t xml:space="preserve"> </w:t>
      </w:r>
      <w:r w:rsidR="003F2C6B">
        <w:rPr>
          <w:color w:val="000000" w:themeColor="text1"/>
        </w:rPr>
        <w:t xml:space="preserve">The guiding principal was to create a PROM that </w:t>
      </w:r>
      <w:r w:rsidR="0086791B">
        <w:rPr>
          <w:color w:val="000000" w:themeColor="text1"/>
        </w:rPr>
        <w:t>was</w:t>
      </w:r>
      <w:r w:rsidR="007E49EA">
        <w:rPr>
          <w:color w:val="000000" w:themeColor="text1"/>
        </w:rPr>
        <w:t xml:space="preserve"> generic enough to be</w:t>
      </w:r>
      <w:r w:rsidR="0086791B">
        <w:rPr>
          <w:color w:val="000000" w:themeColor="text1"/>
        </w:rPr>
        <w:t xml:space="preserve"> relevant </w:t>
      </w:r>
      <w:r w:rsidR="003F2C6B">
        <w:rPr>
          <w:color w:val="000000" w:themeColor="text1"/>
        </w:rPr>
        <w:t>to</w:t>
      </w:r>
      <w:r w:rsidR="003F2C6B" w:rsidRPr="00C841A3">
        <w:rPr>
          <w:color w:val="000000" w:themeColor="text1"/>
        </w:rPr>
        <w:t xml:space="preserve"> a</w:t>
      </w:r>
      <w:r w:rsidR="005B6624">
        <w:rPr>
          <w:color w:val="000000" w:themeColor="text1"/>
        </w:rPr>
        <w:t>ny</w:t>
      </w:r>
      <w:r w:rsidR="003F2C6B" w:rsidRPr="00C841A3">
        <w:rPr>
          <w:color w:val="000000" w:themeColor="text1"/>
        </w:rPr>
        <w:t xml:space="preserve"> p</w:t>
      </w:r>
      <w:r w:rsidR="0086791B">
        <w:rPr>
          <w:color w:val="000000" w:themeColor="text1"/>
        </w:rPr>
        <w:t>e</w:t>
      </w:r>
      <w:r w:rsidR="005B6624">
        <w:rPr>
          <w:color w:val="000000" w:themeColor="text1"/>
        </w:rPr>
        <w:t>rson</w:t>
      </w:r>
      <w:r w:rsidR="0086791B">
        <w:rPr>
          <w:color w:val="000000" w:themeColor="text1"/>
        </w:rPr>
        <w:t xml:space="preserve"> </w:t>
      </w:r>
      <w:r w:rsidR="003F2C6B">
        <w:rPr>
          <w:color w:val="000000" w:themeColor="text1"/>
        </w:rPr>
        <w:t>living with IBD</w:t>
      </w:r>
      <w:r w:rsidR="003F2C6B" w:rsidRPr="00C841A3">
        <w:rPr>
          <w:color w:val="000000" w:themeColor="text1"/>
        </w:rPr>
        <w:t>, irrespective of disease type, dominant symptoms, location, severity or behaviour.</w:t>
      </w:r>
      <w:r w:rsidR="003F2C6B">
        <w:rPr>
          <w:color w:val="000000" w:themeColor="text1"/>
        </w:rPr>
        <w:t xml:space="preserve"> </w:t>
      </w:r>
      <w:r w:rsidR="007E49EA">
        <w:rPr>
          <w:color w:val="000000" w:themeColor="text1"/>
        </w:rPr>
        <w:t xml:space="preserve"> Hence, c</w:t>
      </w:r>
      <w:r w:rsidR="003F2C6B">
        <w:rPr>
          <w:color w:val="000000" w:themeColor="text1"/>
        </w:rPr>
        <w:t>hecklists of</w:t>
      </w:r>
      <w:r w:rsidR="003F2C6B" w:rsidRPr="00C841A3">
        <w:rPr>
          <w:color w:val="000000" w:themeColor="text1"/>
        </w:rPr>
        <w:t xml:space="preserve"> </w:t>
      </w:r>
      <w:r w:rsidR="003F2C6B">
        <w:rPr>
          <w:color w:val="000000" w:themeColor="text1"/>
        </w:rPr>
        <w:t xml:space="preserve">individual </w:t>
      </w:r>
      <w:r w:rsidR="003F2C6B" w:rsidRPr="00C841A3">
        <w:rPr>
          <w:color w:val="000000" w:themeColor="text1"/>
        </w:rPr>
        <w:t>gastrointestinal symptoms</w:t>
      </w:r>
      <w:r w:rsidR="003F2C6B">
        <w:rPr>
          <w:color w:val="000000" w:themeColor="text1"/>
        </w:rPr>
        <w:t xml:space="preserve"> were excluded</w:t>
      </w:r>
      <w:r w:rsidR="0086791B">
        <w:rPr>
          <w:color w:val="000000" w:themeColor="text1"/>
        </w:rPr>
        <w:t xml:space="preserve"> in favour of broad, generic items</w:t>
      </w:r>
      <w:r w:rsidR="003F2C6B">
        <w:rPr>
          <w:color w:val="000000" w:themeColor="text1"/>
        </w:rPr>
        <w:t>.</w:t>
      </w:r>
      <w:r w:rsidR="00A9612C">
        <w:rPr>
          <w:color w:val="000000" w:themeColor="text1"/>
        </w:rPr>
        <w:t xml:space="preserve"> T</w:t>
      </w:r>
      <w:r w:rsidR="00A9612C" w:rsidRPr="00C841A3">
        <w:rPr>
          <w:color w:val="000000" w:themeColor="text1"/>
        </w:rPr>
        <w:t xml:space="preserve">he conceptual model </w:t>
      </w:r>
      <w:r w:rsidR="00A9612C">
        <w:rPr>
          <w:color w:val="000000" w:themeColor="text1"/>
        </w:rPr>
        <w:t>for</w:t>
      </w:r>
      <w:r w:rsidR="00A9612C" w:rsidRPr="00C841A3">
        <w:rPr>
          <w:color w:val="000000" w:themeColor="text1"/>
        </w:rPr>
        <w:t xml:space="preserve"> </w:t>
      </w:r>
      <w:r w:rsidR="00A9612C">
        <w:rPr>
          <w:color w:val="000000" w:themeColor="text1"/>
        </w:rPr>
        <w:t>“</w:t>
      </w:r>
      <w:r w:rsidR="0086791B">
        <w:rPr>
          <w:color w:val="000000" w:themeColor="text1"/>
        </w:rPr>
        <w:t xml:space="preserve">disease </w:t>
      </w:r>
      <w:r w:rsidR="00A9612C" w:rsidRPr="00C841A3">
        <w:rPr>
          <w:color w:val="000000" w:themeColor="text1"/>
        </w:rPr>
        <w:t>control”</w:t>
      </w:r>
      <w:r w:rsidR="00A9612C">
        <w:rPr>
          <w:color w:val="000000" w:themeColor="text1"/>
        </w:rPr>
        <w:t xml:space="preserve"> </w:t>
      </w:r>
      <w:r w:rsidR="004E2C81">
        <w:rPr>
          <w:color w:val="000000" w:themeColor="text1"/>
        </w:rPr>
        <w:t xml:space="preserve">extended beyond the </w:t>
      </w:r>
      <w:r w:rsidR="00A9612C">
        <w:rPr>
          <w:color w:val="000000" w:themeColor="text1"/>
        </w:rPr>
        <w:t>traditional</w:t>
      </w:r>
      <w:r w:rsidR="00315DD3">
        <w:rPr>
          <w:color w:val="000000" w:themeColor="text1"/>
        </w:rPr>
        <w:t xml:space="preserve"> notion of </w:t>
      </w:r>
      <w:r w:rsidR="00A9612C">
        <w:rPr>
          <w:color w:val="000000" w:themeColor="text1"/>
        </w:rPr>
        <w:t>HRQoL</w:t>
      </w:r>
      <w:r w:rsidR="005B6624">
        <w:rPr>
          <w:color w:val="000000" w:themeColor="text1"/>
        </w:rPr>
        <w:t xml:space="preserve"> to include</w:t>
      </w:r>
      <w:r w:rsidR="004E2C81">
        <w:rPr>
          <w:color w:val="000000" w:themeColor="text1"/>
        </w:rPr>
        <w:t xml:space="preserve"> patient</w:t>
      </w:r>
      <w:r w:rsidR="00315DD3">
        <w:rPr>
          <w:color w:val="000000" w:themeColor="text1"/>
        </w:rPr>
        <w:t xml:space="preserve"> </w:t>
      </w:r>
      <w:r w:rsidR="00A9612C" w:rsidRPr="00C841A3">
        <w:rPr>
          <w:color w:val="000000" w:themeColor="text1"/>
        </w:rPr>
        <w:t>perception</w:t>
      </w:r>
      <w:r w:rsidR="005B267E">
        <w:rPr>
          <w:color w:val="000000" w:themeColor="text1"/>
        </w:rPr>
        <w:t>s</w:t>
      </w:r>
      <w:r w:rsidR="00A9612C" w:rsidRPr="00C841A3">
        <w:rPr>
          <w:color w:val="000000" w:themeColor="text1"/>
        </w:rPr>
        <w:t xml:space="preserve"> about current treatment</w:t>
      </w:r>
      <w:r w:rsidR="00580F1E">
        <w:rPr>
          <w:color w:val="000000" w:themeColor="text1"/>
        </w:rPr>
        <w:t>.</w:t>
      </w:r>
      <w:r w:rsidR="00580F1E">
        <w:rPr>
          <w:color w:val="000000" w:themeColor="text1"/>
        </w:rPr>
        <w:fldChar w:fldCharType="begin"/>
      </w:r>
      <w:r w:rsidR="00580F1E">
        <w:rPr>
          <w:color w:val="000000" w:themeColor="text1"/>
        </w:rPr>
        <w:instrText xml:space="preserve"> ADDIN ZOTERO_ITEM CSL_CITATION {"citationID":"9LcPd8pS","properties":{"formattedCitation":"\\super 8\\nosupersub{}","plainCitation":"8","noteIndex":0},"citationItems":[{"id":154,"uris":["http://zotero.org/users/2016235/items/6SBF99P6"],"itemData":{"id":154,"type":"article-journal","abstract":"INTRODUCTION: The use of patient reported outcome measures to support routine inflammatory bowel disease (IBD) care is not widespread and suggests that existing questionnaires lack relevance to day-to-day decisions or are too cumbersome to administer. We developed a simple, generic tool for capturing disease control from the patient's perspective to address these barriers.\nMETHODS: Development based on literature review, patient focus groups/interviews and a steering group, defining a limited set of generic questions. The 'IBD-Control' questionnaire comprises 13 items plus a visual analogue scale (VAS) (0-100). Prospective validation involved baseline completion of IBD-Control, quality of life (QoL) questionnaire (UK-IBD-Q), EuroQol (EQ-5D), Hospital Anxiety and Depression Score; and clinician assessment (blinded to questionnaire; recording Harvey-Bradshaw Index or Simple Clinical Colitis Activity Index; Global Clinician Rating; treatment outcome).\nRESULTS: 299 patients returned baseline surveys (Crohn's disease, n=160; ulcerative colitis, n=139) and 138 attended for repeat visits. Completion time (mean; SD): 1 min 15 s; 25 s; Internal consistency: Cronbach's α for all 13 items (0.85); for subgroup of eight questions ('IBD-Control-8'; 0.86). Strong correlation between IBD-Control-8 and IBD-Control-VAS (r=0.81). Test-retest reliability (2 week repeat): intra-class correlation=0.97 for IBD-Control-8 and 0.96 for IBD-Control-VAS. Construct validity: Moderate-to-strong correlations between IBD-Control-8 and IBD-Control-VAS versus activity indices, UK-IBD-Q and EQ-5D (utility) with r values 0.52-0.86. Discriminant validity (mean instrument scores for remission, mild, moderate or severe): p&lt;0.001 (analysis of variance (ANOVA)). Sensitivity to change: Effect sizes: 0.76-1.44.\nCONCLUSIONS: The IBD-Control is a rapid, reliable, valid and sensitive instrument for measuring overall disease control from the patient's perspective. Unlike existing patient reported outcome measures, its simplicity, ease-of-use and generic applicability make it a candidate for supporting routine care.","container-title":"Gut","DOI":"10.1136/gutjnl-2013-305600","ISSN":"1468-3288","issue":"7","journalAbbreviation":"Gut","language":"eng","note":"PMID: 24107590 \nPMCID: PMC4078750","page":"1092-1102","source":"NCBI PubMed","title":"Development and validation of a rapid, generic measure of disease control from the patient's perspective: the IBD-control questionnaire","title-short":"Development and validation of a rapid, generic measure of disease control from the patient's perspective","volume":"63","author":[{"family":"Bodger","given":"Keith"},{"family":"Ormerod","given":"Clare"},{"family":"Shackcloth","given":"Daniela"},{"family":"Harrison","given":"Melanie"},{"literal":"IBD Control Collaborative"}],"issued":{"date-parts":[["2014",7]]}}}],"schema":"https://github.com/citation-style-language/schema/raw/master/csl-citation.json"} </w:instrText>
      </w:r>
      <w:r w:rsidR="00580F1E">
        <w:rPr>
          <w:color w:val="000000" w:themeColor="text1"/>
        </w:rPr>
        <w:fldChar w:fldCharType="separate"/>
      </w:r>
      <w:r w:rsidR="00580F1E" w:rsidRPr="00580F1E">
        <w:rPr>
          <w:rFonts w:ascii="Calibri" w:cs="Calibri"/>
          <w:color w:val="000000"/>
          <w:vertAlign w:val="superscript"/>
        </w:rPr>
        <w:t>8</w:t>
      </w:r>
      <w:r w:rsidR="00580F1E">
        <w:rPr>
          <w:color w:val="000000" w:themeColor="text1"/>
        </w:rPr>
        <w:fldChar w:fldCharType="end"/>
      </w:r>
    </w:p>
    <w:p w14:paraId="4EB9F002" w14:textId="4A597668" w:rsidR="00103753" w:rsidRDefault="00A87E1C" w:rsidP="00FB7367">
      <w:pPr>
        <w:jc w:val="both"/>
        <w:rPr>
          <w:color w:val="000000" w:themeColor="text1"/>
        </w:rPr>
      </w:pPr>
      <w:r>
        <w:rPr>
          <w:color w:val="000000" w:themeColor="text1"/>
        </w:rPr>
        <w:t xml:space="preserve">The </w:t>
      </w:r>
      <w:r w:rsidR="005B6624">
        <w:rPr>
          <w:color w:val="000000" w:themeColor="text1"/>
        </w:rPr>
        <w:t xml:space="preserve">instrument’s </w:t>
      </w:r>
      <w:r>
        <w:rPr>
          <w:color w:val="000000" w:themeColor="text1"/>
        </w:rPr>
        <w:t xml:space="preserve">main score is based on </w:t>
      </w:r>
      <w:r w:rsidR="005B6624">
        <w:rPr>
          <w:color w:val="000000" w:themeColor="text1"/>
        </w:rPr>
        <w:t xml:space="preserve">just </w:t>
      </w:r>
      <w:r>
        <w:rPr>
          <w:color w:val="000000" w:themeColor="text1"/>
        </w:rPr>
        <w:t xml:space="preserve">eight </w:t>
      </w:r>
      <w:r w:rsidR="008248D9">
        <w:rPr>
          <w:color w:val="000000" w:themeColor="text1"/>
        </w:rPr>
        <w:t>questions</w:t>
      </w:r>
      <w:r>
        <w:rPr>
          <w:color w:val="000000" w:themeColor="text1"/>
        </w:rPr>
        <w:t xml:space="preserve"> (IBD-Control-8)</w:t>
      </w:r>
      <w:r w:rsidR="00A9612C">
        <w:rPr>
          <w:color w:val="000000" w:themeColor="text1"/>
        </w:rPr>
        <w:t xml:space="preserve">, of which five cover generic areas of HRQoL </w:t>
      </w:r>
      <w:r w:rsidR="00B95AEB">
        <w:rPr>
          <w:color w:val="000000" w:themeColor="text1"/>
        </w:rPr>
        <w:t>(pain</w:t>
      </w:r>
      <w:r w:rsidR="008248D9">
        <w:rPr>
          <w:color w:val="000000" w:themeColor="text1"/>
        </w:rPr>
        <w:t xml:space="preserve"> or discomfort;</w:t>
      </w:r>
      <w:r w:rsidR="00B95AEB">
        <w:rPr>
          <w:color w:val="000000" w:themeColor="text1"/>
        </w:rPr>
        <w:t xml:space="preserve"> symptoms disturbing sleep</w:t>
      </w:r>
      <w:r w:rsidR="008248D9">
        <w:rPr>
          <w:color w:val="000000" w:themeColor="text1"/>
        </w:rPr>
        <w:t>;</w:t>
      </w:r>
      <w:r w:rsidR="00B95AEB">
        <w:rPr>
          <w:color w:val="000000" w:themeColor="text1"/>
        </w:rPr>
        <w:t xml:space="preserve"> fatigue</w:t>
      </w:r>
      <w:r w:rsidR="008248D9">
        <w:rPr>
          <w:color w:val="000000" w:themeColor="text1"/>
        </w:rPr>
        <w:t>;</w:t>
      </w:r>
      <w:r w:rsidR="00B95AEB">
        <w:rPr>
          <w:color w:val="000000" w:themeColor="text1"/>
        </w:rPr>
        <w:t xml:space="preserve"> anxiety or depression</w:t>
      </w:r>
      <w:r w:rsidR="008248D9">
        <w:rPr>
          <w:color w:val="000000" w:themeColor="text1"/>
        </w:rPr>
        <w:t>;</w:t>
      </w:r>
      <w:r w:rsidR="00B95AEB">
        <w:rPr>
          <w:color w:val="000000" w:themeColor="text1"/>
        </w:rPr>
        <w:t xml:space="preserve"> </w:t>
      </w:r>
      <w:r w:rsidR="0003099E">
        <w:rPr>
          <w:color w:val="000000" w:themeColor="text1"/>
        </w:rPr>
        <w:t xml:space="preserve">interference with normal activities) and three </w:t>
      </w:r>
      <w:r w:rsidR="008248D9">
        <w:rPr>
          <w:color w:val="000000" w:themeColor="text1"/>
        </w:rPr>
        <w:t>are rel</w:t>
      </w:r>
      <w:r w:rsidR="00580F1E">
        <w:rPr>
          <w:color w:val="000000" w:themeColor="text1"/>
        </w:rPr>
        <w:t>evant to the</w:t>
      </w:r>
      <w:r w:rsidR="008248D9">
        <w:rPr>
          <w:color w:val="000000" w:themeColor="text1"/>
        </w:rPr>
        <w:t xml:space="preserve"> treatment</w:t>
      </w:r>
      <w:r w:rsidR="00580F1E">
        <w:rPr>
          <w:color w:val="000000" w:themeColor="text1"/>
        </w:rPr>
        <w:t xml:space="preserve"> domain</w:t>
      </w:r>
      <w:r w:rsidR="008248D9">
        <w:rPr>
          <w:color w:val="000000" w:themeColor="text1"/>
        </w:rPr>
        <w:t>.</w:t>
      </w:r>
      <w:r w:rsidR="007E49EA">
        <w:rPr>
          <w:color w:val="000000" w:themeColor="text1"/>
        </w:rPr>
        <w:t xml:space="preserve"> The </w:t>
      </w:r>
      <w:r w:rsidR="001C2931">
        <w:rPr>
          <w:color w:val="000000" w:themeColor="text1"/>
        </w:rPr>
        <w:t>PROM</w:t>
      </w:r>
      <w:r w:rsidR="004B122B">
        <w:rPr>
          <w:color w:val="000000" w:themeColor="text1"/>
        </w:rPr>
        <w:t xml:space="preserve"> </w:t>
      </w:r>
      <w:r w:rsidR="007E49EA">
        <w:rPr>
          <w:color w:val="000000" w:themeColor="text1"/>
        </w:rPr>
        <w:t>includes a visual analogue scale to elicit an overall self-rating of disease control</w:t>
      </w:r>
      <w:r w:rsidR="004B122B">
        <w:rPr>
          <w:color w:val="000000" w:themeColor="text1"/>
        </w:rPr>
        <w:t>.</w:t>
      </w:r>
      <w:r w:rsidR="00103753">
        <w:rPr>
          <w:color w:val="000000" w:themeColor="text1"/>
        </w:rPr>
        <w:t xml:space="preserve"> </w:t>
      </w:r>
      <w:r w:rsidR="00AF510C" w:rsidRPr="00C841A3">
        <w:rPr>
          <w:color w:val="000000" w:themeColor="text1"/>
        </w:rPr>
        <w:t>Originally developed in English, the IBD-Control has been independently translated into</w:t>
      </w:r>
      <w:r w:rsidR="00AF510C">
        <w:rPr>
          <w:color w:val="000000" w:themeColor="text1"/>
        </w:rPr>
        <w:t xml:space="preserve"> a number of</w:t>
      </w:r>
      <w:r w:rsidR="00043E58">
        <w:rPr>
          <w:color w:val="000000" w:themeColor="text1"/>
        </w:rPr>
        <w:t xml:space="preserve"> other</w:t>
      </w:r>
      <w:r w:rsidR="00AF510C">
        <w:rPr>
          <w:color w:val="000000" w:themeColor="text1"/>
        </w:rPr>
        <w:t xml:space="preserve"> languages,</w:t>
      </w:r>
      <w:r w:rsidR="00B67143">
        <w:rPr>
          <w:color w:val="000000" w:themeColor="text1"/>
        </w:rPr>
        <w:fldChar w:fldCharType="begin"/>
      </w:r>
      <w:r w:rsidR="00B67143">
        <w:rPr>
          <w:color w:val="000000" w:themeColor="text1"/>
        </w:rPr>
        <w:instrText xml:space="preserve"> ADDIN ZOTERO_ITEM CSL_CITATION {"citationID":"lMmLmiwb","properties":{"formattedCitation":"\\super 9\\uc0\\u8211{}12\\nosupersub{}","plainCitation":"9–12","noteIndex":0},"citationItems":[{"id":2126,"uris":["http://zotero.org/users/2016235/items/7AEU9Z9D"],"itemData":{"id":2126,"type":"article-journal","abstract":"BACKGROUND: There is a need for easy-to-use patient-reported outcome measures (PROMS) in inflammatory bowel disease (IBD) practice. The 'IBD-control' is a short IBD-specific questionnaire capturing disease control from the patient's perspective. The International Consortium for Health Outcomes Measurement (ICHOM) recommends the use of the IBD-control even though it has only been validated in the United Kingdom. We aimed to cross-culturally translate and validate the IBD-control in the Netherlands using IBDREAM, a prospective multicentre IBD registry.\nMETHODS: Lack of ambiguity and acceptability were verified in a pilot patient group (n = 5) after forward-backward translation of the IBD-control. Prospective validation involved completion of the IBD-control, Short Form-36, short IBDQ and disease activity measurement by Physician Global Assessment (PGA) and Simple Clinical Colitis Activity Index or Harvey-Bradshaw Index. Test-retest (2-week repeat) was used for measuring reliability.\nRESULTS: Questionnaires were completed by 998 IBD patients (674 Crohn's disease, 324 ulcerative colitis). Internal consistency (Cronbach's alpha) was 0.82 for the sub-group of 8 questions (IBD-control-8-sub-score). Mean completion time was 105 s. Construct validity analyses demonstrated moderate-to-strong correlations of the IBD-control-8-subscore and the other instruments (0.49-0.81). Test-retest reliability for stable patients was high (intraclass correlation coefficient 0.95). The IBD-control-8-subscore showed good discriminant ability between the PGA categories (ANOVA, p&lt;.001). Sensitivity to change analyses showed large effect sizes of 0.81-1.87 for the IBD-control-8 subscore.\nCONCLUSIONS: These results support the IBD-control as a rapid, reliable, valid and sensitive instrument for measuring disease control from an IBD patient's perspective in the Netherlands.","container-title":"Scandinavian Journal of Gastroenterology","DOI":"10.1080/00365521.2020.1857430","ISSN":"1502-7708","issue":"2","journalAbbreviation":"Scand J Gastroenterol","language":"eng","note":"PMID: 33300822","page":"155-161","source":"PubMed","title":"Cross-cultural translation and validation of the IBD-control questionnaire in The Netherlands: a patient-reported outcome measure in inflammatory bowel disease","title-short":"Cross-cultural translation and validation of the IBD-control questionnaire in The Netherlands","volume":"56","author":[{"family":"Jong","given":"Michiel E.","non-dropping-particle":"de"},{"family":"Taal","given":"Erik"},{"family":"Thomas","given":"Pepijn W. A."},{"family":"Römkens","given":"Tessa E. H."},{"family":"Jansen","given":"Jeroen M."},{"family":"West","given":"Rachel L."},{"family":"Slotman","given":"Ellen"},{"family":"Hoentjen","given":"Frank"},{"family":"Russel","given":"Maurice G. V. M."}],"issued":{"date-parts":[["2021",2]]}}},{"id":2324,"uris":["http://zotero.org/users/2016235/items/PES75NY7"],"itemData":{"id":2324,"type":"article-journal","abstract":"OBJECTIVE: Measurement of patient-perceived outcomes in inflammatory bowel disease (IBD) care is becoming increasingly important. A simple and validated tool exists in English for this purpose, the \"IBD-Control\". Our aim is to translate it into Spanish, adapt and validate it.\nPATIENTS AND METHODS: The IBD-Control was translated into the Spanish instrument \"EII-Control\" and prospectively validated. Patients completed the EII-Control and other questionnaires that served as baseline comparators. The gastroenterologist performed a global assessment of the disease, calculated activity indices and recorded treatment. A subgroup of patients repeated the entire assessment at a second visit. The usefulness of IBD-Control summary scales (IBD-Control-8 and IBD-Control-VAS) was also analysed.\nRESULTS: A total of 249 IBD patients were included (101 repeated the second visit). Psychometric standards of the test: internal consistency: Cronbach's α for EII-Control 0.83 with strong correlation between EII-Control-8 and EII-Control-EVA (r=0.5); reproducibility: intra-class correlation 0.70 for EII-Control; construct validity: moderate to strong correlations between IBD-Control, IBD-Control-8 and IBD-Control-VAS versus comparators; discriminant validity: P&lt;.001; sensitivity to change: same response as quality of life index. Sensitivity and specificity at cut-off point 14 of 0.696 and 0.903, respectively, to determine quiescent status.\nCONCLUSIONS: The IBD-Control is a valid instrument to measure IBD-Control from the patient's perspective in our environment and culture. Its simplicity makes it a useful tool to support care.","container-title":"Gastroenterologia Y Hepatologia","DOI":"10.1016/j.gastrohep.2021.08.001","ISSN":"0210-5705","journalAbbreviation":"Gastroenterol Hepatol","language":"eng, spa","note":"PMID: 34428475","page":"S0210-5705(21)00243-0","source":"PubMed","title":"Translation into Spanish and validation of a short questionnaire to measure the control of inflammatory bowel disease from the patient's perspective: IBD-Control, EII-Control","title-short":"Translation into Spanish and validation of a short questionnaire to measure the control of inflammatory bowel disease from the patient's perspective","author":[{"family":"Vicente Lidón","given":"Raquel"},{"family":"García López","given":"Santiago"},{"family":"Corsino Roche","given":"Pilar"},{"family":"Boudet Barraca","given":"José Miguel"},{"family":"Sanz Segura","given":"Patricia"},{"family":"García Cámara","given":"Paula"},{"family":"Sierra Moros","given":"Eva"},{"family":"Gomollón García","given":"Fernando"}],"issued":{"date-parts":[["2021",8,21]]}}},{"id":2129,"uris":["http://zotero.org/users/2016235/items/WY4FPK7B"],"itemData":{"id":2129,"type":"article-journal","abstract":"BACKGROUND: Subjectively perceived results of treatment will be in the center of defining treatment success on the way to value-based and patient-centered health care. Patient-reported outcome measures (PROMs) serve as an instrument to measure treatment success. In inflammatory bowel disease (IBD), measuring treatment success from a patient's point of view is performed with the validated IBD-Control questionnaire. Because the IBD-Control questionnaire has not been published in German yet, the translation and validation of the IBD-Control in the German-speaking part of Switzerland was necessary before use.\nMETHODS: We have translated the English original version of the IBD-Control questionnaire into German in a state-of-the-art procedure of \"forward-backward translation\" and validated the translated IBD-Control questionnaire with 154 patients with Crohn's disease or with ulcerative colitis.\nRESULTS: Professional health care and translation experts have contributed to the translation of the IBD-Control into German. The IBD-Control-D is an accepted questionnaire. Spearmans Rho showed high consistency between the IBD-Control-8-Subscore and the IBD-Control-VAS-Score (r=0.632). The disease activity in the past 6 months highly correlated with the IBD-8 subscore (r=0.640) as well as with the IBD-Control-VAS-Score (r=0.622). The IBD-Control-8-Subscore highly correlated with the Harvey Bradshaw Index (r=-0.620) and the partial Mayo Score (r=-0.679), as well as the IBD-Control-VAS-Score with the Harvey Bradshaw Index (r=-0.484) and the Mayo Score (r=-0.435), showing sufficient construct validity. The result is the German version of the IBD-Control, the IBD-Control-D, published here.\nCONCLUSION: The original English version is a valid instrument, and its use has proven to be a suitable instrument in German-speaking areas to make the subjective feeling of illness and treatment outcome measurable.","container-title":"Zeitschrift Fur Gastroenterologie","DOI":"10.1055/a-1482-8642","ISSN":"1439-7803","journalAbbreviation":"Z Gastroenterol","language":"ger","note":"PMID: 34169492","source":"PubMed","title":"[The IBD-Control questionnaire: German translation and validation of the standardized questionnaire for Patient Reported Outcome Measurement in inflammatory bowel disease]","title-short":"[The IBD-Control questionnaire","author":[{"family":"Müller","given":"Annabell"},{"family":"Bilger","given":"Selina Simone"},{"family":"Göldi","given":"Andreas"},{"family":"Meinlschmidt","given":"Gunther"},{"family":"Rueter","given":"Florian"},{"family":"Kappes","given":"Alexander"},{"family":"Hruz","given":"Petr"},{"family":"Meier","given":"Christoph Andreas"},{"family":"Niess","given":"Jan Hendrik"}],"issued":{"date-parts":[["2021",6,24]]}}},{"id":2161,"uris":["http://zotero.org/users/2016235/items/H6F67ALP"],"itemData":{"id":2161,"type":"article-journal","container-title":"Health and Quality of Life Outcomes","title":"Implementing electronic patient reported outcome measures in inflammatory bowel disease: Patient participation, score reliability and validity","author":[{"family":"Deutscher","given":"Daniel"},{"family":"Weil","given":"Clara"},{"family":"Chodic","given":"Gabriele"},{"family":"Tsukinovsky","given":"Sveta"},{"family":"Sommer","given":"Adi"},{"family":"Bodger","given":"Keith"},{"family":"Waterman","given":"Matti"},{"family":"Kariv","given":"Revital"}],"issued":{"date-parts":[["2023"]],"season":"In Press"}}}],"schema":"https://github.com/citation-style-language/schema/raw/master/csl-citation.json"} </w:instrText>
      </w:r>
      <w:r w:rsidR="00B67143">
        <w:rPr>
          <w:color w:val="000000" w:themeColor="text1"/>
        </w:rPr>
        <w:fldChar w:fldCharType="separate"/>
      </w:r>
      <w:r w:rsidR="00B67143" w:rsidRPr="00B67143">
        <w:rPr>
          <w:rFonts w:ascii="Calibri" w:cs="Calibri"/>
          <w:color w:val="000000"/>
          <w:vertAlign w:val="superscript"/>
        </w:rPr>
        <w:t>9–12</w:t>
      </w:r>
      <w:r w:rsidR="00B67143">
        <w:rPr>
          <w:color w:val="000000" w:themeColor="text1"/>
        </w:rPr>
        <w:fldChar w:fldCharType="end"/>
      </w:r>
      <w:r w:rsidR="001F0B0E" w:rsidRPr="00C841A3">
        <w:rPr>
          <w:color w:val="000000" w:themeColor="text1"/>
        </w:rPr>
        <w:t xml:space="preserve"> </w:t>
      </w:r>
      <w:r w:rsidR="00AF510C" w:rsidRPr="00C841A3">
        <w:rPr>
          <w:color w:val="000000" w:themeColor="text1"/>
        </w:rPr>
        <w:t>with accumulating evidence of cross-cultural validity.</w:t>
      </w:r>
      <w:r w:rsidR="00580F1E">
        <w:rPr>
          <w:color w:val="000000" w:themeColor="text1"/>
        </w:rPr>
        <w:fldChar w:fldCharType="begin"/>
      </w:r>
      <w:r w:rsidR="00580F1E">
        <w:rPr>
          <w:color w:val="000000" w:themeColor="text1"/>
        </w:rPr>
        <w:instrText xml:space="preserve"> ADDIN ZOTERO_ITEM CSL_CITATION {"citationID":"aByulT9g","properties":{"formattedCitation":"\\super 9\\nosupersub{}","plainCitation":"9","noteIndex":0},"citationItems":[{"id":2126,"uris":["http://zotero.org/users/2016235/items/7AEU9Z9D"],"itemData":{"id":2126,"type":"article-journal","abstract":"BACKGROUND: There is a need for easy-to-use patient-reported outcome measures (PROMS) in inflammatory bowel disease (IBD) practice. The 'IBD-control' is a short IBD-specific questionnaire capturing disease control from the patient's perspective. The International Consortium for Health Outcomes Measurement (ICHOM) recommends the use of the IBD-control even though it has only been validated in the United Kingdom. We aimed to cross-culturally translate and validate the IBD-control in the Netherlands using IBDREAM, a prospective multicentre IBD registry.\nMETHODS: Lack of ambiguity and acceptability were verified in a pilot patient group (n = 5) after forward-backward translation of the IBD-control. Prospective validation involved completion of the IBD-control, Short Form-36, short IBDQ and disease activity measurement by Physician Global Assessment (PGA) and Simple Clinical Colitis Activity Index or Harvey-Bradshaw Index. Test-retest (2-week repeat) was used for measuring reliability.\nRESULTS: Questionnaires were completed by 998 IBD patients (674 Crohn's disease, 324 ulcerative colitis). Internal consistency (Cronbach's alpha) was 0.82 for the sub-group of 8 questions (IBD-control-8-sub-score). Mean completion time was 105 s. Construct validity analyses demonstrated moderate-to-strong correlations of the IBD-control-8-subscore and the other instruments (0.49-0.81). Test-retest reliability for stable patients was high (intraclass correlation coefficient 0.95). The IBD-control-8-subscore showed good discriminant ability between the PGA categories (ANOVA, p&lt;.001). Sensitivity to change analyses showed large effect sizes of 0.81-1.87 for the IBD-control-8 subscore.\nCONCLUSIONS: These results support the IBD-control as a rapid, reliable, valid and sensitive instrument for measuring disease control from an IBD patient's perspective in the Netherlands.","container-title":"Scandinavian Journal of Gastroenterology","DOI":"10.1080/00365521.2020.1857430","ISSN":"1502-7708","issue":"2","journalAbbreviation":"Scand J Gastroenterol","language":"eng","note":"PMID: 33300822","page":"155-161","source":"PubMed","title":"Cross-cultural translation and validation of the IBD-control questionnaire in The Netherlands: a patient-reported outcome measure in inflammatory bowel disease","title-short":"Cross-cultural translation and validation of the IBD-control questionnaire in The Netherlands","volume":"56","author":[{"family":"Jong","given":"Michiel E.","non-dropping-particle":"de"},{"family":"Taal","given":"Erik"},{"family":"Thomas","given":"Pepijn W. A."},{"family":"Römkens","given":"Tessa E. H."},{"family":"Jansen","given":"Jeroen M."},{"family":"West","given":"Rachel L."},{"family":"Slotman","given":"Ellen"},{"family":"Hoentjen","given":"Frank"},{"family":"Russel","given":"Maurice G. V. M."}],"issued":{"date-parts":[["2021",2]]}}}],"schema":"https://github.com/citation-style-language/schema/raw/master/csl-citation.json"} </w:instrText>
      </w:r>
      <w:r w:rsidR="00580F1E">
        <w:rPr>
          <w:color w:val="000000" w:themeColor="text1"/>
        </w:rPr>
        <w:fldChar w:fldCharType="separate"/>
      </w:r>
      <w:r w:rsidR="00580F1E" w:rsidRPr="00580F1E">
        <w:rPr>
          <w:rFonts w:ascii="Calibri" w:cs="Calibri"/>
          <w:color w:val="000000"/>
          <w:vertAlign w:val="superscript"/>
        </w:rPr>
        <w:t>9</w:t>
      </w:r>
      <w:r w:rsidR="00580F1E">
        <w:rPr>
          <w:color w:val="000000" w:themeColor="text1"/>
        </w:rPr>
        <w:fldChar w:fldCharType="end"/>
      </w:r>
      <w:r w:rsidR="00AF510C">
        <w:rPr>
          <w:color w:val="000000" w:themeColor="text1"/>
        </w:rPr>
        <w:t xml:space="preserve"> </w:t>
      </w:r>
      <w:r w:rsidR="00554F36" w:rsidRPr="00C841A3">
        <w:rPr>
          <w:color w:val="000000" w:themeColor="text1"/>
        </w:rPr>
        <w:t>Since</w:t>
      </w:r>
      <w:r w:rsidR="00912BCD" w:rsidRPr="00C841A3">
        <w:rPr>
          <w:color w:val="000000" w:themeColor="text1"/>
        </w:rPr>
        <w:t xml:space="preserve"> </w:t>
      </w:r>
      <w:r w:rsidR="00FB7367" w:rsidRPr="00C841A3">
        <w:rPr>
          <w:color w:val="000000" w:themeColor="text1"/>
        </w:rPr>
        <w:t>its</w:t>
      </w:r>
      <w:r w:rsidR="002422E0" w:rsidRPr="00C841A3">
        <w:rPr>
          <w:color w:val="000000" w:themeColor="text1"/>
        </w:rPr>
        <w:t xml:space="preserve"> publication</w:t>
      </w:r>
      <w:r w:rsidR="00AF510C">
        <w:rPr>
          <w:color w:val="000000" w:themeColor="text1"/>
        </w:rPr>
        <w:t>,</w:t>
      </w:r>
      <w:r w:rsidR="002422E0" w:rsidRPr="00C841A3">
        <w:rPr>
          <w:color w:val="000000" w:themeColor="text1"/>
        </w:rPr>
        <w:t xml:space="preserve"> </w:t>
      </w:r>
      <w:r w:rsidR="00AF510C">
        <w:rPr>
          <w:color w:val="000000" w:themeColor="text1"/>
        </w:rPr>
        <w:t xml:space="preserve">it </w:t>
      </w:r>
      <w:r w:rsidR="00554F36" w:rsidRPr="00C841A3">
        <w:rPr>
          <w:color w:val="000000" w:themeColor="text1"/>
        </w:rPr>
        <w:t xml:space="preserve">has achieved </w:t>
      </w:r>
      <w:r w:rsidR="00AB1E2B">
        <w:rPr>
          <w:color w:val="000000" w:themeColor="text1"/>
        </w:rPr>
        <w:t xml:space="preserve">international </w:t>
      </w:r>
      <w:r w:rsidR="00554F36" w:rsidRPr="00C841A3">
        <w:rPr>
          <w:color w:val="000000" w:themeColor="text1"/>
        </w:rPr>
        <w:t>endorsement</w:t>
      </w:r>
      <w:r w:rsidR="00AB1E2B">
        <w:rPr>
          <w:color w:val="000000" w:themeColor="text1"/>
        </w:rPr>
        <w:t>s</w:t>
      </w:r>
      <w:r w:rsidR="00B67143">
        <w:rPr>
          <w:color w:val="000000" w:themeColor="text1"/>
        </w:rPr>
        <w:fldChar w:fldCharType="begin"/>
      </w:r>
      <w:r w:rsidR="00B67143">
        <w:rPr>
          <w:color w:val="000000" w:themeColor="text1"/>
        </w:rPr>
        <w:instrText xml:space="preserve"> ADDIN ZOTERO_ITEM CSL_CITATION {"citationID":"EFVQE0R6","properties":{"formattedCitation":"\\super 13,14\\nosupersub{}","plainCitation":"13,14","noteIndex":0},"citationItems":[{"id":2408,"uris":["http://zotero.org/users/2016235/items/TMSR5GRF"],"itemData":{"id":2408,"type":"article-journal","abstract":"BACKGROUND: Patient reported outcome measures (PROMs) are key to documenting outcomes that matter most to patients and are increasingly important to commissioners of healthcare seeking value. We report the first series of the ICHOM Standard Set for Inflammatory Bowel Disease (IBD).\nMETHODS: Patients treated for ulcerative colitis (UC) or Crohn's disease (CD) in our centre were offered enrolment into the web-based TrueColours-IBD programme. Through this programme, email prompts linking to validated questionnaires were sent for symptoms, quality of life, and ICHOM IBD outcomes.\nRESULTS: The first 1,299 consecutive patients enrolled (779 UC, 520 CD) were studied with median 270 days of follow up (IQR 116-504). 671 (52%) were female, mean age 42 years (sd 16), mean BMI 26 (sd 5.3). 483 (37%) were using advanced therapies at registration. Median adherence to fortnightly quality of life reporting and quarterly outcomes was 100% [IQR48-100%] and 100% [IQR75-100%], respectively. In the previous 12 months, prednisolone use was reported by 229 (29%) patients with UC vs. 81 (16%) with CD, p&lt;0.001: 202 (16%) for &lt;3 months and 108 (8%) for &gt;3 months. 174 (13%) patients reported an IBD-related intervention and 80 (6%) reported an unplanned hospital admission. There were high rates of fatigue (50%) and mood disturbance (23%).\nCONCLUSION: Outcomes reported by patients illustrate the scale of the therapeutic deficit in current care. Proof of principle is demonstrated that PROM data can be collected continuously with little burden on healthcare professionals. This may become a metric for quality improvement programmes, or to compare outcomes.","container-title":"Journal of Crohn's &amp; Colitis","DOI":"10.1093/ecco-jcc/jjac099","ISSN":"1876-4479","journalAbbreviation":"J Crohns Colitis","language":"eng","note":"PMID: 35868223","page":"jjac099","source":"PubMed","title":"Patient Reported Outcomes: the ICHOM Standard Set for inflammatory bowel disease in real life practice helps quantify deficits in current care","title-short":"Patient Reported Outcomes","author":[{"family":"Wong","given":"Darren"},{"family":"Matini","given":"Lawrence"},{"family":"Kormilitzin","given":"Andrey"},{"family":"Kantschuster","given":"Ramona"},{"family":"Simadibrata","given":"Daniel Martin"},{"family":"Lyden","given":"Sara"},{"family":"Wilson","given":"Jean"},{"family":"Brain","given":"Oliver A."},{"family":"Palmer","given":"Rebecca"},{"family":"Ambrose","given":"Tim"},{"family":"Satsangi","given":"Jack"},{"family":"South","given":"Matthew"},{"family":"Geddes","given":"John"},{"family":"Bodger","given":"Keith"},{"family":"Travis","given":"Simon P. L."},{"family":"Walsh","given":"Alissa"}],"issued":{"date-parts":[["2022",7,22]]}}},{"id":2299,"uris":["http://zotero.org/users/2016235/items/BCNMLCG5"],"itemData":{"id":2299,"type":"webpage","title":"IBD Control (without VAS) | ECCO E-Guide","URL":"http://www.e-guide.ecco-ibd.eu/resources/calculator/ibd-control-without-vas","accessed":{"date-parts":[["2022",4,9]]}}}],"schema":"https://github.com/citation-style-language/schema/raw/master/csl-citation.json"} </w:instrText>
      </w:r>
      <w:r w:rsidR="00B67143">
        <w:rPr>
          <w:color w:val="000000" w:themeColor="text1"/>
        </w:rPr>
        <w:fldChar w:fldCharType="separate"/>
      </w:r>
      <w:r w:rsidR="00B67143" w:rsidRPr="00B67143">
        <w:rPr>
          <w:rFonts w:ascii="Calibri" w:cs="Calibri"/>
          <w:color w:val="000000"/>
          <w:vertAlign w:val="superscript"/>
        </w:rPr>
        <w:t>13,14</w:t>
      </w:r>
      <w:r w:rsidR="00B67143">
        <w:rPr>
          <w:color w:val="000000" w:themeColor="text1"/>
        </w:rPr>
        <w:fldChar w:fldCharType="end"/>
      </w:r>
      <w:r w:rsidR="001F0B0E">
        <w:rPr>
          <w:color w:val="000000" w:themeColor="text1"/>
        </w:rPr>
        <w:t xml:space="preserve"> </w:t>
      </w:r>
      <w:r w:rsidR="00554F36" w:rsidRPr="00C841A3">
        <w:rPr>
          <w:color w:val="000000" w:themeColor="text1"/>
        </w:rPr>
        <w:t>and uptake in</w:t>
      </w:r>
      <w:r w:rsidR="00031E99">
        <w:rPr>
          <w:color w:val="000000" w:themeColor="text1"/>
        </w:rPr>
        <w:t xml:space="preserve"> </w:t>
      </w:r>
      <w:r w:rsidR="00554F36" w:rsidRPr="00C841A3">
        <w:rPr>
          <w:color w:val="000000" w:themeColor="text1"/>
        </w:rPr>
        <w:t>clinical</w:t>
      </w:r>
      <w:r w:rsidR="005B74B8">
        <w:rPr>
          <w:color w:val="000000" w:themeColor="text1"/>
        </w:rPr>
        <w:t xml:space="preserve"> practice,</w:t>
      </w:r>
      <w:r w:rsidR="00B67143">
        <w:rPr>
          <w:color w:val="000000" w:themeColor="text1"/>
        </w:rPr>
        <w:fldChar w:fldCharType="begin"/>
      </w:r>
      <w:r w:rsidR="00B67143">
        <w:rPr>
          <w:color w:val="000000" w:themeColor="text1"/>
        </w:rPr>
        <w:instrText xml:space="preserve"> ADDIN ZOTERO_ITEM CSL_CITATION {"citationID":"ZnohrpNC","properties":{"formattedCitation":"\\super 13\\nosupersub{}","plainCitation":"13","noteIndex":0},"citationItems":[{"id":2408,"uris":["http://zotero.org/users/2016235/items/TMSR5GRF"],"itemData":{"id":2408,"type":"article-journal","abstract":"BACKGROUND: Patient reported outcome measures (PROMs) are key to documenting outcomes that matter most to patients and are increasingly important to commissioners of healthcare seeking value. We report the first series of the ICHOM Standard Set for Inflammatory Bowel Disease (IBD).\nMETHODS: Patients treated for ulcerative colitis (UC) or Crohn's disease (CD) in our centre were offered enrolment into the web-based TrueColours-IBD programme. Through this programme, email prompts linking to validated questionnaires were sent for symptoms, quality of life, and ICHOM IBD outcomes.\nRESULTS: The first 1,299 consecutive patients enrolled (779 UC, 520 CD) were studied with median 270 days of follow up (IQR 116-504). 671 (52%) were female, mean age 42 years (sd 16), mean BMI 26 (sd 5.3). 483 (37%) were using advanced therapies at registration. Median adherence to fortnightly quality of life reporting and quarterly outcomes was 100% [IQR48-100%] and 100% [IQR75-100%], respectively. In the previous 12 months, prednisolone use was reported by 229 (29%) patients with UC vs. 81 (16%) with CD, p&lt;0.001: 202 (16%) for &lt;3 months and 108 (8%) for &gt;3 months. 174 (13%) patients reported an IBD-related intervention and 80 (6%) reported an unplanned hospital admission. There were high rates of fatigue (50%) and mood disturbance (23%).\nCONCLUSION: Outcomes reported by patients illustrate the scale of the therapeutic deficit in current care. Proof of principle is demonstrated that PROM data can be collected continuously with little burden on healthcare professionals. This may become a metric for quality improvement programmes, or to compare outcomes.","container-title":"Journal of Crohn's &amp; Colitis","DOI":"10.1093/ecco-jcc/jjac099","ISSN":"1876-4479","journalAbbreviation":"J Crohns Colitis","language":"eng","note":"PMID: 35868223","page":"jjac099","source":"PubMed","title":"Patient Reported Outcomes: the ICHOM Standard Set for inflammatory bowel disease in real life practice helps quantify deficits in current care","title-short":"Patient Reported Outcomes","author":[{"family":"Wong","given":"Darren"},{"family":"Matini","given":"Lawrence"},{"family":"Kormilitzin","given":"Andrey"},{"family":"Kantschuster","given":"Ramona"},{"family":"Simadibrata","given":"Daniel Martin"},{"family":"Lyden","given":"Sara"},{"family":"Wilson","given":"Jean"},{"family":"Brain","given":"Oliver A."},{"family":"Palmer","given":"Rebecca"},{"family":"Ambrose","given":"Tim"},{"family":"Satsangi","given":"Jack"},{"family":"South","given":"Matthew"},{"family":"Geddes","given":"John"},{"family":"Bodger","given":"Keith"},{"family":"Travis","given":"Simon P. L."},{"family":"Walsh","given":"Alissa"}],"issued":{"date-parts":[["2022",7,22]]}}}],"schema":"https://github.com/citation-style-language/schema/raw/master/csl-citation.json"} </w:instrText>
      </w:r>
      <w:r w:rsidR="00B67143">
        <w:rPr>
          <w:color w:val="000000" w:themeColor="text1"/>
        </w:rPr>
        <w:fldChar w:fldCharType="separate"/>
      </w:r>
      <w:r w:rsidR="00B67143" w:rsidRPr="00B67143">
        <w:rPr>
          <w:rFonts w:ascii="Calibri" w:cs="Calibri"/>
          <w:color w:val="000000"/>
          <w:vertAlign w:val="superscript"/>
        </w:rPr>
        <w:t>13</w:t>
      </w:r>
      <w:r w:rsidR="00B67143">
        <w:rPr>
          <w:color w:val="000000" w:themeColor="text1"/>
        </w:rPr>
        <w:fldChar w:fldCharType="end"/>
      </w:r>
      <w:r w:rsidR="00554F36" w:rsidRPr="00C841A3">
        <w:rPr>
          <w:color w:val="000000" w:themeColor="text1"/>
        </w:rPr>
        <w:t xml:space="preserve"> </w:t>
      </w:r>
      <w:r w:rsidR="005B74B8">
        <w:rPr>
          <w:color w:val="000000" w:themeColor="text1"/>
        </w:rPr>
        <w:t>disease registries</w:t>
      </w:r>
      <w:r w:rsidR="008E2435">
        <w:rPr>
          <w:color w:val="000000" w:themeColor="text1"/>
        </w:rPr>
        <w:fldChar w:fldCharType="begin"/>
      </w:r>
      <w:r w:rsidR="008E2435">
        <w:rPr>
          <w:color w:val="000000" w:themeColor="text1"/>
        </w:rPr>
        <w:instrText xml:space="preserve"> ADDIN ZOTERO_ITEM CSL_CITATION {"citationID":"UyG5bF10","properties":{"formattedCitation":"\\super 9,12,15\\nosupersub{}","plainCitation":"9,12,15","noteIndex":0},"citationItems":[{"id":2126,"uris":["http://zotero.org/users/2016235/items/7AEU9Z9D"],"itemData":{"id":2126,"type":"article-journal","abstract":"BACKGROUND: There is a need for easy-to-use patient-reported outcome measures (PROMS) in inflammatory bowel disease (IBD) practice. The 'IBD-control' is a short IBD-specific questionnaire capturing disease control from the patient's perspective. The International Consortium for Health Outcomes Measurement (ICHOM) recommends the use of the IBD-control even though it has only been validated in the United Kingdom. We aimed to cross-culturally translate and validate the IBD-control in the Netherlands using IBDREAM, a prospective multicentre IBD registry.\nMETHODS: Lack of ambiguity and acceptability were verified in a pilot patient group (n = 5) after forward-backward translation of the IBD-control. Prospective validation involved completion of the IBD-control, Short Form-36, short IBDQ and disease activity measurement by Physician Global Assessment (PGA) and Simple Clinical Colitis Activity Index or Harvey-Bradshaw Index. Test-retest (2-week repeat) was used for measuring reliability.\nRESULTS: Questionnaires were completed by 998 IBD patients (674 Crohn's disease, 324 ulcerative colitis). Internal consistency (Cronbach's alpha) was 0.82 for the sub-group of 8 questions (IBD-control-8-sub-score). Mean completion time was 105 s. Construct validity analyses demonstrated moderate-to-strong correlations of the IBD-control-8-subscore and the other instruments (0.49-0.81). Test-retest reliability for stable patients was high (intraclass correlation coefficient 0.95). The IBD-control-8-subscore showed good discriminant ability between the PGA categories (ANOVA, p&lt;.001). Sensitivity to change analyses showed large effect sizes of 0.81-1.87 for the IBD-control-8 subscore.\nCONCLUSIONS: These results support the IBD-control as a rapid, reliable, valid and sensitive instrument for measuring disease control from an IBD patient's perspective in the Netherlands.","container-title":"Scandinavian Journal of Gastroenterology","DOI":"10.1080/00365521.2020.1857430","ISSN":"1502-7708","issue":"2","journalAbbreviation":"Scand J Gastroenterol","language":"eng","note":"PMID: 33300822","page":"155-161","source":"PubMed","title":"Cross-cultural translation and validation of the IBD-control questionnaire in The Netherlands: a patient-reported outcome measure in inflammatory bowel disease","title-short":"Cross-cultural translation and validation of the IBD-control questionnaire in The Netherlands","volume":"56","author":[{"family":"Jong","given":"Michiel E.","non-dropping-particle":"de"},{"family":"Taal","given":"Erik"},{"family":"Thomas","given":"Pepijn W. A."},{"family":"Römkens","given":"Tessa E. H."},{"family":"Jansen","given":"Jeroen M."},{"family":"West","given":"Rachel L."},{"family":"Slotman","given":"Ellen"},{"family":"Hoentjen","given":"Frank"},{"family":"Russel","given":"Maurice G. V. M."}],"issued":{"date-parts":[["2021",2]]}}},{"id":2161,"uris":["http://zotero.org/users/2016235/items/H6F67ALP"],"itemData":{"id":2161,"type":"article-journal","container-title":"Health and Quality of Life Outcomes","title":"Implementing electronic patient reported outcome measures in inflammatory bowel disease: Patient participation, score reliability and validity","author":[{"family":"Deutscher","given":"Daniel"},{"family":"Weil","given":"Clara"},{"family":"Chodic","given":"Gabriele"},{"family":"Tsukinovsky","given":"Sveta"},{"family":"Sommer","given":"Adi"},{"family":"Bodger","given":"Keith"},{"family":"Waterman","given":"Matti"},{"family":"Kariv","given":"Revital"}],"issued":{"date-parts":[["2023"]],"season":"In Press"}}},{"id":698,"uris":["http://zotero.org/users/2016235/items/F586NPXG"],"itemData":{"id":698,"type":"post-weblog","container-title":"IBD Registry","language":"en-GB","note":"source: ibdregistry.org.uk","title":"Data Submission Framework","URL":"https://ibdregistry.org.uk/data-submission-framework/","accessed":{"date-parts":[["2020",3,15]]}}}],"schema":"https://github.com/citation-style-language/schema/raw/master/csl-citation.json"} </w:instrText>
      </w:r>
      <w:r w:rsidR="008E2435">
        <w:rPr>
          <w:color w:val="000000" w:themeColor="text1"/>
        </w:rPr>
        <w:fldChar w:fldCharType="separate"/>
      </w:r>
      <w:r w:rsidR="008E2435" w:rsidRPr="008E2435">
        <w:rPr>
          <w:rFonts w:ascii="Calibri" w:cs="Calibri"/>
          <w:color w:val="000000"/>
          <w:vertAlign w:val="superscript"/>
        </w:rPr>
        <w:t>9,12,15</w:t>
      </w:r>
      <w:r w:rsidR="008E2435">
        <w:rPr>
          <w:color w:val="000000" w:themeColor="text1"/>
        </w:rPr>
        <w:fldChar w:fldCharType="end"/>
      </w:r>
      <w:r w:rsidR="005B74B8">
        <w:rPr>
          <w:color w:val="000000" w:themeColor="text1"/>
        </w:rPr>
        <w:t xml:space="preserve"> </w:t>
      </w:r>
      <w:r w:rsidR="00554F36" w:rsidRPr="00C841A3">
        <w:rPr>
          <w:color w:val="000000" w:themeColor="text1"/>
        </w:rPr>
        <w:t xml:space="preserve">and </w:t>
      </w:r>
      <w:r w:rsidR="00FD3E2E">
        <w:rPr>
          <w:color w:val="000000" w:themeColor="text1"/>
        </w:rPr>
        <w:t xml:space="preserve">varied </w:t>
      </w:r>
      <w:r w:rsidR="00554F36" w:rsidRPr="00C841A3">
        <w:rPr>
          <w:color w:val="000000" w:themeColor="text1"/>
        </w:rPr>
        <w:t>research settings.</w:t>
      </w:r>
      <w:r w:rsidR="00807466">
        <w:rPr>
          <w:color w:val="000000" w:themeColor="text1"/>
        </w:rPr>
        <w:fldChar w:fldCharType="begin"/>
      </w:r>
      <w:r w:rsidR="008E2435">
        <w:rPr>
          <w:color w:val="000000" w:themeColor="text1"/>
        </w:rPr>
        <w:instrText xml:space="preserve"> ADDIN ZOTERO_ITEM CSL_CITATION {"citationID":"6tWtnT0P","properties":{"unsorted":true,"formattedCitation":"\\super 16,2,17\\uc0\\u8211{}19\\nosupersub{}","plainCitation":"16,2,17–19","noteIndex":0},"citationItems":[{"id":2337,"uris":["http://zotero.org/users/2016235/items/KXW67P8T"],"itemData":{"id":2337,"type":"article-journal","abstract":"BACKGROUND AND AIMS: Measuring quality of care [QoC] in inflammatory bowel diseases [IBD] has become increasingly important, yet complex assessment of QoC from the patients' perspective is rare. We evaluated perceived QoC using the Quality of Care Through the Patient's Eyes-IBD [QUOTE-IBD] questionnaire, and investigated associations between QoC, disease phenotype, work productivity, and health-related quality of life [HRQoL] in a high-volume IBD centre.\nMETHODS: Consecutive patients attending McGill University Health Centre [MUHC]-IBD Centre completed the QUOTE-IBD, Short Inflammatory Bowel Disease Questionnaire [SIBDQ], IBD-Control, and Work Productivity and Activity Impairment [WPAI] questionnaires. The QUOTE-IBD comprises 23 questions, each rated by a quality impact [QI] score. QI scores were calculated for the evaluation of IBD specialists, general practitioners [GPs], and hospital care.\nRESULTS: In all, 525 patients completed the questionnaire. Total QI scores for IBD specialists, GPs, and hospital care were 8.57, 8.70, and 8.33, respectively. The lowest QI scores were related to 'accessibility' for both IBD specialists and GPs. Female gender, current disease activity, poor HRQoL [SIBDQ score ≤50], and poor disease control [IBD-Control score &lt;13] were associated with lower mean QI scores [p &lt;0.001 for all]. Disease phenotype was not associated with QI scores in either Crohn's disease [CD] or ulcerative colitis [UC] [p = 0.69, p = 0.791, respectively]. An inverse correlation was found between total QI scores and work productivity loss [IBD specialist: p &lt;0.001; GP: p = 0.004].\nCONCLUSIONS: Overall patient satisfaction with QoC was good; however, improving patient accessibility to care is warranted. Disease phenotype was not associated with patient satisfaction, whereas female gender, current disease activity, HRQoL, and work productivity loss were associated with patients' quality assessment, underlining that perceived QoC could be partly subjective regarding disease control and quality of life.","container-title":"Journal of Crohn's &amp; Colitis","DOI":"10.1093/ecco-jcc/jjz035","ISSN":"1876-4479","issue":"9","journalAbbreviation":"J Crohns Colitis","language":"eng","note":"PMID: 30793162","page":"1138-1147","source":"PubMed","title":"Perceived Quality of Care is Associated with Disease Activity, Quality of Life, Work Productivity, and Gender, but not Disease Phenotype: A Prospective Study in a High-volume IBD Centre","title-short":"Perceived Quality of Care is Associated with Disease Activity, Quality of Life, Work Productivity, and Gender, but not Disease Phenotype","volume":"13","author":[{"family":"Gonczi","given":"Lorant"},{"family":"Kurti","given":"Zsuzsanna"},{"family":"Verdon","given":"Christine"},{"family":"Reinglas","given":"Jason"},{"family":"Kohen","given":"Rita"},{"family":"Morin","given":"Isabelle"},{"family":"Chavez","given":"Kelly"},{"family":"Bessissow","given":"Talat"},{"family":"Afif","given":"Waqqas"},{"family":"Wild","given":"Gary"},{"family":"Seidman","given":"Ernest"},{"family":"Bitton","given":"Alain"},{"family":"Lakatos","given":"Peter L."}],"issued":{"date-parts":[["2019",9,19]]}}},{"id":2298,"uris":["http://zotero.org/users/2016235/items/ADDDULEG"],"itemData":{"id":2298,"type":"article-journal","abstract":"The measurement of outcomes is key in evaluating healthcare or research interventions in inﬂammatory bowel disease (IBD). In patient-centred care, patient-reported outcome measures (PROMs) are central to this evaluation. In this review, we provide an overview of validated, adult disease-speciﬁc PROMs developed for use in IBD. Our aim is to assist clinicians and researchers in selection of PROMs to measure outcomes in their patient cohort. The Consensus-based Standards for the Selection of Health Measurement Instruments database of systematic reviews was the primary resource used to identify PROMs used in IBD. Search terms were ‘Crohn’s disease’, ‘ulcerative colitis’, and ‘IBD’. Seven systematic reviews were identiﬁed from this search. In addition, the publication by the IBD Core Outcome Set Working Group was used to identify further PROMs. Three systematic reviews were excluded as they did not meet the inclusion criteria. From the ﬁve included systematic reviews, we identiﬁed 21 PROMs and their shortened versions. In conclusion, it does not appear that any one PROM is entirely suitable for both research and clinical practice. Overall, the IBDQ-32 is most widely used in research but has the limitation of cost, whereas the IBD-Control has been recommended in the clinical core outcome set.","container-title":"Gastroenterology Insights","DOI":"10.3390/gastroent12020020","ISSN":"2036-7422","issue":"2","journalAbbreviation":"Gastroenterology Insights","language":"en","page":"225-237","source":"DOI.org (Crossref)","title":"Patient-Reported Outcomes in Inflammatory Bowel Disease: A Measurement of Effect in Research and Clinical Care","title-short":"Patient-Reported Outcomes in Inflammatory Bowel Disease","volume":"12","author":[{"family":"Fletcher","given":"Jane"},{"family":"Cooper","given":"Sheldon C."},{"family":"Swift","given":"Amelia"}],"issued":{"date-parts":[["2021",5,12]]}}},{"id":2326,"uris":["http://zotero.org/users/2016235/items/BZL2KFT3"],"itemData":{"id":2326,"type":"article-journal","abstract":"BACKGROUND: To learn from the crisis caused by the coronavirus disease (COVID-19) pandemic and be prepared for future pandemics, it is important to investigate the impact of this period on the wellbeing of patients with inflammatory bowel disease (IBD).\nAIMS: To describe the health-related quality of life (HRQoL) and disease control of IBD patients during the first wave of the COVID-19 pandemic in The Netherlands.\nMETHODS: Between March 17 and July 1, 2020, patients aged 18 years and older with IBD from the Erasmus MC (Rotterdam, The Netherlands) were invited to complete online questionnaires at week 0, 2, 6 and 12. The Inflammatory Bowel Disease Questionnaire (IBDQ), the Inflammatory Bowel Disease Control-8 (IBD-control-8) and the numeric rating scale on fatigue were used. The evolution of the different outcomes over time was measured using mixed models.\nRESULTS: Of 1151 invited patients, 851 patients (67% CD and 33% UC or IBD-U) participated in the study (response rate 74%). No relevant changes in total scores were found over time for the IBDQ (effect estimate 0.006, 95% CI [- 0.003 to 0.015]) and IBD-control-8 (effect estimate 0.004, 95% CI [0.998-1.011]). There was a slight, increasing trend in fatigue scores over time (effect estimate 0.011, 95% CI [0.004, 0.019]).\nCONCLUSIONS: This first lock down due to the COVID-19 pandemic in The Netherlands did not impact on the HRQoL and disease control of patients with IBD. Up to date information may have contributed to a stable HRQoL in IBD patients even in an extreme period with restrictions and insecurities.","container-title":"Digestive Diseases and Sciences","DOI":"10.1007/s10620-021-07118-8","ISSN":"1573-2568","journalAbbreviation":"Dig Dis Sci","language":"eng","note":"PMID: 34181168\nPMCID: PMC8237768","source":"PubMed","title":"Impact of the Coronavirus Disease Pandemic on Health-Related Quality of Life of Patients with Inflammatory Bowel Disease","author":[{"family":"Paulides","given":"Emma"},{"family":"Pasma","given":"Annelieke"},{"family":"Erler","given":"Nicole S."},{"family":"Eijk","given":"Rachel L. A.","non-dropping-particle":"van"},{"family":"Vries","given":"Annemarie C.","non-dropping-particle":"de"},{"family":"Woude","given":"C. Janneke","non-dropping-particle":"van der"}],"issued":{"date-parts":[["2021",6,28]]}}},{"id":2322,"uris":["http://zotero.org/users/2016235/items/9SCH26IC"],"itemData":{"id":2322,"type":"article-journal","abstract":"BACKGROUND AND AIMS: Subcutaneous (SC) vedolizumab presents the opportunity for inflammatory bowel disease (IBD) patients to manage their treatment at home. There is currently no data on the process of transitioning patients established on intravenous (IV) to SC as part of routine clinical care. The aim of this programme is to evaluate the clinical and biochemical outcomes of switching a cohort of IBD patients established on IV vedolizumab to SC 12 weeks following the transition.\nMETHODS: 178 adult patients were offered the opportunity to transition to SC vedolizumab. Patients who agreed were reviewed prior to switching and at week 12 (W12) after their first SC dose. Evaluation outcomes included disease activity scores, the IBD-Control patient-reported outcome measures (PROMs) and faecal calprotectin (FCP). Reasons for patients declining or accepting transitioning, pharmacokinetics, adverse drug reactions and risk factors for a poor outcome in SARS-CoV-2 infection were also assessed.\nRESULTS: 124 patients agreed to transition, of which 106 patients had been on IV vedolizumab for at least 4 months. There were no statistically significant differences in disease activity scores or IBD-Control PROMs between baseline and W12. A statistically significant increase in FCP was observed (31µg/g vs. 47µg/g; p=0.008), although this was unlikely to be clinically relevant. The most common adverse drug reaction reported was injection site reactions (15%). Based on this cohort of patients, an expected reduction of £572,000 per annum is likely to be achieved.\nCONCLUSIONS: Transitioning patients established on IV vedolizumab to SC appears to be safe and effective, with high patient satisfaction and multiple benefits for the health service.","container-title":"Journal of Crohn's &amp; Colitis","DOI":"10.1093/ecco-jcc/jjab224","ISSN":"1876-4479","journalAbbreviation":"J Crohns Colitis","language":"eng","note":"PMID: 34935945","page":"jjab224","source":"PubMed","title":"Transitioning from intRavenous to subcutAneous VEdolizumab in patients with infLammatory bowEl diSeaSe (TRAVELESS)","author":[{"family":"Ventress","given":"Esther"},{"family":"Young","given":"David"},{"family":"Rahmany","given":"Sohail"},{"family":"Harris","given":"Clare"},{"family":"Bettey","given":"Marion"},{"family":"Smith","given":"Trevor"},{"family":"Moyses","given":"Helen"},{"family":"Lech","given":"Magdalena"},{"family":"Gwiggner","given":"Markus"},{"family":"Felwick","given":"Richard"},{"family":"Cummings","given":"J. R. Fraser"}],"issued":{"date-parts":[["2021",12,22]]}}},{"id":2319,"uris":["http://zotero.org/users/2016235/items/UG4EBEMJ"],"itemData":{"id":2319,"type":"article-journal","abstract":"INTRODUCTION: Biologics are effective for the treatment of inflammatory bowel disease (IBD). However, unwarranted variation in processes and outcomes has been reported in the treatment of IBD. A care pathway for the treatment of IBD has the potential to reduce practice variation and improve outcomes. This study aims to compare the effect of a uniform care pathway for the treatment of patients with IBD with biologics to the current situation.\nMETHODS AND ANALYSIS: IBD Value is a longitudinal multicentre non-randomised parallel cluster trial with a baseline period. The study takes place in eight centres in the Netherlands. The baseline period will run for 12 months, after which the care pathway will be implemented in 6 of the 8 participating hospitals during the implementation phase of 3 months. Hereafter, the effect of the care pathway will be assessed for 12 months. Total study period is 27 months. The primary outcome is the effect of the care pathway on disease control (IBD-Control questionnaire). Secondary outcomes are the effect of the care pathway on the other outcomes of the International Consortium of Health Outcomes Measurement IBD standard set, health-related generic quality of life, patient experiences and degree of variation; cost effectiveness of the care pathway; and the variation between hospitals in the aforementioned outcomes in the baseline period. Outcomes will be measured every 6 months. The study started on 1 December 2020 and a minimum of 200 patients will be included.\nETHICS AND DISSEMINATION: The study was deemed not to be subject to Dutch law (WMO; Medical Research Involving Human Subjects Act) by the Medical Ethics Committee of the Erasmus MC, the Netherlands (registration number: MEC-2020-075) and a waiver was provided. Results will be disseminated through peer-reviewed journals and presented at (inter)national conferences.\nTRIAL REGISTRATION NUMBER: NL8276.","container-title":"BMJ open","DOI":"10.1136/bmjopen-2021-050539","ISSN":"2044-6055","issue":"1","journalAbbreviation":"BMJ Open","language":"eng","note":"PMID: 35022169\nPMCID: PMC8756277","page":"e050539","source":"PubMed","title":"Value-based care pathway for inflammatory bowel disease: a protocol for the multicentre longitudinal non-randomised parallel cluster IBD Value study with baseline period","title-short":"Value-based care pathway for inflammatory bowel disease","volume":"12","author":[{"family":"Linschoten","given":"Reinier Cornelis Anthonius","non-dropping-particle":"van"},{"family":"Leeuwen","given":"Nikki","non-dropping-particle":"van"},{"family":"Nieboer","given":"Daan"},{"family":"Birnie","given":"Erwin"},{"family":"Scherpenzeel","given":"Menne"},{"family":"Verweij","given":"Karen Evelyne"},{"family":"Jonge","given":"Vincent","non-dropping-particle":"de"},{"family":"Hazelzet","given":"Jan Antonius"},{"family":"Woude","given":"C. Janneke","non-dropping-particle":"van der"},{"family":"West","given":"Rachel Louise"},{"family":"Noord","given":"Desirée","non-dropping-particle":"van"},{"literal":"Southwest Netherlands IBD Study Group"}],"issued":{"date-parts":[["2022",1,12]]}}}],"schema":"https://github.com/citation-style-language/schema/raw/master/csl-citation.json"} </w:instrText>
      </w:r>
      <w:r w:rsidR="00807466">
        <w:rPr>
          <w:color w:val="000000" w:themeColor="text1"/>
        </w:rPr>
        <w:fldChar w:fldCharType="separate"/>
      </w:r>
      <w:r w:rsidR="008E2435" w:rsidRPr="008E2435">
        <w:rPr>
          <w:rFonts w:ascii="Calibri" w:cs="Calibri"/>
          <w:color w:val="000000"/>
          <w:vertAlign w:val="superscript"/>
        </w:rPr>
        <w:t>16,2,17–19</w:t>
      </w:r>
      <w:r w:rsidR="00807466">
        <w:rPr>
          <w:color w:val="000000" w:themeColor="text1"/>
        </w:rPr>
        <w:fldChar w:fldCharType="end"/>
      </w:r>
      <w:r w:rsidR="00554F36" w:rsidRPr="00C841A3">
        <w:rPr>
          <w:color w:val="000000" w:themeColor="text1"/>
        </w:rPr>
        <w:t xml:space="preserve"> </w:t>
      </w:r>
      <w:r w:rsidR="000E480F">
        <w:rPr>
          <w:color w:val="000000" w:themeColor="text1"/>
        </w:rPr>
        <w:t xml:space="preserve">This suggests </w:t>
      </w:r>
      <w:r w:rsidR="008E2435">
        <w:rPr>
          <w:color w:val="000000" w:themeColor="text1"/>
        </w:rPr>
        <w:t xml:space="preserve">that </w:t>
      </w:r>
      <w:r w:rsidR="0020324F">
        <w:rPr>
          <w:color w:val="000000" w:themeColor="text1"/>
        </w:rPr>
        <w:t>measurement</w:t>
      </w:r>
      <w:r w:rsidR="008E2435">
        <w:rPr>
          <w:color w:val="000000" w:themeColor="text1"/>
        </w:rPr>
        <w:t xml:space="preserve"> of</w:t>
      </w:r>
      <w:r w:rsidR="002839A8">
        <w:rPr>
          <w:color w:val="000000" w:themeColor="text1"/>
        </w:rPr>
        <w:t xml:space="preserve"> patient-perceived</w:t>
      </w:r>
      <w:r w:rsidR="000E480F">
        <w:rPr>
          <w:color w:val="000000" w:themeColor="text1"/>
        </w:rPr>
        <w:t xml:space="preserve"> control</w:t>
      </w:r>
      <w:r w:rsidR="002839A8">
        <w:rPr>
          <w:color w:val="000000" w:themeColor="text1"/>
        </w:rPr>
        <w:t xml:space="preserve"> </w:t>
      </w:r>
      <w:r w:rsidR="00CA0502">
        <w:rPr>
          <w:color w:val="000000" w:themeColor="text1"/>
        </w:rPr>
        <w:t xml:space="preserve">using </w:t>
      </w:r>
      <w:r w:rsidR="00DC5DE0">
        <w:rPr>
          <w:color w:val="000000" w:themeColor="text1"/>
        </w:rPr>
        <w:t>this</w:t>
      </w:r>
      <w:r w:rsidR="00580F1E">
        <w:rPr>
          <w:color w:val="000000" w:themeColor="text1"/>
        </w:rPr>
        <w:t xml:space="preserve"> </w:t>
      </w:r>
      <w:r w:rsidR="002839A8">
        <w:rPr>
          <w:color w:val="000000" w:themeColor="text1"/>
        </w:rPr>
        <w:t>simple</w:t>
      </w:r>
      <w:r w:rsidR="00CA0502">
        <w:rPr>
          <w:color w:val="000000" w:themeColor="text1"/>
        </w:rPr>
        <w:t>, generic</w:t>
      </w:r>
      <w:r w:rsidR="002839A8">
        <w:rPr>
          <w:color w:val="000000" w:themeColor="text1"/>
        </w:rPr>
        <w:t xml:space="preserve"> tool </w:t>
      </w:r>
      <w:r w:rsidR="000E480F">
        <w:rPr>
          <w:color w:val="000000" w:themeColor="text1"/>
        </w:rPr>
        <w:t>resonate</w:t>
      </w:r>
      <w:r w:rsidR="001F7901">
        <w:rPr>
          <w:color w:val="000000" w:themeColor="text1"/>
        </w:rPr>
        <w:t>s</w:t>
      </w:r>
      <w:r w:rsidR="000E480F">
        <w:rPr>
          <w:color w:val="000000" w:themeColor="text1"/>
        </w:rPr>
        <w:t xml:space="preserve"> with patients</w:t>
      </w:r>
      <w:r w:rsidR="00031E99">
        <w:rPr>
          <w:color w:val="000000" w:themeColor="text1"/>
        </w:rPr>
        <w:t xml:space="preserve">, </w:t>
      </w:r>
      <w:r w:rsidR="000E480F">
        <w:rPr>
          <w:color w:val="000000" w:themeColor="text1"/>
        </w:rPr>
        <w:t>clinicians</w:t>
      </w:r>
      <w:r w:rsidR="00031E99">
        <w:rPr>
          <w:color w:val="000000" w:themeColor="text1"/>
        </w:rPr>
        <w:t xml:space="preserve"> and researchers.</w:t>
      </w:r>
    </w:p>
    <w:p w14:paraId="6D26E5C4" w14:textId="77777777" w:rsidR="00E25D58" w:rsidRDefault="00103753" w:rsidP="00FB7367">
      <w:pPr>
        <w:jc w:val="both"/>
        <w:rPr>
          <w:color w:val="000000" w:themeColor="text1"/>
        </w:rPr>
      </w:pPr>
      <w:r w:rsidRPr="00E80AD2">
        <w:rPr>
          <w:color w:val="000000" w:themeColor="text1"/>
        </w:rPr>
        <w:t xml:space="preserve">The use </w:t>
      </w:r>
      <w:r w:rsidR="002839A8" w:rsidRPr="00E80AD2">
        <w:rPr>
          <w:color w:val="000000" w:themeColor="text1"/>
        </w:rPr>
        <w:t>of</w:t>
      </w:r>
      <w:r w:rsidR="00D8642B" w:rsidRPr="00E80AD2">
        <w:rPr>
          <w:color w:val="000000" w:themeColor="text1"/>
        </w:rPr>
        <w:t xml:space="preserve"> </w:t>
      </w:r>
      <w:r w:rsidR="004F51BC" w:rsidRPr="00E80AD2">
        <w:rPr>
          <w:color w:val="000000" w:themeColor="text1"/>
        </w:rPr>
        <w:t>a</w:t>
      </w:r>
      <w:r w:rsidR="00E91627" w:rsidRPr="00E80AD2">
        <w:rPr>
          <w:color w:val="000000" w:themeColor="text1"/>
        </w:rPr>
        <w:t>ny</w:t>
      </w:r>
      <w:r w:rsidR="004F51BC" w:rsidRPr="00E80AD2">
        <w:rPr>
          <w:color w:val="000000" w:themeColor="text1"/>
        </w:rPr>
        <w:t xml:space="preserve"> PROM</w:t>
      </w:r>
      <w:r w:rsidR="00D8642B" w:rsidRPr="00E80AD2">
        <w:rPr>
          <w:color w:val="000000" w:themeColor="text1"/>
        </w:rPr>
        <w:t xml:space="preserve"> in</w:t>
      </w:r>
      <w:r w:rsidR="00E91627" w:rsidRPr="00E80AD2">
        <w:rPr>
          <w:color w:val="000000" w:themeColor="text1"/>
        </w:rPr>
        <w:t xml:space="preserve"> </w:t>
      </w:r>
      <w:r w:rsidR="00B67143" w:rsidRPr="00E80AD2">
        <w:rPr>
          <w:color w:val="000000" w:themeColor="text1"/>
        </w:rPr>
        <w:t xml:space="preserve">such </w:t>
      </w:r>
      <w:r w:rsidR="00DC5DE0" w:rsidRPr="00E80AD2">
        <w:rPr>
          <w:color w:val="000000" w:themeColor="text1"/>
        </w:rPr>
        <w:t>diverse</w:t>
      </w:r>
      <w:r w:rsidR="004F51BC" w:rsidRPr="00E80AD2">
        <w:rPr>
          <w:color w:val="000000" w:themeColor="text1"/>
        </w:rPr>
        <w:t xml:space="preserve"> </w:t>
      </w:r>
      <w:r w:rsidR="002839A8" w:rsidRPr="00E80AD2">
        <w:rPr>
          <w:color w:val="000000" w:themeColor="text1"/>
        </w:rPr>
        <w:t>contexts</w:t>
      </w:r>
      <w:r w:rsidR="004F51BC" w:rsidRPr="00E80AD2">
        <w:rPr>
          <w:color w:val="000000" w:themeColor="text1"/>
        </w:rPr>
        <w:t xml:space="preserve"> </w:t>
      </w:r>
      <w:r w:rsidR="00D8642B" w:rsidRPr="00E80AD2">
        <w:rPr>
          <w:color w:val="000000" w:themeColor="text1"/>
        </w:rPr>
        <w:t xml:space="preserve">requires </w:t>
      </w:r>
      <w:r w:rsidR="00807466" w:rsidRPr="00E80AD2">
        <w:t xml:space="preserve">ongoing </w:t>
      </w:r>
      <w:r w:rsidR="002839A8" w:rsidRPr="00E80AD2">
        <w:t>validation to ensure</w:t>
      </w:r>
      <w:r w:rsidRPr="00E80AD2">
        <w:t xml:space="preserve"> </w:t>
      </w:r>
      <w:r w:rsidR="002839A8" w:rsidRPr="00E80AD2">
        <w:t xml:space="preserve">measurement properties are </w:t>
      </w:r>
      <w:r w:rsidR="00DD2AE1" w:rsidRPr="00E80AD2">
        <w:t>consistent</w:t>
      </w:r>
      <w:r w:rsidR="006F5F7B" w:rsidRPr="00E80AD2">
        <w:t>.</w:t>
      </w:r>
      <w:r w:rsidR="0020324F" w:rsidRPr="00253036">
        <w:t xml:space="preserve"> </w:t>
      </w:r>
      <w:r w:rsidR="0020324F" w:rsidRPr="00E80AD2">
        <w:t>The initial validation paper</w:t>
      </w:r>
      <w:r w:rsidR="000F6AF6">
        <w:fldChar w:fldCharType="begin"/>
      </w:r>
      <w:r w:rsidR="000F6AF6">
        <w:instrText xml:space="preserve"> ADDIN ZOTERO_ITEM CSL_CITATION {"citationID":"6w5ovlxA","properties":{"formattedCitation":"\\super 8\\nosupersub{}","plainCitation":"8","noteIndex":0},"citationItems":[{"id":154,"uris":["http://zotero.org/users/2016235/items/6SBF99P6"],"itemData":{"id":154,"type":"article-journal","abstract":"INTRODUCTION: The use of patient reported outcome measures to support routine inflammatory bowel disease (IBD) care is not widespread and suggests that existing questionnaires lack relevance to day-to-day decisions or are too cumbersome to administer. We developed a simple, generic tool for capturing disease control from the patient's perspective to address these barriers.\nMETHODS: Development based on literature review, patient focus groups/interviews and a steering group, defining a limited set of generic questions. The 'IBD-Control' questionnaire comprises 13 items plus a visual analogue scale (VAS) (0-100). Prospective validation involved baseline completion of IBD-Control, quality of life (QoL) questionnaire (UK-IBD-Q), EuroQol (EQ-5D), Hospital Anxiety and Depression Score; and clinician assessment (blinded to questionnaire; recording Harvey-Bradshaw Index or Simple Clinical Colitis Activity Index; Global Clinician Rating; treatment outcome).\nRESULTS: 299 patients returned baseline surveys (Crohn's disease, n=160; ulcerative colitis, n=139) and 138 attended for repeat visits. Completion time (mean; SD): 1 min 15 s; 25 s; Internal consistency: Cronbach's α for all 13 items (0.85); for subgroup of eight questions ('IBD-Control-8'; 0.86). Strong correlation between IBD-Control-8 and IBD-Control-VAS (r=0.81). Test-retest reliability (2 week repeat): intra-class correlation=0.97 for IBD-Control-8 and 0.96 for IBD-Control-VAS. Construct validity: Moderate-to-strong correlations between IBD-Control-8 and IBD-Control-VAS versus activity indices, UK-IBD-Q and EQ-5D (utility) with r values 0.52-0.86. Discriminant validity (mean instrument scores for remission, mild, moderate or severe): p&lt;0.001 (analysis of variance (ANOVA)). Sensitivity to change: Effect sizes: 0.76-1.44.\nCONCLUSIONS: The IBD-Control is a rapid, reliable, valid and sensitive instrument for measuring overall disease control from the patient's perspective. Unlike existing patient reported outcome measures, its simplicity, ease-of-use and generic applicability make it a candidate for supporting routine care.","container-title":"Gut","DOI":"10.1136/gutjnl-2013-305600","ISSN":"1468-3288","issue":"7","journalAbbreviation":"Gut","language":"eng","note":"PMID: 24107590 \nPMCID: PMC4078750","page":"1092-1102","source":"NCBI PubMed","title":"Development and validation of a rapid, generic measure of disease control from the patient's perspective: the IBD-control questionnaire","title-short":"Development and validation of a rapid, generic measure of disease control from the patient's perspective","volume":"63","author":[{"family":"Bodger","given":"Keith"},{"family":"Ormerod","given":"Clare"},{"family":"Shackcloth","given":"Daniela"},{"family":"Harrison","given":"Melanie"},{"literal":"IBD Control Collaborative"}],"issued":{"date-parts":[["2014",7]]}}}],"schema":"https://github.com/citation-style-language/schema/raw/master/csl-citation.json"} </w:instrText>
      </w:r>
      <w:r w:rsidR="000F6AF6">
        <w:fldChar w:fldCharType="separate"/>
      </w:r>
      <w:r w:rsidR="000F6AF6" w:rsidRPr="000F6AF6">
        <w:rPr>
          <w:rFonts w:ascii="Calibri" w:cs="Calibri"/>
          <w:vertAlign w:val="superscript"/>
        </w:rPr>
        <w:t>8</w:t>
      </w:r>
      <w:r w:rsidR="000F6AF6">
        <w:fldChar w:fldCharType="end"/>
      </w:r>
      <w:r w:rsidR="0020324F" w:rsidRPr="00E80AD2">
        <w:t xml:space="preserve"> did not include factor analyses exploring, and confirming, the structure of the IBD-Control scale </w:t>
      </w:r>
      <w:r w:rsidR="00043E58">
        <w:t xml:space="preserve">to </w:t>
      </w:r>
      <w:r w:rsidR="0020324F" w:rsidRPr="00E80AD2">
        <w:t xml:space="preserve">allow specific identification of the underlying constructs that it is measuring. Furthermore, it is critical to demonstrate that the </w:t>
      </w:r>
      <w:r w:rsidR="00072F67" w:rsidRPr="00E80AD2">
        <w:t>scale structure is valid in different circumstances (e.g. during active illness compared to remission)</w:t>
      </w:r>
      <w:r w:rsidR="00031E99" w:rsidRPr="00E80AD2">
        <w:rPr>
          <w:color w:val="000000" w:themeColor="text1"/>
        </w:rPr>
        <w:t xml:space="preserve"> </w:t>
      </w:r>
      <w:r w:rsidR="00072F67" w:rsidRPr="00E80AD2">
        <w:rPr>
          <w:color w:val="000000" w:themeColor="text1"/>
        </w:rPr>
        <w:t>and in different populations (e.g. across</w:t>
      </w:r>
      <w:r w:rsidR="00661EB9">
        <w:rPr>
          <w:color w:val="000000" w:themeColor="text1"/>
        </w:rPr>
        <w:t xml:space="preserve"> IBD subtypes,</w:t>
      </w:r>
      <w:r w:rsidR="00072F67" w:rsidRPr="00E80AD2">
        <w:rPr>
          <w:color w:val="000000" w:themeColor="text1"/>
        </w:rPr>
        <w:t xml:space="preserve"> gender,</w:t>
      </w:r>
      <w:r w:rsidR="00661EB9">
        <w:rPr>
          <w:color w:val="000000" w:themeColor="text1"/>
        </w:rPr>
        <w:t xml:space="preserve"> age and</w:t>
      </w:r>
      <w:r w:rsidR="00072F67" w:rsidRPr="00E80AD2">
        <w:rPr>
          <w:color w:val="000000" w:themeColor="text1"/>
        </w:rPr>
        <w:t xml:space="preserve"> deprivation groups</w:t>
      </w:r>
      <w:r w:rsidR="00655546">
        <w:rPr>
          <w:color w:val="000000" w:themeColor="text1"/>
        </w:rPr>
        <w:t xml:space="preserve"> and people with comorbidities</w:t>
      </w:r>
      <w:r w:rsidR="00072F67" w:rsidRPr="00E80AD2">
        <w:rPr>
          <w:color w:val="000000" w:themeColor="text1"/>
        </w:rPr>
        <w:t>) to ensure that it can be used with confidence by clinicians in a variety of c</w:t>
      </w:r>
      <w:r w:rsidR="00E4008F">
        <w:rPr>
          <w:color w:val="000000" w:themeColor="text1"/>
        </w:rPr>
        <w:t>ontexts</w:t>
      </w:r>
      <w:r w:rsidR="00072F67" w:rsidRPr="00E80AD2">
        <w:rPr>
          <w:color w:val="000000" w:themeColor="text1"/>
        </w:rPr>
        <w:t xml:space="preserve">. </w:t>
      </w:r>
    </w:p>
    <w:p w14:paraId="4D8EF6BF" w14:textId="48EDFD9A" w:rsidR="00364DD7" w:rsidRDefault="004D6881" w:rsidP="00FB7367">
      <w:pPr>
        <w:jc w:val="both"/>
        <w:rPr>
          <w:b/>
          <w:bCs/>
          <w:color w:val="000000" w:themeColor="text1"/>
        </w:rPr>
      </w:pPr>
      <w:r w:rsidRPr="00E80AD2">
        <w:rPr>
          <w:color w:val="000000" w:themeColor="text1"/>
        </w:rPr>
        <w:t>In the present study w</w:t>
      </w:r>
      <w:r w:rsidR="008925A3" w:rsidRPr="00E80AD2">
        <w:rPr>
          <w:color w:val="000000" w:themeColor="text1"/>
        </w:rPr>
        <w:t>e</w:t>
      </w:r>
      <w:r w:rsidR="007F0831" w:rsidRPr="00E80AD2">
        <w:rPr>
          <w:color w:val="000000" w:themeColor="text1"/>
        </w:rPr>
        <w:t xml:space="preserve"> aimed to </w:t>
      </w:r>
      <w:r w:rsidR="003A3398" w:rsidRPr="00E80AD2">
        <w:rPr>
          <w:color w:val="000000" w:themeColor="text1"/>
        </w:rPr>
        <w:t xml:space="preserve">expand </w:t>
      </w:r>
      <w:r w:rsidR="007F0831" w:rsidRPr="00E80AD2">
        <w:rPr>
          <w:color w:val="000000" w:themeColor="text1"/>
        </w:rPr>
        <w:t>th</w:t>
      </w:r>
      <w:r w:rsidR="007F010D" w:rsidRPr="00E80AD2">
        <w:rPr>
          <w:color w:val="000000" w:themeColor="text1"/>
        </w:rPr>
        <w:t>e</w:t>
      </w:r>
      <w:r w:rsidR="007F0831" w:rsidRPr="00E80AD2">
        <w:rPr>
          <w:color w:val="000000" w:themeColor="text1"/>
        </w:rPr>
        <w:t xml:space="preserve"> evidence base</w:t>
      </w:r>
      <w:r w:rsidR="00CC0C37" w:rsidRPr="00E80AD2">
        <w:rPr>
          <w:color w:val="000000" w:themeColor="text1"/>
        </w:rPr>
        <w:t xml:space="preserve"> </w:t>
      </w:r>
      <w:r w:rsidR="008E0954" w:rsidRPr="00E80AD2">
        <w:rPr>
          <w:color w:val="000000" w:themeColor="text1"/>
        </w:rPr>
        <w:t xml:space="preserve">for the </w:t>
      </w:r>
      <w:r w:rsidR="00B67143" w:rsidRPr="00E80AD2">
        <w:rPr>
          <w:color w:val="000000" w:themeColor="text1"/>
        </w:rPr>
        <w:t xml:space="preserve">validity </w:t>
      </w:r>
      <w:r w:rsidR="00501D8F" w:rsidRPr="00E80AD2">
        <w:rPr>
          <w:color w:val="000000" w:themeColor="text1"/>
        </w:rPr>
        <w:t xml:space="preserve">of </w:t>
      </w:r>
      <w:r w:rsidR="00F664EC" w:rsidRPr="00E80AD2">
        <w:rPr>
          <w:color w:val="000000" w:themeColor="text1"/>
        </w:rPr>
        <w:t xml:space="preserve">the </w:t>
      </w:r>
      <w:r w:rsidR="00CC0C37" w:rsidRPr="00E80AD2">
        <w:rPr>
          <w:color w:val="000000" w:themeColor="text1"/>
        </w:rPr>
        <w:t>IBD-Control</w:t>
      </w:r>
      <w:r w:rsidR="00F664EC" w:rsidRPr="00E80AD2">
        <w:rPr>
          <w:color w:val="000000" w:themeColor="text1"/>
        </w:rPr>
        <w:t xml:space="preserve"> Questionnaire</w:t>
      </w:r>
      <w:r w:rsidR="00B67143" w:rsidRPr="00E80AD2">
        <w:rPr>
          <w:color w:val="000000" w:themeColor="text1"/>
        </w:rPr>
        <w:t xml:space="preserve"> by</w:t>
      </w:r>
      <w:r w:rsidR="00D445A5" w:rsidRPr="00E80AD2">
        <w:rPr>
          <w:color w:val="000000" w:themeColor="text1"/>
        </w:rPr>
        <w:t xml:space="preserve"> </w:t>
      </w:r>
      <w:r w:rsidR="004F51BC" w:rsidRPr="00E80AD2">
        <w:rPr>
          <w:color w:val="000000" w:themeColor="text1"/>
        </w:rPr>
        <w:t>appl</w:t>
      </w:r>
      <w:r w:rsidR="00D445A5" w:rsidRPr="00E80AD2">
        <w:rPr>
          <w:color w:val="000000" w:themeColor="text1"/>
        </w:rPr>
        <w:t>ying</w:t>
      </w:r>
      <w:r w:rsidR="004F51BC" w:rsidRPr="00E80AD2">
        <w:rPr>
          <w:color w:val="000000" w:themeColor="text1"/>
        </w:rPr>
        <w:t xml:space="preserve"> </w:t>
      </w:r>
      <w:r w:rsidR="00F664EC" w:rsidRPr="00E80AD2">
        <w:rPr>
          <w:color w:val="000000" w:themeColor="text1"/>
        </w:rPr>
        <w:t>factor analysis</w:t>
      </w:r>
      <w:r w:rsidR="00072F67" w:rsidRPr="00E80AD2">
        <w:rPr>
          <w:color w:val="000000" w:themeColor="text1"/>
        </w:rPr>
        <w:t xml:space="preserve"> (exploratory and confirmatory)</w:t>
      </w:r>
      <w:r w:rsidR="00B67143" w:rsidRPr="00E80AD2">
        <w:rPr>
          <w:color w:val="000000" w:themeColor="text1"/>
        </w:rPr>
        <w:t xml:space="preserve">, </w:t>
      </w:r>
      <w:r w:rsidR="00501D8F" w:rsidRPr="00E80AD2">
        <w:rPr>
          <w:color w:val="000000" w:themeColor="text1"/>
        </w:rPr>
        <w:t xml:space="preserve">tests of factorial invariance and </w:t>
      </w:r>
      <w:r w:rsidR="008E2435" w:rsidRPr="00E80AD2">
        <w:rPr>
          <w:color w:val="000000" w:themeColor="text1"/>
        </w:rPr>
        <w:t>measures of</w:t>
      </w:r>
      <w:r w:rsidR="00B67143" w:rsidRPr="00E80AD2">
        <w:rPr>
          <w:color w:val="000000" w:themeColor="text1"/>
        </w:rPr>
        <w:t xml:space="preserve"> </w:t>
      </w:r>
      <w:r w:rsidR="00501D8F" w:rsidRPr="00E80AD2">
        <w:rPr>
          <w:color w:val="000000" w:themeColor="text1"/>
        </w:rPr>
        <w:t xml:space="preserve">construct validity </w:t>
      </w:r>
      <w:r w:rsidR="00D445A5" w:rsidRPr="00E80AD2">
        <w:rPr>
          <w:color w:val="000000" w:themeColor="text1"/>
        </w:rPr>
        <w:t>across</w:t>
      </w:r>
      <w:r w:rsidR="006F5F7B" w:rsidRPr="00E80AD2">
        <w:rPr>
          <w:color w:val="000000" w:themeColor="text1"/>
        </w:rPr>
        <w:t xml:space="preserve"> </w:t>
      </w:r>
      <w:r w:rsidR="00501D8F" w:rsidRPr="00E80AD2">
        <w:rPr>
          <w:color w:val="000000" w:themeColor="text1"/>
        </w:rPr>
        <w:t xml:space="preserve">different socioeconomic and clinical </w:t>
      </w:r>
      <w:r w:rsidR="006F5F7B" w:rsidRPr="00E80AD2">
        <w:rPr>
          <w:color w:val="000000" w:themeColor="text1"/>
        </w:rPr>
        <w:t>sub</w:t>
      </w:r>
      <w:r w:rsidR="00501D8F" w:rsidRPr="00E80AD2">
        <w:rPr>
          <w:color w:val="000000" w:themeColor="text1"/>
        </w:rPr>
        <w:t>groups</w:t>
      </w:r>
      <w:r w:rsidR="00CC0C37" w:rsidRPr="00E80AD2">
        <w:rPr>
          <w:color w:val="000000" w:themeColor="text1"/>
        </w:rPr>
        <w:t xml:space="preserve">. </w:t>
      </w:r>
      <w:r w:rsidR="00C51388" w:rsidRPr="00E80AD2">
        <w:rPr>
          <w:color w:val="000000" w:themeColor="text1"/>
        </w:rPr>
        <w:t>A</w:t>
      </w:r>
      <w:r w:rsidR="008D7345" w:rsidRPr="00E80AD2">
        <w:rPr>
          <w:color w:val="000000" w:themeColor="text1"/>
        </w:rPr>
        <w:t xml:space="preserve">nalysis of data </w:t>
      </w:r>
      <w:r w:rsidR="006F5F7B" w:rsidRPr="00E80AD2">
        <w:rPr>
          <w:color w:val="000000" w:themeColor="text1"/>
        </w:rPr>
        <w:t xml:space="preserve">from </w:t>
      </w:r>
      <w:r w:rsidR="008D7345" w:rsidRPr="00E80AD2">
        <w:rPr>
          <w:color w:val="000000" w:themeColor="text1"/>
        </w:rPr>
        <w:t>a</w:t>
      </w:r>
      <w:r w:rsidR="00DC5DE0" w:rsidRPr="00E80AD2">
        <w:rPr>
          <w:color w:val="000000" w:themeColor="text1"/>
        </w:rPr>
        <w:t xml:space="preserve">n </w:t>
      </w:r>
      <w:r w:rsidR="008D7345" w:rsidRPr="00E80AD2">
        <w:rPr>
          <w:color w:val="000000" w:themeColor="text1"/>
        </w:rPr>
        <w:t>online survey</w:t>
      </w:r>
      <w:r w:rsidR="00042C75" w:rsidRPr="00E80AD2">
        <w:rPr>
          <w:color w:val="000000" w:themeColor="text1"/>
        </w:rPr>
        <w:t xml:space="preserve"> undertaken by the UK IBD Registry</w:t>
      </w:r>
      <w:r w:rsidR="00807466" w:rsidRPr="00E80AD2">
        <w:rPr>
          <w:color w:val="000000" w:themeColor="text1"/>
        </w:rPr>
        <w:t xml:space="preserve"> </w:t>
      </w:r>
      <w:r w:rsidR="00042C75" w:rsidRPr="00E80AD2">
        <w:rPr>
          <w:color w:val="000000" w:themeColor="text1"/>
        </w:rPr>
        <w:t xml:space="preserve">provided a unique </w:t>
      </w:r>
      <w:r w:rsidR="008D7345" w:rsidRPr="00E80AD2">
        <w:rPr>
          <w:color w:val="000000" w:themeColor="text1"/>
        </w:rPr>
        <w:t xml:space="preserve">opportunity to </w:t>
      </w:r>
      <w:r w:rsidR="00CC0C37" w:rsidRPr="00E80AD2">
        <w:rPr>
          <w:color w:val="000000" w:themeColor="text1"/>
        </w:rPr>
        <w:t>investigate</w:t>
      </w:r>
      <w:r w:rsidR="00C51388" w:rsidRPr="00E80AD2">
        <w:rPr>
          <w:color w:val="000000" w:themeColor="text1"/>
        </w:rPr>
        <w:t xml:space="preserve"> previously unreported</w:t>
      </w:r>
      <w:r w:rsidR="00CC0C37" w:rsidRPr="00E80AD2">
        <w:rPr>
          <w:color w:val="000000" w:themeColor="text1"/>
        </w:rPr>
        <w:t xml:space="preserve"> </w:t>
      </w:r>
      <w:r w:rsidR="005A16B4" w:rsidRPr="00E80AD2">
        <w:rPr>
          <w:color w:val="000000" w:themeColor="text1"/>
        </w:rPr>
        <w:t>properties</w:t>
      </w:r>
      <w:r w:rsidR="00CC0C37" w:rsidRPr="00E80AD2">
        <w:rPr>
          <w:color w:val="000000" w:themeColor="text1"/>
        </w:rPr>
        <w:t xml:space="preserve"> of IBD-Control using a</w:t>
      </w:r>
      <w:r w:rsidR="00DC5DE0" w:rsidRPr="00E80AD2">
        <w:rPr>
          <w:color w:val="000000" w:themeColor="text1"/>
        </w:rPr>
        <w:t xml:space="preserve"> very large, nationwide</w:t>
      </w:r>
      <w:r w:rsidR="00CC0C37" w:rsidRPr="00E80AD2">
        <w:rPr>
          <w:color w:val="000000" w:themeColor="text1"/>
        </w:rPr>
        <w:t xml:space="preserve"> </w:t>
      </w:r>
      <w:r w:rsidR="006F5F7B" w:rsidRPr="00E80AD2">
        <w:rPr>
          <w:color w:val="000000" w:themeColor="text1"/>
        </w:rPr>
        <w:t>sample.</w:t>
      </w:r>
    </w:p>
    <w:p w14:paraId="1D40131C" w14:textId="13981CA1" w:rsidR="00E510CF" w:rsidRPr="000D346F" w:rsidRDefault="0011544B" w:rsidP="00FB7367">
      <w:pPr>
        <w:jc w:val="both"/>
        <w:rPr>
          <w:color w:val="000000" w:themeColor="text1"/>
          <w:sz w:val="24"/>
          <w:szCs w:val="24"/>
        </w:rPr>
      </w:pPr>
      <w:r w:rsidRPr="000D346F">
        <w:rPr>
          <w:b/>
          <w:bCs/>
          <w:color w:val="000000" w:themeColor="text1"/>
          <w:sz w:val="24"/>
          <w:szCs w:val="24"/>
        </w:rPr>
        <w:t xml:space="preserve">Materials and </w:t>
      </w:r>
      <w:r w:rsidR="00E510CF" w:rsidRPr="000D346F">
        <w:rPr>
          <w:b/>
          <w:bCs/>
          <w:color w:val="000000" w:themeColor="text1"/>
          <w:sz w:val="24"/>
          <w:szCs w:val="24"/>
        </w:rPr>
        <w:t>Methods</w:t>
      </w:r>
    </w:p>
    <w:p w14:paraId="25E4A2D4" w14:textId="5D9669EC" w:rsidR="00C97180" w:rsidRDefault="00B64B68" w:rsidP="00C97180">
      <w:pPr>
        <w:rPr>
          <w:b/>
          <w:bCs/>
          <w:color w:val="000000" w:themeColor="text1"/>
        </w:rPr>
      </w:pPr>
      <w:r>
        <w:rPr>
          <w:b/>
          <w:bCs/>
          <w:color w:val="000000" w:themeColor="text1"/>
        </w:rPr>
        <w:t>D</w:t>
      </w:r>
      <w:r w:rsidR="00801DBF" w:rsidRPr="00C841A3">
        <w:rPr>
          <w:b/>
          <w:bCs/>
          <w:color w:val="000000" w:themeColor="text1"/>
        </w:rPr>
        <w:t>ata</w:t>
      </w:r>
      <w:r>
        <w:rPr>
          <w:b/>
          <w:bCs/>
          <w:color w:val="000000" w:themeColor="text1"/>
        </w:rPr>
        <w:t xml:space="preserve"> Source</w:t>
      </w:r>
      <w:r w:rsidR="00801DBF" w:rsidRPr="00C841A3">
        <w:rPr>
          <w:b/>
          <w:bCs/>
          <w:color w:val="000000" w:themeColor="text1"/>
        </w:rPr>
        <w:t>: The</w:t>
      </w:r>
      <w:r w:rsidR="00D445A5">
        <w:rPr>
          <w:b/>
          <w:bCs/>
          <w:color w:val="000000" w:themeColor="text1"/>
        </w:rPr>
        <w:t xml:space="preserve"> </w:t>
      </w:r>
      <w:r w:rsidR="00C86B34" w:rsidRPr="00C841A3">
        <w:rPr>
          <w:b/>
          <w:bCs/>
          <w:color w:val="000000" w:themeColor="text1"/>
        </w:rPr>
        <w:t>IBD Registry COVID-19 follow-up survey</w:t>
      </w:r>
    </w:p>
    <w:p w14:paraId="448F7B26" w14:textId="05CE9D31" w:rsidR="003E680A" w:rsidRPr="002D7BC4" w:rsidRDefault="00C86B34" w:rsidP="00C97180">
      <w:pPr>
        <w:jc w:val="both"/>
        <w:rPr>
          <w:b/>
          <w:bCs/>
          <w:color w:val="000000" w:themeColor="text1"/>
        </w:rPr>
      </w:pPr>
      <w:r w:rsidRPr="00804A81">
        <w:rPr>
          <w:color w:val="000000" w:themeColor="text1"/>
        </w:rPr>
        <w:t>During the early</w:t>
      </w:r>
      <w:r w:rsidR="005A5995" w:rsidRPr="00804A81">
        <w:rPr>
          <w:color w:val="000000" w:themeColor="text1"/>
        </w:rPr>
        <w:t xml:space="preserve"> phase of the COVID-19</w:t>
      </w:r>
      <w:r w:rsidRPr="00804A81">
        <w:rPr>
          <w:color w:val="000000" w:themeColor="text1"/>
        </w:rPr>
        <w:t xml:space="preserve"> pandemic</w:t>
      </w:r>
      <w:r w:rsidR="005A5995" w:rsidRPr="00804A81">
        <w:rPr>
          <w:color w:val="000000" w:themeColor="text1"/>
        </w:rPr>
        <w:t>,</w:t>
      </w:r>
      <w:r w:rsidRPr="00804A81">
        <w:rPr>
          <w:color w:val="000000" w:themeColor="text1"/>
        </w:rPr>
        <w:t xml:space="preserve"> the UK IBD Registry</w:t>
      </w:r>
      <w:r w:rsidR="003E680A" w:rsidRPr="00804A81">
        <w:rPr>
          <w:color w:val="000000" w:themeColor="text1"/>
        </w:rPr>
        <w:t xml:space="preserve"> and British Society of Gastroenterology</w:t>
      </w:r>
      <w:r w:rsidRPr="00804A81">
        <w:rPr>
          <w:color w:val="000000" w:themeColor="text1"/>
        </w:rPr>
        <w:t xml:space="preserve"> </w:t>
      </w:r>
      <w:r w:rsidR="003E680A" w:rsidRPr="00804A81">
        <w:rPr>
          <w:color w:val="000000" w:themeColor="text1"/>
        </w:rPr>
        <w:t xml:space="preserve">developed and </w:t>
      </w:r>
      <w:r w:rsidRPr="00804A81">
        <w:rPr>
          <w:color w:val="000000" w:themeColor="text1"/>
        </w:rPr>
        <w:t>launch</w:t>
      </w:r>
      <w:r w:rsidR="005A5995" w:rsidRPr="00804A81">
        <w:rPr>
          <w:color w:val="000000" w:themeColor="text1"/>
        </w:rPr>
        <w:t>ed</w:t>
      </w:r>
      <w:r w:rsidRPr="00804A81">
        <w:rPr>
          <w:color w:val="000000" w:themeColor="text1"/>
        </w:rPr>
        <w:t xml:space="preserve"> an online self-assessment tool to </w:t>
      </w:r>
      <w:r w:rsidR="003E680A" w:rsidRPr="00804A81">
        <w:rPr>
          <w:color w:val="000000" w:themeColor="text1"/>
        </w:rPr>
        <w:t>allow</w:t>
      </w:r>
      <w:r w:rsidRPr="00804A81">
        <w:rPr>
          <w:color w:val="000000" w:themeColor="text1"/>
        </w:rPr>
        <w:t xml:space="preserve"> patients </w:t>
      </w:r>
      <w:r w:rsidR="003E680A" w:rsidRPr="00804A81">
        <w:rPr>
          <w:color w:val="000000" w:themeColor="text1"/>
        </w:rPr>
        <w:t>to determine</w:t>
      </w:r>
      <w:r w:rsidR="005A5995" w:rsidRPr="00804A81">
        <w:rPr>
          <w:color w:val="000000" w:themeColor="text1"/>
        </w:rPr>
        <w:t xml:space="preserve"> </w:t>
      </w:r>
      <w:r w:rsidRPr="00804A81">
        <w:rPr>
          <w:color w:val="000000" w:themeColor="text1"/>
        </w:rPr>
        <w:lastRenderedPageBreak/>
        <w:t>risk level and</w:t>
      </w:r>
      <w:r w:rsidR="003E680A" w:rsidRPr="00804A81">
        <w:rPr>
          <w:color w:val="000000" w:themeColor="text1"/>
        </w:rPr>
        <w:t xml:space="preserve"> support </w:t>
      </w:r>
      <w:r w:rsidRPr="00804A81">
        <w:rPr>
          <w:color w:val="000000" w:themeColor="text1"/>
        </w:rPr>
        <w:t>decisions about “shielding”</w:t>
      </w:r>
      <w:r w:rsidR="003E680A" w:rsidRPr="00804A81">
        <w:rPr>
          <w:color w:val="000000" w:themeColor="text1"/>
        </w:rPr>
        <w:t>.</w:t>
      </w:r>
      <w:r w:rsidR="00D670F5">
        <w:rPr>
          <w:color w:val="000000" w:themeColor="text1"/>
        </w:rPr>
        <w:fldChar w:fldCharType="begin"/>
      </w:r>
      <w:r w:rsidR="00D670F5">
        <w:rPr>
          <w:color w:val="000000" w:themeColor="text1"/>
        </w:rPr>
        <w:instrText xml:space="preserve"> ADDIN ZOTERO_ITEM CSL_CITATION {"citationID":"po6y9QiX","properties":{"formattedCitation":"\\super 20\\nosupersub{}","plainCitation":"20","noteIndex":0},"citationItems":[{"id":2092,"uris":["http://zotero.org/users/2016235/items/DPXX7DK5"],"itemData":{"id":2092,"type":"webpage","container-title":"IBD Registry","language":"en-GB","title":"Story of the COVID-19 IBD Risk Tool","URL":"https://ibdregistry.org.uk/story-of-the-covid-19-ibd-risk-tool/","accessed":{"date-parts":[["2021",10,23]]}}}],"schema":"https://github.com/citation-style-language/schema/raw/master/csl-citation.json"} </w:instrText>
      </w:r>
      <w:r w:rsidR="00D670F5">
        <w:rPr>
          <w:color w:val="000000" w:themeColor="text1"/>
        </w:rPr>
        <w:fldChar w:fldCharType="separate"/>
      </w:r>
      <w:r w:rsidR="00D670F5" w:rsidRPr="00D670F5">
        <w:rPr>
          <w:rFonts w:ascii="Calibri" w:cs="Calibri"/>
          <w:color w:val="000000"/>
          <w:vertAlign w:val="superscript"/>
        </w:rPr>
        <w:t>20</w:t>
      </w:r>
      <w:r w:rsidR="00D670F5">
        <w:rPr>
          <w:color w:val="000000" w:themeColor="text1"/>
        </w:rPr>
        <w:fldChar w:fldCharType="end"/>
      </w:r>
      <w:r w:rsidR="003E680A" w:rsidRPr="00804A81">
        <w:rPr>
          <w:color w:val="000000" w:themeColor="text1"/>
        </w:rPr>
        <w:t xml:space="preserve">  Th</w:t>
      </w:r>
      <w:r w:rsidR="004F4040" w:rsidRPr="00804A81">
        <w:rPr>
          <w:color w:val="000000" w:themeColor="text1"/>
        </w:rPr>
        <w:t>is</w:t>
      </w:r>
      <w:r w:rsidR="003E680A" w:rsidRPr="00804A81">
        <w:rPr>
          <w:color w:val="000000" w:themeColor="text1"/>
        </w:rPr>
        <w:t xml:space="preserve"> tool used </w:t>
      </w:r>
      <w:r w:rsidR="00E25D58">
        <w:rPr>
          <w:color w:val="000000" w:themeColor="text1"/>
        </w:rPr>
        <w:t xml:space="preserve">the </w:t>
      </w:r>
      <w:r w:rsidR="003E680A" w:rsidRPr="00804A81">
        <w:rPr>
          <w:color w:val="000000" w:themeColor="text1"/>
        </w:rPr>
        <w:t>Research Electronic Data Capture (REDCap</w:t>
      </w:r>
      <w:r w:rsidR="00390FD5">
        <w:rPr>
          <w:color w:val="000000" w:themeColor="text1"/>
        </w:rPr>
        <w:t>®</w:t>
      </w:r>
      <w:r w:rsidR="003E680A" w:rsidRPr="00804A81">
        <w:rPr>
          <w:color w:val="000000" w:themeColor="text1"/>
        </w:rPr>
        <w:t>), a secure web-based application for building and managing online surveys.</w:t>
      </w:r>
      <w:r w:rsidR="002D7BC4">
        <w:rPr>
          <w:color w:val="000000" w:themeColor="text1"/>
        </w:rPr>
        <w:fldChar w:fldCharType="begin"/>
      </w:r>
      <w:r w:rsidR="00D670F5">
        <w:rPr>
          <w:color w:val="000000" w:themeColor="text1"/>
        </w:rPr>
        <w:instrText xml:space="preserve"> ADDIN ZOTERO_ITEM CSL_CITATION {"citationID":"pCfLGhbf","properties":{"formattedCitation":"\\super 21\\nosupersub{}","plainCitation":"21","noteIndex":0},"citationItems":[{"id":3149,"uris":["http://zotero.org/users/2016235/items/E7I4LGSC"],"itemData":{"id":3149,"type":"webpage","language":"en-US","title":"REDCap","URL":"https://www.project-redcap.org/","accessed":{"date-parts":[["2023",1,24]]}}}],"schema":"https://github.com/citation-style-language/schema/raw/master/csl-citation.json"} </w:instrText>
      </w:r>
      <w:r w:rsidR="002D7BC4">
        <w:rPr>
          <w:color w:val="000000" w:themeColor="text1"/>
        </w:rPr>
        <w:fldChar w:fldCharType="separate"/>
      </w:r>
      <w:r w:rsidR="00D670F5" w:rsidRPr="00D670F5">
        <w:rPr>
          <w:rFonts w:ascii="Calibri" w:cs="Calibri"/>
          <w:color w:val="000000"/>
          <w:vertAlign w:val="superscript"/>
        </w:rPr>
        <w:t>21</w:t>
      </w:r>
      <w:r w:rsidR="002D7BC4">
        <w:rPr>
          <w:color w:val="000000" w:themeColor="text1"/>
        </w:rPr>
        <w:fldChar w:fldCharType="end"/>
      </w:r>
      <w:r w:rsidR="003E680A" w:rsidRPr="00804A81">
        <w:rPr>
          <w:color w:val="000000" w:themeColor="text1"/>
        </w:rPr>
        <w:t xml:space="preserve"> Of </w:t>
      </w:r>
      <w:r w:rsidR="00F876E1">
        <w:rPr>
          <w:color w:val="000000" w:themeColor="text1"/>
        </w:rPr>
        <w:t xml:space="preserve">the </w:t>
      </w:r>
      <w:r w:rsidR="003E680A" w:rsidRPr="00804A81">
        <w:rPr>
          <w:color w:val="000000" w:themeColor="text1"/>
        </w:rPr>
        <w:t>patients who used the tool,</w:t>
      </w:r>
      <w:r w:rsidR="00F876E1">
        <w:rPr>
          <w:color w:val="000000" w:themeColor="text1"/>
        </w:rPr>
        <w:t xml:space="preserve"> </w:t>
      </w:r>
      <w:r w:rsidR="00F876E1" w:rsidRPr="00C841A3">
        <w:rPr>
          <w:color w:val="000000" w:themeColor="text1"/>
        </w:rPr>
        <w:t xml:space="preserve">40,911 </w:t>
      </w:r>
      <w:r w:rsidR="003E680A" w:rsidRPr="00804A81">
        <w:rPr>
          <w:color w:val="000000" w:themeColor="text1"/>
        </w:rPr>
        <w:t xml:space="preserve">provided permission to be contacted for </w:t>
      </w:r>
      <w:r w:rsidR="005A5995" w:rsidRPr="00804A81">
        <w:rPr>
          <w:color w:val="000000" w:themeColor="text1"/>
        </w:rPr>
        <w:t>a follow-up survey</w:t>
      </w:r>
      <w:r w:rsidR="004F4040" w:rsidRPr="00804A81">
        <w:rPr>
          <w:color w:val="000000" w:themeColor="text1"/>
        </w:rPr>
        <w:t xml:space="preserve"> which was hosted on </w:t>
      </w:r>
      <w:r w:rsidR="005A5995" w:rsidRPr="00804A81">
        <w:rPr>
          <w:color w:val="000000" w:themeColor="text1"/>
        </w:rPr>
        <w:t>the same platform</w:t>
      </w:r>
      <w:r w:rsidR="004F4040" w:rsidRPr="00804A81">
        <w:rPr>
          <w:color w:val="000000" w:themeColor="text1"/>
        </w:rPr>
        <w:t>.</w:t>
      </w:r>
      <w:r w:rsidR="005A5995" w:rsidRPr="00804A81">
        <w:rPr>
          <w:color w:val="000000" w:themeColor="text1"/>
        </w:rPr>
        <w:t xml:space="preserve"> </w:t>
      </w:r>
      <w:r w:rsidR="004F4040" w:rsidRPr="00804A81">
        <w:rPr>
          <w:color w:val="000000" w:themeColor="text1"/>
        </w:rPr>
        <w:t>I</w:t>
      </w:r>
      <w:r w:rsidR="005A5995" w:rsidRPr="00804A81">
        <w:rPr>
          <w:color w:val="000000" w:themeColor="text1"/>
        </w:rPr>
        <w:t>nvitations</w:t>
      </w:r>
      <w:r w:rsidR="004F4040" w:rsidRPr="00804A81">
        <w:rPr>
          <w:color w:val="000000" w:themeColor="text1"/>
        </w:rPr>
        <w:t xml:space="preserve"> to participate in the follow-up survey</w:t>
      </w:r>
      <w:r w:rsidR="005A5995" w:rsidRPr="00804A81">
        <w:rPr>
          <w:color w:val="000000" w:themeColor="text1"/>
        </w:rPr>
        <w:t xml:space="preserve"> were sent</w:t>
      </w:r>
      <w:r w:rsidR="002D7BC4">
        <w:rPr>
          <w:color w:val="000000" w:themeColor="text1"/>
        </w:rPr>
        <w:t xml:space="preserve"> out in May 2021</w:t>
      </w:r>
      <w:r w:rsidR="005A5995" w:rsidRPr="00804A81">
        <w:rPr>
          <w:color w:val="000000" w:themeColor="text1"/>
        </w:rPr>
        <w:t xml:space="preserve"> via e-mail or SMS depending on </w:t>
      </w:r>
      <w:r w:rsidR="004F4040" w:rsidRPr="00804A81">
        <w:rPr>
          <w:color w:val="000000" w:themeColor="text1"/>
        </w:rPr>
        <w:t>preferences indicated when completing the tool.</w:t>
      </w:r>
      <w:r w:rsidR="005A2188">
        <w:rPr>
          <w:color w:val="000000" w:themeColor="text1"/>
        </w:rPr>
        <w:t xml:space="preserve">  Reminders were sent by preferred contact method in mid-June 2021.</w:t>
      </w:r>
      <w:r w:rsidR="004F4040" w:rsidRPr="00804A81">
        <w:rPr>
          <w:color w:val="000000" w:themeColor="text1"/>
        </w:rPr>
        <w:t xml:space="preserve">  The survey remained open to complet</w:t>
      </w:r>
      <w:r w:rsidR="002D7BC4">
        <w:rPr>
          <w:color w:val="000000" w:themeColor="text1"/>
        </w:rPr>
        <w:t>ion</w:t>
      </w:r>
      <w:r w:rsidR="004F4040" w:rsidRPr="00804A81">
        <w:rPr>
          <w:color w:val="000000" w:themeColor="text1"/>
        </w:rPr>
        <w:t xml:space="preserve"> until the end of the study period</w:t>
      </w:r>
      <w:r w:rsidR="002D7BC4">
        <w:rPr>
          <w:color w:val="000000" w:themeColor="text1"/>
        </w:rPr>
        <w:t xml:space="preserve"> </w:t>
      </w:r>
      <w:r w:rsidR="002D7BC4" w:rsidRPr="002D7BC4">
        <w:rPr>
          <w:color w:val="000000" w:themeColor="text1"/>
        </w:rPr>
        <w:t>(</w:t>
      </w:r>
      <w:r w:rsidR="002D7BC4">
        <w:rPr>
          <w:color w:val="000000" w:themeColor="text1"/>
        </w:rPr>
        <w:t>November</w:t>
      </w:r>
      <w:r w:rsidR="002D7BC4" w:rsidRPr="002D7BC4">
        <w:rPr>
          <w:color w:val="000000" w:themeColor="text1"/>
        </w:rPr>
        <w:t xml:space="preserve"> 2021)</w:t>
      </w:r>
      <w:r w:rsidR="00B80ACB" w:rsidRPr="002D7BC4">
        <w:rPr>
          <w:color w:val="000000" w:themeColor="text1"/>
        </w:rPr>
        <w:t>.</w:t>
      </w:r>
    </w:p>
    <w:p w14:paraId="70C0A4AE" w14:textId="478C862C" w:rsidR="00E64B47" w:rsidRDefault="004E3F56" w:rsidP="00F73769">
      <w:pPr>
        <w:spacing w:after="0" w:line="240" w:lineRule="auto"/>
        <w:jc w:val="both"/>
        <w:rPr>
          <w:color w:val="000000" w:themeColor="text1"/>
        </w:rPr>
      </w:pPr>
      <w:r w:rsidRPr="005A2188">
        <w:rPr>
          <w:color w:val="000000" w:themeColor="text1"/>
        </w:rPr>
        <w:t xml:space="preserve">In addition </w:t>
      </w:r>
      <w:r w:rsidRPr="00F73769">
        <w:rPr>
          <w:color w:val="000000" w:themeColor="text1"/>
        </w:rPr>
        <w:t xml:space="preserve">to demographics (age, gender, </w:t>
      </w:r>
      <w:r w:rsidR="000B59AA" w:rsidRPr="00F73769">
        <w:rPr>
          <w:color w:val="000000" w:themeColor="text1"/>
        </w:rPr>
        <w:t>ethnicity</w:t>
      </w:r>
      <w:r w:rsidR="00161EDA" w:rsidRPr="00F73769">
        <w:rPr>
          <w:color w:val="000000" w:themeColor="text1"/>
        </w:rPr>
        <w:t>, place of residence</w:t>
      </w:r>
      <w:r w:rsidRPr="00F73769">
        <w:rPr>
          <w:color w:val="000000" w:themeColor="text1"/>
        </w:rPr>
        <w:t>), self-reported IBD diagnosis</w:t>
      </w:r>
      <w:r w:rsidR="002D02B3" w:rsidRPr="00F73769">
        <w:rPr>
          <w:color w:val="000000" w:themeColor="text1"/>
        </w:rPr>
        <w:t xml:space="preserve"> (CD, UC, IBD-U)</w:t>
      </w:r>
      <w:r w:rsidRPr="00F73769">
        <w:rPr>
          <w:color w:val="000000" w:themeColor="text1"/>
        </w:rPr>
        <w:t xml:space="preserve">, selected </w:t>
      </w:r>
      <w:r w:rsidR="000B59AA" w:rsidRPr="00F73769">
        <w:rPr>
          <w:color w:val="000000" w:themeColor="text1"/>
        </w:rPr>
        <w:t>comorbidities</w:t>
      </w:r>
      <w:r w:rsidRPr="00F73769">
        <w:rPr>
          <w:color w:val="000000" w:themeColor="text1"/>
        </w:rPr>
        <w:t xml:space="preserve"> </w:t>
      </w:r>
      <w:r w:rsidR="00F73769" w:rsidRPr="00F73769">
        <w:rPr>
          <w:color w:val="000000" w:themeColor="text1"/>
        </w:rPr>
        <w:t>(</w:t>
      </w:r>
      <w:r w:rsidR="005A2188">
        <w:rPr>
          <w:color w:val="000000" w:themeColor="text1"/>
        </w:rPr>
        <w:t>in five categories</w:t>
      </w:r>
      <w:r w:rsidR="00F22CBC">
        <w:rPr>
          <w:color w:val="000000" w:themeColor="text1"/>
        </w:rPr>
        <w:t>:</w:t>
      </w:r>
      <w:r w:rsidR="005A2188">
        <w:rPr>
          <w:color w:val="000000" w:themeColor="text1"/>
        </w:rPr>
        <w:t xml:space="preserve"> </w:t>
      </w:r>
      <w:r w:rsidR="00F73769">
        <w:rPr>
          <w:rFonts w:ascii="Calibri" w:eastAsia="Times New Roman" w:hAnsi="Calibri" w:cs="Calibri"/>
          <w:color w:val="000000"/>
          <w:lang w:eastAsia="en-GB"/>
        </w:rPr>
        <w:t>h</w:t>
      </w:r>
      <w:r w:rsidR="00F73769" w:rsidRPr="00F73769">
        <w:rPr>
          <w:rFonts w:ascii="Calibri" w:eastAsia="Times New Roman" w:hAnsi="Calibri" w:cs="Calibri"/>
          <w:color w:val="000000"/>
          <w:lang w:eastAsia="en-GB"/>
        </w:rPr>
        <w:t>ypertension</w:t>
      </w:r>
      <w:r w:rsidR="005A2188">
        <w:rPr>
          <w:rFonts w:ascii="Calibri" w:eastAsia="Times New Roman" w:hAnsi="Calibri" w:cs="Calibri"/>
          <w:color w:val="000000"/>
          <w:lang w:eastAsia="en-GB"/>
        </w:rPr>
        <w:t>;</w:t>
      </w:r>
      <w:r w:rsidR="00F73769" w:rsidRPr="00F73769">
        <w:rPr>
          <w:rFonts w:ascii="Calibri" w:eastAsia="Times New Roman" w:hAnsi="Calibri" w:cs="Calibri"/>
          <w:color w:val="000000"/>
          <w:lang w:eastAsia="en-GB"/>
        </w:rPr>
        <w:t xml:space="preserve"> respiratory or chest disease</w:t>
      </w:r>
      <w:r w:rsidR="005A2188">
        <w:rPr>
          <w:rFonts w:ascii="Calibri" w:eastAsia="Times New Roman" w:hAnsi="Calibri" w:cs="Calibri"/>
          <w:color w:val="000000"/>
          <w:lang w:eastAsia="en-GB"/>
        </w:rPr>
        <w:t>;</w:t>
      </w:r>
      <w:r w:rsidR="00F73769" w:rsidRPr="00F73769">
        <w:rPr>
          <w:rFonts w:ascii="Calibri" w:eastAsia="Times New Roman" w:hAnsi="Calibri" w:cs="Calibri"/>
          <w:color w:val="000000"/>
          <w:lang w:eastAsia="en-GB"/>
        </w:rPr>
        <w:t xml:space="preserve"> angina, heart attack</w:t>
      </w:r>
      <w:r w:rsidR="005A2188">
        <w:rPr>
          <w:rFonts w:ascii="Calibri" w:eastAsia="Times New Roman" w:hAnsi="Calibri" w:cs="Calibri"/>
          <w:color w:val="000000"/>
          <w:lang w:eastAsia="en-GB"/>
        </w:rPr>
        <w:t xml:space="preserve"> or</w:t>
      </w:r>
      <w:r w:rsidR="00F73769" w:rsidRPr="00F73769">
        <w:rPr>
          <w:rFonts w:ascii="Calibri" w:eastAsia="Times New Roman" w:hAnsi="Calibri" w:cs="Calibri"/>
          <w:color w:val="000000"/>
          <w:lang w:eastAsia="en-GB"/>
        </w:rPr>
        <w:t xml:space="preserve"> stroke</w:t>
      </w:r>
      <w:r w:rsidR="005A2188">
        <w:rPr>
          <w:rFonts w:ascii="Calibri" w:eastAsia="Times New Roman" w:hAnsi="Calibri" w:cs="Calibri"/>
          <w:color w:val="000000"/>
          <w:lang w:eastAsia="en-GB"/>
        </w:rPr>
        <w:t>;</w:t>
      </w:r>
      <w:r w:rsidR="00F73769" w:rsidRPr="00F73769">
        <w:rPr>
          <w:rFonts w:ascii="Calibri" w:eastAsia="Times New Roman" w:hAnsi="Calibri" w:cs="Calibri"/>
          <w:color w:val="000000"/>
          <w:lang w:eastAsia="en-GB"/>
        </w:rPr>
        <w:t xml:space="preserve"> heart failure</w:t>
      </w:r>
      <w:r w:rsidR="005A2188">
        <w:rPr>
          <w:rFonts w:ascii="Calibri" w:eastAsia="Times New Roman" w:hAnsi="Calibri" w:cs="Calibri"/>
          <w:color w:val="000000"/>
          <w:lang w:eastAsia="en-GB"/>
        </w:rPr>
        <w:t>;</w:t>
      </w:r>
      <w:r w:rsidR="00F73769" w:rsidRPr="00F73769">
        <w:rPr>
          <w:rFonts w:ascii="Calibri" w:eastAsia="Times New Roman" w:hAnsi="Calibri" w:cs="Calibri"/>
          <w:color w:val="000000"/>
          <w:lang w:eastAsia="en-GB"/>
        </w:rPr>
        <w:t xml:space="preserve"> </w:t>
      </w:r>
      <w:r w:rsidR="005A2188">
        <w:rPr>
          <w:rFonts w:ascii="Calibri" w:eastAsia="Times New Roman" w:hAnsi="Calibri" w:cs="Calibri"/>
          <w:color w:val="000000"/>
          <w:lang w:eastAsia="en-GB"/>
        </w:rPr>
        <w:t>and</w:t>
      </w:r>
      <w:r w:rsidR="00F73769" w:rsidRPr="00F73769">
        <w:rPr>
          <w:rFonts w:ascii="Calibri" w:eastAsia="Times New Roman" w:hAnsi="Calibri" w:cs="Calibri"/>
          <w:color w:val="000000"/>
          <w:lang w:eastAsia="en-GB"/>
        </w:rPr>
        <w:t xml:space="preserve"> heart valve disease)</w:t>
      </w:r>
      <w:r w:rsidR="00F73769">
        <w:rPr>
          <w:color w:val="000000" w:themeColor="text1"/>
        </w:rPr>
        <w:t xml:space="preserve"> </w:t>
      </w:r>
      <w:r w:rsidRPr="00804A81">
        <w:rPr>
          <w:color w:val="000000" w:themeColor="text1"/>
        </w:rPr>
        <w:t xml:space="preserve">and current drug treatments, the survey included items relating to </w:t>
      </w:r>
      <w:r w:rsidR="000B59AA" w:rsidRPr="00804A81">
        <w:rPr>
          <w:color w:val="000000" w:themeColor="text1"/>
        </w:rPr>
        <w:t>exposure to COVID-19</w:t>
      </w:r>
      <w:r w:rsidR="002D02B3" w:rsidRPr="00804A81">
        <w:rPr>
          <w:color w:val="000000" w:themeColor="text1"/>
        </w:rPr>
        <w:t>;</w:t>
      </w:r>
      <w:r w:rsidRPr="00804A81">
        <w:rPr>
          <w:color w:val="000000" w:themeColor="text1"/>
        </w:rPr>
        <w:t xml:space="preserve"> </w:t>
      </w:r>
      <w:r w:rsidR="000B59AA" w:rsidRPr="00804A81">
        <w:rPr>
          <w:color w:val="000000" w:themeColor="text1"/>
        </w:rPr>
        <w:t>symptoms, testing and treatment</w:t>
      </w:r>
      <w:r w:rsidR="002D02B3" w:rsidRPr="00804A81">
        <w:rPr>
          <w:color w:val="000000" w:themeColor="text1"/>
        </w:rPr>
        <w:t xml:space="preserve"> for COVID-19;</w:t>
      </w:r>
      <w:r w:rsidR="000B59AA" w:rsidRPr="00804A81">
        <w:rPr>
          <w:color w:val="000000" w:themeColor="text1"/>
        </w:rPr>
        <w:t xml:space="preserve"> vaccination status</w:t>
      </w:r>
      <w:r w:rsidR="002D02B3" w:rsidRPr="00804A81">
        <w:rPr>
          <w:color w:val="000000" w:themeColor="text1"/>
        </w:rPr>
        <w:t>;</w:t>
      </w:r>
      <w:r w:rsidR="001E70D1" w:rsidRPr="00804A81">
        <w:rPr>
          <w:color w:val="000000" w:themeColor="text1"/>
        </w:rPr>
        <w:t xml:space="preserve"> and</w:t>
      </w:r>
      <w:r w:rsidRPr="00804A81">
        <w:rPr>
          <w:color w:val="000000" w:themeColor="text1"/>
        </w:rPr>
        <w:t xml:space="preserve"> a number of</w:t>
      </w:r>
      <w:r w:rsidR="001E70D1" w:rsidRPr="00804A81">
        <w:rPr>
          <w:color w:val="000000" w:themeColor="text1"/>
        </w:rPr>
        <w:t xml:space="preserve"> health</w:t>
      </w:r>
      <w:r w:rsidRPr="00804A81">
        <w:rPr>
          <w:color w:val="000000" w:themeColor="text1"/>
        </w:rPr>
        <w:t>-</w:t>
      </w:r>
      <w:r w:rsidR="001E70D1" w:rsidRPr="00804A81">
        <w:rPr>
          <w:color w:val="000000" w:themeColor="text1"/>
        </w:rPr>
        <w:t>related outcomes</w:t>
      </w:r>
      <w:r w:rsidR="002D6C05">
        <w:rPr>
          <w:color w:val="000000" w:themeColor="text1"/>
        </w:rPr>
        <w:t>. The PROMs</w:t>
      </w:r>
      <w:r w:rsidR="001E70D1" w:rsidRPr="00804A81">
        <w:rPr>
          <w:color w:val="000000" w:themeColor="text1"/>
        </w:rPr>
        <w:t xml:space="preserve"> includ</w:t>
      </w:r>
      <w:r w:rsidR="002D6C05">
        <w:rPr>
          <w:color w:val="000000" w:themeColor="text1"/>
        </w:rPr>
        <w:t>ed</w:t>
      </w:r>
      <w:r w:rsidRPr="00804A81">
        <w:rPr>
          <w:color w:val="000000" w:themeColor="text1"/>
        </w:rPr>
        <w:t xml:space="preserve"> the IBD-Control Questionnaire</w:t>
      </w:r>
      <w:r w:rsidR="001B71BD">
        <w:rPr>
          <w:color w:val="000000" w:themeColor="text1"/>
        </w:rPr>
        <w:fldChar w:fldCharType="begin"/>
      </w:r>
      <w:r w:rsidR="001B71BD">
        <w:rPr>
          <w:color w:val="000000" w:themeColor="text1"/>
        </w:rPr>
        <w:instrText xml:space="preserve"> ADDIN ZOTERO_ITEM CSL_CITATION {"citationID":"mXeVBgqq","properties":{"formattedCitation":"\\super 8\\nosupersub{}","plainCitation":"8","noteIndex":0},"citationItems":[{"id":154,"uris":["http://zotero.org/users/2016235/items/6SBF99P6"],"itemData":{"id":154,"type":"article-journal","abstract":"INTRODUCTION: The use of patient reported outcome measures to support routine inflammatory bowel disease (IBD) care is not widespread and suggests that existing questionnaires lack relevance to day-to-day decisions or are too cumbersome to administer. We developed a simple, generic tool for capturing disease control from the patient's perspective to address these barriers.\nMETHODS: Development based on literature review, patient focus groups/interviews and a steering group, defining a limited set of generic questions. The 'IBD-Control' questionnaire comprises 13 items plus a visual analogue scale (VAS) (0-100). Prospective validation involved baseline completion of IBD-Control, quality of life (QoL) questionnaire (UK-IBD-Q), EuroQol (EQ-5D), Hospital Anxiety and Depression Score; and clinician assessment (blinded to questionnaire; recording Harvey-Bradshaw Index or Simple Clinical Colitis Activity Index; Global Clinician Rating; treatment outcome).\nRESULTS: 299 patients returned baseline surveys (Crohn's disease, n=160; ulcerative colitis, n=139) and 138 attended for repeat visits. Completion time (mean; SD): 1 min 15 s; 25 s; Internal consistency: Cronbach's α for all 13 items (0.85); for subgroup of eight questions ('IBD-Control-8'; 0.86). Strong correlation between IBD-Control-8 and IBD-Control-VAS (r=0.81). Test-retest reliability (2 week repeat): intra-class correlation=0.97 for IBD-Control-8 and 0.96 for IBD-Control-VAS. Construct validity: Moderate-to-strong correlations between IBD-Control-8 and IBD-Control-VAS versus activity indices, UK-IBD-Q and EQ-5D (utility) with r values 0.52-0.86. Discriminant validity (mean instrument scores for remission, mild, moderate or severe): p&lt;0.001 (analysis of variance (ANOVA)). Sensitivity to change: Effect sizes: 0.76-1.44.\nCONCLUSIONS: The IBD-Control is a rapid, reliable, valid and sensitive instrument for measuring overall disease control from the patient's perspective. Unlike existing patient reported outcome measures, its simplicity, ease-of-use and generic applicability make it a candidate for supporting routine care.","container-title":"Gut","DOI":"10.1136/gutjnl-2013-305600","ISSN":"1468-3288","issue":"7","journalAbbreviation":"Gut","language":"eng","note":"PMID: 24107590 \nPMCID: PMC4078750","page":"1092-1102","source":"NCBI PubMed","title":"Development and validation of a rapid, generic measure of disease control from the patient's perspective: the IBD-control questionnaire","title-short":"Development and validation of a rapid, generic measure of disease control from the patient's perspective","volume":"63","author":[{"family":"Bodger","given":"Keith"},{"family":"Ormerod","given":"Clare"},{"family":"Shackcloth","given":"Daniela"},{"family":"Harrison","given":"Melanie"},{"literal":"IBD Control Collaborative"}],"issued":{"date-parts":[["2014",7]]}}}],"schema":"https://github.com/citation-style-language/schema/raw/master/csl-citation.json"} </w:instrText>
      </w:r>
      <w:r w:rsidR="001B71BD">
        <w:rPr>
          <w:color w:val="000000" w:themeColor="text1"/>
        </w:rPr>
        <w:fldChar w:fldCharType="separate"/>
      </w:r>
      <w:r w:rsidR="001B71BD" w:rsidRPr="001B71BD">
        <w:rPr>
          <w:rFonts w:ascii="Calibri" w:cs="Calibri"/>
          <w:color w:val="000000"/>
          <w:vertAlign w:val="superscript"/>
        </w:rPr>
        <w:t>8</w:t>
      </w:r>
      <w:r w:rsidR="001B71BD">
        <w:rPr>
          <w:color w:val="000000" w:themeColor="text1"/>
        </w:rPr>
        <w:fldChar w:fldCharType="end"/>
      </w:r>
      <w:r w:rsidR="002D6C05">
        <w:rPr>
          <w:color w:val="000000" w:themeColor="text1"/>
        </w:rPr>
        <w:t xml:space="preserve"> </w:t>
      </w:r>
      <w:r w:rsidR="00D01E16" w:rsidRPr="00804A81">
        <w:rPr>
          <w:color w:val="000000" w:themeColor="text1"/>
        </w:rPr>
        <w:t xml:space="preserve">and symptom-based </w:t>
      </w:r>
      <w:r w:rsidR="005741FE">
        <w:rPr>
          <w:color w:val="000000" w:themeColor="text1"/>
        </w:rPr>
        <w:t>scores.</w:t>
      </w:r>
      <w:r w:rsidR="001B71BD">
        <w:rPr>
          <w:color w:val="000000" w:themeColor="text1"/>
        </w:rPr>
        <w:fldChar w:fldCharType="begin"/>
      </w:r>
      <w:r w:rsidR="001B71BD">
        <w:rPr>
          <w:color w:val="000000" w:themeColor="text1"/>
        </w:rPr>
        <w:instrText xml:space="preserve"> ADDIN ZOTERO_ITEM CSL_CITATION {"citationID":"pezdwY0F","properties":{"formattedCitation":"\\super 3,4\\nosupersub{}","plainCitation":"3,4","noteIndex":0},"citationItems":[{"id":2362,"uris":["http://zotero.org/users/2016235/items/DV8VK7XW"],"itemData":{"id":2362,"type":"article-journal","abstract":"BACKGROUND: Patient-reported outcomes (PROs) have an increasingly important role in the evaluation of new therapies for inflammatory bowel disease. The US Food and Drug Administration has issued formal guidance to describe the role of PRO instruments in evaluation of claims for product labelling. However, no validated PRO exists for ulcerative colitis.\nAIM: To investigate whether the PROs from the Mayo Clinic Score (MCS) for UC can be modified, to develop an interim PRO for use in clinical trials, alone or in combination with endoscopy.\nMETHODS: Data from an induction trial of a mesalazine (mesalamine) formulation were used to compare effect sizes between mesalazine and placebo for PRO items (stool frequency and rectal bleeding) alone and in combination with endoscopy. The operating properties of the PRO were validated using data from a phase 2 trial of MLN02, a humanised antibody to the α4β7 integrin in patients with UC.\nRESULTS: A two-item PRO (PRO2) consisting of rectal bleeding = 0 and stool frequency ≤1 or ≤2, combined with an endoscopy subscore ≤1 yielded statistically significant differences between active drug and placebo. This combination yielded the most similar effect sizes and placebo rates for remission, compared to the primary trials. Use of PRO items alone yielded high placebo remission rates in both data sets, although rates were lower when the items were combined and remission defined as PRO2 = 0.\nCONCLUSION: Patient-reported outcomes items derived from the Mayo Clinic Score combined with endoscopy as a co-primary endpoint may be an appropriate interim outcome measure for ulcerative colitis trials.","container-title":"Alimentary Pharmacology &amp; Therapeutics","DOI":"10.1111/apt.13408","ISSN":"1365-2036","issue":"10","journalAbbreviation":"Aliment Pharmacol Ther","language":"eng","note":"PMID: 26388424","page":"1200-1210","source":"PubMed","title":"Development of interim patient-reported outcome measures for the assessment of ulcerative colitis disease activity in clinical trials","volume":"42","author":[{"family":"Jairath","given":"V."},{"family":"Khanna","given":"R."},{"family":"Zou","given":"G. Y."},{"family":"Stitt","given":"L."},{"family":"Mosli","given":"M."},{"family":"Vandervoort","given":"M. K."},{"family":"D'Haens","given":"G."},{"family":"Sandborn","given":"W. J."},{"family":"Feagan","given":"B. G."},{"family":"Levesque","given":"B. G."}],"issued":{"date-parts":[["2015",11]]}}},{"id":2355,"uris":["http://zotero.org/users/2016235/items/VMZBIJZ6"],"itemData":{"id":2355,"type":"article-journal","abstract":"BACKGROUND: The Crohn's Disease Activity Index (CDAI) is a measure of disease activity based on symptoms, signs and a laboratory test. The US Food and Drug Administration has indicated that patient reported outcomes (PROs) should be the primary outcome in randomised controlled trials for Crohn's disease (CD).\nAIM: As no validated PRO exists for CD, to investigate whether CDAI diary card items could be modified for this purpose.\nMETHODS: Data from a trial of rifaximin-extended intestinal release were used to identify cut-points for stool frequency, pain and general well-being using receiver operating characteristic curves with CDAI &lt;150 as criterion. The operating properties of 2- and 3-item PRO were evaluated using data from a trial of methotrexate in CD. Regression analysis determined PRO2 and PRO3 scores that correspond to CDAI-defined thresholds of 150, 220 and 450 and changes of 50, 70 and 100 points.\nRESULTS: Optimum cut-points for CDAI remission were mean daily stool frequency ≤1.5, abdominal pain ≤1, and general well-being score of ≤1 (areas under the ROC curve 0.79, 0.91 and 0.89, respectively). The effect estimates were similar using 2- and 3-item PROs or CDAI. PRO2 and PRO3 values corresponding to CDAI scores of 150, 220 and 450 points were 8, 14, 34 and 13, 22, 53. The corresponding values for CDAI changes of 50, 70 and 100, were 2, 5, 8 and 5, 9, 14. Responsiveness to change was similar for both PROs.\nCONCLUSION: Patient reported outcomes derived from CDAI diary items may be appropriate for use in clinical trials for CD.","container-title":"Alimentary Pharmacology &amp; Therapeutics","DOI":"10.1111/apt.13001","ISSN":"1365-2036","issue":"1","journalAbbreviation":"Aliment Pharmacol Ther","language":"eng","note":"PMID: 25348809","page":"77-86","source":"PubMed","title":"A retrospective analysis: the development of patient reported outcome measures for the assessment of Crohn's disease activity","title-short":"A retrospective analysis","volume":"41","author":[{"family":"Khanna","given":"R."},{"family":"Zou","given":"G."},{"family":"D'Haens","given":"G."},{"family":"Feagan","given":"B. G."},{"family":"Sandborn","given":"W. J."},{"family":"Vandervoort","given":"M. K."},{"family":"Rolleri","given":"R. L."},{"family":"Bortey","given":"E."},{"family":"Paterson","given":"C."},{"family":"Forbes","given":"W. P."},{"family":"Levesque","given":"B. G."}],"issued":{"date-parts":[["2015",1]]}}}],"schema":"https://github.com/citation-style-language/schema/raw/master/csl-citation.json"} </w:instrText>
      </w:r>
      <w:r w:rsidR="001B71BD">
        <w:rPr>
          <w:color w:val="000000" w:themeColor="text1"/>
        </w:rPr>
        <w:fldChar w:fldCharType="separate"/>
      </w:r>
      <w:r w:rsidR="001B71BD" w:rsidRPr="001B71BD">
        <w:rPr>
          <w:rFonts w:ascii="Calibri" w:cs="Calibri"/>
          <w:color w:val="000000"/>
          <w:vertAlign w:val="superscript"/>
        </w:rPr>
        <w:t>3,4</w:t>
      </w:r>
      <w:r w:rsidR="001B71BD">
        <w:rPr>
          <w:color w:val="000000" w:themeColor="text1"/>
        </w:rPr>
        <w:fldChar w:fldCharType="end"/>
      </w:r>
      <w:r w:rsidR="005741FE">
        <w:rPr>
          <w:color w:val="000000" w:themeColor="text1"/>
        </w:rPr>
        <w:t xml:space="preserve">  The electronic implementation of IBD-Control </w:t>
      </w:r>
      <w:r w:rsidR="002D6C05" w:rsidRPr="00685C88">
        <w:rPr>
          <w:color w:val="000000" w:themeColor="text1"/>
        </w:rPr>
        <w:t>compri</w:t>
      </w:r>
      <w:r w:rsidR="005741FE">
        <w:rPr>
          <w:color w:val="000000" w:themeColor="text1"/>
        </w:rPr>
        <w:t>sed</w:t>
      </w:r>
      <w:r w:rsidR="002D6C05" w:rsidRPr="00685C88">
        <w:rPr>
          <w:color w:val="000000" w:themeColor="text1"/>
        </w:rPr>
        <w:t xml:space="preserve"> the </w:t>
      </w:r>
      <w:r w:rsidR="005741FE">
        <w:rPr>
          <w:color w:val="000000" w:themeColor="text1"/>
        </w:rPr>
        <w:t>eight items required to generate the summary score (</w:t>
      </w:r>
      <w:r w:rsidR="002D6C05" w:rsidRPr="00685C88">
        <w:rPr>
          <w:color w:val="000000" w:themeColor="text1"/>
        </w:rPr>
        <w:t>IBD-Control-8</w:t>
      </w:r>
      <w:r w:rsidR="005741FE">
        <w:rPr>
          <w:color w:val="000000" w:themeColor="text1"/>
        </w:rPr>
        <w:t>)</w:t>
      </w:r>
      <w:r w:rsidR="002D6C05" w:rsidRPr="00685C88">
        <w:rPr>
          <w:color w:val="000000" w:themeColor="text1"/>
        </w:rPr>
        <w:t xml:space="preserve">, the transitional question </w:t>
      </w:r>
      <w:r w:rsidR="002D6C05">
        <w:rPr>
          <w:color w:val="000000" w:themeColor="text1"/>
        </w:rPr>
        <w:t>(</w:t>
      </w:r>
      <w:r w:rsidR="002D6C05" w:rsidRPr="00685C88">
        <w:rPr>
          <w:color w:val="000000" w:themeColor="text1"/>
        </w:rPr>
        <w:t>same, better, worse</w:t>
      </w:r>
      <w:r w:rsidR="002D6C05">
        <w:rPr>
          <w:color w:val="000000" w:themeColor="text1"/>
        </w:rPr>
        <w:t>)</w:t>
      </w:r>
      <w:r w:rsidR="002D6C05" w:rsidRPr="00685C88">
        <w:rPr>
          <w:color w:val="000000" w:themeColor="text1"/>
        </w:rPr>
        <w:t xml:space="preserve"> and the IBD-Control-VAS</w:t>
      </w:r>
      <w:r w:rsidR="005741FE">
        <w:rPr>
          <w:color w:val="000000" w:themeColor="text1"/>
        </w:rPr>
        <w:t xml:space="preserve"> (Visual Analogue Scale)</w:t>
      </w:r>
      <w:r w:rsidR="005741FE">
        <w:rPr>
          <w:color w:val="7030A0"/>
        </w:rPr>
        <w:t xml:space="preserve">.  </w:t>
      </w:r>
      <w:r w:rsidR="00B15B64" w:rsidRPr="00804A81">
        <w:rPr>
          <w:color w:val="000000" w:themeColor="text1"/>
        </w:rPr>
        <w:t>The IBD-Control-8 score rang</w:t>
      </w:r>
      <w:r w:rsidR="005741FE" w:rsidRPr="00804A81">
        <w:rPr>
          <w:color w:val="000000" w:themeColor="text1"/>
        </w:rPr>
        <w:t>es</w:t>
      </w:r>
      <w:r w:rsidR="00B15B64" w:rsidRPr="00804A81">
        <w:rPr>
          <w:color w:val="000000" w:themeColor="text1"/>
        </w:rPr>
        <w:t xml:space="preserve"> from 0</w:t>
      </w:r>
      <w:r w:rsidR="005741FE" w:rsidRPr="00804A81">
        <w:rPr>
          <w:color w:val="000000" w:themeColor="text1"/>
        </w:rPr>
        <w:t xml:space="preserve"> (worst)</w:t>
      </w:r>
      <w:r w:rsidR="00B15B64" w:rsidRPr="00804A81">
        <w:rPr>
          <w:color w:val="000000" w:themeColor="text1"/>
        </w:rPr>
        <w:t xml:space="preserve"> to 16 (</w:t>
      </w:r>
      <w:r w:rsidR="005741FE" w:rsidRPr="00804A81">
        <w:rPr>
          <w:color w:val="000000" w:themeColor="text1"/>
        </w:rPr>
        <w:t>best)</w:t>
      </w:r>
      <w:r w:rsidR="005741FE">
        <w:rPr>
          <w:color w:val="000000" w:themeColor="text1"/>
        </w:rPr>
        <w:t>,</w:t>
      </w:r>
      <w:r w:rsidR="005741FE" w:rsidRPr="00804A81">
        <w:rPr>
          <w:color w:val="000000" w:themeColor="text1"/>
        </w:rPr>
        <w:t xml:space="preserve"> </w:t>
      </w:r>
      <w:r w:rsidR="00B15B64" w:rsidRPr="00804A81">
        <w:rPr>
          <w:color w:val="000000" w:themeColor="text1"/>
        </w:rPr>
        <w:t>whereas the VAS is scored 0 to 100 (0 = worst control).</w:t>
      </w:r>
      <w:r w:rsidR="002D6C05" w:rsidRPr="00804A81">
        <w:rPr>
          <w:color w:val="000000" w:themeColor="text1"/>
        </w:rPr>
        <w:t xml:space="preserve"> </w:t>
      </w:r>
    </w:p>
    <w:p w14:paraId="1143B1DC" w14:textId="77777777" w:rsidR="00F73769" w:rsidRPr="00804A81" w:rsidRDefault="00F73769" w:rsidP="005A2188">
      <w:pPr>
        <w:spacing w:after="0" w:line="240" w:lineRule="auto"/>
        <w:jc w:val="both"/>
        <w:rPr>
          <w:color w:val="000000" w:themeColor="text1"/>
        </w:rPr>
      </w:pPr>
    </w:p>
    <w:p w14:paraId="7895C325" w14:textId="1A033970" w:rsidR="00801DBF" w:rsidRPr="004C70A4" w:rsidRDefault="002D02B3" w:rsidP="00804A81">
      <w:pPr>
        <w:jc w:val="both"/>
        <w:rPr>
          <w:color w:val="000000" w:themeColor="text1"/>
        </w:rPr>
      </w:pPr>
      <w:r w:rsidRPr="00804A81">
        <w:rPr>
          <w:color w:val="000000" w:themeColor="text1"/>
        </w:rPr>
        <w:t xml:space="preserve">Depending on </w:t>
      </w:r>
      <w:r w:rsidR="002D6C05" w:rsidRPr="00804A81">
        <w:rPr>
          <w:color w:val="000000" w:themeColor="text1"/>
        </w:rPr>
        <w:t xml:space="preserve">self-reported </w:t>
      </w:r>
      <w:r w:rsidRPr="00804A81">
        <w:rPr>
          <w:color w:val="000000" w:themeColor="text1"/>
        </w:rPr>
        <w:t xml:space="preserve">diagnosis, patients were asked to complete </w:t>
      </w:r>
      <w:r w:rsidR="00E64B47">
        <w:rPr>
          <w:color w:val="000000" w:themeColor="text1"/>
        </w:rPr>
        <w:t>a</w:t>
      </w:r>
      <w:r w:rsidRPr="00804A81">
        <w:rPr>
          <w:color w:val="000000" w:themeColor="text1"/>
        </w:rPr>
        <w:t xml:space="preserve"> relevant two-</w:t>
      </w:r>
      <w:r w:rsidR="009F068B" w:rsidRPr="00804A81">
        <w:rPr>
          <w:color w:val="000000" w:themeColor="text1"/>
        </w:rPr>
        <w:t>symptom</w:t>
      </w:r>
      <w:r w:rsidRPr="00804A81">
        <w:rPr>
          <w:color w:val="000000" w:themeColor="text1"/>
        </w:rPr>
        <w:t xml:space="preserve"> </w:t>
      </w:r>
      <w:r w:rsidR="009F068B" w:rsidRPr="00804A81">
        <w:rPr>
          <w:color w:val="000000" w:themeColor="text1"/>
        </w:rPr>
        <w:t>instrument</w:t>
      </w:r>
      <w:r w:rsidR="00190938" w:rsidRPr="00804A81">
        <w:rPr>
          <w:color w:val="000000" w:themeColor="text1"/>
        </w:rPr>
        <w:t>, or “PRO2”</w:t>
      </w:r>
      <w:r w:rsidRPr="00804A81">
        <w:rPr>
          <w:color w:val="000000" w:themeColor="text1"/>
        </w:rPr>
        <w:t xml:space="preserve">. </w:t>
      </w:r>
      <w:r w:rsidR="00437645">
        <w:rPr>
          <w:color w:val="000000" w:themeColor="text1"/>
        </w:rPr>
        <w:t xml:space="preserve"> </w:t>
      </w:r>
      <w:r w:rsidR="00190938" w:rsidRPr="00804A81">
        <w:rPr>
          <w:color w:val="000000" w:themeColor="text1"/>
        </w:rPr>
        <w:t xml:space="preserve">The CD-PRO2 is a subscore of the Crohn’s Disease Activity Index (CDAI) </w:t>
      </w:r>
      <w:r w:rsidR="009F068B" w:rsidRPr="00804A81">
        <w:rPr>
          <w:color w:val="000000" w:themeColor="text1"/>
        </w:rPr>
        <w:t xml:space="preserve">and asks about </w:t>
      </w:r>
      <w:r w:rsidR="00190938" w:rsidRPr="00804A81">
        <w:rPr>
          <w:color w:val="000000" w:themeColor="text1"/>
        </w:rPr>
        <w:t xml:space="preserve">number of liquid stools </w:t>
      </w:r>
      <w:r w:rsidR="00161EDA" w:rsidRPr="00804A81">
        <w:rPr>
          <w:color w:val="000000" w:themeColor="text1"/>
        </w:rPr>
        <w:t>per</w:t>
      </w:r>
      <w:r w:rsidR="00190938" w:rsidRPr="00804A81">
        <w:rPr>
          <w:color w:val="000000" w:themeColor="text1"/>
        </w:rPr>
        <w:t xml:space="preserve"> day and abdominal pain (0 = none, 1 = mild, 2 = moderate, 3 = severe)</w:t>
      </w:r>
      <w:r w:rsidR="009F068B" w:rsidRPr="00804A81">
        <w:rPr>
          <w:color w:val="000000" w:themeColor="text1"/>
        </w:rPr>
        <w:t xml:space="preserve"> over each of the last seven days</w:t>
      </w:r>
      <w:r w:rsidR="00190938" w:rsidRPr="00804A81">
        <w:rPr>
          <w:color w:val="000000" w:themeColor="text1"/>
        </w:rPr>
        <w:t>.</w:t>
      </w:r>
      <w:r w:rsidR="001B71BD">
        <w:rPr>
          <w:color w:val="000000" w:themeColor="text1"/>
        </w:rPr>
        <w:fldChar w:fldCharType="begin"/>
      </w:r>
      <w:r w:rsidR="001B71BD">
        <w:rPr>
          <w:color w:val="000000" w:themeColor="text1"/>
        </w:rPr>
        <w:instrText xml:space="preserve"> ADDIN ZOTERO_ITEM CSL_CITATION {"citationID":"TPsj6GSR","properties":{"formattedCitation":"\\super 4\\nosupersub{}","plainCitation":"4","noteIndex":0},"citationItems":[{"id":2355,"uris":["http://zotero.org/users/2016235/items/VMZBIJZ6"],"itemData":{"id":2355,"type":"article-journal","abstract":"BACKGROUND: The Crohn's Disease Activity Index (CDAI) is a measure of disease activity based on symptoms, signs and a laboratory test. The US Food and Drug Administration has indicated that patient reported outcomes (PROs) should be the primary outcome in randomised controlled trials for Crohn's disease (CD).\nAIM: As no validated PRO exists for CD, to investigate whether CDAI diary card items could be modified for this purpose.\nMETHODS: Data from a trial of rifaximin-extended intestinal release were used to identify cut-points for stool frequency, pain and general well-being using receiver operating characteristic curves with CDAI &lt;150 as criterion. The operating properties of 2- and 3-item PRO were evaluated using data from a trial of methotrexate in CD. Regression analysis determined PRO2 and PRO3 scores that correspond to CDAI-defined thresholds of 150, 220 and 450 and changes of 50, 70 and 100 points.\nRESULTS: Optimum cut-points for CDAI remission were mean daily stool frequency ≤1.5, abdominal pain ≤1, and general well-being score of ≤1 (areas under the ROC curve 0.79, 0.91 and 0.89, respectively). The effect estimates were similar using 2- and 3-item PROs or CDAI. PRO2 and PRO3 values corresponding to CDAI scores of 150, 220 and 450 points were 8, 14, 34 and 13, 22, 53. The corresponding values for CDAI changes of 50, 70 and 100, were 2, 5, 8 and 5, 9, 14. Responsiveness to change was similar for both PROs.\nCONCLUSION: Patient reported outcomes derived from CDAI diary items may be appropriate for use in clinical trials for CD.","container-title":"Alimentary Pharmacology &amp; Therapeutics","DOI":"10.1111/apt.13001","ISSN":"1365-2036","issue":"1","journalAbbreviation":"Aliment Pharmacol Ther","language":"eng","note":"PMID: 25348809","page":"77-86","source":"PubMed","title":"A retrospective analysis: the development of patient reported outcome measures for the assessment of Crohn's disease activity","title-short":"A retrospective analysis","volume":"41","author":[{"family":"Khanna","given":"R."},{"family":"Zou","given":"G."},{"family":"D'Haens","given":"G."},{"family":"Feagan","given":"B. G."},{"family":"Sandborn","given":"W. J."},{"family":"Vandervoort","given":"M. K."},{"family":"Rolleri","given":"R. L."},{"family":"Bortey","given":"E."},{"family":"Paterson","given":"C."},{"family":"Forbes","given":"W. P."},{"family":"Levesque","given":"B. G."}],"issued":{"date-parts":[["2015",1]]}}}],"schema":"https://github.com/citation-style-language/schema/raw/master/csl-citation.json"} </w:instrText>
      </w:r>
      <w:r w:rsidR="001B71BD">
        <w:rPr>
          <w:color w:val="000000" w:themeColor="text1"/>
        </w:rPr>
        <w:fldChar w:fldCharType="separate"/>
      </w:r>
      <w:r w:rsidR="001B71BD" w:rsidRPr="001B71BD">
        <w:rPr>
          <w:rFonts w:ascii="Calibri" w:cs="Calibri"/>
          <w:color w:val="000000"/>
          <w:vertAlign w:val="superscript"/>
        </w:rPr>
        <w:t>4</w:t>
      </w:r>
      <w:r w:rsidR="001B71BD">
        <w:rPr>
          <w:color w:val="000000" w:themeColor="text1"/>
        </w:rPr>
        <w:fldChar w:fldCharType="end"/>
      </w:r>
      <w:r w:rsidR="00190938" w:rsidRPr="00804A81">
        <w:rPr>
          <w:color w:val="000000" w:themeColor="text1"/>
        </w:rPr>
        <w:t xml:space="preserve"> The 7-day average scores are summed to calculate an unweighted score. </w:t>
      </w:r>
      <w:r w:rsidR="009F068B" w:rsidRPr="00804A81">
        <w:rPr>
          <w:color w:val="000000" w:themeColor="text1"/>
        </w:rPr>
        <w:t>The</w:t>
      </w:r>
      <w:r w:rsidR="00190938" w:rsidRPr="00804A81">
        <w:rPr>
          <w:color w:val="000000" w:themeColor="text1"/>
        </w:rPr>
        <w:t xml:space="preserve"> weighted CD-PRO2 score </w:t>
      </w:r>
      <w:r w:rsidR="009F068B" w:rsidRPr="00804A81">
        <w:rPr>
          <w:color w:val="000000" w:themeColor="text1"/>
        </w:rPr>
        <w:t>is</w:t>
      </w:r>
      <w:r w:rsidR="00190938" w:rsidRPr="00804A81">
        <w:rPr>
          <w:color w:val="000000" w:themeColor="text1"/>
        </w:rPr>
        <w:t xml:space="preserve"> calculated by multiplying the 7-day averages of the number of liquid stools and abdominal pain by 2 and 5 respectively</w:t>
      </w:r>
      <w:r w:rsidR="009F068B" w:rsidRPr="00804A81">
        <w:rPr>
          <w:color w:val="000000" w:themeColor="text1"/>
        </w:rPr>
        <w:t>, before summing.</w:t>
      </w:r>
      <w:r w:rsidR="00190938" w:rsidRPr="00804A81">
        <w:rPr>
          <w:color w:val="000000" w:themeColor="text1"/>
        </w:rPr>
        <w:t xml:space="preserve"> </w:t>
      </w:r>
      <w:r w:rsidR="009F068B" w:rsidRPr="00804A81">
        <w:rPr>
          <w:color w:val="000000" w:themeColor="text1"/>
        </w:rPr>
        <w:t xml:space="preserve"> </w:t>
      </w:r>
      <w:r w:rsidR="00190938" w:rsidRPr="00804A81">
        <w:rPr>
          <w:color w:val="000000" w:themeColor="text1"/>
        </w:rPr>
        <w:t xml:space="preserve">Disease remission </w:t>
      </w:r>
      <w:r w:rsidR="009F068B" w:rsidRPr="00804A81">
        <w:rPr>
          <w:color w:val="000000" w:themeColor="text1"/>
        </w:rPr>
        <w:t>i</w:t>
      </w:r>
      <w:r w:rsidR="00190938" w:rsidRPr="00804A81">
        <w:rPr>
          <w:color w:val="000000" w:themeColor="text1"/>
        </w:rPr>
        <w:t>s defined by a weighted CD-PRO2 score &lt;8</w:t>
      </w:r>
      <w:r w:rsidR="009F068B" w:rsidRPr="00804A81">
        <w:rPr>
          <w:color w:val="000000" w:themeColor="text1"/>
        </w:rPr>
        <w:t>.</w:t>
      </w:r>
      <w:r w:rsidR="00043E58">
        <w:rPr>
          <w:color w:val="000000" w:themeColor="text1"/>
        </w:rPr>
        <w:fldChar w:fldCharType="begin"/>
      </w:r>
      <w:r w:rsidR="00043E58">
        <w:rPr>
          <w:color w:val="000000" w:themeColor="text1"/>
        </w:rPr>
        <w:instrText xml:space="preserve"> ADDIN ZOTERO_ITEM CSL_CITATION {"citationID":"ZsJotjw9","properties":{"formattedCitation":"\\super 4\\nosupersub{}","plainCitation":"4","noteIndex":0},"citationItems":[{"id":2355,"uris":["http://zotero.org/users/2016235/items/VMZBIJZ6"],"itemData":{"id":2355,"type":"article-journal","abstract":"BACKGROUND: The Crohn's Disease Activity Index (CDAI) is a measure of disease activity based on symptoms, signs and a laboratory test. The US Food and Drug Administration has indicated that patient reported outcomes (PROs) should be the primary outcome in randomised controlled trials for Crohn's disease (CD).\nAIM: As no validated PRO exists for CD, to investigate whether CDAI diary card items could be modified for this purpose.\nMETHODS: Data from a trial of rifaximin-extended intestinal release were used to identify cut-points for stool frequency, pain and general well-being using receiver operating characteristic curves with CDAI &lt;150 as criterion. The operating properties of 2- and 3-item PRO were evaluated using data from a trial of methotrexate in CD. Regression analysis determined PRO2 and PRO3 scores that correspond to CDAI-defined thresholds of 150, 220 and 450 and changes of 50, 70 and 100 points.\nRESULTS: Optimum cut-points for CDAI remission were mean daily stool frequency ≤1.5, abdominal pain ≤1, and general well-being score of ≤1 (areas under the ROC curve 0.79, 0.91 and 0.89, respectively). The effect estimates were similar using 2- and 3-item PROs or CDAI. PRO2 and PRO3 values corresponding to CDAI scores of 150, 220 and 450 points were 8, 14, 34 and 13, 22, 53. The corresponding values for CDAI changes of 50, 70 and 100, were 2, 5, 8 and 5, 9, 14. Responsiveness to change was similar for both PROs.\nCONCLUSION: Patient reported outcomes derived from CDAI diary items may be appropriate for use in clinical trials for CD.","container-title":"Alimentary Pharmacology &amp; Therapeutics","DOI":"10.1111/apt.13001","ISSN":"1365-2036","issue":"1","journalAbbreviation":"Aliment Pharmacol Ther","language":"eng","note":"PMID: 25348809","page":"77-86","source":"PubMed","title":"A retrospective analysis: the development of patient reported outcome measures for the assessment of Crohn's disease activity","title-short":"A retrospective analysis","volume":"41","author":[{"family":"Khanna","given":"R."},{"family":"Zou","given":"G."},{"family":"D'Haens","given":"G."},{"family":"Feagan","given":"B. G."},{"family":"Sandborn","given":"W. J."},{"family":"Vandervoort","given":"M. K."},{"family":"Rolleri","given":"R. L."},{"family":"Bortey","given":"E."},{"family":"Paterson","given":"C."},{"family":"Forbes","given":"W. P."},{"family":"Levesque","given":"B. G."}],"issued":{"date-parts":[["2015",1]]}}}],"schema":"https://github.com/citation-style-language/schema/raw/master/csl-citation.json"} </w:instrText>
      </w:r>
      <w:r w:rsidR="00043E58">
        <w:rPr>
          <w:color w:val="000000" w:themeColor="text1"/>
        </w:rPr>
        <w:fldChar w:fldCharType="separate"/>
      </w:r>
      <w:r w:rsidR="00043E58" w:rsidRPr="00043E58">
        <w:rPr>
          <w:rFonts w:ascii="Calibri" w:cs="Calibri"/>
          <w:color w:val="000000"/>
          <w:vertAlign w:val="superscript"/>
        </w:rPr>
        <w:t>4</w:t>
      </w:r>
      <w:r w:rsidR="00043E58">
        <w:rPr>
          <w:color w:val="000000" w:themeColor="text1"/>
        </w:rPr>
        <w:fldChar w:fldCharType="end"/>
      </w:r>
      <w:r w:rsidR="00E64B47">
        <w:rPr>
          <w:color w:val="000000" w:themeColor="text1"/>
        </w:rPr>
        <w:t xml:space="preserve">  </w:t>
      </w:r>
      <w:r w:rsidR="00161EDA" w:rsidRPr="00804A81">
        <w:rPr>
          <w:color w:val="000000" w:themeColor="text1"/>
        </w:rPr>
        <w:t>The UC-PRO2 is derived from the Mayo score and determines the number of stools above baseline (0 = normal number of stools, 1 = 1-2 stools above normal, 2 = 3-4 stools more than normal, 3 = 5 or more stools above normal) and rectal bleeding (0 = none, 1 = visible blood with stool less than half the time, 2 = visible blood with stool half of the time or more, 3 = passing blood alone).</w:t>
      </w:r>
      <w:r w:rsidR="001B71BD">
        <w:rPr>
          <w:color w:val="000000" w:themeColor="text1"/>
        </w:rPr>
        <w:fldChar w:fldCharType="begin"/>
      </w:r>
      <w:r w:rsidR="001B71BD">
        <w:rPr>
          <w:color w:val="000000" w:themeColor="text1"/>
        </w:rPr>
        <w:instrText xml:space="preserve"> ADDIN ZOTERO_ITEM CSL_CITATION {"citationID":"qJr8D0XX","properties":{"formattedCitation":"\\super 3\\nosupersub{}","plainCitation":"3","noteIndex":0},"citationItems":[{"id":2362,"uris":["http://zotero.org/users/2016235/items/DV8VK7XW"],"itemData":{"id":2362,"type":"article-journal","abstract":"BACKGROUND: Patient-reported outcomes (PROs) have an increasingly important role in the evaluation of new therapies for inflammatory bowel disease. The US Food and Drug Administration has issued formal guidance to describe the role of PRO instruments in evaluation of claims for product labelling. However, no validated PRO exists for ulcerative colitis.\nAIM: To investigate whether the PROs from the Mayo Clinic Score (MCS) for UC can be modified, to develop an interim PRO for use in clinical trials, alone or in combination with endoscopy.\nMETHODS: Data from an induction trial of a mesalazine (mesalamine) formulation were used to compare effect sizes between mesalazine and placebo for PRO items (stool frequency and rectal bleeding) alone and in combination with endoscopy. The operating properties of the PRO were validated using data from a phase 2 trial of MLN02, a humanised antibody to the α4β7 integrin in patients with UC.\nRESULTS: A two-item PRO (PRO2) consisting of rectal bleeding = 0 and stool frequency ≤1 or ≤2, combined with an endoscopy subscore ≤1 yielded statistically significant differences between active drug and placebo. This combination yielded the most similar effect sizes and placebo rates for remission, compared to the primary trials. Use of PRO items alone yielded high placebo remission rates in both data sets, although rates were lower when the items were combined and remission defined as PRO2 = 0.\nCONCLUSION: Patient-reported outcomes items derived from the Mayo Clinic Score combined with endoscopy as a co-primary endpoint may be an appropriate interim outcome measure for ulcerative colitis trials.","container-title":"Alimentary Pharmacology &amp; Therapeutics","DOI":"10.1111/apt.13408","ISSN":"1365-2036","issue":"10","journalAbbreviation":"Aliment Pharmacol Ther","language":"eng","note":"PMID: 26388424","page":"1200-1210","source":"PubMed","title":"Development of interim patient-reported outcome measures for the assessment of ulcerative colitis disease activity in clinical trials","volume":"42","author":[{"family":"Jairath","given":"V."},{"family":"Khanna","given":"R."},{"family":"Zou","given":"G. Y."},{"family":"Stitt","given":"L."},{"family":"Mosli","given":"M."},{"family":"Vandervoort","given":"M. K."},{"family":"D'Haens","given":"G."},{"family":"Sandborn","given":"W. J."},{"family":"Feagan","given":"B. G."},{"family":"Levesque","given":"B. G."}],"issued":{"date-parts":[["2015",11]]}}}],"schema":"https://github.com/citation-style-language/schema/raw/master/csl-citation.json"} </w:instrText>
      </w:r>
      <w:r w:rsidR="001B71BD">
        <w:rPr>
          <w:color w:val="000000" w:themeColor="text1"/>
        </w:rPr>
        <w:fldChar w:fldCharType="separate"/>
      </w:r>
      <w:r w:rsidR="001B71BD" w:rsidRPr="001B71BD">
        <w:rPr>
          <w:rFonts w:ascii="Calibri" w:cs="Calibri"/>
          <w:color w:val="000000"/>
          <w:vertAlign w:val="superscript"/>
        </w:rPr>
        <w:t>3</w:t>
      </w:r>
      <w:r w:rsidR="001B71BD">
        <w:rPr>
          <w:color w:val="000000" w:themeColor="text1"/>
        </w:rPr>
        <w:fldChar w:fldCharType="end"/>
      </w:r>
      <w:r w:rsidR="00161EDA" w:rsidRPr="00804A81">
        <w:rPr>
          <w:color w:val="000000" w:themeColor="text1"/>
        </w:rPr>
        <w:t xml:space="preserve"> The scores of both items were summed to calculate a 6-point scale UC-PRO-2 summary score. Disease remission was defined by a score for number of stools above baseline &lt;2 and the absence of rectal </w:t>
      </w:r>
      <w:r w:rsidR="00161EDA" w:rsidRPr="008376EC">
        <w:rPr>
          <w:color w:val="000000" w:themeColor="text1"/>
        </w:rPr>
        <w:t>bleeding.</w:t>
      </w:r>
      <w:r w:rsidR="001B71BD">
        <w:rPr>
          <w:color w:val="000000" w:themeColor="text1"/>
        </w:rPr>
        <w:fldChar w:fldCharType="begin"/>
      </w:r>
      <w:r w:rsidR="001B71BD">
        <w:rPr>
          <w:color w:val="000000" w:themeColor="text1"/>
        </w:rPr>
        <w:instrText xml:space="preserve"> ADDIN ZOTERO_ITEM CSL_CITATION {"citationID":"igzJF39A","properties":{"formattedCitation":"\\super 3\\nosupersub{}","plainCitation":"3","noteIndex":0},"citationItems":[{"id":2362,"uris":["http://zotero.org/users/2016235/items/DV8VK7XW"],"itemData":{"id":2362,"type":"article-journal","abstract":"BACKGROUND: Patient-reported outcomes (PROs) have an increasingly important role in the evaluation of new therapies for inflammatory bowel disease. The US Food and Drug Administration has issued formal guidance to describe the role of PRO instruments in evaluation of claims for product labelling. However, no validated PRO exists for ulcerative colitis.\nAIM: To investigate whether the PROs from the Mayo Clinic Score (MCS) for UC can be modified, to develop an interim PRO for use in clinical trials, alone or in combination with endoscopy.\nMETHODS: Data from an induction trial of a mesalazine (mesalamine) formulation were used to compare effect sizes between mesalazine and placebo for PRO items (stool frequency and rectal bleeding) alone and in combination with endoscopy. The operating properties of the PRO were validated using data from a phase 2 trial of MLN02, a humanised antibody to the α4β7 integrin in patients with UC.\nRESULTS: A two-item PRO (PRO2) consisting of rectal bleeding = 0 and stool frequency ≤1 or ≤2, combined with an endoscopy subscore ≤1 yielded statistically significant differences between active drug and placebo. This combination yielded the most similar effect sizes and placebo rates for remission, compared to the primary trials. Use of PRO items alone yielded high placebo remission rates in both data sets, although rates were lower when the items were combined and remission defined as PRO2 = 0.\nCONCLUSION: Patient-reported outcomes items derived from the Mayo Clinic Score combined with endoscopy as a co-primary endpoint may be an appropriate interim outcome measure for ulcerative colitis trials.","container-title":"Alimentary Pharmacology &amp; Therapeutics","DOI":"10.1111/apt.13408","ISSN":"1365-2036","issue":"10","journalAbbreviation":"Aliment Pharmacol Ther","language":"eng","note":"PMID: 26388424","page":"1200-1210","source":"PubMed","title":"Development of interim patient-reported outcome measures for the assessment of ulcerative colitis disease activity in clinical trials","volume":"42","author":[{"family":"Jairath","given":"V."},{"family":"Khanna","given":"R."},{"family":"Zou","given":"G. Y."},{"family":"Stitt","given":"L."},{"family":"Mosli","given":"M."},{"family":"Vandervoort","given":"M. K."},{"family":"D'Haens","given":"G."},{"family":"Sandborn","given":"W. J."},{"family":"Feagan","given":"B. G."},{"family":"Levesque","given":"B. G."}],"issued":{"date-parts":[["2015",11]]}}}],"schema":"https://github.com/citation-style-language/schema/raw/master/csl-citation.json"} </w:instrText>
      </w:r>
      <w:r w:rsidR="001B71BD">
        <w:rPr>
          <w:color w:val="000000" w:themeColor="text1"/>
        </w:rPr>
        <w:fldChar w:fldCharType="separate"/>
      </w:r>
      <w:r w:rsidR="001B71BD" w:rsidRPr="001B71BD">
        <w:rPr>
          <w:rFonts w:ascii="Calibri" w:cs="Calibri"/>
          <w:color w:val="000000"/>
          <w:vertAlign w:val="superscript"/>
        </w:rPr>
        <w:t>3</w:t>
      </w:r>
      <w:r w:rsidR="001B71BD">
        <w:rPr>
          <w:color w:val="000000" w:themeColor="text1"/>
        </w:rPr>
        <w:fldChar w:fldCharType="end"/>
      </w:r>
    </w:p>
    <w:p w14:paraId="0BB33552" w14:textId="2AF7DD36" w:rsidR="00E4008F" w:rsidRPr="008376EC" w:rsidRDefault="00E4008F" w:rsidP="00804A81">
      <w:pPr>
        <w:jc w:val="both"/>
        <w:rPr>
          <w:b/>
          <w:bCs/>
          <w:color w:val="000000" w:themeColor="text1"/>
        </w:rPr>
      </w:pPr>
      <w:r w:rsidRPr="008376EC">
        <w:rPr>
          <w:b/>
          <w:bCs/>
          <w:color w:val="000000" w:themeColor="text1"/>
        </w:rPr>
        <w:t>Sub</w:t>
      </w:r>
      <w:r w:rsidR="008376EC" w:rsidRPr="008376EC">
        <w:rPr>
          <w:b/>
          <w:bCs/>
          <w:color w:val="000000" w:themeColor="text1"/>
        </w:rPr>
        <w:t>populations</w:t>
      </w:r>
      <w:r w:rsidR="00F90821">
        <w:rPr>
          <w:b/>
          <w:bCs/>
          <w:color w:val="000000" w:themeColor="text1"/>
        </w:rPr>
        <w:t xml:space="preserve"> (strata)</w:t>
      </w:r>
      <w:r w:rsidRPr="008376EC">
        <w:rPr>
          <w:b/>
          <w:bCs/>
          <w:color w:val="000000" w:themeColor="text1"/>
        </w:rPr>
        <w:t xml:space="preserve"> of interest</w:t>
      </w:r>
    </w:p>
    <w:p w14:paraId="1DBA5761" w14:textId="39F23DB2" w:rsidR="008376EC" w:rsidRDefault="00E4008F" w:rsidP="0095593B">
      <w:pPr>
        <w:jc w:val="both"/>
        <w:rPr>
          <w:b/>
          <w:bCs/>
          <w:color w:val="000000" w:themeColor="text1"/>
        </w:rPr>
      </w:pPr>
      <w:r w:rsidRPr="008376EC">
        <w:rPr>
          <w:color w:val="000000" w:themeColor="text1"/>
        </w:rPr>
        <w:t>For the purpose of validating consistent performance properties within different sub-populations, we undertook analyses stratified by diagnosis (IBD sub-type), age (</w:t>
      </w:r>
      <w:r w:rsidR="008376EC" w:rsidRPr="008376EC">
        <w:rPr>
          <w:color w:val="000000" w:themeColor="text1"/>
        </w:rPr>
        <w:t>≤65 and &gt;65 years), sex at birth, socioeconomic status (based on</w:t>
      </w:r>
      <w:r w:rsidR="00AF6A9A">
        <w:rPr>
          <w:color w:val="000000" w:themeColor="text1"/>
        </w:rPr>
        <w:t xml:space="preserve"> the</w:t>
      </w:r>
      <w:r w:rsidR="008376EC" w:rsidRPr="008376EC">
        <w:rPr>
          <w:color w:val="000000" w:themeColor="text1"/>
        </w:rPr>
        <w:t xml:space="preserve"> Index of Multiple Deprivation</w:t>
      </w:r>
      <w:r w:rsidR="0027210A">
        <w:rPr>
          <w:color w:val="000000" w:themeColor="text1"/>
        </w:rPr>
        <w:t>,</w:t>
      </w:r>
      <w:r w:rsidR="00AF6A9A">
        <w:rPr>
          <w:color w:val="000000" w:themeColor="text1"/>
        </w:rPr>
        <w:t xml:space="preserve"> derived from area of residence and </w:t>
      </w:r>
      <w:r w:rsidR="0027210A">
        <w:rPr>
          <w:color w:val="000000" w:themeColor="text1"/>
        </w:rPr>
        <w:t xml:space="preserve"> categorized into population quintiles</w:t>
      </w:r>
      <w:r w:rsidR="008376EC" w:rsidRPr="008376EC">
        <w:rPr>
          <w:color w:val="000000" w:themeColor="text1"/>
        </w:rPr>
        <w:t xml:space="preserve">) and </w:t>
      </w:r>
      <w:r w:rsidR="00662C52">
        <w:rPr>
          <w:color w:val="000000" w:themeColor="text1"/>
        </w:rPr>
        <w:t xml:space="preserve">the </w:t>
      </w:r>
      <w:r w:rsidR="008376EC" w:rsidRPr="008376EC">
        <w:rPr>
          <w:color w:val="000000" w:themeColor="text1"/>
        </w:rPr>
        <w:t>presence of other chronic conditions (numb</w:t>
      </w:r>
      <w:r w:rsidR="005A2188">
        <w:rPr>
          <w:color w:val="000000" w:themeColor="text1"/>
        </w:rPr>
        <w:t>er</w:t>
      </w:r>
      <w:r w:rsidR="008376EC" w:rsidRPr="008376EC">
        <w:rPr>
          <w:color w:val="000000" w:themeColor="text1"/>
        </w:rPr>
        <w:t xml:space="preserve"> of co-morbidities).</w:t>
      </w:r>
    </w:p>
    <w:p w14:paraId="72858E60" w14:textId="20A965FD" w:rsidR="0011544B" w:rsidRPr="00804A81" w:rsidRDefault="00212B10">
      <w:pPr>
        <w:rPr>
          <w:b/>
          <w:bCs/>
          <w:color w:val="000000" w:themeColor="text1"/>
        </w:rPr>
      </w:pPr>
      <w:r w:rsidRPr="00804A81">
        <w:rPr>
          <w:b/>
          <w:bCs/>
          <w:color w:val="000000" w:themeColor="text1"/>
        </w:rPr>
        <w:t>Statistical</w:t>
      </w:r>
      <w:r w:rsidR="00053600" w:rsidRPr="00804A81">
        <w:rPr>
          <w:b/>
          <w:bCs/>
          <w:color w:val="000000" w:themeColor="text1"/>
        </w:rPr>
        <w:t xml:space="preserve"> and psychometric</w:t>
      </w:r>
      <w:r w:rsidRPr="00804A81">
        <w:rPr>
          <w:b/>
          <w:bCs/>
          <w:color w:val="000000" w:themeColor="text1"/>
        </w:rPr>
        <w:t xml:space="preserve"> analysis</w:t>
      </w:r>
    </w:p>
    <w:p w14:paraId="1532EAEA" w14:textId="2FCCC723" w:rsidR="00AE12DD" w:rsidRDefault="00A43154" w:rsidP="00804A81">
      <w:pPr>
        <w:jc w:val="both"/>
        <w:rPr>
          <w:color w:val="000000" w:themeColor="text1"/>
        </w:rPr>
      </w:pPr>
      <w:r w:rsidRPr="00804A81">
        <w:rPr>
          <w:color w:val="000000" w:themeColor="text1"/>
        </w:rPr>
        <w:t>All analyses were performed within the IBD Registry’s Trusted Research Environment using d</w:t>
      </w:r>
      <w:r w:rsidR="00053600" w:rsidRPr="00804A81">
        <w:rPr>
          <w:color w:val="000000" w:themeColor="text1"/>
        </w:rPr>
        <w:t>e</w:t>
      </w:r>
      <w:r w:rsidR="00801DBF" w:rsidRPr="00804A81">
        <w:rPr>
          <w:color w:val="000000" w:themeColor="text1"/>
        </w:rPr>
        <w:t>-</w:t>
      </w:r>
      <w:r w:rsidR="00053600" w:rsidRPr="00804A81">
        <w:rPr>
          <w:color w:val="000000" w:themeColor="text1"/>
        </w:rPr>
        <w:t>identified d</w:t>
      </w:r>
      <w:r w:rsidR="00A47736" w:rsidRPr="00804A81">
        <w:rPr>
          <w:color w:val="000000" w:themeColor="text1"/>
        </w:rPr>
        <w:t>ata extracted from REDCap to R (</w:t>
      </w:r>
      <w:r w:rsidR="00801DBF" w:rsidRPr="00804A81">
        <w:rPr>
          <w:color w:val="000000" w:themeColor="text1"/>
        </w:rPr>
        <w:t>V</w:t>
      </w:r>
      <w:r w:rsidR="00E26843" w:rsidRPr="00804A81">
        <w:rPr>
          <w:color w:val="000000" w:themeColor="text1"/>
        </w:rPr>
        <w:t xml:space="preserve">ersion </w:t>
      </w:r>
      <w:r w:rsidR="00F44FC4">
        <w:rPr>
          <w:color w:val="000000" w:themeColor="text1"/>
        </w:rPr>
        <w:t>4.1.0</w:t>
      </w:r>
      <w:r w:rsidR="00E26843" w:rsidRPr="00804A81">
        <w:rPr>
          <w:color w:val="000000" w:themeColor="text1"/>
        </w:rPr>
        <w:t>, R Core Team 202</w:t>
      </w:r>
      <w:r w:rsidR="00F44FC4">
        <w:rPr>
          <w:color w:val="000000" w:themeColor="text1"/>
        </w:rPr>
        <w:t>1</w:t>
      </w:r>
      <w:r w:rsidR="00E26843" w:rsidRPr="00804A81">
        <w:rPr>
          <w:color w:val="000000" w:themeColor="text1"/>
        </w:rPr>
        <w:t xml:space="preserve">, R Foundation for statistical computing, Vienna, Austria) </w:t>
      </w:r>
      <w:r w:rsidR="00A47736" w:rsidRPr="00804A81">
        <w:rPr>
          <w:color w:val="000000" w:themeColor="text1"/>
        </w:rPr>
        <w:t xml:space="preserve">using the </w:t>
      </w:r>
      <w:r w:rsidR="00A47736" w:rsidRPr="00804A81">
        <w:rPr>
          <w:i/>
          <w:iCs/>
          <w:color w:val="000000" w:themeColor="text1"/>
        </w:rPr>
        <w:t>redcapAPI</w:t>
      </w:r>
      <w:r w:rsidR="00A47736" w:rsidRPr="00804A81">
        <w:rPr>
          <w:color w:val="000000" w:themeColor="text1"/>
        </w:rPr>
        <w:t xml:space="preserve"> package.</w:t>
      </w:r>
      <w:r w:rsidR="00E4008F">
        <w:rPr>
          <w:color w:val="000000" w:themeColor="text1"/>
        </w:rPr>
        <w:t xml:space="preserve"> D</w:t>
      </w:r>
      <w:r w:rsidRPr="00804A81">
        <w:rPr>
          <w:color w:val="000000" w:themeColor="text1"/>
        </w:rPr>
        <w:t>escriptive statistics for continuous variables are summarized as median (interquartile range, IQR) or mean (standard deviation, SD)</w:t>
      </w:r>
      <w:r w:rsidR="008A02F1" w:rsidRPr="00804A81">
        <w:rPr>
          <w:color w:val="000000" w:themeColor="text1"/>
        </w:rPr>
        <w:t xml:space="preserve">, as appropriate.  </w:t>
      </w:r>
      <w:r w:rsidR="00A47736" w:rsidRPr="00804A81">
        <w:rPr>
          <w:color w:val="000000" w:themeColor="text1"/>
        </w:rPr>
        <w:t>We conducted univariate analysis using independent sample t-tests</w:t>
      </w:r>
      <w:r w:rsidR="009575B6" w:rsidRPr="00804A81">
        <w:rPr>
          <w:color w:val="000000" w:themeColor="text1"/>
        </w:rPr>
        <w:t xml:space="preserve"> or analysis of variance (ANOVA)</w:t>
      </w:r>
      <w:r w:rsidR="00A47736" w:rsidRPr="00804A81">
        <w:rPr>
          <w:color w:val="000000" w:themeColor="text1"/>
        </w:rPr>
        <w:t>, Mann-Whitney U test</w:t>
      </w:r>
      <w:r w:rsidR="009575B6" w:rsidRPr="00804A81">
        <w:rPr>
          <w:color w:val="000000" w:themeColor="text1"/>
        </w:rPr>
        <w:t xml:space="preserve"> or Kruskal Wallis test</w:t>
      </w:r>
      <w:r w:rsidR="00A47736" w:rsidRPr="00804A81">
        <w:rPr>
          <w:color w:val="000000" w:themeColor="text1"/>
        </w:rPr>
        <w:t xml:space="preserve"> and Chi-square test</w:t>
      </w:r>
      <w:r w:rsidR="00073AC3" w:rsidRPr="00804A81">
        <w:rPr>
          <w:color w:val="000000" w:themeColor="text1"/>
        </w:rPr>
        <w:t xml:space="preserve"> or Fisher’s exact test</w:t>
      </w:r>
      <w:r w:rsidR="00A47736" w:rsidRPr="00804A81">
        <w:rPr>
          <w:color w:val="000000" w:themeColor="text1"/>
        </w:rPr>
        <w:t xml:space="preserve"> for continuous parametric, </w:t>
      </w:r>
      <w:r w:rsidR="00A47736" w:rsidRPr="00804A81">
        <w:rPr>
          <w:color w:val="000000" w:themeColor="text1"/>
        </w:rPr>
        <w:lastRenderedPageBreak/>
        <w:t>continuous non-parametric and categorical data, respectively.</w:t>
      </w:r>
      <w:r w:rsidR="008A02F1" w:rsidRPr="00804A81">
        <w:rPr>
          <w:color w:val="000000" w:themeColor="text1"/>
        </w:rPr>
        <w:t xml:space="preserve"> Spearman’s rank correlation coefficient was used as a non-parametric measure of correlation. </w:t>
      </w:r>
      <w:r w:rsidR="00E64B47" w:rsidRPr="00804A81">
        <w:rPr>
          <w:color w:val="000000" w:themeColor="text1"/>
        </w:rPr>
        <w:t xml:space="preserve"> </w:t>
      </w:r>
    </w:p>
    <w:p w14:paraId="49680A65" w14:textId="24948F69" w:rsidR="00AE12DD" w:rsidRPr="00F702F0" w:rsidRDefault="00AE12DD" w:rsidP="00804A81">
      <w:pPr>
        <w:jc w:val="both"/>
        <w:rPr>
          <w:color w:val="000000" w:themeColor="text1"/>
        </w:rPr>
      </w:pPr>
      <w:r>
        <w:rPr>
          <w:color w:val="000000" w:themeColor="text1"/>
        </w:rPr>
        <w:t>Factor structure was ascertained through a two stage process. Data was split at random (50%,50%) into a exploratory and confirmatory data set. For exploratory factor analysis (EFA) the analysis was ran on the polychoric correlation matrix rather than the raw data (due to the data being</w:t>
      </w:r>
      <w:r w:rsidR="00B34AFE">
        <w:rPr>
          <w:color w:val="000000" w:themeColor="text1"/>
        </w:rPr>
        <w:t xml:space="preserve"> 3-level</w:t>
      </w:r>
      <w:r>
        <w:rPr>
          <w:color w:val="000000" w:themeColor="text1"/>
        </w:rPr>
        <w:t xml:space="preserve"> ordinal).</w:t>
      </w:r>
      <w:r w:rsidR="00BE650B">
        <w:rPr>
          <w:color w:val="000000" w:themeColor="text1"/>
        </w:rPr>
        <w:t xml:space="preserve"> The </w:t>
      </w:r>
      <w:r w:rsidR="00BE650B" w:rsidRPr="00BE650B">
        <w:rPr>
          <w:color w:val="000000" w:themeColor="text1"/>
        </w:rPr>
        <w:t>Kaiser–Meyer–Olkin (KMO) statistic</w:t>
      </w:r>
      <w:r w:rsidR="00BE650B">
        <w:rPr>
          <w:color w:val="000000" w:themeColor="text1"/>
        </w:rPr>
        <w:t xml:space="preserve"> was used to test sampling adequacy (values above </w:t>
      </w:r>
      <w:r w:rsidR="001B71BD">
        <w:rPr>
          <w:color w:val="000000" w:themeColor="text1"/>
        </w:rPr>
        <w:t>0</w:t>
      </w:r>
      <w:r w:rsidR="00BE650B">
        <w:rPr>
          <w:color w:val="000000" w:themeColor="text1"/>
        </w:rPr>
        <w:t>.7 are considered good)</w:t>
      </w:r>
      <w:r w:rsidR="00BE650B" w:rsidRPr="00BE650B">
        <w:rPr>
          <w:color w:val="000000" w:themeColor="text1"/>
        </w:rPr>
        <w:t xml:space="preserve">. Bartlett’s test of sphericity was used to assess whether correlations between items were sufficiently large for </w:t>
      </w:r>
      <w:r w:rsidR="00BE650B">
        <w:rPr>
          <w:color w:val="000000" w:themeColor="text1"/>
        </w:rPr>
        <w:t>exploratory factor</w:t>
      </w:r>
      <w:r w:rsidR="00BE650B" w:rsidRPr="00BE650B">
        <w:rPr>
          <w:color w:val="000000" w:themeColor="text1"/>
        </w:rPr>
        <w:t xml:space="preserve"> analysis</w:t>
      </w:r>
      <w:r w:rsidR="00BE650B">
        <w:rPr>
          <w:color w:val="000000" w:themeColor="text1"/>
        </w:rPr>
        <w:t>, (p&lt;</w:t>
      </w:r>
      <w:r w:rsidR="001B71BD">
        <w:rPr>
          <w:color w:val="000000" w:themeColor="text1"/>
        </w:rPr>
        <w:t>0</w:t>
      </w:r>
      <w:r w:rsidR="00BE650B">
        <w:rPr>
          <w:color w:val="000000" w:themeColor="text1"/>
        </w:rPr>
        <w:t>.05 is indicative of sufficient correlations).</w:t>
      </w:r>
      <w:r>
        <w:rPr>
          <w:color w:val="000000" w:themeColor="text1"/>
        </w:rPr>
        <w:t xml:space="preserve"> The number of factors was established using a parallel analysis, </w:t>
      </w:r>
      <w:r w:rsidR="00DC19D9">
        <w:rPr>
          <w:color w:val="000000" w:themeColor="text1"/>
        </w:rPr>
        <w:t xml:space="preserve">before running the exploratory factor analysis using an Oblimin rotation (as it was assumed factors would correlate). Item loading above </w:t>
      </w:r>
      <w:r w:rsidR="001B71BD" w:rsidRPr="00F702F0">
        <w:rPr>
          <w:color w:val="000000" w:themeColor="text1"/>
        </w:rPr>
        <w:t>0</w:t>
      </w:r>
      <w:r w:rsidR="00DC19D9" w:rsidRPr="00F702F0">
        <w:rPr>
          <w:color w:val="000000" w:themeColor="text1"/>
        </w:rPr>
        <w:t>.</w:t>
      </w:r>
      <w:r w:rsidR="008F0C8A" w:rsidRPr="00F702F0">
        <w:rPr>
          <w:color w:val="000000" w:themeColor="text1"/>
        </w:rPr>
        <w:t>5</w:t>
      </w:r>
      <w:r w:rsidR="00DC19D9" w:rsidRPr="00F702F0">
        <w:rPr>
          <w:color w:val="000000" w:themeColor="text1"/>
        </w:rPr>
        <w:t xml:space="preserve"> and not cross loading above </w:t>
      </w:r>
      <w:r w:rsidR="008F0C8A" w:rsidRPr="00F702F0">
        <w:rPr>
          <w:color w:val="000000" w:themeColor="text1"/>
        </w:rPr>
        <w:t>0</w:t>
      </w:r>
      <w:r w:rsidR="00DC19D9" w:rsidRPr="00F702F0">
        <w:rPr>
          <w:color w:val="000000" w:themeColor="text1"/>
        </w:rPr>
        <w:t>.</w:t>
      </w:r>
      <w:r w:rsidR="008F0C8A" w:rsidRPr="00F702F0">
        <w:rPr>
          <w:color w:val="000000" w:themeColor="text1"/>
        </w:rPr>
        <w:t>4</w:t>
      </w:r>
      <w:r w:rsidR="00DC19D9" w:rsidRPr="00F702F0">
        <w:rPr>
          <w:color w:val="000000" w:themeColor="text1"/>
        </w:rPr>
        <w:t xml:space="preserve"> on another factor were considered valid loadings. </w:t>
      </w:r>
    </w:p>
    <w:p w14:paraId="7AAF44E0" w14:textId="7BB65B9C" w:rsidR="00DC19D9" w:rsidRPr="008D4254" w:rsidRDefault="00DC19D9" w:rsidP="00804A81">
      <w:pPr>
        <w:jc w:val="both"/>
        <w:rPr>
          <w:color w:val="000000" w:themeColor="text1"/>
        </w:rPr>
      </w:pPr>
      <w:r>
        <w:rPr>
          <w:color w:val="000000" w:themeColor="text1"/>
        </w:rPr>
        <w:t>Following</w:t>
      </w:r>
      <w:r w:rsidR="0012446B">
        <w:rPr>
          <w:color w:val="000000" w:themeColor="text1"/>
        </w:rPr>
        <w:t xml:space="preserve"> this a confirmatory factor analysis (CFA) of the structure identified by the EFA was conducted. A diagonally least squares estimator was used due to the data being ordinal</w:t>
      </w:r>
      <w:r w:rsidR="00E80AD2">
        <w:rPr>
          <w:color w:val="000000" w:themeColor="text1"/>
        </w:rPr>
        <w:t>.</w:t>
      </w:r>
      <w:r w:rsidR="00E80AD2">
        <w:rPr>
          <w:color w:val="000000" w:themeColor="text1"/>
        </w:rPr>
        <w:fldChar w:fldCharType="begin"/>
      </w:r>
      <w:r w:rsidR="00D670F5">
        <w:rPr>
          <w:color w:val="000000" w:themeColor="text1"/>
        </w:rPr>
        <w:instrText xml:space="preserve"> ADDIN ZOTERO_ITEM CSL_CITATION {"citationID":"o66frect","properties":{"formattedCitation":"\\super 22\\nosupersub{}","plainCitation":"22","noteIndex":0},"citationItems":[{"id":3134,"uris":["http://zotero.org/users/2016235/items/7XY2CD9L"],"itemData":{"id":3134,"type":"article-journal","abstract":"This paper aims to identify the effect of using the maximum likelihood (ML) parameter estimation method when data do not meet the assumption of multivariate normality and are not continuous. Both ML and the diagonally weighted least squares (DWLS) procedure were applied to simulated sets of data, which have different distributions and include variables that can take different numbers of possible values. Results were also compared to the ideal situation of a data set consisting of continuous, normally distributed variables. Outcomes indicate that ML provides accurate results when data are continuous and uniformly distributed, but is not as precise with ordinal data that is not treated as continuous, especially when variables have a small number of categories and data do not meet the assumption of multivariate normality. In contrast, DWLS provides more accurate parameter estimates, and a model fit that is more robust to variable type and non-normality.","container-title":"International Journal for Digital Society","DOI":"10.20533/ijds.2040.2570.2010.0010","ISSN":"20402570","issue":"1","journalAbbreviation":"IJDS","language":"en","page":"60-66","source":"DOI.org (Crossref)","title":"Maximum Likelihood (ML) and Diagonally Weighted Least Squares (DWLS) Estimation Procedures: A Comparison of Estimation Bias with Ordinal and Multivariate Non-Normal Data","title-short":"Maximum Likelihood (ML) and Diagonally Weighted Least Squares (DWLS) Estimation Procedures","volume":"1","author":[{"family":"Mîndrilă","given":"Diana"}],"issued":{"date-parts":[["2010",3,1]]}}}],"schema":"https://github.com/citation-style-language/schema/raw/master/csl-citation.json"} </w:instrText>
      </w:r>
      <w:r w:rsidR="00E80AD2">
        <w:rPr>
          <w:color w:val="000000" w:themeColor="text1"/>
        </w:rPr>
        <w:fldChar w:fldCharType="separate"/>
      </w:r>
      <w:r w:rsidR="00D670F5" w:rsidRPr="00D670F5">
        <w:rPr>
          <w:rFonts w:ascii="Calibri" w:cs="Calibri"/>
          <w:color w:val="000000"/>
          <w:vertAlign w:val="superscript"/>
        </w:rPr>
        <w:t>22</w:t>
      </w:r>
      <w:r w:rsidR="00E80AD2">
        <w:rPr>
          <w:color w:val="000000" w:themeColor="text1"/>
        </w:rPr>
        <w:fldChar w:fldCharType="end"/>
      </w:r>
      <w:r w:rsidR="00D60498">
        <w:rPr>
          <w:color w:val="000000" w:themeColor="text1"/>
        </w:rPr>
        <w:t xml:space="preserve">  </w:t>
      </w:r>
      <w:r w:rsidR="008D4254" w:rsidRPr="0012446B">
        <w:rPr>
          <w:color w:val="000000" w:themeColor="text1"/>
        </w:rPr>
        <w:t xml:space="preserve">Items were free to load onto their factors, and factors were free to correlate with </w:t>
      </w:r>
      <w:r w:rsidR="008D4254">
        <w:rPr>
          <w:color w:val="000000" w:themeColor="text1"/>
        </w:rPr>
        <w:t xml:space="preserve">each </w:t>
      </w:r>
      <w:r w:rsidR="008D4254" w:rsidRPr="0012446B">
        <w:rPr>
          <w:color w:val="000000" w:themeColor="text1"/>
        </w:rPr>
        <w:t>another. Model fit was assessed using</w:t>
      </w:r>
      <w:r w:rsidR="008D4254">
        <w:rPr>
          <w:color w:val="000000" w:themeColor="text1"/>
        </w:rPr>
        <w:t xml:space="preserve"> a range of fit indices. Two incremental fit indices were computed,</w:t>
      </w:r>
      <w:r w:rsidR="008D4254" w:rsidRPr="0012446B">
        <w:rPr>
          <w:color w:val="000000" w:themeColor="text1"/>
        </w:rPr>
        <w:t xml:space="preserve"> the Tucker-Lewis Index (TLI</w:t>
      </w:r>
      <w:r w:rsidR="008D4254">
        <w:rPr>
          <w:color w:val="000000" w:themeColor="text1"/>
        </w:rPr>
        <w:t>) and</w:t>
      </w:r>
      <w:r w:rsidR="008D4254" w:rsidRPr="0012446B">
        <w:rPr>
          <w:color w:val="000000" w:themeColor="text1"/>
        </w:rPr>
        <w:t xml:space="preserve"> comparative fit index (CFI)</w:t>
      </w:r>
      <w:r w:rsidR="008D4254">
        <w:rPr>
          <w:color w:val="000000" w:themeColor="text1"/>
        </w:rPr>
        <w:t xml:space="preserve">, </w:t>
      </w:r>
      <w:r w:rsidR="008D4254" w:rsidRPr="0012446B">
        <w:rPr>
          <w:color w:val="000000" w:themeColor="text1"/>
        </w:rPr>
        <w:t>w</w:t>
      </w:r>
      <w:r w:rsidR="008D4254">
        <w:rPr>
          <w:color w:val="000000" w:themeColor="text1"/>
        </w:rPr>
        <w:t>hereby</w:t>
      </w:r>
      <w:r w:rsidR="008D4254" w:rsidRPr="0012446B">
        <w:rPr>
          <w:color w:val="000000" w:themeColor="text1"/>
        </w:rPr>
        <w:t xml:space="preserve"> values of above </w:t>
      </w:r>
      <w:r w:rsidR="001B71BD">
        <w:rPr>
          <w:color w:val="000000" w:themeColor="text1"/>
        </w:rPr>
        <w:t>0</w:t>
      </w:r>
      <w:r w:rsidR="008D4254" w:rsidRPr="0012446B">
        <w:rPr>
          <w:color w:val="000000" w:themeColor="text1"/>
        </w:rPr>
        <w:t xml:space="preserve">.90 being deemed acceptable and values of </w:t>
      </w:r>
      <w:r w:rsidR="001B71BD">
        <w:rPr>
          <w:color w:val="000000" w:themeColor="text1"/>
        </w:rPr>
        <w:t>0</w:t>
      </w:r>
      <w:r w:rsidR="008D4254" w:rsidRPr="0012446B">
        <w:rPr>
          <w:color w:val="000000" w:themeColor="text1"/>
        </w:rPr>
        <w:t>.95 deemed good</w:t>
      </w:r>
      <w:r w:rsidR="00E80AD2">
        <w:rPr>
          <w:color w:val="000000" w:themeColor="text1"/>
        </w:rPr>
        <w:t>.</w:t>
      </w:r>
      <w:r w:rsidR="00E80AD2">
        <w:rPr>
          <w:color w:val="000000" w:themeColor="text1"/>
        </w:rPr>
        <w:fldChar w:fldCharType="begin"/>
      </w:r>
      <w:r w:rsidR="00D670F5">
        <w:rPr>
          <w:color w:val="000000" w:themeColor="text1"/>
        </w:rPr>
        <w:instrText xml:space="preserve"> ADDIN ZOTERO_ITEM CSL_CITATION {"citationID":"yR2qyTKF","properties":{"formattedCitation":"\\super 23\\nosupersub{}","plainCitation":"23","noteIndex":0},"citationItems":[{"id":3135,"uris":["http://zotero.org/users/2016235/items/ZKTDNZTK"],"itemData":{"id":3135,"type":"article-journal","abstract":"This article examines the adequacy of the “rules of thumb” conventional cutoff criteria and several new alternatives for various fit indexes used to evaluate model fit in practice. Using a 2‐index presentation strategy, which includes using the maximum likelihood (ML)‐based standardized root mean squared residual (SRMR) and supplementing it with either Tucker‐Lewis Index (TLI), Bollen's (1989) Fit Index (BL89), Relative Noncentrality Index (RNI), Comparative Fit Index (CFI), Gamma Hat, McDonald's Centrality Index (Mc), or root mean squared error of approximation (RMSEA), various combinations of cutoff values from selected ranges of cutoff criteria for the ML‐based SRMR and a given supplemental fit index were used to calculate rejection rates for various types of true‐population and misspecified models; that is, models with misspecified factor covariance(s) and models with misspecified factor loading(s). The results suggest that, for the ML method, a cutoff value close to .95 for TLI, BL89, CFI, RNI, and Gamma Hat; a cutoff value close to .90 for Mc; a cutoff value close to .08 for SRMR; and a cutoff value close to .06 for RMSEA are needed before we can conclude that there is a relatively good fit between the hypothesized model and the observed data. Furthermore, the 2‐index presentation strategy is required to reject reasonable proportions of various types of true‐population and misspecified models. Finally, using the proposed cutoff criteria, the ML‐based TLI, Mc, and RMSEA tend to overreject true‐population models at small sample size and thus are less preferable when sample size is small.","container-title":"Structural Equation Modeling: A Multidisciplinary Journal","DOI":"10.1080/10705519909540118","ISSN":"1070-5511","issue":"1","note":"publisher: Routledge\n_eprint: https://doi.org/10.1080/10705519909540118","page":"1-55","source":"Taylor and Francis+NEJM","title":"Cutoff criteria for fit indexes in covariance structure analysis: Conventional criteria versus new alternatives","title-short":"Cutoff criteria for fit indexes in covariance structure analysis","volume":"6","author":[{"family":"Hu","given":"Li‐tze"},{"family":"Bentler","given":"Peter M."}],"issued":{"date-parts":[["1999",1,1]]}}}],"schema":"https://github.com/citation-style-language/schema/raw/master/csl-citation.json"} </w:instrText>
      </w:r>
      <w:r w:rsidR="00E80AD2">
        <w:rPr>
          <w:color w:val="000000" w:themeColor="text1"/>
        </w:rPr>
        <w:fldChar w:fldCharType="separate"/>
      </w:r>
      <w:r w:rsidR="00D670F5" w:rsidRPr="00D670F5">
        <w:rPr>
          <w:rFonts w:ascii="Calibri" w:cs="Calibri"/>
          <w:color w:val="000000"/>
          <w:vertAlign w:val="superscript"/>
        </w:rPr>
        <w:t>23</w:t>
      </w:r>
      <w:r w:rsidR="00E80AD2">
        <w:rPr>
          <w:color w:val="000000" w:themeColor="text1"/>
        </w:rPr>
        <w:fldChar w:fldCharType="end"/>
      </w:r>
      <w:r w:rsidR="00364DD7">
        <w:rPr>
          <w:color w:val="000000" w:themeColor="text1"/>
        </w:rPr>
        <w:t xml:space="preserve"> </w:t>
      </w:r>
      <w:r w:rsidR="00F92A4F">
        <w:rPr>
          <w:color w:val="000000" w:themeColor="text1"/>
          <w:vertAlign w:val="superscript"/>
        </w:rPr>
        <w:t>#</w:t>
      </w:r>
      <w:r w:rsidR="008D4254" w:rsidRPr="0012446B">
        <w:rPr>
          <w:color w:val="000000" w:themeColor="text1"/>
        </w:rPr>
        <w:t xml:space="preserve"> </w:t>
      </w:r>
      <w:r w:rsidR="008D4254">
        <w:rPr>
          <w:color w:val="000000" w:themeColor="text1"/>
        </w:rPr>
        <w:t>The absolute fit index,</w:t>
      </w:r>
      <w:r w:rsidR="008D4254" w:rsidRPr="0012446B">
        <w:rPr>
          <w:color w:val="000000" w:themeColor="text1"/>
        </w:rPr>
        <w:t xml:space="preserve"> the root mean square error of approximation (RMSEA),</w:t>
      </w:r>
      <w:r w:rsidR="008D4254">
        <w:rPr>
          <w:color w:val="000000" w:themeColor="text1"/>
        </w:rPr>
        <w:t xml:space="preserve"> was also produced where</w:t>
      </w:r>
      <w:r w:rsidR="008D4254" w:rsidRPr="0012446B">
        <w:rPr>
          <w:color w:val="000000" w:themeColor="text1"/>
        </w:rPr>
        <w:t xml:space="preserve"> values of </w:t>
      </w:r>
      <w:r w:rsidR="001B71BD">
        <w:rPr>
          <w:color w:val="000000" w:themeColor="text1"/>
        </w:rPr>
        <w:t>0</w:t>
      </w:r>
      <w:r w:rsidR="008D4254" w:rsidRPr="0012446B">
        <w:rPr>
          <w:color w:val="000000" w:themeColor="text1"/>
        </w:rPr>
        <w:t xml:space="preserve">.05 and under are deemed good, values of </w:t>
      </w:r>
      <w:r w:rsidR="001B71BD">
        <w:rPr>
          <w:color w:val="000000" w:themeColor="text1"/>
        </w:rPr>
        <w:t>0</w:t>
      </w:r>
      <w:r w:rsidR="008D4254" w:rsidRPr="0012446B">
        <w:rPr>
          <w:color w:val="000000" w:themeColor="text1"/>
        </w:rPr>
        <w:t xml:space="preserve">.08 and under are deemed fair, values between </w:t>
      </w:r>
      <w:r w:rsidR="001B71BD">
        <w:rPr>
          <w:color w:val="000000" w:themeColor="text1"/>
        </w:rPr>
        <w:t>0</w:t>
      </w:r>
      <w:r w:rsidR="008D4254" w:rsidRPr="0012446B">
        <w:rPr>
          <w:color w:val="000000" w:themeColor="text1"/>
        </w:rPr>
        <w:t>.08 and .</w:t>
      </w:r>
      <w:r w:rsidR="001B71BD">
        <w:rPr>
          <w:color w:val="000000" w:themeColor="text1"/>
        </w:rPr>
        <w:t>0</w:t>
      </w:r>
      <w:r w:rsidR="008D4254" w:rsidRPr="0012446B">
        <w:rPr>
          <w:color w:val="000000" w:themeColor="text1"/>
        </w:rPr>
        <w:t xml:space="preserve">10 are deemed mediocre, and values over </w:t>
      </w:r>
      <w:r w:rsidR="001B71BD">
        <w:rPr>
          <w:color w:val="000000" w:themeColor="text1"/>
        </w:rPr>
        <w:t>0</w:t>
      </w:r>
      <w:r w:rsidR="008D4254" w:rsidRPr="0012446B">
        <w:rPr>
          <w:color w:val="000000" w:themeColor="text1"/>
        </w:rPr>
        <w:t>.10 are considered a poor fit</w:t>
      </w:r>
      <w:r w:rsidR="00E80AD2">
        <w:rPr>
          <w:color w:val="000000" w:themeColor="text1"/>
        </w:rPr>
        <w:t>.</w:t>
      </w:r>
      <w:r w:rsidR="00364DD7">
        <w:rPr>
          <w:color w:val="000000" w:themeColor="text1"/>
        </w:rPr>
        <w:fldChar w:fldCharType="begin"/>
      </w:r>
      <w:r w:rsidR="00D670F5">
        <w:rPr>
          <w:color w:val="000000" w:themeColor="text1"/>
        </w:rPr>
        <w:instrText xml:space="preserve"> ADDIN ZOTERO_ITEM CSL_CITATION {"citationID":"dXVXyOQS","properties":{"formattedCitation":"\\super 23,24\\nosupersub{}","plainCitation":"23,24","noteIndex":0},"citationItems":[{"id":3135,"uris":["http://zotero.org/users/2016235/items/ZKTDNZTK"],"itemData":{"id":3135,"type":"article-journal","abstract":"This article examines the adequacy of the “rules of thumb” conventional cutoff criteria and several new alternatives for various fit indexes used to evaluate model fit in practice. Using a 2‐index presentation strategy, which includes using the maximum likelihood (ML)‐based standardized root mean squared residual (SRMR) and supplementing it with either Tucker‐Lewis Index (TLI), Bollen's (1989) Fit Index (BL89), Relative Noncentrality Index (RNI), Comparative Fit Index (CFI), Gamma Hat, McDonald's Centrality Index (Mc), or root mean squared error of approximation (RMSEA), various combinations of cutoff values from selected ranges of cutoff criteria for the ML‐based SRMR and a given supplemental fit index were used to calculate rejection rates for various types of true‐population and misspecified models; that is, models with misspecified factor covariance(s) and models with misspecified factor loading(s). The results suggest that, for the ML method, a cutoff value close to .95 for TLI, BL89, CFI, RNI, and Gamma Hat; a cutoff value close to .90 for Mc; a cutoff value close to .08 for SRMR; and a cutoff value close to .06 for RMSEA are needed before we can conclude that there is a relatively good fit between the hypothesized model and the observed data. Furthermore, the 2‐index presentation strategy is required to reject reasonable proportions of various types of true‐population and misspecified models. Finally, using the proposed cutoff criteria, the ML‐based TLI, Mc, and RMSEA tend to overreject true‐population models at small sample size and thus are less preferable when sample size is small.","container-title":"Structural Equation Modeling: A Multidisciplinary Journal","DOI":"10.1080/10705519909540118","ISSN":"1070-5511","issue":"1","note":"publisher: Routledge\n_eprint: https://doi.org/10.1080/10705519909540118","page":"1-55","source":"Taylor and Francis+NEJM","title":"Cutoff criteria for fit indexes in covariance structure analysis: Conventional criteria versus new alternatives","title-short":"Cutoff criteria for fit indexes in covariance structure analysis","volume":"6","author":[{"family":"Hu","given":"Li‐tze"},{"family":"Bentler","given":"Peter M."}],"issued":{"date-parts":[["1999",1,1]]}}},{"id":3136,"uris":["http://zotero.org/users/2016235/items/MZHZWDM6"],"itemData":{"id":3136,"type":"article-journal","abstract":"A framework for hypothesis testing and power analysis in the assessment of fit of covariance structure models is presented. We emphasize the value of confidence intervals for fit indices, and we stress the relationship of confidence intervals to a framework for hypothesis testing. The approach allows for testing null hypotheses of not-good fit, reversing the role of the null hypothesis in conventional tests of model fit, so that a significant result provides strong support for good fit. The approach also allows for direct estimation of power, where effect size is defined in terms of a null and alternative value of the root-mean-square error of approximation fit index proposed by J. H. Steiger and J. M. Lind (1980). It is also feasible to determine minimum sample size required to achieve a given level of power for any test of fit in this framework. Computer programs and examples are provided for power analyses and calculation of minimum sample sizes. (PsycINFO Database Record (c) 2016 APA, all rights reserved)","container-title":"Psychological Methods","DOI":"10.1037/1082-989X.1.2.130","ISSN":"1939-1463","note":"publisher-place: US\npublisher: American Psychological Association","page":"130-149","source":"APA PsycNet","title":"Power analysis and determination of sample size for covariance structure modeling","volume":"1","author":[{"family":"MacCallum","given":"Robert C."},{"family":"Browne","given":"Michael W."},{"family":"Sugawara","given":"Hazuki M."}],"issued":{"date-parts":[["1996"]]}}}],"schema":"https://github.com/citation-style-language/schema/raw/master/csl-citation.json"} </w:instrText>
      </w:r>
      <w:r w:rsidR="00364DD7">
        <w:rPr>
          <w:color w:val="000000" w:themeColor="text1"/>
        </w:rPr>
        <w:fldChar w:fldCharType="separate"/>
      </w:r>
      <w:r w:rsidR="00D670F5" w:rsidRPr="00D670F5">
        <w:rPr>
          <w:rFonts w:ascii="Calibri" w:cs="Calibri"/>
          <w:color w:val="000000"/>
          <w:vertAlign w:val="superscript"/>
        </w:rPr>
        <w:t>23,24</w:t>
      </w:r>
      <w:r w:rsidR="00364DD7">
        <w:rPr>
          <w:color w:val="000000" w:themeColor="text1"/>
        </w:rPr>
        <w:fldChar w:fldCharType="end"/>
      </w:r>
      <w:r w:rsidR="008D4254" w:rsidRPr="0012446B">
        <w:rPr>
          <w:color w:val="000000" w:themeColor="text1"/>
        </w:rPr>
        <w:t xml:space="preserve"> </w:t>
      </w:r>
      <w:r w:rsidR="008D4254">
        <w:rPr>
          <w:color w:val="000000" w:themeColor="text1"/>
        </w:rPr>
        <w:t>Finally, another absolute fit index,</w:t>
      </w:r>
      <w:r w:rsidR="008D4254" w:rsidRPr="0012446B">
        <w:rPr>
          <w:color w:val="000000" w:themeColor="text1"/>
        </w:rPr>
        <w:t xml:space="preserve"> the standardised root mean square residual (SRMR)</w:t>
      </w:r>
      <w:r w:rsidR="008D4254">
        <w:rPr>
          <w:color w:val="000000" w:themeColor="text1"/>
        </w:rPr>
        <w:t xml:space="preserve"> was calculated,</w:t>
      </w:r>
      <w:r w:rsidR="008D4254" w:rsidRPr="0012446B">
        <w:rPr>
          <w:color w:val="000000" w:themeColor="text1"/>
        </w:rPr>
        <w:t xml:space="preserve"> values less than </w:t>
      </w:r>
      <w:r w:rsidR="001B71BD">
        <w:rPr>
          <w:color w:val="000000" w:themeColor="text1"/>
        </w:rPr>
        <w:t>0</w:t>
      </w:r>
      <w:r w:rsidR="008D4254" w:rsidRPr="0012446B">
        <w:rPr>
          <w:color w:val="000000" w:themeColor="text1"/>
        </w:rPr>
        <w:t>.08 are considered a good fit</w:t>
      </w:r>
      <w:r w:rsidR="00364DD7">
        <w:rPr>
          <w:color w:val="000000" w:themeColor="text1"/>
        </w:rPr>
        <w:t>.</w:t>
      </w:r>
      <w:r w:rsidR="00364DD7">
        <w:rPr>
          <w:color w:val="000000" w:themeColor="text1"/>
        </w:rPr>
        <w:fldChar w:fldCharType="begin"/>
      </w:r>
      <w:r w:rsidR="00D670F5">
        <w:rPr>
          <w:color w:val="000000" w:themeColor="text1"/>
        </w:rPr>
        <w:instrText xml:space="preserve"> ADDIN ZOTERO_ITEM CSL_CITATION {"citationID":"6S48wN0R","properties":{"formattedCitation":"\\super 23\\nosupersub{}","plainCitation":"23","noteIndex":0},"citationItems":[{"id":3135,"uris":["http://zotero.org/users/2016235/items/ZKTDNZTK"],"itemData":{"id":3135,"type":"article-journal","abstract":"This article examines the adequacy of the “rules of thumb” conventional cutoff criteria and several new alternatives for various fit indexes used to evaluate model fit in practice. Using a 2‐index presentation strategy, which includes using the maximum likelihood (ML)‐based standardized root mean squared residual (SRMR) and supplementing it with either Tucker‐Lewis Index (TLI), Bollen's (1989) Fit Index (BL89), Relative Noncentrality Index (RNI), Comparative Fit Index (CFI), Gamma Hat, McDonald's Centrality Index (Mc), or root mean squared error of approximation (RMSEA), various combinations of cutoff values from selected ranges of cutoff criteria for the ML‐based SRMR and a given supplemental fit index were used to calculate rejection rates for various types of true‐population and misspecified models; that is, models with misspecified factor covariance(s) and models with misspecified factor loading(s). The results suggest that, for the ML method, a cutoff value close to .95 for TLI, BL89, CFI, RNI, and Gamma Hat; a cutoff value close to .90 for Mc; a cutoff value close to .08 for SRMR; and a cutoff value close to .06 for RMSEA are needed before we can conclude that there is a relatively good fit between the hypothesized model and the observed data. Furthermore, the 2‐index presentation strategy is required to reject reasonable proportions of various types of true‐population and misspecified models. Finally, using the proposed cutoff criteria, the ML‐based TLI, Mc, and RMSEA tend to overreject true‐population models at small sample size and thus are less preferable when sample size is small.","container-title":"Structural Equation Modeling: A Multidisciplinary Journal","DOI":"10.1080/10705519909540118","ISSN":"1070-5511","issue":"1","note":"publisher: Routledge\n_eprint: https://doi.org/10.1080/10705519909540118","page":"1-55","source":"Taylor and Francis+NEJM","title":"Cutoff criteria for fit indexes in covariance structure analysis: Conventional criteria versus new alternatives","title-short":"Cutoff criteria for fit indexes in covariance structure analysis","volume":"6","author":[{"family":"Hu","given":"Li‐tze"},{"family":"Bentler","given":"Peter M."}],"issued":{"date-parts":[["1999",1,1]]}}}],"schema":"https://github.com/citation-style-language/schema/raw/master/csl-citation.json"} </w:instrText>
      </w:r>
      <w:r w:rsidR="00364DD7">
        <w:rPr>
          <w:color w:val="000000" w:themeColor="text1"/>
        </w:rPr>
        <w:fldChar w:fldCharType="separate"/>
      </w:r>
      <w:r w:rsidR="00D670F5" w:rsidRPr="00D670F5">
        <w:rPr>
          <w:rFonts w:ascii="Calibri" w:cs="Calibri"/>
          <w:color w:val="000000"/>
          <w:vertAlign w:val="superscript"/>
        </w:rPr>
        <w:t>23</w:t>
      </w:r>
      <w:r w:rsidR="00364DD7">
        <w:rPr>
          <w:color w:val="000000" w:themeColor="text1"/>
        </w:rPr>
        <w:fldChar w:fldCharType="end"/>
      </w:r>
      <w:r w:rsidR="008D4254" w:rsidRPr="0012446B">
        <w:rPr>
          <w:color w:val="000000" w:themeColor="text1"/>
        </w:rPr>
        <w:t xml:space="preserve"> Modification indices were inspected; </w:t>
      </w:r>
      <w:r w:rsidR="008D4254">
        <w:rPr>
          <w:color w:val="000000" w:themeColor="text1"/>
        </w:rPr>
        <w:t xml:space="preserve">errors were allowed to covary if modification indices were &gt;10, loaded on the same factor and the correlated error terms made conceptual sense. </w:t>
      </w:r>
    </w:p>
    <w:p w14:paraId="25D30E96" w14:textId="67C6AAAE" w:rsidR="0098603F" w:rsidRDefault="00073AC3" w:rsidP="00804A81">
      <w:pPr>
        <w:jc w:val="both"/>
        <w:rPr>
          <w:color w:val="000000" w:themeColor="text1"/>
        </w:rPr>
      </w:pPr>
      <w:r w:rsidRPr="00804A81">
        <w:rPr>
          <w:color w:val="000000" w:themeColor="text1"/>
        </w:rPr>
        <w:t>Internal consistency</w:t>
      </w:r>
      <w:r w:rsidR="008A02F1" w:rsidRPr="00804A81">
        <w:rPr>
          <w:color w:val="000000" w:themeColor="text1"/>
        </w:rPr>
        <w:t xml:space="preserve"> of PROM items</w:t>
      </w:r>
      <w:r w:rsidRPr="00804A81">
        <w:rPr>
          <w:color w:val="000000" w:themeColor="text1"/>
        </w:rPr>
        <w:t xml:space="preserve"> was tested using Cronbach’s alpha</w:t>
      </w:r>
      <w:r w:rsidR="008A02F1" w:rsidRPr="00804A81">
        <w:rPr>
          <w:color w:val="000000" w:themeColor="text1"/>
        </w:rPr>
        <w:t xml:space="preserve"> and </w:t>
      </w:r>
      <w:r w:rsidR="000C0C38" w:rsidRPr="00804A81">
        <w:rPr>
          <w:color w:val="000000" w:themeColor="text1"/>
        </w:rPr>
        <w:t>McDonald’s omega</w:t>
      </w:r>
      <w:r w:rsidR="00072F67">
        <w:rPr>
          <w:color w:val="000000" w:themeColor="text1"/>
        </w:rPr>
        <w:t xml:space="preserve"> (the former being the most common method although it assumes tau equivalence with recent recommendations suggesting McDonald’s omega being a superior measure</w:t>
      </w:r>
      <w:r w:rsidR="000D346F">
        <w:rPr>
          <w:color w:val="000000" w:themeColor="text1"/>
        </w:rPr>
        <w:t>)</w:t>
      </w:r>
      <w:r w:rsidR="00364DD7">
        <w:rPr>
          <w:color w:val="000000" w:themeColor="text1"/>
        </w:rPr>
        <w:t>.</w:t>
      </w:r>
      <w:r w:rsidR="00364DD7">
        <w:rPr>
          <w:color w:val="000000" w:themeColor="text1"/>
        </w:rPr>
        <w:fldChar w:fldCharType="begin"/>
      </w:r>
      <w:r w:rsidR="00D670F5">
        <w:rPr>
          <w:color w:val="000000" w:themeColor="text1"/>
        </w:rPr>
        <w:instrText xml:space="preserve"> ADDIN ZOTERO_ITEM CSL_CITATION {"citationID":"07mBRvm2","properties":{"formattedCitation":"\\super 25\\nosupersub{}","plainCitation":"25","noteIndex":0},"citationItems":[{"id":3138,"uris":["http://zotero.org/users/2016235/items/8HG5X5X3"],"itemData":{"id":3138,"type":"article-journal","abstract":"There are three fundamental problems in Sijtsma (Psychometrika, 2008): (1) contrary to the name, the glb is not the greatest lower bound of reliability but rather is systematically less than ωt(McDonald, Test theory: A unified treatment, Erlbaum, Hillsdale, 1999), (2) we agree with Sijtsma that when considering how well a test measures one concept, α is not appropriate, but recommend ωtrather than the glb, and (3) the end user needs procedures that are readily available in open source software.","container-title":"Psychometrika","DOI":"10.1007/s11336-008-9102-z","ISSN":"1860-0980","issue":"1","journalAbbreviation":"Psychometrika","language":"en","page":"145","source":"Springer Link","title":"Coefficients Alpha, Beta, Omega, and the glb: Comments on Sijtsma","title-short":"Coefficients Alpha, Beta, Omega, and the glb","volume":"74","author":[{"family":"Revelle","given":"William"},{"family":"Zinbarg","given":"Richard E."}],"issued":{"date-parts":[["2008",12,11]]}}}],"schema":"https://github.com/citation-style-language/schema/raw/master/csl-citation.json"} </w:instrText>
      </w:r>
      <w:r w:rsidR="00364DD7">
        <w:rPr>
          <w:color w:val="000000" w:themeColor="text1"/>
        </w:rPr>
        <w:fldChar w:fldCharType="separate"/>
      </w:r>
      <w:r w:rsidR="00D670F5" w:rsidRPr="00D670F5">
        <w:rPr>
          <w:rFonts w:ascii="Calibri" w:cs="Calibri"/>
          <w:color w:val="000000"/>
          <w:vertAlign w:val="superscript"/>
        </w:rPr>
        <w:t>25</w:t>
      </w:r>
      <w:r w:rsidR="00364DD7">
        <w:rPr>
          <w:color w:val="000000" w:themeColor="text1"/>
        </w:rPr>
        <w:fldChar w:fldCharType="end"/>
      </w:r>
      <w:r w:rsidR="00364DD7">
        <w:rPr>
          <w:color w:val="000000" w:themeColor="text1"/>
        </w:rPr>
        <w:t xml:space="preserve"> </w:t>
      </w:r>
      <w:r w:rsidR="0098603F">
        <w:rPr>
          <w:color w:val="000000" w:themeColor="text1"/>
        </w:rPr>
        <w:t xml:space="preserve">This was conducted on the full data set, and in subgroups. </w:t>
      </w:r>
    </w:p>
    <w:p w14:paraId="017510FE" w14:textId="4CDAB473" w:rsidR="004520CF" w:rsidRPr="005A2188" w:rsidRDefault="0098603F" w:rsidP="00804A81">
      <w:pPr>
        <w:jc w:val="both"/>
        <w:rPr>
          <w:b/>
          <w:bCs/>
          <w:color w:val="000000" w:themeColor="text1"/>
        </w:rPr>
      </w:pPr>
      <w:r>
        <w:rPr>
          <w:color w:val="000000" w:themeColor="text1"/>
        </w:rPr>
        <w:t xml:space="preserve">Finally, we tested measurement invariance of the scale to ensure that the factor structure and related properties were consistent across different groups. </w:t>
      </w:r>
      <w:r w:rsidRPr="0098603F">
        <w:rPr>
          <w:color w:val="000000" w:themeColor="text1"/>
        </w:rPr>
        <w:t xml:space="preserve">Firstly, we tested configural invariance (whether the factor structure holds across the two samples) by fitting </w:t>
      </w:r>
      <w:r>
        <w:rPr>
          <w:color w:val="000000" w:themeColor="text1"/>
        </w:rPr>
        <w:t>the factor structure identified</w:t>
      </w:r>
      <w:r w:rsidRPr="0098603F">
        <w:rPr>
          <w:color w:val="000000" w:themeColor="text1"/>
        </w:rPr>
        <w:t xml:space="preserve"> with a grouping variable</w:t>
      </w:r>
      <w:r>
        <w:rPr>
          <w:color w:val="000000" w:themeColor="text1"/>
        </w:rPr>
        <w:t>.</w:t>
      </w:r>
      <w:r w:rsidRPr="0098603F">
        <w:rPr>
          <w:color w:val="000000" w:themeColor="text1"/>
        </w:rPr>
        <w:t xml:space="preserve"> This model was assessed </w:t>
      </w:r>
      <w:r>
        <w:rPr>
          <w:color w:val="000000" w:themeColor="text1"/>
        </w:rPr>
        <w:t xml:space="preserve">using the same fit indices described </w:t>
      </w:r>
      <w:r w:rsidR="00B34AFE">
        <w:rPr>
          <w:color w:val="000000" w:themeColor="text1"/>
        </w:rPr>
        <w:t>for the CFA</w:t>
      </w:r>
      <w:r w:rsidRPr="0098603F">
        <w:rPr>
          <w:color w:val="000000" w:themeColor="text1"/>
        </w:rPr>
        <w:t>. Th</w:t>
      </w:r>
      <w:r w:rsidR="00F61E27">
        <w:rPr>
          <w:color w:val="000000" w:themeColor="text1"/>
        </w:rPr>
        <w:t>is</w:t>
      </w:r>
      <w:r w:rsidRPr="0098603F">
        <w:rPr>
          <w:color w:val="000000" w:themeColor="text1"/>
        </w:rPr>
        <w:t xml:space="preserve"> configural model was then compared to the metric invariance model, which was the same </w:t>
      </w:r>
      <w:r w:rsidR="00F61E27">
        <w:rPr>
          <w:color w:val="000000" w:themeColor="text1"/>
        </w:rPr>
        <w:t>structure but</w:t>
      </w:r>
      <w:r w:rsidRPr="0098603F">
        <w:rPr>
          <w:color w:val="000000" w:themeColor="text1"/>
        </w:rPr>
        <w:t xml:space="preserve"> </w:t>
      </w:r>
      <w:r w:rsidR="00F61E27">
        <w:rPr>
          <w:color w:val="000000" w:themeColor="text1"/>
        </w:rPr>
        <w:t>fixing factor loadings across groups</w:t>
      </w:r>
      <w:r w:rsidRPr="0098603F">
        <w:rPr>
          <w:color w:val="000000" w:themeColor="text1"/>
        </w:rPr>
        <w:t xml:space="preserve"> (intercepts </w:t>
      </w:r>
      <w:r w:rsidR="00F61E27">
        <w:rPr>
          <w:color w:val="000000" w:themeColor="text1"/>
        </w:rPr>
        <w:t>allowed to vary</w:t>
      </w:r>
      <w:r w:rsidRPr="0098603F">
        <w:rPr>
          <w:color w:val="000000" w:themeColor="text1"/>
        </w:rPr>
        <w:t>)</w:t>
      </w:r>
      <w:r w:rsidR="00F61E27">
        <w:rPr>
          <w:color w:val="000000" w:themeColor="text1"/>
        </w:rPr>
        <w:t>, this shows if each item contributes to the factor in a similar manner across the groups</w:t>
      </w:r>
      <w:r w:rsidRPr="0098603F">
        <w:rPr>
          <w:color w:val="000000" w:themeColor="text1"/>
        </w:rPr>
        <w:t xml:space="preserve">. The validity of the metric model was assessed </w:t>
      </w:r>
      <w:r w:rsidR="00F61E27">
        <w:rPr>
          <w:color w:val="000000" w:themeColor="text1"/>
        </w:rPr>
        <w:t xml:space="preserve">using </w:t>
      </w:r>
      <w:r w:rsidRPr="0098603F">
        <w:rPr>
          <w:color w:val="000000" w:themeColor="text1"/>
        </w:rPr>
        <w:t>CFI differences (∆CFI) &lt;</w:t>
      </w:r>
      <w:r w:rsidR="001B71BD">
        <w:rPr>
          <w:color w:val="000000" w:themeColor="text1"/>
        </w:rPr>
        <w:t>0</w:t>
      </w:r>
      <w:r w:rsidRPr="0098603F">
        <w:rPr>
          <w:color w:val="000000" w:themeColor="text1"/>
        </w:rPr>
        <w:t xml:space="preserve">.01, </w:t>
      </w:r>
      <w:r w:rsidR="00F61E27">
        <w:rPr>
          <w:color w:val="000000" w:themeColor="text1"/>
        </w:rPr>
        <w:t>RMSEA differences (</w:t>
      </w:r>
      <w:r w:rsidRPr="0098603F">
        <w:rPr>
          <w:color w:val="000000" w:themeColor="text1"/>
        </w:rPr>
        <w:t>∆RMSEA</w:t>
      </w:r>
      <w:r w:rsidR="00F61E27">
        <w:rPr>
          <w:color w:val="000000" w:themeColor="text1"/>
        </w:rPr>
        <w:t xml:space="preserve">) </w:t>
      </w:r>
      <w:r w:rsidRPr="0098603F">
        <w:rPr>
          <w:color w:val="000000" w:themeColor="text1"/>
        </w:rPr>
        <w:t>&lt;</w:t>
      </w:r>
      <w:r w:rsidR="001B71BD">
        <w:rPr>
          <w:color w:val="000000" w:themeColor="text1"/>
        </w:rPr>
        <w:t>0</w:t>
      </w:r>
      <w:r w:rsidRPr="0098603F">
        <w:rPr>
          <w:color w:val="000000" w:themeColor="text1"/>
        </w:rPr>
        <w:t>.015 and</w:t>
      </w:r>
      <w:r w:rsidR="00F61E27">
        <w:rPr>
          <w:color w:val="000000" w:themeColor="text1"/>
        </w:rPr>
        <w:t xml:space="preserve"> SRMR differences (</w:t>
      </w:r>
      <w:r w:rsidRPr="0098603F">
        <w:rPr>
          <w:color w:val="000000" w:themeColor="text1"/>
        </w:rPr>
        <w:t>∆SRMR</w:t>
      </w:r>
      <w:r w:rsidR="00F61E27">
        <w:rPr>
          <w:color w:val="000000" w:themeColor="text1"/>
        </w:rPr>
        <w:t xml:space="preserve">) </w:t>
      </w:r>
      <w:r w:rsidRPr="0098603F">
        <w:rPr>
          <w:color w:val="000000" w:themeColor="text1"/>
        </w:rPr>
        <w:t>&lt;</w:t>
      </w:r>
      <w:r w:rsidR="001B71BD">
        <w:rPr>
          <w:color w:val="000000" w:themeColor="text1"/>
        </w:rPr>
        <w:t>0</w:t>
      </w:r>
      <w:r w:rsidRPr="0098603F">
        <w:rPr>
          <w:color w:val="000000" w:themeColor="text1"/>
        </w:rPr>
        <w:t>.03</w:t>
      </w:r>
      <w:r w:rsidR="00F61E27">
        <w:rPr>
          <w:color w:val="000000" w:themeColor="text1"/>
        </w:rPr>
        <w:t>, as the cut offs for showing metric</w:t>
      </w:r>
      <w:r w:rsidR="00B34AFE">
        <w:rPr>
          <w:color w:val="000000" w:themeColor="text1"/>
        </w:rPr>
        <w:t xml:space="preserve"> invariance</w:t>
      </w:r>
      <w:r w:rsidRPr="0098603F">
        <w:rPr>
          <w:color w:val="000000" w:themeColor="text1"/>
        </w:rPr>
        <w:t>. The metric invariance model was then compared to the scalar invariance model in which factor loadings and intercepts are assumed to be equal across our groups</w:t>
      </w:r>
      <w:r w:rsidR="00F61E27">
        <w:rPr>
          <w:color w:val="000000" w:themeColor="text1"/>
        </w:rPr>
        <w:t>, this allows us to ascertain if we can validly compare the means of factors across groups</w:t>
      </w:r>
      <w:r w:rsidRPr="0098603F">
        <w:rPr>
          <w:color w:val="000000" w:themeColor="text1"/>
        </w:rPr>
        <w:t>. The assessment for this was the same as for metric invariance except the SRMR cut off was more strict with ∆SRMR&lt;</w:t>
      </w:r>
      <w:r w:rsidR="001B71BD">
        <w:rPr>
          <w:color w:val="000000" w:themeColor="text1"/>
        </w:rPr>
        <w:t>0</w:t>
      </w:r>
      <w:r w:rsidRPr="0098603F">
        <w:rPr>
          <w:color w:val="000000" w:themeColor="text1"/>
        </w:rPr>
        <w:t>.015 to indicate scalar invariance. Finally, we also tested strict invariance in which residuals as well as slopes and intercepts were assumed to be constant,</w:t>
      </w:r>
      <w:r w:rsidR="00B32163">
        <w:rPr>
          <w:color w:val="000000" w:themeColor="text1"/>
        </w:rPr>
        <w:t xml:space="preserve"> thus elucidating if the items residual variances (i.e. unique variance) is </w:t>
      </w:r>
      <w:r w:rsidR="00B32163">
        <w:rPr>
          <w:color w:val="000000" w:themeColor="text1"/>
        </w:rPr>
        <w:lastRenderedPageBreak/>
        <w:t>consistent across groups.</w:t>
      </w:r>
      <w:r w:rsidRPr="0098603F">
        <w:rPr>
          <w:color w:val="000000" w:themeColor="text1"/>
        </w:rPr>
        <w:t xml:space="preserve"> </w:t>
      </w:r>
      <w:r w:rsidR="00B32163">
        <w:rPr>
          <w:color w:val="000000" w:themeColor="text1"/>
        </w:rPr>
        <w:t xml:space="preserve">This model was </w:t>
      </w:r>
      <w:r w:rsidRPr="0098603F">
        <w:rPr>
          <w:color w:val="000000" w:themeColor="text1"/>
        </w:rPr>
        <w:t>compar</w:t>
      </w:r>
      <w:r w:rsidR="00B32163">
        <w:rPr>
          <w:color w:val="000000" w:themeColor="text1"/>
        </w:rPr>
        <w:t>ed</w:t>
      </w:r>
      <w:r w:rsidRPr="0098603F">
        <w:rPr>
          <w:color w:val="000000" w:themeColor="text1"/>
        </w:rPr>
        <w:t xml:space="preserve"> with the metric invariance model</w:t>
      </w:r>
      <w:r w:rsidR="00B32163">
        <w:rPr>
          <w:color w:val="000000" w:themeColor="text1"/>
        </w:rPr>
        <w:t>, and</w:t>
      </w:r>
      <w:r w:rsidRPr="0098603F">
        <w:rPr>
          <w:color w:val="000000" w:themeColor="text1"/>
        </w:rPr>
        <w:t xml:space="preserve"> the same cut offs were used for this as in the previous model comparison</w:t>
      </w:r>
      <w:r w:rsidR="00364DD7">
        <w:rPr>
          <w:color w:val="000000" w:themeColor="text1"/>
        </w:rPr>
        <w:t>.</w:t>
      </w:r>
      <w:r w:rsidR="00364DD7">
        <w:rPr>
          <w:color w:val="000000" w:themeColor="text1"/>
        </w:rPr>
        <w:fldChar w:fldCharType="begin"/>
      </w:r>
      <w:r w:rsidR="00D670F5">
        <w:rPr>
          <w:color w:val="000000" w:themeColor="text1"/>
        </w:rPr>
        <w:instrText xml:space="preserve"> ADDIN ZOTERO_ITEM CSL_CITATION {"citationID":"mG3tm9ix","properties":{"formattedCitation":"\\super 26\\nosupersub{}","plainCitation":"26","noteIndex":0},"citationItems":[{"id":3139,"uris":["http://zotero.org/users/2016235/items/9TJP35ZE"],"itemData":{"id":3139,"type":"article-journal","abstract":"Two Monte Carlo studies were conducted to examine the sensitivity of goodness of fit indexes to lack of measurement invariance at 3 commonly tested levels: factor loadings, intercepts, and residual variances. Standardized root mean square residual (SRMR) appears to be more sensitive to lack of invariance in factor loadings than in intercepts or residual variances. Comparative fit index (CFI) and root mean square error of approximation (RMSEA) appear to be equally sensitive to all 3 types of lack of invariance. The most intriguing finding is that changes in fit statistics are affected by the interaction between the pattern of invariance and the proportion of invariant items: when the pattern of lack of invariance is uniform, the relation is nonmonotonic, whereas when the pattern of lack of invariance is mixed, the relation is monotonic. Unequal sample sizes affect changes across all 3 levels of invariance: Changes are bigger when sample sizes are equal rather than when they are unequal. Cutoff points for testing invariance at different levels are recommended.","container-title":"Structural Equation Modeling: A Multidisciplinary Journal","DOI":"10.1080/10705510701301834","ISSN":"1070-5511","issue":"3","note":"publisher: Routledge\n_eprint: https://doi.org/10.1080/10705510701301834","page":"464-504","source":"Taylor and Francis+NEJM","title":"Sensitivity of Goodness of Fit Indexes to Lack of Measurement Invariance","volume":"14","author":[{"family":"Chen","given":"Fang   Fang"}],"issued":{"date-parts":[["2007",7,31]]}}}],"schema":"https://github.com/citation-style-language/schema/raw/master/csl-citation.json"} </w:instrText>
      </w:r>
      <w:r w:rsidR="00364DD7">
        <w:rPr>
          <w:color w:val="000000" w:themeColor="text1"/>
        </w:rPr>
        <w:fldChar w:fldCharType="separate"/>
      </w:r>
      <w:r w:rsidR="00D670F5" w:rsidRPr="00D670F5">
        <w:rPr>
          <w:rFonts w:ascii="Calibri" w:cs="Calibri"/>
          <w:color w:val="000000"/>
          <w:vertAlign w:val="superscript"/>
        </w:rPr>
        <w:t>26</w:t>
      </w:r>
      <w:r w:rsidR="00364DD7">
        <w:rPr>
          <w:color w:val="000000" w:themeColor="text1"/>
        </w:rPr>
        <w:fldChar w:fldCharType="end"/>
      </w:r>
    </w:p>
    <w:p w14:paraId="14E4EFC4" w14:textId="5B846720" w:rsidR="00161EDA" w:rsidRPr="005A2188" w:rsidRDefault="00161EDA" w:rsidP="00804A81">
      <w:pPr>
        <w:jc w:val="both"/>
        <w:rPr>
          <w:b/>
          <w:bCs/>
          <w:color w:val="000000" w:themeColor="text1"/>
        </w:rPr>
      </w:pPr>
      <w:r w:rsidRPr="005A2188">
        <w:rPr>
          <w:b/>
          <w:bCs/>
          <w:color w:val="000000" w:themeColor="text1"/>
        </w:rPr>
        <w:t>Ethical Approval</w:t>
      </w:r>
    </w:p>
    <w:p w14:paraId="2A8B8310" w14:textId="2EFCE0DA" w:rsidR="00006343" w:rsidRPr="005A2188" w:rsidRDefault="00161EDA" w:rsidP="00804A81">
      <w:pPr>
        <w:jc w:val="both"/>
        <w:rPr>
          <w:color w:val="000000" w:themeColor="text1"/>
        </w:rPr>
      </w:pPr>
      <w:r w:rsidRPr="005A2188">
        <w:rPr>
          <w:color w:val="000000" w:themeColor="text1"/>
        </w:rPr>
        <w:t xml:space="preserve">The study was approved by the </w:t>
      </w:r>
      <w:r w:rsidR="0023314D">
        <w:rPr>
          <w:color w:val="000000" w:themeColor="text1"/>
        </w:rPr>
        <w:t xml:space="preserve">UK </w:t>
      </w:r>
      <w:r w:rsidRPr="005A2188">
        <w:rPr>
          <w:color w:val="000000" w:themeColor="text1"/>
        </w:rPr>
        <w:t xml:space="preserve">Health Research Authority </w:t>
      </w:r>
      <w:r w:rsidR="005A2188" w:rsidRPr="005A2188">
        <w:rPr>
          <w:color w:val="000000" w:themeColor="text1"/>
        </w:rPr>
        <w:t>(</w:t>
      </w:r>
      <w:r w:rsidR="005A2188" w:rsidRPr="005A2188">
        <w:rPr>
          <w:rFonts w:ascii="Calibri" w:hAnsi="Calibri" w:cs="Calibri"/>
          <w:color w:val="000000" w:themeColor="text1"/>
        </w:rPr>
        <w:t>IRAS ID 295681</w:t>
      </w:r>
      <w:r w:rsidRPr="005A2188">
        <w:rPr>
          <w:color w:val="000000" w:themeColor="text1"/>
        </w:rPr>
        <w:t>) and Research Ethics</w:t>
      </w:r>
      <w:r w:rsidR="00026CBE" w:rsidRPr="005A2188">
        <w:rPr>
          <w:color w:val="000000" w:themeColor="text1"/>
        </w:rPr>
        <w:t xml:space="preserve"> </w:t>
      </w:r>
      <w:r w:rsidRPr="005A2188">
        <w:rPr>
          <w:color w:val="000000" w:themeColor="text1"/>
        </w:rPr>
        <w:t>Committee</w:t>
      </w:r>
      <w:r w:rsidR="005A2188" w:rsidRPr="005A2188">
        <w:rPr>
          <w:color w:val="000000" w:themeColor="text1"/>
        </w:rPr>
        <w:t xml:space="preserve"> (</w:t>
      </w:r>
      <w:r w:rsidR="005A2188" w:rsidRPr="005A2188">
        <w:rPr>
          <w:rFonts w:ascii="Calibri" w:hAnsi="Calibri" w:cs="Calibri"/>
          <w:color w:val="000000" w:themeColor="text1"/>
        </w:rPr>
        <w:t>REC ID 21/NI/0064)</w:t>
      </w:r>
      <w:r w:rsidR="00364DD7" w:rsidRPr="005A2188">
        <w:rPr>
          <w:color w:val="000000" w:themeColor="text1"/>
        </w:rPr>
        <w:t>. Respondents to the s</w:t>
      </w:r>
      <w:r w:rsidR="00D769F6" w:rsidRPr="005A2188">
        <w:rPr>
          <w:color w:val="000000" w:themeColor="text1"/>
        </w:rPr>
        <w:t>urvey provided electronic consent for participation.</w:t>
      </w:r>
    </w:p>
    <w:p w14:paraId="4FF67868" w14:textId="32DE8291" w:rsidR="002D5D06" w:rsidRPr="000D346F" w:rsidRDefault="002D5D06" w:rsidP="002D5D06">
      <w:pPr>
        <w:rPr>
          <w:b/>
          <w:bCs/>
          <w:color w:val="000000" w:themeColor="text1"/>
          <w:sz w:val="24"/>
          <w:szCs w:val="24"/>
        </w:rPr>
      </w:pPr>
      <w:r w:rsidRPr="000D346F">
        <w:rPr>
          <w:b/>
          <w:bCs/>
          <w:color w:val="000000" w:themeColor="text1"/>
          <w:sz w:val="24"/>
          <w:szCs w:val="24"/>
        </w:rPr>
        <w:t>Results</w:t>
      </w:r>
    </w:p>
    <w:p w14:paraId="6DB7EE63" w14:textId="3D7EBF0B" w:rsidR="00472574" w:rsidRPr="00C841A3" w:rsidRDefault="00472574" w:rsidP="00472574">
      <w:pPr>
        <w:jc w:val="both"/>
        <w:rPr>
          <w:b/>
          <w:bCs/>
          <w:color w:val="000000" w:themeColor="text1"/>
        </w:rPr>
      </w:pPr>
      <w:r w:rsidRPr="005A2188">
        <w:rPr>
          <w:b/>
          <w:bCs/>
          <w:color w:val="000000" w:themeColor="text1"/>
        </w:rPr>
        <w:t>Demographics of</w:t>
      </w:r>
      <w:r w:rsidR="00026CBE" w:rsidRPr="005A2188">
        <w:rPr>
          <w:b/>
          <w:bCs/>
          <w:color w:val="000000" w:themeColor="text1"/>
        </w:rPr>
        <w:t xml:space="preserve"> survey</w:t>
      </w:r>
      <w:r w:rsidRPr="005A2188">
        <w:rPr>
          <w:b/>
          <w:bCs/>
          <w:color w:val="000000" w:themeColor="text1"/>
        </w:rPr>
        <w:t xml:space="preserve"> </w:t>
      </w:r>
      <w:r w:rsidRPr="00C841A3">
        <w:rPr>
          <w:b/>
          <w:bCs/>
          <w:color w:val="000000" w:themeColor="text1"/>
        </w:rPr>
        <w:t>respondents</w:t>
      </w:r>
    </w:p>
    <w:p w14:paraId="1813DF5F" w14:textId="412A4789" w:rsidR="00472574" w:rsidRDefault="00472574" w:rsidP="00472574">
      <w:pPr>
        <w:jc w:val="both"/>
        <w:rPr>
          <w:color w:val="000000" w:themeColor="text1"/>
        </w:rPr>
      </w:pPr>
      <w:r w:rsidRPr="00C841A3">
        <w:rPr>
          <w:color w:val="000000" w:themeColor="text1"/>
        </w:rPr>
        <w:t>Of 40,911 patients invited to complete the COVID-19 follow-up survey, 7,341 (17.9%) returned a response of whom 7,337 completed the IBD-Control-8 and IBD-Control-VAS (99.9% completion rate).  Completion rate for CD-PRO2 was 91.2% of 3,808 respondents reporting a diagnosis of CD and that for UC-PRO2 was 96.8% of 3,298 respondents.</w:t>
      </w:r>
      <w:r w:rsidR="00801DBF">
        <w:rPr>
          <w:color w:val="70AD47" w:themeColor="accent6"/>
        </w:rPr>
        <w:t xml:space="preserve"> </w:t>
      </w:r>
      <w:r w:rsidR="00801DBF" w:rsidRPr="00C841A3">
        <w:rPr>
          <w:color w:val="000000" w:themeColor="text1"/>
        </w:rPr>
        <w:t>B</w:t>
      </w:r>
      <w:r w:rsidRPr="00C841A3">
        <w:rPr>
          <w:color w:val="000000" w:themeColor="text1"/>
        </w:rPr>
        <w:t xml:space="preserve">aseline patient characteristics of respondents are summarized in </w:t>
      </w:r>
      <w:r w:rsidRPr="00C841A3">
        <w:rPr>
          <w:b/>
          <w:bCs/>
          <w:color w:val="000000" w:themeColor="text1"/>
        </w:rPr>
        <w:t>Table 1</w:t>
      </w:r>
      <w:r w:rsidR="005A2DA0" w:rsidRPr="008F7C2A">
        <w:rPr>
          <w:color w:val="000000" w:themeColor="text1"/>
        </w:rPr>
        <w:t>,</w:t>
      </w:r>
      <w:r w:rsidR="005A2DA0">
        <w:rPr>
          <w:b/>
          <w:bCs/>
          <w:color w:val="000000" w:themeColor="text1"/>
        </w:rPr>
        <w:t xml:space="preserve"> </w:t>
      </w:r>
      <w:r w:rsidR="005A2DA0" w:rsidRPr="00804A81">
        <w:rPr>
          <w:color w:val="000000" w:themeColor="text1"/>
        </w:rPr>
        <w:t>overall and by diagnosis</w:t>
      </w:r>
      <w:r w:rsidRPr="00C841A3">
        <w:rPr>
          <w:color w:val="000000" w:themeColor="text1"/>
        </w:rPr>
        <w:t xml:space="preserve">. </w:t>
      </w:r>
      <w:r w:rsidR="005A2DA0">
        <w:rPr>
          <w:color w:val="000000" w:themeColor="text1"/>
        </w:rPr>
        <w:t xml:space="preserve"> </w:t>
      </w:r>
      <w:r w:rsidR="00801DBF" w:rsidRPr="00C841A3">
        <w:rPr>
          <w:color w:val="000000" w:themeColor="text1"/>
        </w:rPr>
        <w:t>M</w:t>
      </w:r>
      <w:r w:rsidRPr="00C841A3">
        <w:rPr>
          <w:color w:val="000000" w:themeColor="text1"/>
        </w:rPr>
        <w:t>edian age</w:t>
      </w:r>
      <w:r w:rsidR="005A2DA0">
        <w:rPr>
          <w:color w:val="000000" w:themeColor="text1"/>
        </w:rPr>
        <w:t xml:space="preserve"> of all respondents</w:t>
      </w:r>
      <w:r w:rsidRPr="00C841A3">
        <w:rPr>
          <w:color w:val="000000" w:themeColor="text1"/>
        </w:rPr>
        <w:t xml:space="preserve"> was 48 years (range: 18-92)</w:t>
      </w:r>
      <w:r w:rsidR="00801DBF" w:rsidRPr="00C841A3">
        <w:rPr>
          <w:color w:val="000000" w:themeColor="text1"/>
        </w:rPr>
        <w:t>, sixty three percent of participants were female</w:t>
      </w:r>
      <w:r w:rsidRPr="00C841A3">
        <w:rPr>
          <w:color w:val="000000" w:themeColor="text1"/>
        </w:rPr>
        <w:t xml:space="preserve"> and 52% reported a diagnosis of CD, 45% of UC and 3.1% of IBD-U. One fifth of participants (19%) indicated one additional comorbidity and 5.5% reported two or more. One in twenty (5.1%) were taking prednisolone and two thirds (67%) reported being treated with an advanced medical therapy at the time of the survey. </w:t>
      </w:r>
    </w:p>
    <w:p w14:paraId="3781719A" w14:textId="6D465681" w:rsidR="00801DBF" w:rsidRPr="00C841A3" w:rsidRDefault="00801DBF" w:rsidP="00472574">
      <w:pPr>
        <w:jc w:val="both"/>
        <w:rPr>
          <w:b/>
          <w:bCs/>
          <w:color w:val="000000" w:themeColor="text1"/>
        </w:rPr>
      </w:pPr>
      <w:r w:rsidRPr="00C841A3">
        <w:rPr>
          <w:b/>
          <w:bCs/>
          <w:color w:val="000000" w:themeColor="text1"/>
        </w:rPr>
        <w:t>Patient-reported outcome data</w:t>
      </w:r>
    </w:p>
    <w:p w14:paraId="6784ABE9" w14:textId="19BA1099" w:rsidR="00374E41" w:rsidRDefault="00B940F5" w:rsidP="00472574">
      <w:pPr>
        <w:jc w:val="both"/>
        <w:rPr>
          <w:color w:val="000000" w:themeColor="text1"/>
        </w:rPr>
      </w:pPr>
      <w:bookmarkStart w:id="0" w:name="_Hlk113904248"/>
      <w:r w:rsidRPr="00B940F5">
        <w:rPr>
          <w:b/>
          <w:bCs/>
          <w:color w:val="000000" w:themeColor="text1"/>
        </w:rPr>
        <w:t>Figure 1</w:t>
      </w:r>
      <w:r w:rsidRPr="002C0E5F">
        <w:rPr>
          <w:color w:val="000000" w:themeColor="text1"/>
        </w:rPr>
        <w:t xml:space="preserve"> illustrates the distribution of responses to </w:t>
      </w:r>
      <w:r w:rsidR="00FF3333" w:rsidRPr="00B940F5">
        <w:rPr>
          <w:color w:val="000000" w:themeColor="text1"/>
        </w:rPr>
        <w:t>i</w:t>
      </w:r>
      <w:r w:rsidR="00FF3333">
        <w:rPr>
          <w:color w:val="000000" w:themeColor="text1"/>
        </w:rPr>
        <w:t xml:space="preserve">ndividual </w:t>
      </w:r>
      <w:r w:rsidR="002657F9" w:rsidRPr="00804A81">
        <w:rPr>
          <w:color w:val="000000" w:themeColor="text1"/>
        </w:rPr>
        <w:t>IBD-Control</w:t>
      </w:r>
      <w:r w:rsidR="00A651E1">
        <w:rPr>
          <w:color w:val="000000" w:themeColor="text1"/>
        </w:rPr>
        <w:t xml:space="preserve"> items</w:t>
      </w:r>
      <w:r w:rsidR="00FF3333">
        <w:rPr>
          <w:color w:val="000000" w:themeColor="text1"/>
        </w:rPr>
        <w:t>,</w:t>
      </w:r>
      <w:r w:rsidR="00A651E1">
        <w:rPr>
          <w:color w:val="000000" w:themeColor="text1"/>
        </w:rPr>
        <w:t xml:space="preserve"> </w:t>
      </w:r>
      <w:r w:rsidR="00FF3333">
        <w:rPr>
          <w:color w:val="000000" w:themeColor="text1"/>
        </w:rPr>
        <w:t>overall and strat</w:t>
      </w:r>
      <w:r>
        <w:rPr>
          <w:color w:val="000000" w:themeColor="text1"/>
        </w:rPr>
        <w:t>i</w:t>
      </w:r>
      <w:r w:rsidR="00FF3333">
        <w:rPr>
          <w:color w:val="000000" w:themeColor="text1"/>
        </w:rPr>
        <w:t xml:space="preserve">fied </w:t>
      </w:r>
      <w:r w:rsidR="00A651E1">
        <w:rPr>
          <w:color w:val="000000" w:themeColor="text1"/>
        </w:rPr>
        <w:t xml:space="preserve">by </w:t>
      </w:r>
      <w:r w:rsidR="00374E41">
        <w:rPr>
          <w:color w:val="000000" w:themeColor="text1"/>
        </w:rPr>
        <w:t xml:space="preserve">self-reported </w:t>
      </w:r>
      <w:r w:rsidR="00A651E1">
        <w:rPr>
          <w:color w:val="000000" w:themeColor="text1"/>
        </w:rPr>
        <w:t>diagnosis</w:t>
      </w:r>
      <w:r w:rsidR="00143D50">
        <w:rPr>
          <w:color w:val="000000" w:themeColor="text1"/>
        </w:rPr>
        <w:t xml:space="preserve"> (</w:t>
      </w:r>
      <w:r w:rsidR="00143D50" w:rsidRPr="004A2DBC">
        <w:rPr>
          <w:color w:val="000000" w:themeColor="text1"/>
        </w:rPr>
        <w:t>see</w:t>
      </w:r>
      <w:r w:rsidR="00143D50" w:rsidRPr="002B17A3">
        <w:rPr>
          <w:b/>
          <w:bCs/>
          <w:color w:val="000000" w:themeColor="text1"/>
        </w:rPr>
        <w:t xml:space="preserve"> Supplementary Table</w:t>
      </w:r>
      <w:r w:rsidR="002B17A3" w:rsidRPr="002B17A3">
        <w:rPr>
          <w:b/>
          <w:bCs/>
          <w:color w:val="000000" w:themeColor="text1"/>
        </w:rPr>
        <w:t>s</w:t>
      </w:r>
      <w:r w:rsidR="00143D50" w:rsidRPr="002B17A3">
        <w:rPr>
          <w:b/>
          <w:bCs/>
          <w:color w:val="000000" w:themeColor="text1"/>
        </w:rPr>
        <w:t xml:space="preserve"> S1</w:t>
      </w:r>
      <w:r w:rsidR="002B17A3" w:rsidRPr="004A2DBC">
        <w:rPr>
          <w:color w:val="000000" w:themeColor="text1"/>
        </w:rPr>
        <w:t xml:space="preserve"> and</w:t>
      </w:r>
      <w:r w:rsidR="002B17A3" w:rsidRPr="002B17A3">
        <w:rPr>
          <w:b/>
          <w:bCs/>
          <w:color w:val="000000" w:themeColor="text1"/>
        </w:rPr>
        <w:t xml:space="preserve"> S2</w:t>
      </w:r>
      <w:r w:rsidR="00143D50">
        <w:rPr>
          <w:color w:val="000000" w:themeColor="text1"/>
        </w:rPr>
        <w:t xml:space="preserve"> for tabulated data)</w:t>
      </w:r>
      <w:r w:rsidR="00472574" w:rsidRPr="00804A81">
        <w:rPr>
          <w:color w:val="000000" w:themeColor="text1"/>
        </w:rPr>
        <w:t>.</w:t>
      </w:r>
      <w:r w:rsidR="00217717">
        <w:rPr>
          <w:color w:val="000000" w:themeColor="text1"/>
        </w:rPr>
        <w:t xml:space="preserve">  </w:t>
      </w:r>
      <w:r w:rsidR="00D20A6C">
        <w:rPr>
          <w:color w:val="000000" w:themeColor="text1"/>
        </w:rPr>
        <w:t>Overall, o</w:t>
      </w:r>
      <w:r w:rsidR="00AF04A3">
        <w:rPr>
          <w:color w:val="000000" w:themeColor="text1"/>
        </w:rPr>
        <w:t>ne in five respondents (19%) did not think their IBD was well-controlled over the last two weeks, with a further 6.3% being unsure.  For th</w:t>
      </w:r>
      <w:r w:rsidR="00D20A6C">
        <w:rPr>
          <w:color w:val="000000" w:themeColor="text1"/>
        </w:rPr>
        <w:t>ose</w:t>
      </w:r>
      <w:r w:rsidR="00AF04A3">
        <w:rPr>
          <w:color w:val="000000" w:themeColor="text1"/>
        </w:rPr>
        <w:t xml:space="preserve"> individual items covering traditional HRQoL domains</w:t>
      </w:r>
      <w:r w:rsidR="00217717">
        <w:rPr>
          <w:color w:val="000000" w:themeColor="text1"/>
        </w:rPr>
        <w:t xml:space="preserve">, one in five </w:t>
      </w:r>
      <w:r w:rsidR="00003216">
        <w:rPr>
          <w:color w:val="000000" w:themeColor="text1"/>
        </w:rPr>
        <w:t xml:space="preserve">(21%) </w:t>
      </w:r>
      <w:r w:rsidR="00217717">
        <w:rPr>
          <w:color w:val="000000" w:themeColor="text1"/>
        </w:rPr>
        <w:t>reported missing planned activities because of IBD in the last two weeks</w:t>
      </w:r>
      <w:r w:rsidR="00003216">
        <w:rPr>
          <w:color w:val="000000" w:themeColor="text1"/>
        </w:rPr>
        <w:t xml:space="preserve">, around </w:t>
      </w:r>
      <w:r w:rsidR="00217717">
        <w:rPr>
          <w:color w:val="000000" w:themeColor="text1"/>
        </w:rPr>
        <w:t>one in three</w:t>
      </w:r>
      <w:r w:rsidR="00003216">
        <w:rPr>
          <w:color w:val="000000" w:themeColor="text1"/>
        </w:rPr>
        <w:t xml:space="preserve"> reported waking up at night because of IBD (32%), suffering significant pain or discomfort (35%) or feeling anxious or depressed because of their condition (31%).  Just over half (55%) reported often feeling lacking in energy (fatigued).</w:t>
      </w:r>
      <w:r w:rsidR="00477B9D">
        <w:rPr>
          <w:color w:val="000000" w:themeColor="text1"/>
        </w:rPr>
        <w:t xml:space="preserve">  </w:t>
      </w:r>
      <w:r w:rsidR="00AF04A3">
        <w:rPr>
          <w:color w:val="000000" w:themeColor="text1"/>
        </w:rPr>
        <w:t xml:space="preserve">For treatment-related questions, </w:t>
      </w:r>
      <w:r w:rsidR="00911887">
        <w:rPr>
          <w:color w:val="000000" w:themeColor="text1"/>
        </w:rPr>
        <w:t>one in five were either unsure (16%) or did not believe (4.2%) that their current treatment was useful in controlling their IBD.  One in ten (</w:t>
      </w:r>
      <w:r w:rsidR="00303B01">
        <w:rPr>
          <w:color w:val="000000" w:themeColor="text1"/>
        </w:rPr>
        <w:t>11%)</w:t>
      </w:r>
      <w:r w:rsidR="00911887">
        <w:rPr>
          <w:color w:val="000000" w:themeColor="text1"/>
        </w:rPr>
        <w:t xml:space="preserve"> thought </w:t>
      </w:r>
      <w:r w:rsidR="00303B01">
        <w:rPr>
          <w:color w:val="000000" w:themeColor="text1"/>
        </w:rPr>
        <w:t xml:space="preserve">that </w:t>
      </w:r>
      <w:r w:rsidR="00911887">
        <w:rPr>
          <w:color w:val="000000" w:themeColor="text1"/>
        </w:rPr>
        <w:t>they needed a change to treatment</w:t>
      </w:r>
      <w:r w:rsidR="00303B01">
        <w:rPr>
          <w:color w:val="000000" w:themeColor="text1"/>
        </w:rPr>
        <w:t xml:space="preserve"> and a further one in five respondents (21%) were unsure.</w:t>
      </w:r>
      <w:r w:rsidR="00C66F83">
        <w:rPr>
          <w:color w:val="000000" w:themeColor="text1"/>
        </w:rPr>
        <w:t xml:space="preserve">  </w:t>
      </w:r>
      <w:r w:rsidR="00C66F83" w:rsidRPr="00804A81">
        <w:rPr>
          <w:color w:val="000000" w:themeColor="text1"/>
        </w:rPr>
        <w:t xml:space="preserve">The proportions of total respondents indicating control was better, same or worse over the last two weeks were 5.9%, 78% and 16%, respectively.  </w:t>
      </w:r>
    </w:p>
    <w:p w14:paraId="4D6CF981" w14:textId="7FB031FC" w:rsidR="00472574" w:rsidRPr="004A5D79" w:rsidRDefault="00472574" w:rsidP="00472574">
      <w:pPr>
        <w:jc w:val="both"/>
        <w:rPr>
          <w:color w:val="000000" w:themeColor="text1"/>
        </w:rPr>
      </w:pPr>
      <w:r w:rsidRPr="00804A81">
        <w:rPr>
          <w:color w:val="000000" w:themeColor="text1"/>
        </w:rPr>
        <w:t>The median overall IBD-Control-8 summary score</w:t>
      </w:r>
      <w:r w:rsidR="00911887">
        <w:rPr>
          <w:color w:val="000000" w:themeColor="text1"/>
        </w:rPr>
        <w:t xml:space="preserve"> derived from item responses</w:t>
      </w:r>
      <w:r w:rsidRPr="00804A81">
        <w:rPr>
          <w:color w:val="000000" w:themeColor="text1"/>
        </w:rPr>
        <w:t xml:space="preserve"> was 12.0 (Range: 0-16) and that of </w:t>
      </w:r>
      <w:r w:rsidR="00911887">
        <w:rPr>
          <w:color w:val="000000" w:themeColor="text1"/>
        </w:rPr>
        <w:t xml:space="preserve">the stand-alone </w:t>
      </w:r>
      <w:r w:rsidRPr="00804A81">
        <w:rPr>
          <w:color w:val="000000" w:themeColor="text1"/>
        </w:rPr>
        <w:t>IBD-Control-VAS was 80 (Range: 0-100).  Median scores were comparable for CD and UC.  Based on the published cut-off score</w:t>
      </w:r>
      <w:r w:rsidR="00703B10">
        <w:rPr>
          <w:color w:val="000000" w:themeColor="text1"/>
        </w:rPr>
        <w:t xml:space="preserve"> </w:t>
      </w:r>
      <w:r w:rsidR="004F51BC">
        <w:rPr>
          <w:color w:val="000000" w:themeColor="text1"/>
        </w:rPr>
        <w:t>for “quiescent” dis</w:t>
      </w:r>
      <w:r w:rsidR="0023314D">
        <w:rPr>
          <w:color w:val="000000" w:themeColor="text1"/>
        </w:rPr>
        <w:t>e</w:t>
      </w:r>
      <w:r w:rsidR="004F51BC">
        <w:rPr>
          <w:color w:val="000000" w:themeColor="text1"/>
        </w:rPr>
        <w:t xml:space="preserve">ase </w:t>
      </w:r>
      <w:r w:rsidR="00703B10">
        <w:rPr>
          <w:color w:val="000000" w:themeColor="text1"/>
        </w:rPr>
        <w:t xml:space="preserve">(IBD-Control-8 </w:t>
      </w:r>
      <w:r w:rsidRPr="00804A81">
        <w:rPr>
          <w:color w:val="000000" w:themeColor="text1"/>
        </w:rPr>
        <w:sym w:font="Symbol" w:char="F0B3"/>
      </w:r>
      <w:r w:rsidRPr="00804A81">
        <w:rPr>
          <w:color w:val="000000" w:themeColor="text1"/>
        </w:rPr>
        <w:t>13</w:t>
      </w:r>
      <w:r w:rsidR="00703B10">
        <w:rPr>
          <w:color w:val="000000" w:themeColor="text1"/>
        </w:rPr>
        <w:t>)</w:t>
      </w:r>
      <w:r w:rsidRPr="00804A81">
        <w:rPr>
          <w:color w:val="000000" w:themeColor="text1"/>
        </w:rPr>
        <w:t>, 3</w:t>
      </w:r>
      <w:r w:rsidR="00A651E1">
        <w:rPr>
          <w:color w:val="000000" w:themeColor="text1"/>
        </w:rPr>
        <w:t>,</w:t>
      </w:r>
      <w:r w:rsidRPr="00804A81">
        <w:rPr>
          <w:color w:val="000000" w:themeColor="text1"/>
        </w:rPr>
        <w:t>614 (49.3%) of the total cohort would be</w:t>
      </w:r>
      <w:r w:rsidR="004F51BC">
        <w:rPr>
          <w:color w:val="000000" w:themeColor="text1"/>
        </w:rPr>
        <w:t xml:space="preserve"> thus</w:t>
      </w:r>
      <w:r w:rsidRPr="00804A81">
        <w:rPr>
          <w:color w:val="000000" w:themeColor="text1"/>
        </w:rPr>
        <w:t xml:space="preserve"> classified</w:t>
      </w:r>
      <w:r w:rsidR="004F51BC">
        <w:rPr>
          <w:color w:val="000000" w:themeColor="text1"/>
        </w:rPr>
        <w:t xml:space="preserve">.  </w:t>
      </w:r>
      <w:r w:rsidRPr="00804A81">
        <w:rPr>
          <w:color w:val="000000" w:themeColor="text1"/>
        </w:rPr>
        <w:t>Corresponding figures</w:t>
      </w:r>
      <w:r w:rsidR="00703B10" w:rsidRPr="00703B10">
        <w:rPr>
          <w:color w:val="000000" w:themeColor="text1"/>
        </w:rPr>
        <w:t xml:space="preserve"> </w:t>
      </w:r>
      <w:r w:rsidR="00703B10">
        <w:rPr>
          <w:color w:val="000000" w:themeColor="text1"/>
        </w:rPr>
        <w:t>for CD and UC</w:t>
      </w:r>
      <w:r w:rsidRPr="00804A81">
        <w:rPr>
          <w:color w:val="000000" w:themeColor="text1"/>
        </w:rPr>
        <w:t xml:space="preserve"> were 43% and 57%, respectively. </w:t>
      </w:r>
    </w:p>
    <w:p w14:paraId="5684BD63" w14:textId="20F1092C" w:rsidR="002C1C5D" w:rsidRPr="004A5D79" w:rsidRDefault="00703B10" w:rsidP="00472574">
      <w:pPr>
        <w:jc w:val="both"/>
        <w:rPr>
          <w:b/>
          <w:bCs/>
          <w:color w:val="000000" w:themeColor="text1"/>
        </w:rPr>
      </w:pPr>
      <w:r w:rsidRPr="004A5D79">
        <w:rPr>
          <w:color w:val="000000" w:themeColor="text1"/>
        </w:rPr>
        <w:t>For patients with CD,</w:t>
      </w:r>
      <w:r w:rsidRPr="004A5D79">
        <w:rPr>
          <w:b/>
          <w:bCs/>
          <w:color w:val="000000" w:themeColor="text1"/>
        </w:rPr>
        <w:t xml:space="preserve"> </w:t>
      </w:r>
      <w:r w:rsidRPr="004A5D79">
        <w:rPr>
          <w:color w:val="000000" w:themeColor="text1"/>
        </w:rPr>
        <w:t>t</w:t>
      </w:r>
      <w:r w:rsidR="00472574" w:rsidRPr="004A5D79">
        <w:rPr>
          <w:color w:val="000000" w:themeColor="text1"/>
        </w:rPr>
        <w:t>he median weighted CD-PRO2</w:t>
      </w:r>
      <w:r w:rsidRPr="004A5D79">
        <w:rPr>
          <w:color w:val="000000" w:themeColor="text1"/>
        </w:rPr>
        <w:t xml:space="preserve"> score</w:t>
      </w:r>
      <w:r w:rsidR="00472574" w:rsidRPr="004A5D79">
        <w:rPr>
          <w:color w:val="000000" w:themeColor="text1"/>
        </w:rPr>
        <w:t xml:space="preserve"> was 6 (range: 0-72), with 58.6% categorized as remission over the last week </w:t>
      </w:r>
      <w:r w:rsidRPr="004A5D79">
        <w:rPr>
          <w:color w:val="000000" w:themeColor="text1"/>
        </w:rPr>
        <w:t>(</w:t>
      </w:r>
      <w:r w:rsidR="00472574" w:rsidRPr="004A5D79">
        <w:rPr>
          <w:color w:val="000000" w:themeColor="text1"/>
        </w:rPr>
        <w:t>score of 7 or less</w:t>
      </w:r>
      <w:r w:rsidRPr="004A5D79">
        <w:rPr>
          <w:color w:val="000000" w:themeColor="text1"/>
        </w:rPr>
        <w:t>).</w:t>
      </w:r>
      <w:r w:rsidR="00472574" w:rsidRPr="004A5D79">
        <w:rPr>
          <w:color w:val="000000" w:themeColor="text1"/>
        </w:rPr>
        <w:t xml:space="preserve">  </w:t>
      </w:r>
      <w:r w:rsidRPr="004A5D79">
        <w:rPr>
          <w:color w:val="000000" w:themeColor="text1"/>
        </w:rPr>
        <w:t>For those with UC, m</w:t>
      </w:r>
      <w:r w:rsidR="00472574" w:rsidRPr="004A5D79">
        <w:rPr>
          <w:color w:val="000000" w:themeColor="text1"/>
        </w:rPr>
        <w:t xml:space="preserve">edian score of UC-PRO2 was </w:t>
      </w:r>
      <w:r w:rsidR="00FF3333" w:rsidRPr="004A5D79">
        <w:rPr>
          <w:color w:val="000000" w:themeColor="text1"/>
        </w:rPr>
        <w:t>zero</w:t>
      </w:r>
      <w:r w:rsidR="00472574" w:rsidRPr="004A5D79">
        <w:rPr>
          <w:color w:val="000000" w:themeColor="text1"/>
        </w:rPr>
        <w:t xml:space="preserve"> (range: 0-6) with 66.9% classified as remission over the last three days </w:t>
      </w:r>
      <w:r w:rsidRPr="004A5D79">
        <w:rPr>
          <w:color w:val="000000" w:themeColor="text1"/>
        </w:rPr>
        <w:t>(</w:t>
      </w:r>
      <w:r w:rsidR="00FF3333" w:rsidRPr="004A5D79">
        <w:rPr>
          <w:color w:val="000000" w:themeColor="text1"/>
        </w:rPr>
        <w:t xml:space="preserve">i.e. </w:t>
      </w:r>
      <w:r w:rsidR="00472574" w:rsidRPr="004A5D79">
        <w:rPr>
          <w:color w:val="000000" w:themeColor="text1"/>
        </w:rPr>
        <w:t>rectal bleeding</w:t>
      </w:r>
      <w:r w:rsidRPr="004A5D79">
        <w:rPr>
          <w:color w:val="000000" w:themeColor="text1"/>
        </w:rPr>
        <w:t xml:space="preserve"> absent </w:t>
      </w:r>
      <w:r w:rsidR="00472574" w:rsidRPr="004A5D79">
        <w:rPr>
          <w:color w:val="000000" w:themeColor="text1"/>
        </w:rPr>
        <w:t>and number of stools</w:t>
      </w:r>
      <w:r w:rsidRPr="004A5D79">
        <w:rPr>
          <w:color w:val="000000" w:themeColor="text1"/>
        </w:rPr>
        <w:t xml:space="preserve"> </w:t>
      </w:r>
      <w:r w:rsidR="00C66F83" w:rsidRPr="004A5D79">
        <w:rPr>
          <w:color w:val="000000" w:themeColor="text1"/>
        </w:rPr>
        <w:t xml:space="preserve">was </w:t>
      </w:r>
      <w:r w:rsidRPr="004A5D79">
        <w:rPr>
          <w:color w:val="000000" w:themeColor="text1"/>
        </w:rPr>
        <w:t>less than two</w:t>
      </w:r>
      <w:r w:rsidR="00C66F83" w:rsidRPr="004A5D79">
        <w:rPr>
          <w:color w:val="000000" w:themeColor="text1"/>
        </w:rPr>
        <w:t xml:space="preserve"> above baseline</w:t>
      </w:r>
      <w:r w:rsidRPr="004A5D79">
        <w:rPr>
          <w:color w:val="000000" w:themeColor="text1"/>
        </w:rPr>
        <w:t xml:space="preserve"> per day).</w:t>
      </w:r>
      <w:r w:rsidR="00A44B48" w:rsidRPr="004A5D79">
        <w:rPr>
          <w:color w:val="000000" w:themeColor="text1"/>
        </w:rPr>
        <w:t xml:space="preserve">  </w:t>
      </w:r>
      <w:r w:rsidR="00EA4888" w:rsidRPr="00296FF8">
        <w:rPr>
          <w:color w:val="000000" w:themeColor="text1"/>
        </w:rPr>
        <w:t>However, t</w:t>
      </w:r>
      <w:r w:rsidR="00A44B48" w:rsidRPr="00296FF8">
        <w:rPr>
          <w:color w:val="000000" w:themeColor="text1"/>
        </w:rPr>
        <w:t xml:space="preserve">here were 449 patients (6.19%) </w:t>
      </w:r>
      <w:r w:rsidR="00A44B48" w:rsidRPr="00296FF8">
        <w:rPr>
          <w:color w:val="000000" w:themeColor="text1"/>
        </w:rPr>
        <w:lastRenderedPageBreak/>
        <w:t>who reported the “worst possible” response for each of th</w:t>
      </w:r>
      <w:r w:rsidR="00BF12C1" w:rsidRPr="00296FF8">
        <w:rPr>
          <w:color w:val="000000" w:themeColor="text1"/>
        </w:rPr>
        <w:t>eir</w:t>
      </w:r>
      <w:r w:rsidR="00A44B48" w:rsidRPr="00296FF8">
        <w:rPr>
          <w:color w:val="000000" w:themeColor="text1"/>
        </w:rPr>
        <w:t xml:space="preserve"> two PRO-2 symptom items – i.e. </w:t>
      </w:r>
      <w:r w:rsidR="00BF12C1" w:rsidRPr="00296FF8">
        <w:rPr>
          <w:color w:val="000000" w:themeColor="text1"/>
        </w:rPr>
        <w:t>had the highest possible score on the relevant PRO-2 scale.</w:t>
      </w:r>
      <w:r w:rsidR="00EA4888" w:rsidRPr="004A5D79">
        <w:rPr>
          <w:color w:val="000000" w:themeColor="text1"/>
          <w:u w:val="single"/>
        </w:rPr>
        <w:t xml:space="preserve"> </w:t>
      </w:r>
    </w:p>
    <w:p w14:paraId="45751B02" w14:textId="7244DAA4" w:rsidR="00472574" w:rsidRPr="00C841A3" w:rsidRDefault="00472574" w:rsidP="00472574">
      <w:pPr>
        <w:jc w:val="both"/>
        <w:rPr>
          <w:b/>
          <w:bCs/>
          <w:color w:val="000000" w:themeColor="text1"/>
        </w:rPr>
      </w:pPr>
      <w:r w:rsidRPr="00C841A3">
        <w:rPr>
          <w:b/>
          <w:bCs/>
          <w:color w:val="000000" w:themeColor="text1"/>
        </w:rPr>
        <w:t>Internal consistency of IBD-Control-8 items</w:t>
      </w:r>
    </w:p>
    <w:p w14:paraId="3899E42F" w14:textId="426EA323" w:rsidR="00472574" w:rsidRPr="00C841A3" w:rsidRDefault="00472574" w:rsidP="00C841A3">
      <w:pPr>
        <w:jc w:val="both"/>
        <w:rPr>
          <w:color w:val="000000" w:themeColor="text1"/>
        </w:rPr>
      </w:pPr>
      <w:r w:rsidRPr="00C841A3">
        <w:rPr>
          <w:color w:val="000000" w:themeColor="text1"/>
        </w:rPr>
        <w:t>Measures of internal consistency for the IBD-Control-8 were very strong overall (α = 0.84, ω = 0.89</w:t>
      </w:r>
      <w:r w:rsidR="009C3EF1">
        <w:rPr>
          <w:color w:val="000000" w:themeColor="text1"/>
        </w:rPr>
        <w:t>; n=7,337 patients</w:t>
      </w:r>
      <w:r w:rsidRPr="00C841A3">
        <w:rPr>
          <w:color w:val="000000" w:themeColor="text1"/>
        </w:rPr>
        <w:t>)</w:t>
      </w:r>
      <w:r w:rsidR="00930201">
        <w:rPr>
          <w:color w:val="000000" w:themeColor="text1"/>
        </w:rPr>
        <w:t>, consistent with</w:t>
      </w:r>
      <w:r w:rsidR="009C3EF1">
        <w:rPr>
          <w:color w:val="000000" w:themeColor="text1"/>
        </w:rPr>
        <w:t xml:space="preserve"> original</w:t>
      </w:r>
      <w:r w:rsidR="00097B4F">
        <w:rPr>
          <w:color w:val="000000" w:themeColor="text1"/>
        </w:rPr>
        <w:t>ly reported</w:t>
      </w:r>
      <w:r w:rsidR="009C3EF1">
        <w:rPr>
          <w:color w:val="000000" w:themeColor="text1"/>
        </w:rPr>
        <w:t xml:space="preserve"> findings (</w:t>
      </w:r>
      <w:r w:rsidR="009C3EF1" w:rsidRPr="00223D16">
        <w:rPr>
          <w:color w:val="000000" w:themeColor="text1"/>
        </w:rPr>
        <w:t>α=</w:t>
      </w:r>
      <w:r w:rsidR="00B42B29">
        <w:rPr>
          <w:color w:val="000000" w:themeColor="text1"/>
        </w:rPr>
        <w:t>0.85</w:t>
      </w:r>
      <w:r w:rsidR="009C3EF1">
        <w:rPr>
          <w:color w:val="000000" w:themeColor="text1"/>
        </w:rPr>
        <w:t>, n=299 patients)</w:t>
      </w:r>
      <w:r w:rsidR="00930201">
        <w:rPr>
          <w:color w:val="000000" w:themeColor="text1"/>
        </w:rPr>
        <w:t>.</w:t>
      </w:r>
      <w:r w:rsidR="0023314D">
        <w:rPr>
          <w:color w:val="000000" w:themeColor="text1"/>
        </w:rPr>
        <w:fldChar w:fldCharType="begin"/>
      </w:r>
      <w:r w:rsidR="0023314D">
        <w:rPr>
          <w:color w:val="000000" w:themeColor="text1"/>
        </w:rPr>
        <w:instrText xml:space="preserve"> ADDIN ZOTERO_ITEM CSL_CITATION {"citationID":"FNWjMJxv","properties":{"formattedCitation":"\\super 8\\nosupersub{}","plainCitation":"8","noteIndex":0},"citationItems":[{"id":154,"uris":["http://zotero.org/users/2016235/items/6SBF99P6"],"itemData":{"id":154,"type":"article-journal","abstract":"INTRODUCTION: The use of patient reported outcome measures to support routine inflammatory bowel disease (IBD) care is not widespread and suggests that existing questionnaires lack relevance to day-to-day decisions or are too cumbersome to administer. We developed a simple, generic tool for capturing disease control from the patient's perspective to address these barriers.\nMETHODS: Development based on literature review, patient focus groups/interviews and a steering group, defining a limited set of generic questions. The 'IBD-Control' questionnaire comprises 13 items plus a visual analogue scale (VAS) (0-100). Prospective validation involved baseline completion of IBD-Control, quality of life (QoL) questionnaire (UK-IBD-Q), EuroQol (EQ-5D), Hospital Anxiety and Depression Score; and clinician assessment (blinded to questionnaire; recording Harvey-Bradshaw Index or Simple Clinical Colitis Activity Index; Global Clinician Rating; treatment outcome).\nRESULTS: 299 patients returned baseline surveys (Crohn's disease, n=160; ulcerative colitis, n=139) and 138 attended for repeat visits. Completion time (mean; SD): 1 min 15 s; 25 s; Internal consistency: Cronbach's α for all 13 items (0.85); for subgroup of eight questions ('IBD-Control-8'; 0.86). Strong correlation between IBD-Control-8 and IBD-Control-VAS (r=0.81). Test-retest reliability (2 week repeat): intra-class correlation=0.97 for IBD-Control-8 and 0.96 for IBD-Control-VAS. Construct validity: Moderate-to-strong correlations between IBD-Control-8 and IBD-Control-VAS versus activity indices, UK-IBD-Q and EQ-5D (utility) with r values 0.52-0.86. Discriminant validity (mean instrument scores for remission, mild, moderate or severe): p&lt;0.001 (analysis of variance (ANOVA)). Sensitivity to change: Effect sizes: 0.76-1.44.\nCONCLUSIONS: The IBD-Control is a rapid, reliable, valid and sensitive instrument for measuring overall disease control from the patient's perspective. Unlike existing patient reported outcome measures, its simplicity, ease-of-use and generic applicability make it a candidate for supporting routine care.","container-title":"Gut","DOI":"10.1136/gutjnl-2013-305600","ISSN":"1468-3288","issue":"7","journalAbbreviation":"Gut","language":"eng","note":"PMID: 24107590 \nPMCID: PMC4078750","page":"1092-1102","source":"NCBI PubMed","title":"Development and validation of a rapid, generic measure of disease control from the patient's perspective: the IBD-control questionnaire","title-short":"Development and validation of a rapid, generic measure of disease control from the patient's perspective","volume":"63","author":[{"family":"Bodger","given":"Keith"},{"family":"Ormerod","given":"Clare"},{"family":"Shackcloth","given":"Daniela"},{"family":"Harrison","given":"Melanie"},{"literal":"IBD Control Collaborative"}],"issued":{"date-parts":[["2014",7]]}}}],"schema":"https://github.com/citation-style-language/schema/raw/master/csl-citation.json"} </w:instrText>
      </w:r>
      <w:r w:rsidR="0023314D">
        <w:rPr>
          <w:color w:val="000000" w:themeColor="text1"/>
        </w:rPr>
        <w:fldChar w:fldCharType="separate"/>
      </w:r>
      <w:r w:rsidR="0023314D" w:rsidRPr="0023314D">
        <w:rPr>
          <w:rFonts w:ascii="Calibri" w:cs="Calibri"/>
          <w:color w:val="000000"/>
          <w:vertAlign w:val="superscript"/>
        </w:rPr>
        <w:t>8</w:t>
      </w:r>
      <w:r w:rsidR="0023314D">
        <w:rPr>
          <w:color w:val="000000" w:themeColor="text1"/>
        </w:rPr>
        <w:fldChar w:fldCharType="end"/>
      </w:r>
      <w:r w:rsidR="00930201">
        <w:rPr>
          <w:color w:val="000000" w:themeColor="text1"/>
        </w:rPr>
        <w:t xml:space="preserve"> </w:t>
      </w:r>
      <w:r w:rsidR="009C3EF1">
        <w:rPr>
          <w:color w:val="000000" w:themeColor="text1"/>
        </w:rPr>
        <w:t xml:space="preserve"> </w:t>
      </w:r>
      <w:r w:rsidR="00930201">
        <w:rPr>
          <w:color w:val="000000" w:themeColor="text1"/>
        </w:rPr>
        <w:t xml:space="preserve">Uniquely in the present study, we </w:t>
      </w:r>
      <w:r w:rsidR="009C3EF1">
        <w:rPr>
          <w:color w:val="000000" w:themeColor="text1"/>
        </w:rPr>
        <w:t>confirm</w:t>
      </w:r>
      <w:r w:rsidR="00B42B29">
        <w:rPr>
          <w:color w:val="000000" w:themeColor="text1"/>
        </w:rPr>
        <w:t>ed</w:t>
      </w:r>
      <w:r w:rsidR="00930201">
        <w:rPr>
          <w:color w:val="000000" w:themeColor="text1"/>
        </w:rPr>
        <w:t xml:space="preserve"> </w:t>
      </w:r>
      <w:r w:rsidR="009C3EF1">
        <w:rPr>
          <w:color w:val="000000" w:themeColor="text1"/>
        </w:rPr>
        <w:t xml:space="preserve">that </w:t>
      </w:r>
      <w:r w:rsidR="00930201">
        <w:rPr>
          <w:color w:val="000000" w:themeColor="text1"/>
        </w:rPr>
        <w:t xml:space="preserve">consistency </w:t>
      </w:r>
      <w:r w:rsidR="009C3EF1">
        <w:rPr>
          <w:color w:val="000000" w:themeColor="text1"/>
        </w:rPr>
        <w:t>wa</w:t>
      </w:r>
      <w:r w:rsidR="00930201">
        <w:rPr>
          <w:color w:val="000000" w:themeColor="text1"/>
        </w:rPr>
        <w:t xml:space="preserve">s </w:t>
      </w:r>
      <w:r w:rsidRPr="00C841A3">
        <w:rPr>
          <w:color w:val="000000" w:themeColor="text1"/>
        </w:rPr>
        <w:t>maintained within sub-groups of patients categorised by diagnosis, sex at birth, age groups and deprivation status (</w:t>
      </w:r>
      <w:r w:rsidRPr="00C841A3">
        <w:rPr>
          <w:b/>
          <w:bCs/>
          <w:color w:val="000000" w:themeColor="text1"/>
        </w:rPr>
        <w:t xml:space="preserve">Table </w:t>
      </w:r>
      <w:r w:rsidR="00676452">
        <w:rPr>
          <w:b/>
          <w:bCs/>
          <w:color w:val="000000" w:themeColor="text1"/>
        </w:rPr>
        <w:t>2</w:t>
      </w:r>
      <w:r w:rsidRPr="00C841A3">
        <w:rPr>
          <w:color w:val="000000" w:themeColor="text1"/>
        </w:rPr>
        <w:t>: α and ω values consistently above 0.80; α ranging from 0.81 to 0.85; ω ranging from 0.86 to 0.90)</w:t>
      </w:r>
      <w:r w:rsidR="0086171D">
        <w:rPr>
          <w:color w:val="000000" w:themeColor="text1"/>
        </w:rPr>
        <w:t>.</w:t>
      </w:r>
    </w:p>
    <w:p w14:paraId="4773F088" w14:textId="205AB5C7" w:rsidR="00E876CC" w:rsidRPr="00C841A3" w:rsidRDefault="00472574" w:rsidP="00472574">
      <w:pPr>
        <w:jc w:val="both"/>
        <w:rPr>
          <w:b/>
          <w:bCs/>
          <w:color w:val="000000" w:themeColor="text1"/>
        </w:rPr>
      </w:pPr>
      <w:r w:rsidRPr="00C841A3">
        <w:rPr>
          <w:b/>
          <w:bCs/>
          <w:color w:val="000000" w:themeColor="text1"/>
        </w:rPr>
        <w:t>Construct validity of</w:t>
      </w:r>
      <w:r w:rsidR="00F24597">
        <w:rPr>
          <w:b/>
          <w:bCs/>
          <w:color w:val="000000" w:themeColor="text1"/>
        </w:rPr>
        <w:t xml:space="preserve"> individual</w:t>
      </w:r>
      <w:r w:rsidRPr="00C841A3">
        <w:rPr>
          <w:b/>
          <w:bCs/>
          <w:color w:val="000000" w:themeColor="text1"/>
        </w:rPr>
        <w:t xml:space="preserve"> IBD-Control-8</w:t>
      </w:r>
      <w:r w:rsidR="00BD63E9">
        <w:rPr>
          <w:b/>
          <w:bCs/>
          <w:color w:val="000000" w:themeColor="text1"/>
        </w:rPr>
        <w:t xml:space="preserve"> item</w:t>
      </w:r>
      <w:r w:rsidR="00C45C91">
        <w:rPr>
          <w:b/>
          <w:bCs/>
          <w:color w:val="000000" w:themeColor="text1"/>
        </w:rPr>
        <w:t xml:space="preserve">s </w:t>
      </w:r>
      <w:r w:rsidR="00BD63E9">
        <w:rPr>
          <w:b/>
          <w:bCs/>
          <w:color w:val="000000" w:themeColor="text1"/>
        </w:rPr>
        <w:t>versus visual analogue scale</w:t>
      </w:r>
    </w:p>
    <w:p w14:paraId="3C310E01" w14:textId="4E8C87E6" w:rsidR="00337844" w:rsidRPr="000C365A" w:rsidRDefault="00472574" w:rsidP="00344BA9">
      <w:pPr>
        <w:jc w:val="both"/>
        <w:rPr>
          <w:color w:val="FF0000"/>
        </w:rPr>
      </w:pPr>
      <w:r w:rsidRPr="00C841A3">
        <w:rPr>
          <w:color w:val="000000" w:themeColor="text1"/>
        </w:rPr>
        <w:t xml:space="preserve">The IBD-Control-VAS </w:t>
      </w:r>
      <w:r w:rsidR="000B58BA">
        <w:rPr>
          <w:color w:val="000000" w:themeColor="text1"/>
        </w:rPr>
        <w:t>score is a</w:t>
      </w:r>
      <w:r w:rsidR="00A07C5F">
        <w:rPr>
          <w:color w:val="000000" w:themeColor="text1"/>
        </w:rPr>
        <w:t xml:space="preserve"> </w:t>
      </w:r>
      <w:r w:rsidR="00DF60A7">
        <w:rPr>
          <w:color w:val="000000" w:themeColor="text1"/>
        </w:rPr>
        <w:t xml:space="preserve">surrogate </w:t>
      </w:r>
      <w:r w:rsidR="00A07C5F">
        <w:rPr>
          <w:color w:val="000000" w:themeColor="text1"/>
        </w:rPr>
        <w:t xml:space="preserve">global </w:t>
      </w:r>
      <w:r w:rsidRPr="00C841A3">
        <w:rPr>
          <w:color w:val="000000" w:themeColor="text1"/>
        </w:rPr>
        <w:t>measure of the construct of interest</w:t>
      </w:r>
      <w:r w:rsidR="00BD63E9">
        <w:rPr>
          <w:color w:val="000000" w:themeColor="text1"/>
        </w:rPr>
        <w:t>,</w:t>
      </w:r>
      <w:r w:rsidRPr="00C841A3">
        <w:rPr>
          <w:color w:val="000000" w:themeColor="text1"/>
        </w:rPr>
        <w:t xml:space="preserve"> providing a</w:t>
      </w:r>
      <w:r w:rsidR="00DF60A7">
        <w:rPr>
          <w:color w:val="000000" w:themeColor="text1"/>
        </w:rPr>
        <w:t xml:space="preserve"> </w:t>
      </w:r>
      <w:r w:rsidR="00A07C5F">
        <w:rPr>
          <w:color w:val="000000" w:themeColor="text1"/>
        </w:rPr>
        <w:t xml:space="preserve">numerical </w:t>
      </w:r>
      <w:r w:rsidRPr="00C841A3">
        <w:rPr>
          <w:color w:val="000000" w:themeColor="text1"/>
        </w:rPr>
        <w:t>rating</w:t>
      </w:r>
      <w:r w:rsidR="00DF60A7">
        <w:rPr>
          <w:color w:val="000000" w:themeColor="text1"/>
        </w:rPr>
        <w:t xml:space="preserve"> of patient-perceived control</w:t>
      </w:r>
      <w:r w:rsidRPr="00C841A3">
        <w:rPr>
          <w:color w:val="000000" w:themeColor="text1"/>
        </w:rPr>
        <w:t xml:space="preserve"> </w:t>
      </w:r>
      <w:r w:rsidR="00DF60A7">
        <w:rPr>
          <w:color w:val="000000" w:themeColor="text1"/>
        </w:rPr>
        <w:t xml:space="preserve">using </w:t>
      </w:r>
      <w:r w:rsidRPr="00C841A3">
        <w:rPr>
          <w:color w:val="000000" w:themeColor="text1"/>
        </w:rPr>
        <w:t>a “feeling thermometer” approach.</w:t>
      </w:r>
      <w:r w:rsidR="00DF60A7">
        <w:rPr>
          <w:color w:val="000000" w:themeColor="text1"/>
        </w:rPr>
        <w:t xml:space="preserve">  If the </w:t>
      </w:r>
      <w:r w:rsidR="00B42B29">
        <w:rPr>
          <w:color w:val="000000" w:themeColor="text1"/>
        </w:rPr>
        <w:t xml:space="preserve">eight </w:t>
      </w:r>
      <w:r w:rsidR="00DF60A7">
        <w:rPr>
          <w:color w:val="000000" w:themeColor="text1"/>
        </w:rPr>
        <w:t xml:space="preserve">questions within </w:t>
      </w:r>
      <w:r w:rsidR="00B42B29">
        <w:rPr>
          <w:color w:val="000000" w:themeColor="text1"/>
        </w:rPr>
        <w:t xml:space="preserve">the </w:t>
      </w:r>
      <w:r w:rsidR="00DF60A7">
        <w:rPr>
          <w:color w:val="000000" w:themeColor="text1"/>
        </w:rPr>
        <w:t xml:space="preserve">IBD-Control-8 are </w:t>
      </w:r>
      <w:r w:rsidR="00B42B29">
        <w:rPr>
          <w:color w:val="000000" w:themeColor="text1"/>
        </w:rPr>
        <w:t xml:space="preserve">each </w:t>
      </w:r>
      <w:r w:rsidR="00DF60A7">
        <w:rPr>
          <w:color w:val="000000" w:themeColor="text1"/>
        </w:rPr>
        <w:t>measuring an element of th</w:t>
      </w:r>
      <w:r w:rsidR="0023314D">
        <w:rPr>
          <w:color w:val="000000" w:themeColor="text1"/>
        </w:rPr>
        <w:t>e</w:t>
      </w:r>
      <w:r w:rsidR="00337844">
        <w:rPr>
          <w:color w:val="000000" w:themeColor="text1"/>
        </w:rPr>
        <w:t xml:space="preserve"> </w:t>
      </w:r>
      <w:r w:rsidR="00A07C5F">
        <w:rPr>
          <w:color w:val="000000" w:themeColor="text1"/>
        </w:rPr>
        <w:t xml:space="preserve">same </w:t>
      </w:r>
      <w:r w:rsidR="00DF60A7">
        <w:rPr>
          <w:color w:val="000000" w:themeColor="text1"/>
        </w:rPr>
        <w:t>concept, the</w:t>
      </w:r>
      <w:r w:rsidR="00C45C91">
        <w:rPr>
          <w:color w:val="000000" w:themeColor="text1"/>
        </w:rPr>
        <w:t>ir scored responses</w:t>
      </w:r>
      <w:r w:rsidR="00DF60A7">
        <w:rPr>
          <w:color w:val="000000" w:themeColor="text1"/>
        </w:rPr>
        <w:t xml:space="preserve"> should correlate significantly with the IBD-Control-VAS. </w:t>
      </w:r>
      <w:r w:rsidR="00344BA9" w:rsidRPr="00C841A3">
        <w:rPr>
          <w:color w:val="000000" w:themeColor="text1"/>
        </w:rPr>
        <w:t>These hypothesized relationships were confirmed</w:t>
      </w:r>
      <w:r w:rsidR="00337844">
        <w:rPr>
          <w:color w:val="000000" w:themeColor="text1"/>
        </w:rPr>
        <w:t xml:space="preserve"> (</w:t>
      </w:r>
      <w:r w:rsidR="00337844" w:rsidRPr="00C841A3">
        <w:rPr>
          <w:b/>
          <w:bCs/>
          <w:color w:val="000000" w:themeColor="text1"/>
        </w:rPr>
        <w:t xml:space="preserve">Figure </w:t>
      </w:r>
      <w:r w:rsidR="007604A6">
        <w:rPr>
          <w:b/>
          <w:bCs/>
          <w:color w:val="000000" w:themeColor="text1"/>
        </w:rPr>
        <w:t>2</w:t>
      </w:r>
      <w:r w:rsidR="00337844">
        <w:rPr>
          <w:color w:val="000000" w:themeColor="text1"/>
        </w:rPr>
        <w:t>)</w:t>
      </w:r>
      <w:r w:rsidR="00B44FC8">
        <w:rPr>
          <w:color w:val="000000" w:themeColor="text1"/>
        </w:rPr>
        <w:t>, with each item demonstrating significant, moderate-to-strong correlations with the VAS.  As expected, the strongest correlation was observed for the</w:t>
      </w:r>
      <w:r w:rsidR="000B58BA">
        <w:rPr>
          <w:color w:val="000000" w:themeColor="text1"/>
        </w:rPr>
        <w:t xml:space="preserve"> most</w:t>
      </w:r>
      <w:r w:rsidR="00B44FC8">
        <w:rPr>
          <w:color w:val="000000" w:themeColor="text1"/>
        </w:rPr>
        <w:t xml:space="preserve"> global question item (Q1a, </w:t>
      </w:r>
      <w:r w:rsidR="00F24597" w:rsidRPr="00223D16">
        <w:rPr>
          <w:color w:val="000000" w:themeColor="text1"/>
        </w:rPr>
        <w:t>r</w:t>
      </w:r>
      <w:r w:rsidR="00F24597" w:rsidRPr="00223D16">
        <w:rPr>
          <w:color w:val="000000" w:themeColor="text1"/>
          <w:vertAlign w:val="subscript"/>
        </w:rPr>
        <w:t>s</w:t>
      </w:r>
      <w:r w:rsidR="00F24597">
        <w:rPr>
          <w:color w:val="000000" w:themeColor="text1"/>
        </w:rPr>
        <w:t xml:space="preserve"> </w:t>
      </w:r>
      <w:r w:rsidR="00B44FC8">
        <w:rPr>
          <w:color w:val="000000" w:themeColor="text1"/>
        </w:rPr>
        <w:t>= 0.647, p&lt;0.</w:t>
      </w:r>
      <w:r w:rsidR="00B44FC8" w:rsidRPr="000C365A">
        <w:rPr>
          <w:color w:val="000000" w:themeColor="text1"/>
        </w:rPr>
        <w:t>001) as opposed to the remaining seven items (</w:t>
      </w:r>
      <w:r w:rsidR="00F24597" w:rsidRPr="000C365A">
        <w:rPr>
          <w:color w:val="000000" w:themeColor="text1"/>
        </w:rPr>
        <w:t>r</w:t>
      </w:r>
      <w:r w:rsidR="00F24597" w:rsidRPr="000C365A">
        <w:rPr>
          <w:color w:val="000000" w:themeColor="text1"/>
          <w:vertAlign w:val="subscript"/>
        </w:rPr>
        <w:t>s</w:t>
      </w:r>
      <w:r w:rsidR="00B44FC8" w:rsidRPr="000C365A">
        <w:rPr>
          <w:color w:val="000000" w:themeColor="text1"/>
        </w:rPr>
        <w:t xml:space="preserve"> values ranging from 0.472 to 0.576, all p values &lt;0.001). These analyses were </w:t>
      </w:r>
      <w:r w:rsidR="0004400F" w:rsidRPr="000C365A">
        <w:rPr>
          <w:color w:val="000000" w:themeColor="text1"/>
        </w:rPr>
        <w:t>co</w:t>
      </w:r>
      <w:r w:rsidR="00A07C5F" w:rsidRPr="000C365A">
        <w:rPr>
          <w:color w:val="000000" w:themeColor="text1"/>
        </w:rPr>
        <w:t>nsistent</w:t>
      </w:r>
      <w:r w:rsidR="0004400F" w:rsidRPr="000C365A">
        <w:rPr>
          <w:color w:val="000000" w:themeColor="text1"/>
        </w:rPr>
        <w:t xml:space="preserve"> </w:t>
      </w:r>
      <w:r w:rsidR="003D0A5D" w:rsidRPr="000C365A">
        <w:rPr>
          <w:color w:val="000000" w:themeColor="text1"/>
        </w:rPr>
        <w:t>across</w:t>
      </w:r>
      <w:r w:rsidR="00B44FC8" w:rsidRPr="000C365A">
        <w:rPr>
          <w:color w:val="000000" w:themeColor="text1"/>
        </w:rPr>
        <w:t xml:space="preserve"> sub-groups by</w:t>
      </w:r>
      <w:r w:rsidR="006D5DC9" w:rsidRPr="000C365A">
        <w:rPr>
          <w:color w:val="000000" w:themeColor="text1"/>
        </w:rPr>
        <w:t xml:space="preserve"> sex</w:t>
      </w:r>
      <w:r w:rsidR="00B44FC8" w:rsidRPr="000C365A">
        <w:rPr>
          <w:color w:val="000000" w:themeColor="text1"/>
        </w:rPr>
        <w:t>,</w:t>
      </w:r>
      <w:r w:rsidR="0004400F" w:rsidRPr="000C365A">
        <w:rPr>
          <w:color w:val="000000" w:themeColor="text1"/>
        </w:rPr>
        <w:t xml:space="preserve"> socioeconomic status</w:t>
      </w:r>
      <w:r w:rsidR="00B44FC8" w:rsidRPr="000C365A">
        <w:rPr>
          <w:color w:val="000000" w:themeColor="text1"/>
        </w:rPr>
        <w:t>,</w:t>
      </w:r>
      <w:r w:rsidR="0004400F" w:rsidRPr="000C365A">
        <w:rPr>
          <w:color w:val="000000" w:themeColor="text1"/>
        </w:rPr>
        <w:t xml:space="preserve"> age group</w:t>
      </w:r>
      <w:r w:rsidR="00B44FC8" w:rsidRPr="000C365A">
        <w:rPr>
          <w:color w:val="000000" w:themeColor="text1"/>
        </w:rPr>
        <w:t xml:space="preserve"> </w:t>
      </w:r>
      <w:r w:rsidR="0004400F" w:rsidRPr="000C365A">
        <w:rPr>
          <w:color w:val="000000" w:themeColor="text1"/>
        </w:rPr>
        <w:t>and comorbidity status</w:t>
      </w:r>
      <w:r w:rsidR="000C365A" w:rsidRPr="000C365A">
        <w:rPr>
          <w:color w:val="000000" w:themeColor="text1"/>
        </w:rPr>
        <w:t>.</w:t>
      </w:r>
    </w:p>
    <w:p w14:paraId="6E62A064" w14:textId="417FC834" w:rsidR="00472574" w:rsidRDefault="00F24597" w:rsidP="00F24597">
      <w:pPr>
        <w:jc w:val="both"/>
        <w:rPr>
          <w:color w:val="000000" w:themeColor="text1"/>
        </w:rPr>
      </w:pPr>
      <w:r w:rsidRPr="00C841A3">
        <w:rPr>
          <w:b/>
          <w:bCs/>
          <w:color w:val="000000" w:themeColor="text1"/>
        </w:rPr>
        <w:t xml:space="preserve">Figure </w:t>
      </w:r>
      <w:r w:rsidR="007604A6">
        <w:rPr>
          <w:b/>
          <w:bCs/>
          <w:color w:val="000000" w:themeColor="text1"/>
        </w:rPr>
        <w:t>2</w:t>
      </w:r>
      <w:r w:rsidR="00B44FC8" w:rsidRPr="00F24597">
        <w:rPr>
          <w:color w:val="000000" w:themeColor="text1"/>
        </w:rPr>
        <w:t xml:space="preserve"> </w:t>
      </w:r>
      <w:r w:rsidR="00BD3ECC">
        <w:rPr>
          <w:color w:val="000000" w:themeColor="text1"/>
        </w:rPr>
        <w:t xml:space="preserve">also </w:t>
      </w:r>
      <w:r>
        <w:rPr>
          <w:color w:val="000000" w:themeColor="text1"/>
        </w:rPr>
        <w:t>confirms that</w:t>
      </w:r>
      <w:r w:rsidRPr="00F24597">
        <w:rPr>
          <w:color w:val="000000" w:themeColor="text1"/>
        </w:rPr>
        <w:t xml:space="preserve"> </w:t>
      </w:r>
      <w:r>
        <w:rPr>
          <w:color w:val="000000" w:themeColor="text1"/>
        </w:rPr>
        <w:t>responses to each</w:t>
      </w:r>
      <w:r w:rsidR="00472574" w:rsidRPr="00C841A3">
        <w:rPr>
          <w:color w:val="000000" w:themeColor="text1"/>
        </w:rPr>
        <w:t xml:space="preserve"> question behave as a 3-item ordinal Likert scale, with median scores for patients recording “Not Sure” </w:t>
      </w:r>
      <w:r w:rsidR="00BD3ECC">
        <w:rPr>
          <w:color w:val="000000" w:themeColor="text1"/>
        </w:rPr>
        <w:t xml:space="preserve">consistently </w:t>
      </w:r>
      <w:r w:rsidR="00472574" w:rsidRPr="00C841A3">
        <w:rPr>
          <w:color w:val="000000" w:themeColor="text1"/>
        </w:rPr>
        <w:t>lying intermediate between those responding “Yes” or “No”</w:t>
      </w:r>
      <w:r w:rsidRPr="00C841A3">
        <w:rPr>
          <w:color w:val="000000" w:themeColor="text1"/>
        </w:rPr>
        <w:t xml:space="preserve">.  </w:t>
      </w:r>
      <w:r w:rsidR="00472574" w:rsidRPr="00C841A3">
        <w:rPr>
          <w:color w:val="000000" w:themeColor="text1"/>
        </w:rPr>
        <w:t>The latter finding</w:t>
      </w:r>
      <w:r w:rsidR="001B6FCB">
        <w:rPr>
          <w:color w:val="000000" w:themeColor="text1"/>
        </w:rPr>
        <w:t xml:space="preserve"> is consistent with</w:t>
      </w:r>
      <w:r w:rsidR="00472574" w:rsidRPr="00C841A3">
        <w:rPr>
          <w:color w:val="000000" w:themeColor="text1"/>
        </w:rPr>
        <w:t xml:space="preserve"> the </w:t>
      </w:r>
      <w:r w:rsidR="00BF62F7">
        <w:rPr>
          <w:color w:val="000000" w:themeColor="text1"/>
        </w:rPr>
        <w:t xml:space="preserve">simple </w:t>
      </w:r>
      <w:r w:rsidR="00472574" w:rsidRPr="00C841A3">
        <w:rPr>
          <w:color w:val="000000" w:themeColor="text1"/>
        </w:rPr>
        <w:t>scoring system for IBD-Control-8</w:t>
      </w:r>
      <w:r w:rsidR="001B6FCB">
        <w:rPr>
          <w:color w:val="000000" w:themeColor="text1"/>
        </w:rPr>
        <w:t xml:space="preserve"> items</w:t>
      </w:r>
      <w:r>
        <w:rPr>
          <w:color w:val="000000" w:themeColor="text1"/>
        </w:rPr>
        <w:t xml:space="preserve"> (</w:t>
      </w:r>
      <w:r w:rsidR="00472574" w:rsidRPr="00C841A3">
        <w:rPr>
          <w:color w:val="000000" w:themeColor="text1"/>
        </w:rPr>
        <w:t xml:space="preserve">which assigns 1-point for “Not Sure” and </w:t>
      </w:r>
      <w:r w:rsidR="00BF62F7">
        <w:rPr>
          <w:color w:val="000000" w:themeColor="text1"/>
        </w:rPr>
        <w:t xml:space="preserve">either </w:t>
      </w:r>
      <w:r w:rsidR="00472574" w:rsidRPr="00C841A3">
        <w:rPr>
          <w:color w:val="000000" w:themeColor="text1"/>
        </w:rPr>
        <w:t>zero or</w:t>
      </w:r>
      <w:r w:rsidR="001B6FCB">
        <w:rPr>
          <w:color w:val="000000" w:themeColor="text1"/>
        </w:rPr>
        <w:t xml:space="preserve"> two </w:t>
      </w:r>
      <w:r w:rsidR="00472574" w:rsidRPr="00C841A3">
        <w:rPr>
          <w:color w:val="000000" w:themeColor="text1"/>
        </w:rPr>
        <w:t>points for</w:t>
      </w:r>
      <w:r>
        <w:rPr>
          <w:color w:val="000000" w:themeColor="text1"/>
        </w:rPr>
        <w:t xml:space="preserve"> definitive replies)</w:t>
      </w:r>
      <w:r w:rsidR="00472574" w:rsidRPr="00C841A3">
        <w:rPr>
          <w:color w:val="000000" w:themeColor="text1"/>
        </w:rPr>
        <w:t>.  Th</w:t>
      </w:r>
      <w:r w:rsidR="00A0506E">
        <w:rPr>
          <w:color w:val="000000" w:themeColor="text1"/>
        </w:rPr>
        <w:t>e</w:t>
      </w:r>
      <w:r w:rsidR="00472574" w:rsidRPr="00C841A3">
        <w:rPr>
          <w:color w:val="000000" w:themeColor="text1"/>
        </w:rPr>
        <w:t xml:space="preserve"> assumption of ordinal scaling</w:t>
      </w:r>
      <w:r>
        <w:rPr>
          <w:color w:val="000000" w:themeColor="text1"/>
        </w:rPr>
        <w:t xml:space="preserve"> </w:t>
      </w:r>
      <w:r w:rsidR="000B58BA">
        <w:rPr>
          <w:color w:val="000000" w:themeColor="text1"/>
        </w:rPr>
        <w:t xml:space="preserve">of the three response options </w:t>
      </w:r>
      <w:r>
        <w:rPr>
          <w:color w:val="000000" w:themeColor="text1"/>
        </w:rPr>
        <w:t>justifies</w:t>
      </w:r>
      <w:r w:rsidR="000B58BA">
        <w:rPr>
          <w:color w:val="000000" w:themeColor="text1"/>
        </w:rPr>
        <w:t xml:space="preserve"> our</w:t>
      </w:r>
      <w:r>
        <w:rPr>
          <w:color w:val="000000" w:themeColor="text1"/>
        </w:rPr>
        <w:t xml:space="preserve"> approach to </w:t>
      </w:r>
      <w:r w:rsidR="00472574" w:rsidRPr="00C841A3">
        <w:rPr>
          <w:color w:val="000000" w:themeColor="text1"/>
        </w:rPr>
        <w:t>constructing correlation matrices for factor analyses.</w:t>
      </w:r>
    </w:p>
    <w:p w14:paraId="5719574D" w14:textId="4C69EB93" w:rsidR="00F24597" w:rsidRPr="00C841A3" w:rsidRDefault="00F24597" w:rsidP="00F24597">
      <w:pPr>
        <w:jc w:val="both"/>
        <w:rPr>
          <w:b/>
          <w:bCs/>
          <w:color w:val="000000" w:themeColor="text1"/>
        </w:rPr>
      </w:pPr>
      <w:r w:rsidRPr="00223D16">
        <w:rPr>
          <w:b/>
          <w:bCs/>
          <w:color w:val="000000" w:themeColor="text1"/>
        </w:rPr>
        <w:t>Construct validity of IBD-Control-8</w:t>
      </w:r>
      <w:r>
        <w:rPr>
          <w:b/>
          <w:bCs/>
          <w:color w:val="000000" w:themeColor="text1"/>
        </w:rPr>
        <w:t xml:space="preserve"> summary score versus visual analogue scale</w:t>
      </w:r>
    </w:p>
    <w:p w14:paraId="58B00A79" w14:textId="13A75213" w:rsidR="00472574" w:rsidRPr="00C841A3" w:rsidRDefault="00472574" w:rsidP="00472574">
      <w:pPr>
        <w:jc w:val="both"/>
        <w:rPr>
          <w:color w:val="000000" w:themeColor="text1"/>
        </w:rPr>
      </w:pPr>
      <w:r w:rsidRPr="00C841A3">
        <w:rPr>
          <w:color w:val="000000" w:themeColor="text1"/>
        </w:rPr>
        <w:t xml:space="preserve">As </w:t>
      </w:r>
      <w:r w:rsidR="00F24597">
        <w:rPr>
          <w:color w:val="000000" w:themeColor="text1"/>
        </w:rPr>
        <w:t>expected</w:t>
      </w:r>
      <w:r w:rsidRPr="00C841A3">
        <w:rPr>
          <w:color w:val="000000" w:themeColor="text1"/>
        </w:rPr>
        <w:t>, there was a strong correlation overall between the IBD-Control-8 score and IBD-Control-VAS (r</w:t>
      </w:r>
      <w:r w:rsidRPr="00C841A3">
        <w:rPr>
          <w:color w:val="000000" w:themeColor="text1"/>
          <w:vertAlign w:val="subscript"/>
        </w:rPr>
        <w:t>s</w:t>
      </w:r>
      <w:r w:rsidRPr="00C841A3">
        <w:rPr>
          <w:color w:val="000000" w:themeColor="text1"/>
        </w:rPr>
        <w:t>=0.738, p&lt;0.001</w:t>
      </w:r>
      <w:r w:rsidR="007604A6">
        <w:rPr>
          <w:color w:val="000000" w:themeColor="text1"/>
        </w:rPr>
        <w:t xml:space="preserve">; </w:t>
      </w:r>
      <w:r w:rsidR="007604A6" w:rsidRPr="002C0E5F">
        <w:rPr>
          <w:b/>
          <w:bCs/>
          <w:color w:val="000000" w:themeColor="text1"/>
        </w:rPr>
        <w:t>Figure 3</w:t>
      </w:r>
      <w:r w:rsidRPr="00C841A3">
        <w:rPr>
          <w:color w:val="000000" w:themeColor="text1"/>
        </w:rPr>
        <w:t>) and this was consistent across diagnoses (CD: r</w:t>
      </w:r>
      <w:r w:rsidRPr="00C841A3">
        <w:rPr>
          <w:color w:val="000000" w:themeColor="text1"/>
          <w:vertAlign w:val="subscript"/>
        </w:rPr>
        <w:t>s</w:t>
      </w:r>
      <w:r w:rsidRPr="00C841A3">
        <w:rPr>
          <w:color w:val="000000" w:themeColor="text1"/>
        </w:rPr>
        <w:t xml:space="preserve"> = 0.747, p&lt;0.001; UC: r</w:t>
      </w:r>
      <w:r w:rsidRPr="00C841A3">
        <w:rPr>
          <w:color w:val="000000" w:themeColor="text1"/>
          <w:vertAlign w:val="subscript"/>
        </w:rPr>
        <w:t>s</w:t>
      </w:r>
      <w:r w:rsidRPr="00C841A3">
        <w:rPr>
          <w:color w:val="000000" w:themeColor="text1"/>
        </w:rPr>
        <w:t xml:space="preserve"> = 0.714, p&lt;0.001; IBD-U: r</w:t>
      </w:r>
      <w:r w:rsidRPr="00C841A3">
        <w:rPr>
          <w:color w:val="000000" w:themeColor="text1"/>
          <w:vertAlign w:val="subscript"/>
        </w:rPr>
        <w:t>s</w:t>
      </w:r>
      <w:r w:rsidRPr="00C841A3">
        <w:rPr>
          <w:color w:val="000000" w:themeColor="text1"/>
        </w:rPr>
        <w:t xml:space="preserve"> = 0.745, p&lt;0.001). Th</w:t>
      </w:r>
      <w:r w:rsidR="00F24597">
        <w:rPr>
          <w:color w:val="000000" w:themeColor="text1"/>
        </w:rPr>
        <w:t>is</w:t>
      </w:r>
      <w:r w:rsidRPr="00C841A3">
        <w:rPr>
          <w:color w:val="000000" w:themeColor="text1"/>
        </w:rPr>
        <w:t xml:space="preserve"> relationship also held</w:t>
      </w:r>
      <w:r w:rsidR="00F24597">
        <w:rPr>
          <w:color w:val="000000" w:themeColor="text1"/>
        </w:rPr>
        <w:t xml:space="preserve"> </w:t>
      </w:r>
      <w:r w:rsidR="00EC55D9">
        <w:rPr>
          <w:color w:val="000000" w:themeColor="text1"/>
        </w:rPr>
        <w:t>for both</w:t>
      </w:r>
      <w:r w:rsidR="00F24597">
        <w:rPr>
          <w:color w:val="000000" w:themeColor="text1"/>
        </w:rPr>
        <w:t xml:space="preserve"> sex</w:t>
      </w:r>
      <w:r w:rsidR="00EC55D9">
        <w:rPr>
          <w:color w:val="000000" w:themeColor="text1"/>
        </w:rPr>
        <w:t>es</w:t>
      </w:r>
      <w:r w:rsidR="00F24597">
        <w:rPr>
          <w:color w:val="000000" w:themeColor="text1"/>
        </w:rPr>
        <w:t xml:space="preserve"> </w:t>
      </w:r>
      <w:r w:rsidRPr="00C841A3">
        <w:rPr>
          <w:color w:val="000000" w:themeColor="text1"/>
        </w:rPr>
        <w:t>(Males: r</w:t>
      </w:r>
      <w:r w:rsidRPr="00C841A3">
        <w:rPr>
          <w:color w:val="000000" w:themeColor="text1"/>
          <w:vertAlign w:val="subscript"/>
        </w:rPr>
        <w:t>s</w:t>
      </w:r>
      <w:r w:rsidRPr="00C841A3">
        <w:rPr>
          <w:color w:val="000000" w:themeColor="text1"/>
        </w:rPr>
        <w:t xml:space="preserve"> = 0.701, p&lt;0.001; Females: r</w:t>
      </w:r>
      <w:r w:rsidRPr="00C841A3">
        <w:rPr>
          <w:color w:val="000000" w:themeColor="text1"/>
          <w:vertAlign w:val="subscript"/>
        </w:rPr>
        <w:t>s</w:t>
      </w:r>
      <w:r w:rsidRPr="00C841A3">
        <w:rPr>
          <w:color w:val="000000" w:themeColor="text1"/>
        </w:rPr>
        <w:t xml:space="preserve"> = 0.750, p&lt;0.001),</w:t>
      </w:r>
      <w:r w:rsidR="00BF62F7" w:rsidRPr="00BF62F7">
        <w:rPr>
          <w:color w:val="000000" w:themeColor="text1"/>
        </w:rPr>
        <w:t xml:space="preserve"> </w:t>
      </w:r>
      <w:r w:rsidR="00BF62F7">
        <w:rPr>
          <w:color w:val="000000" w:themeColor="text1"/>
        </w:rPr>
        <w:t xml:space="preserve">across </w:t>
      </w:r>
      <w:r w:rsidR="00BF62F7" w:rsidRPr="00C841A3">
        <w:rPr>
          <w:color w:val="000000" w:themeColor="text1"/>
        </w:rPr>
        <w:t>age groups (Age &lt;65: r</w:t>
      </w:r>
      <w:r w:rsidR="00BF62F7" w:rsidRPr="00C841A3">
        <w:rPr>
          <w:color w:val="000000" w:themeColor="text1"/>
          <w:vertAlign w:val="subscript"/>
        </w:rPr>
        <w:t>s</w:t>
      </w:r>
      <w:r w:rsidR="00BF62F7" w:rsidRPr="00C841A3">
        <w:rPr>
          <w:color w:val="000000" w:themeColor="text1"/>
        </w:rPr>
        <w:t xml:space="preserve"> = 0.745, p&lt;0.001</w:t>
      </w:r>
      <w:r w:rsidR="00BF62F7">
        <w:rPr>
          <w:color w:val="000000" w:themeColor="text1"/>
        </w:rPr>
        <w:t xml:space="preserve">; </w:t>
      </w:r>
      <w:r w:rsidR="00BF62F7" w:rsidRPr="00C841A3">
        <w:rPr>
          <w:color w:val="000000" w:themeColor="text1"/>
        </w:rPr>
        <w:t>Age ≥ 65: r</w:t>
      </w:r>
      <w:r w:rsidR="00BF62F7" w:rsidRPr="00C841A3">
        <w:rPr>
          <w:color w:val="000000" w:themeColor="text1"/>
          <w:vertAlign w:val="subscript"/>
        </w:rPr>
        <w:t>s</w:t>
      </w:r>
      <w:r w:rsidR="00BF62F7" w:rsidRPr="00C841A3">
        <w:rPr>
          <w:color w:val="000000" w:themeColor="text1"/>
        </w:rPr>
        <w:t xml:space="preserve"> = 0.667, p&lt;0.001)</w:t>
      </w:r>
      <w:r w:rsidR="00BF62F7">
        <w:rPr>
          <w:color w:val="000000" w:themeColor="text1"/>
        </w:rPr>
        <w:t>, s</w:t>
      </w:r>
      <w:r w:rsidRPr="00C841A3">
        <w:rPr>
          <w:color w:val="000000" w:themeColor="text1"/>
        </w:rPr>
        <w:t xml:space="preserve">ocioeconomic groups (Deprivation </w:t>
      </w:r>
      <w:r w:rsidR="00F73484">
        <w:rPr>
          <w:color w:val="000000" w:themeColor="text1"/>
        </w:rPr>
        <w:t>Quintile</w:t>
      </w:r>
      <w:r w:rsidRPr="00C841A3">
        <w:rPr>
          <w:color w:val="000000" w:themeColor="text1"/>
        </w:rPr>
        <w:t xml:space="preserve"> 4 and 5: r</w:t>
      </w:r>
      <w:r w:rsidRPr="00C841A3">
        <w:rPr>
          <w:color w:val="000000" w:themeColor="text1"/>
          <w:vertAlign w:val="subscript"/>
        </w:rPr>
        <w:t>s</w:t>
      </w:r>
      <w:r w:rsidRPr="00C841A3">
        <w:rPr>
          <w:color w:val="000000" w:themeColor="text1"/>
        </w:rPr>
        <w:t xml:space="preserve"> = 0.759, p&lt;0.001; Deprivation </w:t>
      </w:r>
      <w:r w:rsidR="00F73484">
        <w:rPr>
          <w:color w:val="000000" w:themeColor="text1"/>
        </w:rPr>
        <w:t>Quintile</w:t>
      </w:r>
      <w:r w:rsidRPr="00C841A3">
        <w:rPr>
          <w:color w:val="000000" w:themeColor="text1"/>
        </w:rPr>
        <w:t xml:space="preserve"> 1 and 2: r</w:t>
      </w:r>
      <w:r w:rsidRPr="00C841A3">
        <w:rPr>
          <w:color w:val="000000" w:themeColor="text1"/>
          <w:vertAlign w:val="subscript"/>
        </w:rPr>
        <w:t>s</w:t>
      </w:r>
      <w:r w:rsidRPr="00C841A3">
        <w:rPr>
          <w:color w:val="000000" w:themeColor="text1"/>
        </w:rPr>
        <w:t xml:space="preserve"> = 0.714, p&lt;0.001), and for patients categorized according to number of additional co-morbidities (None: r</w:t>
      </w:r>
      <w:r w:rsidRPr="00C841A3">
        <w:rPr>
          <w:color w:val="000000" w:themeColor="text1"/>
          <w:vertAlign w:val="subscript"/>
        </w:rPr>
        <w:t>s</w:t>
      </w:r>
      <w:r w:rsidRPr="00C841A3">
        <w:rPr>
          <w:color w:val="000000" w:themeColor="text1"/>
        </w:rPr>
        <w:t xml:space="preserve"> = 0.733, p&lt;0.001; One or more: r</w:t>
      </w:r>
      <w:r w:rsidRPr="00C841A3">
        <w:rPr>
          <w:color w:val="000000" w:themeColor="text1"/>
          <w:vertAlign w:val="subscript"/>
        </w:rPr>
        <w:t>s</w:t>
      </w:r>
      <w:r w:rsidRPr="00C841A3">
        <w:rPr>
          <w:color w:val="000000" w:themeColor="text1"/>
        </w:rPr>
        <w:t xml:space="preserve"> = 0.748, p&lt;0.001).</w:t>
      </w:r>
    </w:p>
    <w:p w14:paraId="748E9E65" w14:textId="032CE75E" w:rsidR="00472574" w:rsidRPr="00C841A3" w:rsidRDefault="00472574" w:rsidP="00472574">
      <w:pPr>
        <w:jc w:val="both"/>
        <w:rPr>
          <w:b/>
          <w:bCs/>
          <w:color w:val="000000" w:themeColor="text1"/>
        </w:rPr>
      </w:pPr>
      <w:r w:rsidRPr="00C841A3">
        <w:rPr>
          <w:b/>
          <w:bCs/>
          <w:color w:val="000000" w:themeColor="text1"/>
        </w:rPr>
        <w:t xml:space="preserve">Construct validity of IBD-Control-8 </w:t>
      </w:r>
      <w:r w:rsidR="006D5DC9" w:rsidRPr="00C841A3">
        <w:rPr>
          <w:b/>
          <w:bCs/>
          <w:color w:val="000000" w:themeColor="text1"/>
        </w:rPr>
        <w:t xml:space="preserve">summary score versus </w:t>
      </w:r>
      <w:r w:rsidRPr="00C841A3">
        <w:rPr>
          <w:b/>
          <w:bCs/>
          <w:color w:val="000000" w:themeColor="text1"/>
        </w:rPr>
        <w:t>PRO-2 symptom scores</w:t>
      </w:r>
    </w:p>
    <w:p w14:paraId="27C9E4A9" w14:textId="2CBF776C" w:rsidR="00112DE8" w:rsidRPr="003D0A5D" w:rsidRDefault="00EC55D9" w:rsidP="00472574">
      <w:pPr>
        <w:jc w:val="both"/>
        <w:rPr>
          <w:color w:val="000000" w:themeColor="text1"/>
        </w:rPr>
      </w:pPr>
      <w:r w:rsidRPr="00C841A3">
        <w:rPr>
          <w:color w:val="000000" w:themeColor="text1"/>
        </w:rPr>
        <w:t xml:space="preserve">The </w:t>
      </w:r>
      <w:r w:rsidR="00472574" w:rsidRPr="00C841A3">
        <w:rPr>
          <w:color w:val="000000" w:themeColor="text1"/>
        </w:rPr>
        <w:t>IBD-Control-8 su</w:t>
      </w:r>
      <w:r w:rsidRPr="00C841A3">
        <w:rPr>
          <w:color w:val="000000" w:themeColor="text1"/>
        </w:rPr>
        <w:t xml:space="preserve">mmary </w:t>
      </w:r>
      <w:r w:rsidR="00472574" w:rsidRPr="00C841A3">
        <w:rPr>
          <w:color w:val="000000" w:themeColor="text1"/>
        </w:rPr>
        <w:t xml:space="preserve">score </w:t>
      </w:r>
      <w:r w:rsidRPr="00C841A3">
        <w:rPr>
          <w:color w:val="000000" w:themeColor="text1"/>
        </w:rPr>
        <w:t xml:space="preserve">demonstrated </w:t>
      </w:r>
      <w:r w:rsidR="00420305">
        <w:rPr>
          <w:color w:val="000000" w:themeColor="text1"/>
        </w:rPr>
        <w:t xml:space="preserve">moderately </w:t>
      </w:r>
      <w:r w:rsidRPr="00C841A3">
        <w:rPr>
          <w:color w:val="000000" w:themeColor="text1"/>
        </w:rPr>
        <w:t>strong correlation with</w:t>
      </w:r>
      <w:r w:rsidR="00472574" w:rsidRPr="00C841A3">
        <w:rPr>
          <w:color w:val="000000" w:themeColor="text1"/>
        </w:rPr>
        <w:t xml:space="preserve"> the relevant PRO-2 score for each main form of IBD (CD: r</w:t>
      </w:r>
      <w:r w:rsidR="00472574" w:rsidRPr="00C841A3">
        <w:rPr>
          <w:color w:val="000000" w:themeColor="text1"/>
          <w:vertAlign w:val="subscript"/>
        </w:rPr>
        <w:t>s</w:t>
      </w:r>
      <w:r w:rsidR="00472574" w:rsidRPr="00C841A3">
        <w:rPr>
          <w:color w:val="000000" w:themeColor="text1"/>
        </w:rPr>
        <w:t xml:space="preserve"> = -0.718, p&lt;0.001; UC: r</w:t>
      </w:r>
      <w:r w:rsidR="00472574" w:rsidRPr="00C841A3">
        <w:rPr>
          <w:color w:val="000000" w:themeColor="text1"/>
          <w:vertAlign w:val="subscript"/>
        </w:rPr>
        <w:t>s</w:t>
      </w:r>
      <w:r w:rsidR="00472574" w:rsidRPr="00C841A3">
        <w:rPr>
          <w:color w:val="000000" w:themeColor="text1"/>
        </w:rPr>
        <w:t xml:space="preserve"> = -0.602, p&lt;0.001). The strength of these significant correlations was comparable </w:t>
      </w:r>
      <w:r w:rsidR="006D5DC9" w:rsidRPr="00C841A3">
        <w:rPr>
          <w:color w:val="000000" w:themeColor="text1"/>
        </w:rPr>
        <w:t>by sex</w:t>
      </w:r>
      <w:r w:rsidR="00472574" w:rsidRPr="00C841A3">
        <w:rPr>
          <w:color w:val="000000" w:themeColor="text1"/>
        </w:rPr>
        <w:t>, socioeconomic groups, age groups and according to co-morbidity status (r</w:t>
      </w:r>
      <w:r w:rsidR="00472574" w:rsidRPr="00C841A3">
        <w:rPr>
          <w:color w:val="000000" w:themeColor="text1"/>
          <w:vertAlign w:val="subscript"/>
        </w:rPr>
        <w:t>s</w:t>
      </w:r>
      <w:r w:rsidR="00472574" w:rsidRPr="00C841A3">
        <w:rPr>
          <w:color w:val="000000" w:themeColor="text1"/>
        </w:rPr>
        <w:t xml:space="preserve"> values ranging from -0.665 to -0.739 [p&lt;0.001] for CD; -0.537 to -0.640 [p&lt;0.001] for UC). </w:t>
      </w:r>
      <w:r w:rsidRPr="00C841A3">
        <w:rPr>
          <w:color w:val="000000" w:themeColor="text1"/>
        </w:rPr>
        <w:t>Furthermore, k</w:t>
      </w:r>
      <w:r w:rsidR="00472574" w:rsidRPr="00C841A3">
        <w:rPr>
          <w:color w:val="000000" w:themeColor="text1"/>
        </w:rPr>
        <w:t xml:space="preserve">nown-group comparisons confirmed significantly higher IBD-Control-8 scores in cases </w:t>
      </w:r>
      <w:r w:rsidR="00472574" w:rsidRPr="003D0A5D">
        <w:rPr>
          <w:color w:val="000000" w:themeColor="text1"/>
        </w:rPr>
        <w:t xml:space="preserve">categorized as </w:t>
      </w:r>
      <w:r w:rsidR="000A12C5" w:rsidRPr="003D0A5D">
        <w:rPr>
          <w:color w:val="000000" w:themeColor="text1"/>
        </w:rPr>
        <w:t xml:space="preserve">in </w:t>
      </w:r>
      <w:r w:rsidR="00472574" w:rsidRPr="003D0A5D">
        <w:rPr>
          <w:color w:val="000000" w:themeColor="text1"/>
        </w:rPr>
        <w:t>remission</w:t>
      </w:r>
      <w:r w:rsidR="000A12C5" w:rsidRPr="003D0A5D">
        <w:rPr>
          <w:color w:val="000000" w:themeColor="text1"/>
        </w:rPr>
        <w:t>, as</w:t>
      </w:r>
      <w:r w:rsidR="00472574" w:rsidRPr="003D0A5D">
        <w:rPr>
          <w:color w:val="000000" w:themeColor="text1"/>
        </w:rPr>
        <w:t xml:space="preserve"> compared to active disease</w:t>
      </w:r>
      <w:r w:rsidR="000A12C5" w:rsidRPr="003D0A5D">
        <w:rPr>
          <w:color w:val="000000" w:themeColor="text1"/>
        </w:rPr>
        <w:t>,</w:t>
      </w:r>
      <w:r w:rsidR="00472574" w:rsidRPr="003D0A5D">
        <w:rPr>
          <w:color w:val="000000" w:themeColor="text1"/>
        </w:rPr>
        <w:t xml:space="preserve"> based on </w:t>
      </w:r>
      <w:r w:rsidR="008C2397" w:rsidRPr="003D0A5D">
        <w:rPr>
          <w:color w:val="000000" w:themeColor="text1"/>
        </w:rPr>
        <w:t xml:space="preserve">the relevant </w:t>
      </w:r>
      <w:r w:rsidR="00472574" w:rsidRPr="003D0A5D">
        <w:rPr>
          <w:color w:val="000000" w:themeColor="text1"/>
        </w:rPr>
        <w:t>PRO2 cut-offs (</w:t>
      </w:r>
      <w:r w:rsidR="00472574" w:rsidRPr="003D0A5D">
        <w:rPr>
          <w:b/>
          <w:bCs/>
          <w:color w:val="000000" w:themeColor="text1"/>
        </w:rPr>
        <w:t xml:space="preserve">Figure </w:t>
      </w:r>
      <w:r w:rsidR="00EE7158" w:rsidRPr="003D0A5D">
        <w:rPr>
          <w:b/>
          <w:bCs/>
          <w:color w:val="000000" w:themeColor="text1"/>
        </w:rPr>
        <w:lastRenderedPageBreak/>
        <w:t>4</w:t>
      </w:r>
      <w:r w:rsidR="00472574" w:rsidRPr="003D0A5D">
        <w:rPr>
          <w:color w:val="000000" w:themeColor="text1"/>
        </w:rPr>
        <w:t xml:space="preserve">). These findings </w:t>
      </w:r>
      <w:r w:rsidR="000A12C5" w:rsidRPr="003D0A5D">
        <w:rPr>
          <w:color w:val="000000" w:themeColor="text1"/>
        </w:rPr>
        <w:t>remained statistically</w:t>
      </w:r>
      <w:r w:rsidR="00472574" w:rsidRPr="003D0A5D">
        <w:rPr>
          <w:color w:val="000000" w:themeColor="text1"/>
        </w:rPr>
        <w:t xml:space="preserve"> consistent in stratified analyses</w:t>
      </w:r>
      <w:r w:rsidR="00B74F06" w:rsidRPr="003D0A5D">
        <w:rPr>
          <w:color w:val="000000" w:themeColor="text1"/>
        </w:rPr>
        <w:t xml:space="preserve"> </w:t>
      </w:r>
      <w:r w:rsidR="00F127DB" w:rsidRPr="003D0A5D">
        <w:rPr>
          <w:color w:val="000000" w:themeColor="text1"/>
        </w:rPr>
        <w:t>for each of the</w:t>
      </w:r>
      <w:r w:rsidR="00B74F06" w:rsidRPr="003D0A5D">
        <w:rPr>
          <w:color w:val="000000" w:themeColor="text1"/>
        </w:rPr>
        <w:t xml:space="preserve"> sociodemographic </w:t>
      </w:r>
      <w:r w:rsidR="00F127DB" w:rsidRPr="003D0A5D">
        <w:rPr>
          <w:color w:val="000000" w:themeColor="text1"/>
        </w:rPr>
        <w:t>and clinical subgroups</w:t>
      </w:r>
      <w:r w:rsidR="002B17A3">
        <w:rPr>
          <w:color w:val="000000" w:themeColor="text1"/>
        </w:rPr>
        <w:t>.</w:t>
      </w:r>
    </w:p>
    <w:p w14:paraId="7B53C4FA" w14:textId="09F21158" w:rsidR="00472574" w:rsidRPr="00C841A3" w:rsidRDefault="00BE650B" w:rsidP="00472574">
      <w:pPr>
        <w:jc w:val="both"/>
        <w:rPr>
          <w:b/>
          <w:bCs/>
          <w:color w:val="000000" w:themeColor="text1"/>
        </w:rPr>
      </w:pPr>
      <w:r>
        <w:rPr>
          <w:b/>
          <w:bCs/>
          <w:color w:val="000000" w:themeColor="text1"/>
        </w:rPr>
        <w:t xml:space="preserve">Exploratory </w:t>
      </w:r>
      <w:r w:rsidR="000C365A">
        <w:rPr>
          <w:b/>
          <w:bCs/>
          <w:color w:val="000000" w:themeColor="text1"/>
        </w:rPr>
        <w:t>F</w:t>
      </w:r>
      <w:r>
        <w:rPr>
          <w:b/>
          <w:bCs/>
          <w:color w:val="000000" w:themeColor="text1"/>
        </w:rPr>
        <w:t xml:space="preserve">actor </w:t>
      </w:r>
      <w:r w:rsidR="000C365A">
        <w:rPr>
          <w:b/>
          <w:bCs/>
          <w:color w:val="000000" w:themeColor="text1"/>
        </w:rPr>
        <w:t>A</w:t>
      </w:r>
      <w:r>
        <w:rPr>
          <w:b/>
          <w:bCs/>
          <w:color w:val="000000" w:themeColor="text1"/>
        </w:rPr>
        <w:t>nalysis</w:t>
      </w:r>
    </w:p>
    <w:p w14:paraId="2C65A845" w14:textId="0B6AC9F3" w:rsidR="00B05817" w:rsidRPr="004B2BE1" w:rsidRDefault="00E87AE2" w:rsidP="00C841A3">
      <w:pPr>
        <w:jc w:val="both"/>
        <w:rPr>
          <w:color w:val="000000" w:themeColor="text1"/>
        </w:rPr>
      </w:pPr>
      <w:r>
        <w:t xml:space="preserve">The EFA data set had correlations between items that was sufficient for the EFA (Bartlett’s test of sphericity: p &lt;0.001), and the Kaiser-Meyer-Olkin measure of sampling adequacy was good (KMO = 0.89).The </w:t>
      </w:r>
      <w:r w:rsidR="00472574">
        <w:t xml:space="preserve">parallel </w:t>
      </w:r>
      <w:r w:rsidR="00F171B0">
        <w:t>analysis suggested</w:t>
      </w:r>
      <w:r>
        <w:t xml:space="preserve"> the data had a two factor structure. </w:t>
      </w:r>
      <w:r w:rsidR="00472574">
        <w:t>Exploratory factor analysis found that items in the IBD</w:t>
      </w:r>
      <w:r w:rsidR="00E20C4E">
        <w:t>-</w:t>
      </w:r>
      <w:r w:rsidR="00472574">
        <w:t>Control</w:t>
      </w:r>
      <w:r w:rsidR="00E20C4E">
        <w:t>-</w:t>
      </w:r>
      <w:r w:rsidR="00472574">
        <w:t xml:space="preserve">8 mapped into two factors as follows: items relating to </w:t>
      </w:r>
      <w:r w:rsidR="002C0E5F">
        <w:t>T</w:t>
      </w:r>
      <w:r w:rsidR="00472574">
        <w:t xml:space="preserve">reatment - Q1a, Q1b, and Q3f; items relating to </w:t>
      </w:r>
      <w:r w:rsidR="00A300C9">
        <w:t>HRQoL</w:t>
      </w:r>
      <w:r w:rsidR="00472574">
        <w:t xml:space="preserve"> - Q3a, Q3b, Q3c, Q3d and Q3e (</w:t>
      </w:r>
      <w:r w:rsidR="00472574" w:rsidRPr="00A9777E">
        <w:rPr>
          <w:b/>
          <w:bCs/>
        </w:rPr>
        <w:t xml:space="preserve">Figure </w:t>
      </w:r>
      <w:r w:rsidR="004968FB">
        <w:rPr>
          <w:b/>
          <w:bCs/>
        </w:rPr>
        <w:t>5</w:t>
      </w:r>
      <w:r>
        <w:t xml:space="preserve">). Both factors had  </w:t>
      </w:r>
      <w:r w:rsidR="00472574">
        <w:t xml:space="preserve">Eigenvalues &gt;1 </w:t>
      </w:r>
      <w:r>
        <w:t>(i.e. above Kaiser’s rule cut off for valid factors).</w:t>
      </w:r>
      <w:r w:rsidR="00902B19">
        <w:t xml:space="preserve">  Factor loadings are summarized in </w:t>
      </w:r>
      <w:r w:rsidR="00902B19" w:rsidRPr="00AB57E3">
        <w:rPr>
          <w:b/>
          <w:bCs/>
        </w:rPr>
        <w:t xml:space="preserve">Table </w:t>
      </w:r>
      <w:r w:rsidR="00F57B17" w:rsidRPr="00AB57E3">
        <w:rPr>
          <w:b/>
          <w:bCs/>
        </w:rPr>
        <w:t>3</w:t>
      </w:r>
      <w:r w:rsidR="00902B19">
        <w:t>.  Of note, Q1a had a cross-loading of 0.42</w:t>
      </w:r>
      <w:r w:rsidR="00B05817">
        <w:t xml:space="preserve">, </w:t>
      </w:r>
      <w:r w:rsidR="00B05817" w:rsidRPr="004B2BE1">
        <w:rPr>
          <w:color w:val="000000" w:themeColor="text1"/>
        </w:rPr>
        <w:t>this is a general item asking about patient-</w:t>
      </w:r>
      <w:r w:rsidR="005F792D" w:rsidRPr="004B2BE1">
        <w:rPr>
          <w:color w:val="000000" w:themeColor="text1"/>
        </w:rPr>
        <w:t>perceived</w:t>
      </w:r>
      <w:r w:rsidR="00B05817" w:rsidRPr="004B2BE1">
        <w:rPr>
          <w:color w:val="000000" w:themeColor="text1"/>
        </w:rPr>
        <w:t xml:space="preserve"> control, such that its cross-loading is consistent with the conceptual model of ‘control’ encompassing two discrete factors. We left this item </w:t>
      </w:r>
      <w:r w:rsidR="005F792D" w:rsidRPr="004B2BE1">
        <w:rPr>
          <w:color w:val="000000" w:themeColor="text1"/>
        </w:rPr>
        <w:t>to</w:t>
      </w:r>
      <w:r w:rsidR="00B05817" w:rsidRPr="004B2BE1">
        <w:rPr>
          <w:color w:val="000000" w:themeColor="text1"/>
        </w:rPr>
        <w:t xml:space="preserve"> load onto factor one in the CFA, </w:t>
      </w:r>
      <w:r w:rsidR="004B2BE1" w:rsidRPr="004B2BE1">
        <w:rPr>
          <w:color w:val="000000" w:themeColor="text1"/>
        </w:rPr>
        <w:t xml:space="preserve">since any impact on </w:t>
      </w:r>
      <w:r w:rsidR="005F792D" w:rsidRPr="004B2BE1">
        <w:rPr>
          <w:color w:val="000000" w:themeColor="text1"/>
        </w:rPr>
        <w:t xml:space="preserve">fit would be identified using modification indices. </w:t>
      </w:r>
      <w:r w:rsidR="00B05817" w:rsidRPr="004B2BE1">
        <w:rPr>
          <w:color w:val="000000" w:themeColor="text1"/>
        </w:rPr>
        <w:t xml:space="preserve">  </w:t>
      </w:r>
    </w:p>
    <w:p w14:paraId="582725D1" w14:textId="0066507F" w:rsidR="00BE650B" w:rsidRPr="009155A5" w:rsidRDefault="00BE650B" w:rsidP="00C841A3">
      <w:pPr>
        <w:jc w:val="both"/>
        <w:rPr>
          <w:b/>
          <w:bCs/>
        </w:rPr>
      </w:pPr>
      <w:r w:rsidRPr="009155A5">
        <w:rPr>
          <w:b/>
          <w:bCs/>
        </w:rPr>
        <w:t xml:space="preserve">Confirmatory </w:t>
      </w:r>
      <w:r w:rsidR="000C365A">
        <w:rPr>
          <w:b/>
          <w:bCs/>
        </w:rPr>
        <w:t>F</w:t>
      </w:r>
      <w:r w:rsidRPr="009155A5">
        <w:rPr>
          <w:b/>
          <w:bCs/>
        </w:rPr>
        <w:t xml:space="preserve">actor </w:t>
      </w:r>
      <w:r w:rsidR="000C365A">
        <w:rPr>
          <w:b/>
          <w:bCs/>
        </w:rPr>
        <w:t>A</w:t>
      </w:r>
      <w:r w:rsidRPr="009155A5">
        <w:rPr>
          <w:b/>
          <w:bCs/>
        </w:rPr>
        <w:t>nalysis</w:t>
      </w:r>
    </w:p>
    <w:p w14:paraId="5ED9E124" w14:textId="0529A453" w:rsidR="00472574" w:rsidRDefault="002C0E5F" w:rsidP="00C841A3">
      <w:pPr>
        <w:jc w:val="both"/>
      </w:pPr>
      <w:r>
        <w:t xml:space="preserve">CFA was conducted using the factor structure identified above. </w:t>
      </w:r>
      <w:r w:rsidR="00E87AE2">
        <w:t>T</w:t>
      </w:r>
      <w:r w:rsidR="00472574">
        <w:t xml:space="preserve">he initial </w:t>
      </w:r>
      <w:r>
        <w:t>CFA</w:t>
      </w:r>
      <w:r w:rsidR="00472574">
        <w:t xml:space="preserve"> model showed a good fit of the data (CFI = </w:t>
      </w:r>
      <w:r w:rsidR="00472574" w:rsidRPr="00915421">
        <w:t>0.996</w:t>
      </w:r>
      <w:r w:rsidR="00472574">
        <w:t>, TLI = </w:t>
      </w:r>
      <w:r w:rsidR="00472574" w:rsidRPr="00915421">
        <w:t>0.995</w:t>
      </w:r>
      <w:r w:rsidR="00472574">
        <w:t xml:space="preserve">, RMSEA = </w:t>
      </w:r>
      <w:r w:rsidR="00472574" w:rsidRPr="00915421">
        <w:t>0.045</w:t>
      </w:r>
      <w:r w:rsidR="00472574">
        <w:t xml:space="preserve"> [</w:t>
      </w:r>
      <w:r w:rsidR="00472574" w:rsidRPr="00030C89">
        <w:t>90% CI: 0.039 - 0.052</w:t>
      </w:r>
      <w:r w:rsidR="00472574">
        <w:t>], SRMR = 0.038). Modification indices (MI) showed that covariance should be added between two pairs of residuals within the domain of treatment (MIs ≥ 10 between Q1b and Q3f and Q1a and Q3f). Model fit improved when covariance was added (CFI = 0.999, TLI = 0.998, RMSEA = 0.025 [</w:t>
      </w:r>
      <w:r w:rsidR="00472574" w:rsidRPr="00030C89">
        <w:t>90% CI: 0.018 - 0.032</w:t>
      </w:r>
      <w:r w:rsidR="00472574">
        <w:t>], SRMR = 0.023).</w:t>
      </w:r>
    </w:p>
    <w:p w14:paraId="1E870FA6" w14:textId="1D682CEB" w:rsidR="000217E6" w:rsidRPr="004D6881" w:rsidRDefault="00DB2F01" w:rsidP="000C365A">
      <w:pPr>
        <w:jc w:val="both"/>
        <w:rPr>
          <w:color w:val="000000" w:themeColor="text1"/>
        </w:rPr>
      </w:pPr>
      <w:r w:rsidRPr="00804A81">
        <w:rPr>
          <w:color w:val="000000" w:themeColor="text1"/>
        </w:rPr>
        <w:t>These</w:t>
      </w:r>
      <w:r>
        <w:rPr>
          <w:color w:val="000000" w:themeColor="text1"/>
        </w:rPr>
        <w:t xml:space="preserve"> data provide strong empirical evidence that the overall measurement construct </w:t>
      </w:r>
      <w:r w:rsidR="00CD17C4">
        <w:rPr>
          <w:color w:val="000000" w:themeColor="text1"/>
        </w:rPr>
        <w:t>encompasses questions mapping to two sub-domains, namely HRQoL and treatment.</w:t>
      </w:r>
    </w:p>
    <w:p w14:paraId="0C86E530" w14:textId="0A2DB955" w:rsidR="00B74F06" w:rsidRDefault="001B3083" w:rsidP="00472574">
      <w:pPr>
        <w:rPr>
          <w:b/>
          <w:bCs/>
          <w:color w:val="000000" w:themeColor="text1"/>
        </w:rPr>
      </w:pPr>
      <w:r>
        <w:rPr>
          <w:b/>
          <w:bCs/>
          <w:color w:val="000000" w:themeColor="text1"/>
        </w:rPr>
        <w:t>Measurement</w:t>
      </w:r>
      <w:r w:rsidRPr="00C841A3">
        <w:rPr>
          <w:b/>
          <w:bCs/>
          <w:color w:val="000000" w:themeColor="text1"/>
        </w:rPr>
        <w:t xml:space="preserve"> </w:t>
      </w:r>
      <w:r w:rsidR="00472574" w:rsidRPr="00C841A3">
        <w:rPr>
          <w:b/>
          <w:bCs/>
          <w:color w:val="000000" w:themeColor="text1"/>
        </w:rPr>
        <w:t>invariance</w:t>
      </w:r>
    </w:p>
    <w:p w14:paraId="2510A82F" w14:textId="0AF7115B" w:rsidR="00262DA4" w:rsidRPr="00C841A3" w:rsidRDefault="00471DD7" w:rsidP="002C0E5F">
      <w:pPr>
        <w:jc w:val="both"/>
        <w:rPr>
          <w:color w:val="000000" w:themeColor="text1"/>
        </w:rPr>
      </w:pPr>
      <w:r>
        <w:rPr>
          <w:color w:val="000000" w:themeColor="text1"/>
        </w:rPr>
        <w:t>T</w:t>
      </w:r>
      <w:r w:rsidR="00F855CB">
        <w:rPr>
          <w:color w:val="000000" w:themeColor="text1"/>
        </w:rPr>
        <w:t xml:space="preserve">he </w:t>
      </w:r>
      <w:r>
        <w:rPr>
          <w:color w:val="000000" w:themeColor="text1"/>
        </w:rPr>
        <w:t xml:space="preserve">IBD-Control-8 </w:t>
      </w:r>
      <w:r w:rsidR="00F855CB">
        <w:rPr>
          <w:color w:val="000000" w:themeColor="text1"/>
        </w:rPr>
        <w:t xml:space="preserve">scale showed configural invariance across all groups with good model fit in all cases, suggesting that the factor structure remains consistent across </w:t>
      </w:r>
      <w:r w:rsidR="00AF6A9A">
        <w:rPr>
          <w:color w:val="000000" w:themeColor="text1"/>
        </w:rPr>
        <w:t>IBD-subtypes,</w:t>
      </w:r>
      <w:r w:rsidR="00F855CB">
        <w:rPr>
          <w:color w:val="000000" w:themeColor="text1"/>
        </w:rPr>
        <w:t xml:space="preserve"> sociodemographics</w:t>
      </w:r>
      <w:r w:rsidR="00AF6A9A">
        <w:rPr>
          <w:color w:val="000000" w:themeColor="text1"/>
        </w:rPr>
        <w:t xml:space="preserve"> and in those with or without comorbidities</w:t>
      </w:r>
      <w:r>
        <w:rPr>
          <w:color w:val="000000" w:themeColor="text1"/>
        </w:rPr>
        <w:t xml:space="preserve"> (</w:t>
      </w:r>
      <w:r w:rsidRPr="00471DD7">
        <w:rPr>
          <w:b/>
          <w:bCs/>
          <w:color w:val="000000" w:themeColor="text1"/>
        </w:rPr>
        <w:t>Table 4</w:t>
      </w:r>
      <w:r>
        <w:rPr>
          <w:color w:val="000000" w:themeColor="text1"/>
        </w:rPr>
        <w:t>)</w:t>
      </w:r>
      <w:r w:rsidR="00F855CB">
        <w:rPr>
          <w:color w:val="000000" w:themeColor="text1"/>
        </w:rPr>
        <w:t xml:space="preserve">. Likewise, </w:t>
      </w:r>
      <w:r w:rsidR="002C0E5F" w:rsidRPr="00AB57E3">
        <w:rPr>
          <w:b/>
          <w:bCs/>
          <w:color w:val="000000" w:themeColor="text1"/>
        </w:rPr>
        <w:t>T</w:t>
      </w:r>
      <w:r w:rsidR="00F855CB" w:rsidRPr="00AB57E3">
        <w:rPr>
          <w:b/>
          <w:bCs/>
          <w:color w:val="000000" w:themeColor="text1"/>
        </w:rPr>
        <w:t xml:space="preserve">able </w:t>
      </w:r>
      <w:r w:rsidR="00F03D8D">
        <w:rPr>
          <w:b/>
          <w:bCs/>
          <w:color w:val="000000" w:themeColor="text1"/>
        </w:rPr>
        <w:t>5</w:t>
      </w:r>
      <w:r w:rsidR="00F855CB">
        <w:rPr>
          <w:color w:val="000000" w:themeColor="text1"/>
        </w:rPr>
        <w:t xml:space="preserve"> shows that there was metric invariance, </w:t>
      </w:r>
      <w:r>
        <w:rPr>
          <w:color w:val="000000" w:themeColor="text1"/>
        </w:rPr>
        <w:t>which confirms</w:t>
      </w:r>
      <w:r w:rsidR="00F855CB">
        <w:rPr>
          <w:color w:val="000000" w:themeColor="text1"/>
        </w:rPr>
        <w:t xml:space="preserve"> that the scale items contribute to the factors in a similar way across</w:t>
      </w:r>
      <w:r w:rsidR="00AF6A9A">
        <w:rPr>
          <w:color w:val="000000" w:themeColor="text1"/>
        </w:rPr>
        <w:t xml:space="preserve"> these</w:t>
      </w:r>
      <w:r w:rsidR="00F855CB">
        <w:rPr>
          <w:color w:val="000000" w:themeColor="text1"/>
        </w:rPr>
        <w:t xml:space="preserve"> </w:t>
      </w:r>
      <w:r>
        <w:rPr>
          <w:color w:val="000000" w:themeColor="text1"/>
        </w:rPr>
        <w:t>population strata</w:t>
      </w:r>
      <w:r w:rsidR="00F855CB">
        <w:rPr>
          <w:color w:val="000000" w:themeColor="text1"/>
        </w:rPr>
        <w:t xml:space="preserve">. </w:t>
      </w:r>
      <w:r>
        <w:rPr>
          <w:color w:val="000000" w:themeColor="text1"/>
        </w:rPr>
        <w:t>In addition</w:t>
      </w:r>
      <w:r w:rsidR="00F855CB">
        <w:rPr>
          <w:color w:val="000000" w:themeColor="text1"/>
        </w:rPr>
        <w:t>, evidence for scalar invariance</w:t>
      </w:r>
      <w:r w:rsidR="00A33E47">
        <w:rPr>
          <w:color w:val="000000" w:themeColor="text1"/>
        </w:rPr>
        <w:t xml:space="preserve"> across groups </w:t>
      </w:r>
      <w:r>
        <w:rPr>
          <w:color w:val="000000" w:themeColor="text1"/>
        </w:rPr>
        <w:t>wa</w:t>
      </w:r>
      <w:r w:rsidR="00A33E47">
        <w:rPr>
          <w:color w:val="000000" w:themeColor="text1"/>
        </w:rPr>
        <w:t>s strong</w:t>
      </w:r>
      <w:r w:rsidR="00F171B0">
        <w:rPr>
          <w:color w:val="000000" w:themeColor="text1"/>
        </w:rPr>
        <w:t xml:space="preserve"> (</w:t>
      </w:r>
      <w:r w:rsidRPr="00471DD7">
        <w:rPr>
          <w:b/>
          <w:bCs/>
          <w:color w:val="000000" w:themeColor="text1"/>
        </w:rPr>
        <w:t>T</w:t>
      </w:r>
      <w:r w:rsidR="00F171B0" w:rsidRPr="00471DD7">
        <w:rPr>
          <w:b/>
          <w:bCs/>
          <w:color w:val="000000" w:themeColor="text1"/>
        </w:rPr>
        <w:t xml:space="preserve">able </w:t>
      </w:r>
      <w:r w:rsidRPr="00471DD7">
        <w:rPr>
          <w:b/>
          <w:bCs/>
          <w:color w:val="000000" w:themeColor="text1"/>
        </w:rPr>
        <w:t>5</w:t>
      </w:r>
      <w:r w:rsidR="00F171B0">
        <w:rPr>
          <w:color w:val="000000" w:themeColor="text1"/>
        </w:rPr>
        <w:t>)</w:t>
      </w:r>
      <w:r w:rsidR="00A33E47">
        <w:rPr>
          <w:color w:val="000000" w:themeColor="text1"/>
        </w:rPr>
        <w:t>, suggesting mean scores can be validly compared</w:t>
      </w:r>
      <w:r w:rsidR="00AF6A9A">
        <w:rPr>
          <w:color w:val="000000" w:themeColor="text1"/>
        </w:rPr>
        <w:t xml:space="preserve"> between subgroups</w:t>
      </w:r>
      <w:r w:rsidR="00A33E47">
        <w:rPr>
          <w:color w:val="000000" w:themeColor="text1"/>
        </w:rPr>
        <w:t xml:space="preserve">. </w:t>
      </w:r>
      <w:r w:rsidR="00262DA4">
        <w:rPr>
          <w:color w:val="000000" w:themeColor="text1"/>
        </w:rPr>
        <w:t>Finally</w:t>
      </w:r>
      <w:r w:rsidR="00F171B0">
        <w:rPr>
          <w:color w:val="000000" w:themeColor="text1"/>
        </w:rPr>
        <w:t xml:space="preserve">, </w:t>
      </w:r>
      <w:r w:rsidR="00262DA4">
        <w:rPr>
          <w:color w:val="000000" w:themeColor="text1"/>
        </w:rPr>
        <w:t>there was also strong evidence for strict invariance meaning that even the residuals were largely consistent across groups</w:t>
      </w:r>
      <w:r w:rsidR="002C1C5D">
        <w:rPr>
          <w:color w:val="000000" w:themeColor="text1"/>
        </w:rPr>
        <w:t xml:space="preserve"> (</w:t>
      </w:r>
      <w:r w:rsidR="002C1C5D" w:rsidRPr="002C1C5D">
        <w:rPr>
          <w:b/>
          <w:bCs/>
          <w:color w:val="000000" w:themeColor="text1"/>
        </w:rPr>
        <w:t>Table 5</w:t>
      </w:r>
      <w:r w:rsidR="002C1C5D">
        <w:rPr>
          <w:color w:val="000000" w:themeColor="text1"/>
        </w:rPr>
        <w:t>)</w:t>
      </w:r>
      <w:r>
        <w:rPr>
          <w:color w:val="000000" w:themeColor="text1"/>
        </w:rPr>
        <w:t>.</w:t>
      </w:r>
      <w:r w:rsidR="00262DA4">
        <w:rPr>
          <w:color w:val="000000" w:themeColor="text1"/>
        </w:rPr>
        <w:t xml:space="preserve"> </w:t>
      </w:r>
      <w:r>
        <w:rPr>
          <w:color w:val="000000" w:themeColor="text1"/>
        </w:rPr>
        <w:t>T</w:t>
      </w:r>
      <w:r w:rsidR="00262DA4">
        <w:rPr>
          <w:color w:val="000000" w:themeColor="text1"/>
        </w:rPr>
        <w:t xml:space="preserve">he only measure that did not show substantive evidence for scalar invariance was the </w:t>
      </w:r>
      <w:r w:rsidR="00262DA4">
        <w:rPr>
          <w:rFonts w:cstheme="minorHAnsi"/>
          <w:color w:val="000000" w:themeColor="text1"/>
        </w:rPr>
        <w:t>∆</w:t>
      </w:r>
      <w:r w:rsidR="00262DA4">
        <w:rPr>
          <w:color w:val="000000" w:themeColor="text1"/>
        </w:rPr>
        <w:t>CFI for gender being borderline (</w:t>
      </w:r>
      <w:r w:rsidR="002C0E5F">
        <w:rPr>
          <w:color w:val="000000" w:themeColor="text1"/>
        </w:rPr>
        <w:t>0</w:t>
      </w:r>
      <w:r w:rsidR="00262DA4">
        <w:rPr>
          <w:color w:val="000000" w:themeColor="text1"/>
        </w:rPr>
        <w:t>.01), although both the SRMR and RMSEA values were well below the cut offs for gender. Taken together, th</w:t>
      </w:r>
      <w:r>
        <w:rPr>
          <w:color w:val="000000" w:themeColor="text1"/>
        </w:rPr>
        <w:t>ese data</w:t>
      </w:r>
      <w:r w:rsidR="00262DA4">
        <w:rPr>
          <w:color w:val="000000" w:themeColor="text1"/>
        </w:rPr>
        <w:t xml:space="preserve"> indicate that the IBD-Control-8 is a scale that works extremely well across different diagnoses/comorbidities and sociodemographic groups. </w:t>
      </w:r>
    </w:p>
    <w:bookmarkEnd w:id="0"/>
    <w:p w14:paraId="7DF2BCC7" w14:textId="2046D72E" w:rsidR="00FF1DA2" w:rsidRPr="000D346F" w:rsidRDefault="00FF1DA2" w:rsidP="00FF1DA2">
      <w:pPr>
        <w:rPr>
          <w:b/>
          <w:bCs/>
          <w:color w:val="000000" w:themeColor="text1"/>
          <w:sz w:val="24"/>
          <w:szCs w:val="24"/>
        </w:rPr>
      </w:pPr>
      <w:r w:rsidRPr="000D346F">
        <w:rPr>
          <w:b/>
          <w:bCs/>
          <w:color w:val="000000" w:themeColor="text1"/>
          <w:sz w:val="24"/>
          <w:szCs w:val="24"/>
        </w:rPr>
        <w:t>Discussion</w:t>
      </w:r>
    </w:p>
    <w:p w14:paraId="5874166D" w14:textId="26CBA12B" w:rsidR="007259E7" w:rsidRDefault="00250D51" w:rsidP="00250D51">
      <w:pPr>
        <w:jc w:val="both"/>
        <w:rPr>
          <w:color w:val="000000" w:themeColor="text1"/>
        </w:rPr>
      </w:pPr>
      <w:r w:rsidRPr="00C841A3">
        <w:rPr>
          <w:color w:val="000000" w:themeColor="text1"/>
        </w:rPr>
        <w:t>This is the largest validation study for the IBD-Control Questionnaire</w:t>
      </w:r>
      <w:r w:rsidR="00E20B25">
        <w:rPr>
          <w:color w:val="000000" w:themeColor="text1"/>
        </w:rPr>
        <w:t xml:space="preserve"> reported to date</w:t>
      </w:r>
      <w:r w:rsidR="00F51657">
        <w:rPr>
          <w:color w:val="000000" w:themeColor="text1"/>
        </w:rPr>
        <w:t xml:space="preserve"> and </w:t>
      </w:r>
      <w:r w:rsidR="00AB2140">
        <w:rPr>
          <w:color w:val="000000" w:themeColor="text1"/>
        </w:rPr>
        <w:t>provid</w:t>
      </w:r>
      <w:r w:rsidR="00F51657">
        <w:rPr>
          <w:color w:val="000000" w:themeColor="text1"/>
        </w:rPr>
        <w:t xml:space="preserve">es </w:t>
      </w:r>
      <w:r w:rsidR="00AB2140">
        <w:rPr>
          <w:color w:val="000000" w:themeColor="text1"/>
        </w:rPr>
        <w:t>important new insights into its psychometric properties.</w:t>
      </w:r>
      <w:r w:rsidRPr="00C841A3">
        <w:rPr>
          <w:color w:val="000000" w:themeColor="text1"/>
        </w:rPr>
        <w:t xml:space="preserve"> </w:t>
      </w:r>
      <w:r w:rsidR="008A5C09">
        <w:rPr>
          <w:color w:val="000000" w:themeColor="text1"/>
        </w:rPr>
        <w:t xml:space="preserve">Factor </w:t>
      </w:r>
      <w:r w:rsidR="00262DA4">
        <w:rPr>
          <w:color w:val="000000" w:themeColor="text1"/>
        </w:rPr>
        <w:t xml:space="preserve">analysis </w:t>
      </w:r>
      <w:r w:rsidR="00F51657">
        <w:rPr>
          <w:color w:val="000000" w:themeColor="text1"/>
        </w:rPr>
        <w:t>confirms</w:t>
      </w:r>
      <w:r w:rsidR="00262DA4">
        <w:rPr>
          <w:color w:val="000000" w:themeColor="text1"/>
        </w:rPr>
        <w:t xml:space="preserve"> that the IBD-Control-8 has a two factor structure (</w:t>
      </w:r>
      <w:r w:rsidR="00262DA4" w:rsidRPr="00262DA4">
        <w:rPr>
          <w:color w:val="000000" w:themeColor="text1"/>
        </w:rPr>
        <w:t>HRQoL</w:t>
      </w:r>
      <w:r w:rsidR="008A5C09">
        <w:rPr>
          <w:color w:val="000000" w:themeColor="text1"/>
        </w:rPr>
        <w:t xml:space="preserve"> and Treatment</w:t>
      </w:r>
      <w:r w:rsidR="00262DA4">
        <w:rPr>
          <w:color w:val="000000" w:themeColor="text1"/>
        </w:rPr>
        <w:t>)</w:t>
      </w:r>
      <w:r w:rsidR="00AB2140">
        <w:rPr>
          <w:color w:val="000000" w:themeColor="text1"/>
        </w:rPr>
        <w:t xml:space="preserve"> </w:t>
      </w:r>
      <w:r w:rsidR="008A5C09">
        <w:rPr>
          <w:color w:val="000000" w:themeColor="text1"/>
        </w:rPr>
        <w:t>which</w:t>
      </w:r>
      <w:r w:rsidR="00262DA4">
        <w:rPr>
          <w:color w:val="000000" w:themeColor="text1"/>
        </w:rPr>
        <w:t xml:space="preserve"> </w:t>
      </w:r>
      <w:r w:rsidR="008A5C09">
        <w:rPr>
          <w:color w:val="000000" w:themeColor="text1"/>
        </w:rPr>
        <w:t>remains</w:t>
      </w:r>
      <w:r w:rsidR="00F51657">
        <w:rPr>
          <w:color w:val="000000" w:themeColor="text1"/>
        </w:rPr>
        <w:t xml:space="preserve"> remarkably</w:t>
      </w:r>
      <w:r w:rsidR="00262DA4">
        <w:rPr>
          <w:color w:val="000000" w:themeColor="text1"/>
        </w:rPr>
        <w:t xml:space="preserve"> consistent across a range of </w:t>
      </w:r>
      <w:r w:rsidR="00C52F4A">
        <w:rPr>
          <w:color w:val="000000" w:themeColor="text1"/>
        </w:rPr>
        <w:t>clinical</w:t>
      </w:r>
      <w:r w:rsidR="00262DA4">
        <w:rPr>
          <w:color w:val="000000" w:themeColor="text1"/>
        </w:rPr>
        <w:t xml:space="preserve"> and sociodemographic groups. </w:t>
      </w:r>
      <w:r w:rsidR="008A5C09">
        <w:rPr>
          <w:color w:val="000000" w:themeColor="text1"/>
        </w:rPr>
        <w:t>T</w:t>
      </w:r>
      <w:r w:rsidR="00262DA4">
        <w:rPr>
          <w:color w:val="000000" w:themeColor="text1"/>
        </w:rPr>
        <w:t xml:space="preserve">he scale was also found to have extremely good internal reliability. </w:t>
      </w:r>
      <w:r w:rsidR="00AB2140">
        <w:rPr>
          <w:color w:val="000000" w:themeColor="text1"/>
        </w:rPr>
        <w:t>W</w:t>
      </w:r>
      <w:r w:rsidR="00DC2B60">
        <w:rPr>
          <w:color w:val="000000" w:themeColor="text1"/>
        </w:rPr>
        <w:t xml:space="preserve">e </w:t>
      </w:r>
      <w:r w:rsidR="00AB2140">
        <w:rPr>
          <w:color w:val="000000" w:themeColor="text1"/>
        </w:rPr>
        <w:t xml:space="preserve">found </w:t>
      </w:r>
      <w:r w:rsidR="00DC2B60">
        <w:rPr>
          <w:color w:val="000000" w:themeColor="text1"/>
        </w:rPr>
        <w:t xml:space="preserve">moderate correlations between IBD-Control-8 and symptom-based </w:t>
      </w:r>
      <w:r w:rsidR="00F442C0">
        <w:rPr>
          <w:color w:val="000000" w:themeColor="text1"/>
        </w:rPr>
        <w:t xml:space="preserve">PRO </w:t>
      </w:r>
      <w:r w:rsidR="00DC2B60">
        <w:rPr>
          <w:color w:val="000000" w:themeColor="text1"/>
        </w:rPr>
        <w:t>score</w:t>
      </w:r>
      <w:r w:rsidR="00AB2140">
        <w:rPr>
          <w:color w:val="000000" w:themeColor="text1"/>
        </w:rPr>
        <w:t xml:space="preserve">s, consistent with </w:t>
      </w:r>
      <w:r w:rsidR="00F442C0">
        <w:rPr>
          <w:color w:val="000000" w:themeColor="text1"/>
        </w:rPr>
        <w:lastRenderedPageBreak/>
        <w:t xml:space="preserve">original work demonstrating construct validity </w:t>
      </w:r>
      <w:r w:rsidR="00471DD7">
        <w:rPr>
          <w:color w:val="000000" w:themeColor="text1"/>
        </w:rPr>
        <w:t>versus</w:t>
      </w:r>
      <w:r w:rsidR="00F442C0">
        <w:rPr>
          <w:color w:val="000000" w:themeColor="text1"/>
        </w:rPr>
        <w:t xml:space="preserve"> </w:t>
      </w:r>
      <w:r w:rsidR="00AB2140">
        <w:rPr>
          <w:color w:val="000000" w:themeColor="text1"/>
        </w:rPr>
        <w:t>clinic</w:t>
      </w:r>
      <w:r w:rsidR="00390FD5">
        <w:rPr>
          <w:color w:val="000000" w:themeColor="text1"/>
        </w:rPr>
        <w:t>ian</w:t>
      </w:r>
      <w:r w:rsidR="00AB2140">
        <w:rPr>
          <w:color w:val="000000" w:themeColor="text1"/>
        </w:rPr>
        <w:t>-reported</w:t>
      </w:r>
      <w:r w:rsidR="00F442C0">
        <w:rPr>
          <w:color w:val="000000" w:themeColor="text1"/>
        </w:rPr>
        <w:t xml:space="preserve"> symptom-based</w:t>
      </w:r>
      <w:r w:rsidR="00AB2140" w:rsidRPr="00553026">
        <w:rPr>
          <w:color w:val="70AD47" w:themeColor="accent6"/>
        </w:rPr>
        <w:t xml:space="preserve"> </w:t>
      </w:r>
      <w:r w:rsidR="00F01170">
        <w:rPr>
          <w:color w:val="000000" w:themeColor="text1"/>
        </w:rPr>
        <w:t>indices</w:t>
      </w:r>
      <w:r w:rsidR="00471DD7">
        <w:rPr>
          <w:color w:val="000000" w:themeColor="text1"/>
        </w:rPr>
        <w:t xml:space="preserve">, </w:t>
      </w:r>
      <w:r w:rsidR="00D37F66">
        <w:rPr>
          <w:color w:val="000000" w:themeColor="text1"/>
        </w:rPr>
        <w:t>multi-item HRQoL measures and global clinician ratings</w:t>
      </w:r>
      <w:r w:rsidR="00DC2B60">
        <w:rPr>
          <w:color w:val="000000" w:themeColor="text1"/>
        </w:rPr>
        <w:t>.</w:t>
      </w:r>
      <w:r w:rsidR="00F442C0">
        <w:rPr>
          <w:color w:val="000000" w:themeColor="text1"/>
        </w:rPr>
        <w:fldChar w:fldCharType="begin"/>
      </w:r>
      <w:r w:rsidR="00F442C0">
        <w:rPr>
          <w:color w:val="000000" w:themeColor="text1"/>
        </w:rPr>
        <w:instrText xml:space="preserve"> ADDIN ZOTERO_ITEM CSL_CITATION {"citationID":"cfo38EWB","properties":{"formattedCitation":"\\super 8\\nosupersub{}","plainCitation":"8","noteIndex":0},"citationItems":[{"id":154,"uris":["http://zotero.org/users/2016235/items/6SBF99P6"],"itemData":{"id":154,"type":"article-journal","abstract":"INTRODUCTION: The use of patient reported outcome measures to support routine inflammatory bowel disease (IBD) care is not widespread and suggests that existing questionnaires lack relevance to day-to-day decisions or are too cumbersome to administer. We developed a simple, generic tool for capturing disease control from the patient's perspective to address these barriers.\nMETHODS: Development based on literature review, patient focus groups/interviews and a steering group, defining a limited set of generic questions. The 'IBD-Control' questionnaire comprises 13 items plus a visual analogue scale (VAS) (0-100). Prospective validation involved baseline completion of IBD-Control, quality of life (QoL) questionnaire (UK-IBD-Q), EuroQol (EQ-5D), Hospital Anxiety and Depression Score; and clinician assessment (blinded to questionnaire; recording Harvey-Bradshaw Index or Simple Clinical Colitis Activity Index; Global Clinician Rating; treatment outcome).\nRESULTS: 299 patients returned baseline surveys (Crohn's disease, n=160; ulcerative colitis, n=139) and 138 attended for repeat visits. Completion time (mean; SD): 1 min 15 s; 25 s; Internal consistency: Cronbach's α for all 13 items (0.85); for subgroup of eight questions ('IBD-Control-8'; 0.86). Strong correlation between IBD-Control-8 and IBD-Control-VAS (r=0.81). Test-retest reliability (2 week repeat): intra-class correlation=0.97 for IBD-Control-8 and 0.96 for IBD-Control-VAS. Construct validity: Moderate-to-strong correlations between IBD-Control-8 and IBD-Control-VAS versus activity indices, UK-IBD-Q and EQ-5D (utility) with r values 0.52-0.86. Discriminant validity (mean instrument scores for remission, mild, moderate or severe): p&lt;0.001 (analysis of variance (ANOVA)). Sensitivity to change: Effect sizes: 0.76-1.44.\nCONCLUSIONS: The IBD-Control is a rapid, reliable, valid and sensitive instrument for measuring overall disease control from the patient's perspective. Unlike existing patient reported outcome measures, its simplicity, ease-of-use and generic applicability make it a candidate for supporting routine care.","container-title":"Gut","DOI":"10.1136/gutjnl-2013-305600","ISSN":"1468-3288","issue":"7","journalAbbreviation":"Gut","language":"eng","note":"PMID: 24107590 \nPMCID: PMC4078750","page":"1092-1102","source":"NCBI PubMed","title":"Development and validation of a rapid, generic measure of disease control from the patient's perspective: the IBD-control questionnaire","title-short":"Development and validation of a rapid, generic measure of disease control from the patient's perspective","volume":"63","author":[{"family":"Bodger","given":"Keith"},{"family":"Ormerod","given":"Clare"},{"family":"Shackcloth","given":"Daniela"},{"family":"Harrison","given":"Melanie"},{"literal":"IBD Control Collaborative"}],"issued":{"date-parts":[["2014",7]]}}}],"schema":"https://github.com/citation-style-language/schema/raw/master/csl-citation.json"} </w:instrText>
      </w:r>
      <w:r w:rsidR="00F442C0">
        <w:rPr>
          <w:color w:val="000000" w:themeColor="text1"/>
        </w:rPr>
        <w:fldChar w:fldCharType="separate"/>
      </w:r>
      <w:r w:rsidR="00F442C0" w:rsidRPr="00F442C0">
        <w:rPr>
          <w:rFonts w:ascii="Calibri" w:cs="Calibri"/>
          <w:color w:val="000000"/>
          <w:vertAlign w:val="superscript"/>
        </w:rPr>
        <w:t>8</w:t>
      </w:r>
      <w:r w:rsidR="00F442C0">
        <w:rPr>
          <w:color w:val="000000" w:themeColor="text1"/>
        </w:rPr>
        <w:fldChar w:fldCharType="end"/>
      </w:r>
      <w:r w:rsidR="00646ACD">
        <w:rPr>
          <w:color w:val="000000" w:themeColor="text1"/>
        </w:rPr>
        <w:t xml:space="preserve"> </w:t>
      </w:r>
      <w:r w:rsidR="00F01170">
        <w:rPr>
          <w:color w:val="000000" w:themeColor="text1"/>
        </w:rPr>
        <w:t xml:space="preserve"> C</w:t>
      </w:r>
      <w:r w:rsidR="00646ACD">
        <w:rPr>
          <w:color w:val="000000" w:themeColor="text1"/>
        </w:rPr>
        <w:t xml:space="preserve">orrelation with </w:t>
      </w:r>
      <w:r w:rsidR="00DC2B60">
        <w:rPr>
          <w:color w:val="000000" w:themeColor="text1"/>
        </w:rPr>
        <w:t>PRO-2</w:t>
      </w:r>
      <w:r w:rsidR="00646ACD">
        <w:rPr>
          <w:color w:val="000000" w:themeColor="text1"/>
        </w:rPr>
        <w:t xml:space="preserve"> scores</w:t>
      </w:r>
      <w:r w:rsidR="00A70B95">
        <w:rPr>
          <w:color w:val="000000" w:themeColor="text1"/>
        </w:rPr>
        <w:t xml:space="preserve"> </w:t>
      </w:r>
      <w:r w:rsidR="00A70B95" w:rsidRPr="00A70B95">
        <w:rPr>
          <w:i/>
          <w:iCs/>
          <w:color w:val="000000" w:themeColor="text1"/>
        </w:rPr>
        <w:t>per se</w:t>
      </w:r>
      <w:r w:rsidR="00646ACD">
        <w:rPr>
          <w:color w:val="000000" w:themeColor="text1"/>
        </w:rPr>
        <w:t xml:space="preserve"> has not been reported previously</w:t>
      </w:r>
      <w:r w:rsidR="00F442C0">
        <w:rPr>
          <w:color w:val="000000" w:themeColor="text1"/>
        </w:rPr>
        <w:t xml:space="preserve">, nor has consistency of </w:t>
      </w:r>
      <w:r w:rsidR="0098667C">
        <w:rPr>
          <w:color w:val="000000" w:themeColor="text1"/>
        </w:rPr>
        <w:t>construct validity</w:t>
      </w:r>
      <w:r w:rsidR="00F01170">
        <w:rPr>
          <w:color w:val="000000" w:themeColor="text1"/>
        </w:rPr>
        <w:t xml:space="preserve"> </w:t>
      </w:r>
      <w:r w:rsidR="00D37F66">
        <w:rPr>
          <w:color w:val="000000" w:themeColor="text1"/>
        </w:rPr>
        <w:t xml:space="preserve">when tested </w:t>
      </w:r>
      <w:r w:rsidR="00F01170">
        <w:rPr>
          <w:color w:val="000000" w:themeColor="text1"/>
        </w:rPr>
        <w:t xml:space="preserve">across different </w:t>
      </w:r>
      <w:r w:rsidR="00DA64A2">
        <w:rPr>
          <w:color w:val="000000" w:themeColor="text1"/>
        </w:rPr>
        <w:t>population strata</w:t>
      </w:r>
      <w:r w:rsidR="002402B2">
        <w:rPr>
          <w:color w:val="000000" w:themeColor="text1"/>
        </w:rPr>
        <w:t xml:space="preserve">. </w:t>
      </w:r>
      <w:r w:rsidR="00F442C0">
        <w:rPr>
          <w:color w:val="000000" w:themeColor="text1"/>
        </w:rPr>
        <w:t xml:space="preserve">Very high </w:t>
      </w:r>
      <w:r w:rsidR="00646ACD">
        <w:rPr>
          <w:color w:val="000000" w:themeColor="text1"/>
        </w:rPr>
        <w:t>correlation</w:t>
      </w:r>
      <w:r w:rsidR="00553026">
        <w:rPr>
          <w:color w:val="000000" w:themeColor="text1"/>
        </w:rPr>
        <w:t xml:space="preserve"> between IBD-Control-8 scores and</w:t>
      </w:r>
      <w:r w:rsidR="00F01170">
        <w:rPr>
          <w:color w:val="000000" w:themeColor="text1"/>
        </w:rPr>
        <w:t xml:space="preserve"> </w:t>
      </w:r>
      <w:r w:rsidR="00F442C0">
        <w:rPr>
          <w:color w:val="000000" w:themeColor="text1"/>
        </w:rPr>
        <w:t>PRO-2 scores</w:t>
      </w:r>
      <w:r w:rsidR="00646ACD">
        <w:rPr>
          <w:color w:val="000000" w:themeColor="text1"/>
        </w:rPr>
        <w:t xml:space="preserve"> </w:t>
      </w:r>
      <w:r w:rsidR="00F442C0">
        <w:rPr>
          <w:color w:val="000000" w:themeColor="text1"/>
        </w:rPr>
        <w:t>wa</w:t>
      </w:r>
      <w:r w:rsidR="007336D0">
        <w:rPr>
          <w:color w:val="000000" w:themeColor="text1"/>
        </w:rPr>
        <w:t>s</w:t>
      </w:r>
      <w:r w:rsidR="00646ACD">
        <w:rPr>
          <w:color w:val="000000" w:themeColor="text1"/>
        </w:rPr>
        <w:t xml:space="preserve"> n</w:t>
      </w:r>
      <w:r w:rsidR="00DA64A2">
        <w:rPr>
          <w:color w:val="000000" w:themeColor="text1"/>
        </w:rPr>
        <w:t>either</w:t>
      </w:r>
      <w:r w:rsidR="00646ACD">
        <w:rPr>
          <w:color w:val="000000" w:themeColor="text1"/>
        </w:rPr>
        <w:t xml:space="preserve"> expected</w:t>
      </w:r>
      <w:r w:rsidR="007336D0">
        <w:rPr>
          <w:color w:val="000000" w:themeColor="text1"/>
        </w:rPr>
        <w:t xml:space="preserve"> </w:t>
      </w:r>
      <w:r w:rsidR="00DA64A2">
        <w:rPr>
          <w:color w:val="000000" w:themeColor="text1"/>
        </w:rPr>
        <w:t>n</w:t>
      </w:r>
      <w:r w:rsidR="007336D0">
        <w:rPr>
          <w:color w:val="000000" w:themeColor="text1"/>
        </w:rPr>
        <w:t>or desirable</w:t>
      </w:r>
      <w:r w:rsidR="00646ACD">
        <w:rPr>
          <w:color w:val="000000" w:themeColor="text1"/>
        </w:rPr>
        <w:t xml:space="preserve">, since </w:t>
      </w:r>
      <w:r w:rsidR="00DA64A2">
        <w:rPr>
          <w:color w:val="000000" w:themeColor="text1"/>
        </w:rPr>
        <w:t xml:space="preserve">the </w:t>
      </w:r>
      <w:r w:rsidR="00F442C0">
        <w:rPr>
          <w:color w:val="000000" w:themeColor="text1"/>
        </w:rPr>
        <w:t xml:space="preserve">concept of </w:t>
      </w:r>
      <w:r w:rsidR="00646ACD">
        <w:rPr>
          <w:color w:val="000000" w:themeColor="text1"/>
        </w:rPr>
        <w:t xml:space="preserve">patient-perceived disease control </w:t>
      </w:r>
      <w:r w:rsidR="00063D11">
        <w:rPr>
          <w:color w:val="000000" w:themeColor="text1"/>
        </w:rPr>
        <w:t xml:space="preserve">covers </w:t>
      </w:r>
      <w:r w:rsidR="00646ACD">
        <w:rPr>
          <w:color w:val="000000" w:themeColor="text1"/>
        </w:rPr>
        <w:t>a</w:t>
      </w:r>
      <w:r w:rsidR="00BF2732">
        <w:rPr>
          <w:color w:val="000000" w:themeColor="text1"/>
        </w:rPr>
        <w:t xml:space="preserve"> </w:t>
      </w:r>
      <w:r w:rsidR="00271680">
        <w:rPr>
          <w:color w:val="000000" w:themeColor="text1"/>
        </w:rPr>
        <w:t xml:space="preserve">much </w:t>
      </w:r>
      <w:r w:rsidR="00646ACD">
        <w:rPr>
          <w:color w:val="000000" w:themeColor="text1"/>
        </w:rPr>
        <w:t>broader construct</w:t>
      </w:r>
      <w:r w:rsidR="00C52F4A">
        <w:rPr>
          <w:color w:val="000000" w:themeColor="text1"/>
        </w:rPr>
        <w:t xml:space="preserve"> than</w:t>
      </w:r>
      <w:r w:rsidR="008A5C09">
        <w:rPr>
          <w:color w:val="000000" w:themeColor="text1"/>
        </w:rPr>
        <w:t xml:space="preserve"> a symptom-based index.</w:t>
      </w:r>
    </w:p>
    <w:p w14:paraId="029A54B9" w14:textId="3B614E8A" w:rsidR="00357AB0" w:rsidRDefault="00DA64A2" w:rsidP="00250D51">
      <w:pPr>
        <w:jc w:val="both"/>
        <w:rPr>
          <w:color w:val="000000" w:themeColor="text1"/>
        </w:rPr>
      </w:pPr>
      <w:r>
        <w:rPr>
          <w:color w:val="000000" w:themeColor="text1"/>
        </w:rPr>
        <w:t xml:space="preserve">IBD-Control was created as a generic screening tool </w:t>
      </w:r>
      <w:r w:rsidR="00F442C0">
        <w:rPr>
          <w:color w:val="000000" w:themeColor="text1"/>
        </w:rPr>
        <w:t xml:space="preserve">that </w:t>
      </w:r>
      <w:r w:rsidR="008A5C09">
        <w:rPr>
          <w:color w:val="000000" w:themeColor="text1"/>
        </w:rPr>
        <w:t>w</w:t>
      </w:r>
      <w:r w:rsidR="00F442C0">
        <w:rPr>
          <w:color w:val="000000" w:themeColor="text1"/>
        </w:rPr>
        <w:t xml:space="preserve">ould be </w:t>
      </w:r>
      <w:r>
        <w:rPr>
          <w:color w:val="000000" w:themeColor="text1"/>
        </w:rPr>
        <w:t>relevant to</w:t>
      </w:r>
      <w:r w:rsidR="00F442C0">
        <w:rPr>
          <w:color w:val="000000" w:themeColor="text1"/>
        </w:rPr>
        <w:t xml:space="preserve"> patients with either form of IBD</w:t>
      </w:r>
      <w:r>
        <w:rPr>
          <w:color w:val="000000" w:themeColor="text1"/>
        </w:rPr>
        <w:t xml:space="preserve">, unlike </w:t>
      </w:r>
      <w:r w:rsidR="00D07428">
        <w:rPr>
          <w:color w:val="000000" w:themeColor="text1"/>
        </w:rPr>
        <w:t>symptom</w:t>
      </w:r>
      <w:r>
        <w:rPr>
          <w:color w:val="000000" w:themeColor="text1"/>
        </w:rPr>
        <w:t xml:space="preserve">-based activity </w:t>
      </w:r>
      <w:r w:rsidR="00D07428">
        <w:rPr>
          <w:color w:val="000000" w:themeColor="text1"/>
        </w:rPr>
        <w:t>scores</w:t>
      </w:r>
      <w:r w:rsidR="00F51657">
        <w:rPr>
          <w:color w:val="000000" w:themeColor="text1"/>
        </w:rPr>
        <w:t xml:space="preserve"> which need to be</w:t>
      </w:r>
      <w:r w:rsidR="00D07428">
        <w:rPr>
          <w:color w:val="000000" w:themeColor="text1"/>
        </w:rPr>
        <w:t xml:space="preserve"> tailored to</w:t>
      </w:r>
      <w:r w:rsidR="00F442C0">
        <w:rPr>
          <w:color w:val="000000" w:themeColor="text1"/>
        </w:rPr>
        <w:t xml:space="preserve"> either Crohn’s disease or ulcerative colitis</w:t>
      </w:r>
      <w:r w:rsidR="007259E7">
        <w:rPr>
          <w:color w:val="000000" w:themeColor="text1"/>
        </w:rPr>
        <w:t xml:space="preserve">. </w:t>
      </w:r>
      <w:r w:rsidR="008D4B93" w:rsidRPr="008D4B93">
        <w:rPr>
          <w:color w:val="000000" w:themeColor="text1"/>
        </w:rPr>
        <w:t>Given</w:t>
      </w:r>
      <w:r w:rsidR="00C327FA">
        <w:rPr>
          <w:color w:val="000000" w:themeColor="text1"/>
        </w:rPr>
        <w:t xml:space="preserve"> </w:t>
      </w:r>
      <w:r w:rsidR="008A5C09">
        <w:rPr>
          <w:color w:val="000000" w:themeColor="text1"/>
        </w:rPr>
        <w:t>its</w:t>
      </w:r>
      <w:r w:rsidR="008D4B93" w:rsidRPr="008D4B93">
        <w:rPr>
          <w:color w:val="000000" w:themeColor="text1"/>
        </w:rPr>
        <w:t xml:space="preserve"> generic nature, </w:t>
      </w:r>
      <w:r w:rsidR="007259E7">
        <w:rPr>
          <w:color w:val="000000" w:themeColor="text1"/>
        </w:rPr>
        <w:t>we were keen to</w:t>
      </w:r>
      <w:r w:rsidR="00BC6E4D">
        <w:rPr>
          <w:color w:val="000000" w:themeColor="text1"/>
        </w:rPr>
        <w:t xml:space="preserve"> confirm</w:t>
      </w:r>
      <w:r w:rsidR="007259E7">
        <w:rPr>
          <w:color w:val="000000" w:themeColor="text1"/>
        </w:rPr>
        <w:t xml:space="preserve"> that</w:t>
      </w:r>
      <w:r w:rsidR="008D4B93" w:rsidRPr="008D4B93">
        <w:rPr>
          <w:color w:val="000000" w:themeColor="text1"/>
        </w:rPr>
        <w:t xml:space="preserve"> measurement properties were similar between</w:t>
      </w:r>
      <w:r w:rsidR="007259E7">
        <w:rPr>
          <w:color w:val="000000" w:themeColor="text1"/>
        </w:rPr>
        <w:t xml:space="preserve"> Crohn’s disease and ulcerative colitis,</w:t>
      </w:r>
      <w:r w:rsidR="008D4B93" w:rsidRPr="008D4B93">
        <w:rPr>
          <w:color w:val="000000" w:themeColor="text1"/>
        </w:rPr>
        <w:t xml:space="preserve"> </w:t>
      </w:r>
      <w:r w:rsidR="00C327FA">
        <w:rPr>
          <w:color w:val="000000" w:themeColor="text1"/>
        </w:rPr>
        <w:t xml:space="preserve">males and females, </w:t>
      </w:r>
      <w:r w:rsidR="008D4B93" w:rsidRPr="008D4B93">
        <w:rPr>
          <w:color w:val="000000" w:themeColor="text1"/>
        </w:rPr>
        <w:t>younger and older age groups, and between those with, or without, additional chronic conditions</w:t>
      </w:r>
      <w:r w:rsidR="008D4B93">
        <w:rPr>
          <w:color w:val="000000" w:themeColor="text1"/>
        </w:rPr>
        <w:t>.</w:t>
      </w:r>
      <w:r w:rsidR="004B5FAA">
        <w:rPr>
          <w:color w:val="000000" w:themeColor="text1"/>
        </w:rPr>
        <w:t xml:space="preserve"> </w:t>
      </w:r>
      <w:r w:rsidR="00E25D58">
        <w:rPr>
          <w:color w:val="000000" w:themeColor="text1"/>
        </w:rPr>
        <w:t>Our n</w:t>
      </w:r>
      <w:r w:rsidR="00271680">
        <w:rPr>
          <w:color w:val="000000" w:themeColor="text1"/>
        </w:rPr>
        <w:t xml:space="preserve">ew </w:t>
      </w:r>
      <w:r w:rsidR="00BF2732">
        <w:rPr>
          <w:color w:val="000000" w:themeColor="text1"/>
        </w:rPr>
        <w:t>e</w:t>
      </w:r>
      <w:r w:rsidR="002A3651">
        <w:rPr>
          <w:color w:val="000000" w:themeColor="text1"/>
        </w:rPr>
        <w:t>vidence for</w:t>
      </w:r>
      <w:r w:rsidR="004B5FAA">
        <w:rPr>
          <w:color w:val="000000" w:themeColor="text1"/>
        </w:rPr>
        <w:t xml:space="preserve"> invariance in instrument performance </w:t>
      </w:r>
      <w:r w:rsidR="0017417B">
        <w:rPr>
          <w:color w:val="000000" w:themeColor="text1"/>
        </w:rPr>
        <w:t>extended</w:t>
      </w:r>
      <w:r w:rsidR="00BC6E4D">
        <w:rPr>
          <w:color w:val="000000" w:themeColor="text1"/>
        </w:rPr>
        <w:t xml:space="preserve"> also</w:t>
      </w:r>
      <w:r w:rsidR="0017417B">
        <w:rPr>
          <w:color w:val="000000" w:themeColor="text1"/>
        </w:rPr>
        <w:t xml:space="preserve"> to </w:t>
      </w:r>
      <w:r w:rsidR="00357AB0">
        <w:rPr>
          <w:color w:val="000000" w:themeColor="text1"/>
        </w:rPr>
        <w:t>deprivation</w:t>
      </w:r>
      <w:r w:rsidR="0017417B">
        <w:rPr>
          <w:color w:val="000000" w:themeColor="text1"/>
        </w:rPr>
        <w:t xml:space="preserve"> status,</w:t>
      </w:r>
      <w:r w:rsidR="007259E7">
        <w:rPr>
          <w:color w:val="000000" w:themeColor="text1"/>
        </w:rPr>
        <w:t xml:space="preserve"> </w:t>
      </w:r>
      <w:r w:rsidR="002A3651">
        <w:rPr>
          <w:color w:val="000000" w:themeColor="text1"/>
        </w:rPr>
        <w:t>suggesting</w:t>
      </w:r>
      <w:r w:rsidR="004B5FAA">
        <w:rPr>
          <w:color w:val="000000" w:themeColor="text1"/>
        </w:rPr>
        <w:t xml:space="preserve"> that response</w:t>
      </w:r>
      <w:r w:rsidR="00357AB0">
        <w:rPr>
          <w:color w:val="000000" w:themeColor="text1"/>
        </w:rPr>
        <w:t>s</w:t>
      </w:r>
      <w:r w:rsidR="004B5FAA">
        <w:rPr>
          <w:color w:val="000000" w:themeColor="text1"/>
        </w:rPr>
        <w:t xml:space="preserve"> to</w:t>
      </w:r>
      <w:r w:rsidR="00E25D58">
        <w:rPr>
          <w:color w:val="000000" w:themeColor="text1"/>
        </w:rPr>
        <w:t xml:space="preserve"> IBD-Control-8</w:t>
      </w:r>
      <w:r w:rsidR="004B5FAA">
        <w:rPr>
          <w:color w:val="000000" w:themeColor="text1"/>
        </w:rPr>
        <w:t xml:space="preserve"> items </w:t>
      </w:r>
      <w:r w:rsidR="00BC6E4D">
        <w:rPr>
          <w:color w:val="000000" w:themeColor="text1"/>
        </w:rPr>
        <w:t>we</w:t>
      </w:r>
      <w:r w:rsidR="0017417B">
        <w:rPr>
          <w:color w:val="000000" w:themeColor="text1"/>
        </w:rPr>
        <w:t>re</w:t>
      </w:r>
      <w:r w:rsidR="004B5FAA">
        <w:rPr>
          <w:color w:val="000000" w:themeColor="text1"/>
        </w:rPr>
        <w:t xml:space="preserve"> not influenced by </w:t>
      </w:r>
      <w:r w:rsidR="00357AB0">
        <w:rPr>
          <w:color w:val="000000" w:themeColor="text1"/>
        </w:rPr>
        <w:t>socioeconomic factors (e.g. educational attainment or employment status)</w:t>
      </w:r>
      <w:r w:rsidR="007259E7">
        <w:rPr>
          <w:color w:val="000000" w:themeColor="text1"/>
        </w:rPr>
        <w:t>.</w:t>
      </w:r>
      <w:r w:rsidR="00BC6E4D">
        <w:rPr>
          <w:color w:val="000000" w:themeColor="text1"/>
        </w:rPr>
        <w:t xml:space="preserve">  The</w:t>
      </w:r>
      <w:r w:rsidR="00BF2732">
        <w:rPr>
          <w:color w:val="000000" w:themeColor="text1"/>
        </w:rPr>
        <w:t xml:space="preserve"> simple</w:t>
      </w:r>
      <w:r w:rsidR="00BC6E4D">
        <w:rPr>
          <w:color w:val="000000" w:themeColor="text1"/>
        </w:rPr>
        <w:t xml:space="preserve"> item wording and use of three-point Likert response options were deliberate design choices</w:t>
      </w:r>
      <w:r w:rsidR="00481104">
        <w:rPr>
          <w:color w:val="000000" w:themeColor="text1"/>
        </w:rPr>
        <w:t xml:space="preserve"> for</w:t>
      </w:r>
      <w:r w:rsidR="00F51657">
        <w:rPr>
          <w:color w:val="000000" w:themeColor="text1"/>
        </w:rPr>
        <w:t xml:space="preserve"> </w:t>
      </w:r>
      <w:r w:rsidR="00F51657" w:rsidRPr="00F51657">
        <w:rPr>
          <w:color w:val="000000" w:themeColor="text1"/>
        </w:rPr>
        <w:t>IBD-Control</w:t>
      </w:r>
      <w:r w:rsidR="00BF2732">
        <w:rPr>
          <w:color w:val="000000" w:themeColor="text1"/>
        </w:rPr>
        <w:t>,</w:t>
      </w:r>
      <w:r w:rsidR="00BC6E4D">
        <w:rPr>
          <w:color w:val="000000" w:themeColor="text1"/>
        </w:rPr>
        <w:t xml:space="preserve"> </w:t>
      </w:r>
      <w:r w:rsidR="00481104">
        <w:rPr>
          <w:color w:val="000000" w:themeColor="text1"/>
        </w:rPr>
        <w:t>seeking</w:t>
      </w:r>
      <w:r w:rsidR="00BC6E4D">
        <w:rPr>
          <w:color w:val="000000" w:themeColor="text1"/>
        </w:rPr>
        <w:t xml:space="preserve"> to </w:t>
      </w:r>
      <w:r w:rsidR="00BF2732">
        <w:rPr>
          <w:color w:val="000000" w:themeColor="text1"/>
        </w:rPr>
        <w:t>minimise burden of</w:t>
      </w:r>
      <w:r w:rsidR="00BC6E4D">
        <w:rPr>
          <w:color w:val="000000" w:themeColor="text1"/>
        </w:rPr>
        <w:t xml:space="preserve"> completion</w:t>
      </w:r>
      <w:r w:rsidR="00BF2732">
        <w:rPr>
          <w:color w:val="000000" w:themeColor="text1"/>
        </w:rPr>
        <w:t>, scoring</w:t>
      </w:r>
      <w:r w:rsidR="00BC6E4D">
        <w:rPr>
          <w:color w:val="000000" w:themeColor="text1"/>
        </w:rPr>
        <w:t xml:space="preserve"> and interpretation</w:t>
      </w:r>
      <w:r w:rsidR="00A25853">
        <w:rPr>
          <w:color w:val="000000" w:themeColor="text1"/>
        </w:rPr>
        <w:t xml:space="preserve"> in routine settings</w:t>
      </w:r>
      <w:r w:rsidR="00BC6E4D">
        <w:rPr>
          <w:color w:val="000000" w:themeColor="text1"/>
        </w:rPr>
        <w:t>.</w:t>
      </w:r>
      <w:r w:rsidR="00BC6E4D">
        <w:rPr>
          <w:color w:val="000000" w:themeColor="text1"/>
        </w:rPr>
        <w:fldChar w:fldCharType="begin"/>
      </w:r>
      <w:r w:rsidR="00BC6E4D">
        <w:rPr>
          <w:color w:val="000000" w:themeColor="text1"/>
        </w:rPr>
        <w:instrText xml:space="preserve"> ADDIN ZOTERO_ITEM CSL_CITATION {"citationID":"jtW4sIXP","properties":{"formattedCitation":"\\super 8\\nosupersub{}","plainCitation":"8","noteIndex":0},"citationItems":[{"id":154,"uris":["http://zotero.org/users/2016235/items/6SBF99P6"],"itemData":{"id":154,"type":"article-journal","abstract":"INTRODUCTION: The use of patient reported outcome measures to support routine inflammatory bowel disease (IBD) care is not widespread and suggests that existing questionnaires lack relevance to day-to-day decisions or are too cumbersome to administer. We developed a simple, generic tool for capturing disease control from the patient's perspective to address these barriers.\nMETHODS: Development based on literature review, patient focus groups/interviews and a steering group, defining a limited set of generic questions. The 'IBD-Control' questionnaire comprises 13 items plus a visual analogue scale (VAS) (0-100). Prospective validation involved baseline completion of IBD-Control, quality of life (QoL) questionnaire (UK-IBD-Q), EuroQol (EQ-5D), Hospital Anxiety and Depression Score; and clinician assessment (blinded to questionnaire; recording Harvey-Bradshaw Index or Simple Clinical Colitis Activity Index; Global Clinician Rating; treatment outcome).\nRESULTS: 299 patients returned baseline surveys (Crohn's disease, n=160; ulcerative colitis, n=139) and 138 attended for repeat visits. Completion time (mean; SD): 1 min 15 s; 25 s; Internal consistency: Cronbach's α for all 13 items (0.85); for subgroup of eight questions ('IBD-Control-8'; 0.86). Strong correlation between IBD-Control-8 and IBD-Control-VAS (r=0.81). Test-retest reliability (2 week repeat): intra-class correlation=0.97 for IBD-Control-8 and 0.96 for IBD-Control-VAS. Construct validity: Moderate-to-strong correlations between IBD-Control-8 and IBD-Control-VAS versus activity indices, UK-IBD-Q and EQ-5D (utility) with r values 0.52-0.86. Discriminant validity (mean instrument scores for remission, mild, moderate or severe): p&lt;0.001 (analysis of variance (ANOVA)). Sensitivity to change: Effect sizes: 0.76-1.44.\nCONCLUSIONS: The IBD-Control is a rapid, reliable, valid and sensitive instrument for measuring overall disease control from the patient's perspective. Unlike existing patient reported outcome measures, its simplicity, ease-of-use and generic applicability make it a candidate for supporting routine care.","container-title":"Gut","DOI":"10.1136/gutjnl-2013-305600","ISSN":"1468-3288","issue":"7","journalAbbreviation":"Gut","language":"eng","note":"PMID: 24107590 \nPMCID: PMC4078750","page":"1092-1102","source":"NCBI PubMed","title":"Development and validation of a rapid, generic measure of disease control from the patient's perspective: the IBD-control questionnaire","title-short":"Development and validation of a rapid, generic measure of disease control from the patient's perspective","volume":"63","author":[{"family":"Bodger","given":"Keith"},{"family":"Ormerod","given":"Clare"},{"family":"Shackcloth","given":"Daniela"},{"family":"Harrison","given":"Melanie"},{"literal":"IBD Control Collaborative"}],"issued":{"date-parts":[["2014",7]]}}}],"schema":"https://github.com/citation-style-language/schema/raw/master/csl-citation.json"} </w:instrText>
      </w:r>
      <w:r w:rsidR="00BC6E4D">
        <w:rPr>
          <w:color w:val="000000" w:themeColor="text1"/>
        </w:rPr>
        <w:fldChar w:fldCharType="separate"/>
      </w:r>
      <w:r w:rsidR="00BC6E4D" w:rsidRPr="00BC6E4D">
        <w:rPr>
          <w:rFonts w:ascii="Calibri" w:cs="Calibri"/>
          <w:color w:val="000000"/>
          <w:vertAlign w:val="superscript"/>
        </w:rPr>
        <w:t>8</w:t>
      </w:r>
      <w:r w:rsidR="00BC6E4D">
        <w:rPr>
          <w:color w:val="000000" w:themeColor="text1"/>
        </w:rPr>
        <w:fldChar w:fldCharType="end"/>
      </w:r>
      <w:r w:rsidR="00262DA4">
        <w:rPr>
          <w:color w:val="000000" w:themeColor="text1"/>
        </w:rPr>
        <w:t xml:space="preserve"> Taken together, </w:t>
      </w:r>
      <w:r w:rsidR="00481104">
        <w:rPr>
          <w:color w:val="000000" w:themeColor="text1"/>
        </w:rPr>
        <w:t>our</w:t>
      </w:r>
      <w:r w:rsidR="00C327FA">
        <w:rPr>
          <w:color w:val="000000" w:themeColor="text1"/>
        </w:rPr>
        <w:t xml:space="preserve"> findings</w:t>
      </w:r>
      <w:r w:rsidR="00262DA4">
        <w:rPr>
          <w:color w:val="000000" w:themeColor="text1"/>
        </w:rPr>
        <w:t xml:space="preserve"> suggest the IBD-Control-8 is a psychometrically robust scale which can be used reliability across a range of contexts </w:t>
      </w:r>
      <w:r w:rsidR="00481104">
        <w:rPr>
          <w:color w:val="000000" w:themeColor="text1"/>
        </w:rPr>
        <w:t xml:space="preserve">and </w:t>
      </w:r>
      <w:r w:rsidR="00262DA4">
        <w:rPr>
          <w:color w:val="000000" w:themeColor="text1"/>
        </w:rPr>
        <w:t>offer</w:t>
      </w:r>
      <w:r w:rsidR="00481104">
        <w:rPr>
          <w:color w:val="000000" w:themeColor="text1"/>
        </w:rPr>
        <w:t>s</w:t>
      </w:r>
      <w:r w:rsidR="00262DA4">
        <w:rPr>
          <w:color w:val="000000" w:themeColor="text1"/>
        </w:rPr>
        <w:t xml:space="preserve"> a quick method of assessing patient</w:t>
      </w:r>
      <w:r w:rsidR="00481104">
        <w:rPr>
          <w:color w:val="000000" w:themeColor="text1"/>
        </w:rPr>
        <w:t>-</w:t>
      </w:r>
      <w:r w:rsidR="001073BA">
        <w:rPr>
          <w:color w:val="000000" w:themeColor="text1"/>
        </w:rPr>
        <w:t>perceived control of</w:t>
      </w:r>
      <w:r w:rsidR="00262DA4">
        <w:rPr>
          <w:color w:val="000000" w:themeColor="text1"/>
        </w:rPr>
        <w:t xml:space="preserve"> IBD</w:t>
      </w:r>
      <w:r w:rsidR="001073BA">
        <w:rPr>
          <w:color w:val="000000" w:themeColor="text1"/>
        </w:rPr>
        <w:t xml:space="preserve">. </w:t>
      </w:r>
    </w:p>
    <w:p w14:paraId="375C06FF" w14:textId="67F0EDC9" w:rsidR="002A3651" w:rsidRDefault="002A3651" w:rsidP="00250D51">
      <w:pPr>
        <w:jc w:val="both"/>
        <w:rPr>
          <w:color w:val="7030A0"/>
        </w:rPr>
      </w:pPr>
      <w:r>
        <w:rPr>
          <w:color w:val="000000" w:themeColor="text1"/>
        </w:rPr>
        <w:t>Our</w:t>
      </w:r>
      <w:r w:rsidR="007259E7">
        <w:rPr>
          <w:color w:val="000000" w:themeColor="text1"/>
        </w:rPr>
        <w:t xml:space="preserve"> study is</w:t>
      </w:r>
      <w:r>
        <w:rPr>
          <w:color w:val="000000" w:themeColor="text1"/>
        </w:rPr>
        <w:t xml:space="preserve"> </w:t>
      </w:r>
      <w:r w:rsidR="00AB2140" w:rsidRPr="00C841A3">
        <w:rPr>
          <w:color w:val="000000" w:themeColor="text1"/>
        </w:rPr>
        <w:t>the first to</w:t>
      </w:r>
      <w:r>
        <w:rPr>
          <w:color w:val="000000" w:themeColor="text1"/>
        </w:rPr>
        <w:t xml:space="preserve"> </w:t>
      </w:r>
      <w:r w:rsidR="005B2FEA">
        <w:rPr>
          <w:color w:val="000000" w:themeColor="text1"/>
        </w:rPr>
        <w:t>use</w:t>
      </w:r>
      <w:r>
        <w:rPr>
          <w:color w:val="000000" w:themeColor="text1"/>
        </w:rPr>
        <w:t xml:space="preserve"> factor analysis to generate </w:t>
      </w:r>
      <w:r w:rsidR="00AB2140" w:rsidRPr="00C841A3">
        <w:rPr>
          <w:color w:val="000000" w:themeColor="text1"/>
        </w:rPr>
        <w:t xml:space="preserve">empirical </w:t>
      </w:r>
      <w:r w:rsidR="00AE63A5">
        <w:rPr>
          <w:color w:val="000000" w:themeColor="text1"/>
        </w:rPr>
        <w:t>validation of</w:t>
      </w:r>
      <w:r w:rsidR="00AB2140" w:rsidRPr="00C841A3">
        <w:rPr>
          <w:color w:val="000000" w:themeColor="text1"/>
        </w:rPr>
        <w:t xml:space="preserve"> </w:t>
      </w:r>
      <w:r w:rsidR="00AB2140">
        <w:rPr>
          <w:color w:val="000000" w:themeColor="text1"/>
        </w:rPr>
        <w:t>the</w:t>
      </w:r>
      <w:r w:rsidR="00AB2140" w:rsidRPr="00C841A3">
        <w:rPr>
          <w:color w:val="000000" w:themeColor="text1"/>
        </w:rPr>
        <w:t xml:space="preserve"> </w:t>
      </w:r>
      <w:r w:rsidR="003254CA">
        <w:rPr>
          <w:color w:val="000000" w:themeColor="text1"/>
        </w:rPr>
        <w:t xml:space="preserve">original </w:t>
      </w:r>
      <w:r w:rsidR="00AB2140" w:rsidRPr="00C841A3">
        <w:rPr>
          <w:color w:val="000000" w:themeColor="text1"/>
        </w:rPr>
        <w:t>conceptual mod</w:t>
      </w:r>
      <w:r w:rsidR="00AB2140">
        <w:rPr>
          <w:color w:val="000000" w:themeColor="text1"/>
        </w:rPr>
        <w:t>el</w:t>
      </w:r>
      <w:r w:rsidR="007259E7">
        <w:rPr>
          <w:color w:val="000000" w:themeColor="text1"/>
        </w:rPr>
        <w:t xml:space="preserve"> of the </w:t>
      </w:r>
      <w:r w:rsidR="003254CA">
        <w:rPr>
          <w:color w:val="000000" w:themeColor="text1"/>
        </w:rPr>
        <w:t>questionnaire</w:t>
      </w:r>
      <w:r w:rsidR="00AB2140">
        <w:rPr>
          <w:color w:val="000000" w:themeColor="text1"/>
        </w:rPr>
        <w:t xml:space="preserve">. </w:t>
      </w:r>
      <w:r w:rsidR="003254CA">
        <w:rPr>
          <w:color w:val="000000" w:themeColor="text1"/>
        </w:rPr>
        <w:t xml:space="preserve"> </w:t>
      </w:r>
      <w:r>
        <w:rPr>
          <w:color w:val="000000" w:themeColor="text1"/>
        </w:rPr>
        <w:t xml:space="preserve">The eight </w:t>
      </w:r>
      <w:r w:rsidR="00AB2140">
        <w:rPr>
          <w:color w:val="000000" w:themeColor="text1"/>
        </w:rPr>
        <w:t>questions</w:t>
      </w:r>
      <w:r w:rsidR="007259E7">
        <w:rPr>
          <w:color w:val="000000" w:themeColor="text1"/>
        </w:rPr>
        <w:t xml:space="preserve"> mapp</w:t>
      </w:r>
      <w:r w:rsidR="003254CA">
        <w:rPr>
          <w:color w:val="000000" w:themeColor="text1"/>
        </w:rPr>
        <w:t xml:space="preserve">ed as </w:t>
      </w:r>
      <w:r>
        <w:rPr>
          <w:color w:val="000000" w:themeColor="text1"/>
        </w:rPr>
        <w:t>expected</w:t>
      </w:r>
      <w:r w:rsidR="003254CA">
        <w:rPr>
          <w:color w:val="000000" w:themeColor="text1"/>
        </w:rPr>
        <w:t xml:space="preserve"> </w:t>
      </w:r>
      <w:r w:rsidR="007259E7">
        <w:rPr>
          <w:color w:val="000000" w:themeColor="text1"/>
        </w:rPr>
        <w:t>to</w:t>
      </w:r>
      <w:r w:rsidR="00AE1B39">
        <w:rPr>
          <w:color w:val="000000" w:themeColor="text1"/>
        </w:rPr>
        <w:t xml:space="preserve"> a two-factor model comprising </w:t>
      </w:r>
      <w:r w:rsidR="007259E7">
        <w:rPr>
          <w:color w:val="000000" w:themeColor="text1"/>
        </w:rPr>
        <w:t xml:space="preserve">HRQoL </w:t>
      </w:r>
      <w:r w:rsidR="00BC6E4D">
        <w:rPr>
          <w:color w:val="000000" w:themeColor="text1"/>
        </w:rPr>
        <w:t>and</w:t>
      </w:r>
      <w:r w:rsidR="00AE1B39">
        <w:rPr>
          <w:color w:val="000000" w:themeColor="text1"/>
        </w:rPr>
        <w:t xml:space="preserve"> the </w:t>
      </w:r>
      <w:r w:rsidR="003254CA">
        <w:rPr>
          <w:color w:val="000000" w:themeColor="text1"/>
        </w:rPr>
        <w:t>novel domain of</w:t>
      </w:r>
      <w:r w:rsidR="007259E7">
        <w:rPr>
          <w:color w:val="000000" w:themeColor="text1"/>
        </w:rPr>
        <w:t xml:space="preserve"> </w:t>
      </w:r>
      <w:r w:rsidR="003254CA">
        <w:rPr>
          <w:color w:val="000000" w:themeColor="text1"/>
        </w:rPr>
        <w:t>“</w:t>
      </w:r>
      <w:r w:rsidR="005B2FEA">
        <w:rPr>
          <w:color w:val="000000" w:themeColor="text1"/>
        </w:rPr>
        <w:t>T</w:t>
      </w:r>
      <w:r w:rsidR="007259E7">
        <w:rPr>
          <w:color w:val="000000" w:themeColor="text1"/>
        </w:rPr>
        <w:t>reatment</w:t>
      </w:r>
      <w:r w:rsidR="003254CA">
        <w:rPr>
          <w:color w:val="000000" w:themeColor="text1"/>
        </w:rPr>
        <w:t xml:space="preserve">”.  Although typically characterised by researchers as a HRQoL instrument, IBD-Control is distinct from </w:t>
      </w:r>
      <w:r w:rsidR="00E25D58">
        <w:rPr>
          <w:color w:val="000000" w:themeColor="text1"/>
        </w:rPr>
        <w:t xml:space="preserve">traditional </w:t>
      </w:r>
      <w:r w:rsidR="003254CA">
        <w:rPr>
          <w:color w:val="000000" w:themeColor="text1"/>
        </w:rPr>
        <w:t>questionnaires</w:t>
      </w:r>
      <w:r w:rsidR="00E25D58">
        <w:rPr>
          <w:color w:val="000000" w:themeColor="text1"/>
        </w:rPr>
        <w:fldChar w:fldCharType="begin"/>
      </w:r>
      <w:r w:rsidR="00E25D58">
        <w:rPr>
          <w:color w:val="000000" w:themeColor="text1"/>
        </w:rPr>
        <w:instrText xml:space="preserve"> ADDIN ZOTERO_ITEM CSL_CITATION {"citationID":"AuAMCBc8","properties":{"formattedCitation":"\\super 5\\nosupersub{}","plainCitation":"5","noteIndex":0},"citationItems":[{"id":381,"uris":["http://zotero.org/users/2016235/items/RAAGMUEB"],"itemData":{"id":381,"type":"article-journal","abstract":"We have developed a measure of subjective health status (quality of life) for patients with inflammatory bowel disease (IBD). Ninety-seven patients with IBD described problems they had experienced as a result of the disease; the 32 most frequent and important items were included in the Inflammatory Bowel Disease Questionnaire (IBDQ). Sixty-one IBD patients were evaluated twice. One month separated the evaluations, at which disease activity indices, the IBDQ, and a number of other questionnaires were administered. Reproducibility studies in 19 stable patients showed improvement in scores, but also a small within-person standard deviation. Responsiveness studies revealed large changes in scores in patients who had improved or deteriorated and suggested that the IBDQ was more responsive than a general health status measure. Responsiveness appeared greater in patients with ulcerative colitis than in those with Crohn's disease. Predicted and observed correlations between changes in IBDQ score and changes in other measures were similar. We conclude that although further testing is required, particularly in examining the relation between changes in the IBDQ and changes in the activity of Crohn's disease, the IBDQ shows promise as a measure of health status for clinical trials in IBD.","container-title":"Gastroenterology","ISSN":"0016-5085","issue":"3","journalAbbreviation":"Gastroenterology","language":"eng","note":"PMID: 2644154","page":"804-810","source":"PubMed","title":"A new measure of health status for clinical trials in inflammatory bowel disease","volume":"96","author":[{"family":"Guyatt","given":"G."},{"family":"Mitchell","given":"A."},{"family":"Irvine","given":"E. J."},{"family":"Singer","given":"J."},{"family":"Williams","given":"N."},{"family":"Goodacre","given":"R."},{"family":"Tompkins","given":"C."}],"issued":{"date-parts":[["1989",3]]}}}],"schema":"https://github.com/citation-style-language/schema/raw/master/csl-citation.json"} </w:instrText>
      </w:r>
      <w:r w:rsidR="00E25D58">
        <w:rPr>
          <w:color w:val="000000" w:themeColor="text1"/>
        </w:rPr>
        <w:fldChar w:fldCharType="separate"/>
      </w:r>
      <w:r w:rsidR="00E25D58" w:rsidRPr="00E25D58">
        <w:rPr>
          <w:rFonts w:ascii="Calibri" w:cs="Calibri"/>
          <w:color w:val="000000"/>
          <w:vertAlign w:val="superscript"/>
        </w:rPr>
        <w:t>5</w:t>
      </w:r>
      <w:r w:rsidR="00E25D58">
        <w:rPr>
          <w:color w:val="000000" w:themeColor="text1"/>
        </w:rPr>
        <w:fldChar w:fldCharType="end"/>
      </w:r>
      <w:r w:rsidR="003254CA">
        <w:rPr>
          <w:color w:val="000000" w:themeColor="text1"/>
        </w:rPr>
        <w:t xml:space="preserve"> that </w:t>
      </w:r>
      <w:r w:rsidR="00AE1B39">
        <w:rPr>
          <w:color w:val="000000" w:themeColor="text1"/>
        </w:rPr>
        <w:t>focus on</w:t>
      </w:r>
      <w:r w:rsidR="00C327FA">
        <w:rPr>
          <w:color w:val="000000" w:themeColor="text1"/>
        </w:rPr>
        <w:t>ly on</w:t>
      </w:r>
      <w:r w:rsidR="00AE1B39">
        <w:rPr>
          <w:color w:val="000000" w:themeColor="text1"/>
        </w:rPr>
        <w:t xml:space="preserve"> </w:t>
      </w:r>
      <w:r w:rsidR="003254CA">
        <w:rPr>
          <w:color w:val="000000" w:themeColor="text1"/>
        </w:rPr>
        <w:t xml:space="preserve">physical, psychological and social impacts of disease. </w:t>
      </w:r>
      <w:r w:rsidR="00BC6E4D">
        <w:rPr>
          <w:color w:val="000000" w:themeColor="text1"/>
        </w:rPr>
        <w:t>Our</w:t>
      </w:r>
      <w:r>
        <w:rPr>
          <w:color w:val="000000" w:themeColor="text1"/>
        </w:rPr>
        <w:t xml:space="preserve"> findings </w:t>
      </w:r>
      <w:r w:rsidR="009711F6" w:rsidRPr="00C841A3">
        <w:rPr>
          <w:color w:val="000000" w:themeColor="text1"/>
        </w:rPr>
        <w:t>lend credibility to the notion that</w:t>
      </w:r>
      <w:r w:rsidR="002D71D8">
        <w:rPr>
          <w:color w:val="000000" w:themeColor="text1"/>
        </w:rPr>
        <w:t xml:space="preserve"> patient</w:t>
      </w:r>
      <w:r w:rsidR="009711F6" w:rsidRPr="00C841A3">
        <w:rPr>
          <w:color w:val="000000" w:themeColor="text1"/>
        </w:rPr>
        <w:t>-perceived disease control</w:t>
      </w:r>
      <w:r w:rsidR="00EB1843">
        <w:rPr>
          <w:color w:val="000000" w:themeColor="text1"/>
        </w:rPr>
        <w:t xml:space="preserve"> </w:t>
      </w:r>
      <w:r w:rsidR="0060766F" w:rsidRPr="00C841A3">
        <w:rPr>
          <w:color w:val="000000" w:themeColor="text1"/>
        </w:rPr>
        <w:t xml:space="preserve">is a </w:t>
      </w:r>
      <w:r w:rsidR="00756082">
        <w:rPr>
          <w:color w:val="000000" w:themeColor="text1"/>
        </w:rPr>
        <w:t>measurable</w:t>
      </w:r>
      <w:r w:rsidR="0060766F" w:rsidRPr="00C841A3">
        <w:rPr>
          <w:color w:val="000000" w:themeColor="text1"/>
        </w:rPr>
        <w:t xml:space="preserve"> construct</w:t>
      </w:r>
      <w:r w:rsidR="00646EA2">
        <w:rPr>
          <w:color w:val="000000" w:themeColor="text1"/>
        </w:rPr>
        <w:t xml:space="preserve"> </w:t>
      </w:r>
      <w:r w:rsidR="00934204" w:rsidRPr="00C841A3">
        <w:rPr>
          <w:color w:val="000000" w:themeColor="text1"/>
        </w:rPr>
        <w:t>encompass</w:t>
      </w:r>
      <w:r w:rsidR="005B2FEA">
        <w:rPr>
          <w:color w:val="000000" w:themeColor="text1"/>
        </w:rPr>
        <w:t>ing</w:t>
      </w:r>
      <w:r w:rsidR="00934204" w:rsidRPr="00C841A3">
        <w:rPr>
          <w:color w:val="000000" w:themeColor="text1"/>
        </w:rPr>
        <w:t xml:space="preserve"> more than</w:t>
      </w:r>
      <w:r w:rsidR="001729D6">
        <w:rPr>
          <w:color w:val="000000" w:themeColor="text1"/>
        </w:rPr>
        <w:t xml:space="preserve"> </w:t>
      </w:r>
      <w:r w:rsidR="00934204" w:rsidRPr="00C841A3">
        <w:rPr>
          <w:color w:val="000000" w:themeColor="text1"/>
        </w:rPr>
        <w:t xml:space="preserve">traditional </w:t>
      </w:r>
      <w:r>
        <w:rPr>
          <w:color w:val="000000" w:themeColor="text1"/>
        </w:rPr>
        <w:t xml:space="preserve">HRQoL </w:t>
      </w:r>
      <w:r w:rsidR="0024425F" w:rsidRPr="00C841A3">
        <w:rPr>
          <w:color w:val="000000" w:themeColor="text1"/>
        </w:rPr>
        <w:t>domains</w:t>
      </w:r>
      <w:r w:rsidR="00646EA2">
        <w:rPr>
          <w:color w:val="000000" w:themeColor="text1"/>
        </w:rPr>
        <w:t>.</w:t>
      </w:r>
      <w:r w:rsidR="002D71D8">
        <w:rPr>
          <w:color w:val="000000" w:themeColor="text1"/>
        </w:rPr>
        <w:t xml:space="preserve"> </w:t>
      </w:r>
      <w:r w:rsidR="00646EA2">
        <w:rPr>
          <w:color w:val="000000" w:themeColor="text1"/>
        </w:rPr>
        <w:t>F</w:t>
      </w:r>
      <w:r w:rsidR="002D71D8">
        <w:rPr>
          <w:color w:val="000000" w:themeColor="text1"/>
        </w:rPr>
        <w:t>eelings about treatment efficacy</w:t>
      </w:r>
      <w:r w:rsidR="00646EA2">
        <w:rPr>
          <w:color w:val="000000" w:themeColor="text1"/>
        </w:rPr>
        <w:t xml:space="preserve"> and tolerability</w:t>
      </w:r>
      <w:r w:rsidR="002D71D8">
        <w:rPr>
          <w:color w:val="000000" w:themeColor="text1"/>
        </w:rPr>
        <w:t xml:space="preserve"> contribut</w:t>
      </w:r>
      <w:r w:rsidR="00646EA2">
        <w:rPr>
          <w:color w:val="000000" w:themeColor="text1"/>
        </w:rPr>
        <w:t>e</w:t>
      </w:r>
      <w:r w:rsidR="002D71D8">
        <w:rPr>
          <w:color w:val="000000" w:themeColor="text1"/>
        </w:rPr>
        <w:t xml:space="preserve"> to </w:t>
      </w:r>
      <w:r w:rsidR="006E5447">
        <w:rPr>
          <w:color w:val="000000" w:themeColor="text1"/>
        </w:rPr>
        <w:t xml:space="preserve">a </w:t>
      </w:r>
      <w:r w:rsidR="002D71D8">
        <w:rPr>
          <w:color w:val="000000" w:themeColor="text1"/>
        </w:rPr>
        <w:t xml:space="preserve">patient’s sense of </w:t>
      </w:r>
      <w:r w:rsidR="00646EA2">
        <w:rPr>
          <w:color w:val="000000" w:themeColor="text1"/>
        </w:rPr>
        <w:t xml:space="preserve">disease </w:t>
      </w:r>
      <w:r w:rsidR="002D71D8">
        <w:rPr>
          <w:color w:val="000000" w:themeColor="text1"/>
        </w:rPr>
        <w:t>control.</w:t>
      </w:r>
      <w:r w:rsidR="006E5447">
        <w:rPr>
          <w:color w:val="000000" w:themeColor="text1"/>
        </w:rPr>
        <w:fldChar w:fldCharType="begin"/>
      </w:r>
      <w:r w:rsidR="006E5447">
        <w:rPr>
          <w:color w:val="000000" w:themeColor="text1"/>
        </w:rPr>
        <w:instrText xml:space="preserve"> ADDIN ZOTERO_ITEM CSL_CITATION {"citationID":"uyDAp4Bb","properties":{"formattedCitation":"\\super 8\\nosupersub{}","plainCitation":"8","noteIndex":0},"citationItems":[{"id":154,"uris":["http://zotero.org/users/2016235/items/6SBF99P6"],"itemData":{"id":154,"type":"article-journal","abstract":"INTRODUCTION: The use of patient reported outcome measures to support routine inflammatory bowel disease (IBD) care is not widespread and suggests that existing questionnaires lack relevance to day-to-day decisions or are too cumbersome to administer. We developed a simple, generic tool for capturing disease control from the patient's perspective to address these barriers.\nMETHODS: Development based on literature review, patient focus groups/interviews and a steering group, defining a limited set of generic questions. The 'IBD-Control' questionnaire comprises 13 items plus a visual analogue scale (VAS) (0-100). Prospective validation involved baseline completion of IBD-Control, quality of life (QoL) questionnaire (UK-IBD-Q), EuroQol (EQ-5D), Hospital Anxiety and Depression Score; and clinician assessment (blinded to questionnaire; recording Harvey-Bradshaw Index or Simple Clinical Colitis Activity Index; Global Clinician Rating; treatment outcome).\nRESULTS: 299 patients returned baseline surveys (Crohn's disease, n=160; ulcerative colitis, n=139) and 138 attended for repeat visits. Completion time (mean; SD): 1 min 15 s; 25 s; Internal consistency: Cronbach's α for all 13 items (0.85); for subgroup of eight questions ('IBD-Control-8'; 0.86). Strong correlation between IBD-Control-8 and IBD-Control-VAS (r=0.81). Test-retest reliability (2 week repeat): intra-class correlation=0.97 for IBD-Control-8 and 0.96 for IBD-Control-VAS. Construct validity: Moderate-to-strong correlations between IBD-Control-8 and IBD-Control-VAS versus activity indices, UK-IBD-Q and EQ-5D (utility) with r values 0.52-0.86. Discriminant validity (mean instrument scores for remission, mild, moderate or severe): p&lt;0.001 (analysis of variance (ANOVA)). Sensitivity to change: Effect sizes: 0.76-1.44.\nCONCLUSIONS: The IBD-Control is a rapid, reliable, valid and sensitive instrument for measuring overall disease control from the patient's perspective. Unlike existing patient reported outcome measures, its simplicity, ease-of-use and generic applicability make it a candidate for supporting routine care.","container-title":"Gut","DOI":"10.1136/gutjnl-2013-305600","ISSN":"1468-3288","issue":"7","journalAbbreviation":"Gut","language":"eng","note":"PMID: 24107590 \nPMCID: PMC4078750","page":"1092-1102","source":"NCBI PubMed","title":"Development and validation of a rapid, generic measure of disease control from the patient's perspective: the IBD-control questionnaire","title-short":"Development and validation of a rapid, generic measure of disease control from the patient's perspective","volume":"63","author":[{"family":"Bodger","given":"Keith"},{"family":"Ormerod","given":"Clare"},{"family":"Shackcloth","given":"Daniela"},{"family":"Harrison","given":"Melanie"},{"literal":"IBD Control Collaborative"}],"issued":{"date-parts":[["2014",7]]}}}],"schema":"https://github.com/citation-style-language/schema/raw/master/csl-citation.json"} </w:instrText>
      </w:r>
      <w:r w:rsidR="006E5447">
        <w:rPr>
          <w:color w:val="000000" w:themeColor="text1"/>
        </w:rPr>
        <w:fldChar w:fldCharType="separate"/>
      </w:r>
      <w:r w:rsidR="006E5447" w:rsidRPr="006E5447">
        <w:rPr>
          <w:rFonts w:ascii="Calibri" w:cs="Calibri"/>
          <w:color w:val="000000"/>
          <w:vertAlign w:val="superscript"/>
        </w:rPr>
        <w:t>8</w:t>
      </w:r>
      <w:r w:rsidR="006E5447">
        <w:rPr>
          <w:color w:val="000000" w:themeColor="text1"/>
        </w:rPr>
        <w:fldChar w:fldCharType="end"/>
      </w:r>
    </w:p>
    <w:p w14:paraId="062F0998" w14:textId="74097198" w:rsidR="002D692A" w:rsidRDefault="000944BC" w:rsidP="00870CAD">
      <w:pPr>
        <w:jc w:val="both"/>
        <w:rPr>
          <w:color w:val="000000" w:themeColor="text1"/>
        </w:rPr>
      </w:pPr>
      <w:r w:rsidRPr="00C841A3">
        <w:rPr>
          <w:color w:val="000000" w:themeColor="text1"/>
        </w:rPr>
        <w:t>Despite the</w:t>
      </w:r>
      <w:r w:rsidR="006E5447">
        <w:rPr>
          <w:color w:val="000000" w:themeColor="text1"/>
        </w:rPr>
        <w:t xml:space="preserve"> emergence of</w:t>
      </w:r>
      <w:r w:rsidRPr="00C841A3">
        <w:rPr>
          <w:color w:val="000000" w:themeColor="text1"/>
        </w:rPr>
        <w:t xml:space="preserve"> </w:t>
      </w:r>
      <w:r w:rsidR="006E5447">
        <w:rPr>
          <w:color w:val="000000" w:themeColor="text1"/>
        </w:rPr>
        <w:t>“</w:t>
      </w:r>
      <w:r w:rsidRPr="00C841A3">
        <w:rPr>
          <w:color w:val="000000" w:themeColor="text1"/>
        </w:rPr>
        <w:t>treat-to-target</w:t>
      </w:r>
      <w:r w:rsidR="006E5447">
        <w:rPr>
          <w:color w:val="000000" w:themeColor="text1"/>
        </w:rPr>
        <w:t>”</w:t>
      </w:r>
      <w:r w:rsidR="00E25D58">
        <w:rPr>
          <w:color w:val="000000" w:themeColor="text1"/>
        </w:rPr>
        <w:fldChar w:fldCharType="begin"/>
      </w:r>
      <w:r w:rsidR="0032292F">
        <w:rPr>
          <w:color w:val="000000" w:themeColor="text1"/>
        </w:rPr>
        <w:instrText xml:space="preserve"> ADDIN ZOTERO_ITEM CSL_CITATION {"citationID":"vIpge2FI","properties":{"formattedCitation":"\\super 27\\nosupersub{}","plainCitation":"27","noteIndex":0},"citationItems":[{"id":3164,"uris":["http://zotero.org/users/2016235/items/5NNIK7V6"],"itemData":{"id":3164,"type":"article-journal","abstract":"BACKGROUND AND AIMS: Management of Crohn's disease and ulcerative colitis has typically relied upon treatment intensification driven by symptoms alone. However, a 'treat-to-target' management approach may help to address underlying inflammation, minimise disease activity at early stages of inflammatory bowel disease, limit progression, and improve long-term outcomes.\nMETHODS: A systematic literature review was conducted to identify data relevant to a treat-to-target approach in inflammatory bowel disease, published between January 1, 2007 and May 15, 2017.\nRESULTS: Consistent with recommendations of the Selecting Therapeutic Targets in Inflammatory Bowel Disease [STRIDE] working group, studies have investigated factors influencing the achievement of both endoscopic and histological mucosal healing and patient-level outcomes in inflammatory bowel disease [IBD]. Histological healing and biomarker levels have also been shown to be modifiable outcomes. Although there is a lack of prospectively derived evidence validating mucosal healing as a treatment target, data are emerging to suggest that targeting mucosal healing or inflammation rather than symptoms may be cost-effective in some settings. The review highlighted several strategies that may support the implementation of a treat-to-target approach in IBD. The prospective randomised CALM study demonstrated how tight control [whereby treatment decisions are based on close monitoring of inflammatory biomarkers] leads to improvements in endoscopic and clinical outcomes. The review also considered the influence of coordinated care from a multidisciplinary team and patient engagement with improved adherence, as well as the role of therapeutic drug monitoring in inflammatory bowel disease management.\nCONCLUSIONS: A treat-to-target strategy may impact on disease progression and improve outcomes in inflammatory bowel disease. Prospective studies including long-term data are required to ensure that the most appropriate targets and strategies are identified.","container-title":"Journal of Crohn's &amp; Colitis","DOI":"10.1093/ecco-jcc/jjz131","ISSN":"1876-4479","issue":"2","journalAbbreviation":"J Crohns Colitis","language":"eng","note":"PMID: 31403666\nPMCID: PMC7008150","page":"254-266","source":"PubMed","title":"Outcomes and Strategies to Support a Treat-to-target Approach in Inflammatory Bowel Disease: A Systematic Review","title-short":"Outcomes and Strategies to Support a Treat-to-target Approach in Inflammatory Bowel Disease","volume":"14","author":[{"family":"Colombel","given":"Jean-Frédéric"},{"family":"D'haens","given":"Geert"},{"family":"Lee","given":"Wan-Ju"},{"family":"Petersson","given":"Joel"},{"family":"Panaccione","given":"Remo"}],"issued":{"date-parts":[["2020",2,10]]}}}],"schema":"https://github.com/citation-style-language/schema/raw/master/csl-citation.json"} </w:instrText>
      </w:r>
      <w:r w:rsidR="00E25D58">
        <w:rPr>
          <w:color w:val="000000" w:themeColor="text1"/>
        </w:rPr>
        <w:fldChar w:fldCharType="separate"/>
      </w:r>
      <w:r w:rsidR="0032292F" w:rsidRPr="0032292F">
        <w:rPr>
          <w:rFonts w:ascii="Calibri" w:cs="Calibri"/>
          <w:color w:val="000000"/>
          <w:vertAlign w:val="superscript"/>
        </w:rPr>
        <w:t>27</w:t>
      </w:r>
      <w:r w:rsidR="00E25D58">
        <w:rPr>
          <w:color w:val="000000" w:themeColor="text1"/>
        </w:rPr>
        <w:fldChar w:fldCharType="end"/>
      </w:r>
      <w:r w:rsidRPr="00C841A3">
        <w:rPr>
          <w:color w:val="000000" w:themeColor="text1"/>
        </w:rPr>
        <w:t xml:space="preserve"> and </w:t>
      </w:r>
      <w:r w:rsidR="00935F9E">
        <w:rPr>
          <w:color w:val="000000" w:themeColor="text1"/>
        </w:rPr>
        <w:t xml:space="preserve">a </w:t>
      </w:r>
      <w:r w:rsidR="009635F2">
        <w:rPr>
          <w:color w:val="000000" w:themeColor="text1"/>
        </w:rPr>
        <w:t xml:space="preserve">rightful </w:t>
      </w:r>
      <w:r w:rsidRPr="00C841A3">
        <w:rPr>
          <w:color w:val="000000" w:themeColor="text1"/>
        </w:rPr>
        <w:t>emphasis on biochemical, endoscopic, histologic and radiologic measures of inflammatory activity, the case for patient-centred assessments remains</w:t>
      </w:r>
      <w:r w:rsidR="00C07444" w:rsidRPr="00C841A3">
        <w:rPr>
          <w:color w:val="000000" w:themeColor="text1"/>
        </w:rPr>
        <w:t xml:space="preserve"> stron</w:t>
      </w:r>
      <w:r w:rsidR="003B5337" w:rsidRPr="00C841A3">
        <w:rPr>
          <w:color w:val="000000" w:themeColor="text1"/>
        </w:rPr>
        <w:t>g.</w:t>
      </w:r>
      <w:r w:rsidR="00935F9E">
        <w:rPr>
          <w:color w:val="000000" w:themeColor="text1"/>
        </w:rPr>
        <w:fldChar w:fldCharType="begin"/>
      </w:r>
      <w:r w:rsidR="00935F9E">
        <w:rPr>
          <w:color w:val="000000" w:themeColor="text1"/>
        </w:rPr>
        <w:instrText xml:space="preserve"> ADDIN ZOTERO_ITEM CSL_CITATION {"citationID":"QQFh7jhp","properties":{"formattedCitation":"\\super 1\\nosupersub{}","plainCitation":"1","noteIndex":0},"citationItems":[{"id":566,"uris":["http://zotero.org/users/2016235/items/7H6BZG6I"],"itemData":{"id":566,"type":"article-journal","abstract":"Patient reported outcome measures [PROMs] are standardized, validated questionnaires intended for completion by patients in order to measure their perceptions of their own health condition or its treatment without interpretation of the patient's response by a clinician or anyone else. Mayo Clinic Score [MCS] or Crohn's Disease Activity Index [CDAI], most frequently used as end points in conventional clinical trials, are composite instruments that are not fully objective nor capture the impact of disease from the patient's perspective. They are difficult to apply to routine clinical practice because they are complex and time consuming. The European Medicines Agency and Food and Drug Administration are re-evaluating composite indices in clinical trials and product development guidelines. The ultimate goal is to support labelling claims to improve safety and effectiveness of medical products through PROMs allied to an objective measure of inflammation, as happens informally in clinical practice. PROMs, developed and validated according to rigorous criteria, are set to become a co-primary end point for clinical trials of therapy, together with objective measure[s] of inflammation. This will affect future trials' design and their results. To find a place in routine care, PROMs should be easy to use, acceptable to patients and healthcare teams, and able to demonstrate added value to normal practice, supporting decision-making at the level of individual patients. Ideally, the same PROMs should be used in clinical trials and practice, to avoid the current disconnect when interpreting the results of clinical trials and translating them into routine clinical practice.","container-title":"Journal of Crohn's &amp; Colitis","DOI":"10.1093/ecco-jcc/jjw187","ISSN":"1876-4479","issue":"suppl_2","journalAbbreviation":"J Crohns Colitis","language":"eng","note":"PMID: 27797917","page":"S576-S585","source":"PubMed","title":"Patient Reported Outcome Measures (PROMs) in Inflammatory Bowel Disease: New Data","title-short":"Patient Reported Outcome Measures (PROMs) in Inflammatory Bowel Disease","volume":"11","author":[{"family":"Bojic","given":"Daniela"},{"family":"Bodger","given":"Keith"},{"family":"Travis","given":"Simon"}],"issued":{"date-parts":[["2017",3,1]]}}}],"schema":"https://github.com/citation-style-language/schema/raw/master/csl-citation.json"} </w:instrText>
      </w:r>
      <w:r w:rsidR="00935F9E">
        <w:rPr>
          <w:color w:val="000000" w:themeColor="text1"/>
        </w:rPr>
        <w:fldChar w:fldCharType="separate"/>
      </w:r>
      <w:r w:rsidR="00935F9E" w:rsidRPr="00935F9E">
        <w:rPr>
          <w:rFonts w:ascii="Calibri" w:cs="Calibri"/>
          <w:color w:val="000000"/>
          <w:vertAlign w:val="superscript"/>
        </w:rPr>
        <w:t>1</w:t>
      </w:r>
      <w:r w:rsidR="00935F9E">
        <w:rPr>
          <w:color w:val="000000" w:themeColor="text1"/>
        </w:rPr>
        <w:fldChar w:fldCharType="end"/>
      </w:r>
      <w:r w:rsidR="002A3651">
        <w:rPr>
          <w:color w:val="000000" w:themeColor="text1"/>
        </w:rPr>
        <w:t xml:space="preserve"> </w:t>
      </w:r>
      <w:r w:rsidR="003B5337">
        <w:rPr>
          <w:color w:val="000000" w:themeColor="text1"/>
        </w:rPr>
        <w:t>The lived experience of patients with IBD is not solely driven by extent or severity of inflammation</w:t>
      </w:r>
      <w:r w:rsidR="00646EA2">
        <w:rPr>
          <w:color w:val="000000" w:themeColor="text1"/>
        </w:rPr>
        <w:t xml:space="preserve">, nor is holistic management confined to </w:t>
      </w:r>
      <w:r w:rsidR="002A0949">
        <w:rPr>
          <w:color w:val="000000" w:themeColor="text1"/>
        </w:rPr>
        <w:t xml:space="preserve">decisions about </w:t>
      </w:r>
      <w:r w:rsidR="002A3651">
        <w:rPr>
          <w:color w:val="000000" w:themeColor="text1"/>
        </w:rPr>
        <w:t xml:space="preserve">anti-inflammatory </w:t>
      </w:r>
      <w:r w:rsidR="002A0949">
        <w:rPr>
          <w:color w:val="000000" w:themeColor="text1"/>
        </w:rPr>
        <w:t xml:space="preserve">drug treatment. </w:t>
      </w:r>
      <w:r w:rsidR="006E5447">
        <w:rPr>
          <w:color w:val="000000" w:themeColor="text1"/>
        </w:rPr>
        <w:t xml:space="preserve">IBD-Control </w:t>
      </w:r>
      <w:r w:rsidR="003F5545">
        <w:rPr>
          <w:color w:val="000000" w:themeColor="text1"/>
        </w:rPr>
        <w:t>was not developed to s</w:t>
      </w:r>
      <w:r w:rsidR="00D069E3">
        <w:rPr>
          <w:color w:val="000000" w:themeColor="text1"/>
        </w:rPr>
        <w:t xml:space="preserve">atisfy the stringencies proposed by </w:t>
      </w:r>
      <w:r w:rsidR="00646EA2">
        <w:rPr>
          <w:color w:val="000000" w:themeColor="text1"/>
        </w:rPr>
        <w:t xml:space="preserve">regulatory agencies </w:t>
      </w:r>
      <w:r w:rsidR="002A3651">
        <w:rPr>
          <w:color w:val="000000" w:themeColor="text1"/>
        </w:rPr>
        <w:t>to</w:t>
      </w:r>
      <w:r w:rsidR="00910408">
        <w:rPr>
          <w:color w:val="000000" w:themeColor="text1"/>
        </w:rPr>
        <w:t xml:space="preserve"> serve as an outcome measure for c</w:t>
      </w:r>
      <w:r w:rsidR="00D069E3">
        <w:rPr>
          <w:color w:val="000000" w:themeColor="text1"/>
        </w:rPr>
        <w:t>linical trials underpin</w:t>
      </w:r>
      <w:r w:rsidR="00910408">
        <w:rPr>
          <w:color w:val="000000" w:themeColor="text1"/>
        </w:rPr>
        <w:t xml:space="preserve">ning </w:t>
      </w:r>
      <w:r w:rsidR="002A3651">
        <w:rPr>
          <w:color w:val="000000" w:themeColor="text1"/>
        </w:rPr>
        <w:t xml:space="preserve">anti-inflammatory </w:t>
      </w:r>
      <w:r w:rsidR="00910408">
        <w:rPr>
          <w:color w:val="000000" w:themeColor="text1"/>
        </w:rPr>
        <w:t>drug</w:t>
      </w:r>
      <w:r w:rsidR="00D069E3">
        <w:rPr>
          <w:color w:val="000000" w:themeColor="text1"/>
        </w:rPr>
        <w:t xml:space="preserve"> labelling claims.</w:t>
      </w:r>
      <w:r w:rsidR="00DC05C7">
        <w:rPr>
          <w:color w:val="000000" w:themeColor="text1"/>
        </w:rPr>
        <w:fldChar w:fldCharType="begin"/>
      </w:r>
      <w:r w:rsidR="0032292F">
        <w:rPr>
          <w:color w:val="000000" w:themeColor="text1"/>
        </w:rPr>
        <w:instrText xml:space="preserve"> ADDIN ZOTERO_ITEM CSL_CITATION {"citationID":"ER5dbjjQ","properties":{"formattedCitation":"\\super 28\\nosupersub{}","plainCitation":"28","noteIndex":0},"citationItems":[{"id":271,"uris":["http://zotero.org/users/2016235/items/IV5CMSHS"],"itemData":{"id":271,"type":"article-journal","container-title":"Expert Review of Pharmacoeconomics &amp; Outcomes Research","DOI":"10.1586/14737167.2013.814957","ISSN":"1473-7167, 1744-8379","issue":"4","language":"en","page":"441-446","source":"CrossRef","title":"US FDA patient-reported outcome guidance: great expectations and unintended consequences","title-short":"US FDA patient-reported outcome guidance","volume":"13","author":[{"family":"Fehnel","given":"Sheri"},{"family":"DeMuro","given":"Carla"},{"family":"McLeod","given":"Lori"},{"family":"Coon","given":"Cheryl"},{"family":"Gnanasakthy","given":"Ari"}],"issued":{"date-parts":[["2013",8]]}}}],"schema":"https://github.com/citation-style-language/schema/raw/master/csl-citation.json"} </w:instrText>
      </w:r>
      <w:r w:rsidR="00DC05C7">
        <w:rPr>
          <w:color w:val="000000" w:themeColor="text1"/>
        </w:rPr>
        <w:fldChar w:fldCharType="separate"/>
      </w:r>
      <w:r w:rsidR="0032292F" w:rsidRPr="0032292F">
        <w:rPr>
          <w:rFonts w:ascii="Calibri" w:cs="Calibri"/>
          <w:color w:val="000000"/>
          <w:vertAlign w:val="superscript"/>
        </w:rPr>
        <w:t>28</w:t>
      </w:r>
      <w:r w:rsidR="00DC05C7">
        <w:rPr>
          <w:color w:val="000000" w:themeColor="text1"/>
        </w:rPr>
        <w:fldChar w:fldCharType="end"/>
      </w:r>
      <w:r w:rsidR="002A3651">
        <w:rPr>
          <w:color w:val="000000" w:themeColor="text1"/>
        </w:rPr>
        <w:t xml:space="preserve">  Instead, </w:t>
      </w:r>
      <w:r w:rsidR="006E5447">
        <w:rPr>
          <w:color w:val="000000" w:themeColor="text1"/>
        </w:rPr>
        <w:t>it</w:t>
      </w:r>
      <w:r w:rsidR="002A3651">
        <w:rPr>
          <w:color w:val="000000" w:themeColor="text1"/>
        </w:rPr>
        <w:t xml:space="preserve"> offers a simple summary score of patient-perceived health status </w:t>
      </w:r>
      <w:r w:rsidR="006E5447">
        <w:rPr>
          <w:color w:val="000000" w:themeColor="text1"/>
        </w:rPr>
        <w:t xml:space="preserve">and </w:t>
      </w:r>
      <w:r w:rsidR="002A3651">
        <w:rPr>
          <w:color w:val="000000" w:themeColor="text1"/>
        </w:rPr>
        <w:t>contain</w:t>
      </w:r>
      <w:r w:rsidR="006E5447">
        <w:rPr>
          <w:color w:val="000000" w:themeColor="text1"/>
        </w:rPr>
        <w:t>s</w:t>
      </w:r>
      <w:r w:rsidR="002A3651">
        <w:rPr>
          <w:color w:val="000000" w:themeColor="text1"/>
        </w:rPr>
        <w:t xml:space="preserve"> a validated set of screening questions to highlight concerns across physical, social, psychological and treatment domains to inform patient-centric consultations</w:t>
      </w:r>
      <w:r w:rsidR="00892987">
        <w:rPr>
          <w:color w:val="000000" w:themeColor="text1"/>
        </w:rPr>
        <w:t xml:space="preserve"> and help to quantify therapeutic deficit</w:t>
      </w:r>
      <w:r w:rsidR="002A3651">
        <w:rPr>
          <w:color w:val="000000" w:themeColor="text1"/>
        </w:rPr>
        <w:t>.</w:t>
      </w:r>
      <w:r w:rsidR="00C15BC6">
        <w:rPr>
          <w:color w:val="000000" w:themeColor="text1"/>
        </w:rPr>
        <w:fldChar w:fldCharType="begin"/>
      </w:r>
      <w:r w:rsidR="00C15BC6">
        <w:rPr>
          <w:color w:val="000000" w:themeColor="text1"/>
        </w:rPr>
        <w:instrText xml:space="preserve"> ADDIN ZOTERO_ITEM CSL_CITATION {"citationID":"v3D9lPK3","properties":{"formattedCitation":"\\super 13\\nosupersub{}","plainCitation":"13","noteIndex":0},"citationItems":[{"id":2408,"uris":["http://zotero.org/users/2016235/items/TMSR5GRF"],"itemData":{"id":2408,"type":"article-journal","abstract":"BACKGROUND: Patient reported outcome measures (PROMs) are key to documenting outcomes that matter most to patients and are increasingly important to commissioners of healthcare seeking value. We report the first series of the ICHOM Standard Set for Inflammatory Bowel Disease (IBD).\nMETHODS: Patients treated for ulcerative colitis (UC) or Crohn's disease (CD) in our centre were offered enrolment into the web-based TrueColours-IBD programme. Through this programme, email prompts linking to validated questionnaires were sent for symptoms, quality of life, and ICHOM IBD outcomes.\nRESULTS: The first 1,299 consecutive patients enrolled (779 UC, 520 CD) were studied with median 270 days of follow up (IQR 116-504). 671 (52%) were female, mean age 42 years (sd 16), mean BMI 26 (sd 5.3). 483 (37%) were using advanced therapies at registration. Median adherence to fortnightly quality of life reporting and quarterly outcomes was 100% [IQR48-100%] and 100% [IQR75-100%], respectively. In the previous 12 months, prednisolone use was reported by 229 (29%) patients with UC vs. 81 (16%) with CD, p&lt;0.001: 202 (16%) for &lt;3 months and 108 (8%) for &gt;3 months. 174 (13%) patients reported an IBD-related intervention and 80 (6%) reported an unplanned hospital admission. There were high rates of fatigue (50%) and mood disturbance (23%).\nCONCLUSION: Outcomes reported by patients illustrate the scale of the therapeutic deficit in current care. Proof of principle is demonstrated that PROM data can be collected continuously with little burden on healthcare professionals. This may become a metric for quality improvement programmes, or to compare outcomes.","container-title":"Journal of Crohn's &amp; Colitis","DOI":"10.1093/ecco-jcc/jjac099","ISSN":"1876-4479","journalAbbreviation":"J Crohns Colitis","language":"eng","note":"PMID: 35868223","page":"jjac099","source":"PubMed","title":"Patient Reported Outcomes: the ICHOM Standard Set for inflammatory bowel disease in real life practice helps quantify deficits in current care","title-short":"Patient Reported Outcomes","author":[{"family":"Wong","given":"Darren"},{"family":"Matini","given":"Lawrence"},{"family":"Kormilitzin","given":"Andrey"},{"family":"Kantschuster","given":"Ramona"},{"family":"Simadibrata","given":"Daniel Martin"},{"family":"Lyden","given":"Sara"},{"family":"Wilson","given":"Jean"},{"family":"Brain","given":"Oliver A."},{"family":"Palmer","given":"Rebecca"},{"family":"Ambrose","given":"Tim"},{"family":"Satsangi","given":"Jack"},{"family":"South","given":"Matthew"},{"family":"Geddes","given":"John"},{"family":"Bodger","given":"Keith"},{"family":"Travis","given":"Simon P. L."},{"family":"Walsh","given":"Alissa"}],"issued":{"date-parts":[["2022",7,22]]}}}],"schema":"https://github.com/citation-style-language/schema/raw/master/csl-citation.json"} </w:instrText>
      </w:r>
      <w:r w:rsidR="00C15BC6">
        <w:rPr>
          <w:color w:val="000000" w:themeColor="text1"/>
        </w:rPr>
        <w:fldChar w:fldCharType="separate"/>
      </w:r>
      <w:r w:rsidR="00C15BC6" w:rsidRPr="00C15BC6">
        <w:rPr>
          <w:rFonts w:ascii="Calibri" w:cs="Calibri"/>
          <w:color w:val="000000"/>
          <w:vertAlign w:val="superscript"/>
        </w:rPr>
        <w:t>13</w:t>
      </w:r>
      <w:r w:rsidR="00C15BC6">
        <w:rPr>
          <w:color w:val="000000" w:themeColor="text1"/>
        </w:rPr>
        <w:fldChar w:fldCharType="end"/>
      </w:r>
      <w:r w:rsidR="00910408">
        <w:rPr>
          <w:color w:val="000000" w:themeColor="text1"/>
        </w:rPr>
        <w:t xml:space="preserve"> </w:t>
      </w:r>
      <w:r w:rsidR="00892987">
        <w:rPr>
          <w:color w:val="000000" w:themeColor="text1"/>
        </w:rPr>
        <w:t xml:space="preserve">Our data provide reassurance of the stability of measurement properties across different </w:t>
      </w:r>
      <w:r w:rsidR="00005438">
        <w:rPr>
          <w:color w:val="000000" w:themeColor="text1"/>
        </w:rPr>
        <w:t xml:space="preserve">population </w:t>
      </w:r>
      <w:r w:rsidR="00892987">
        <w:rPr>
          <w:color w:val="000000" w:themeColor="text1"/>
        </w:rPr>
        <w:t xml:space="preserve">strata, </w:t>
      </w:r>
      <w:r w:rsidR="00005438">
        <w:rPr>
          <w:color w:val="000000" w:themeColor="text1"/>
        </w:rPr>
        <w:t xml:space="preserve">which is timely given the </w:t>
      </w:r>
      <w:r w:rsidR="00C27DB1">
        <w:rPr>
          <w:color w:val="000000" w:themeColor="text1"/>
        </w:rPr>
        <w:t>expan</w:t>
      </w:r>
      <w:r w:rsidR="00C15BC6">
        <w:rPr>
          <w:color w:val="000000" w:themeColor="text1"/>
        </w:rPr>
        <w:t>ding</w:t>
      </w:r>
      <w:r w:rsidR="00265D33">
        <w:rPr>
          <w:color w:val="000000" w:themeColor="text1"/>
        </w:rPr>
        <w:t xml:space="preserve"> routine</w:t>
      </w:r>
      <w:r w:rsidR="00C27DB1">
        <w:rPr>
          <w:color w:val="000000" w:themeColor="text1"/>
        </w:rPr>
        <w:t xml:space="preserve"> use of </w:t>
      </w:r>
      <w:r w:rsidR="00892987">
        <w:rPr>
          <w:color w:val="000000" w:themeColor="text1"/>
        </w:rPr>
        <w:t xml:space="preserve">IBD-Control </w:t>
      </w:r>
      <w:r w:rsidR="00C27DB1">
        <w:rPr>
          <w:color w:val="000000" w:themeColor="text1"/>
        </w:rPr>
        <w:t>within</w:t>
      </w:r>
      <w:r w:rsidR="00005438">
        <w:rPr>
          <w:color w:val="000000" w:themeColor="text1"/>
        </w:rPr>
        <w:t xml:space="preserve"> </w:t>
      </w:r>
      <w:r w:rsidR="00892987">
        <w:rPr>
          <w:color w:val="000000" w:themeColor="text1"/>
        </w:rPr>
        <w:t>‘apps’</w:t>
      </w:r>
      <w:r w:rsidR="00005438">
        <w:rPr>
          <w:color w:val="000000" w:themeColor="text1"/>
        </w:rPr>
        <w:t>,</w:t>
      </w:r>
      <w:r w:rsidR="00C27DB1">
        <w:rPr>
          <w:color w:val="000000" w:themeColor="text1"/>
        </w:rPr>
        <w:fldChar w:fldCharType="begin"/>
      </w:r>
      <w:r w:rsidR="0032292F">
        <w:rPr>
          <w:color w:val="000000" w:themeColor="text1"/>
        </w:rPr>
        <w:instrText xml:space="preserve"> ADDIN ZOTERO_ITEM CSL_CITATION {"citationID":"ORISTrk2","properties":{"formattedCitation":"\\super 29\\nosupersub{}","plainCitation":"29","noteIndex":0},"citationItems":[{"id":687,"uris":["http://zotero.org/users/2016235/items/E6HFPJCX"],"itemData":{"id":687,"type":"article-journal","abstract":"Electronic health (eHealth) data collection is increasingly used in many chronic illnesses, to track pattern of disease. eHealth systems have the potential to revolutionize care. Inflammatory bowel disease (IBD) is a paradigm for such an approach: this is a chronic disease that usually affects young and technologically literate patient population, who are motivated to be involved in their own care. A range of eHealth technologies are available for IBD. This review considers the strengths and weaknesses of 7 platforms that focus on patient-provider interaction. These have been developed in Denmark, United States, the Netherlands, and the United Kingdom, demonstrating an international interest in this form of technology and interaction. Not only do these technologies aim to improve care but they also have the potential to collect large amounts of information. Information includes demographics and patient reported outcomes (symptoms, quality of life), quality of care (steroid use, among other metrics) and outcomes such as hospitalization. These data could inform quality improvement programmes to improve their focus. eHealth technology is also open to machine learning to analyze large data sets, through which personalized algorithms may be developed.","container-title":"Intestinal Research","DOI":"10.5217/ir.2018.16.3.366","ISSN":"1598-9100","issue":"3","journalAbbreviation":"Intest Res","note":"PMID: 30090035\nPMCID: PMC6077306","page":"366-373","source":"PubMed Central","title":"What's app? Electronic health technology in inflammatory bowel disease","title-short":"What's app?","volume":"16","author":[{"family":"Walsh","given":"Alissa"},{"family":"Travis","given":"Simon"}],"issued":{"date-parts":[["2018",7]]}}}],"schema":"https://github.com/citation-style-language/schema/raw/master/csl-citation.json"} </w:instrText>
      </w:r>
      <w:r w:rsidR="00C27DB1">
        <w:rPr>
          <w:color w:val="000000" w:themeColor="text1"/>
        </w:rPr>
        <w:fldChar w:fldCharType="separate"/>
      </w:r>
      <w:r w:rsidR="0032292F" w:rsidRPr="0032292F">
        <w:rPr>
          <w:rFonts w:ascii="Calibri" w:cs="Calibri"/>
          <w:color w:val="000000"/>
          <w:vertAlign w:val="superscript"/>
        </w:rPr>
        <w:t>29</w:t>
      </w:r>
      <w:r w:rsidR="00C27DB1">
        <w:rPr>
          <w:color w:val="000000" w:themeColor="text1"/>
        </w:rPr>
        <w:fldChar w:fldCharType="end"/>
      </w:r>
      <w:r w:rsidR="00892987">
        <w:rPr>
          <w:color w:val="000000" w:themeColor="text1"/>
        </w:rPr>
        <w:t xml:space="preserve"> patient portals</w:t>
      </w:r>
      <w:r w:rsidR="001234B6">
        <w:rPr>
          <w:color w:val="000000" w:themeColor="text1"/>
        </w:rPr>
        <w:t>, quality improvement initiatives</w:t>
      </w:r>
      <w:r w:rsidR="005D3943">
        <w:rPr>
          <w:color w:val="000000" w:themeColor="text1"/>
        </w:rPr>
        <w:fldChar w:fldCharType="begin"/>
      </w:r>
      <w:r w:rsidR="005D3943">
        <w:rPr>
          <w:color w:val="000000" w:themeColor="text1"/>
        </w:rPr>
        <w:instrText xml:space="preserve"> ADDIN ZOTERO_ITEM CSL_CITATION {"citationID":"FZuaJ1Q3","properties":{"formattedCitation":"\\super 13\\nosupersub{}","plainCitation":"13","noteIndex":0},"citationItems":[{"id":2408,"uris":["http://zotero.org/users/2016235/items/TMSR5GRF"],"itemData":{"id":2408,"type":"article-journal","abstract":"BACKGROUND: Patient reported outcome measures (PROMs) are key to documenting outcomes that matter most to patients and are increasingly important to commissioners of healthcare seeking value. We report the first series of the ICHOM Standard Set for Inflammatory Bowel Disease (IBD).\nMETHODS: Patients treated for ulcerative colitis (UC) or Crohn's disease (CD) in our centre were offered enrolment into the web-based TrueColours-IBD programme. Through this programme, email prompts linking to validated questionnaires were sent for symptoms, quality of life, and ICHOM IBD outcomes.\nRESULTS: The first 1,299 consecutive patients enrolled (779 UC, 520 CD) were studied with median 270 days of follow up (IQR 116-504). 671 (52%) were female, mean age 42 years (sd 16), mean BMI 26 (sd 5.3). 483 (37%) were using advanced therapies at registration. Median adherence to fortnightly quality of life reporting and quarterly outcomes was 100% [IQR48-100%] and 100% [IQR75-100%], respectively. In the previous 12 months, prednisolone use was reported by 229 (29%) patients with UC vs. 81 (16%) with CD, p&lt;0.001: 202 (16%) for &lt;3 months and 108 (8%) for &gt;3 months. 174 (13%) patients reported an IBD-related intervention and 80 (6%) reported an unplanned hospital admission. There were high rates of fatigue (50%) and mood disturbance (23%).\nCONCLUSION: Outcomes reported by patients illustrate the scale of the therapeutic deficit in current care. Proof of principle is demonstrated that PROM data can be collected continuously with little burden on healthcare professionals. This may become a metric for quality improvement programmes, or to compare outcomes.","container-title":"Journal of Crohn's &amp; Colitis","DOI":"10.1093/ecco-jcc/jjac099","ISSN":"1876-4479","journalAbbreviation":"J Crohns Colitis","language":"eng","note":"PMID: 35868223","page":"jjac099","source":"PubMed","title":"Patient Reported Outcomes: the ICHOM Standard Set for inflammatory bowel disease in real life practice helps quantify deficits in current care","title-short":"Patient Reported Outcomes","author":[{"family":"Wong","given":"Darren"},{"family":"Matini","given":"Lawrence"},{"family":"Kormilitzin","given":"Andrey"},{"family":"Kantschuster","given":"Ramona"},{"family":"Simadibrata","given":"Daniel Martin"},{"family":"Lyden","given":"Sara"},{"family":"Wilson","given":"Jean"},{"family":"Brain","given":"Oliver A."},{"family":"Palmer","given":"Rebecca"},{"family":"Ambrose","given":"Tim"},{"family":"Satsangi","given":"Jack"},{"family":"South","given":"Matthew"},{"family":"Geddes","given":"John"},{"family":"Bodger","given":"Keith"},{"family":"Travis","given":"Simon P. L."},{"family":"Walsh","given":"Alissa"}],"issued":{"date-parts":[["2022",7,22]]}}}],"schema":"https://github.com/citation-style-language/schema/raw/master/csl-citation.json"} </w:instrText>
      </w:r>
      <w:r w:rsidR="005D3943">
        <w:rPr>
          <w:color w:val="000000" w:themeColor="text1"/>
        </w:rPr>
        <w:fldChar w:fldCharType="separate"/>
      </w:r>
      <w:r w:rsidR="005D3943" w:rsidRPr="005D3943">
        <w:rPr>
          <w:rFonts w:ascii="Calibri" w:cs="Calibri"/>
          <w:color w:val="000000"/>
          <w:vertAlign w:val="superscript"/>
        </w:rPr>
        <w:t>13</w:t>
      </w:r>
      <w:r w:rsidR="005D3943">
        <w:rPr>
          <w:color w:val="000000" w:themeColor="text1"/>
        </w:rPr>
        <w:fldChar w:fldCharType="end"/>
      </w:r>
      <w:r w:rsidR="005D3943">
        <w:rPr>
          <w:color w:val="000000" w:themeColor="text1"/>
        </w:rPr>
        <w:t>,</w:t>
      </w:r>
      <w:r w:rsidR="00005438">
        <w:rPr>
          <w:color w:val="000000" w:themeColor="text1"/>
        </w:rPr>
        <w:t xml:space="preserve"> registrie</w:t>
      </w:r>
      <w:r w:rsidR="005D3943">
        <w:rPr>
          <w:color w:val="000000" w:themeColor="text1"/>
        </w:rPr>
        <w:t>s</w:t>
      </w:r>
      <w:r w:rsidR="005D3943">
        <w:rPr>
          <w:color w:val="000000" w:themeColor="text1"/>
        </w:rPr>
        <w:fldChar w:fldCharType="begin"/>
      </w:r>
      <w:r w:rsidR="005D3943">
        <w:rPr>
          <w:color w:val="000000" w:themeColor="text1"/>
        </w:rPr>
        <w:instrText xml:space="preserve"> ADDIN ZOTERO_ITEM CSL_CITATION {"citationID":"2Qdyozr4","properties":{"unsorted":true,"formattedCitation":"\\super 15,9,12\\nosupersub{}","plainCitation":"15,9,12","noteIndex":0},"citationItems":[{"id":698,"uris":["http://zotero.org/users/2016235/items/F586NPXG"],"itemData":{"id":698,"type":"post-weblog","container-title":"IBD Registry","language":"en-GB","note":"source: ibdregistry.org.uk","title":"Data Submission Framework","URL":"https://ibdregistry.org.uk/data-submission-framework/","accessed":{"date-parts":[["2020",3,15]]}}},{"id":2126,"uris":["http://zotero.org/users/2016235/items/7AEU9Z9D"],"itemData":{"id":2126,"type":"article-journal","abstract":"BACKGROUND: There is a need for easy-to-use patient-reported outcome measures (PROMS) in inflammatory bowel disease (IBD) practice. The 'IBD-control' is a short IBD-specific questionnaire capturing disease control from the patient's perspective. The International Consortium for Health Outcomes Measurement (ICHOM) recommends the use of the IBD-control even though it has only been validated in the United Kingdom. We aimed to cross-culturally translate and validate the IBD-control in the Netherlands using IBDREAM, a prospective multicentre IBD registry.\nMETHODS: Lack of ambiguity and acceptability were verified in a pilot patient group (n = 5) after forward-backward translation of the IBD-control. Prospective validation involved completion of the IBD-control, Short Form-36, short IBDQ and disease activity measurement by Physician Global Assessment (PGA) and Simple Clinical Colitis Activity Index or Harvey-Bradshaw Index. Test-retest (2-week repeat) was used for measuring reliability.\nRESULTS: Questionnaires were completed by 998 IBD patients (674 Crohn's disease, 324 ulcerative colitis). Internal consistency (Cronbach's alpha) was 0.82 for the sub-group of 8 questions (IBD-control-8-sub-score). Mean completion time was 105 s. Construct validity analyses demonstrated moderate-to-strong correlations of the IBD-control-8-subscore and the other instruments (0.49-0.81). Test-retest reliability for stable patients was high (intraclass correlation coefficient 0.95). The IBD-control-8-subscore showed good discriminant ability between the PGA categories (ANOVA, p&lt;.001). Sensitivity to change analyses showed large effect sizes of 0.81-1.87 for the IBD-control-8 subscore.\nCONCLUSIONS: These results support the IBD-control as a rapid, reliable, valid and sensitive instrument for measuring disease control from an IBD patient's perspective in the Netherlands.","container-title":"Scandinavian Journal of Gastroenterology","DOI":"10.1080/00365521.2020.1857430","ISSN":"1502-7708","issue":"2","journalAbbreviation":"Scand J Gastroenterol","language":"eng","note":"PMID: 33300822","page":"155-161","source":"PubMed","title":"Cross-cultural translation and validation of the IBD-control questionnaire in The Netherlands: a patient-reported outcome measure in inflammatory bowel disease","title-short":"Cross-cultural translation and validation of the IBD-control questionnaire in The Netherlands","volume":"56","author":[{"family":"Jong","given":"Michiel E.","non-dropping-particle":"de"},{"family":"Taal","given":"Erik"},{"family":"Thomas","given":"Pepijn W. A."},{"family":"Römkens","given":"Tessa E. H."},{"family":"Jansen","given":"Jeroen M."},{"family":"West","given":"Rachel L."},{"family":"Slotman","given":"Ellen"},{"family":"Hoentjen","given":"Frank"},{"family":"Russel","given":"Maurice G. V. M."}],"issued":{"date-parts":[["2021",2]]}}},{"id":2161,"uris":["http://zotero.org/users/2016235/items/H6F67ALP"],"itemData":{"id":2161,"type":"article-journal","container-title":"Health and Quality of Life Outcomes","title":"Implementing electronic patient reported outcome measures in inflammatory bowel disease: Patient participation, score reliability and validity","author":[{"family":"Deutscher","given":"Daniel"},{"family":"Weil","given":"Clara"},{"family":"Chodic","given":"Gabriele"},{"family":"Tsukinovsky","given":"Sveta"},{"family":"Sommer","given":"Adi"},{"family":"Bodger","given":"Keith"},{"family":"Waterman","given":"Matti"},{"family":"Kariv","given":"Revital"}],"issued":{"date-parts":[["2023"]],"season":"In Press"}}}],"schema":"https://github.com/citation-style-language/schema/raw/master/csl-citation.json"} </w:instrText>
      </w:r>
      <w:r w:rsidR="005D3943">
        <w:rPr>
          <w:color w:val="000000" w:themeColor="text1"/>
        </w:rPr>
        <w:fldChar w:fldCharType="separate"/>
      </w:r>
      <w:r w:rsidR="005D3943" w:rsidRPr="005D3943">
        <w:rPr>
          <w:rFonts w:ascii="Calibri" w:cs="Calibri"/>
          <w:color w:val="000000"/>
          <w:vertAlign w:val="superscript"/>
        </w:rPr>
        <w:t>15,9,12</w:t>
      </w:r>
      <w:r w:rsidR="005D3943">
        <w:rPr>
          <w:color w:val="000000" w:themeColor="text1"/>
        </w:rPr>
        <w:fldChar w:fldCharType="end"/>
      </w:r>
      <w:r w:rsidR="005D3943">
        <w:rPr>
          <w:color w:val="000000" w:themeColor="text1"/>
        </w:rPr>
        <w:t xml:space="preserve"> and research.</w:t>
      </w:r>
      <w:r w:rsidR="005D3943">
        <w:rPr>
          <w:color w:val="000000" w:themeColor="text1"/>
        </w:rPr>
        <w:fldChar w:fldCharType="begin"/>
      </w:r>
      <w:r w:rsidR="005D3943">
        <w:rPr>
          <w:color w:val="000000" w:themeColor="text1"/>
        </w:rPr>
        <w:instrText xml:space="preserve"> ADDIN ZOTERO_ITEM CSL_CITATION {"citationID":"ZRwAuBXH","properties":{"formattedCitation":"\\super 2,16\\uc0\\u8211{}19\\nosupersub{}","plainCitation":"2,16–19","noteIndex":0},"citationItems":[{"id":2298,"uris":["http://zotero.org/users/2016235/items/ADDDULEG"],"itemData":{"id":2298,"type":"article-journal","abstract":"The measurement of outcomes is key in evaluating healthcare or research interventions in inﬂammatory bowel disease (IBD). In patient-centred care, patient-reported outcome measures (PROMs) are central to this evaluation. In this review, we provide an overview of validated, adult disease-speciﬁc PROMs developed for use in IBD. Our aim is to assist clinicians and researchers in selection of PROMs to measure outcomes in their patient cohort. The Consensus-based Standards for the Selection of Health Measurement Instruments database of systematic reviews was the primary resource used to identify PROMs used in IBD. Search terms were ‘Crohn’s disease’, ‘ulcerative colitis’, and ‘IBD’. Seven systematic reviews were identiﬁed from this search. In addition, the publication by the IBD Core Outcome Set Working Group was used to identify further PROMs. Three systematic reviews were excluded as they did not meet the inclusion criteria. From the ﬁve included systematic reviews, we identiﬁed 21 PROMs and their shortened versions. In conclusion, it does not appear that any one PROM is entirely suitable for both research and clinical practice. Overall, the IBDQ-32 is most widely used in research but has the limitation of cost, whereas the IBD-Control has been recommended in the clinical core outcome set.","container-title":"Gastroenterology Insights","DOI":"10.3390/gastroent12020020","ISSN":"2036-7422","issue":"2","journalAbbreviation":"Gastroenterology Insights","language":"en","page":"225-237","source":"DOI.org (Crossref)","title":"Patient-Reported Outcomes in Inflammatory Bowel Disease: A Measurement of Effect in Research and Clinical Care","title-short":"Patient-Reported Outcomes in Inflammatory Bowel Disease","volume":"12","author":[{"family":"Fletcher","given":"Jane"},{"family":"Cooper","given":"Sheldon C."},{"family":"Swift","given":"Amelia"}],"issued":{"date-parts":[["2021",5,12]]}}},{"id":2337,"uris":["http://zotero.org/users/2016235/items/KXW67P8T"],"itemData":{"id":2337,"type":"article-journal","abstract":"BACKGROUND AND AIMS: Measuring quality of care [QoC] in inflammatory bowel diseases [IBD] has become increasingly important, yet complex assessment of QoC from the patients' perspective is rare. We evaluated perceived QoC using the Quality of Care Through the Patient's Eyes-IBD [QUOTE-IBD] questionnaire, and investigated associations between QoC, disease phenotype, work productivity, and health-related quality of life [HRQoL] in a high-volume IBD centre.\nMETHODS: Consecutive patients attending McGill University Health Centre [MUHC]-IBD Centre completed the QUOTE-IBD, Short Inflammatory Bowel Disease Questionnaire [SIBDQ], IBD-Control, and Work Productivity and Activity Impairment [WPAI] questionnaires. The QUOTE-IBD comprises 23 questions, each rated by a quality impact [QI] score. QI scores were calculated for the evaluation of IBD specialists, general practitioners [GPs], and hospital care.\nRESULTS: In all, 525 patients completed the questionnaire. Total QI scores for IBD specialists, GPs, and hospital care were 8.57, 8.70, and 8.33, respectively. The lowest QI scores were related to 'accessibility' for both IBD specialists and GPs. Female gender, current disease activity, poor HRQoL [SIBDQ score ≤50], and poor disease control [IBD-Control score &lt;13] were associated with lower mean QI scores [p &lt;0.001 for all]. Disease phenotype was not associated with QI scores in either Crohn's disease [CD] or ulcerative colitis [UC] [p = 0.69, p = 0.791, respectively]. An inverse correlation was found between total QI scores and work productivity loss [IBD specialist: p &lt;0.001; GP: p = 0.004].\nCONCLUSIONS: Overall patient satisfaction with QoC was good; however, improving patient accessibility to care is warranted. Disease phenotype was not associated with patient satisfaction, whereas female gender, current disease activity, HRQoL, and work productivity loss were associated with patients' quality assessment, underlining that perceived QoC could be partly subjective regarding disease control and quality of life.","container-title":"Journal of Crohn's &amp; Colitis","DOI":"10.1093/ecco-jcc/jjz035","ISSN":"1876-4479","issue":"9","journalAbbreviation":"J Crohns Colitis","language":"eng","note":"PMID: 30793162","page":"1138-1147","source":"PubMed","title":"Perceived Quality of Care is Associated with Disease Activity, Quality of Life, Work Productivity, and Gender, but not Disease Phenotype: A Prospective Study in a High-volume IBD Centre","title-short":"Perceived Quality of Care is Associated with Disease Activity, Quality of Life, Work Productivity, and Gender, but not Disease Phenotype","volume":"13","author":[{"family":"Gonczi","given":"Lorant"},{"family":"Kurti","given":"Zsuzsanna"},{"family":"Verdon","given":"Christine"},{"family":"Reinglas","given":"Jason"},{"family":"Kohen","given":"Rita"},{"family":"Morin","given":"Isabelle"},{"family":"Chavez","given":"Kelly"},{"family":"Bessissow","given":"Talat"},{"family":"Afif","given":"Waqqas"},{"family":"Wild","given":"Gary"},{"family":"Seidman","given":"Ernest"},{"family":"Bitton","given":"Alain"},{"family":"Lakatos","given":"Peter L."}],"issued":{"date-parts":[["2019",9,19]]}}},{"id":2326,"uris":["http://zotero.org/users/2016235/items/BZL2KFT3"],"itemData":{"id":2326,"type":"article-journal","abstract":"BACKGROUND: To learn from the crisis caused by the coronavirus disease (COVID-19) pandemic and be prepared for future pandemics, it is important to investigate the impact of this period on the wellbeing of patients with inflammatory bowel disease (IBD).\nAIMS: To describe the health-related quality of life (HRQoL) and disease control of IBD patients during the first wave of the COVID-19 pandemic in The Netherlands.\nMETHODS: Between March 17 and July 1, 2020, patients aged 18 years and older with IBD from the Erasmus MC (Rotterdam, The Netherlands) were invited to complete online questionnaires at week 0, 2, 6 and 12. The Inflammatory Bowel Disease Questionnaire (IBDQ), the Inflammatory Bowel Disease Control-8 (IBD-control-8) and the numeric rating scale on fatigue were used. The evolution of the different outcomes over time was measured using mixed models.\nRESULTS: Of 1151 invited patients, 851 patients (67% CD and 33% UC or IBD-U) participated in the study (response rate 74%). No relevant changes in total scores were found over time for the IBDQ (effect estimate 0.006, 95% CI [- 0.003 to 0.015]) and IBD-control-8 (effect estimate 0.004, 95% CI [0.998-1.011]). There was a slight, increasing trend in fatigue scores over time (effect estimate 0.011, 95% CI [0.004, 0.019]).\nCONCLUSIONS: This first lock down due to the COVID-19 pandemic in The Netherlands did not impact on the HRQoL and disease control of patients with IBD. Up to date information may have contributed to a stable HRQoL in IBD patients even in an extreme period with restrictions and insecurities.","container-title":"Digestive Diseases and Sciences","DOI":"10.1007/s10620-021-07118-8","ISSN":"1573-2568","journalAbbreviation":"Dig Dis Sci","language":"eng","note":"PMID: 34181168\nPMCID: PMC8237768","source":"PubMed","title":"Impact of the Coronavirus Disease Pandemic on Health-Related Quality of Life of Patients with Inflammatory Bowel Disease","author":[{"family":"Paulides","given":"Emma"},{"family":"Pasma","given":"Annelieke"},{"family":"Erler","given":"Nicole S."},{"family":"Eijk","given":"Rachel L. A.","non-dropping-particle":"van"},{"family":"Vries","given":"Annemarie C.","non-dropping-particle":"de"},{"family":"Woude","given":"C. Janneke","non-dropping-particle":"van der"}],"issued":{"date-parts":[["2021",6,28]]}}},{"id":2322,"uris":["http://zotero.org/users/2016235/items/9SCH26IC"],"itemData":{"id":2322,"type":"article-journal","abstract":"BACKGROUND AND AIMS: Subcutaneous (SC) vedolizumab presents the opportunity for inflammatory bowel disease (IBD) patients to manage their treatment at home. There is currently no data on the process of transitioning patients established on intravenous (IV) to SC as part of routine clinical care. The aim of this programme is to evaluate the clinical and biochemical outcomes of switching a cohort of IBD patients established on IV vedolizumab to SC 12 weeks following the transition.\nMETHODS: 178 adult patients were offered the opportunity to transition to SC vedolizumab. Patients who agreed were reviewed prior to switching and at week 12 (W12) after their first SC dose. Evaluation outcomes included disease activity scores, the IBD-Control patient-reported outcome measures (PROMs) and faecal calprotectin (FCP). Reasons for patients declining or accepting transitioning, pharmacokinetics, adverse drug reactions and risk factors for a poor outcome in SARS-CoV-2 infection were also assessed.\nRESULTS: 124 patients agreed to transition, of which 106 patients had been on IV vedolizumab for at least 4 months. There were no statistically significant differences in disease activity scores or IBD-Control PROMs between baseline and W12. A statistically significant increase in FCP was observed (31µg/g vs. 47µg/g; p=0.008), although this was unlikely to be clinically relevant. The most common adverse drug reaction reported was injection site reactions (15%). Based on this cohort of patients, an expected reduction of £572,000 per annum is likely to be achieved.\nCONCLUSIONS: Transitioning patients established on IV vedolizumab to SC appears to be safe and effective, with high patient satisfaction and multiple benefits for the health service.","container-title":"Journal of Crohn's &amp; Colitis","DOI":"10.1093/ecco-jcc/jjab224","ISSN":"1876-4479","journalAbbreviation":"J Crohns Colitis","language":"eng","note":"PMID: 34935945","page":"jjab224","source":"PubMed","title":"Transitioning from intRavenous to subcutAneous VEdolizumab in patients with infLammatory bowEl diSeaSe (TRAVELESS)","author":[{"family":"Ventress","given":"Esther"},{"family":"Young","given":"David"},{"family":"Rahmany","given":"Sohail"},{"family":"Harris","given":"Clare"},{"family":"Bettey","given":"Marion"},{"family":"Smith","given":"Trevor"},{"family":"Moyses","given":"Helen"},{"family":"Lech","given":"Magdalena"},{"family":"Gwiggner","given":"Markus"},{"family":"Felwick","given":"Richard"},{"family":"Cummings","given":"J. R. Fraser"}],"issued":{"date-parts":[["2021",12,22]]}}},{"id":2319,"uris":["http://zotero.org/users/2016235/items/UG4EBEMJ"],"itemData":{"id":2319,"type":"article-journal","abstract":"INTRODUCTION: Biologics are effective for the treatment of inflammatory bowel disease (IBD). However, unwarranted variation in processes and outcomes has been reported in the treatment of IBD. A care pathway for the treatment of IBD has the potential to reduce practice variation and improve outcomes. This study aims to compare the effect of a uniform care pathway for the treatment of patients with IBD with biologics to the current situation.\nMETHODS AND ANALYSIS: IBD Value is a longitudinal multicentre non-randomised parallel cluster trial with a baseline period. The study takes place in eight centres in the Netherlands. The baseline period will run for 12 months, after which the care pathway will be implemented in 6 of the 8 participating hospitals during the implementation phase of 3 months. Hereafter, the effect of the care pathway will be assessed for 12 months. Total study period is 27 months. The primary outcome is the effect of the care pathway on disease control (IBD-Control questionnaire). Secondary outcomes are the effect of the care pathway on the other outcomes of the International Consortium of Health Outcomes Measurement IBD standard set, health-related generic quality of life, patient experiences and degree of variation; cost effectiveness of the care pathway; and the variation between hospitals in the aforementioned outcomes in the baseline period. Outcomes will be measured every 6 months. The study started on 1 December 2020 and a minimum of 200 patients will be included.\nETHICS AND DISSEMINATION: The study was deemed not to be subject to Dutch law (WMO; Medical Research Involving Human Subjects Act) by the Medical Ethics Committee of the Erasmus MC, the Netherlands (registration number: MEC-2020-075) and a waiver was provided. Results will be disseminated through peer-reviewed journals and presented at (inter)national conferences.\nTRIAL REGISTRATION NUMBER: NL8276.","container-title":"BMJ open","DOI":"10.1136/bmjopen-2021-050539","ISSN":"2044-6055","issue":"1","journalAbbreviation":"BMJ Open","language":"eng","note":"PMID: 35022169\nPMCID: PMC8756277","page":"e050539","source":"PubMed","title":"Value-based care pathway for inflammatory bowel disease: a protocol for the multicentre longitudinal non-randomised parallel cluster IBD Value study with baseline period","title-short":"Value-based care pathway for inflammatory bowel disease","volume":"12","author":[{"family":"Linschoten","given":"Reinier Cornelis Anthonius","non-dropping-particle":"van"},{"family":"Leeuwen","given":"Nikki","non-dropping-particle":"van"},{"family":"Nieboer","given":"Daan"},{"family":"Birnie","given":"Erwin"},{"family":"Scherpenzeel","given":"Menne"},{"family":"Verweij","given":"Karen Evelyne"},{"family":"Jonge","given":"Vincent","non-dropping-particle":"de"},{"family":"Hazelzet","given":"Jan Antonius"},{"family":"Woude","given":"C. Janneke","non-dropping-particle":"van der"},{"family":"West","given":"Rachel Louise"},{"family":"Noord","given":"Desirée","non-dropping-particle":"van"},{"literal":"Southwest Netherlands IBD Study Group"}],"issued":{"date-parts":[["2022",1,12]]}}}],"schema":"https://github.com/citation-style-language/schema/raw/master/csl-citation.json"} </w:instrText>
      </w:r>
      <w:r w:rsidR="005D3943">
        <w:rPr>
          <w:color w:val="000000" w:themeColor="text1"/>
        </w:rPr>
        <w:fldChar w:fldCharType="separate"/>
      </w:r>
      <w:r w:rsidR="005D3943" w:rsidRPr="005D3943">
        <w:rPr>
          <w:rFonts w:ascii="Calibri" w:cs="Calibri"/>
          <w:color w:val="000000"/>
          <w:vertAlign w:val="superscript"/>
        </w:rPr>
        <w:t>2,16–19</w:t>
      </w:r>
      <w:r w:rsidR="005D3943">
        <w:rPr>
          <w:color w:val="000000" w:themeColor="text1"/>
        </w:rPr>
        <w:fldChar w:fldCharType="end"/>
      </w:r>
      <w:r w:rsidR="00265D33">
        <w:rPr>
          <w:color w:val="000000" w:themeColor="text1"/>
        </w:rPr>
        <w:t xml:space="preserve"> </w:t>
      </w:r>
    </w:p>
    <w:p w14:paraId="4F958C30" w14:textId="4133D988" w:rsidR="0001682C" w:rsidRPr="004A5D79" w:rsidRDefault="00B02D20" w:rsidP="00470113">
      <w:pPr>
        <w:jc w:val="both"/>
        <w:rPr>
          <w:color w:val="000000" w:themeColor="text1"/>
        </w:rPr>
      </w:pPr>
      <w:r w:rsidRPr="00C841A3">
        <w:rPr>
          <w:color w:val="000000" w:themeColor="text1"/>
        </w:rPr>
        <w:t xml:space="preserve">Our study has </w:t>
      </w:r>
      <w:r w:rsidR="0001682C" w:rsidRPr="00C841A3">
        <w:rPr>
          <w:color w:val="000000" w:themeColor="text1"/>
        </w:rPr>
        <w:t xml:space="preserve">some </w:t>
      </w:r>
      <w:r w:rsidRPr="00C841A3">
        <w:rPr>
          <w:color w:val="000000" w:themeColor="text1"/>
        </w:rPr>
        <w:t>limitations.  First, the</w:t>
      </w:r>
      <w:r w:rsidR="00D9153A">
        <w:rPr>
          <w:color w:val="000000" w:themeColor="text1"/>
        </w:rPr>
        <w:t xml:space="preserve"> participants were </w:t>
      </w:r>
      <w:r w:rsidRPr="00C841A3">
        <w:rPr>
          <w:color w:val="000000" w:themeColor="text1"/>
        </w:rPr>
        <w:t xml:space="preserve">patients who engaged with an online </w:t>
      </w:r>
      <w:r w:rsidR="00704FB0">
        <w:rPr>
          <w:color w:val="000000" w:themeColor="text1"/>
        </w:rPr>
        <w:t xml:space="preserve">self-assessment </w:t>
      </w:r>
      <w:r w:rsidRPr="00C841A3">
        <w:rPr>
          <w:color w:val="000000" w:themeColor="text1"/>
        </w:rPr>
        <w:t>tool</w:t>
      </w:r>
      <w:r w:rsidR="00704FB0">
        <w:rPr>
          <w:color w:val="000000" w:themeColor="text1"/>
        </w:rPr>
        <w:fldChar w:fldCharType="begin"/>
      </w:r>
      <w:r w:rsidR="00704FB0">
        <w:rPr>
          <w:color w:val="000000" w:themeColor="text1"/>
        </w:rPr>
        <w:instrText xml:space="preserve"> ADDIN ZOTERO_ITEM CSL_CITATION {"citationID":"CazZwSPZ","properties":{"formattedCitation":"\\super 20\\nosupersub{}","plainCitation":"20","noteIndex":0},"citationItems":[{"id":2092,"uris":["http://zotero.org/users/2016235/items/DPXX7DK5"],"itemData":{"id":2092,"type":"webpage","container-title":"IBD Registry","language":"en-GB","title":"Story of the COVID-19 IBD Risk Tool","URL":"https://ibdregistry.org.uk/story-of-the-covid-19-ibd-risk-tool/","accessed":{"date-parts":[["2021",10,23]]}}}],"schema":"https://github.com/citation-style-language/schema/raw/master/csl-citation.json"} </w:instrText>
      </w:r>
      <w:r w:rsidR="00704FB0">
        <w:rPr>
          <w:color w:val="000000" w:themeColor="text1"/>
        </w:rPr>
        <w:fldChar w:fldCharType="separate"/>
      </w:r>
      <w:r w:rsidR="00704FB0" w:rsidRPr="00704FB0">
        <w:rPr>
          <w:rFonts w:ascii="Calibri" w:cs="Calibri"/>
          <w:color w:val="000000"/>
          <w:vertAlign w:val="superscript"/>
        </w:rPr>
        <w:t>20</w:t>
      </w:r>
      <w:r w:rsidR="00704FB0">
        <w:rPr>
          <w:color w:val="000000" w:themeColor="text1"/>
        </w:rPr>
        <w:fldChar w:fldCharType="end"/>
      </w:r>
      <w:r w:rsidRPr="00C841A3">
        <w:rPr>
          <w:color w:val="000000" w:themeColor="text1"/>
        </w:rPr>
        <w:t xml:space="preserve"> and</w:t>
      </w:r>
      <w:r w:rsidR="00025CB6">
        <w:rPr>
          <w:color w:val="000000" w:themeColor="text1"/>
        </w:rPr>
        <w:t xml:space="preserve"> </w:t>
      </w:r>
      <w:r w:rsidRPr="00C841A3">
        <w:rPr>
          <w:color w:val="000000" w:themeColor="text1"/>
        </w:rPr>
        <w:t xml:space="preserve">replied to </w:t>
      </w:r>
      <w:r w:rsidR="00695C5D" w:rsidRPr="00C841A3">
        <w:rPr>
          <w:color w:val="000000" w:themeColor="text1"/>
        </w:rPr>
        <w:t>a</w:t>
      </w:r>
      <w:r w:rsidR="00704FB0">
        <w:rPr>
          <w:color w:val="000000" w:themeColor="text1"/>
        </w:rPr>
        <w:t>n electronic</w:t>
      </w:r>
      <w:r w:rsidRPr="00C841A3">
        <w:rPr>
          <w:color w:val="000000" w:themeColor="text1"/>
        </w:rPr>
        <w:t xml:space="preserve"> survey.</w:t>
      </w:r>
      <w:r w:rsidR="0001682C">
        <w:rPr>
          <w:color w:val="000000" w:themeColor="text1"/>
        </w:rPr>
        <w:t xml:space="preserve"> C</w:t>
      </w:r>
      <w:r w:rsidR="0001682C" w:rsidRPr="00223D16">
        <w:rPr>
          <w:color w:val="000000" w:themeColor="text1"/>
        </w:rPr>
        <w:t>a</w:t>
      </w:r>
      <w:r w:rsidR="009A4DE8">
        <w:rPr>
          <w:color w:val="000000" w:themeColor="text1"/>
        </w:rPr>
        <w:t>se mix</w:t>
      </w:r>
      <w:r w:rsidR="0001682C">
        <w:rPr>
          <w:color w:val="000000" w:themeColor="text1"/>
        </w:rPr>
        <w:t xml:space="preserve"> </w:t>
      </w:r>
      <w:r w:rsidR="009A4DE8">
        <w:rPr>
          <w:color w:val="000000" w:themeColor="text1"/>
        </w:rPr>
        <w:t>will</w:t>
      </w:r>
      <w:r w:rsidR="0001682C" w:rsidRPr="00223D16">
        <w:rPr>
          <w:color w:val="000000" w:themeColor="text1"/>
        </w:rPr>
        <w:t xml:space="preserve"> not </w:t>
      </w:r>
      <w:r w:rsidR="0001682C">
        <w:rPr>
          <w:color w:val="000000" w:themeColor="text1"/>
        </w:rPr>
        <w:t xml:space="preserve">be </w:t>
      </w:r>
      <w:r w:rsidR="0001682C" w:rsidRPr="00223D16">
        <w:rPr>
          <w:color w:val="000000" w:themeColor="text1"/>
        </w:rPr>
        <w:t>representative of the</w:t>
      </w:r>
      <w:r w:rsidR="009A4DE8">
        <w:rPr>
          <w:color w:val="000000" w:themeColor="text1"/>
        </w:rPr>
        <w:t xml:space="preserve"> </w:t>
      </w:r>
      <w:r w:rsidR="0001682C" w:rsidRPr="00223D16">
        <w:rPr>
          <w:color w:val="000000" w:themeColor="text1"/>
        </w:rPr>
        <w:t>general IBD population</w:t>
      </w:r>
      <w:r w:rsidR="0001682C">
        <w:rPr>
          <w:color w:val="000000" w:themeColor="text1"/>
        </w:rPr>
        <w:t>.</w:t>
      </w:r>
      <w:r w:rsidR="007F6B6F">
        <w:rPr>
          <w:color w:val="000000" w:themeColor="text1"/>
        </w:rPr>
        <w:t xml:space="preserve"> The higher proportion of female respondents is typical of online </w:t>
      </w:r>
      <w:r w:rsidR="00704FB0">
        <w:rPr>
          <w:color w:val="000000" w:themeColor="text1"/>
        </w:rPr>
        <w:t>health-related activity</w:t>
      </w:r>
      <w:r w:rsidR="007F6B6F">
        <w:rPr>
          <w:color w:val="000000" w:themeColor="text1"/>
        </w:rPr>
        <w:t>.</w:t>
      </w:r>
      <w:r w:rsidR="00A52C61">
        <w:rPr>
          <w:color w:val="000000" w:themeColor="text1"/>
        </w:rPr>
        <w:fldChar w:fldCharType="begin"/>
      </w:r>
      <w:r w:rsidR="0032292F">
        <w:rPr>
          <w:color w:val="000000" w:themeColor="text1"/>
        </w:rPr>
        <w:instrText xml:space="preserve"> ADDIN ZOTERO_ITEM CSL_CITATION {"citationID":"MqqVSiq0","properties":{"formattedCitation":"\\super 30\\nosupersub{}","plainCitation":"30","noteIndex":0},"citationItems":[{"id":3152,"uris":["http://zotero.org/users/2016235/items/QZ9G53NT"],"itemData":{"id":3152,"type":"article-journal","abstract":"BACKGROUND: Technology access and use are increasing worldwide. Adults can potentially use technology to assist with health promotion and medical care.\nINTRODUCTION: The purpose of this study was to compare the prevalence of participation in online health-related activities between different genders of U.S. adults aged 18-90 years.\nMETHODS: Primary data collected through a survey panel were used to examine associations between gender and technology ownership, Internet health-seeking behaviors and online behaviors related to health, having an app, and preferences for health information. Data were collected through an online survey panel of U.S. adults (n = 400) in March 2017. Results and Materials: Almost 75% had ever looked for health information and 56.8% had searched for information in the past month. About one-third of both genders (34.1%) reported tracking any health indicator regularly, and 24% had a health app. Compared with males, females were more likely to have ever sought health information online and to have a mobile app for health. No significant differences were observed between gender and individual or total e-health literacy scores. The top three preferences for health sources were Web sites (81.3%), in person (72.0%), and then print materials (72.0%).\nCONCLUSIONS: This study illustrates that U.S. adults are using the Internet for health activities; however, females are more likely to engage in different e-health behaviors than males. Additional research could determine the causal factors behind these group differences in the use of online healthcare and health implications in public health practice for each group.","container-title":"Telemedicine Journal and E-Health: The Official Journal of the American Telemedicine Association","DOI":"10.1089/tmj.2017.0136","ISSN":"1556-3669","issue":"5","journalAbbreviation":"Telemed J E Health","language":"eng","note":"PMID: 28813630","page":"335-343","source":"PubMed","title":"Gender Similarities and Differences for e-Health Behaviors Among U.S. Adults","volume":"24","author":[{"family":"Escoffery","given":"Cam"}],"issued":{"date-parts":[["2018",5]]}}}],"schema":"https://github.com/citation-style-language/schema/raw/master/csl-citation.json"} </w:instrText>
      </w:r>
      <w:r w:rsidR="00A52C61">
        <w:rPr>
          <w:color w:val="000000" w:themeColor="text1"/>
        </w:rPr>
        <w:fldChar w:fldCharType="separate"/>
      </w:r>
      <w:r w:rsidR="0032292F" w:rsidRPr="0032292F">
        <w:rPr>
          <w:rFonts w:ascii="Calibri" w:cs="Calibri"/>
          <w:color w:val="000000"/>
          <w:vertAlign w:val="superscript"/>
        </w:rPr>
        <w:t>30</w:t>
      </w:r>
      <w:r w:rsidR="00A52C61">
        <w:rPr>
          <w:color w:val="000000" w:themeColor="text1"/>
        </w:rPr>
        <w:fldChar w:fldCharType="end"/>
      </w:r>
      <w:r w:rsidR="0001682C">
        <w:rPr>
          <w:color w:val="000000" w:themeColor="text1"/>
        </w:rPr>
        <w:t xml:space="preserve"> </w:t>
      </w:r>
      <w:r w:rsidR="00D9153A">
        <w:rPr>
          <w:color w:val="000000" w:themeColor="text1"/>
        </w:rPr>
        <w:t xml:space="preserve"> </w:t>
      </w:r>
      <w:r w:rsidR="00C10371" w:rsidRPr="00C841A3">
        <w:rPr>
          <w:color w:val="000000" w:themeColor="text1"/>
        </w:rPr>
        <w:t>Public awareness of factors relevant to “shielding” during the early pandemic</w:t>
      </w:r>
      <w:r w:rsidR="00A03CB5" w:rsidRPr="00C841A3">
        <w:rPr>
          <w:color w:val="000000" w:themeColor="text1"/>
        </w:rPr>
        <w:t xml:space="preserve"> </w:t>
      </w:r>
      <w:r w:rsidR="00025CB6">
        <w:rPr>
          <w:color w:val="000000" w:themeColor="text1"/>
        </w:rPr>
        <w:t xml:space="preserve">may </w:t>
      </w:r>
      <w:r w:rsidR="00C10371" w:rsidRPr="00C841A3">
        <w:rPr>
          <w:color w:val="000000" w:themeColor="text1"/>
        </w:rPr>
        <w:t>have encouraged those taking steroids or advanced therapies to use the tool, as reflected in</w:t>
      </w:r>
      <w:r w:rsidR="00A03CB5" w:rsidRPr="00C841A3">
        <w:rPr>
          <w:color w:val="000000" w:themeColor="text1"/>
        </w:rPr>
        <w:t xml:space="preserve"> high</w:t>
      </w:r>
      <w:r w:rsidR="00C10371" w:rsidRPr="00C841A3">
        <w:rPr>
          <w:color w:val="000000" w:themeColor="text1"/>
        </w:rPr>
        <w:t xml:space="preserve"> rates of</w:t>
      </w:r>
      <w:r w:rsidR="00A03CB5" w:rsidRPr="00C841A3">
        <w:rPr>
          <w:color w:val="000000" w:themeColor="text1"/>
        </w:rPr>
        <w:t xml:space="preserve"> use of these agents in </w:t>
      </w:r>
      <w:r w:rsidR="00A03CB5" w:rsidRPr="004A5D79">
        <w:rPr>
          <w:color w:val="000000" w:themeColor="text1"/>
        </w:rPr>
        <w:lastRenderedPageBreak/>
        <w:t>the sample.</w:t>
      </w:r>
      <w:r w:rsidR="00025CB6" w:rsidRPr="004A5D79">
        <w:rPr>
          <w:color w:val="000000" w:themeColor="text1"/>
        </w:rPr>
        <w:t xml:space="preserve"> </w:t>
      </w:r>
      <w:r w:rsidR="0001682C" w:rsidRPr="004A5D79">
        <w:rPr>
          <w:color w:val="000000" w:themeColor="text1"/>
        </w:rPr>
        <w:t>By definition</w:t>
      </w:r>
      <w:r w:rsidR="008A0F09" w:rsidRPr="004A5D79">
        <w:rPr>
          <w:color w:val="000000" w:themeColor="text1"/>
        </w:rPr>
        <w:t xml:space="preserve">, </w:t>
      </w:r>
      <w:r w:rsidR="0001682C" w:rsidRPr="004A5D79">
        <w:rPr>
          <w:color w:val="000000" w:themeColor="text1"/>
        </w:rPr>
        <w:t>online</w:t>
      </w:r>
      <w:r w:rsidR="008A0F09" w:rsidRPr="004A5D79">
        <w:rPr>
          <w:color w:val="000000" w:themeColor="text1"/>
        </w:rPr>
        <w:t xml:space="preserve"> survey</w:t>
      </w:r>
      <w:r w:rsidR="0001682C" w:rsidRPr="004A5D79">
        <w:rPr>
          <w:color w:val="000000" w:themeColor="text1"/>
        </w:rPr>
        <w:t>s</w:t>
      </w:r>
      <w:r w:rsidR="008A0F09" w:rsidRPr="004A5D79">
        <w:rPr>
          <w:color w:val="000000" w:themeColor="text1"/>
        </w:rPr>
        <w:t xml:space="preserve"> </w:t>
      </w:r>
      <w:r w:rsidR="007F6B6F" w:rsidRPr="004A5D79">
        <w:rPr>
          <w:color w:val="000000" w:themeColor="text1"/>
        </w:rPr>
        <w:t xml:space="preserve">will </w:t>
      </w:r>
      <w:r w:rsidR="008A0F09" w:rsidRPr="004A5D79">
        <w:rPr>
          <w:color w:val="000000" w:themeColor="text1"/>
        </w:rPr>
        <w:t>miss</w:t>
      </w:r>
      <w:r w:rsidR="00695C5D" w:rsidRPr="004A5D79">
        <w:rPr>
          <w:color w:val="000000" w:themeColor="text1"/>
        </w:rPr>
        <w:t xml:space="preserve"> </w:t>
      </w:r>
      <w:r w:rsidR="008A0F09" w:rsidRPr="004A5D79">
        <w:rPr>
          <w:color w:val="000000" w:themeColor="text1"/>
        </w:rPr>
        <w:t>digitally</w:t>
      </w:r>
      <w:r w:rsidR="00A31934" w:rsidRPr="004A5D79">
        <w:rPr>
          <w:color w:val="000000" w:themeColor="text1"/>
        </w:rPr>
        <w:t>-</w:t>
      </w:r>
      <w:r w:rsidR="008A0F09" w:rsidRPr="004A5D79">
        <w:rPr>
          <w:color w:val="000000" w:themeColor="text1"/>
        </w:rPr>
        <w:t xml:space="preserve">excluded patients </w:t>
      </w:r>
      <w:r w:rsidR="0001682C" w:rsidRPr="004A5D79">
        <w:rPr>
          <w:color w:val="000000" w:themeColor="text1"/>
        </w:rPr>
        <w:t>who lack</w:t>
      </w:r>
      <w:r w:rsidR="008A0F09" w:rsidRPr="004A5D79">
        <w:rPr>
          <w:color w:val="000000" w:themeColor="text1"/>
        </w:rPr>
        <w:t xml:space="preserve"> access </w:t>
      </w:r>
      <w:r w:rsidR="0001682C" w:rsidRPr="004A5D79">
        <w:rPr>
          <w:color w:val="000000" w:themeColor="text1"/>
        </w:rPr>
        <w:t xml:space="preserve">to, </w:t>
      </w:r>
      <w:r w:rsidR="008A0F09" w:rsidRPr="004A5D79">
        <w:rPr>
          <w:color w:val="000000" w:themeColor="text1"/>
        </w:rPr>
        <w:t>or ability to use</w:t>
      </w:r>
      <w:r w:rsidR="0001682C" w:rsidRPr="004A5D79">
        <w:rPr>
          <w:color w:val="000000" w:themeColor="text1"/>
        </w:rPr>
        <w:t>,</w:t>
      </w:r>
      <w:r w:rsidR="008A0F09" w:rsidRPr="004A5D79">
        <w:rPr>
          <w:color w:val="000000" w:themeColor="text1"/>
        </w:rPr>
        <w:t xml:space="preserve"> the internet</w:t>
      </w:r>
      <w:r w:rsidR="00A26665" w:rsidRPr="004A5D79">
        <w:rPr>
          <w:color w:val="000000" w:themeColor="text1"/>
        </w:rPr>
        <w:t xml:space="preserve">. </w:t>
      </w:r>
      <w:r w:rsidR="00A26665" w:rsidRPr="00296FF8">
        <w:rPr>
          <w:color w:val="000000" w:themeColor="text1"/>
        </w:rPr>
        <w:t>We did not have access to information about phenotypic classification but</w:t>
      </w:r>
      <w:r w:rsidR="007F1D2F" w:rsidRPr="00296FF8">
        <w:rPr>
          <w:color w:val="000000" w:themeColor="text1"/>
        </w:rPr>
        <w:t xml:space="preserve"> do not believe there is a reason why </w:t>
      </w:r>
      <w:r w:rsidR="00A26665" w:rsidRPr="00296FF8">
        <w:rPr>
          <w:color w:val="000000" w:themeColor="text1"/>
        </w:rPr>
        <w:t>specific subgroups should have been excluded or under-represented in this survey on the basis of disease characteristics</w:t>
      </w:r>
      <w:r w:rsidR="008623F9" w:rsidRPr="004A5D79">
        <w:rPr>
          <w:color w:val="000000" w:themeColor="text1"/>
        </w:rPr>
        <w:t>.</w:t>
      </w:r>
      <w:r w:rsidR="008623F9" w:rsidRPr="004A5D79" w:rsidDel="008623F9">
        <w:rPr>
          <w:color w:val="000000" w:themeColor="text1"/>
        </w:rPr>
        <w:t xml:space="preserve"> </w:t>
      </w:r>
      <w:r w:rsidR="008623F9" w:rsidRPr="004A5D79">
        <w:rPr>
          <w:color w:val="000000" w:themeColor="text1"/>
        </w:rPr>
        <w:t>T</w:t>
      </w:r>
      <w:r w:rsidR="0001682C" w:rsidRPr="004A5D79">
        <w:rPr>
          <w:color w:val="000000" w:themeColor="text1"/>
        </w:rPr>
        <w:t xml:space="preserve">he impact of </w:t>
      </w:r>
      <w:r w:rsidR="008623F9" w:rsidRPr="004A5D79">
        <w:rPr>
          <w:color w:val="000000" w:themeColor="text1"/>
        </w:rPr>
        <w:t xml:space="preserve">potential </w:t>
      </w:r>
      <w:r w:rsidR="009A4DE8" w:rsidRPr="004A5D79">
        <w:rPr>
          <w:color w:val="000000" w:themeColor="text1"/>
        </w:rPr>
        <w:t xml:space="preserve">sources of </w:t>
      </w:r>
      <w:r w:rsidR="0001682C" w:rsidRPr="004A5D79">
        <w:rPr>
          <w:color w:val="000000" w:themeColor="text1"/>
        </w:rPr>
        <w:t xml:space="preserve">selection bias is </w:t>
      </w:r>
      <w:r w:rsidR="00C15BC6" w:rsidRPr="004A5D79">
        <w:rPr>
          <w:color w:val="000000" w:themeColor="text1"/>
        </w:rPr>
        <w:t>largely</w:t>
      </w:r>
      <w:r w:rsidR="009A4DE8" w:rsidRPr="004A5D79">
        <w:rPr>
          <w:color w:val="000000" w:themeColor="text1"/>
        </w:rPr>
        <w:t xml:space="preserve"> </w:t>
      </w:r>
      <w:r w:rsidR="0001682C" w:rsidRPr="004A5D79">
        <w:rPr>
          <w:color w:val="000000" w:themeColor="text1"/>
        </w:rPr>
        <w:t xml:space="preserve">mitigated by </w:t>
      </w:r>
      <w:r w:rsidR="00AE63A5" w:rsidRPr="004A5D79">
        <w:rPr>
          <w:color w:val="000000" w:themeColor="text1"/>
        </w:rPr>
        <w:t xml:space="preserve">very </w:t>
      </w:r>
      <w:r w:rsidR="0001682C" w:rsidRPr="004A5D79">
        <w:rPr>
          <w:color w:val="000000" w:themeColor="text1"/>
        </w:rPr>
        <w:t>large numbers</w:t>
      </w:r>
      <w:r w:rsidR="00025CB6" w:rsidRPr="004A5D79">
        <w:rPr>
          <w:color w:val="000000" w:themeColor="text1"/>
        </w:rPr>
        <w:t xml:space="preserve"> (20-fold </w:t>
      </w:r>
      <w:r w:rsidR="00AE63A5" w:rsidRPr="004A5D79">
        <w:rPr>
          <w:color w:val="000000" w:themeColor="text1"/>
        </w:rPr>
        <w:t>greater</w:t>
      </w:r>
      <w:r w:rsidR="00025CB6" w:rsidRPr="004A5D79">
        <w:rPr>
          <w:color w:val="000000" w:themeColor="text1"/>
        </w:rPr>
        <w:t xml:space="preserve"> than typical</w:t>
      </w:r>
      <w:r w:rsidR="007F6B6F" w:rsidRPr="004A5D79">
        <w:rPr>
          <w:color w:val="000000" w:themeColor="text1"/>
        </w:rPr>
        <w:t xml:space="preserve"> PROM </w:t>
      </w:r>
      <w:r w:rsidR="00025CB6" w:rsidRPr="004A5D79">
        <w:rPr>
          <w:color w:val="000000" w:themeColor="text1"/>
        </w:rPr>
        <w:t>validation studies)</w:t>
      </w:r>
      <w:r w:rsidR="0001682C" w:rsidRPr="004A5D79">
        <w:rPr>
          <w:color w:val="000000" w:themeColor="text1"/>
        </w:rPr>
        <w:t xml:space="preserve"> </w:t>
      </w:r>
      <w:r w:rsidR="00A31934" w:rsidRPr="004A5D79">
        <w:rPr>
          <w:color w:val="000000" w:themeColor="text1"/>
        </w:rPr>
        <w:t xml:space="preserve">and </w:t>
      </w:r>
      <w:r w:rsidR="00AE63A5" w:rsidRPr="004A5D79">
        <w:rPr>
          <w:color w:val="000000" w:themeColor="text1"/>
        </w:rPr>
        <w:t xml:space="preserve">by </w:t>
      </w:r>
      <w:r w:rsidR="009A4DE8" w:rsidRPr="004A5D79">
        <w:rPr>
          <w:color w:val="000000" w:themeColor="text1"/>
        </w:rPr>
        <w:t xml:space="preserve">the </w:t>
      </w:r>
      <w:r w:rsidR="0001682C" w:rsidRPr="004A5D79">
        <w:rPr>
          <w:color w:val="000000" w:themeColor="text1"/>
        </w:rPr>
        <w:t xml:space="preserve">broad geographical and sociodemographic </w:t>
      </w:r>
      <w:r w:rsidR="00A31934" w:rsidRPr="004A5D79">
        <w:rPr>
          <w:color w:val="000000" w:themeColor="text1"/>
        </w:rPr>
        <w:t>coverage.</w:t>
      </w:r>
      <w:r w:rsidR="00EA4888" w:rsidRPr="004A5D79">
        <w:rPr>
          <w:color w:val="000000" w:themeColor="text1"/>
        </w:rPr>
        <w:t xml:space="preserve"> </w:t>
      </w:r>
      <w:r w:rsidR="00EA4888" w:rsidRPr="00296FF8">
        <w:rPr>
          <w:color w:val="000000" w:themeColor="text1"/>
        </w:rPr>
        <w:t>Although an electronic survey is unlikely to have included currently-hospitalised cases, there were significant numbers of cases reporting “worst possible” symptoms on the relevant PRO-2 score.</w:t>
      </w:r>
    </w:p>
    <w:p w14:paraId="76F47960" w14:textId="6D811ED8" w:rsidR="00D96386" w:rsidRPr="00C841A3" w:rsidRDefault="00777791" w:rsidP="00470113">
      <w:pPr>
        <w:jc w:val="both"/>
        <w:rPr>
          <w:color w:val="000000" w:themeColor="text1"/>
        </w:rPr>
      </w:pPr>
      <w:r w:rsidRPr="00C841A3">
        <w:rPr>
          <w:color w:val="000000" w:themeColor="text1"/>
        </w:rPr>
        <w:t>Second, the survey relied on self-reported, as opposed to clinic</w:t>
      </w:r>
      <w:r w:rsidR="00695C5D" w:rsidRPr="00C841A3">
        <w:rPr>
          <w:color w:val="000000" w:themeColor="text1"/>
        </w:rPr>
        <w:t>ian-reported</w:t>
      </w:r>
      <w:r w:rsidR="00A03CB5" w:rsidRPr="00C841A3">
        <w:rPr>
          <w:color w:val="000000" w:themeColor="text1"/>
        </w:rPr>
        <w:t>,</w:t>
      </w:r>
      <w:r w:rsidR="00695C5D" w:rsidRPr="00C841A3">
        <w:rPr>
          <w:color w:val="000000" w:themeColor="text1"/>
        </w:rPr>
        <w:t xml:space="preserve"> </w:t>
      </w:r>
      <w:r w:rsidR="00807D69">
        <w:rPr>
          <w:color w:val="000000" w:themeColor="text1"/>
        </w:rPr>
        <w:t xml:space="preserve">IBD </w:t>
      </w:r>
      <w:r w:rsidRPr="00C841A3">
        <w:rPr>
          <w:color w:val="000000" w:themeColor="text1"/>
        </w:rPr>
        <w:t xml:space="preserve">diagnosis. </w:t>
      </w:r>
      <w:r w:rsidR="00025CB6">
        <w:rPr>
          <w:color w:val="000000" w:themeColor="text1"/>
        </w:rPr>
        <w:t xml:space="preserve"> </w:t>
      </w:r>
      <w:r w:rsidRPr="00C841A3">
        <w:rPr>
          <w:color w:val="000000" w:themeColor="text1"/>
        </w:rPr>
        <w:t xml:space="preserve">We cannot exclude the </w:t>
      </w:r>
      <w:r w:rsidR="005C2DA8" w:rsidRPr="00C841A3">
        <w:rPr>
          <w:color w:val="000000" w:themeColor="text1"/>
        </w:rPr>
        <w:t>p</w:t>
      </w:r>
      <w:r w:rsidR="005D353E" w:rsidRPr="00C841A3">
        <w:rPr>
          <w:color w:val="000000" w:themeColor="text1"/>
        </w:rPr>
        <w:t>ossibility</w:t>
      </w:r>
      <w:r w:rsidRPr="00C841A3">
        <w:rPr>
          <w:color w:val="000000" w:themeColor="text1"/>
        </w:rPr>
        <w:t xml:space="preserve"> that some </w:t>
      </w:r>
      <w:r w:rsidR="00C51B8E" w:rsidRPr="00C841A3">
        <w:rPr>
          <w:color w:val="000000" w:themeColor="text1"/>
        </w:rPr>
        <w:t xml:space="preserve">respondents </w:t>
      </w:r>
      <w:r w:rsidRPr="00C841A3">
        <w:rPr>
          <w:color w:val="000000" w:themeColor="text1"/>
        </w:rPr>
        <w:t>did not have IBD</w:t>
      </w:r>
      <w:r w:rsidR="009A4DE8">
        <w:rPr>
          <w:color w:val="000000" w:themeColor="text1"/>
        </w:rPr>
        <w:t>. However</w:t>
      </w:r>
      <w:r w:rsidR="009A4DE8" w:rsidRPr="00986A3D">
        <w:rPr>
          <w:color w:val="000000" w:themeColor="text1"/>
        </w:rPr>
        <w:t>,</w:t>
      </w:r>
      <w:r w:rsidR="00A03CB5" w:rsidRPr="00986A3D">
        <w:rPr>
          <w:color w:val="000000" w:themeColor="text1"/>
        </w:rPr>
        <w:t xml:space="preserve"> numbers are likely t</w:t>
      </w:r>
      <w:r w:rsidR="008A0F09" w:rsidRPr="00986A3D">
        <w:rPr>
          <w:color w:val="000000" w:themeColor="text1"/>
        </w:rPr>
        <w:t>o</w:t>
      </w:r>
      <w:r w:rsidR="00A03CB5" w:rsidRPr="00986A3D">
        <w:rPr>
          <w:color w:val="000000" w:themeColor="text1"/>
        </w:rPr>
        <w:t xml:space="preserve"> be small given that</w:t>
      </w:r>
      <w:r w:rsidR="00986A3D" w:rsidRPr="00986A3D">
        <w:rPr>
          <w:color w:val="000000" w:themeColor="text1"/>
        </w:rPr>
        <w:t xml:space="preserve"> almost all</w:t>
      </w:r>
      <w:r w:rsidR="00A03CB5" w:rsidRPr="00986A3D">
        <w:rPr>
          <w:color w:val="000000" w:themeColor="text1"/>
        </w:rPr>
        <w:t xml:space="preserve"> provide</w:t>
      </w:r>
      <w:r w:rsidR="00986A3D">
        <w:rPr>
          <w:color w:val="000000" w:themeColor="text1"/>
        </w:rPr>
        <w:t>d</w:t>
      </w:r>
      <w:r w:rsidR="00A03CB5" w:rsidRPr="00986A3D">
        <w:rPr>
          <w:color w:val="000000" w:themeColor="text1"/>
        </w:rPr>
        <w:t xml:space="preserve"> details of </w:t>
      </w:r>
      <w:r w:rsidR="00986A3D">
        <w:rPr>
          <w:color w:val="000000" w:themeColor="text1"/>
        </w:rPr>
        <w:t>their</w:t>
      </w:r>
      <w:r w:rsidR="00986A3D" w:rsidRPr="00986A3D">
        <w:rPr>
          <w:color w:val="000000" w:themeColor="text1"/>
        </w:rPr>
        <w:t xml:space="preserve"> verifiable</w:t>
      </w:r>
      <w:r w:rsidR="00A03CB5" w:rsidRPr="00986A3D">
        <w:rPr>
          <w:color w:val="000000" w:themeColor="text1"/>
        </w:rPr>
        <w:t xml:space="preserve"> local IBD Service (</w:t>
      </w:r>
      <w:r w:rsidR="00986A3D" w:rsidRPr="00986A3D">
        <w:rPr>
          <w:color w:val="000000" w:themeColor="text1"/>
        </w:rPr>
        <w:t>99.6%</w:t>
      </w:r>
      <w:r w:rsidR="00A03CB5" w:rsidRPr="00986A3D">
        <w:rPr>
          <w:color w:val="000000" w:themeColor="text1"/>
        </w:rPr>
        <w:t>)</w:t>
      </w:r>
      <w:r w:rsidR="008138EF">
        <w:rPr>
          <w:color w:val="000000" w:themeColor="text1"/>
        </w:rPr>
        <w:t xml:space="preserve">.  </w:t>
      </w:r>
      <w:r w:rsidR="00A03CB5" w:rsidRPr="00986A3D">
        <w:rPr>
          <w:color w:val="000000" w:themeColor="text1"/>
        </w:rPr>
        <w:t>Third,</w:t>
      </w:r>
      <w:r w:rsidR="0001682C" w:rsidRPr="00986A3D">
        <w:rPr>
          <w:color w:val="000000" w:themeColor="text1"/>
        </w:rPr>
        <w:t xml:space="preserve"> a cross-sectional survey does not allow</w:t>
      </w:r>
      <w:r w:rsidR="00C51B8E" w:rsidRPr="00986A3D">
        <w:rPr>
          <w:color w:val="000000" w:themeColor="text1"/>
        </w:rPr>
        <w:t xml:space="preserve"> assessment of test-retest reliability or sensitivity to change in health status</w:t>
      </w:r>
      <w:r w:rsidR="00306FF2" w:rsidRPr="00986A3D">
        <w:rPr>
          <w:color w:val="000000" w:themeColor="text1"/>
        </w:rPr>
        <w:t xml:space="preserve"> </w:t>
      </w:r>
      <w:r w:rsidR="00C11CC3" w:rsidRPr="00986A3D">
        <w:rPr>
          <w:color w:val="000000" w:themeColor="text1"/>
        </w:rPr>
        <w:t xml:space="preserve">as </w:t>
      </w:r>
      <w:r w:rsidR="00306FF2" w:rsidRPr="00986A3D">
        <w:rPr>
          <w:color w:val="000000" w:themeColor="text1"/>
        </w:rPr>
        <w:t>repeated measures are needed</w:t>
      </w:r>
      <w:r w:rsidR="0001682C" w:rsidRPr="00986A3D">
        <w:rPr>
          <w:color w:val="000000" w:themeColor="text1"/>
        </w:rPr>
        <w:t xml:space="preserve">. Evidence for </w:t>
      </w:r>
      <w:r w:rsidR="00C15BC6">
        <w:rPr>
          <w:color w:val="000000" w:themeColor="text1"/>
        </w:rPr>
        <w:t>such</w:t>
      </w:r>
      <w:r w:rsidR="0001682C" w:rsidRPr="00986A3D">
        <w:rPr>
          <w:color w:val="000000" w:themeColor="text1"/>
        </w:rPr>
        <w:t xml:space="preserve"> attributes</w:t>
      </w:r>
      <w:r w:rsidR="00C15BC6">
        <w:rPr>
          <w:color w:val="000000" w:themeColor="text1"/>
        </w:rPr>
        <w:t xml:space="preserve"> for IBD-Control</w:t>
      </w:r>
      <w:r w:rsidR="0001682C" w:rsidRPr="00986A3D">
        <w:rPr>
          <w:color w:val="000000" w:themeColor="text1"/>
        </w:rPr>
        <w:t xml:space="preserve"> has been published</w:t>
      </w:r>
      <w:r w:rsidR="00807D69" w:rsidRPr="00986A3D">
        <w:rPr>
          <w:color w:val="000000" w:themeColor="text1"/>
        </w:rPr>
        <w:t xml:space="preserve"> </w:t>
      </w:r>
      <w:r w:rsidR="00807D69">
        <w:rPr>
          <w:color w:val="000000" w:themeColor="text1"/>
        </w:rPr>
        <w:t>previously.</w:t>
      </w:r>
      <w:r w:rsidR="00EE6606">
        <w:rPr>
          <w:color w:val="000000" w:themeColor="text1"/>
        </w:rPr>
        <w:fldChar w:fldCharType="begin"/>
      </w:r>
      <w:r w:rsidR="00EE6606">
        <w:rPr>
          <w:color w:val="000000" w:themeColor="text1"/>
        </w:rPr>
        <w:instrText xml:space="preserve"> ADDIN ZOTERO_ITEM CSL_CITATION {"citationID":"0hzdZ3OD","properties":{"formattedCitation":"\\super 8,12,13\\nosupersub{}","plainCitation":"8,12,13","noteIndex":0},"citationItems":[{"id":154,"uris":["http://zotero.org/users/2016235/items/6SBF99P6"],"itemData":{"id":154,"type":"article-journal","abstract":"INTRODUCTION: The use of patient reported outcome measures to support routine inflammatory bowel disease (IBD) care is not widespread and suggests that existing questionnaires lack relevance to day-to-day decisions or are too cumbersome to administer. We developed a simple, generic tool for capturing disease control from the patient's perspective to address these barriers.\nMETHODS: Development based on literature review, patient focus groups/interviews and a steering group, defining a limited set of generic questions. The 'IBD-Control' questionnaire comprises 13 items plus a visual analogue scale (VAS) (0-100). Prospective validation involved baseline completion of IBD-Control, quality of life (QoL) questionnaire (UK-IBD-Q), EuroQol (EQ-5D), Hospital Anxiety and Depression Score; and clinician assessment (blinded to questionnaire; recording Harvey-Bradshaw Index or Simple Clinical Colitis Activity Index; Global Clinician Rating; treatment outcome).\nRESULTS: 299 patients returned baseline surveys (Crohn's disease, n=160; ulcerative colitis, n=139) and 138 attended for repeat visits. Completion time (mean; SD): 1 min 15 s; 25 s; Internal consistency: Cronbach's α for all 13 items (0.85); for subgroup of eight questions ('IBD-Control-8'; 0.86). Strong correlation between IBD-Control-8 and IBD-Control-VAS (r=0.81). Test-retest reliability (2 week repeat): intra-class correlation=0.97 for IBD-Control-8 and 0.96 for IBD-Control-VAS. Construct validity: Moderate-to-strong correlations between IBD-Control-8 and IBD-Control-VAS versus activity indices, UK-IBD-Q and EQ-5D (utility) with r values 0.52-0.86. Discriminant validity (mean instrument scores for remission, mild, moderate or severe): p&lt;0.001 (analysis of variance (ANOVA)). Sensitivity to change: Effect sizes: 0.76-1.44.\nCONCLUSIONS: The IBD-Control is a rapid, reliable, valid and sensitive instrument for measuring overall disease control from the patient's perspective. Unlike existing patient reported outcome measures, its simplicity, ease-of-use and generic applicability make it a candidate for supporting routine care.","container-title":"Gut","DOI":"10.1136/gutjnl-2013-305600","ISSN":"1468-3288","issue":"7","journalAbbreviation":"Gut","language":"eng","note":"PMID: 24107590 \nPMCID: PMC4078750","page":"1092-1102","source":"NCBI PubMed","title":"Development and validation of a rapid, generic measure of disease control from the patient's perspective: the IBD-control questionnaire","title-short":"Development and validation of a rapid, generic measure of disease control from the patient's perspective","volume":"63","author":[{"family":"Bodger","given":"Keith"},{"family":"Ormerod","given":"Clare"},{"family":"Shackcloth","given":"Daniela"},{"family":"Harrison","given":"Melanie"},{"literal":"IBD Control Collaborative"}],"issued":{"date-parts":[["2014",7]]}}},{"id":2161,"uris":["http://zotero.org/users/2016235/items/H6F67ALP"],"itemData":{"id":2161,"type":"article-journal","container-title":"Health and Quality of Life Outcomes","title":"Implementing electronic patient reported outcome measures in inflammatory bowel disease: Patient participation, score reliability and validity","author":[{"family":"Deutscher","given":"Daniel"},{"family":"Weil","given":"Clara"},{"family":"Chodic","given":"Gabriele"},{"family":"Tsukinovsky","given":"Sveta"},{"family":"Sommer","given":"Adi"},{"family":"Bodger","given":"Keith"},{"family":"Waterman","given":"Matti"},{"family":"Kariv","given":"Revital"}],"issued":{"date-parts":[["2023"]],"season":"In Press"}}},{"id":2408,"uris":["http://zotero.org/users/2016235/items/TMSR5GRF"],"itemData":{"id":2408,"type":"article-journal","abstract":"BACKGROUND: Patient reported outcome measures (PROMs) are key to documenting outcomes that matter most to patients and are increasingly important to commissioners of healthcare seeking value. We report the first series of the ICHOM Standard Set for Inflammatory Bowel Disease (IBD).\nMETHODS: Patients treated for ulcerative colitis (UC) or Crohn's disease (CD) in our centre were offered enrolment into the web-based TrueColours-IBD programme. Through this programme, email prompts linking to validated questionnaires were sent for symptoms, quality of life, and ICHOM IBD outcomes.\nRESULTS: The first 1,299 consecutive patients enrolled (779 UC, 520 CD) were studied with median 270 days of follow up (IQR 116-504). 671 (52%) were female, mean age 42 years (sd 16), mean BMI 26 (sd 5.3). 483 (37%) were using advanced therapies at registration. Median adherence to fortnightly quality of life reporting and quarterly outcomes was 100% [IQR48-100%] and 100% [IQR75-100%], respectively. In the previous 12 months, prednisolone use was reported by 229 (29%) patients with UC vs. 81 (16%) with CD, p&lt;0.001: 202 (16%) for &lt;3 months and 108 (8%) for &gt;3 months. 174 (13%) patients reported an IBD-related intervention and 80 (6%) reported an unplanned hospital admission. There were high rates of fatigue (50%) and mood disturbance (23%).\nCONCLUSION: Outcomes reported by patients illustrate the scale of the therapeutic deficit in current care. Proof of principle is demonstrated that PROM data can be collected continuously with little burden on healthcare professionals. This may become a metric for quality improvement programmes, or to compare outcomes.","container-title":"Journal of Crohn's &amp; Colitis","DOI":"10.1093/ecco-jcc/jjac099","ISSN":"1876-4479","journalAbbreviation":"J Crohns Colitis","language":"eng","note":"PMID: 35868223","page":"jjac099","source":"PubMed","title":"Patient Reported Outcomes: the ICHOM Standard Set for inflammatory bowel disease in real life practice helps quantify deficits in current care","title-short":"Patient Reported Outcomes","author":[{"family":"Wong","given":"Darren"},{"family":"Matini","given":"Lawrence"},{"family":"Kormilitzin","given":"Andrey"},{"family":"Kantschuster","given":"Ramona"},{"family":"Simadibrata","given":"Daniel Martin"},{"family":"Lyden","given":"Sara"},{"family":"Wilson","given":"Jean"},{"family":"Brain","given":"Oliver A."},{"family":"Palmer","given":"Rebecca"},{"family":"Ambrose","given":"Tim"},{"family":"Satsangi","given":"Jack"},{"family":"South","given":"Matthew"},{"family":"Geddes","given":"John"},{"family":"Bodger","given":"Keith"},{"family":"Travis","given":"Simon P. L."},{"family":"Walsh","given":"Alissa"}],"issued":{"date-parts":[["2022",7,22]]}}}],"schema":"https://github.com/citation-style-language/schema/raw/master/csl-citation.json"} </w:instrText>
      </w:r>
      <w:r w:rsidR="00EE6606">
        <w:rPr>
          <w:color w:val="000000" w:themeColor="text1"/>
        </w:rPr>
        <w:fldChar w:fldCharType="separate"/>
      </w:r>
      <w:r w:rsidR="00EE6606" w:rsidRPr="00EE6606">
        <w:rPr>
          <w:rFonts w:ascii="Calibri" w:cs="Calibri"/>
          <w:color w:val="000000"/>
          <w:vertAlign w:val="superscript"/>
        </w:rPr>
        <w:t>8,12,13</w:t>
      </w:r>
      <w:r w:rsidR="00EE6606">
        <w:rPr>
          <w:color w:val="000000" w:themeColor="text1"/>
        </w:rPr>
        <w:fldChar w:fldCharType="end"/>
      </w:r>
    </w:p>
    <w:p w14:paraId="1C2DEAC3" w14:textId="2D6DB0BE" w:rsidR="00813F1F" w:rsidRPr="0082721F" w:rsidRDefault="00A1037E" w:rsidP="0065284F">
      <w:pPr>
        <w:jc w:val="both"/>
        <w:rPr>
          <w:color w:val="000000" w:themeColor="text1"/>
        </w:rPr>
      </w:pPr>
      <w:r w:rsidRPr="00C841A3">
        <w:rPr>
          <w:color w:val="000000" w:themeColor="text1"/>
        </w:rPr>
        <w:t xml:space="preserve">In conclusion, </w:t>
      </w:r>
      <w:r w:rsidR="00BF0D0A" w:rsidRPr="00C841A3">
        <w:rPr>
          <w:color w:val="000000" w:themeColor="text1"/>
        </w:rPr>
        <w:t>we have shown that the</w:t>
      </w:r>
      <w:r w:rsidRPr="00C841A3">
        <w:rPr>
          <w:color w:val="000000" w:themeColor="text1"/>
        </w:rPr>
        <w:t xml:space="preserve"> IBD-Control Questionnaire </w:t>
      </w:r>
      <w:r w:rsidR="00BF0D0A" w:rsidRPr="00C841A3">
        <w:rPr>
          <w:color w:val="000000" w:themeColor="text1"/>
        </w:rPr>
        <w:t xml:space="preserve">is </w:t>
      </w:r>
      <w:r w:rsidR="00523107" w:rsidRPr="00C841A3">
        <w:rPr>
          <w:color w:val="000000" w:themeColor="text1"/>
        </w:rPr>
        <w:t xml:space="preserve">feasible to collect electronically at </w:t>
      </w:r>
      <w:r w:rsidR="00AC5991">
        <w:rPr>
          <w:color w:val="000000" w:themeColor="text1"/>
        </w:rPr>
        <w:t>a</w:t>
      </w:r>
      <w:r w:rsidR="00C11CC3">
        <w:rPr>
          <w:color w:val="000000" w:themeColor="text1"/>
        </w:rPr>
        <w:t xml:space="preserve"> </w:t>
      </w:r>
      <w:r w:rsidR="00087422">
        <w:rPr>
          <w:color w:val="000000" w:themeColor="text1"/>
        </w:rPr>
        <w:t xml:space="preserve">very </w:t>
      </w:r>
      <w:r w:rsidR="00C11CC3">
        <w:rPr>
          <w:color w:val="000000" w:themeColor="text1"/>
        </w:rPr>
        <w:t xml:space="preserve">large, </w:t>
      </w:r>
      <w:r w:rsidR="003D54A4">
        <w:rPr>
          <w:color w:val="000000" w:themeColor="text1"/>
        </w:rPr>
        <w:t xml:space="preserve">national </w:t>
      </w:r>
      <w:r w:rsidR="00523107" w:rsidRPr="00C841A3">
        <w:rPr>
          <w:color w:val="000000" w:themeColor="text1"/>
        </w:rPr>
        <w:t>scale</w:t>
      </w:r>
      <w:r w:rsidR="0011724C">
        <w:rPr>
          <w:color w:val="000000" w:themeColor="text1"/>
        </w:rPr>
        <w:t xml:space="preserve"> </w:t>
      </w:r>
      <w:r w:rsidR="00EE6606">
        <w:rPr>
          <w:color w:val="000000" w:themeColor="text1"/>
        </w:rPr>
        <w:t xml:space="preserve">to </w:t>
      </w:r>
      <w:r w:rsidR="0011724C">
        <w:rPr>
          <w:color w:val="000000" w:themeColor="text1"/>
        </w:rPr>
        <w:t xml:space="preserve">capture </w:t>
      </w:r>
      <w:r w:rsidR="00AE63A5">
        <w:rPr>
          <w:color w:val="000000" w:themeColor="text1"/>
        </w:rPr>
        <w:t>a</w:t>
      </w:r>
      <w:r w:rsidR="0011724C">
        <w:rPr>
          <w:color w:val="000000" w:themeColor="text1"/>
        </w:rPr>
        <w:t xml:space="preserve"> global measure of patient-perceived disease control.  </w:t>
      </w:r>
      <w:r w:rsidR="00807D69">
        <w:rPr>
          <w:color w:val="000000" w:themeColor="text1"/>
        </w:rPr>
        <w:t xml:space="preserve">We have </w:t>
      </w:r>
      <w:r w:rsidR="00BF0D0A" w:rsidRPr="00C841A3">
        <w:rPr>
          <w:color w:val="000000" w:themeColor="text1"/>
        </w:rPr>
        <w:t>demonstrated</w:t>
      </w:r>
      <w:r w:rsidR="00220B39" w:rsidRPr="00C841A3">
        <w:rPr>
          <w:color w:val="000000" w:themeColor="text1"/>
        </w:rPr>
        <w:t xml:space="preserve"> </w:t>
      </w:r>
      <w:r w:rsidR="00C15BC6">
        <w:rPr>
          <w:color w:val="000000" w:themeColor="text1"/>
        </w:rPr>
        <w:t xml:space="preserve">for the first time that it has </w:t>
      </w:r>
      <w:r w:rsidR="00220B39" w:rsidRPr="00C841A3">
        <w:rPr>
          <w:color w:val="000000" w:themeColor="text1"/>
        </w:rPr>
        <w:t>strong</w:t>
      </w:r>
      <w:r w:rsidR="00BF0D0A" w:rsidRPr="00C841A3">
        <w:rPr>
          <w:color w:val="000000" w:themeColor="text1"/>
        </w:rPr>
        <w:t xml:space="preserve"> </w:t>
      </w:r>
      <w:r w:rsidR="00220B39" w:rsidRPr="00C841A3">
        <w:rPr>
          <w:color w:val="000000" w:themeColor="text1"/>
        </w:rPr>
        <w:t xml:space="preserve">consistency and validity </w:t>
      </w:r>
      <w:r w:rsidR="00BF0D0A" w:rsidRPr="00C841A3">
        <w:rPr>
          <w:color w:val="000000" w:themeColor="text1"/>
        </w:rPr>
        <w:t xml:space="preserve">across </w:t>
      </w:r>
      <w:r w:rsidR="003569B9">
        <w:rPr>
          <w:color w:val="000000" w:themeColor="text1"/>
        </w:rPr>
        <w:t>socio</w:t>
      </w:r>
      <w:r w:rsidR="00BF0D0A" w:rsidRPr="00C841A3">
        <w:rPr>
          <w:color w:val="000000" w:themeColor="text1"/>
        </w:rPr>
        <w:t xml:space="preserve">demographic and </w:t>
      </w:r>
      <w:r w:rsidR="003569B9">
        <w:rPr>
          <w:color w:val="000000" w:themeColor="text1"/>
        </w:rPr>
        <w:t>clinical</w:t>
      </w:r>
      <w:r w:rsidR="00FD1B2F" w:rsidRPr="00C841A3">
        <w:rPr>
          <w:color w:val="000000" w:themeColor="text1"/>
        </w:rPr>
        <w:t xml:space="preserve"> </w:t>
      </w:r>
      <w:r w:rsidR="00BD4310" w:rsidRPr="00C841A3">
        <w:rPr>
          <w:color w:val="000000" w:themeColor="text1"/>
        </w:rPr>
        <w:t>sub</w:t>
      </w:r>
      <w:r w:rsidR="00BF0D0A" w:rsidRPr="00C841A3">
        <w:rPr>
          <w:color w:val="000000" w:themeColor="text1"/>
        </w:rPr>
        <w:t>groups</w:t>
      </w:r>
      <w:r w:rsidR="00807D69">
        <w:rPr>
          <w:color w:val="000000" w:themeColor="text1"/>
        </w:rPr>
        <w:t xml:space="preserve"> and</w:t>
      </w:r>
      <w:r w:rsidR="00BF0D0A" w:rsidRPr="00C841A3">
        <w:rPr>
          <w:color w:val="000000" w:themeColor="text1"/>
        </w:rPr>
        <w:t xml:space="preserve"> confirmed </w:t>
      </w:r>
      <w:r w:rsidR="00C15BC6">
        <w:rPr>
          <w:color w:val="000000" w:themeColor="text1"/>
        </w:rPr>
        <w:t>the</w:t>
      </w:r>
      <w:r w:rsidR="00B037CD">
        <w:rPr>
          <w:color w:val="000000" w:themeColor="text1"/>
        </w:rPr>
        <w:t xml:space="preserve"> expected</w:t>
      </w:r>
      <w:r w:rsidR="00BF0D0A" w:rsidRPr="00C841A3">
        <w:rPr>
          <w:color w:val="000000" w:themeColor="text1"/>
        </w:rPr>
        <w:t xml:space="preserve"> two-factor</w:t>
      </w:r>
      <w:r w:rsidR="00BD4310" w:rsidRPr="00C841A3">
        <w:rPr>
          <w:color w:val="000000" w:themeColor="text1"/>
        </w:rPr>
        <w:t xml:space="preserve"> representation of the instrument</w:t>
      </w:r>
      <w:r w:rsidR="0065284F">
        <w:rPr>
          <w:color w:val="000000" w:themeColor="text1"/>
        </w:rPr>
        <w:t>.</w:t>
      </w:r>
      <w:r w:rsidR="00220B39" w:rsidRPr="00C841A3">
        <w:rPr>
          <w:color w:val="000000" w:themeColor="text1"/>
        </w:rPr>
        <w:t xml:space="preserve"> </w:t>
      </w:r>
      <w:r w:rsidR="00B16A03">
        <w:rPr>
          <w:color w:val="000000" w:themeColor="text1"/>
        </w:rPr>
        <w:t xml:space="preserve">The </w:t>
      </w:r>
      <w:r w:rsidR="00611225" w:rsidRPr="00C841A3">
        <w:rPr>
          <w:color w:val="000000" w:themeColor="text1"/>
        </w:rPr>
        <w:t>measur</w:t>
      </w:r>
      <w:r w:rsidR="00306FF2">
        <w:rPr>
          <w:color w:val="000000" w:themeColor="text1"/>
        </w:rPr>
        <w:t>ement of</w:t>
      </w:r>
      <w:r w:rsidR="00611225" w:rsidRPr="00C841A3">
        <w:rPr>
          <w:color w:val="000000" w:themeColor="text1"/>
        </w:rPr>
        <w:t xml:space="preserve"> patient-</w:t>
      </w:r>
      <w:r w:rsidR="00611225" w:rsidRPr="004A5D79">
        <w:rPr>
          <w:color w:val="000000" w:themeColor="text1"/>
        </w:rPr>
        <w:t xml:space="preserve">perceived </w:t>
      </w:r>
      <w:r w:rsidR="00CD178B" w:rsidRPr="004A5D79">
        <w:rPr>
          <w:color w:val="000000" w:themeColor="text1"/>
        </w:rPr>
        <w:t xml:space="preserve">control </w:t>
      </w:r>
      <w:r w:rsidR="00B16A03" w:rsidRPr="004A5D79">
        <w:rPr>
          <w:color w:val="000000" w:themeColor="text1"/>
        </w:rPr>
        <w:t xml:space="preserve">may </w:t>
      </w:r>
      <w:r w:rsidR="00611225" w:rsidRPr="004A5D79">
        <w:rPr>
          <w:color w:val="000000" w:themeColor="text1"/>
        </w:rPr>
        <w:t xml:space="preserve">offer additional insights beyond </w:t>
      </w:r>
      <w:r w:rsidR="00D37DB2" w:rsidRPr="004A5D79">
        <w:rPr>
          <w:color w:val="000000" w:themeColor="text1"/>
        </w:rPr>
        <w:t xml:space="preserve">traditional </w:t>
      </w:r>
      <w:r w:rsidR="005F354E" w:rsidRPr="004A5D79">
        <w:rPr>
          <w:color w:val="000000" w:themeColor="text1"/>
        </w:rPr>
        <w:t>PROMs</w:t>
      </w:r>
      <w:r w:rsidR="00EE6606" w:rsidRPr="004A5D79">
        <w:rPr>
          <w:color w:val="000000" w:themeColor="text1"/>
        </w:rPr>
        <w:t xml:space="preserve"> focused on selected symptoms</w:t>
      </w:r>
      <w:r w:rsidR="00EE6606" w:rsidRPr="004A5D79">
        <w:rPr>
          <w:color w:val="000000" w:themeColor="text1"/>
        </w:rPr>
        <w:fldChar w:fldCharType="begin"/>
      </w:r>
      <w:r w:rsidR="00EE6606" w:rsidRPr="004A5D79">
        <w:rPr>
          <w:color w:val="000000" w:themeColor="text1"/>
        </w:rPr>
        <w:instrText xml:space="preserve"> ADDIN ZOTERO_ITEM CSL_CITATION {"citationID":"45OcZZyw","properties":{"formattedCitation":"\\super 3,4\\nosupersub{}","plainCitation":"3,4","noteIndex":0},"citationItems":[{"id":2362,"uris":["http://zotero.org/users/2016235/items/DV8VK7XW"],"itemData":{"id":2362,"type":"article-journal","abstract":"BACKGROUND: Patient-reported outcomes (PROs) have an increasingly important role in the evaluation of new therapies for inflammatory bowel disease. The US Food and Drug Administration has issued formal guidance to describe the role of PRO instruments in evaluation of claims for product labelling. However, no validated PRO exists for ulcerative colitis.\nAIM: To investigate whether the PROs from the Mayo Clinic Score (MCS) for UC can be modified, to develop an interim PRO for use in clinical trials, alone or in combination with endoscopy.\nMETHODS: Data from an induction trial of a mesalazine (mesalamine) formulation were used to compare effect sizes between mesalazine and placebo for PRO items (stool frequency and rectal bleeding) alone and in combination with endoscopy. The operating properties of the PRO were validated using data from a phase 2 trial of MLN02, a humanised antibody to the α4β7 integrin in patients with UC.\nRESULTS: A two-item PRO (PRO2) consisting of rectal bleeding = 0 and stool frequency ≤1 or ≤2, combined with an endoscopy subscore ≤1 yielded statistically significant differences between active drug and placebo. This combination yielded the most similar effect sizes and placebo rates for remission, compared to the primary trials. Use of PRO items alone yielded high placebo remission rates in both data sets, although rates were lower when the items were combined and remission defined as PRO2 = 0.\nCONCLUSION: Patient-reported outcomes items derived from the Mayo Clinic Score combined with endoscopy as a co-primary endpoint may be an appropriate interim outcome measure for ulcerative colitis trials.","container-title":"Alimentary Pharmacology &amp; Therapeutics","DOI":"10.1111/apt.13408","ISSN":"1365-2036","issue":"10","journalAbbreviation":"Aliment Pharmacol Ther","language":"eng","note":"PMID: 26388424","page":"1200-1210","source":"PubMed","title":"Development of interim patient-reported outcome measures for the assessment of ulcerative colitis disease activity in clinical trials","volume":"42","author":[{"family":"Jairath","given":"V."},{"family":"Khanna","given":"R."},{"family":"Zou","given":"G. Y."},{"family":"Stitt","given":"L."},{"family":"Mosli","given":"M."},{"family":"Vandervoort","given":"M. K."},{"family":"D'Haens","given":"G."},{"family":"Sandborn","given":"W. J."},{"family":"Feagan","given":"B. G."},{"family":"Levesque","given":"B. G."}],"issued":{"date-parts":[["2015",11]]}}},{"id":2355,"uris":["http://zotero.org/users/2016235/items/VMZBIJZ6"],"itemData":{"id":2355,"type":"article-journal","abstract":"BACKGROUND: The Crohn's Disease Activity Index (CDAI) is a measure of disease activity based on symptoms, signs and a laboratory test. The US Food and Drug Administration has indicated that patient reported outcomes (PROs) should be the primary outcome in randomised controlled trials for Crohn's disease (CD).\nAIM: As no validated PRO exists for CD, to investigate whether CDAI diary card items could be modified for this purpose.\nMETHODS: Data from a trial of rifaximin-extended intestinal release were used to identify cut-points for stool frequency, pain and general well-being using receiver operating characteristic curves with CDAI &lt;150 as criterion. The operating properties of 2- and 3-item PRO were evaluated using data from a trial of methotrexate in CD. Regression analysis determined PRO2 and PRO3 scores that correspond to CDAI-defined thresholds of 150, 220 and 450 and changes of 50, 70 and 100 points.\nRESULTS: Optimum cut-points for CDAI remission were mean daily stool frequency ≤1.5, abdominal pain ≤1, and general well-being score of ≤1 (areas under the ROC curve 0.79, 0.91 and 0.89, respectively). The effect estimates were similar using 2- and 3-item PROs or CDAI. PRO2 and PRO3 values corresponding to CDAI scores of 150, 220 and 450 points were 8, 14, 34 and 13, 22, 53. The corresponding values for CDAI changes of 50, 70 and 100, were 2, 5, 8 and 5, 9, 14. Responsiveness to change was similar for both PROs.\nCONCLUSION: Patient reported outcomes derived from CDAI diary items may be appropriate for use in clinical trials for CD.","container-title":"Alimentary Pharmacology &amp; Therapeutics","DOI":"10.1111/apt.13001","ISSN":"1365-2036","issue":"1","journalAbbreviation":"Aliment Pharmacol Ther","language":"eng","note":"PMID: 25348809","page":"77-86","source":"PubMed","title":"A retrospective analysis: the development of patient reported outcome measures for the assessment of Crohn's disease activity","title-short":"A retrospective analysis","volume":"41","author":[{"family":"Khanna","given":"R."},{"family":"Zou","given":"G."},{"family":"D'Haens","given":"G."},{"family":"Feagan","given":"B. G."},{"family":"Sandborn","given":"W. J."},{"family":"Vandervoort","given":"M. K."},{"family":"Rolleri","given":"R. L."},{"family":"Bortey","given":"E."},{"family":"Paterson","given":"C."},{"family":"Forbes","given":"W. P."},{"family":"Levesque","given":"B. G."}],"issued":{"date-parts":[["2015",1]]}}}],"schema":"https://github.com/citation-style-language/schema/raw/master/csl-citation.json"} </w:instrText>
      </w:r>
      <w:r w:rsidR="00EE6606" w:rsidRPr="004A5D79">
        <w:rPr>
          <w:color w:val="000000" w:themeColor="text1"/>
        </w:rPr>
        <w:fldChar w:fldCharType="separate"/>
      </w:r>
      <w:r w:rsidR="00EE6606" w:rsidRPr="00296FF8">
        <w:rPr>
          <w:rFonts w:ascii="Calibri" w:cs="Calibri"/>
          <w:color w:val="000000" w:themeColor="text1"/>
          <w:vertAlign w:val="superscript"/>
        </w:rPr>
        <w:t>3,4</w:t>
      </w:r>
      <w:r w:rsidR="00EE6606" w:rsidRPr="004A5D79">
        <w:rPr>
          <w:color w:val="000000" w:themeColor="text1"/>
        </w:rPr>
        <w:fldChar w:fldCharType="end"/>
      </w:r>
      <w:r w:rsidR="00EE6606" w:rsidRPr="004A5D79">
        <w:rPr>
          <w:color w:val="000000" w:themeColor="text1"/>
        </w:rPr>
        <w:t xml:space="preserve"> or HRQoL alone</w:t>
      </w:r>
      <w:r w:rsidR="00894835" w:rsidRPr="004A5D79">
        <w:rPr>
          <w:color w:val="000000" w:themeColor="text1"/>
        </w:rPr>
        <w:t>.</w:t>
      </w:r>
      <w:r w:rsidR="00EE6606" w:rsidRPr="004A5D79">
        <w:rPr>
          <w:color w:val="000000" w:themeColor="text1"/>
        </w:rPr>
        <w:fldChar w:fldCharType="begin"/>
      </w:r>
      <w:r w:rsidR="00EE6606" w:rsidRPr="004A5D79">
        <w:rPr>
          <w:color w:val="000000" w:themeColor="text1"/>
        </w:rPr>
        <w:instrText xml:space="preserve"> ADDIN ZOTERO_ITEM CSL_CITATION {"citationID":"XGPcFLme","properties":{"formattedCitation":"\\super 5\\nosupersub{}","plainCitation":"5","noteIndex":0},"citationItems":[{"id":381,"uris":["http://zotero.org/users/2016235/items/RAAGMUEB"],"itemData":{"id":381,"type":"article-journal","abstract":"We have developed a measure of subjective health status (quality of life) for patients with inflammatory bowel disease (IBD). Ninety-seven patients with IBD described problems they had experienced as a result of the disease; the 32 most frequent and important items were included in the Inflammatory Bowel Disease Questionnaire (IBDQ). Sixty-one IBD patients were evaluated twice. One month separated the evaluations, at which disease activity indices, the IBDQ, and a number of other questionnaires were administered. Reproducibility studies in 19 stable patients showed improvement in scores, but also a small within-person standard deviation. Responsiveness studies revealed large changes in scores in patients who had improved or deteriorated and suggested that the IBDQ was more responsive than a general health status measure. Responsiveness appeared greater in patients with ulcerative colitis than in those with Crohn's disease. Predicted and observed correlations between changes in IBDQ score and changes in other measures were similar. We conclude that although further testing is required, particularly in examining the relation between changes in the IBDQ and changes in the activity of Crohn's disease, the IBDQ shows promise as a measure of health status for clinical trials in IBD.","container-title":"Gastroenterology","ISSN":"0016-5085","issue":"3","journalAbbreviation":"Gastroenterology","language":"eng","note":"PMID: 2644154","page":"804-810","source":"PubMed","title":"A new measure of health status for clinical trials in inflammatory bowel disease","volume":"96","author":[{"family":"Guyatt","given":"G."},{"family":"Mitchell","given":"A."},{"family":"Irvine","given":"E. J."},{"family":"Singer","given":"J."},{"family":"Williams","given":"N."},{"family":"Goodacre","given":"R."},{"family":"Tompkins","given":"C."}],"issued":{"date-parts":[["1989",3]]}}}],"schema":"https://github.com/citation-style-language/schema/raw/master/csl-citation.json"} </w:instrText>
      </w:r>
      <w:r w:rsidR="00EE6606" w:rsidRPr="004A5D79">
        <w:rPr>
          <w:color w:val="000000" w:themeColor="text1"/>
        </w:rPr>
        <w:fldChar w:fldCharType="separate"/>
      </w:r>
      <w:r w:rsidR="00EE6606" w:rsidRPr="004A5D79">
        <w:rPr>
          <w:rFonts w:ascii="Calibri" w:cs="Calibri"/>
          <w:color w:val="000000" w:themeColor="text1"/>
          <w:vertAlign w:val="superscript"/>
        </w:rPr>
        <w:t>5</w:t>
      </w:r>
      <w:r w:rsidR="00EE6606" w:rsidRPr="004A5D79">
        <w:rPr>
          <w:color w:val="000000" w:themeColor="text1"/>
        </w:rPr>
        <w:fldChar w:fldCharType="end"/>
      </w:r>
      <w:r w:rsidR="00B16A03" w:rsidRPr="004A5D79">
        <w:rPr>
          <w:color w:val="000000" w:themeColor="text1"/>
        </w:rPr>
        <w:t xml:space="preserve"> </w:t>
      </w:r>
      <w:r w:rsidR="0017794F" w:rsidRPr="004A5D79">
        <w:rPr>
          <w:color w:val="000000" w:themeColor="text1"/>
        </w:rPr>
        <w:t xml:space="preserve"> </w:t>
      </w:r>
      <w:r w:rsidR="00466B80" w:rsidRPr="00296FF8">
        <w:rPr>
          <w:color w:val="000000" w:themeColor="text1"/>
        </w:rPr>
        <w:t xml:space="preserve">Further research is needed to determine whether routine measurement of self-reported disease control </w:t>
      </w:r>
      <w:r w:rsidR="00C15BC6" w:rsidRPr="00296FF8">
        <w:rPr>
          <w:color w:val="000000" w:themeColor="text1"/>
        </w:rPr>
        <w:t>(alone or in combination with other PROMs</w:t>
      </w:r>
      <w:r w:rsidR="008138EF" w:rsidRPr="00296FF8">
        <w:rPr>
          <w:color w:val="000000" w:themeColor="text1"/>
        </w:rPr>
        <w:t xml:space="preserve"> or non-invasive biomarkers</w:t>
      </w:r>
      <w:r w:rsidR="00C15BC6" w:rsidRPr="00296FF8">
        <w:rPr>
          <w:color w:val="000000" w:themeColor="text1"/>
        </w:rPr>
        <w:t xml:space="preserve">) </w:t>
      </w:r>
      <w:r w:rsidR="00466B80" w:rsidRPr="00296FF8">
        <w:rPr>
          <w:color w:val="000000" w:themeColor="text1"/>
        </w:rPr>
        <w:t xml:space="preserve">can support improvements in care with respect to safety, </w:t>
      </w:r>
      <w:r w:rsidR="0065284F" w:rsidRPr="00296FF8">
        <w:rPr>
          <w:color w:val="000000" w:themeColor="text1"/>
        </w:rPr>
        <w:t xml:space="preserve">treatment </w:t>
      </w:r>
      <w:r w:rsidR="00466B80" w:rsidRPr="00296FF8">
        <w:rPr>
          <w:color w:val="000000" w:themeColor="text1"/>
        </w:rPr>
        <w:t xml:space="preserve">outcome, cost-effectiveness </w:t>
      </w:r>
      <w:r w:rsidR="0065284F" w:rsidRPr="00296FF8">
        <w:rPr>
          <w:color w:val="000000" w:themeColor="text1"/>
        </w:rPr>
        <w:t>or</w:t>
      </w:r>
      <w:r w:rsidR="00466B80" w:rsidRPr="00296FF8">
        <w:rPr>
          <w:color w:val="000000" w:themeColor="text1"/>
        </w:rPr>
        <w:t xml:space="preserve"> patient experience</w:t>
      </w:r>
      <w:r w:rsidR="00682A50" w:rsidRPr="004A5D79">
        <w:rPr>
          <w:color w:val="000000" w:themeColor="text1"/>
        </w:rPr>
        <w:t xml:space="preserve">. </w:t>
      </w:r>
      <w:r w:rsidR="00B037CD" w:rsidRPr="004A5D79">
        <w:rPr>
          <w:color w:val="000000" w:themeColor="text1"/>
        </w:rPr>
        <w:t xml:space="preserve">Growing </w:t>
      </w:r>
      <w:r w:rsidR="00B037CD">
        <w:rPr>
          <w:color w:val="000000" w:themeColor="text1"/>
        </w:rPr>
        <w:t>uptake</w:t>
      </w:r>
      <w:r w:rsidR="00797C59">
        <w:rPr>
          <w:color w:val="000000" w:themeColor="text1"/>
        </w:rPr>
        <w:t xml:space="preserve"> of IBD-Control </w:t>
      </w:r>
      <w:r w:rsidR="00B037CD">
        <w:rPr>
          <w:color w:val="000000" w:themeColor="text1"/>
        </w:rPr>
        <w:t>by routine clinical services</w:t>
      </w:r>
      <w:r w:rsidR="00116EAB">
        <w:rPr>
          <w:color w:val="000000" w:themeColor="text1"/>
        </w:rPr>
        <w:fldChar w:fldCharType="begin"/>
      </w:r>
      <w:r w:rsidR="00116EAB">
        <w:rPr>
          <w:color w:val="000000" w:themeColor="text1"/>
        </w:rPr>
        <w:instrText xml:space="preserve"> ADDIN ZOTERO_ITEM CSL_CITATION {"citationID":"scPZwp8Q","properties":{"formattedCitation":"\\super 18\\nosupersub{}","plainCitation":"18","noteIndex":0},"citationItems":[{"id":2322,"uris":["http://zotero.org/users/2016235/items/9SCH26IC"],"itemData":{"id":2322,"type":"article-journal","abstract":"BACKGROUND AND AIMS: Subcutaneous (SC) vedolizumab presents the opportunity for inflammatory bowel disease (IBD) patients to manage their treatment at home. There is currently no data on the process of transitioning patients established on intravenous (IV) to SC as part of routine clinical care. The aim of this programme is to evaluate the clinical and biochemical outcomes of switching a cohort of IBD patients established on IV vedolizumab to SC 12 weeks following the transition.\nMETHODS: 178 adult patients were offered the opportunity to transition to SC vedolizumab. Patients who agreed were reviewed prior to switching and at week 12 (W12) after their first SC dose. Evaluation outcomes included disease activity scores, the IBD-Control patient-reported outcome measures (PROMs) and faecal calprotectin (FCP). Reasons for patients declining or accepting transitioning, pharmacokinetics, adverse drug reactions and risk factors for a poor outcome in SARS-CoV-2 infection were also assessed.\nRESULTS: 124 patients agreed to transition, of which 106 patients had been on IV vedolizumab for at least 4 months. There were no statistically significant differences in disease activity scores or IBD-Control PROMs between baseline and W12. A statistically significant increase in FCP was observed (31µg/g vs. 47µg/g; p=0.008), although this was unlikely to be clinically relevant. The most common adverse drug reaction reported was injection site reactions (15%). Based on this cohort of patients, an expected reduction of £572,000 per annum is likely to be achieved.\nCONCLUSIONS: Transitioning patients established on IV vedolizumab to SC appears to be safe and effective, with high patient satisfaction and multiple benefits for the health service.","container-title":"Journal of Crohn's &amp; Colitis","DOI":"10.1093/ecco-jcc/jjab224","ISSN":"1876-4479","journalAbbreviation":"J Crohns Colitis","language":"eng","note":"PMID: 34935945","page":"jjab224","source":"PubMed","title":"Transitioning from intRavenous to subcutAneous VEdolizumab in patients with infLammatory bowEl diSeaSe (TRAVELESS)","author":[{"family":"Ventress","given":"Esther"},{"family":"Young","given":"David"},{"family":"Rahmany","given":"Sohail"},{"family":"Harris","given":"Clare"},{"family":"Bettey","given":"Marion"},{"family":"Smith","given":"Trevor"},{"family":"Moyses","given":"Helen"},{"family":"Lech","given":"Magdalena"},{"family":"Gwiggner","given":"Markus"},{"family":"Felwick","given":"Richard"},{"family":"Cummings","given":"J. R. Fraser"}],"issued":{"date-parts":[["2021",12,22]]}}}],"schema":"https://github.com/citation-style-language/schema/raw/master/csl-citation.json"} </w:instrText>
      </w:r>
      <w:r w:rsidR="00116EAB">
        <w:rPr>
          <w:color w:val="000000" w:themeColor="text1"/>
        </w:rPr>
        <w:fldChar w:fldCharType="separate"/>
      </w:r>
      <w:r w:rsidR="00116EAB" w:rsidRPr="00116EAB">
        <w:rPr>
          <w:rFonts w:ascii="Calibri" w:cs="Calibri"/>
          <w:color w:val="000000"/>
          <w:vertAlign w:val="superscript"/>
        </w:rPr>
        <w:t>18</w:t>
      </w:r>
      <w:r w:rsidR="00116EAB">
        <w:rPr>
          <w:color w:val="000000" w:themeColor="text1"/>
        </w:rPr>
        <w:fldChar w:fldCharType="end"/>
      </w:r>
      <w:r w:rsidR="005A6893">
        <w:rPr>
          <w:color w:val="000000" w:themeColor="text1"/>
        </w:rPr>
        <w:t>, QI programs,</w:t>
      </w:r>
      <w:r w:rsidR="00116EAB">
        <w:rPr>
          <w:color w:val="000000" w:themeColor="text1"/>
        </w:rPr>
        <w:fldChar w:fldCharType="begin"/>
      </w:r>
      <w:r w:rsidR="0032292F">
        <w:rPr>
          <w:color w:val="000000" w:themeColor="text1"/>
        </w:rPr>
        <w:instrText xml:space="preserve"> ADDIN ZOTERO_ITEM CSL_CITATION {"citationID":"Mx1EBXzy","properties":{"formattedCitation":"\\super 13,16,19,31\\nosupersub{}","plainCitation":"13,16,19,31","noteIndex":0},"citationItems":[{"id":2408,"uris":["http://zotero.org/users/2016235/items/TMSR5GRF"],"itemData":{"id":2408,"type":"article-journal","abstract":"BACKGROUND: Patient reported outcome measures (PROMs) are key to documenting outcomes that matter most to patients and are increasingly important to commissioners of healthcare seeking value. We report the first series of the ICHOM Standard Set for Inflammatory Bowel Disease (IBD).\nMETHODS: Patients treated for ulcerative colitis (UC) or Crohn's disease (CD) in our centre were offered enrolment into the web-based TrueColours-IBD programme. Through this programme, email prompts linking to validated questionnaires were sent for symptoms, quality of life, and ICHOM IBD outcomes.\nRESULTS: The first 1,299 consecutive patients enrolled (779 UC, 520 CD) were studied with median 270 days of follow up (IQR 116-504). 671 (52%) were female, mean age 42 years (sd 16), mean BMI 26 (sd 5.3). 483 (37%) were using advanced therapies at registration. Median adherence to fortnightly quality of life reporting and quarterly outcomes was 100% [IQR48-100%] and 100% [IQR75-100%], respectively. In the previous 12 months, prednisolone use was reported by 229 (29%) patients with UC vs. 81 (16%) with CD, p&lt;0.001: 202 (16%) for &lt;3 months and 108 (8%) for &gt;3 months. 174 (13%) patients reported an IBD-related intervention and 80 (6%) reported an unplanned hospital admission. There were high rates of fatigue (50%) and mood disturbance (23%).\nCONCLUSION: Outcomes reported by patients illustrate the scale of the therapeutic deficit in current care. Proof of principle is demonstrated that PROM data can be collected continuously with little burden on healthcare professionals. This may become a metric for quality improvement programmes, or to compare outcomes.","container-title":"Journal of Crohn's &amp; Colitis","DOI":"10.1093/ecco-jcc/jjac099","ISSN":"1876-4479","journalAbbreviation":"J Crohns Colitis","language":"eng","note":"PMID: 35868223","page":"jjac099","source":"PubMed","title":"Patient Reported Outcomes: the ICHOM Standard Set for inflammatory bowel disease in real life practice helps quantify deficits in current care","title-short":"Patient Reported Outcomes","author":[{"family":"Wong","given":"Darren"},{"family":"Matini","given":"Lawrence"},{"family":"Kormilitzin","given":"Andrey"},{"family":"Kantschuster","given":"Ramona"},{"family":"Simadibrata","given":"Daniel Martin"},{"family":"Lyden","given":"Sara"},{"family":"Wilson","given":"Jean"},{"family":"Brain","given":"Oliver A."},{"family":"Palmer","given":"Rebecca"},{"family":"Ambrose","given":"Tim"},{"family":"Satsangi","given":"Jack"},{"family":"South","given":"Matthew"},{"family":"Geddes","given":"John"},{"family":"Bodger","given":"Keith"},{"family":"Travis","given":"Simon P. L."},{"family":"Walsh","given":"Alissa"}],"issued":{"date-parts":[["2022",7,22]]}}},{"id":2337,"uris":["http://zotero.org/users/2016235/items/KXW67P8T"],"itemData":{"id":2337,"type":"article-journal","abstract":"BACKGROUND AND AIMS: Measuring quality of care [QoC] in inflammatory bowel diseases [IBD] has become increasingly important, yet complex assessment of QoC from the patients' perspective is rare. We evaluated perceived QoC using the Quality of Care Through the Patient's Eyes-IBD [QUOTE-IBD] questionnaire, and investigated associations between QoC, disease phenotype, work productivity, and health-related quality of life [HRQoL] in a high-volume IBD centre.\nMETHODS: Consecutive patients attending McGill University Health Centre [MUHC]-IBD Centre completed the QUOTE-IBD, Short Inflammatory Bowel Disease Questionnaire [SIBDQ], IBD-Control, and Work Productivity and Activity Impairment [WPAI] questionnaires. The QUOTE-IBD comprises 23 questions, each rated by a quality impact [QI] score. QI scores were calculated for the evaluation of IBD specialists, general practitioners [GPs], and hospital care.\nRESULTS: In all, 525 patients completed the questionnaire. Total QI scores for IBD specialists, GPs, and hospital care were 8.57, 8.70, and 8.33, respectively. The lowest QI scores were related to 'accessibility' for both IBD specialists and GPs. Female gender, current disease activity, poor HRQoL [SIBDQ score ≤50], and poor disease control [IBD-Control score &lt;13] were associated with lower mean QI scores [p &lt;0.001 for all]. Disease phenotype was not associated with QI scores in either Crohn's disease [CD] or ulcerative colitis [UC] [p = 0.69, p = 0.791, respectively]. An inverse correlation was found between total QI scores and work productivity loss [IBD specialist: p &lt;0.001; GP: p = 0.004].\nCONCLUSIONS: Overall patient satisfaction with QoC was good; however, improving patient accessibility to care is warranted. Disease phenotype was not associated with patient satisfaction, whereas female gender, current disease activity, HRQoL, and work productivity loss were associated with patients' quality assessment, underlining that perceived QoC could be partly subjective regarding disease control and quality of life.","container-title":"Journal of Crohn's &amp; Colitis","DOI":"10.1093/ecco-jcc/jjz035","ISSN":"1876-4479","issue":"9","journalAbbreviation":"J Crohns Colitis","language":"eng","note":"PMID: 30793162","page":"1138-1147","source":"PubMed","title":"Perceived Quality of Care is Associated with Disease Activity, Quality of Life, Work Productivity, and Gender, but not Disease Phenotype: A Prospective Study in a High-volume IBD Centre","title-short":"Perceived Quality of Care is Associated with Disease Activity, Quality of Life, Work Productivity, and Gender, but not Disease Phenotype","volume":"13","author":[{"family":"Gonczi","given":"Lorant"},{"family":"Kurti","given":"Zsuzsanna"},{"family":"Verdon","given":"Christine"},{"family":"Reinglas","given":"Jason"},{"family":"Kohen","given":"Rita"},{"family":"Morin","given":"Isabelle"},{"family":"Chavez","given":"Kelly"},{"family":"Bessissow","given":"Talat"},{"family":"Afif","given":"Waqqas"},{"family":"Wild","given":"Gary"},{"family":"Seidman","given":"Ernest"},{"family":"Bitton","given":"Alain"},{"family":"Lakatos","given":"Peter L."}],"issued":{"date-parts":[["2019",9,19]]}}},{"id":2319,"uris":["http://zotero.org/users/2016235/items/UG4EBEMJ"],"itemData":{"id":2319,"type":"article-journal","abstract":"INTRODUCTION: Biologics are effective for the treatment of inflammatory bowel disease (IBD). However, unwarranted variation in processes and outcomes has been reported in the treatment of IBD. A care pathway for the treatment of IBD has the potential to reduce practice variation and improve outcomes. This study aims to compare the effect of a uniform care pathway for the treatment of patients with IBD with biologics to the current situation.\nMETHODS AND ANALYSIS: IBD Value is a longitudinal multicentre non-randomised parallel cluster trial with a baseline period. The study takes place in eight centres in the Netherlands. The baseline period will run for 12 months, after which the care pathway will be implemented in 6 of the 8 participating hospitals during the implementation phase of 3 months. Hereafter, the effect of the care pathway will be assessed for 12 months. Total study period is 27 months. The primary outcome is the effect of the care pathway on disease control (IBD-Control questionnaire). Secondary outcomes are the effect of the care pathway on the other outcomes of the International Consortium of Health Outcomes Measurement IBD standard set, health-related generic quality of life, patient experiences and degree of variation; cost effectiveness of the care pathway; and the variation between hospitals in the aforementioned outcomes in the baseline period. Outcomes will be measured every 6 months. The study started on 1 December 2020 and a minimum of 200 patients will be included.\nETHICS AND DISSEMINATION: The study was deemed not to be subject to Dutch law (WMO; Medical Research Involving Human Subjects Act) by the Medical Ethics Committee of the Erasmus MC, the Netherlands (registration number: MEC-2020-075) and a waiver was provided. Results will be disseminated through peer-reviewed journals and presented at (inter)national conferences.\nTRIAL REGISTRATION NUMBER: NL8276.","container-title":"BMJ open","DOI":"10.1136/bmjopen-2021-050539","ISSN":"2044-6055","issue":"1","journalAbbreviation":"BMJ Open","language":"eng","note":"PMID: 35022169\nPMCID: PMC8756277","page":"e050539","source":"PubMed","title":"Value-based care pathway for inflammatory bowel disease: a protocol for the multicentre longitudinal non-randomised parallel cluster IBD Value study with baseline period","title-short":"Value-based care pathway for inflammatory bowel disease","volume":"12","author":[{"family":"Linschoten","given":"Reinier Cornelis Anthonius","non-dropping-particle":"van"},{"family":"Leeuwen","given":"Nikki","non-dropping-particle":"van"},{"family":"Nieboer","given":"Daan"},{"family":"Birnie","given":"Erwin"},{"family":"Scherpenzeel","given":"Menne"},{"family":"Verweij","given":"Karen Evelyne"},{"family":"Jonge","given":"Vincent","non-dropping-particle":"de"},{"family":"Hazelzet","given":"Jan Antonius"},{"family":"Woude","given":"C. Janneke","non-dropping-particle":"van der"},{"family":"West","given":"Rachel Louise"},{"family":"Noord","given":"Desirée","non-dropping-particle":"van"},{"literal":"Southwest Netherlands IBD Study Group"}],"issued":{"date-parts":[["2022",1,12]]}}},{"id":670,"uris":["http://zotero.org/users/2016235/items/XXSA5UEA"],"itemData":{"id":670,"type":"webpage","title":"Inflammatory Bowel Disease | ICHOM – International Consortium for Health Outcomes Measurement","URL":"http://www.ichom.org/medical-conditions/inflammatory-bowel-disease/","accessed":{"date-parts":[["2017",3,6]]}}}],"schema":"https://github.com/citation-style-language/schema/raw/master/csl-citation.json"} </w:instrText>
      </w:r>
      <w:r w:rsidR="00116EAB">
        <w:rPr>
          <w:color w:val="000000" w:themeColor="text1"/>
        </w:rPr>
        <w:fldChar w:fldCharType="separate"/>
      </w:r>
      <w:r w:rsidR="0032292F" w:rsidRPr="0032292F">
        <w:rPr>
          <w:rFonts w:ascii="Calibri" w:cs="Calibri"/>
          <w:color w:val="000000"/>
          <w:vertAlign w:val="superscript"/>
        </w:rPr>
        <w:t>13,16,19,31</w:t>
      </w:r>
      <w:r w:rsidR="00116EAB">
        <w:rPr>
          <w:color w:val="000000" w:themeColor="text1"/>
        </w:rPr>
        <w:fldChar w:fldCharType="end"/>
      </w:r>
      <w:r w:rsidR="005A6893">
        <w:rPr>
          <w:color w:val="000000" w:themeColor="text1"/>
        </w:rPr>
        <w:t xml:space="preserve"> </w:t>
      </w:r>
      <w:r w:rsidR="00797C59">
        <w:rPr>
          <w:color w:val="000000" w:themeColor="text1"/>
        </w:rPr>
        <w:t>international</w:t>
      </w:r>
      <w:r w:rsidR="00B037CD">
        <w:rPr>
          <w:color w:val="000000" w:themeColor="text1"/>
        </w:rPr>
        <w:t xml:space="preserve"> IBD registries</w:t>
      </w:r>
      <w:r w:rsidR="00116EAB">
        <w:rPr>
          <w:color w:val="000000" w:themeColor="text1"/>
        </w:rPr>
        <w:fldChar w:fldCharType="begin"/>
      </w:r>
      <w:r w:rsidR="00116EAB">
        <w:rPr>
          <w:color w:val="000000" w:themeColor="text1"/>
        </w:rPr>
        <w:instrText xml:space="preserve"> ADDIN ZOTERO_ITEM CSL_CITATION {"citationID":"IUpk2oOR","properties":{"formattedCitation":"\\super 9,12,15\\nosupersub{}","plainCitation":"9,12,15","noteIndex":0},"citationItems":[{"id":2126,"uris":["http://zotero.org/users/2016235/items/7AEU9Z9D"],"itemData":{"id":2126,"type":"article-journal","abstract":"BACKGROUND: There is a need for easy-to-use patient-reported outcome measures (PROMS) in inflammatory bowel disease (IBD) practice. The 'IBD-control' is a short IBD-specific questionnaire capturing disease control from the patient's perspective. The International Consortium for Health Outcomes Measurement (ICHOM) recommends the use of the IBD-control even though it has only been validated in the United Kingdom. We aimed to cross-culturally translate and validate the IBD-control in the Netherlands using IBDREAM, a prospective multicentre IBD registry.\nMETHODS: Lack of ambiguity and acceptability were verified in a pilot patient group (n = 5) after forward-backward translation of the IBD-control. Prospective validation involved completion of the IBD-control, Short Form-36, short IBDQ and disease activity measurement by Physician Global Assessment (PGA) and Simple Clinical Colitis Activity Index or Harvey-Bradshaw Index. Test-retest (2-week repeat) was used for measuring reliability.\nRESULTS: Questionnaires were completed by 998 IBD patients (674 Crohn's disease, 324 ulcerative colitis). Internal consistency (Cronbach's alpha) was 0.82 for the sub-group of 8 questions (IBD-control-8-sub-score). Mean completion time was 105 s. Construct validity analyses demonstrated moderate-to-strong correlations of the IBD-control-8-subscore and the other instruments (0.49-0.81). Test-retest reliability for stable patients was high (intraclass correlation coefficient 0.95). The IBD-control-8-subscore showed good discriminant ability between the PGA categories (ANOVA, p&lt;.001). Sensitivity to change analyses showed large effect sizes of 0.81-1.87 for the IBD-control-8 subscore.\nCONCLUSIONS: These results support the IBD-control as a rapid, reliable, valid and sensitive instrument for measuring disease control from an IBD patient's perspective in the Netherlands.","container-title":"Scandinavian Journal of Gastroenterology","DOI":"10.1080/00365521.2020.1857430","ISSN":"1502-7708","issue":"2","journalAbbreviation":"Scand J Gastroenterol","language":"eng","note":"PMID: 33300822","page":"155-161","source":"PubMed","title":"Cross-cultural translation and validation of the IBD-control questionnaire in The Netherlands: a patient-reported outcome measure in inflammatory bowel disease","title-short":"Cross-cultural translation and validation of the IBD-control questionnaire in The Netherlands","volume":"56","author":[{"family":"Jong","given":"Michiel E.","non-dropping-particle":"de"},{"family":"Taal","given":"Erik"},{"family":"Thomas","given":"Pepijn W. A."},{"family":"Römkens","given":"Tessa E. H."},{"family":"Jansen","given":"Jeroen M."},{"family":"West","given":"Rachel L."},{"family":"Slotman","given":"Ellen"},{"family":"Hoentjen","given":"Frank"},{"family":"Russel","given":"Maurice G. V. M."}],"issued":{"date-parts":[["2021",2]]}}},{"id":2161,"uris":["http://zotero.org/users/2016235/items/H6F67ALP"],"itemData":{"id":2161,"type":"article-journal","container-title":"Health and Quality of Life Outcomes","title":"Implementing electronic patient reported outcome measures in inflammatory bowel disease: Patient participation, score reliability and validity","author":[{"family":"Deutscher","given":"Daniel"},{"family":"Weil","given":"Clara"},{"family":"Chodic","given":"Gabriele"},{"family":"Tsukinovsky","given":"Sveta"},{"family":"Sommer","given":"Adi"},{"family":"Bodger","given":"Keith"},{"family":"Waterman","given":"Matti"},{"family":"Kariv","given":"Revital"}],"issued":{"date-parts":[["2023"]],"season":"In Press"}}},{"id":698,"uris":["http://zotero.org/users/2016235/items/F586NPXG"],"itemData":{"id":698,"type":"post-weblog","container-title":"IBD Registry","language":"en-GB","note":"source: ibdregistry.org.uk","title":"Data Submission Framework","URL":"https://ibdregistry.org.uk/data-submission-framework/","accessed":{"date-parts":[["2020",3,15]]}}}],"schema":"https://github.com/citation-style-language/schema/raw/master/csl-citation.json"} </w:instrText>
      </w:r>
      <w:r w:rsidR="00116EAB">
        <w:rPr>
          <w:color w:val="000000" w:themeColor="text1"/>
        </w:rPr>
        <w:fldChar w:fldCharType="separate"/>
      </w:r>
      <w:r w:rsidR="00116EAB" w:rsidRPr="00116EAB">
        <w:rPr>
          <w:rFonts w:ascii="Calibri" w:cs="Calibri"/>
          <w:color w:val="000000"/>
          <w:vertAlign w:val="superscript"/>
        </w:rPr>
        <w:t>9,12,15</w:t>
      </w:r>
      <w:r w:rsidR="00116EAB">
        <w:rPr>
          <w:color w:val="000000" w:themeColor="text1"/>
        </w:rPr>
        <w:fldChar w:fldCharType="end"/>
      </w:r>
      <w:r w:rsidR="00B037CD">
        <w:rPr>
          <w:color w:val="000000" w:themeColor="text1"/>
        </w:rPr>
        <w:t xml:space="preserve"> an</w:t>
      </w:r>
      <w:r w:rsidR="00D349AD">
        <w:rPr>
          <w:color w:val="000000" w:themeColor="text1"/>
        </w:rPr>
        <w:t>d</w:t>
      </w:r>
      <w:r w:rsidR="00B037CD">
        <w:rPr>
          <w:color w:val="000000" w:themeColor="text1"/>
        </w:rPr>
        <w:t xml:space="preserve"> digital e-Health solutions</w:t>
      </w:r>
      <w:r w:rsidR="00116EAB">
        <w:rPr>
          <w:color w:val="000000" w:themeColor="text1"/>
        </w:rPr>
        <w:fldChar w:fldCharType="begin"/>
      </w:r>
      <w:r w:rsidR="0032292F">
        <w:rPr>
          <w:color w:val="000000" w:themeColor="text1"/>
        </w:rPr>
        <w:instrText xml:space="preserve"> ADDIN ZOTERO_ITEM CSL_CITATION {"citationID":"1XckSAFj","properties":{"formattedCitation":"\\super 29\\nosupersub{}","plainCitation":"29","noteIndex":0},"citationItems":[{"id":687,"uris":["http://zotero.org/users/2016235/items/E6HFPJCX"],"itemData":{"id":687,"type":"article-journal","abstract":"Electronic health (eHealth) data collection is increasingly used in many chronic illnesses, to track pattern of disease. eHealth systems have the potential to revolutionize care. Inflammatory bowel disease (IBD) is a paradigm for such an approach: this is a chronic disease that usually affects young and technologically literate patient population, who are motivated to be involved in their own care. A range of eHealth technologies are available for IBD. This review considers the strengths and weaknesses of 7 platforms that focus on patient-provider interaction. These have been developed in Denmark, United States, the Netherlands, and the United Kingdom, demonstrating an international interest in this form of technology and interaction. Not only do these technologies aim to improve care but they also have the potential to collect large amounts of information. Information includes demographics and patient reported outcomes (symptoms, quality of life), quality of care (steroid use, among other metrics) and outcomes such as hospitalization. These data could inform quality improvement programmes to improve their focus. eHealth technology is also open to machine learning to analyze large data sets, through which personalized algorithms may be developed.","container-title":"Intestinal Research","DOI":"10.5217/ir.2018.16.3.366","ISSN":"1598-9100","issue":"3","journalAbbreviation":"Intest Res","note":"PMID: 30090035\nPMCID: PMC6077306","page":"366-373","source":"PubMed Central","title":"What's app? Electronic health technology in inflammatory bowel disease","title-short":"What's app?","volume":"16","author":[{"family":"Walsh","given":"Alissa"},{"family":"Travis","given":"Simon"}],"issued":{"date-parts":[["2018",7]]}}}],"schema":"https://github.com/citation-style-language/schema/raw/master/csl-citation.json"} </w:instrText>
      </w:r>
      <w:r w:rsidR="00116EAB">
        <w:rPr>
          <w:color w:val="000000" w:themeColor="text1"/>
        </w:rPr>
        <w:fldChar w:fldCharType="separate"/>
      </w:r>
      <w:r w:rsidR="0032292F" w:rsidRPr="0032292F">
        <w:rPr>
          <w:rFonts w:ascii="Calibri" w:cs="Calibri"/>
          <w:color w:val="000000"/>
          <w:vertAlign w:val="superscript"/>
        </w:rPr>
        <w:t>29</w:t>
      </w:r>
      <w:r w:rsidR="00116EAB">
        <w:rPr>
          <w:color w:val="000000" w:themeColor="text1"/>
        </w:rPr>
        <w:fldChar w:fldCharType="end"/>
      </w:r>
      <w:r w:rsidR="00B037CD">
        <w:rPr>
          <w:color w:val="000000" w:themeColor="text1"/>
        </w:rPr>
        <w:t xml:space="preserve"> offers </w:t>
      </w:r>
      <w:r w:rsidR="00C2670E">
        <w:rPr>
          <w:color w:val="000000" w:themeColor="text1"/>
        </w:rPr>
        <w:t xml:space="preserve">future </w:t>
      </w:r>
      <w:r w:rsidR="00B037CD">
        <w:rPr>
          <w:color w:val="000000" w:themeColor="text1"/>
        </w:rPr>
        <w:t xml:space="preserve">potential </w:t>
      </w:r>
      <w:r w:rsidR="00797C59">
        <w:rPr>
          <w:color w:val="000000" w:themeColor="text1"/>
        </w:rPr>
        <w:t xml:space="preserve">for diverse </w:t>
      </w:r>
      <w:r w:rsidR="00797C59" w:rsidRPr="0082721F">
        <w:rPr>
          <w:color w:val="000000" w:themeColor="text1"/>
        </w:rPr>
        <w:t xml:space="preserve">repositories of data to be linked for </w:t>
      </w:r>
      <w:r w:rsidR="0011724C" w:rsidRPr="0082721F">
        <w:rPr>
          <w:color w:val="000000" w:themeColor="text1"/>
        </w:rPr>
        <w:t xml:space="preserve">real-world </w:t>
      </w:r>
      <w:r w:rsidR="00B051A0" w:rsidRPr="0082721F">
        <w:rPr>
          <w:color w:val="000000" w:themeColor="text1"/>
        </w:rPr>
        <w:t xml:space="preserve">outcomes </w:t>
      </w:r>
      <w:r w:rsidR="00797C59" w:rsidRPr="0082721F">
        <w:rPr>
          <w:color w:val="000000" w:themeColor="text1"/>
        </w:rPr>
        <w:t>research</w:t>
      </w:r>
      <w:r w:rsidR="00CB3229" w:rsidRPr="0082721F">
        <w:rPr>
          <w:color w:val="000000" w:themeColor="text1"/>
        </w:rPr>
        <w:t xml:space="preserve"> using </w:t>
      </w:r>
      <w:r w:rsidR="00E1778B" w:rsidRPr="0082721F">
        <w:rPr>
          <w:color w:val="000000" w:themeColor="text1"/>
        </w:rPr>
        <w:t>this</w:t>
      </w:r>
      <w:r w:rsidR="00D349AD" w:rsidRPr="0082721F">
        <w:rPr>
          <w:color w:val="000000" w:themeColor="text1"/>
        </w:rPr>
        <w:t xml:space="preserve"> simple</w:t>
      </w:r>
      <w:r w:rsidR="005A6893" w:rsidRPr="0082721F">
        <w:rPr>
          <w:color w:val="000000" w:themeColor="text1"/>
        </w:rPr>
        <w:t xml:space="preserve">, </w:t>
      </w:r>
      <w:r w:rsidR="00E1778B" w:rsidRPr="0082721F">
        <w:rPr>
          <w:color w:val="000000" w:themeColor="text1"/>
        </w:rPr>
        <w:t>generic</w:t>
      </w:r>
      <w:r w:rsidR="00D349AD" w:rsidRPr="0082721F">
        <w:rPr>
          <w:color w:val="000000" w:themeColor="text1"/>
        </w:rPr>
        <w:t xml:space="preserve"> but highly </w:t>
      </w:r>
      <w:r w:rsidR="005A6893" w:rsidRPr="0082721F">
        <w:rPr>
          <w:color w:val="000000" w:themeColor="text1"/>
        </w:rPr>
        <w:t xml:space="preserve">reliable and </w:t>
      </w:r>
      <w:r w:rsidR="00D349AD" w:rsidRPr="0082721F">
        <w:rPr>
          <w:color w:val="000000" w:themeColor="text1"/>
        </w:rPr>
        <w:t xml:space="preserve">valid </w:t>
      </w:r>
      <w:r w:rsidR="00CB3229" w:rsidRPr="0082721F">
        <w:rPr>
          <w:color w:val="000000" w:themeColor="text1"/>
        </w:rPr>
        <w:t>scale.</w:t>
      </w:r>
    </w:p>
    <w:p w14:paraId="657689FE" w14:textId="77777777" w:rsidR="00573F7C" w:rsidRDefault="00573F7C">
      <w:pPr>
        <w:rPr>
          <w:b/>
          <w:bCs/>
          <w:sz w:val="24"/>
          <w:szCs w:val="24"/>
        </w:rPr>
      </w:pPr>
    </w:p>
    <w:p w14:paraId="7B100A9A" w14:textId="05310AA5" w:rsidR="00834C75" w:rsidRPr="000D346F" w:rsidRDefault="00834C75">
      <w:pPr>
        <w:rPr>
          <w:b/>
          <w:bCs/>
          <w:sz w:val="24"/>
          <w:szCs w:val="24"/>
        </w:rPr>
      </w:pPr>
      <w:r w:rsidRPr="000D346F">
        <w:rPr>
          <w:b/>
          <w:bCs/>
          <w:sz w:val="24"/>
          <w:szCs w:val="24"/>
        </w:rPr>
        <w:t>Funding</w:t>
      </w:r>
    </w:p>
    <w:p w14:paraId="2304058C" w14:textId="3FB6178E" w:rsidR="00834C75" w:rsidRPr="0082721F" w:rsidRDefault="008B0610">
      <w:r w:rsidRPr="0082721F">
        <w:t xml:space="preserve">This work was supported by </w:t>
      </w:r>
      <w:r w:rsidR="00230F63" w:rsidRPr="0082721F">
        <w:t>IBD Registry Ltd</w:t>
      </w:r>
      <w:r w:rsidR="0082721F" w:rsidRPr="0082721F">
        <w:t>, 3 St Andrews Place, Regent’s Park, London NW1 4LB.</w:t>
      </w:r>
    </w:p>
    <w:p w14:paraId="641DA317" w14:textId="77777777" w:rsidR="00834C75" w:rsidRPr="000D346F" w:rsidRDefault="00834C75">
      <w:pPr>
        <w:rPr>
          <w:b/>
          <w:bCs/>
          <w:sz w:val="24"/>
          <w:szCs w:val="24"/>
        </w:rPr>
      </w:pPr>
      <w:r w:rsidRPr="000D346F">
        <w:rPr>
          <w:b/>
          <w:bCs/>
          <w:sz w:val="24"/>
          <w:szCs w:val="24"/>
        </w:rPr>
        <w:t>Conflict of interest</w:t>
      </w:r>
    </w:p>
    <w:p w14:paraId="7AD4E309" w14:textId="612E772E" w:rsidR="00230F63" w:rsidRPr="0082721F" w:rsidRDefault="00230F63">
      <w:r w:rsidRPr="0082721F">
        <w:t xml:space="preserve">F.T. and L.D. are employees of IBD Registry Ltd., a not-for-profit organisation owned by the British Society of Gastroenterology, the Royal College of Physicians and Crohn’s &amp; Colitis UK. </w:t>
      </w:r>
    </w:p>
    <w:p w14:paraId="36AD42BD" w14:textId="17CCBB01" w:rsidR="00B47CC1" w:rsidRPr="000D346F" w:rsidRDefault="00B47CC1">
      <w:pPr>
        <w:rPr>
          <w:b/>
          <w:bCs/>
          <w:sz w:val="24"/>
          <w:szCs w:val="24"/>
        </w:rPr>
      </w:pPr>
      <w:r w:rsidRPr="000D346F">
        <w:rPr>
          <w:b/>
          <w:bCs/>
          <w:sz w:val="24"/>
          <w:szCs w:val="24"/>
        </w:rPr>
        <w:t>Data Availability</w:t>
      </w:r>
    </w:p>
    <w:p w14:paraId="242EE29E" w14:textId="6E6A7AFE" w:rsidR="00B47CC1" w:rsidRPr="00296FF8" w:rsidRDefault="0082721F">
      <w:pPr>
        <w:rPr>
          <w:color w:val="000000" w:themeColor="text1"/>
        </w:rPr>
      </w:pPr>
      <w:r w:rsidRPr="00296FF8">
        <w:rPr>
          <w:color w:val="000000" w:themeColor="text1"/>
        </w:rPr>
        <w:t>Details of how to apply to use survey data held by the IBD Registry are</w:t>
      </w:r>
      <w:r w:rsidR="000D346F" w:rsidRPr="00296FF8">
        <w:rPr>
          <w:color w:val="000000" w:themeColor="text1"/>
        </w:rPr>
        <w:t xml:space="preserve"> available online: (</w:t>
      </w:r>
      <w:hyperlink r:id="rId8" w:history="1">
        <w:r w:rsidR="000D346F" w:rsidRPr="00296FF8">
          <w:rPr>
            <w:rStyle w:val="Hyperlink"/>
            <w:color w:val="000000" w:themeColor="text1"/>
          </w:rPr>
          <w:t>https://ibdregistry.org.uk/analysis-and-research/apply-to-use-our-data/</w:t>
        </w:r>
      </w:hyperlink>
      <w:r w:rsidR="000D346F" w:rsidRPr="00296FF8">
        <w:rPr>
          <w:rStyle w:val="Hyperlink"/>
          <w:color w:val="000000" w:themeColor="text1"/>
        </w:rPr>
        <w:t xml:space="preserve">). </w:t>
      </w:r>
      <w:r w:rsidR="000D346F" w:rsidRPr="00296FF8">
        <w:rPr>
          <w:color w:val="000000" w:themeColor="text1"/>
        </w:rPr>
        <w:t xml:space="preserve"> </w:t>
      </w:r>
      <w:r w:rsidRPr="00296FF8">
        <w:rPr>
          <w:color w:val="000000" w:themeColor="text1"/>
        </w:rPr>
        <w:t xml:space="preserve">For enquiries about data access, please e-mail: </w:t>
      </w:r>
      <w:r w:rsidR="00B47CC1" w:rsidRPr="00296FF8">
        <w:rPr>
          <w:color w:val="000000" w:themeColor="text1"/>
        </w:rPr>
        <w:t xml:space="preserve"> </w:t>
      </w:r>
      <w:hyperlink r:id="rId9" w:history="1">
        <w:r w:rsidRPr="00296FF8">
          <w:rPr>
            <w:rStyle w:val="Hyperlink"/>
            <w:color w:val="000000" w:themeColor="text1"/>
          </w:rPr>
          <w:t>analysis@ibdregistry.org.uk</w:t>
        </w:r>
      </w:hyperlink>
    </w:p>
    <w:p w14:paraId="6E1D1A18" w14:textId="77777777" w:rsidR="00834C75" w:rsidRPr="000D346F" w:rsidRDefault="00834C75">
      <w:pPr>
        <w:rPr>
          <w:b/>
          <w:bCs/>
          <w:sz w:val="24"/>
          <w:szCs w:val="24"/>
        </w:rPr>
      </w:pPr>
      <w:r w:rsidRPr="000D346F">
        <w:rPr>
          <w:b/>
          <w:bCs/>
          <w:sz w:val="24"/>
          <w:szCs w:val="24"/>
        </w:rPr>
        <w:t>Author contributions</w:t>
      </w:r>
    </w:p>
    <w:p w14:paraId="4D919DE7" w14:textId="574B2F59" w:rsidR="000D346F" w:rsidRPr="000D346F" w:rsidRDefault="00873F67" w:rsidP="00873F67">
      <w:pPr>
        <w:jc w:val="both"/>
      </w:pPr>
      <w:r w:rsidRPr="000D346F">
        <w:lastRenderedPageBreak/>
        <w:t xml:space="preserve">No additional writing assistance was used for this manuscript.  </w:t>
      </w:r>
      <w:r w:rsidR="00834C75" w:rsidRPr="000D346F">
        <w:t>K</w:t>
      </w:r>
      <w:r w:rsidRPr="000D346F">
        <w:t>.</w:t>
      </w:r>
      <w:r w:rsidR="00834C75" w:rsidRPr="000D346F">
        <w:t>B</w:t>
      </w:r>
      <w:r w:rsidRPr="000D346F">
        <w:t xml:space="preserve">., </w:t>
      </w:r>
      <w:r w:rsidR="00834C75" w:rsidRPr="000D346F">
        <w:t>P</w:t>
      </w:r>
      <w:r w:rsidRPr="000D346F">
        <w:t>.</w:t>
      </w:r>
      <w:r w:rsidR="00834C75" w:rsidRPr="000D346F">
        <w:t>C</w:t>
      </w:r>
      <w:r w:rsidRPr="000D346F">
        <w:t>., G.G. and F.T. all contributed to design of the study.   K.B., F.T., L.D.,</w:t>
      </w:r>
      <w:r w:rsidR="00C9595F">
        <w:t xml:space="preserve"> </w:t>
      </w:r>
      <w:r w:rsidR="00C9595F" w:rsidRPr="00C9595F">
        <w:t>F.C.,</w:t>
      </w:r>
      <w:r w:rsidRPr="000D346F">
        <w:t xml:space="preserve"> S.B. and N.K. contributed to design of the COVID-19 follow-up survey and its collection.  G.G. and F.T. analyzed data, supervised by K.B.</w:t>
      </w:r>
      <w:r w:rsidR="002E7FC1" w:rsidRPr="000D346F">
        <w:t xml:space="preserve"> and P.C.  </w:t>
      </w:r>
      <w:r w:rsidRPr="000D346F">
        <w:t xml:space="preserve"> K.B. drafted the manuscript.  G.G. and P.C. critically revised the manuscript for important intellectual content.  </w:t>
      </w:r>
      <w:r w:rsidR="00834C75" w:rsidRPr="000D346F">
        <w:t xml:space="preserve">All authors </w:t>
      </w:r>
      <w:r w:rsidRPr="000D346F">
        <w:t xml:space="preserve">have </w:t>
      </w:r>
      <w:r w:rsidR="00CF7C99">
        <w:t xml:space="preserve">reviewed and </w:t>
      </w:r>
      <w:r w:rsidR="00834C75" w:rsidRPr="000D346F">
        <w:t>approved the manuscript</w:t>
      </w:r>
      <w:r w:rsidRPr="000D346F">
        <w:t>.</w:t>
      </w:r>
    </w:p>
    <w:p w14:paraId="7FDEED4E" w14:textId="77777777" w:rsidR="000D346F" w:rsidRPr="000D346F" w:rsidRDefault="000D346F" w:rsidP="00873F67">
      <w:pPr>
        <w:jc w:val="both"/>
        <w:rPr>
          <w:b/>
          <w:bCs/>
          <w:sz w:val="28"/>
          <w:szCs w:val="28"/>
        </w:rPr>
      </w:pPr>
      <w:r w:rsidRPr="000D346F">
        <w:rPr>
          <w:b/>
          <w:bCs/>
          <w:sz w:val="28"/>
          <w:szCs w:val="28"/>
        </w:rPr>
        <w:t>Supplementary data</w:t>
      </w:r>
    </w:p>
    <w:p w14:paraId="3B050673" w14:textId="72B093CC" w:rsidR="00D071AC" w:rsidRPr="00873F67" w:rsidRDefault="000D346F" w:rsidP="00873F67">
      <w:pPr>
        <w:jc w:val="both"/>
        <w:rPr>
          <w:sz w:val="24"/>
          <w:szCs w:val="24"/>
        </w:rPr>
      </w:pPr>
      <w:r w:rsidRPr="000D346F">
        <w:t>Supplementary data are available at:</w:t>
      </w:r>
      <w:r w:rsidR="00811E76">
        <w:t xml:space="preserve"> </w:t>
      </w:r>
      <w:r w:rsidR="00E414D6">
        <w:t>[journal link</w:t>
      </w:r>
      <w:r w:rsidR="00811E76">
        <w:t>]</w:t>
      </w:r>
      <w:r w:rsidR="00D071AC">
        <w:rPr>
          <w:sz w:val="24"/>
          <w:szCs w:val="24"/>
        </w:rPr>
        <w:br w:type="page"/>
      </w:r>
    </w:p>
    <w:p w14:paraId="4AB54FCC" w14:textId="77777777" w:rsidR="00AA2B30" w:rsidRPr="001E2362" w:rsidRDefault="00AA2B30" w:rsidP="00AA2B30">
      <w:r w:rsidRPr="0085531A">
        <w:rPr>
          <w:b/>
          <w:bCs/>
        </w:rPr>
        <w:lastRenderedPageBreak/>
        <w:t>Table 1:</w:t>
      </w:r>
      <w:r w:rsidRPr="0085531A">
        <w:t xml:space="preserve">  </w:t>
      </w:r>
      <w:r w:rsidRPr="0085531A">
        <w:rPr>
          <w:b/>
          <w:bCs/>
        </w:rPr>
        <w:t>Demographic and clinical characteristics of survey respondents and summary statistics for patient-reported outcome measures.</w:t>
      </w:r>
      <w:r w:rsidRPr="0085531A">
        <w:t xml:space="preserve">  Overall population (n=7,337) and stratified by self-reported diagnosis</w:t>
      </w:r>
    </w:p>
    <w:tbl>
      <w:tblPr>
        <w:tblStyle w:val="TableGrid"/>
        <w:tblW w:w="8642" w:type="dxa"/>
        <w:tblLayout w:type="fixed"/>
        <w:tblLook w:val="0000" w:firstRow="0" w:lastRow="0" w:firstColumn="0" w:lastColumn="0" w:noHBand="0" w:noVBand="0"/>
      </w:tblPr>
      <w:tblGrid>
        <w:gridCol w:w="2972"/>
        <w:gridCol w:w="1276"/>
        <w:gridCol w:w="1417"/>
        <w:gridCol w:w="1560"/>
        <w:gridCol w:w="1417"/>
      </w:tblGrid>
      <w:tr w:rsidR="00AA2B30" w14:paraId="574DCA37" w14:textId="77777777" w:rsidTr="00A34DA1">
        <w:trPr>
          <w:trHeight w:val="260"/>
        </w:trPr>
        <w:tc>
          <w:tcPr>
            <w:tcW w:w="2972" w:type="dxa"/>
            <w:shd w:val="clear" w:color="auto" w:fill="DEEAF6" w:themeFill="accent5" w:themeFillTint="33"/>
          </w:tcPr>
          <w:p w14:paraId="28C31D27" w14:textId="77777777" w:rsidR="00AA2B30" w:rsidRDefault="00AA2B30" w:rsidP="00A34DA1">
            <w:pPr>
              <w:autoSpaceDE w:val="0"/>
              <w:autoSpaceDN w:val="0"/>
              <w:adjustRightInd w:val="0"/>
              <w:rPr>
                <w:rFonts w:ascii="Calibri" w:hAnsi="Calibri" w:cs="Calibri"/>
                <w:b/>
                <w:bCs/>
                <w:color w:val="000000"/>
                <w:sz w:val="18"/>
                <w:szCs w:val="18"/>
              </w:rPr>
            </w:pPr>
            <w:r>
              <w:rPr>
                <w:rFonts w:ascii="Calibri" w:hAnsi="Calibri" w:cs="Calibri"/>
                <w:b/>
                <w:bCs/>
                <w:color w:val="000000"/>
                <w:sz w:val="18"/>
                <w:szCs w:val="18"/>
              </w:rPr>
              <w:t>Characteristic</w:t>
            </w:r>
          </w:p>
        </w:tc>
        <w:tc>
          <w:tcPr>
            <w:tcW w:w="1276" w:type="dxa"/>
            <w:shd w:val="clear" w:color="auto" w:fill="DEEAF6" w:themeFill="accent5" w:themeFillTint="33"/>
          </w:tcPr>
          <w:p w14:paraId="6042250D" w14:textId="77777777" w:rsidR="00AA2B30" w:rsidRDefault="00AA2B30" w:rsidP="00A34DA1">
            <w:pPr>
              <w:autoSpaceDE w:val="0"/>
              <w:autoSpaceDN w:val="0"/>
              <w:adjustRightInd w:val="0"/>
              <w:jc w:val="right"/>
              <w:rPr>
                <w:rFonts w:ascii="Calibri" w:hAnsi="Calibri" w:cs="Calibri"/>
                <w:b/>
                <w:bCs/>
                <w:color w:val="000000"/>
                <w:sz w:val="18"/>
                <w:szCs w:val="18"/>
              </w:rPr>
            </w:pPr>
            <w:r>
              <w:rPr>
                <w:rFonts w:ascii="Calibri" w:hAnsi="Calibri" w:cs="Calibri"/>
                <w:b/>
                <w:bCs/>
                <w:color w:val="000000"/>
                <w:sz w:val="18"/>
                <w:szCs w:val="18"/>
              </w:rPr>
              <w:t>Overall</w:t>
            </w:r>
          </w:p>
        </w:tc>
        <w:tc>
          <w:tcPr>
            <w:tcW w:w="1417" w:type="dxa"/>
            <w:shd w:val="clear" w:color="auto" w:fill="DEEAF6" w:themeFill="accent5" w:themeFillTint="33"/>
          </w:tcPr>
          <w:p w14:paraId="6494534A" w14:textId="77777777" w:rsidR="00AA2B30" w:rsidRDefault="00AA2B30" w:rsidP="00A34DA1">
            <w:pPr>
              <w:autoSpaceDE w:val="0"/>
              <w:autoSpaceDN w:val="0"/>
              <w:adjustRightInd w:val="0"/>
              <w:jc w:val="right"/>
              <w:rPr>
                <w:rFonts w:ascii="Calibri" w:hAnsi="Calibri" w:cs="Calibri"/>
                <w:b/>
                <w:bCs/>
                <w:color w:val="000000"/>
                <w:sz w:val="18"/>
                <w:szCs w:val="18"/>
              </w:rPr>
            </w:pPr>
            <w:r>
              <w:rPr>
                <w:rFonts w:ascii="Calibri" w:hAnsi="Calibri" w:cs="Calibri"/>
                <w:b/>
                <w:bCs/>
                <w:color w:val="000000"/>
                <w:sz w:val="18"/>
                <w:szCs w:val="18"/>
              </w:rPr>
              <w:t>Crohn's disease</w:t>
            </w:r>
          </w:p>
        </w:tc>
        <w:tc>
          <w:tcPr>
            <w:tcW w:w="1560" w:type="dxa"/>
            <w:shd w:val="clear" w:color="auto" w:fill="DEEAF6" w:themeFill="accent5" w:themeFillTint="33"/>
          </w:tcPr>
          <w:p w14:paraId="294C297B" w14:textId="77777777" w:rsidR="00AA2B30" w:rsidRDefault="00AA2B30" w:rsidP="00A34DA1">
            <w:pPr>
              <w:autoSpaceDE w:val="0"/>
              <w:autoSpaceDN w:val="0"/>
              <w:adjustRightInd w:val="0"/>
              <w:jc w:val="right"/>
              <w:rPr>
                <w:rFonts w:ascii="Calibri" w:hAnsi="Calibri" w:cs="Calibri"/>
                <w:b/>
                <w:bCs/>
                <w:color w:val="000000"/>
                <w:sz w:val="18"/>
                <w:szCs w:val="18"/>
              </w:rPr>
            </w:pPr>
            <w:r>
              <w:rPr>
                <w:rFonts w:ascii="Calibri" w:hAnsi="Calibri" w:cs="Calibri"/>
                <w:b/>
                <w:bCs/>
                <w:color w:val="000000"/>
                <w:sz w:val="18"/>
                <w:szCs w:val="18"/>
              </w:rPr>
              <w:t>Ulcerative colitis</w:t>
            </w:r>
          </w:p>
        </w:tc>
        <w:tc>
          <w:tcPr>
            <w:tcW w:w="1417" w:type="dxa"/>
            <w:shd w:val="clear" w:color="auto" w:fill="DEEAF6" w:themeFill="accent5" w:themeFillTint="33"/>
          </w:tcPr>
          <w:p w14:paraId="69E0273A" w14:textId="77777777" w:rsidR="00AA2B30" w:rsidRDefault="00AA2B30" w:rsidP="00A34DA1">
            <w:pPr>
              <w:autoSpaceDE w:val="0"/>
              <w:autoSpaceDN w:val="0"/>
              <w:adjustRightInd w:val="0"/>
              <w:jc w:val="right"/>
              <w:rPr>
                <w:rFonts w:ascii="Calibri" w:hAnsi="Calibri" w:cs="Calibri"/>
                <w:b/>
                <w:bCs/>
                <w:color w:val="000000"/>
                <w:sz w:val="18"/>
                <w:szCs w:val="18"/>
              </w:rPr>
            </w:pPr>
            <w:r>
              <w:rPr>
                <w:rFonts w:ascii="Calibri" w:hAnsi="Calibri" w:cs="Calibri"/>
                <w:b/>
                <w:bCs/>
                <w:color w:val="000000"/>
                <w:sz w:val="18"/>
                <w:szCs w:val="18"/>
              </w:rPr>
              <w:t>IBD unclassified</w:t>
            </w:r>
          </w:p>
        </w:tc>
      </w:tr>
      <w:tr w:rsidR="00AA2B30" w14:paraId="4F3B85DB" w14:textId="77777777" w:rsidTr="00A34DA1">
        <w:trPr>
          <w:trHeight w:val="260"/>
        </w:trPr>
        <w:tc>
          <w:tcPr>
            <w:tcW w:w="2972" w:type="dxa"/>
          </w:tcPr>
          <w:p w14:paraId="5E537A44" w14:textId="77777777" w:rsidR="00AA2B30" w:rsidRDefault="00AA2B30" w:rsidP="00A34DA1">
            <w:pPr>
              <w:autoSpaceDE w:val="0"/>
              <w:autoSpaceDN w:val="0"/>
              <w:adjustRightInd w:val="0"/>
              <w:rPr>
                <w:rFonts w:ascii="Calibri" w:hAnsi="Calibri" w:cs="Calibri"/>
                <w:b/>
                <w:bCs/>
                <w:color w:val="000000"/>
                <w:sz w:val="18"/>
                <w:szCs w:val="18"/>
              </w:rPr>
            </w:pPr>
            <w:r>
              <w:rPr>
                <w:rFonts w:ascii="Calibri" w:hAnsi="Calibri" w:cs="Calibri"/>
                <w:b/>
                <w:bCs/>
                <w:color w:val="000000"/>
                <w:sz w:val="18"/>
                <w:szCs w:val="18"/>
              </w:rPr>
              <w:t xml:space="preserve"> Number of respondents</w:t>
            </w:r>
          </w:p>
        </w:tc>
        <w:tc>
          <w:tcPr>
            <w:tcW w:w="1276" w:type="dxa"/>
          </w:tcPr>
          <w:p w14:paraId="43867E2F"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7,337</w:t>
            </w:r>
          </w:p>
        </w:tc>
        <w:tc>
          <w:tcPr>
            <w:tcW w:w="1417" w:type="dxa"/>
          </w:tcPr>
          <w:p w14:paraId="19A3B81A"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3,808</w:t>
            </w:r>
          </w:p>
        </w:tc>
        <w:tc>
          <w:tcPr>
            <w:tcW w:w="1560" w:type="dxa"/>
          </w:tcPr>
          <w:p w14:paraId="38DA8DEB"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3,298</w:t>
            </w:r>
          </w:p>
        </w:tc>
        <w:tc>
          <w:tcPr>
            <w:tcW w:w="1417" w:type="dxa"/>
          </w:tcPr>
          <w:p w14:paraId="33834D5C"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231</w:t>
            </w:r>
          </w:p>
        </w:tc>
      </w:tr>
      <w:tr w:rsidR="00AA2B30" w14:paraId="292E4CAF" w14:textId="77777777" w:rsidTr="00A34DA1">
        <w:trPr>
          <w:trHeight w:val="260"/>
        </w:trPr>
        <w:tc>
          <w:tcPr>
            <w:tcW w:w="2972" w:type="dxa"/>
          </w:tcPr>
          <w:p w14:paraId="398B0EAE" w14:textId="77777777" w:rsidR="00AA2B30" w:rsidRDefault="00AA2B30" w:rsidP="00A34DA1">
            <w:pPr>
              <w:autoSpaceDE w:val="0"/>
              <w:autoSpaceDN w:val="0"/>
              <w:adjustRightInd w:val="0"/>
              <w:rPr>
                <w:rFonts w:ascii="Calibri" w:hAnsi="Calibri" w:cs="Calibri"/>
                <w:color w:val="000000"/>
                <w:sz w:val="18"/>
                <w:szCs w:val="18"/>
              </w:rPr>
            </w:pPr>
            <w:r>
              <w:rPr>
                <w:rFonts w:ascii="Calibri" w:hAnsi="Calibri" w:cs="Calibri"/>
                <w:b/>
                <w:bCs/>
                <w:color w:val="000000"/>
                <w:sz w:val="18"/>
                <w:szCs w:val="18"/>
              </w:rPr>
              <w:t xml:space="preserve"> Age, </w:t>
            </w:r>
            <w:r>
              <w:rPr>
                <w:rFonts w:ascii="Calibri" w:hAnsi="Calibri" w:cs="Calibri"/>
                <w:color w:val="000000"/>
                <w:sz w:val="18"/>
                <w:szCs w:val="18"/>
              </w:rPr>
              <w:t>median (IQR)</w:t>
            </w:r>
          </w:p>
        </w:tc>
        <w:tc>
          <w:tcPr>
            <w:tcW w:w="1276" w:type="dxa"/>
          </w:tcPr>
          <w:p w14:paraId="26BF072C"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48 (36, 58)</w:t>
            </w:r>
          </w:p>
        </w:tc>
        <w:tc>
          <w:tcPr>
            <w:tcW w:w="1417" w:type="dxa"/>
          </w:tcPr>
          <w:p w14:paraId="0982F449"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46 (35, 57)</w:t>
            </w:r>
          </w:p>
        </w:tc>
        <w:tc>
          <w:tcPr>
            <w:tcW w:w="1560" w:type="dxa"/>
          </w:tcPr>
          <w:p w14:paraId="7FE24B10"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49 (38, 60)</w:t>
            </w:r>
          </w:p>
        </w:tc>
        <w:tc>
          <w:tcPr>
            <w:tcW w:w="1417" w:type="dxa"/>
          </w:tcPr>
          <w:p w14:paraId="2766AE02"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46 (34, 59)</w:t>
            </w:r>
          </w:p>
        </w:tc>
      </w:tr>
      <w:tr w:rsidR="00AA2B30" w14:paraId="04487BC2" w14:textId="77777777" w:rsidTr="00A34DA1">
        <w:trPr>
          <w:trHeight w:val="260"/>
        </w:trPr>
        <w:tc>
          <w:tcPr>
            <w:tcW w:w="2972" w:type="dxa"/>
          </w:tcPr>
          <w:p w14:paraId="704093C3" w14:textId="77777777" w:rsidR="00AA2B30" w:rsidRDefault="00AA2B30" w:rsidP="00A34DA1">
            <w:pPr>
              <w:autoSpaceDE w:val="0"/>
              <w:autoSpaceDN w:val="0"/>
              <w:adjustRightInd w:val="0"/>
              <w:rPr>
                <w:rFonts w:ascii="Calibri" w:hAnsi="Calibri" w:cs="Calibri"/>
                <w:b/>
                <w:bCs/>
                <w:color w:val="000000"/>
                <w:sz w:val="18"/>
                <w:szCs w:val="18"/>
              </w:rPr>
            </w:pPr>
            <w:r>
              <w:rPr>
                <w:rFonts w:ascii="Calibri" w:hAnsi="Calibri" w:cs="Calibri"/>
                <w:b/>
                <w:bCs/>
                <w:color w:val="000000"/>
                <w:sz w:val="18"/>
                <w:szCs w:val="18"/>
              </w:rPr>
              <w:t xml:space="preserve"> Sex</w:t>
            </w:r>
          </w:p>
        </w:tc>
        <w:tc>
          <w:tcPr>
            <w:tcW w:w="1276" w:type="dxa"/>
          </w:tcPr>
          <w:p w14:paraId="787196E6" w14:textId="77777777" w:rsidR="00AA2B30" w:rsidRDefault="00AA2B30" w:rsidP="00A34DA1">
            <w:pPr>
              <w:autoSpaceDE w:val="0"/>
              <w:autoSpaceDN w:val="0"/>
              <w:adjustRightInd w:val="0"/>
              <w:jc w:val="right"/>
              <w:rPr>
                <w:rFonts w:ascii="Calibri" w:hAnsi="Calibri" w:cs="Calibri"/>
                <w:color w:val="000000"/>
                <w:sz w:val="18"/>
                <w:szCs w:val="18"/>
              </w:rPr>
            </w:pPr>
          </w:p>
        </w:tc>
        <w:tc>
          <w:tcPr>
            <w:tcW w:w="1417" w:type="dxa"/>
          </w:tcPr>
          <w:p w14:paraId="38B6E785" w14:textId="77777777" w:rsidR="00AA2B30" w:rsidRDefault="00AA2B30" w:rsidP="00A34DA1">
            <w:pPr>
              <w:autoSpaceDE w:val="0"/>
              <w:autoSpaceDN w:val="0"/>
              <w:adjustRightInd w:val="0"/>
              <w:jc w:val="right"/>
              <w:rPr>
                <w:rFonts w:ascii="Calibri" w:hAnsi="Calibri" w:cs="Calibri"/>
                <w:color w:val="000000"/>
                <w:sz w:val="18"/>
                <w:szCs w:val="18"/>
              </w:rPr>
            </w:pPr>
          </w:p>
        </w:tc>
        <w:tc>
          <w:tcPr>
            <w:tcW w:w="1560" w:type="dxa"/>
          </w:tcPr>
          <w:p w14:paraId="5BDCBDCB" w14:textId="77777777" w:rsidR="00AA2B30" w:rsidRDefault="00AA2B30" w:rsidP="00A34DA1">
            <w:pPr>
              <w:autoSpaceDE w:val="0"/>
              <w:autoSpaceDN w:val="0"/>
              <w:adjustRightInd w:val="0"/>
              <w:jc w:val="right"/>
              <w:rPr>
                <w:rFonts w:ascii="Calibri" w:hAnsi="Calibri" w:cs="Calibri"/>
                <w:color w:val="000000"/>
                <w:sz w:val="18"/>
                <w:szCs w:val="18"/>
              </w:rPr>
            </w:pPr>
          </w:p>
        </w:tc>
        <w:tc>
          <w:tcPr>
            <w:tcW w:w="1417" w:type="dxa"/>
          </w:tcPr>
          <w:p w14:paraId="3E6A04D7" w14:textId="77777777" w:rsidR="00AA2B30" w:rsidRDefault="00AA2B30" w:rsidP="00A34DA1">
            <w:pPr>
              <w:autoSpaceDE w:val="0"/>
              <w:autoSpaceDN w:val="0"/>
              <w:adjustRightInd w:val="0"/>
              <w:jc w:val="right"/>
              <w:rPr>
                <w:rFonts w:ascii="Calibri" w:hAnsi="Calibri" w:cs="Calibri"/>
                <w:color w:val="000000"/>
                <w:sz w:val="18"/>
                <w:szCs w:val="18"/>
              </w:rPr>
            </w:pPr>
          </w:p>
        </w:tc>
      </w:tr>
      <w:tr w:rsidR="00AA2B30" w14:paraId="12BCF814" w14:textId="77777777" w:rsidTr="00A34DA1">
        <w:trPr>
          <w:trHeight w:val="260"/>
        </w:trPr>
        <w:tc>
          <w:tcPr>
            <w:tcW w:w="2972" w:type="dxa"/>
          </w:tcPr>
          <w:p w14:paraId="6BC0782C" w14:textId="77777777" w:rsidR="00AA2B30" w:rsidRDefault="00AA2B30" w:rsidP="00A34DA1">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   Female</w:t>
            </w:r>
          </w:p>
        </w:tc>
        <w:tc>
          <w:tcPr>
            <w:tcW w:w="1276" w:type="dxa"/>
          </w:tcPr>
          <w:p w14:paraId="51CF20C0"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4,608 (63%)</w:t>
            </w:r>
          </w:p>
        </w:tc>
        <w:tc>
          <w:tcPr>
            <w:tcW w:w="1417" w:type="dxa"/>
          </w:tcPr>
          <w:p w14:paraId="12284DD4"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2,465 (65%)</w:t>
            </w:r>
          </w:p>
        </w:tc>
        <w:tc>
          <w:tcPr>
            <w:tcW w:w="1560" w:type="dxa"/>
          </w:tcPr>
          <w:p w14:paraId="2F3E7CF5"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1,989 (60%)</w:t>
            </w:r>
          </w:p>
        </w:tc>
        <w:tc>
          <w:tcPr>
            <w:tcW w:w="1417" w:type="dxa"/>
          </w:tcPr>
          <w:p w14:paraId="0B4C8CA9"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154 (67%)</w:t>
            </w:r>
          </w:p>
        </w:tc>
      </w:tr>
      <w:tr w:rsidR="00AA2B30" w14:paraId="1A65CBD0" w14:textId="77777777" w:rsidTr="00A34DA1">
        <w:trPr>
          <w:trHeight w:val="260"/>
        </w:trPr>
        <w:tc>
          <w:tcPr>
            <w:tcW w:w="2972" w:type="dxa"/>
          </w:tcPr>
          <w:p w14:paraId="7685D215" w14:textId="77777777" w:rsidR="00AA2B30" w:rsidRDefault="00AA2B30" w:rsidP="00A34DA1">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   Male</w:t>
            </w:r>
          </w:p>
        </w:tc>
        <w:tc>
          <w:tcPr>
            <w:tcW w:w="1276" w:type="dxa"/>
          </w:tcPr>
          <w:p w14:paraId="06D96006"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2,729 (37%)</w:t>
            </w:r>
          </w:p>
        </w:tc>
        <w:tc>
          <w:tcPr>
            <w:tcW w:w="1417" w:type="dxa"/>
          </w:tcPr>
          <w:p w14:paraId="5C458B56"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1,343 (35%)</w:t>
            </w:r>
          </w:p>
        </w:tc>
        <w:tc>
          <w:tcPr>
            <w:tcW w:w="1560" w:type="dxa"/>
          </w:tcPr>
          <w:p w14:paraId="72FF552E"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1,309 (40%)</w:t>
            </w:r>
          </w:p>
        </w:tc>
        <w:tc>
          <w:tcPr>
            <w:tcW w:w="1417" w:type="dxa"/>
          </w:tcPr>
          <w:p w14:paraId="4873B7FA"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77 (33%)</w:t>
            </w:r>
          </w:p>
        </w:tc>
      </w:tr>
      <w:tr w:rsidR="00AA2B30" w14:paraId="6633BC0E" w14:textId="77777777" w:rsidTr="00A34DA1">
        <w:trPr>
          <w:trHeight w:val="260"/>
        </w:trPr>
        <w:tc>
          <w:tcPr>
            <w:tcW w:w="2972" w:type="dxa"/>
          </w:tcPr>
          <w:p w14:paraId="4E48A3CF" w14:textId="77777777" w:rsidR="00AA2B30" w:rsidRDefault="00AA2B30" w:rsidP="00A34DA1">
            <w:pPr>
              <w:autoSpaceDE w:val="0"/>
              <w:autoSpaceDN w:val="0"/>
              <w:adjustRightInd w:val="0"/>
              <w:rPr>
                <w:rFonts w:ascii="Calibri" w:hAnsi="Calibri" w:cs="Calibri"/>
                <w:b/>
                <w:bCs/>
                <w:color w:val="000000"/>
                <w:sz w:val="18"/>
                <w:szCs w:val="18"/>
              </w:rPr>
            </w:pPr>
            <w:r>
              <w:rPr>
                <w:rFonts w:ascii="Calibri" w:hAnsi="Calibri" w:cs="Calibri"/>
                <w:b/>
                <w:bCs/>
                <w:color w:val="000000"/>
                <w:sz w:val="18"/>
                <w:szCs w:val="18"/>
              </w:rPr>
              <w:t xml:space="preserve"> Deprivation Status (Quintile)</w:t>
            </w:r>
          </w:p>
        </w:tc>
        <w:tc>
          <w:tcPr>
            <w:tcW w:w="1276" w:type="dxa"/>
          </w:tcPr>
          <w:p w14:paraId="53C10D58" w14:textId="77777777" w:rsidR="00AA2B30" w:rsidRDefault="00AA2B30" w:rsidP="00A34DA1">
            <w:pPr>
              <w:autoSpaceDE w:val="0"/>
              <w:autoSpaceDN w:val="0"/>
              <w:adjustRightInd w:val="0"/>
              <w:jc w:val="right"/>
              <w:rPr>
                <w:rFonts w:ascii="Calibri" w:hAnsi="Calibri" w:cs="Calibri"/>
                <w:color w:val="000000"/>
                <w:sz w:val="18"/>
                <w:szCs w:val="18"/>
              </w:rPr>
            </w:pPr>
          </w:p>
        </w:tc>
        <w:tc>
          <w:tcPr>
            <w:tcW w:w="1417" w:type="dxa"/>
          </w:tcPr>
          <w:p w14:paraId="3029DE4F" w14:textId="77777777" w:rsidR="00AA2B30" w:rsidRDefault="00AA2B30" w:rsidP="00A34DA1">
            <w:pPr>
              <w:autoSpaceDE w:val="0"/>
              <w:autoSpaceDN w:val="0"/>
              <w:adjustRightInd w:val="0"/>
              <w:jc w:val="right"/>
              <w:rPr>
                <w:rFonts w:ascii="Calibri" w:hAnsi="Calibri" w:cs="Calibri"/>
                <w:color w:val="000000"/>
                <w:sz w:val="18"/>
                <w:szCs w:val="18"/>
              </w:rPr>
            </w:pPr>
          </w:p>
        </w:tc>
        <w:tc>
          <w:tcPr>
            <w:tcW w:w="1560" w:type="dxa"/>
          </w:tcPr>
          <w:p w14:paraId="51424168" w14:textId="77777777" w:rsidR="00AA2B30" w:rsidRDefault="00AA2B30" w:rsidP="00A34DA1">
            <w:pPr>
              <w:autoSpaceDE w:val="0"/>
              <w:autoSpaceDN w:val="0"/>
              <w:adjustRightInd w:val="0"/>
              <w:jc w:val="right"/>
              <w:rPr>
                <w:rFonts w:ascii="Calibri" w:hAnsi="Calibri" w:cs="Calibri"/>
                <w:color w:val="000000"/>
                <w:sz w:val="18"/>
                <w:szCs w:val="18"/>
              </w:rPr>
            </w:pPr>
          </w:p>
        </w:tc>
        <w:tc>
          <w:tcPr>
            <w:tcW w:w="1417" w:type="dxa"/>
          </w:tcPr>
          <w:p w14:paraId="75D42246" w14:textId="77777777" w:rsidR="00AA2B30" w:rsidRDefault="00AA2B30" w:rsidP="00A34DA1">
            <w:pPr>
              <w:autoSpaceDE w:val="0"/>
              <w:autoSpaceDN w:val="0"/>
              <w:adjustRightInd w:val="0"/>
              <w:jc w:val="right"/>
              <w:rPr>
                <w:rFonts w:ascii="Calibri" w:hAnsi="Calibri" w:cs="Calibri"/>
                <w:color w:val="000000"/>
                <w:sz w:val="18"/>
                <w:szCs w:val="18"/>
              </w:rPr>
            </w:pPr>
          </w:p>
        </w:tc>
      </w:tr>
      <w:tr w:rsidR="00AA2B30" w14:paraId="3FD2C122" w14:textId="77777777" w:rsidTr="00A34DA1">
        <w:trPr>
          <w:trHeight w:val="260"/>
        </w:trPr>
        <w:tc>
          <w:tcPr>
            <w:tcW w:w="2972" w:type="dxa"/>
          </w:tcPr>
          <w:p w14:paraId="69C26330" w14:textId="77777777" w:rsidR="00AA2B30" w:rsidRDefault="00AA2B30" w:rsidP="00A34DA1">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   1 – least deprived area</w:t>
            </w:r>
          </w:p>
        </w:tc>
        <w:tc>
          <w:tcPr>
            <w:tcW w:w="1276" w:type="dxa"/>
          </w:tcPr>
          <w:p w14:paraId="61641D2D"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2,003 (27%)</w:t>
            </w:r>
          </w:p>
        </w:tc>
        <w:tc>
          <w:tcPr>
            <w:tcW w:w="1417" w:type="dxa"/>
          </w:tcPr>
          <w:p w14:paraId="58C02109"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1,007 (27%)</w:t>
            </w:r>
          </w:p>
        </w:tc>
        <w:tc>
          <w:tcPr>
            <w:tcW w:w="1560" w:type="dxa"/>
          </w:tcPr>
          <w:p w14:paraId="5DC0405E"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934 (29%)</w:t>
            </w:r>
          </w:p>
        </w:tc>
        <w:tc>
          <w:tcPr>
            <w:tcW w:w="1417" w:type="dxa"/>
          </w:tcPr>
          <w:p w14:paraId="337237C8"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62 (27%)</w:t>
            </w:r>
          </w:p>
        </w:tc>
      </w:tr>
      <w:tr w:rsidR="00AA2B30" w14:paraId="51012FE7" w14:textId="77777777" w:rsidTr="00A34DA1">
        <w:trPr>
          <w:trHeight w:val="260"/>
        </w:trPr>
        <w:tc>
          <w:tcPr>
            <w:tcW w:w="2972" w:type="dxa"/>
          </w:tcPr>
          <w:p w14:paraId="13480826" w14:textId="77777777" w:rsidR="00AA2B30" w:rsidRDefault="00AA2B30" w:rsidP="00A34DA1">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   2</w:t>
            </w:r>
          </w:p>
        </w:tc>
        <w:tc>
          <w:tcPr>
            <w:tcW w:w="1276" w:type="dxa"/>
          </w:tcPr>
          <w:p w14:paraId="4D6D68A1"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1,791 (25%)</w:t>
            </w:r>
          </w:p>
        </w:tc>
        <w:tc>
          <w:tcPr>
            <w:tcW w:w="1417" w:type="dxa"/>
          </w:tcPr>
          <w:p w14:paraId="7953C59F"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908 (24%)</w:t>
            </w:r>
          </w:p>
        </w:tc>
        <w:tc>
          <w:tcPr>
            <w:tcW w:w="1560" w:type="dxa"/>
          </w:tcPr>
          <w:p w14:paraId="1DD15C80"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831 (25%)</w:t>
            </w:r>
          </w:p>
        </w:tc>
        <w:tc>
          <w:tcPr>
            <w:tcW w:w="1417" w:type="dxa"/>
          </w:tcPr>
          <w:p w14:paraId="03D6582C"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52 (23%)</w:t>
            </w:r>
          </w:p>
        </w:tc>
      </w:tr>
      <w:tr w:rsidR="00AA2B30" w14:paraId="33E89675" w14:textId="77777777" w:rsidTr="00A34DA1">
        <w:trPr>
          <w:trHeight w:val="260"/>
        </w:trPr>
        <w:tc>
          <w:tcPr>
            <w:tcW w:w="2972" w:type="dxa"/>
          </w:tcPr>
          <w:p w14:paraId="3597994B" w14:textId="77777777" w:rsidR="00AA2B30" w:rsidRDefault="00AA2B30" w:rsidP="00A34DA1">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   3</w:t>
            </w:r>
          </w:p>
        </w:tc>
        <w:tc>
          <w:tcPr>
            <w:tcW w:w="1276" w:type="dxa"/>
          </w:tcPr>
          <w:p w14:paraId="13E0AD10"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1,524 (21%)</w:t>
            </w:r>
          </w:p>
        </w:tc>
        <w:tc>
          <w:tcPr>
            <w:tcW w:w="1417" w:type="dxa"/>
          </w:tcPr>
          <w:p w14:paraId="2D5BF7FC"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782 (21%)</w:t>
            </w:r>
          </w:p>
        </w:tc>
        <w:tc>
          <w:tcPr>
            <w:tcW w:w="1560" w:type="dxa"/>
          </w:tcPr>
          <w:p w14:paraId="3C4548BA"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686 (21%)</w:t>
            </w:r>
          </w:p>
        </w:tc>
        <w:tc>
          <w:tcPr>
            <w:tcW w:w="1417" w:type="dxa"/>
          </w:tcPr>
          <w:p w14:paraId="4903DAAA"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56 (24%)</w:t>
            </w:r>
          </w:p>
        </w:tc>
      </w:tr>
      <w:tr w:rsidR="00AA2B30" w14:paraId="3266E759" w14:textId="77777777" w:rsidTr="00A34DA1">
        <w:trPr>
          <w:trHeight w:val="260"/>
        </w:trPr>
        <w:tc>
          <w:tcPr>
            <w:tcW w:w="2972" w:type="dxa"/>
          </w:tcPr>
          <w:p w14:paraId="7CE0D327" w14:textId="77777777" w:rsidR="00AA2B30" w:rsidRDefault="00AA2B30" w:rsidP="00A34DA1">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   4</w:t>
            </w:r>
          </w:p>
        </w:tc>
        <w:tc>
          <w:tcPr>
            <w:tcW w:w="1276" w:type="dxa"/>
          </w:tcPr>
          <w:p w14:paraId="58117867"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1,246 (17%)</w:t>
            </w:r>
          </w:p>
        </w:tc>
        <w:tc>
          <w:tcPr>
            <w:tcW w:w="1417" w:type="dxa"/>
          </w:tcPr>
          <w:p w14:paraId="3144DD5D"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681 (18%)</w:t>
            </w:r>
          </w:p>
        </w:tc>
        <w:tc>
          <w:tcPr>
            <w:tcW w:w="1560" w:type="dxa"/>
          </w:tcPr>
          <w:p w14:paraId="39ECF960"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530 (16%)</w:t>
            </w:r>
          </w:p>
        </w:tc>
        <w:tc>
          <w:tcPr>
            <w:tcW w:w="1417" w:type="dxa"/>
          </w:tcPr>
          <w:p w14:paraId="5327A161"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35 (15%)</w:t>
            </w:r>
          </w:p>
        </w:tc>
      </w:tr>
      <w:tr w:rsidR="00AA2B30" w14:paraId="2B2FF92F" w14:textId="77777777" w:rsidTr="00A34DA1">
        <w:trPr>
          <w:trHeight w:val="260"/>
        </w:trPr>
        <w:tc>
          <w:tcPr>
            <w:tcW w:w="2972" w:type="dxa"/>
          </w:tcPr>
          <w:p w14:paraId="30C60465" w14:textId="77777777" w:rsidR="00AA2B30" w:rsidRDefault="00AA2B30" w:rsidP="00A34DA1">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   5 – most deprived area</w:t>
            </w:r>
          </w:p>
        </w:tc>
        <w:tc>
          <w:tcPr>
            <w:tcW w:w="1276" w:type="dxa"/>
          </w:tcPr>
          <w:p w14:paraId="37A35FF9"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721 (9.9%)</w:t>
            </w:r>
          </w:p>
        </w:tc>
        <w:tc>
          <w:tcPr>
            <w:tcW w:w="1417" w:type="dxa"/>
          </w:tcPr>
          <w:p w14:paraId="11A59FAA"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401 (11%)</w:t>
            </w:r>
          </w:p>
        </w:tc>
        <w:tc>
          <w:tcPr>
            <w:tcW w:w="1560" w:type="dxa"/>
          </w:tcPr>
          <w:p w14:paraId="19EAE5D2"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294 (9.0%)</w:t>
            </w:r>
          </w:p>
        </w:tc>
        <w:tc>
          <w:tcPr>
            <w:tcW w:w="1417" w:type="dxa"/>
          </w:tcPr>
          <w:p w14:paraId="637F7171"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26 (11%)</w:t>
            </w:r>
          </w:p>
        </w:tc>
      </w:tr>
      <w:tr w:rsidR="00AA2B30" w14:paraId="72301E26" w14:textId="77777777" w:rsidTr="00A34DA1">
        <w:trPr>
          <w:trHeight w:val="260"/>
        </w:trPr>
        <w:tc>
          <w:tcPr>
            <w:tcW w:w="2972" w:type="dxa"/>
          </w:tcPr>
          <w:p w14:paraId="6A774096" w14:textId="77777777" w:rsidR="00AA2B30" w:rsidRDefault="00AA2B30" w:rsidP="00A34DA1">
            <w:pPr>
              <w:autoSpaceDE w:val="0"/>
              <w:autoSpaceDN w:val="0"/>
              <w:adjustRightInd w:val="0"/>
              <w:rPr>
                <w:rFonts w:ascii="Calibri" w:hAnsi="Calibri" w:cs="Calibri"/>
                <w:b/>
                <w:bCs/>
                <w:color w:val="000000"/>
                <w:sz w:val="18"/>
                <w:szCs w:val="18"/>
              </w:rPr>
            </w:pPr>
            <w:r>
              <w:rPr>
                <w:rFonts w:ascii="Calibri" w:hAnsi="Calibri" w:cs="Calibri"/>
                <w:b/>
                <w:bCs/>
                <w:color w:val="000000"/>
                <w:sz w:val="18"/>
                <w:szCs w:val="18"/>
              </w:rPr>
              <w:t xml:space="preserve"> Place of residence</w:t>
            </w:r>
          </w:p>
        </w:tc>
        <w:tc>
          <w:tcPr>
            <w:tcW w:w="1276" w:type="dxa"/>
          </w:tcPr>
          <w:p w14:paraId="7BF5A363" w14:textId="77777777" w:rsidR="00AA2B30" w:rsidRDefault="00AA2B30" w:rsidP="00A34DA1">
            <w:pPr>
              <w:autoSpaceDE w:val="0"/>
              <w:autoSpaceDN w:val="0"/>
              <w:adjustRightInd w:val="0"/>
              <w:jc w:val="right"/>
              <w:rPr>
                <w:rFonts w:ascii="Calibri" w:hAnsi="Calibri" w:cs="Calibri"/>
                <w:color w:val="000000"/>
                <w:sz w:val="18"/>
                <w:szCs w:val="18"/>
              </w:rPr>
            </w:pPr>
          </w:p>
        </w:tc>
        <w:tc>
          <w:tcPr>
            <w:tcW w:w="1417" w:type="dxa"/>
          </w:tcPr>
          <w:p w14:paraId="198A188F" w14:textId="77777777" w:rsidR="00AA2B30" w:rsidRDefault="00AA2B30" w:rsidP="00A34DA1">
            <w:pPr>
              <w:autoSpaceDE w:val="0"/>
              <w:autoSpaceDN w:val="0"/>
              <w:adjustRightInd w:val="0"/>
              <w:jc w:val="right"/>
              <w:rPr>
                <w:rFonts w:ascii="Calibri" w:hAnsi="Calibri" w:cs="Calibri"/>
                <w:color w:val="000000"/>
                <w:sz w:val="18"/>
                <w:szCs w:val="18"/>
              </w:rPr>
            </w:pPr>
          </w:p>
        </w:tc>
        <w:tc>
          <w:tcPr>
            <w:tcW w:w="1560" w:type="dxa"/>
          </w:tcPr>
          <w:p w14:paraId="61DCE8B5" w14:textId="77777777" w:rsidR="00AA2B30" w:rsidRDefault="00AA2B30" w:rsidP="00A34DA1">
            <w:pPr>
              <w:autoSpaceDE w:val="0"/>
              <w:autoSpaceDN w:val="0"/>
              <w:adjustRightInd w:val="0"/>
              <w:jc w:val="right"/>
              <w:rPr>
                <w:rFonts w:ascii="Calibri" w:hAnsi="Calibri" w:cs="Calibri"/>
                <w:color w:val="000000"/>
                <w:sz w:val="18"/>
                <w:szCs w:val="18"/>
              </w:rPr>
            </w:pPr>
          </w:p>
        </w:tc>
        <w:tc>
          <w:tcPr>
            <w:tcW w:w="1417" w:type="dxa"/>
          </w:tcPr>
          <w:p w14:paraId="72D861E2" w14:textId="77777777" w:rsidR="00AA2B30" w:rsidRDefault="00AA2B30" w:rsidP="00A34DA1">
            <w:pPr>
              <w:autoSpaceDE w:val="0"/>
              <w:autoSpaceDN w:val="0"/>
              <w:adjustRightInd w:val="0"/>
              <w:jc w:val="right"/>
              <w:rPr>
                <w:rFonts w:ascii="Calibri" w:hAnsi="Calibri" w:cs="Calibri"/>
                <w:color w:val="000000"/>
                <w:sz w:val="18"/>
                <w:szCs w:val="18"/>
              </w:rPr>
            </w:pPr>
          </w:p>
        </w:tc>
      </w:tr>
      <w:tr w:rsidR="00AA2B30" w14:paraId="5456B302" w14:textId="77777777" w:rsidTr="00A34DA1">
        <w:trPr>
          <w:trHeight w:val="260"/>
        </w:trPr>
        <w:tc>
          <w:tcPr>
            <w:tcW w:w="2972" w:type="dxa"/>
          </w:tcPr>
          <w:p w14:paraId="3B018C2B" w14:textId="77777777" w:rsidR="00AA2B30" w:rsidRDefault="00AA2B30" w:rsidP="00A34DA1">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   England</w:t>
            </w:r>
          </w:p>
        </w:tc>
        <w:tc>
          <w:tcPr>
            <w:tcW w:w="1276" w:type="dxa"/>
          </w:tcPr>
          <w:p w14:paraId="456B2AE8"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6,340 (87%)</w:t>
            </w:r>
          </w:p>
        </w:tc>
        <w:tc>
          <w:tcPr>
            <w:tcW w:w="1417" w:type="dxa"/>
          </w:tcPr>
          <w:p w14:paraId="3B59E597"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3,274 (87%)</w:t>
            </w:r>
          </w:p>
        </w:tc>
        <w:tc>
          <w:tcPr>
            <w:tcW w:w="1560" w:type="dxa"/>
          </w:tcPr>
          <w:p w14:paraId="02C9AD7F"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2,874 (88%)</w:t>
            </w:r>
          </w:p>
        </w:tc>
        <w:tc>
          <w:tcPr>
            <w:tcW w:w="1417" w:type="dxa"/>
          </w:tcPr>
          <w:p w14:paraId="0E119A3C"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192 (83%)</w:t>
            </w:r>
          </w:p>
        </w:tc>
      </w:tr>
      <w:tr w:rsidR="00AA2B30" w14:paraId="31F7B6CC" w14:textId="77777777" w:rsidTr="00A34DA1">
        <w:trPr>
          <w:trHeight w:val="260"/>
        </w:trPr>
        <w:tc>
          <w:tcPr>
            <w:tcW w:w="2972" w:type="dxa"/>
          </w:tcPr>
          <w:p w14:paraId="1D1E41F3" w14:textId="77777777" w:rsidR="00AA2B30" w:rsidRDefault="00AA2B30" w:rsidP="00A34DA1">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   Wales</w:t>
            </w:r>
          </w:p>
        </w:tc>
        <w:tc>
          <w:tcPr>
            <w:tcW w:w="1276" w:type="dxa"/>
          </w:tcPr>
          <w:p w14:paraId="2CD4C22C"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352 (4.8%)</w:t>
            </w:r>
          </w:p>
        </w:tc>
        <w:tc>
          <w:tcPr>
            <w:tcW w:w="1417" w:type="dxa"/>
          </w:tcPr>
          <w:p w14:paraId="7929E2FB"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181 (4.8%)</w:t>
            </w:r>
          </w:p>
        </w:tc>
        <w:tc>
          <w:tcPr>
            <w:tcW w:w="1560" w:type="dxa"/>
          </w:tcPr>
          <w:p w14:paraId="56F59E95"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159 (4.9%)</w:t>
            </w:r>
          </w:p>
        </w:tc>
        <w:tc>
          <w:tcPr>
            <w:tcW w:w="1417" w:type="dxa"/>
          </w:tcPr>
          <w:p w14:paraId="27D1AD72"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12 (5.2%)</w:t>
            </w:r>
          </w:p>
        </w:tc>
      </w:tr>
      <w:tr w:rsidR="00AA2B30" w14:paraId="2FA24259" w14:textId="77777777" w:rsidTr="00A34DA1">
        <w:trPr>
          <w:trHeight w:val="260"/>
        </w:trPr>
        <w:tc>
          <w:tcPr>
            <w:tcW w:w="2972" w:type="dxa"/>
          </w:tcPr>
          <w:p w14:paraId="072C756C" w14:textId="77777777" w:rsidR="00AA2B30" w:rsidRDefault="00AA2B30" w:rsidP="00A34DA1">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   Scotland</w:t>
            </w:r>
          </w:p>
        </w:tc>
        <w:tc>
          <w:tcPr>
            <w:tcW w:w="1276" w:type="dxa"/>
          </w:tcPr>
          <w:p w14:paraId="4FA16462"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502 (6.9%)</w:t>
            </w:r>
          </w:p>
        </w:tc>
        <w:tc>
          <w:tcPr>
            <w:tcW w:w="1417" w:type="dxa"/>
          </w:tcPr>
          <w:p w14:paraId="7D94ED9F"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264 (7.0%)</w:t>
            </w:r>
          </w:p>
        </w:tc>
        <w:tc>
          <w:tcPr>
            <w:tcW w:w="1560" w:type="dxa"/>
          </w:tcPr>
          <w:p w14:paraId="556CEDCA"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214 (6.5%)</w:t>
            </w:r>
          </w:p>
        </w:tc>
        <w:tc>
          <w:tcPr>
            <w:tcW w:w="1417" w:type="dxa"/>
          </w:tcPr>
          <w:p w14:paraId="4EEB3021"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25 (11%)</w:t>
            </w:r>
          </w:p>
        </w:tc>
      </w:tr>
      <w:tr w:rsidR="00AA2B30" w14:paraId="7C786D62" w14:textId="77777777" w:rsidTr="00A34DA1">
        <w:trPr>
          <w:trHeight w:val="260"/>
        </w:trPr>
        <w:tc>
          <w:tcPr>
            <w:tcW w:w="2972" w:type="dxa"/>
          </w:tcPr>
          <w:p w14:paraId="7ED81A6F" w14:textId="77777777" w:rsidR="00AA2B30" w:rsidRDefault="00AA2B30" w:rsidP="00A34DA1">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   Northern Ireland</w:t>
            </w:r>
          </w:p>
        </w:tc>
        <w:tc>
          <w:tcPr>
            <w:tcW w:w="1276" w:type="dxa"/>
          </w:tcPr>
          <w:p w14:paraId="437B06D1"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94 (1.3%)</w:t>
            </w:r>
          </w:p>
        </w:tc>
        <w:tc>
          <w:tcPr>
            <w:tcW w:w="1417" w:type="dxa"/>
          </w:tcPr>
          <w:p w14:paraId="61C14861"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63 (1.7%)</w:t>
            </w:r>
          </w:p>
        </w:tc>
        <w:tc>
          <w:tcPr>
            <w:tcW w:w="1560" w:type="dxa"/>
          </w:tcPr>
          <w:p w14:paraId="4F02A3E1"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29 (0.9%)</w:t>
            </w:r>
          </w:p>
        </w:tc>
        <w:tc>
          <w:tcPr>
            <w:tcW w:w="1417" w:type="dxa"/>
          </w:tcPr>
          <w:p w14:paraId="3355C522"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 (0.9%)</w:t>
            </w:r>
          </w:p>
        </w:tc>
      </w:tr>
      <w:tr w:rsidR="00AA2B30" w14:paraId="10AF1275" w14:textId="77777777" w:rsidTr="00A34DA1">
        <w:trPr>
          <w:trHeight w:val="260"/>
        </w:trPr>
        <w:tc>
          <w:tcPr>
            <w:tcW w:w="2972" w:type="dxa"/>
          </w:tcPr>
          <w:p w14:paraId="3309461C" w14:textId="77777777" w:rsidR="00AA2B30" w:rsidRDefault="00AA2B30" w:rsidP="00A34DA1">
            <w:pPr>
              <w:autoSpaceDE w:val="0"/>
              <w:autoSpaceDN w:val="0"/>
              <w:adjustRightInd w:val="0"/>
              <w:rPr>
                <w:rFonts w:ascii="Calibri" w:hAnsi="Calibri" w:cs="Calibri"/>
                <w:b/>
                <w:bCs/>
                <w:color w:val="000000"/>
                <w:sz w:val="18"/>
                <w:szCs w:val="18"/>
              </w:rPr>
            </w:pPr>
            <w:r>
              <w:rPr>
                <w:rFonts w:ascii="Calibri" w:hAnsi="Calibri" w:cs="Calibri"/>
                <w:b/>
                <w:bCs/>
                <w:color w:val="000000"/>
                <w:sz w:val="18"/>
                <w:szCs w:val="18"/>
              </w:rPr>
              <w:t xml:space="preserve"> Oral steroids (current)</w:t>
            </w:r>
          </w:p>
        </w:tc>
        <w:tc>
          <w:tcPr>
            <w:tcW w:w="1276" w:type="dxa"/>
          </w:tcPr>
          <w:p w14:paraId="05D35D3E" w14:textId="77777777" w:rsidR="00AA2B30" w:rsidRDefault="00AA2B30" w:rsidP="00A34DA1">
            <w:pPr>
              <w:autoSpaceDE w:val="0"/>
              <w:autoSpaceDN w:val="0"/>
              <w:adjustRightInd w:val="0"/>
              <w:jc w:val="right"/>
              <w:rPr>
                <w:rFonts w:ascii="Calibri" w:hAnsi="Calibri" w:cs="Calibri"/>
                <w:color w:val="000000"/>
                <w:sz w:val="18"/>
                <w:szCs w:val="18"/>
              </w:rPr>
            </w:pPr>
          </w:p>
        </w:tc>
        <w:tc>
          <w:tcPr>
            <w:tcW w:w="1417" w:type="dxa"/>
          </w:tcPr>
          <w:p w14:paraId="18ACC86D" w14:textId="77777777" w:rsidR="00AA2B30" w:rsidRDefault="00AA2B30" w:rsidP="00A34DA1">
            <w:pPr>
              <w:autoSpaceDE w:val="0"/>
              <w:autoSpaceDN w:val="0"/>
              <w:adjustRightInd w:val="0"/>
              <w:jc w:val="right"/>
              <w:rPr>
                <w:rFonts w:ascii="Calibri" w:hAnsi="Calibri" w:cs="Calibri"/>
                <w:color w:val="000000"/>
                <w:sz w:val="18"/>
                <w:szCs w:val="18"/>
              </w:rPr>
            </w:pPr>
          </w:p>
        </w:tc>
        <w:tc>
          <w:tcPr>
            <w:tcW w:w="1560" w:type="dxa"/>
          </w:tcPr>
          <w:p w14:paraId="3791BA37" w14:textId="77777777" w:rsidR="00AA2B30" w:rsidRDefault="00AA2B30" w:rsidP="00A34DA1">
            <w:pPr>
              <w:autoSpaceDE w:val="0"/>
              <w:autoSpaceDN w:val="0"/>
              <w:adjustRightInd w:val="0"/>
              <w:jc w:val="right"/>
              <w:rPr>
                <w:rFonts w:ascii="Calibri" w:hAnsi="Calibri" w:cs="Calibri"/>
                <w:color w:val="000000"/>
                <w:sz w:val="18"/>
                <w:szCs w:val="18"/>
              </w:rPr>
            </w:pPr>
          </w:p>
        </w:tc>
        <w:tc>
          <w:tcPr>
            <w:tcW w:w="1417" w:type="dxa"/>
          </w:tcPr>
          <w:p w14:paraId="6CA1A7CB" w14:textId="77777777" w:rsidR="00AA2B30" w:rsidRDefault="00AA2B30" w:rsidP="00A34DA1">
            <w:pPr>
              <w:autoSpaceDE w:val="0"/>
              <w:autoSpaceDN w:val="0"/>
              <w:adjustRightInd w:val="0"/>
              <w:jc w:val="right"/>
              <w:rPr>
                <w:rFonts w:ascii="Calibri" w:hAnsi="Calibri" w:cs="Calibri"/>
                <w:color w:val="000000"/>
                <w:sz w:val="18"/>
                <w:szCs w:val="18"/>
              </w:rPr>
            </w:pPr>
          </w:p>
        </w:tc>
      </w:tr>
      <w:tr w:rsidR="00AA2B30" w14:paraId="0F59EF9E" w14:textId="77777777" w:rsidTr="00A34DA1">
        <w:trPr>
          <w:trHeight w:val="260"/>
        </w:trPr>
        <w:tc>
          <w:tcPr>
            <w:tcW w:w="2972" w:type="dxa"/>
          </w:tcPr>
          <w:p w14:paraId="2763C1C9" w14:textId="77777777" w:rsidR="00AA2B30" w:rsidRDefault="00AA2B30" w:rsidP="00A34DA1">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   Yes</w:t>
            </w:r>
          </w:p>
        </w:tc>
        <w:tc>
          <w:tcPr>
            <w:tcW w:w="1276" w:type="dxa"/>
          </w:tcPr>
          <w:p w14:paraId="390E0719"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407 (5.5%)</w:t>
            </w:r>
          </w:p>
        </w:tc>
        <w:tc>
          <w:tcPr>
            <w:tcW w:w="1417" w:type="dxa"/>
          </w:tcPr>
          <w:p w14:paraId="6A332412"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185 (4.9%)</w:t>
            </w:r>
          </w:p>
        </w:tc>
        <w:tc>
          <w:tcPr>
            <w:tcW w:w="1560" w:type="dxa"/>
          </w:tcPr>
          <w:p w14:paraId="46FBA626"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212 (6.5%)</w:t>
            </w:r>
          </w:p>
        </w:tc>
        <w:tc>
          <w:tcPr>
            <w:tcW w:w="1417" w:type="dxa"/>
          </w:tcPr>
          <w:p w14:paraId="3F21D0F4"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 (4.4%)</w:t>
            </w:r>
          </w:p>
        </w:tc>
      </w:tr>
      <w:tr w:rsidR="00AA2B30" w14:paraId="364697DD" w14:textId="77777777" w:rsidTr="00A34DA1">
        <w:trPr>
          <w:trHeight w:val="260"/>
        </w:trPr>
        <w:tc>
          <w:tcPr>
            <w:tcW w:w="2972" w:type="dxa"/>
          </w:tcPr>
          <w:p w14:paraId="084A451D" w14:textId="77777777" w:rsidR="00AA2B30" w:rsidRDefault="00AA2B30" w:rsidP="00A34DA1">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   No</w:t>
            </w:r>
          </w:p>
        </w:tc>
        <w:tc>
          <w:tcPr>
            <w:tcW w:w="1276" w:type="dxa"/>
          </w:tcPr>
          <w:p w14:paraId="244A0C4E"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6,869 (94%)</w:t>
            </w:r>
          </w:p>
        </w:tc>
        <w:tc>
          <w:tcPr>
            <w:tcW w:w="1417" w:type="dxa"/>
          </w:tcPr>
          <w:p w14:paraId="47C6CA9A"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3,591 (94%)</w:t>
            </w:r>
          </w:p>
        </w:tc>
        <w:tc>
          <w:tcPr>
            <w:tcW w:w="1560" w:type="dxa"/>
          </w:tcPr>
          <w:p w14:paraId="30574D9D"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3,061 (93%)</w:t>
            </w:r>
          </w:p>
        </w:tc>
        <w:tc>
          <w:tcPr>
            <w:tcW w:w="1417" w:type="dxa"/>
          </w:tcPr>
          <w:p w14:paraId="20494772"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217 (94%)</w:t>
            </w:r>
          </w:p>
        </w:tc>
      </w:tr>
      <w:tr w:rsidR="00AA2B30" w14:paraId="51A081B3" w14:textId="77777777" w:rsidTr="00A34DA1">
        <w:trPr>
          <w:trHeight w:val="260"/>
        </w:trPr>
        <w:tc>
          <w:tcPr>
            <w:tcW w:w="2972" w:type="dxa"/>
          </w:tcPr>
          <w:p w14:paraId="4D3CBCA5" w14:textId="77777777" w:rsidR="00AA2B30" w:rsidRDefault="00AA2B30" w:rsidP="00A34DA1">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   Unsure</w:t>
            </w:r>
          </w:p>
        </w:tc>
        <w:tc>
          <w:tcPr>
            <w:tcW w:w="1276" w:type="dxa"/>
          </w:tcPr>
          <w:p w14:paraId="2E1DEB19"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59 (0.8%)</w:t>
            </w:r>
          </w:p>
        </w:tc>
        <w:tc>
          <w:tcPr>
            <w:tcW w:w="1417" w:type="dxa"/>
          </w:tcPr>
          <w:p w14:paraId="4CD0D9CD"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30 (0.8%)</w:t>
            </w:r>
          </w:p>
        </w:tc>
        <w:tc>
          <w:tcPr>
            <w:tcW w:w="1560" w:type="dxa"/>
          </w:tcPr>
          <w:p w14:paraId="03405E66"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25 (0.8%)</w:t>
            </w:r>
          </w:p>
        </w:tc>
        <w:tc>
          <w:tcPr>
            <w:tcW w:w="1417" w:type="dxa"/>
          </w:tcPr>
          <w:p w14:paraId="5772291F"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 (1.7%)</w:t>
            </w:r>
          </w:p>
        </w:tc>
      </w:tr>
      <w:tr w:rsidR="00AA2B30" w14:paraId="6AFAA812" w14:textId="77777777" w:rsidTr="00A34DA1">
        <w:trPr>
          <w:trHeight w:val="260"/>
        </w:trPr>
        <w:tc>
          <w:tcPr>
            <w:tcW w:w="2972" w:type="dxa"/>
          </w:tcPr>
          <w:p w14:paraId="159C8F0A" w14:textId="77777777" w:rsidR="00AA2B30" w:rsidRDefault="00AA2B30" w:rsidP="00A34DA1">
            <w:pPr>
              <w:autoSpaceDE w:val="0"/>
              <w:autoSpaceDN w:val="0"/>
              <w:adjustRightInd w:val="0"/>
              <w:rPr>
                <w:rFonts w:ascii="Calibri" w:hAnsi="Calibri" w:cs="Calibri"/>
                <w:b/>
                <w:bCs/>
                <w:color w:val="000000"/>
                <w:sz w:val="18"/>
                <w:szCs w:val="18"/>
              </w:rPr>
            </w:pPr>
            <w:r>
              <w:rPr>
                <w:rFonts w:ascii="Calibri" w:hAnsi="Calibri" w:cs="Calibri"/>
                <w:b/>
                <w:bCs/>
                <w:color w:val="000000"/>
                <w:sz w:val="18"/>
                <w:szCs w:val="18"/>
              </w:rPr>
              <w:t xml:space="preserve"> Advanced IBD therapies (current)</w:t>
            </w:r>
          </w:p>
        </w:tc>
        <w:tc>
          <w:tcPr>
            <w:tcW w:w="1276" w:type="dxa"/>
          </w:tcPr>
          <w:p w14:paraId="32283266"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4,896 (67%)</w:t>
            </w:r>
          </w:p>
        </w:tc>
        <w:tc>
          <w:tcPr>
            <w:tcW w:w="1417" w:type="dxa"/>
          </w:tcPr>
          <w:p w14:paraId="4B223CA2"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2,956 (78%)</w:t>
            </w:r>
          </w:p>
        </w:tc>
        <w:tc>
          <w:tcPr>
            <w:tcW w:w="1560" w:type="dxa"/>
          </w:tcPr>
          <w:p w14:paraId="7B7CFAEC"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1,838 (56%)</w:t>
            </w:r>
          </w:p>
        </w:tc>
        <w:tc>
          <w:tcPr>
            <w:tcW w:w="1417" w:type="dxa"/>
          </w:tcPr>
          <w:p w14:paraId="04B33B68"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102 (46%)</w:t>
            </w:r>
          </w:p>
        </w:tc>
      </w:tr>
      <w:tr w:rsidR="00AA2B30" w14:paraId="5A111403" w14:textId="77777777" w:rsidTr="00A34DA1">
        <w:trPr>
          <w:trHeight w:val="260"/>
        </w:trPr>
        <w:tc>
          <w:tcPr>
            <w:tcW w:w="2972" w:type="dxa"/>
          </w:tcPr>
          <w:p w14:paraId="2D0EA996" w14:textId="77777777" w:rsidR="00AA2B30" w:rsidRDefault="00AA2B30" w:rsidP="00A34DA1">
            <w:pPr>
              <w:autoSpaceDE w:val="0"/>
              <w:autoSpaceDN w:val="0"/>
              <w:adjustRightInd w:val="0"/>
              <w:rPr>
                <w:rFonts w:ascii="Calibri" w:hAnsi="Calibri" w:cs="Calibri"/>
                <w:b/>
                <w:bCs/>
                <w:color w:val="000000"/>
                <w:sz w:val="18"/>
                <w:szCs w:val="18"/>
              </w:rPr>
            </w:pPr>
            <w:r>
              <w:rPr>
                <w:rFonts w:ascii="Calibri" w:hAnsi="Calibri" w:cs="Calibri"/>
                <w:b/>
                <w:bCs/>
                <w:color w:val="000000"/>
                <w:sz w:val="18"/>
                <w:szCs w:val="18"/>
              </w:rPr>
              <w:t xml:space="preserve"> Number of comorbidities</w:t>
            </w:r>
          </w:p>
        </w:tc>
        <w:tc>
          <w:tcPr>
            <w:tcW w:w="1276" w:type="dxa"/>
          </w:tcPr>
          <w:p w14:paraId="268C9A76" w14:textId="77777777" w:rsidR="00AA2B30" w:rsidRDefault="00AA2B30" w:rsidP="00A34DA1">
            <w:pPr>
              <w:autoSpaceDE w:val="0"/>
              <w:autoSpaceDN w:val="0"/>
              <w:adjustRightInd w:val="0"/>
              <w:jc w:val="right"/>
              <w:rPr>
                <w:rFonts w:ascii="Calibri" w:hAnsi="Calibri" w:cs="Calibri"/>
                <w:color w:val="000000"/>
                <w:sz w:val="18"/>
                <w:szCs w:val="18"/>
              </w:rPr>
            </w:pPr>
          </w:p>
        </w:tc>
        <w:tc>
          <w:tcPr>
            <w:tcW w:w="1417" w:type="dxa"/>
          </w:tcPr>
          <w:p w14:paraId="7B0E78D4" w14:textId="77777777" w:rsidR="00AA2B30" w:rsidRDefault="00AA2B30" w:rsidP="00A34DA1">
            <w:pPr>
              <w:autoSpaceDE w:val="0"/>
              <w:autoSpaceDN w:val="0"/>
              <w:adjustRightInd w:val="0"/>
              <w:jc w:val="right"/>
              <w:rPr>
                <w:rFonts w:ascii="Calibri" w:hAnsi="Calibri" w:cs="Calibri"/>
                <w:color w:val="000000"/>
                <w:sz w:val="18"/>
                <w:szCs w:val="18"/>
              </w:rPr>
            </w:pPr>
          </w:p>
        </w:tc>
        <w:tc>
          <w:tcPr>
            <w:tcW w:w="1560" w:type="dxa"/>
          </w:tcPr>
          <w:p w14:paraId="753E66A8" w14:textId="77777777" w:rsidR="00AA2B30" w:rsidRDefault="00AA2B30" w:rsidP="00A34DA1">
            <w:pPr>
              <w:autoSpaceDE w:val="0"/>
              <w:autoSpaceDN w:val="0"/>
              <w:adjustRightInd w:val="0"/>
              <w:jc w:val="right"/>
              <w:rPr>
                <w:rFonts w:ascii="Calibri" w:hAnsi="Calibri" w:cs="Calibri"/>
                <w:color w:val="000000"/>
                <w:sz w:val="18"/>
                <w:szCs w:val="18"/>
              </w:rPr>
            </w:pPr>
          </w:p>
        </w:tc>
        <w:tc>
          <w:tcPr>
            <w:tcW w:w="1417" w:type="dxa"/>
          </w:tcPr>
          <w:p w14:paraId="75F52ECB" w14:textId="77777777" w:rsidR="00AA2B30" w:rsidRDefault="00AA2B30" w:rsidP="00A34DA1">
            <w:pPr>
              <w:autoSpaceDE w:val="0"/>
              <w:autoSpaceDN w:val="0"/>
              <w:adjustRightInd w:val="0"/>
              <w:jc w:val="right"/>
              <w:rPr>
                <w:rFonts w:ascii="Calibri" w:hAnsi="Calibri" w:cs="Calibri"/>
                <w:color w:val="000000"/>
                <w:sz w:val="18"/>
                <w:szCs w:val="18"/>
              </w:rPr>
            </w:pPr>
          </w:p>
        </w:tc>
      </w:tr>
      <w:tr w:rsidR="00AA2B30" w14:paraId="05A66F28" w14:textId="77777777" w:rsidTr="00A34DA1">
        <w:trPr>
          <w:trHeight w:val="260"/>
        </w:trPr>
        <w:tc>
          <w:tcPr>
            <w:tcW w:w="2972" w:type="dxa"/>
          </w:tcPr>
          <w:p w14:paraId="5C399114" w14:textId="77777777" w:rsidR="00AA2B30" w:rsidRDefault="00AA2B30" w:rsidP="00A34DA1">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   0</w:t>
            </w:r>
          </w:p>
        </w:tc>
        <w:tc>
          <w:tcPr>
            <w:tcW w:w="1276" w:type="dxa"/>
          </w:tcPr>
          <w:p w14:paraId="277F8BE0"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5,510 (75%)</w:t>
            </w:r>
          </w:p>
        </w:tc>
        <w:tc>
          <w:tcPr>
            <w:tcW w:w="1417" w:type="dxa"/>
          </w:tcPr>
          <w:p w14:paraId="6325E185"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5,510 (75%)</w:t>
            </w:r>
          </w:p>
        </w:tc>
        <w:tc>
          <w:tcPr>
            <w:tcW w:w="1560" w:type="dxa"/>
          </w:tcPr>
          <w:p w14:paraId="3F49A0A8"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2,920 (77%)</w:t>
            </w:r>
          </w:p>
        </w:tc>
        <w:tc>
          <w:tcPr>
            <w:tcW w:w="1417" w:type="dxa"/>
          </w:tcPr>
          <w:p w14:paraId="06A511BF"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2,437 (74%)</w:t>
            </w:r>
          </w:p>
        </w:tc>
      </w:tr>
      <w:tr w:rsidR="00AA2B30" w14:paraId="53B6B262" w14:textId="77777777" w:rsidTr="00A34DA1">
        <w:trPr>
          <w:trHeight w:val="260"/>
        </w:trPr>
        <w:tc>
          <w:tcPr>
            <w:tcW w:w="2972" w:type="dxa"/>
          </w:tcPr>
          <w:p w14:paraId="5D030FCC" w14:textId="77777777" w:rsidR="00AA2B30" w:rsidRDefault="00AA2B30" w:rsidP="00A34DA1">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   1</w:t>
            </w:r>
          </w:p>
        </w:tc>
        <w:tc>
          <w:tcPr>
            <w:tcW w:w="1276" w:type="dxa"/>
          </w:tcPr>
          <w:p w14:paraId="5981DCC6"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1,425 (19%)</w:t>
            </w:r>
          </w:p>
        </w:tc>
        <w:tc>
          <w:tcPr>
            <w:tcW w:w="1417" w:type="dxa"/>
          </w:tcPr>
          <w:p w14:paraId="65FF85B3"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1,425 (19%)</w:t>
            </w:r>
          </w:p>
        </w:tc>
        <w:tc>
          <w:tcPr>
            <w:tcW w:w="1560" w:type="dxa"/>
          </w:tcPr>
          <w:p w14:paraId="16B901D7"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713 (19%)</w:t>
            </w:r>
          </w:p>
        </w:tc>
        <w:tc>
          <w:tcPr>
            <w:tcW w:w="1417" w:type="dxa"/>
          </w:tcPr>
          <w:p w14:paraId="52885877"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652 (20%)</w:t>
            </w:r>
          </w:p>
        </w:tc>
      </w:tr>
      <w:tr w:rsidR="00AA2B30" w14:paraId="6C45BA5D" w14:textId="77777777" w:rsidTr="00A34DA1">
        <w:trPr>
          <w:trHeight w:val="260"/>
        </w:trPr>
        <w:tc>
          <w:tcPr>
            <w:tcW w:w="2972" w:type="dxa"/>
          </w:tcPr>
          <w:p w14:paraId="22E63BAF" w14:textId="77777777" w:rsidR="00AA2B30" w:rsidRDefault="00AA2B30" w:rsidP="00A34DA1">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   &gt;1</w:t>
            </w:r>
          </w:p>
        </w:tc>
        <w:tc>
          <w:tcPr>
            <w:tcW w:w="1276" w:type="dxa"/>
          </w:tcPr>
          <w:p w14:paraId="758C797E"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402 (5.5%)</w:t>
            </w:r>
          </w:p>
        </w:tc>
        <w:tc>
          <w:tcPr>
            <w:tcW w:w="1417" w:type="dxa"/>
          </w:tcPr>
          <w:p w14:paraId="291DDD92"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402 (5.5%)</w:t>
            </w:r>
          </w:p>
        </w:tc>
        <w:tc>
          <w:tcPr>
            <w:tcW w:w="1560" w:type="dxa"/>
          </w:tcPr>
          <w:p w14:paraId="79C9FB2F"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175 (4.6%)</w:t>
            </w:r>
          </w:p>
        </w:tc>
        <w:tc>
          <w:tcPr>
            <w:tcW w:w="1417" w:type="dxa"/>
          </w:tcPr>
          <w:p w14:paraId="54B62F69"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209 (6.3%)</w:t>
            </w:r>
          </w:p>
        </w:tc>
      </w:tr>
      <w:tr w:rsidR="00AA2B30" w14:paraId="3304F21D" w14:textId="77777777" w:rsidTr="00A34DA1">
        <w:trPr>
          <w:trHeight w:val="260"/>
        </w:trPr>
        <w:tc>
          <w:tcPr>
            <w:tcW w:w="2972" w:type="dxa"/>
          </w:tcPr>
          <w:p w14:paraId="1A1473F2" w14:textId="77777777" w:rsidR="00AA2B30" w:rsidRDefault="00AA2B30" w:rsidP="00A34DA1">
            <w:pPr>
              <w:autoSpaceDE w:val="0"/>
              <w:autoSpaceDN w:val="0"/>
              <w:adjustRightInd w:val="0"/>
              <w:rPr>
                <w:rFonts w:ascii="Calibri" w:hAnsi="Calibri" w:cs="Calibri"/>
                <w:b/>
                <w:bCs/>
                <w:color w:val="000000"/>
                <w:sz w:val="18"/>
                <w:szCs w:val="18"/>
              </w:rPr>
            </w:pPr>
            <w:r>
              <w:rPr>
                <w:rFonts w:ascii="Calibri" w:hAnsi="Calibri" w:cs="Calibri"/>
                <w:b/>
                <w:bCs/>
                <w:color w:val="000000"/>
                <w:sz w:val="18"/>
                <w:szCs w:val="18"/>
              </w:rPr>
              <w:t xml:space="preserve"> Patient-reported symptoms</w:t>
            </w:r>
          </w:p>
        </w:tc>
        <w:tc>
          <w:tcPr>
            <w:tcW w:w="1276" w:type="dxa"/>
          </w:tcPr>
          <w:p w14:paraId="1DB0BC85" w14:textId="77777777" w:rsidR="00AA2B30" w:rsidRDefault="00AA2B30" w:rsidP="00A34DA1">
            <w:pPr>
              <w:autoSpaceDE w:val="0"/>
              <w:autoSpaceDN w:val="0"/>
              <w:adjustRightInd w:val="0"/>
              <w:jc w:val="right"/>
              <w:rPr>
                <w:rFonts w:ascii="Calibri" w:hAnsi="Calibri" w:cs="Calibri"/>
                <w:color w:val="000000"/>
                <w:sz w:val="18"/>
                <w:szCs w:val="18"/>
              </w:rPr>
            </w:pPr>
          </w:p>
        </w:tc>
        <w:tc>
          <w:tcPr>
            <w:tcW w:w="1417" w:type="dxa"/>
          </w:tcPr>
          <w:p w14:paraId="203CF73C" w14:textId="77777777" w:rsidR="00AA2B30" w:rsidRDefault="00AA2B30" w:rsidP="00A34DA1">
            <w:pPr>
              <w:autoSpaceDE w:val="0"/>
              <w:autoSpaceDN w:val="0"/>
              <w:adjustRightInd w:val="0"/>
              <w:jc w:val="right"/>
              <w:rPr>
                <w:rFonts w:ascii="Calibri" w:hAnsi="Calibri" w:cs="Calibri"/>
                <w:color w:val="000000"/>
                <w:sz w:val="18"/>
                <w:szCs w:val="18"/>
              </w:rPr>
            </w:pPr>
          </w:p>
        </w:tc>
        <w:tc>
          <w:tcPr>
            <w:tcW w:w="1560" w:type="dxa"/>
          </w:tcPr>
          <w:p w14:paraId="5DE5861F" w14:textId="77777777" w:rsidR="00AA2B30" w:rsidRDefault="00AA2B30" w:rsidP="00A34DA1">
            <w:pPr>
              <w:autoSpaceDE w:val="0"/>
              <w:autoSpaceDN w:val="0"/>
              <w:adjustRightInd w:val="0"/>
              <w:jc w:val="right"/>
              <w:rPr>
                <w:rFonts w:ascii="Calibri" w:hAnsi="Calibri" w:cs="Calibri"/>
                <w:color w:val="000000"/>
                <w:sz w:val="18"/>
                <w:szCs w:val="18"/>
              </w:rPr>
            </w:pPr>
          </w:p>
        </w:tc>
        <w:tc>
          <w:tcPr>
            <w:tcW w:w="1417" w:type="dxa"/>
          </w:tcPr>
          <w:p w14:paraId="49573E7C" w14:textId="77777777" w:rsidR="00AA2B30" w:rsidRDefault="00AA2B30" w:rsidP="00A34DA1">
            <w:pPr>
              <w:autoSpaceDE w:val="0"/>
              <w:autoSpaceDN w:val="0"/>
              <w:adjustRightInd w:val="0"/>
              <w:jc w:val="right"/>
              <w:rPr>
                <w:rFonts w:ascii="Calibri" w:hAnsi="Calibri" w:cs="Calibri"/>
                <w:color w:val="000000"/>
                <w:sz w:val="18"/>
                <w:szCs w:val="18"/>
              </w:rPr>
            </w:pPr>
          </w:p>
        </w:tc>
      </w:tr>
      <w:tr w:rsidR="00AA2B30" w14:paraId="02369CB4" w14:textId="77777777" w:rsidTr="00A34DA1">
        <w:trPr>
          <w:trHeight w:val="260"/>
        </w:trPr>
        <w:tc>
          <w:tcPr>
            <w:tcW w:w="2972" w:type="dxa"/>
          </w:tcPr>
          <w:p w14:paraId="5FC91EEC" w14:textId="1C421630" w:rsidR="00AA2B30" w:rsidRPr="0085531A" w:rsidRDefault="00AA2B30" w:rsidP="00A34DA1">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   CD-PRO2 weighted, </w:t>
            </w:r>
            <w:r>
              <w:rPr>
                <w:rFonts w:ascii="Calibri" w:hAnsi="Calibri" w:cs="Calibri"/>
                <w:i/>
                <w:iCs/>
                <w:color w:val="000000"/>
                <w:sz w:val="18"/>
                <w:szCs w:val="18"/>
              </w:rPr>
              <w:t>median (IQR)</w:t>
            </w:r>
          </w:p>
        </w:tc>
        <w:tc>
          <w:tcPr>
            <w:tcW w:w="1276" w:type="dxa"/>
          </w:tcPr>
          <w:p w14:paraId="41B41C26"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w:t>
            </w:r>
          </w:p>
        </w:tc>
        <w:tc>
          <w:tcPr>
            <w:tcW w:w="1417" w:type="dxa"/>
          </w:tcPr>
          <w:p w14:paraId="35A8C488"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 (2, 12)</w:t>
            </w:r>
          </w:p>
        </w:tc>
        <w:tc>
          <w:tcPr>
            <w:tcW w:w="1560" w:type="dxa"/>
          </w:tcPr>
          <w:p w14:paraId="2688705F"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w:t>
            </w:r>
          </w:p>
        </w:tc>
        <w:tc>
          <w:tcPr>
            <w:tcW w:w="1417" w:type="dxa"/>
          </w:tcPr>
          <w:p w14:paraId="5B4BB39E"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w:t>
            </w:r>
          </w:p>
        </w:tc>
      </w:tr>
      <w:tr w:rsidR="00AA2B30" w14:paraId="7DCE9687" w14:textId="77777777" w:rsidTr="00A34DA1">
        <w:trPr>
          <w:trHeight w:val="260"/>
        </w:trPr>
        <w:tc>
          <w:tcPr>
            <w:tcW w:w="2972" w:type="dxa"/>
          </w:tcPr>
          <w:p w14:paraId="042652E0" w14:textId="2E59E3D0" w:rsidR="00AA2B30" w:rsidRDefault="00AA2B30" w:rsidP="00A34DA1">
            <w:pPr>
              <w:autoSpaceDE w:val="0"/>
              <w:autoSpaceDN w:val="0"/>
              <w:adjustRightInd w:val="0"/>
              <w:rPr>
                <w:rFonts w:ascii="Calibri" w:hAnsi="Calibri" w:cs="Calibri"/>
                <w:i/>
                <w:iCs/>
                <w:color w:val="000000"/>
                <w:sz w:val="18"/>
                <w:szCs w:val="18"/>
              </w:rPr>
            </w:pPr>
            <w:r>
              <w:rPr>
                <w:rFonts w:ascii="Calibri" w:hAnsi="Calibri" w:cs="Calibri"/>
                <w:color w:val="000000"/>
                <w:sz w:val="18"/>
                <w:szCs w:val="18"/>
              </w:rPr>
              <w:t xml:space="preserve">   CD-PRO2 Remission, </w:t>
            </w:r>
            <w:r>
              <w:rPr>
                <w:rFonts w:ascii="Calibri" w:hAnsi="Calibri" w:cs="Calibri"/>
                <w:i/>
                <w:iCs/>
                <w:color w:val="000000"/>
                <w:sz w:val="18"/>
                <w:szCs w:val="18"/>
              </w:rPr>
              <w:t>n (%)</w:t>
            </w:r>
          </w:p>
        </w:tc>
        <w:tc>
          <w:tcPr>
            <w:tcW w:w="1276" w:type="dxa"/>
          </w:tcPr>
          <w:p w14:paraId="4D4618AB"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w:t>
            </w:r>
          </w:p>
        </w:tc>
        <w:tc>
          <w:tcPr>
            <w:tcW w:w="1417" w:type="dxa"/>
          </w:tcPr>
          <w:p w14:paraId="152D38EC"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2,035 (59%)</w:t>
            </w:r>
          </w:p>
        </w:tc>
        <w:tc>
          <w:tcPr>
            <w:tcW w:w="1560" w:type="dxa"/>
          </w:tcPr>
          <w:p w14:paraId="02ED7401"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w:t>
            </w:r>
          </w:p>
        </w:tc>
        <w:tc>
          <w:tcPr>
            <w:tcW w:w="1417" w:type="dxa"/>
          </w:tcPr>
          <w:p w14:paraId="6A87FBAA"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w:t>
            </w:r>
          </w:p>
        </w:tc>
      </w:tr>
      <w:tr w:rsidR="00AA2B30" w14:paraId="44B6261F" w14:textId="77777777" w:rsidTr="00A34DA1">
        <w:trPr>
          <w:trHeight w:val="260"/>
        </w:trPr>
        <w:tc>
          <w:tcPr>
            <w:tcW w:w="2972" w:type="dxa"/>
          </w:tcPr>
          <w:p w14:paraId="7971ADDA" w14:textId="49857B21" w:rsidR="00AA2B30" w:rsidRDefault="00AA2B30" w:rsidP="00A34DA1">
            <w:pPr>
              <w:autoSpaceDE w:val="0"/>
              <w:autoSpaceDN w:val="0"/>
              <w:adjustRightInd w:val="0"/>
              <w:rPr>
                <w:rFonts w:ascii="Calibri" w:hAnsi="Calibri" w:cs="Calibri"/>
                <w:i/>
                <w:iCs/>
                <w:color w:val="000000"/>
                <w:sz w:val="18"/>
                <w:szCs w:val="18"/>
              </w:rPr>
            </w:pPr>
            <w:r>
              <w:rPr>
                <w:rFonts w:ascii="Calibri" w:hAnsi="Calibri" w:cs="Calibri"/>
                <w:color w:val="000000"/>
                <w:sz w:val="18"/>
                <w:szCs w:val="18"/>
              </w:rPr>
              <w:t xml:space="preserve">   UC-PRO2 score, </w:t>
            </w:r>
            <w:r>
              <w:rPr>
                <w:rFonts w:ascii="Calibri" w:hAnsi="Calibri" w:cs="Calibri"/>
                <w:i/>
                <w:iCs/>
                <w:color w:val="000000"/>
                <w:sz w:val="18"/>
                <w:szCs w:val="18"/>
              </w:rPr>
              <w:t>median (IQR)</w:t>
            </w:r>
          </w:p>
        </w:tc>
        <w:tc>
          <w:tcPr>
            <w:tcW w:w="1276" w:type="dxa"/>
          </w:tcPr>
          <w:p w14:paraId="19278B4B"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w:t>
            </w:r>
          </w:p>
        </w:tc>
        <w:tc>
          <w:tcPr>
            <w:tcW w:w="1417" w:type="dxa"/>
          </w:tcPr>
          <w:p w14:paraId="1D1782E8"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w:t>
            </w:r>
          </w:p>
        </w:tc>
        <w:tc>
          <w:tcPr>
            <w:tcW w:w="1560" w:type="dxa"/>
          </w:tcPr>
          <w:p w14:paraId="2A05BCC6"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 (0, 1)</w:t>
            </w:r>
          </w:p>
        </w:tc>
        <w:tc>
          <w:tcPr>
            <w:tcW w:w="1417" w:type="dxa"/>
          </w:tcPr>
          <w:p w14:paraId="3927BE23"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w:t>
            </w:r>
          </w:p>
        </w:tc>
      </w:tr>
      <w:tr w:rsidR="00AA2B30" w14:paraId="716533B6" w14:textId="77777777" w:rsidTr="00A34DA1">
        <w:trPr>
          <w:trHeight w:val="260"/>
        </w:trPr>
        <w:tc>
          <w:tcPr>
            <w:tcW w:w="2972" w:type="dxa"/>
          </w:tcPr>
          <w:p w14:paraId="1AE15233" w14:textId="20D16F4A" w:rsidR="00AA2B30" w:rsidRDefault="00AA2B30" w:rsidP="00A34DA1">
            <w:pPr>
              <w:autoSpaceDE w:val="0"/>
              <w:autoSpaceDN w:val="0"/>
              <w:adjustRightInd w:val="0"/>
              <w:rPr>
                <w:rFonts w:ascii="Calibri" w:hAnsi="Calibri" w:cs="Calibri"/>
                <w:i/>
                <w:iCs/>
                <w:color w:val="000000"/>
                <w:sz w:val="18"/>
                <w:szCs w:val="18"/>
              </w:rPr>
            </w:pPr>
            <w:r>
              <w:rPr>
                <w:rFonts w:ascii="Calibri" w:hAnsi="Calibri" w:cs="Calibri"/>
                <w:color w:val="000000"/>
                <w:sz w:val="18"/>
                <w:szCs w:val="18"/>
              </w:rPr>
              <w:t xml:space="preserve">   UC-PRO2 Remission, </w:t>
            </w:r>
            <w:r>
              <w:rPr>
                <w:rFonts w:ascii="Calibri" w:hAnsi="Calibri" w:cs="Calibri"/>
                <w:i/>
                <w:iCs/>
                <w:color w:val="000000"/>
                <w:sz w:val="18"/>
                <w:szCs w:val="18"/>
              </w:rPr>
              <w:t>n (%)</w:t>
            </w:r>
          </w:p>
        </w:tc>
        <w:tc>
          <w:tcPr>
            <w:tcW w:w="1276" w:type="dxa"/>
          </w:tcPr>
          <w:p w14:paraId="511B2753"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w:t>
            </w:r>
          </w:p>
        </w:tc>
        <w:tc>
          <w:tcPr>
            <w:tcW w:w="1417" w:type="dxa"/>
          </w:tcPr>
          <w:p w14:paraId="19C068DB"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w:t>
            </w:r>
          </w:p>
        </w:tc>
        <w:tc>
          <w:tcPr>
            <w:tcW w:w="1560" w:type="dxa"/>
          </w:tcPr>
          <w:p w14:paraId="05835AE6" w14:textId="644943DC" w:rsidR="00AA2B30" w:rsidRPr="009757D3" w:rsidRDefault="00C71922" w:rsidP="00C71922">
            <w:pPr>
              <w:autoSpaceDE w:val="0"/>
              <w:autoSpaceDN w:val="0"/>
              <w:adjustRightInd w:val="0"/>
              <w:jc w:val="right"/>
              <w:rPr>
                <w:rFonts w:ascii="Calibri" w:hAnsi="Calibri" w:cs="Calibri"/>
                <w:color w:val="000000"/>
                <w:sz w:val="18"/>
                <w:szCs w:val="18"/>
              </w:rPr>
            </w:pPr>
            <w:r w:rsidRPr="00296FF8">
              <w:rPr>
                <w:rFonts w:ascii="Calibri" w:hAnsi="Calibri" w:cs="Calibri"/>
                <w:color w:val="000000" w:themeColor="text1"/>
                <w:sz w:val="18"/>
                <w:szCs w:val="18"/>
              </w:rPr>
              <w:t>2,151</w:t>
            </w:r>
            <w:r w:rsidR="00AA2B30" w:rsidRPr="00296FF8">
              <w:rPr>
                <w:rFonts w:ascii="Calibri" w:hAnsi="Calibri" w:cs="Calibri"/>
                <w:color w:val="000000" w:themeColor="text1"/>
                <w:sz w:val="18"/>
                <w:szCs w:val="18"/>
              </w:rPr>
              <w:t xml:space="preserve"> (</w:t>
            </w:r>
            <w:r w:rsidR="000C12A5" w:rsidRPr="00296FF8">
              <w:rPr>
                <w:rFonts w:ascii="Calibri" w:hAnsi="Calibri" w:cs="Calibri"/>
                <w:color w:val="000000" w:themeColor="text1"/>
                <w:sz w:val="18"/>
                <w:szCs w:val="18"/>
              </w:rPr>
              <w:t>6</w:t>
            </w:r>
            <w:r w:rsidRPr="00296FF8">
              <w:rPr>
                <w:rFonts w:ascii="Calibri" w:hAnsi="Calibri" w:cs="Calibri"/>
                <w:color w:val="000000" w:themeColor="text1"/>
                <w:sz w:val="18"/>
                <w:szCs w:val="18"/>
              </w:rPr>
              <w:t>7</w:t>
            </w:r>
            <w:r w:rsidR="00AA2B30" w:rsidRPr="00296FF8">
              <w:rPr>
                <w:rFonts w:ascii="Calibri" w:hAnsi="Calibri" w:cs="Calibri"/>
                <w:color w:val="000000" w:themeColor="text1"/>
                <w:sz w:val="18"/>
                <w:szCs w:val="18"/>
              </w:rPr>
              <w:t>%)</w:t>
            </w:r>
          </w:p>
        </w:tc>
        <w:tc>
          <w:tcPr>
            <w:tcW w:w="1417" w:type="dxa"/>
          </w:tcPr>
          <w:p w14:paraId="1B42EC05"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w:t>
            </w:r>
          </w:p>
        </w:tc>
      </w:tr>
      <w:tr w:rsidR="00AA2B30" w14:paraId="2F81B734" w14:textId="77777777" w:rsidTr="00A34DA1">
        <w:trPr>
          <w:trHeight w:val="260"/>
        </w:trPr>
        <w:tc>
          <w:tcPr>
            <w:tcW w:w="2972" w:type="dxa"/>
          </w:tcPr>
          <w:p w14:paraId="527DBA49" w14:textId="77777777" w:rsidR="00AA2B30" w:rsidRDefault="00AA2B30" w:rsidP="00A34DA1">
            <w:pPr>
              <w:autoSpaceDE w:val="0"/>
              <w:autoSpaceDN w:val="0"/>
              <w:adjustRightInd w:val="0"/>
              <w:rPr>
                <w:rFonts w:ascii="Calibri" w:hAnsi="Calibri" w:cs="Calibri"/>
                <w:b/>
                <w:bCs/>
                <w:color w:val="000000"/>
                <w:sz w:val="18"/>
                <w:szCs w:val="18"/>
              </w:rPr>
            </w:pPr>
            <w:r>
              <w:rPr>
                <w:rFonts w:ascii="Calibri" w:hAnsi="Calibri" w:cs="Calibri"/>
                <w:b/>
                <w:bCs/>
                <w:color w:val="000000"/>
                <w:sz w:val="18"/>
                <w:szCs w:val="18"/>
              </w:rPr>
              <w:t xml:space="preserve">  IBD-Control Questionnaire</w:t>
            </w:r>
          </w:p>
        </w:tc>
        <w:tc>
          <w:tcPr>
            <w:tcW w:w="1276" w:type="dxa"/>
          </w:tcPr>
          <w:p w14:paraId="3C607563" w14:textId="77777777" w:rsidR="00AA2B30" w:rsidRDefault="00AA2B30" w:rsidP="00A34DA1">
            <w:pPr>
              <w:autoSpaceDE w:val="0"/>
              <w:autoSpaceDN w:val="0"/>
              <w:adjustRightInd w:val="0"/>
              <w:jc w:val="right"/>
              <w:rPr>
                <w:rFonts w:ascii="Calibri" w:hAnsi="Calibri" w:cs="Calibri"/>
                <w:color w:val="000000"/>
                <w:sz w:val="18"/>
                <w:szCs w:val="18"/>
              </w:rPr>
            </w:pPr>
          </w:p>
        </w:tc>
        <w:tc>
          <w:tcPr>
            <w:tcW w:w="1417" w:type="dxa"/>
          </w:tcPr>
          <w:p w14:paraId="5B841BE6" w14:textId="77777777" w:rsidR="00AA2B30" w:rsidRDefault="00AA2B30" w:rsidP="00A34DA1">
            <w:pPr>
              <w:autoSpaceDE w:val="0"/>
              <w:autoSpaceDN w:val="0"/>
              <w:adjustRightInd w:val="0"/>
              <w:jc w:val="right"/>
              <w:rPr>
                <w:rFonts w:ascii="Calibri" w:hAnsi="Calibri" w:cs="Calibri"/>
                <w:color w:val="000000"/>
                <w:sz w:val="18"/>
                <w:szCs w:val="18"/>
              </w:rPr>
            </w:pPr>
          </w:p>
        </w:tc>
        <w:tc>
          <w:tcPr>
            <w:tcW w:w="1560" w:type="dxa"/>
          </w:tcPr>
          <w:p w14:paraId="762F2496" w14:textId="77777777" w:rsidR="00AA2B30" w:rsidRDefault="00AA2B30" w:rsidP="00A34DA1">
            <w:pPr>
              <w:autoSpaceDE w:val="0"/>
              <w:autoSpaceDN w:val="0"/>
              <w:adjustRightInd w:val="0"/>
              <w:jc w:val="right"/>
              <w:rPr>
                <w:rFonts w:ascii="Calibri" w:hAnsi="Calibri" w:cs="Calibri"/>
                <w:color w:val="000000"/>
                <w:sz w:val="18"/>
                <w:szCs w:val="18"/>
              </w:rPr>
            </w:pPr>
          </w:p>
        </w:tc>
        <w:tc>
          <w:tcPr>
            <w:tcW w:w="1417" w:type="dxa"/>
          </w:tcPr>
          <w:p w14:paraId="099B8D20" w14:textId="77777777" w:rsidR="00AA2B30" w:rsidRDefault="00AA2B30" w:rsidP="00A34DA1">
            <w:pPr>
              <w:autoSpaceDE w:val="0"/>
              <w:autoSpaceDN w:val="0"/>
              <w:adjustRightInd w:val="0"/>
              <w:jc w:val="right"/>
              <w:rPr>
                <w:rFonts w:ascii="Calibri" w:hAnsi="Calibri" w:cs="Calibri"/>
                <w:color w:val="000000"/>
                <w:sz w:val="18"/>
                <w:szCs w:val="18"/>
              </w:rPr>
            </w:pPr>
          </w:p>
        </w:tc>
      </w:tr>
      <w:tr w:rsidR="00AA2B30" w14:paraId="4D9C20EE" w14:textId="77777777" w:rsidTr="00A34DA1">
        <w:trPr>
          <w:trHeight w:val="260"/>
        </w:trPr>
        <w:tc>
          <w:tcPr>
            <w:tcW w:w="2972" w:type="dxa"/>
          </w:tcPr>
          <w:p w14:paraId="1E5E10AC" w14:textId="77777777" w:rsidR="00AA2B30" w:rsidRDefault="00AA2B30" w:rsidP="00A34DA1">
            <w:pPr>
              <w:autoSpaceDE w:val="0"/>
              <w:autoSpaceDN w:val="0"/>
              <w:adjustRightInd w:val="0"/>
              <w:rPr>
                <w:rFonts w:ascii="Calibri" w:hAnsi="Calibri" w:cs="Calibri"/>
                <w:i/>
                <w:iCs/>
                <w:color w:val="000000"/>
                <w:sz w:val="18"/>
                <w:szCs w:val="18"/>
              </w:rPr>
            </w:pPr>
            <w:r>
              <w:rPr>
                <w:rFonts w:ascii="Calibri" w:hAnsi="Calibri" w:cs="Calibri"/>
                <w:color w:val="000000"/>
                <w:sz w:val="18"/>
                <w:szCs w:val="18"/>
              </w:rPr>
              <w:t xml:space="preserve">   IBD-Control-8 score, </w:t>
            </w:r>
            <w:r>
              <w:rPr>
                <w:rFonts w:ascii="Calibri" w:hAnsi="Calibri" w:cs="Calibri"/>
                <w:i/>
                <w:iCs/>
                <w:color w:val="000000"/>
                <w:sz w:val="18"/>
                <w:szCs w:val="18"/>
              </w:rPr>
              <w:t>median (IQR)</w:t>
            </w:r>
          </w:p>
        </w:tc>
        <w:tc>
          <w:tcPr>
            <w:tcW w:w="1276" w:type="dxa"/>
          </w:tcPr>
          <w:p w14:paraId="19B2549A"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12 (8, 16)</w:t>
            </w:r>
          </w:p>
        </w:tc>
        <w:tc>
          <w:tcPr>
            <w:tcW w:w="1417" w:type="dxa"/>
          </w:tcPr>
          <w:p w14:paraId="696461AC"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12.0 (7.0, 15.0)</w:t>
            </w:r>
          </w:p>
        </w:tc>
        <w:tc>
          <w:tcPr>
            <w:tcW w:w="1560" w:type="dxa"/>
          </w:tcPr>
          <w:p w14:paraId="4B03F97F"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14.0 (9.0, 16.0)</w:t>
            </w:r>
          </w:p>
        </w:tc>
        <w:tc>
          <w:tcPr>
            <w:tcW w:w="1417" w:type="dxa"/>
          </w:tcPr>
          <w:p w14:paraId="72875A32"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12.0 (7.0, 15.5)</w:t>
            </w:r>
          </w:p>
        </w:tc>
      </w:tr>
      <w:tr w:rsidR="00AA2B30" w14:paraId="6DEF8441" w14:textId="77777777" w:rsidTr="00A34DA1">
        <w:trPr>
          <w:trHeight w:val="260"/>
        </w:trPr>
        <w:tc>
          <w:tcPr>
            <w:tcW w:w="2972" w:type="dxa"/>
          </w:tcPr>
          <w:p w14:paraId="79A83288" w14:textId="77777777" w:rsidR="00AA2B30" w:rsidRDefault="00AA2B30" w:rsidP="00A34DA1">
            <w:pPr>
              <w:autoSpaceDE w:val="0"/>
              <w:autoSpaceDN w:val="0"/>
              <w:adjustRightInd w:val="0"/>
              <w:rPr>
                <w:rFonts w:ascii="Calibri" w:hAnsi="Calibri" w:cs="Calibri"/>
                <w:i/>
                <w:iCs/>
                <w:color w:val="000000"/>
                <w:sz w:val="18"/>
                <w:szCs w:val="18"/>
              </w:rPr>
            </w:pPr>
            <w:r>
              <w:rPr>
                <w:rFonts w:ascii="Calibri" w:hAnsi="Calibri" w:cs="Calibri"/>
                <w:color w:val="000000"/>
                <w:sz w:val="18"/>
                <w:szCs w:val="18"/>
              </w:rPr>
              <w:t xml:space="preserve">   IBD-Control-8 Quiescent, </w:t>
            </w:r>
            <w:r>
              <w:rPr>
                <w:rFonts w:ascii="Calibri" w:hAnsi="Calibri" w:cs="Calibri"/>
                <w:i/>
                <w:iCs/>
                <w:color w:val="000000"/>
                <w:sz w:val="18"/>
                <w:szCs w:val="18"/>
              </w:rPr>
              <w:t>n (%)</w:t>
            </w:r>
          </w:p>
        </w:tc>
        <w:tc>
          <w:tcPr>
            <w:tcW w:w="1276" w:type="dxa"/>
          </w:tcPr>
          <w:p w14:paraId="44A79713"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3,614 (49%)</w:t>
            </w:r>
          </w:p>
        </w:tc>
        <w:tc>
          <w:tcPr>
            <w:tcW w:w="1417" w:type="dxa"/>
          </w:tcPr>
          <w:p w14:paraId="6C5B7D8E"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1,637 (43%)</w:t>
            </w:r>
          </w:p>
        </w:tc>
        <w:tc>
          <w:tcPr>
            <w:tcW w:w="1560" w:type="dxa"/>
          </w:tcPr>
          <w:p w14:paraId="0CEC9FA2"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1,872 (57%)</w:t>
            </w:r>
          </w:p>
        </w:tc>
        <w:tc>
          <w:tcPr>
            <w:tcW w:w="1417" w:type="dxa"/>
          </w:tcPr>
          <w:p w14:paraId="6CB4C4D1"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105 (45%)</w:t>
            </w:r>
          </w:p>
        </w:tc>
      </w:tr>
      <w:tr w:rsidR="00AA2B30" w14:paraId="6F4A5EB8" w14:textId="77777777" w:rsidTr="00A34DA1">
        <w:trPr>
          <w:trHeight w:val="260"/>
        </w:trPr>
        <w:tc>
          <w:tcPr>
            <w:tcW w:w="2972" w:type="dxa"/>
          </w:tcPr>
          <w:p w14:paraId="18B1950C" w14:textId="77777777" w:rsidR="00AA2B30" w:rsidRDefault="00AA2B30" w:rsidP="00A34DA1">
            <w:pPr>
              <w:autoSpaceDE w:val="0"/>
              <w:autoSpaceDN w:val="0"/>
              <w:adjustRightInd w:val="0"/>
              <w:rPr>
                <w:rFonts w:ascii="Calibri" w:hAnsi="Calibri" w:cs="Calibri"/>
                <w:i/>
                <w:iCs/>
                <w:color w:val="000000"/>
                <w:sz w:val="18"/>
                <w:szCs w:val="18"/>
              </w:rPr>
            </w:pPr>
            <w:r>
              <w:rPr>
                <w:rFonts w:ascii="Calibri" w:hAnsi="Calibri" w:cs="Calibri"/>
                <w:color w:val="000000"/>
                <w:sz w:val="18"/>
                <w:szCs w:val="18"/>
              </w:rPr>
              <w:t xml:space="preserve">   IBD-Control-VAS, </w:t>
            </w:r>
            <w:r>
              <w:rPr>
                <w:rFonts w:ascii="Calibri" w:hAnsi="Calibri" w:cs="Calibri"/>
                <w:i/>
                <w:iCs/>
                <w:color w:val="000000"/>
                <w:sz w:val="18"/>
                <w:szCs w:val="18"/>
              </w:rPr>
              <w:t>median (IQR)</w:t>
            </w:r>
          </w:p>
        </w:tc>
        <w:tc>
          <w:tcPr>
            <w:tcW w:w="1276" w:type="dxa"/>
          </w:tcPr>
          <w:p w14:paraId="6FAFA255"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80 (61, 94)</w:t>
            </w:r>
          </w:p>
        </w:tc>
        <w:tc>
          <w:tcPr>
            <w:tcW w:w="1417" w:type="dxa"/>
          </w:tcPr>
          <w:p w14:paraId="3FF380D4"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80 (55, 90)</w:t>
            </w:r>
          </w:p>
        </w:tc>
        <w:tc>
          <w:tcPr>
            <w:tcW w:w="1560" w:type="dxa"/>
          </w:tcPr>
          <w:p w14:paraId="7BA218DB"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85 (69, 95)</w:t>
            </w:r>
          </w:p>
        </w:tc>
        <w:tc>
          <w:tcPr>
            <w:tcW w:w="1417" w:type="dxa"/>
          </w:tcPr>
          <w:p w14:paraId="14A09394"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78 (55, 90)</w:t>
            </w:r>
          </w:p>
        </w:tc>
      </w:tr>
      <w:tr w:rsidR="00AA2B30" w14:paraId="1E8F5361" w14:textId="77777777" w:rsidTr="00A34DA1">
        <w:trPr>
          <w:trHeight w:val="260"/>
        </w:trPr>
        <w:tc>
          <w:tcPr>
            <w:tcW w:w="2972" w:type="dxa"/>
          </w:tcPr>
          <w:p w14:paraId="13209D67" w14:textId="77777777" w:rsidR="00AA2B30" w:rsidRDefault="00AA2B30" w:rsidP="00A34DA1">
            <w:pPr>
              <w:autoSpaceDE w:val="0"/>
              <w:autoSpaceDN w:val="0"/>
              <w:adjustRightInd w:val="0"/>
              <w:rPr>
                <w:rFonts w:ascii="Calibri" w:hAnsi="Calibri" w:cs="Calibri"/>
                <w:i/>
                <w:iCs/>
                <w:color w:val="000000"/>
                <w:sz w:val="18"/>
                <w:szCs w:val="18"/>
              </w:rPr>
            </w:pPr>
            <w:r>
              <w:rPr>
                <w:rFonts w:ascii="Calibri" w:hAnsi="Calibri" w:cs="Calibri"/>
                <w:color w:val="000000"/>
                <w:sz w:val="18"/>
                <w:szCs w:val="18"/>
              </w:rPr>
              <w:t xml:space="preserve">   IBD-Control-VAS Quiescent, </w:t>
            </w:r>
            <w:r>
              <w:rPr>
                <w:rFonts w:ascii="Calibri" w:hAnsi="Calibri" w:cs="Calibri"/>
                <w:i/>
                <w:iCs/>
                <w:color w:val="000000"/>
                <w:sz w:val="18"/>
                <w:szCs w:val="18"/>
              </w:rPr>
              <w:t>n (%)</w:t>
            </w:r>
          </w:p>
        </w:tc>
        <w:tc>
          <w:tcPr>
            <w:tcW w:w="1276" w:type="dxa"/>
          </w:tcPr>
          <w:p w14:paraId="654322E6"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3,259 (44%)</w:t>
            </w:r>
          </w:p>
        </w:tc>
        <w:tc>
          <w:tcPr>
            <w:tcW w:w="1417" w:type="dxa"/>
          </w:tcPr>
          <w:p w14:paraId="5B9ED162"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1,504 (39%)</w:t>
            </w:r>
          </w:p>
        </w:tc>
        <w:tc>
          <w:tcPr>
            <w:tcW w:w="1560" w:type="dxa"/>
          </w:tcPr>
          <w:p w14:paraId="76D371CB"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1,662 (50%)</w:t>
            </w:r>
          </w:p>
        </w:tc>
        <w:tc>
          <w:tcPr>
            <w:tcW w:w="1417" w:type="dxa"/>
          </w:tcPr>
          <w:p w14:paraId="28C166BE" w14:textId="77777777" w:rsidR="00AA2B30" w:rsidRDefault="00AA2B30" w:rsidP="00A34DA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93 (40%)</w:t>
            </w:r>
          </w:p>
        </w:tc>
      </w:tr>
    </w:tbl>
    <w:p w14:paraId="7B7E673B" w14:textId="77777777" w:rsidR="00AA2B30" w:rsidRPr="0051716F" w:rsidRDefault="00AA2B30" w:rsidP="00AA2B30">
      <w:pPr>
        <w:pStyle w:val="Caption"/>
        <w:keepNext/>
      </w:pPr>
    </w:p>
    <w:p w14:paraId="3B4B4F13" w14:textId="77777777" w:rsidR="00AA2B30" w:rsidRDefault="00AA2B30" w:rsidP="00AA2B30">
      <w:pPr>
        <w:rPr>
          <w:b/>
          <w:bCs/>
        </w:rPr>
      </w:pPr>
    </w:p>
    <w:p w14:paraId="027623B0" w14:textId="77777777" w:rsidR="0051716F" w:rsidRPr="0051716F" w:rsidRDefault="0051716F" w:rsidP="0051716F"/>
    <w:p w14:paraId="29E65109" w14:textId="77777777" w:rsidR="0051716F" w:rsidRDefault="0051716F">
      <w:pPr>
        <w:rPr>
          <w:b/>
          <w:bCs/>
          <w:sz w:val="24"/>
          <w:szCs w:val="24"/>
        </w:rPr>
      </w:pPr>
      <w:r>
        <w:rPr>
          <w:b/>
          <w:bCs/>
          <w:sz w:val="24"/>
          <w:szCs w:val="24"/>
        </w:rPr>
        <w:br w:type="page"/>
      </w:r>
    </w:p>
    <w:p w14:paraId="32588D3E" w14:textId="09107044" w:rsidR="00676452" w:rsidRPr="001E2362" w:rsidRDefault="00676452" w:rsidP="00676452">
      <w:pPr>
        <w:rPr>
          <w:rFonts w:cstheme="minorHAnsi"/>
          <w:b/>
          <w:bCs/>
        </w:rPr>
      </w:pPr>
      <w:r w:rsidRPr="001E2362">
        <w:rPr>
          <w:b/>
          <w:bCs/>
        </w:rPr>
        <w:lastRenderedPageBreak/>
        <w:t xml:space="preserve">Table </w:t>
      </w:r>
      <w:r>
        <w:rPr>
          <w:b/>
          <w:bCs/>
        </w:rPr>
        <w:t>2</w:t>
      </w:r>
      <w:r w:rsidRPr="002F3DD8">
        <w:rPr>
          <w:b/>
          <w:bCs/>
        </w:rPr>
        <w:t>:</w:t>
      </w:r>
      <w:r w:rsidRPr="001E2362">
        <w:rPr>
          <w:b/>
          <w:bCs/>
        </w:rPr>
        <w:t xml:space="preserve">  </w:t>
      </w:r>
      <w:r w:rsidRPr="001E2362">
        <w:rPr>
          <w:rFonts w:cstheme="minorHAnsi"/>
          <w:b/>
          <w:bCs/>
        </w:rPr>
        <w:t>Internal consistency</w:t>
      </w:r>
      <w:r>
        <w:rPr>
          <w:rFonts w:cstheme="minorHAnsi"/>
          <w:b/>
          <w:bCs/>
        </w:rPr>
        <w:t xml:space="preserve"> of the IBD-Control-8 scale,</w:t>
      </w:r>
      <w:r w:rsidRPr="001E2362">
        <w:rPr>
          <w:rFonts w:cstheme="minorHAnsi"/>
          <w:b/>
          <w:bCs/>
        </w:rPr>
        <w:t xml:space="preserve"> overall and by sub-groups</w:t>
      </w:r>
    </w:p>
    <w:tbl>
      <w:tblPr>
        <w:tblStyle w:val="TableGrid"/>
        <w:tblpPr w:leftFromText="180" w:rightFromText="180" w:vertAnchor="text" w:horzAnchor="margin" w:tblpXSpec="center" w:tblpY="145"/>
        <w:tblW w:w="9356" w:type="dxa"/>
        <w:tblLayout w:type="fixed"/>
        <w:tblLook w:val="0420" w:firstRow="1" w:lastRow="0" w:firstColumn="0" w:lastColumn="0" w:noHBand="0" w:noVBand="1"/>
      </w:tblPr>
      <w:tblGrid>
        <w:gridCol w:w="2343"/>
        <w:gridCol w:w="2193"/>
        <w:gridCol w:w="2410"/>
        <w:gridCol w:w="2410"/>
      </w:tblGrid>
      <w:tr w:rsidR="00676452" w:rsidRPr="00895FFB" w14:paraId="7EFBD9B3" w14:textId="77777777" w:rsidTr="00A34DA1">
        <w:trPr>
          <w:trHeight w:hRule="exact" w:val="579"/>
        </w:trPr>
        <w:tc>
          <w:tcPr>
            <w:tcW w:w="2343" w:type="dxa"/>
            <w:shd w:val="clear" w:color="auto" w:fill="DEEAF6" w:themeFill="accent5" w:themeFillTint="33"/>
          </w:tcPr>
          <w:p w14:paraId="0A2F5307"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40" w:after="40"/>
              <w:ind w:left="100" w:right="100"/>
              <w:rPr>
                <w:rFonts w:cstheme="minorHAnsi"/>
                <w:b/>
                <w:sz w:val="18"/>
                <w:szCs w:val="18"/>
              </w:rPr>
            </w:pPr>
            <w:bookmarkStart w:id="1" w:name="_Hlk125146353"/>
            <w:r w:rsidRPr="00DE4E7F">
              <w:rPr>
                <w:rFonts w:cstheme="minorHAnsi"/>
                <w:b/>
                <w:color w:val="000000"/>
                <w:sz w:val="18"/>
                <w:szCs w:val="18"/>
              </w:rPr>
              <w:t>Group</w:t>
            </w:r>
          </w:p>
        </w:tc>
        <w:tc>
          <w:tcPr>
            <w:tcW w:w="2193" w:type="dxa"/>
            <w:shd w:val="clear" w:color="auto" w:fill="DEEAF6" w:themeFill="accent5" w:themeFillTint="33"/>
          </w:tcPr>
          <w:p w14:paraId="5490DC4E"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40" w:after="40"/>
              <w:ind w:right="100"/>
              <w:jc w:val="right"/>
              <w:rPr>
                <w:rFonts w:cstheme="minorHAnsi"/>
                <w:b/>
                <w:color w:val="000000"/>
                <w:sz w:val="18"/>
                <w:szCs w:val="18"/>
              </w:rPr>
            </w:pPr>
            <w:r w:rsidRPr="00DE4E7F">
              <w:rPr>
                <w:rFonts w:cstheme="minorHAnsi"/>
                <w:b/>
                <w:bCs/>
                <w:sz w:val="18"/>
                <w:szCs w:val="18"/>
              </w:rPr>
              <w:t>Cronbach’s alpha (α)</w:t>
            </w:r>
          </w:p>
        </w:tc>
        <w:tc>
          <w:tcPr>
            <w:tcW w:w="2410" w:type="dxa"/>
            <w:shd w:val="clear" w:color="auto" w:fill="DEEAF6" w:themeFill="accent5" w:themeFillTint="33"/>
          </w:tcPr>
          <w:p w14:paraId="54606EFB"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40" w:after="40"/>
              <w:ind w:right="100"/>
              <w:jc w:val="right"/>
              <w:rPr>
                <w:rFonts w:cstheme="minorHAnsi"/>
                <w:b/>
                <w:bCs/>
                <w:sz w:val="18"/>
                <w:szCs w:val="18"/>
              </w:rPr>
            </w:pPr>
            <w:r w:rsidRPr="00DE4E7F">
              <w:rPr>
                <w:rFonts w:cstheme="minorHAnsi"/>
                <w:b/>
                <w:bCs/>
                <w:sz w:val="18"/>
                <w:szCs w:val="18"/>
              </w:rPr>
              <w:t xml:space="preserve">McDonald’s omega (ω) </w:t>
            </w:r>
            <w:r>
              <w:rPr>
                <w:rFonts w:cstheme="minorHAnsi"/>
                <w:b/>
                <w:bCs/>
                <w:sz w:val="18"/>
                <w:szCs w:val="18"/>
              </w:rPr>
              <w:t>T</w:t>
            </w:r>
            <w:r w:rsidRPr="00DE4E7F">
              <w:rPr>
                <w:rFonts w:cstheme="minorHAnsi"/>
                <w:b/>
                <w:bCs/>
                <w:sz w:val="18"/>
                <w:szCs w:val="18"/>
              </w:rPr>
              <w:t>otal</w:t>
            </w:r>
          </w:p>
        </w:tc>
        <w:tc>
          <w:tcPr>
            <w:tcW w:w="2410" w:type="dxa"/>
            <w:shd w:val="clear" w:color="auto" w:fill="DEEAF6" w:themeFill="accent5" w:themeFillTint="33"/>
          </w:tcPr>
          <w:p w14:paraId="128E7A70"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40" w:after="40"/>
              <w:ind w:right="100"/>
              <w:jc w:val="right"/>
              <w:rPr>
                <w:rFonts w:cstheme="minorHAnsi"/>
                <w:b/>
                <w:bCs/>
                <w:sz w:val="18"/>
                <w:szCs w:val="18"/>
              </w:rPr>
            </w:pPr>
            <w:r w:rsidRPr="00DE4E7F">
              <w:rPr>
                <w:rFonts w:cstheme="minorHAnsi"/>
                <w:b/>
                <w:bCs/>
                <w:sz w:val="18"/>
                <w:szCs w:val="18"/>
              </w:rPr>
              <w:t xml:space="preserve">McDonald’s omega (ω) </w:t>
            </w:r>
            <w:r>
              <w:rPr>
                <w:rFonts w:cstheme="minorHAnsi"/>
                <w:b/>
                <w:bCs/>
                <w:sz w:val="18"/>
                <w:szCs w:val="18"/>
              </w:rPr>
              <w:t>H</w:t>
            </w:r>
            <w:r w:rsidRPr="00DE4E7F">
              <w:rPr>
                <w:rFonts w:cstheme="minorHAnsi"/>
                <w:b/>
                <w:bCs/>
                <w:sz w:val="18"/>
                <w:szCs w:val="18"/>
              </w:rPr>
              <w:t>ierarchical</w:t>
            </w:r>
          </w:p>
        </w:tc>
      </w:tr>
      <w:tr w:rsidR="00676452" w:rsidRPr="00895FFB" w14:paraId="2FF0E97B" w14:textId="77777777" w:rsidTr="00A34DA1">
        <w:trPr>
          <w:trHeight w:hRule="exact" w:val="376"/>
        </w:trPr>
        <w:tc>
          <w:tcPr>
            <w:tcW w:w="2343" w:type="dxa"/>
          </w:tcPr>
          <w:p w14:paraId="1EDB9F04"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8"/>
                <w:szCs w:val="18"/>
              </w:rPr>
            </w:pPr>
            <w:r w:rsidRPr="00DE4E7F">
              <w:rPr>
                <w:rFonts w:cstheme="minorHAnsi"/>
                <w:b/>
                <w:color w:val="000000"/>
                <w:sz w:val="18"/>
                <w:szCs w:val="18"/>
              </w:rPr>
              <w:t>Overall</w:t>
            </w:r>
          </w:p>
        </w:tc>
        <w:tc>
          <w:tcPr>
            <w:tcW w:w="2193" w:type="dxa"/>
          </w:tcPr>
          <w:p w14:paraId="6A702103"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color w:val="000000"/>
                <w:sz w:val="18"/>
                <w:szCs w:val="18"/>
              </w:rPr>
            </w:pPr>
            <w:r w:rsidRPr="00DE4E7F">
              <w:rPr>
                <w:rFonts w:cstheme="minorHAnsi"/>
                <w:color w:val="000000"/>
                <w:sz w:val="18"/>
                <w:szCs w:val="18"/>
              </w:rPr>
              <w:t>0.84</w:t>
            </w:r>
          </w:p>
        </w:tc>
        <w:tc>
          <w:tcPr>
            <w:tcW w:w="2410" w:type="dxa"/>
          </w:tcPr>
          <w:p w14:paraId="6AAF51A5"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0.89</w:t>
            </w:r>
          </w:p>
        </w:tc>
        <w:tc>
          <w:tcPr>
            <w:tcW w:w="2410" w:type="dxa"/>
          </w:tcPr>
          <w:p w14:paraId="62DC13CF"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0.72</w:t>
            </w:r>
          </w:p>
        </w:tc>
      </w:tr>
      <w:tr w:rsidR="00676452" w:rsidRPr="00895FFB" w14:paraId="7A7322E0" w14:textId="77777777" w:rsidTr="00A34DA1">
        <w:trPr>
          <w:trHeight w:hRule="exact" w:val="376"/>
        </w:trPr>
        <w:tc>
          <w:tcPr>
            <w:tcW w:w="9356" w:type="dxa"/>
            <w:gridSpan w:val="4"/>
          </w:tcPr>
          <w:p w14:paraId="4839E222"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color w:val="000000"/>
                <w:sz w:val="18"/>
                <w:szCs w:val="18"/>
              </w:rPr>
            </w:pPr>
            <w:r w:rsidRPr="00DE4E7F">
              <w:rPr>
                <w:rFonts w:cstheme="minorHAnsi"/>
                <w:b/>
                <w:color w:val="000000"/>
                <w:sz w:val="18"/>
                <w:szCs w:val="18"/>
              </w:rPr>
              <w:t>By diagnosis</w:t>
            </w:r>
          </w:p>
          <w:p w14:paraId="6FA51302"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color w:val="000000"/>
                <w:sz w:val="18"/>
                <w:szCs w:val="18"/>
              </w:rPr>
            </w:pPr>
            <w:r w:rsidRPr="00DE4E7F">
              <w:rPr>
                <w:rFonts w:cstheme="minorHAnsi"/>
                <w:sz w:val="18"/>
                <w:szCs w:val="18"/>
              </w:rPr>
              <w:t>0.667</w:t>
            </w:r>
          </w:p>
          <w:p w14:paraId="2AD719B5" w14:textId="77777777" w:rsidR="00676452" w:rsidRPr="00DE4E7F" w:rsidRDefault="00676452" w:rsidP="00A34DA1">
            <w:pPr>
              <w:jc w:val="right"/>
              <w:rPr>
                <w:rFonts w:cstheme="minorHAnsi"/>
                <w:b/>
                <w:color w:val="000000"/>
                <w:sz w:val="18"/>
                <w:szCs w:val="18"/>
              </w:rPr>
            </w:pPr>
          </w:p>
          <w:p w14:paraId="1901F079"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color w:val="000000"/>
                <w:sz w:val="18"/>
                <w:szCs w:val="18"/>
              </w:rPr>
            </w:pPr>
          </w:p>
        </w:tc>
      </w:tr>
      <w:tr w:rsidR="00676452" w:rsidRPr="00895FFB" w14:paraId="3A908733" w14:textId="77777777" w:rsidTr="00A34DA1">
        <w:trPr>
          <w:trHeight w:hRule="exact" w:val="376"/>
        </w:trPr>
        <w:tc>
          <w:tcPr>
            <w:tcW w:w="2343" w:type="dxa"/>
          </w:tcPr>
          <w:p w14:paraId="2E0DF22C"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left="300" w:right="100"/>
              <w:rPr>
                <w:rFonts w:cstheme="minorHAnsi"/>
                <w:color w:val="000000"/>
                <w:sz w:val="18"/>
                <w:szCs w:val="18"/>
              </w:rPr>
            </w:pPr>
            <w:r w:rsidRPr="00DE4E7F">
              <w:rPr>
                <w:rFonts w:cstheme="minorHAnsi"/>
                <w:color w:val="000000"/>
                <w:sz w:val="18"/>
                <w:szCs w:val="18"/>
              </w:rPr>
              <w:t>CD</w:t>
            </w:r>
          </w:p>
        </w:tc>
        <w:tc>
          <w:tcPr>
            <w:tcW w:w="2193" w:type="dxa"/>
          </w:tcPr>
          <w:p w14:paraId="68105321"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0.84</w:t>
            </w:r>
          </w:p>
        </w:tc>
        <w:tc>
          <w:tcPr>
            <w:tcW w:w="2410" w:type="dxa"/>
          </w:tcPr>
          <w:p w14:paraId="55520E53"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0.89</w:t>
            </w:r>
          </w:p>
        </w:tc>
        <w:tc>
          <w:tcPr>
            <w:tcW w:w="2410" w:type="dxa"/>
          </w:tcPr>
          <w:p w14:paraId="47FC713A"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0.71</w:t>
            </w:r>
          </w:p>
        </w:tc>
      </w:tr>
      <w:tr w:rsidR="00676452" w:rsidRPr="00895FFB" w14:paraId="1D116B94" w14:textId="77777777" w:rsidTr="00A34DA1">
        <w:trPr>
          <w:trHeight w:hRule="exact" w:val="376"/>
        </w:trPr>
        <w:tc>
          <w:tcPr>
            <w:tcW w:w="2343" w:type="dxa"/>
          </w:tcPr>
          <w:p w14:paraId="559F9428"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left="300" w:right="100"/>
              <w:rPr>
                <w:rFonts w:cstheme="minorHAnsi"/>
                <w:color w:val="000000"/>
                <w:sz w:val="18"/>
                <w:szCs w:val="18"/>
              </w:rPr>
            </w:pPr>
            <w:r w:rsidRPr="00DE4E7F">
              <w:rPr>
                <w:rFonts w:cstheme="minorHAnsi"/>
                <w:color w:val="000000"/>
                <w:sz w:val="18"/>
                <w:szCs w:val="18"/>
              </w:rPr>
              <w:t>UC</w:t>
            </w:r>
          </w:p>
        </w:tc>
        <w:tc>
          <w:tcPr>
            <w:tcW w:w="2193" w:type="dxa"/>
          </w:tcPr>
          <w:p w14:paraId="66039A32"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0.84</w:t>
            </w:r>
          </w:p>
        </w:tc>
        <w:tc>
          <w:tcPr>
            <w:tcW w:w="2410" w:type="dxa"/>
          </w:tcPr>
          <w:p w14:paraId="333F5DEF"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0.89</w:t>
            </w:r>
          </w:p>
        </w:tc>
        <w:tc>
          <w:tcPr>
            <w:tcW w:w="2410" w:type="dxa"/>
          </w:tcPr>
          <w:p w14:paraId="210377A3"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0.72</w:t>
            </w:r>
          </w:p>
        </w:tc>
      </w:tr>
      <w:tr w:rsidR="00676452" w:rsidRPr="00895FFB" w14:paraId="3DC13C09" w14:textId="77777777" w:rsidTr="00A34DA1">
        <w:trPr>
          <w:trHeight w:hRule="exact" w:val="376"/>
        </w:trPr>
        <w:tc>
          <w:tcPr>
            <w:tcW w:w="2343" w:type="dxa"/>
          </w:tcPr>
          <w:p w14:paraId="4058CB8E"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left="300" w:right="100"/>
              <w:rPr>
                <w:rFonts w:cstheme="minorHAnsi"/>
                <w:color w:val="000000"/>
                <w:sz w:val="18"/>
                <w:szCs w:val="18"/>
              </w:rPr>
            </w:pPr>
            <w:r w:rsidRPr="00DE4E7F">
              <w:rPr>
                <w:rFonts w:cstheme="minorHAnsi"/>
                <w:color w:val="000000"/>
                <w:sz w:val="18"/>
                <w:szCs w:val="18"/>
              </w:rPr>
              <w:t>IBD-U</w:t>
            </w:r>
          </w:p>
        </w:tc>
        <w:tc>
          <w:tcPr>
            <w:tcW w:w="2193" w:type="dxa"/>
          </w:tcPr>
          <w:p w14:paraId="2985E8AB"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0.85</w:t>
            </w:r>
          </w:p>
        </w:tc>
        <w:tc>
          <w:tcPr>
            <w:tcW w:w="2410" w:type="dxa"/>
          </w:tcPr>
          <w:p w14:paraId="113BB90C"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0.90</w:t>
            </w:r>
          </w:p>
        </w:tc>
        <w:tc>
          <w:tcPr>
            <w:tcW w:w="2410" w:type="dxa"/>
          </w:tcPr>
          <w:p w14:paraId="3B36BB6E"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0.69</w:t>
            </w:r>
          </w:p>
        </w:tc>
      </w:tr>
      <w:tr w:rsidR="00676452" w:rsidRPr="00895FFB" w14:paraId="316B7E9C" w14:textId="77777777" w:rsidTr="00A34DA1">
        <w:trPr>
          <w:trHeight w:hRule="exact" w:val="376"/>
        </w:trPr>
        <w:tc>
          <w:tcPr>
            <w:tcW w:w="9356" w:type="dxa"/>
            <w:gridSpan w:val="4"/>
          </w:tcPr>
          <w:p w14:paraId="3928ED47"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left="142" w:right="100"/>
              <w:rPr>
                <w:rFonts w:cstheme="minorHAnsi"/>
                <w:b/>
                <w:bCs/>
                <w:color w:val="000000"/>
                <w:sz w:val="18"/>
                <w:szCs w:val="18"/>
              </w:rPr>
            </w:pPr>
            <w:r w:rsidRPr="00DE4E7F">
              <w:rPr>
                <w:rFonts w:cstheme="minorHAnsi"/>
                <w:b/>
                <w:bCs/>
                <w:color w:val="000000"/>
                <w:sz w:val="18"/>
                <w:szCs w:val="18"/>
              </w:rPr>
              <w:t>By gender</w:t>
            </w:r>
          </w:p>
          <w:p w14:paraId="7223859F"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left="142" w:right="100"/>
              <w:jc w:val="right"/>
              <w:rPr>
                <w:rFonts w:cstheme="minorHAnsi"/>
                <w:b/>
                <w:bCs/>
                <w:color w:val="000000"/>
                <w:sz w:val="18"/>
                <w:szCs w:val="18"/>
              </w:rPr>
            </w:pPr>
            <w:r w:rsidRPr="00DE4E7F">
              <w:rPr>
                <w:rFonts w:cstheme="minorHAnsi"/>
                <w:sz w:val="18"/>
                <w:szCs w:val="18"/>
              </w:rPr>
              <w:t>0.733</w:t>
            </w:r>
          </w:p>
          <w:p w14:paraId="57CA13E1" w14:textId="77777777" w:rsidR="00676452" w:rsidRPr="00DE4E7F" w:rsidRDefault="00676452" w:rsidP="00A34DA1">
            <w:pPr>
              <w:jc w:val="right"/>
              <w:rPr>
                <w:rFonts w:cstheme="minorHAnsi"/>
                <w:b/>
                <w:bCs/>
                <w:color w:val="000000"/>
                <w:sz w:val="18"/>
                <w:szCs w:val="18"/>
              </w:rPr>
            </w:pPr>
          </w:p>
          <w:p w14:paraId="7E6986F6"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left="142" w:right="100"/>
              <w:jc w:val="right"/>
              <w:rPr>
                <w:rFonts w:cstheme="minorHAnsi"/>
                <w:b/>
                <w:bCs/>
                <w:color w:val="000000"/>
                <w:sz w:val="18"/>
                <w:szCs w:val="18"/>
              </w:rPr>
            </w:pPr>
          </w:p>
        </w:tc>
      </w:tr>
      <w:tr w:rsidR="00676452" w:rsidRPr="00895FFB" w14:paraId="27D0BAF7" w14:textId="77777777" w:rsidTr="00A34DA1">
        <w:trPr>
          <w:trHeight w:hRule="exact" w:val="376"/>
        </w:trPr>
        <w:tc>
          <w:tcPr>
            <w:tcW w:w="2343" w:type="dxa"/>
          </w:tcPr>
          <w:p w14:paraId="03E4E83D"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left="300" w:right="100"/>
              <w:rPr>
                <w:rFonts w:cstheme="minorHAnsi"/>
                <w:color w:val="000000"/>
                <w:sz w:val="18"/>
                <w:szCs w:val="18"/>
              </w:rPr>
            </w:pPr>
            <w:r w:rsidRPr="00DE4E7F">
              <w:rPr>
                <w:rFonts w:cstheme="minorHAnsi"/>
                <w:color w:val="000000"/>
                <w:sz w:val="18"/>
                <w:szCs w:val="18"/>
              </w:rPr>
              <w:t>Male</w:t>
            </w:r>
          </w:p>
        </w:tc>
        <w:tc>
          <w:tcPr>
            <w:tcW w:w="2193" w:type="dxa"/>
          </w:tcPr>
          <w:p w14:paraId="7FAE1D29"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0.83</w:t>
            </w:r>
          </w:p>
        </w:tc>
        <w:tc>
          <w:tcPr>
            <w:tcW w:w="2410" w:type="dxa"/>
          </w:tcPr>
          <w:p w14:paraId="55A1A627"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0.88</w:t>
            </w:r>
          </w:p>
        </w:tc>
        <w:tc>
          <w:tcPr>
            <w:tcW w:w="2410" w:type="dxa"/>
          </w:tcPr>
          <w:p w14:paraId="3570148A"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0.71</w:t>
            </w:r>
          </w:p>
        </w:tc>
      </w:tr>
      <w:tr w:rsidR="00676452" w:rsidRPr="00895FFB" w14:paraId="795A58CB" w14:textId="77777777" w:rsidTr="00A34DA1">
        <w:trPr>
          <w:trHeight w:hRule="exact" w:val="376"/>
        </w:trPr>
        <w:tc>
          <w:tcPr>
            <w:tcW w:w="2343" w:type="dxa"/>
          </w:tcPr>
          <w:p w14:paraId="0DA15E7D"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left="300" w:right="100"/>
              <w:rPr>
                <w:rFonts w:cstheme="minorHAnsi"/>
                <w:color w:val="000000"/>
                <w:sz w:val="18"/>
                <w:szCs w:val="18"/>
              </w:rPr>
            </w:pPr>
            <w:r w:rsidRPr="00DE4E7F">
              <w:rPr>
                <w:rFonts w:cstheme="minorHAnsi"/>
                <w:color w:val="000000"/>
                <w:sz w:val="18"/>
                <w:szCs w:val="18"/>
              </w:rPr>
              <w:t>Female</w:t>
            </w:r>
          </w:p>
          <w:p w14:paraId="02B2A334"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rPr>
                <w:rFonts w:cstheme="minorHAnsi"/>
                <w:color w:val="000000"/>
                <w:sz w:val="18"/>
                <w:szCs w:val="18"/>
              </w:rPr>
            </w:pPr>
          </w:p>
        </w:tc>
        <w:tc>
          <w:tcPr>
            <w:tcW w:w="2193" w:type="dxa"/>
          </w:tcPr>
          <w:p w14:paraId="1A2BA170"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0.84</w:t>
            </w:r>
          </w:p>
        </w:tc>
        <w:tc>
          <w:tcPr>
            <w:tcW w:w="2410" w:type="dxa"/>
          </w:tcPr>
          <w:p w14:paraId="16DD0B3A"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0.89</w:t>
            </w:r>
          </w:p>
        </w:tc>
        <w:tc>
          <w:tcPr>
            <w:tcW w:w="2410" w:type="dxa"/>
          </w:tcPr>
          <w:p w14:paraId="390469C4"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0.72</w:t>
            </w:r>
          </w:p>
        </w:tc>
      </w:tr>
      <w:tr w:rsidR="00676452" w:rsidRPr="00895FFB" w14:paraId="0F2A8E2B" w14:textId="77777777" w:rsidTr="00A34DA1">
        <w:trPr>
          <w:trHeight w:hRule="exact" w:val="376"/>
        </w:trPr>
        <w:tc>
          <w:tcPr>
            <w:tcW w:w="9356" w:type="dxa"/>
            <w:gridSpan w:val="4"/>
          </w:tcPr>
          <w:p w14:paraId="1A0D66B9"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left="142" w:right="100"/>
              <w:rPr>
                <w:rFonts w:cstheme="minorHAnsi"/>
                <w:b/>
                <w:bCs/>
                <w:color w:val="000000"/>
                <w:sz w:val="18"/>
                <w:szCs w:val="18"/>
              </w:rPr>
            </w:pPr>
            <w:r w:rsidRPr="00DE4E7F">
              <w:rPr>
                <w:rFonts w:cstheme="minorHAnsi"/>
                <w:b/>
                <w:bCs/>
                <w:color w:val="000000"/>
                <w:sz w:val="18"/>
                <w:szCs w:val="18"/>
              </w:rPr>
              <w:t>By age group</w:t>
            </w:r>
          </w:p>
        </w:tc>
      </w:tr>
      <w:tr w:rsidR="00676452" w:rsidRPr="00895FFB" w14:paraId="61DC6A94" w14:textId="77777777" w:rsidTr="00A34DA1">
        <w:trPr>
          <w:trHeight w:hRule="exact" w:val="376"/>
        </w:trPr>
        <w:tc>
          <w:tcPr>
            <w:tcW w:w="2343" w:type="dxa"/>
          </w:tcPr>
          <w:p w14:paraId="6E9CBB9E"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left="300" w:right="100"/>
              <w:rPr>
                <w:rFonts w:cstheme="minorHAnsi"/>
                <w:color w:val="000000"/>
                <w:sz w:val="18"/>
                <w:szCs w:val="18"/>
              </w:rPr>
            </w:pPr>
            <w:r w:rsidRPr="00DE4E7F">
              <w:rPr>
                <w:rFonts w:cstheme="minorHAnsi"/>
                <w:sz w:val="18"/>
                <w:szCs w:val="18"/>
              </w:rPr>
              <w:t>≥65</w:t>
            </w:r>
          </w:p>
        </w:tc>
        <w:tc>
          <w:tcPr>
            <w:tcW w:w="2193" w:type="dxa"/>
          </w:tcPr>
          <w:p w14:paraId="0DD69EDA"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0.81</w:t>
            </w:r>
          </w:p>
        </w:tc>
        <w:tc>
          <w:tcPr>
            <w:tcW w:w="2410" w:type="dxa"/>
          </w:tcPr>
          <w:p w14:paraId="7D98CDCF"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0.86</w:t>
            </w:r>
          </w:p>
        </w:tc>
        <w:tc>
          <w:tcPr>
            <w:tcW w:w="2410" w:type="dxa"/>
          </w:tcPr>
          <w:p w14:paraId="6A1C7C60"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0.67</w:t>
            </w:r>
          </w:p>
        </w:tc>
      </w:tr>
      <w:tr w:rsidR="00676452" w:rsidRPr="00895FFB" w14:paraId="73A1CC22" w14:textId="77777777" w:rsidTr="00A34DA1">
        <w:trPr>
          <w:trHeight w:hRule="exact" w:val="376"/>
        </w:trPr>
        <w:tc>
          <w:tcPr>
            <w:tcW w:w="2343" w:type="dxa"/>
          </w:tcPr>
          <w:p w14:paraId="5FF1ABB2"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left="300" w:right="100"/>
              <w:rPr>
                <w:rFonts w:cstheme="minorHAnsi"/>
                <w:sz w:val="18"/>
                <w:szCs w:val="18"/>
              </w:rPr>
            </w:pPr>
            <w:r w:rsidRPr="00DE4E7F">
              <w:rPr>
                <w:rFonts w:cstheme="minorHAnsi"/>
                <w:sz w:val="18"/>
                <w:szCs w:val="18"/>
              </w:rPr>
              <w:t>&lt;65</w:t>
            </w:r>
          </w:p>
        </w:tc>
        <w:tc>
          <w:tcPr>
            <w:tcW w:w="2193" w:type="dxa"/>
          </w:tcPr>
          <w:p w14:paraId="5554B623"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0.84</w:t>
            </w:r>
          </w:p>
        </w:tc>
        <w:tc>
          <w:tcPr>
            <w:tcW w:w="2410" w:type="dxa"/>
          </w:tcPr>
          <w:p w14:paraId="2DDC3AD4"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0.89</w:t>
            </w:r>
          </w:p>
        </w:tc>
        <w:tc>
          <w:tcPr>
            <w:tcW w:w="2410" w:type="dxa"/>
          </w:tcPr>
          <w:p w14:paraId="74C98FE2"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0.72</w:t>
            </w:r>
          </w:p>
        </w:tc>
      </w:tr>
      <w:tr w:rsidR="00676452" w:rsidRPr="00895FFB" w14:paraId="0DA5AE7B" w14:textId="77777777" w:rsidTr="00A34DA1">
        <w:trPr>
          <w:trHeight w:hRule="exact" w:val="376"/>
        </w:trPr>
        <w:tc>
          <w:tcPr>
            <w:tcW w:w="9356" w:type="dxa"/>
            <w:gridSpan w:val="4"/>
          </w:tcPr>
          <w:p w14:paraId="21211815"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left="142" w:right="100"/>
              <w:rPr>
                <w:rFonts w:cstheme="minorHAnsi"/>
                <w:b/>
                <w:bCs/>
                <w:sz w:val="18"/>
                <w:szCs w:val="18"/>
              </w:rPr>
            </w:pPr>
            <w:r w:rsidRPr="00DE4E7F">
              <w:rPr>
                <w:rFonts w:cstheme="minorHAnsi"/>
                <w:b/>
                <w:bCs/>
                <w:sz w:val="18"/>
                <w:szCs w:val="18"/>
              </w:rPr>
              <w:t>By deprivation index</w:t>
            </w:r>
          </w:p>
        </w:tc>
      </w:tr>
      <w:tr w:rsidR="00676452" w:rsidRPr="00895FFB" w14:paraId="6E239253" w14:textId="77777777" w:rsidTr="00A34DA1">
        <w:trPr>
          <w:trHeight w:hRule="exact" w:val="376"/>
        </w:trPr>
        <w:tc>
          <w:tcPr>
            <w:tcW w:w="2343" w:type="dxa"/>
          </w:tcPr>
          <w:p w14:paraId="282357C9"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left="300" w:right="100"/>
              <w:rPr>
                <w:rFonts w:cstheme="minorHAnsi"/>
                <w:sz w:val="18"/>
                <w:szCs w:val="18"/>
              </w:rPr>
            </w:pPr>
            <w:r w:rsidRPr="00DE4E7F">
              <w:rPr>
                <w:rFonts w:cstheme="minorHAnsi"/>
                <w:sz w:val="18"/>
                <w:szCs w:val="18"/>
              </w:rPr>
              <w:t>1 and 2</w:t>
            </w:r>
          </w:p>
        </w:tc>
        <w:tc>
          <w:tcPr>
            <w:tcW w:w="2193" w:type="dxa"/>
          </w:tcPr>
          <w:p w14:paraId="6EEB8F36"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0.83</w:t>
            </w:r>
          </w:p>
        </w:tc>
        <w:tc>
          <w:tcPr>
            <w:tcW w:w="2410" w:type="dxa"/>
          </w:tcPr>
          <w:p w14:paraId="5DE1F89C"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0.89</w:t>
            </w:r>
          </w:p>
        </w:tc>
        <w:tc>
          <w:tcPr>
            <w:tcW w:w="2410" w:type="dxa"/>
          </w:tcPr>
          <w:p w14:paraId="410B6B63"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0.72</w:t>
            </w:r>
          </w:p>
        </w:tc>
      </w:tr>
      <w:tr w:rsidR="00676452" w:rsidRPr="00895FFB" w14:paraId="1D3D0A86" w14:textId="77777777" w:rsidTr="00A34DA1">
        <w:trPr>
          <w:trHeight w:hRule="exact" w:val="376"/>
        </w:trPr>
        <w:tc>
          <w:tcPr>
            <w:tcW w:w="2343" w:type="dxa"/>
          </w:tcPr>
          <w:p w14:paraId="65B1606D"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left="300" w:right="100"/>
              <w:rPr>
                <w:rFonts w:cstheme="minorHAnsi"/>
                <w:sz w:val="18"/>
                <w:szCs w:val="18"/>
              </w:rPr>
            </w:pPr>
            <w:r w:rsidRPr="00DE4E7F">
              <w:rPr>
                <w:rFonts w:cstheme="minorHAnsi"/>
                <w:sz w:val="18"/>
                <w:szCs w:val="18"/>
              </w:rPr>
              <w:t>4 and 5</w:t>
            </w:r>
          </w:p>
        </w:tc>
        <w:tc>
          <w:tcPr>
            <w:tcW w:w="2193" w:type="dxa"/>
          </w:tcPr>
          <w:p w14:paraId="60CD338D"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0.85</w:t>
            </w:r>
          </w:p>
        </w:tc>
        <w:tc>
          <w:tcPr>
            <w:tcW w:w="2410" w:type="dxa"/>
          </w:tcPr>
          <w:p w14:paraId="3B3F8F06"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0.90</w:t>
            </w:r>
          </w:p>
        </w:tc>
        <w:tc>
          <w:tcPr>
            <w:tcW w:w="2410" w:type="dxa"/>
          </w:tcPr>
          <w:p w14:paraId="105EBB1D"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0.73</w:t>
            </w:r>
          </w:p>
        </w:tc>
      </w:tr>
      <w:tr w:rsidR="00676452" w:rsidRPr="00895FFB" w14:paraId="51337899" w14:textId="77777777" w:rsidTr="00A34DA1">
        <w:trPr>
          <w:trHeight w:hRule="exact" w:val="376"/>
        </w:trPr>
        <w:tc>
          <w:tcPr>
            <w:tcW w:w="9356" w:type="dxa"/>
            <w:gridSpan w:val="4"/>
          </w:tcPr>
          <w:p w14:paraId="49C978FE"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left="142" w:right="100"/>
              <w:rPr>
                <w:rFonts w:cstheme="minorHAnsi"/>
                <w:b/>
                <w:bCs/>
                <w:sz w:val="18"/>
                <w:szCs w:val="18"/>
              </w:rPr>
            </w:pPr>
            <w:r w:rsidRPr="00DE4E7F">
              <w:rPr>
                <w:rFonts w:cstheme="minorHAnsi"/>
                <w:b/>
                <w:bCs/>
                <w:sz w:val="18"/>
                <w:szCs w:val="18"/>
              </w:rPr>
              <w:t>By number of comorbidities</w:t>
            </w:r>
          </w:p>
        </w:tc>
      </w:tr>
      <w:tr w:rsidR="00676452" w:rsidRPr="00895FFB" w14:paraId="3F9384BC" w14:textId="77777777" w:rsidTr="00A34DA1">
        <w:trPr>
          <w:trHeight w:hRule="exact" w:val="376"/>
        </w:trPr>
        <w:tc>
          <w:tcPr>
            <w:tcW w:w="2343" w:type="dxa"/>
          </w:tcPr>
          <w:p w14:paraId="3EA654A2"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left="300" w:right="100"/>
              <w:rPr>
                <w:rFonts w:cstheme="minorHAnsi"/>
                <w:sz w:val="18"/>
                <w:szCs w:val="18"/>
              </w:rPr>
            </w:pPr>
            <w:r w:rsidRPr="00DE4E7F">
              <w:rPr>
                <w:rFonts w:cstheme="minorHAnsi"/>
                <w:sz w:val="18"/>
                <w:szCs w:val="18"/>
              </w:rPr>
              <w:t>No comorbidities</w:t>
            </w:r>
          </w:p>
        </w:tc>
        <w:tc>
          <w:tcPr>
            <w:tcW w:w="2193" w:type="dxa"/>
          </w:tcPr>
          <w:p w14:paraId="0E099688"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0.84</w:t>
            </w:r>
          </w:p>
        </w:tc>
        <w:tc>
          <w:tcPr>
            <w:tcW w:w="2410" w:type="dxa"/>
          </w:tcPr>
          <w:p w14:paraId="20E0A46B"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0.89</w:t>
            </w:r>
          </w:p>
        </w:tc>
        <w:tc>
          <w:tcPr>
            <w:tcW w:w="2410" w:type="dxa"/>
          </w:tcPr>
          <w:p w14:paraId="65105B82"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0.72</w:t>
            </w:r>
          </w:p>
        </w:tc>
      </w:tr>
      <w:tr w:rsidR="00676452" w:rsidRPr="00895FFB" w14:paraId="190407F4" w14:textId="77777777" w:rsidTr="00A34DA1">
        <w:trPr>
          <w:trHeight w:hRule="exact" w:val="376"/>
        </w:trPr>
        <w:tc>
          <w:tcPr>
            <w:tcW w:w="2343" w:type="dxa"/>
          </w:tcPr>
          <w:p w14:paraId="1957F977"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left="300" w:right="100"/>
              <w:rPr>
                <w:rFonts w:cstheme="minorHAnsi"/>
                <w:sz w:val="18"/>
                <w:szCs w:val="18"/>
              </w:rPr>
            </w:pPr>
            <w:r w:rsidRPr="00DE4E7F">
              <w:rPr>
                <w:rFonts w:cstheme="minorHAnsi"/>
                <w:sz w:val="18"/>
                <w:szCs w:val="18"/>
              </w:rPr>
              <w:t>≥1 comorbidity</w:t>
            </w:r>
          </w:p>
        </w:tc>
        <w:tc>
          <w:tcPr>
            <w:tcW w:w="2193" w:type="dxa"/>
          </w:tcPr>
          <w:p w14:paraId="5F0A038D"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0.85</w:t>
            </w:r>
          </w:p>
        </w:tc>
        <w:tc>
          <w:tcPr>
            <w:tcW w:w="2410" w:type="dxa"/>
          </w:tcPr>
          <w:p w14:paraId="1E371057"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0.89</w:t>
            </w:r>
          </w:p>
        </w:tc>
        <w:tc>
          <w:tcPr>
            <w:tcW w:w="2410" w:type="dxa"/>
          </w:tcPr>
          <w:p w14:paraId="417AA476" w14:textId="77777777" w:rsidR="00676452" w:rsidRPr="00DE4E7F" w:rsidRDefault="00676452" w:rsidP="00A34DA1">
            <w:pPr>
              <w:keepNext/>
              <w:pBdr>
                <w:top w:val="none" w:sz="0" w:space="0" w:color="000000"/>
                <w:left w:val="none" w:sz="0" w:space="0" w:color="000000"/>
                <w:bottom w:val="none" w:sz="0" w:space="0" w:color="000000"/>
                <w:right w:val="none" w:sz="0" w:space="0" w:color="000000"/>
              </w:pBdr>
              <w:spacing w:before="100" w:after="100"/>
              <w:ind w:right="100"/>
              <w:jc w:val="right"/>
              <w:rPr>
                <w:rFonts w:cstheme="minorHAnsi"/>
                <w:sz w:val="18"/>
                <w:szCs w:val="18"/>
              </w:rPr>
            </w:pPr>
            <w:r w:rsidRPr="00DE4E7F">
              <w:rPr>
                <w:rFonts w:cstheme="minorHAnsi"/>
                <w:sz w:val="18"/>
                <w:szCs w:val="18"/>
              </w:rPr>
              <w:t>0.73</w:t>
            </w:r>
          </w:p>
        </w:tc>
      </w:tr>
      <w:bookmarkEnd w:id="1"/>
    </w:tbl>
    <w:p w14:paraId="4AB1E140" w14:textId="77777777" w:rsidR="00676452" w:rsidRPr="00895FFB" w:rsidRDefault="00676452" w:rsidP="00676452">
      <w:pPr>
        <w:rPr>
          <w:rFonts w:cstheme="minorHAnsi"/>
          <w:b/>
          <w:bCs/>
        </w:rPr>
      </w:pPr>
    </w:p>
    <w:p w14:paraId="3DFAB559" w14:textId="77777777" w:rsidR="001B6420" w:rsidRDefault="001B6420" w:rsidP="002C0E5F">
      <w:pPr>
        <w:pStyle w:val="Caption"/>
        <w:keepNext/>
        <w:rPr>
          <w:color w:val="000000" w:themeColor="text1"/>
          <w:sz w:val="22"/>
          <w:szCs w:val="22"/>
        </w:rPr>
      </w:pPr>
    </w:p>
    <w:p w14:paraId="220AC3D9" w14:textId="77777777" w:rsidR="001B6420" w:rsidRDefault="001B6420">
      <w:pPr>
        <w:rPr>
          <w:b/>
          <w:bCs/>
          <w:color w:val="000000" w:themeColor="text1"/>
        </w:rPr>
      </w:pPr>
      <w:r>
        <w:rPr>
          <w:color w:val="000000" w:themeColor="text1"/>
        </w:rPr>
        <w:br w:type="page"/>
      </w:r>
    </w:p>
    <w:p w14:paraId="44135E3C" w14:textId="304D0C39" w:rsidR="001B6420" w:rsidRPr="0085531A" w:rsidRDefault="001B6420" w:rsidP="001B6420">
      <w:pPr>
        <w:pStyle w:val="Caption"/>
        <w:keepNext/>
        <w:rPr>
          <w:color w:val="000000" w:themeColor="text1"/>
          <w:sz w:val="22"/>
          <w:szCs w:val="22"/>
        </w:rPr>
      </w:pPr>
      <w:r w:rsidRPr="0085531A">
        <w:rPr>
          <w:color w:val="000000" w:themeColor="text1"/>
          <w:sz w:val="22"/>
          <w:szCs w:val="22"/>
        </w:rPr>
        <w:lastRenderedPageBreak/>
        <w:t xml:space="preserve">Table </w:t>
      </w:r>
      <w:r>
        <w:rPr>
          <w:color w:val="000000" w:themeColor="text1"/>
          <w:sz w:val="22"/>
          <w:szCs w:val="22"/>
        </w:rPr>
        <w:t>3</w:t>
      </w:r>
      <w:r w:rsidRPr="0085531A">
        <w:rPr>
          <w:color w:val="000000" w:themeColor="text1"/>
          <w:sz w:val="22"/>
          <w:szCs w:val="22"/>
        </w:rPr>
        <w:t>:  Factor loadings for IBD-Control-8 question items</w:t>
      </w:r>
      <w:r>
        <w:rPr>
          <w:color w:val="000000" w:themeColor="text1"/>
          <w:sz w:val="22"/>
          <w:szCs w:val="22"/>
        </w:rPr>
        <w:t>.</w:t>
      </w:r>
    </w:p>
    <w:tbl>
      <w:tblPr>
        <w:tblStyle w:val="TableGrid"/>
        <w:tblpPr w:leftFromText="180" w:rightFromText="180" w:vertAnchor="text" w:horzAnchor="margin" w:tblpXSpec="center" w:tblpY="127"/>
        <w:tblW w:w="9356" w:type="dxa"/>
        <w:tblLayout w:type="fixed"/>
        <w:tblLook w:val="0420" w:firstRow="1" w:lastRow="0" w:firstColumn="0" w:lastColumn="0" w:noHBand="0" w:noVBand="1"/>
      </w:tblPr>
      <w:tblGrid>
        <w:gridCol w:w="6946"/>
        <w:gridCol w:w="1134"/>
        <w:gridCol w:w="1276"/>
      </w:tblGrid>
      <w:tr w:rsidR="001B6420" w:rsidRPr="0084469B" w14:paraId="68386CC7" w14:textId="77777777" w:rsidTr="00AB57E3">
        <w:trPr>
          <w:trHeight w:hRule="exact" w:val="340"/>
        </w:trPr>
        <w:tc>
          <w:tcPr>
            <w:tcW w:w="6946" w:type="dxa"/>
            <w:shd w:val="clear" w:color="auto" w:fill="DEEAF6" w:themeFill="accent5" w:themeFillTint="33"/>
          </w:tcPr>
          <w:p w14:paraId="36130BF0" w14:textId="77777777" w:rsidR="001B6420" w:rsidRPr="0085531A" w:rsidRDefault="001B6420" w:rsidP="00A34DA1">
            <w:pPr>
              <w:keepNext/>
              <w:pBdr>
                <w:top w:val="none" w:sz="0" w:space="0" w:color="000000"/>
                <w:left w:val="none" w:sz="0" w:space="0" w:color="000000"/>
                <w:bottom w:val="none" w:sz="0" w:space="0" w:color="000000"/>
                <w:right w:val="none" w:sz="0" w:space="0" w:color="000000"/>
              </w:pBdr>
              <w:spacing w:before="40" w:after="40"/>
              <w:ind w:left="100" w:right="100"/>
              <w:rPr>
                <w:rFonts w:cstheme="minorHAnsi"/>
                <w:b/>
                <w:color w:val="000000"/>
                <w:sz w:val="18"/>
                <w:szCs w:val="18"/>
              </w:rPr>
            </w:pPr>
            <w:r w:rsidRPr="0085531A">
              <w:rPr>
                <w:rFonts w:cstheme="minorHAnsi"/>
                <w:b/>
                <w:color w:val="000000"/>
                <w:sz w:val="18"/>
                <w:szCs w:val="18"/>
              </w:rPr>
              <w:t>Question item</w:t>
            </w:r>
          </w:p>
        </w:tc>
        <w:tc>
          <w:tcPr>
            <w:tcW w:w="1134" w:type="dxa"/>
            <w:shd w:val="clear" w:color="auto" w:fill="DEEAF6" w:themeFill="accent5" w:themeFillTint="33"/>
          </w:tcPr>
          <w:p w14:paraId="13BDD32D" w14:textId="77777777" w:rsidR="001B6420" w:rsidRPr="0085531A" w:rsidRDefault="001B6420" w:rsidP="00A34DA1">
            <w:pPr>
              <w:keepNext/>
              <w:pBdr>
                <w:top w:val="none" w:sz="0" w:space="0" w:color="000000"/>
                <w:left w:val="none" w:sz="0" w:space="0" w:color="000000"/>
                <w:bottom w:val="none" w:sz="0" w:space="0" w:color="000000"/>
                <w:right w:val="none" w:sz="0" w:space="0" w:color="000000"/>
              </w:pBdr>
              <w:spacing w:before="40" w:after="40"/>
              <w:ind w:left="100" w:right="100"/>
              <w:jc w:val="right"/>
              <w:rPr>
                <w:rFonts w:cstheme="minorHAnsi"/>
                <w:b/>
                <w:sz w:val="18"/>
                <w:szCs w:val="18"/>
              </w:rPr>
            </w:pPr>
            <w:r w:rsidRPr="0085531A">
              <w:rPr>
                <w:rFonts w:cstheme="minorHAnsi"/>
                <w:b/>
                <w:color w:val="000000"/>
                <w:sz w:val="18"/>
                <w:szCs w:val="18"/>
              </w:rPr>
              <w:t>Factor 1</w:t>
            </w:r>
          </w:p>
        </w:tc>
        <w:tc>
          <w:tcPr>
            <w:tcW w:w="1276" w:type="dxa"/>
            <w:shd w:val="clear" w:color="auto" w:fill="DEEAF6" w:themeFill="accent5" w:themeFillTint="33"/>
          </w:tcPr>
          <w:p w14:paraId="745B28C8" w14:textId="77777777" w:rsidR="001B6420" w:rsidRPr="0085531A" w:rsidRDefault="001B6420" w:rsidP="00A34DA1">
            <w:pPr>
              <w:keepNext/>
              <w:pBdr>
                <w:top w:val="none" w:sz="0" w:space="0" w:color="000000"/>
                <w:left w:val="none" w:sz="0" w:space="0" w:color="000000"/>
                <w:bottom w:val="none" w:sz="0" w:space="0" w:color="000000"/>
                <w:right w:val="none" w:sz="0" w:space="0" w:color="000000"/>
              </w:pBdr>
              <w:spacing w:before="40" w:after="40"/>
              <w:ind w:left="100" w:right="100"/>
              <w:jc w:val="right"/>
              <w:rPr>
                <w:rFonts w:cstheme="minorHAnsi"/>
                <w:b/>
                <w:color w:val="000000"/>
                <w:sz w:val="18"/>
                <w:szCs w:val="18"/>
              </w:rPr>
            </w:pPr>
            <w:r w:rsidRPr="0085531A">
              <w:rPr>
                <w:rFonts w:cstheme="minorHAnsi"/>
                <w:b/>
                <w:color w:val="000000"/>
                <w:sz w:val="18"/>
                <w:szCs w:val="18"/>
              </w:rPr>
              <w:t>Factor 2</w:t>
            </w:r>
          </w:p>
        </w:tc>
      </w:tr>
      <w:tr w:rsidR="001B6420" w:rsidRPr="0084469B" w14:paraId="2EB8DF9F" w14:textId="77777777" w:rsidTr="00AB57E3">
        <w:trPr>
          <w:trHeight w:hRule="exact" w:val="340"/>
        </w:trPr>
        <w:tc>
          <w:tcPr>
            <w:tcW w:w="6946" w:type="dxa"/>
          </w:tcPr>
          <w:p w14:paraId="57B1EC54" w14:textId="7225DD4C"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42" w:right="100"/>
              <w:rPr>
                <w:rFonts w:cstheme="minorHAnsi"/>
                <w:bCs/>
                <w:color w:val="000000"/>
                <w:sz w:val="18"/>
                <w:szCs w:val="18"/>
              </w:rPr>
            </w:pPr>
            <w:r w:rsidRPr="0085531A">
              <w:rPr>
                <w:rFonts w:cstheme="minorHAnsi"/>
                <w:bCs/>
                <w:color w:val="000000"/>
                <w:sz w:val="18"/>
                <w:szCs w:val="18"/>
              </w:rPr>
              <w:t>Q1a</w:t>
            </w:r>
            <w:r w:rsidR="00CF0460">
              <w:rPr>
                <w:rFonts w:cstheme="minorHAnsi"/>
                <w:bCs/>
                <w:color w:val="000000"/>
                <w:sz w:val="18"/>
                <w:szCs w:val="18"/>
              </w:rPr>
              <w:t xml:space="preserve">. </w:t>
            </w:r>
            <w:r w:rsidRPr="0085531A">
              <w:rPr>
                <w:rFonts w:cstheme="minorHAnsi"/>
                <w:bCs/>
                <w:color w:val="000000"/>
                <w:sz w:val="18"/>
                <w:szCs w:val="18"/>
              </w:rPr>
              <w:t>Your IBD has been well controlled in the past two weeks?</w:t>
            </w:r>
          </w:p>
        </w:tc>
        <w:tc>
          <w:tcPr>
            <w:tcW w:w="1134" w:type="dxa"/>
          </w:tcPr>
          <w:p w14:paraId="5FC42AC8" w14:textId="77777777"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8"/>
                <w:szCs w:val="18"/>
              </w:rPr>
            </w:pPr>
            <w:r w:rsidRPr="0085531A">
              <w:rPr>
                <w:rFonts w:cstheme="minorHAnsi"/>
                <w:color w:val="000000"/>
                <w:sz w:val="18"/>
                <w:szCs w:val="18"/>
              </w:rPr>
              <w:t>0.42</w:t>
            </w:r>
          </w:p>
        </w:tc>
        <w:tc>
          <w:tcPr>
            <w:tcW w:w="1276" w:type="dxa"/>
          </w:tcPr>
          <w:p w14:paraId="03AA1373" w14:textId="77777777"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8"/>
                <w:szCs w:val="18"/>
              </w:rPr>
            </w:pPr>
            <w:r w:rsidRPr="0085531A">
              <w:rPr>
                <w:rFonts w:cstheme="minorHAnsi"/>
                <w:b/>
                <w:bCs/>
                <w:color w:val="000000"/>
                <w:sz w:val="18"/>
                <w:szCs w:val="18"/>
              </w:rPr>
              <w:t>0.54</w:t>
            </w:r>
          </w:p>
        </w:tc>
      </w:tr>
      <w:tr w:rsidR="001B6420" w:rsidRPr="0084469B" w14:paraId="609889F6" w14:textId="77777777" w:rsidTr="00AB57E3">
        <w:trPr>
          <w:trHeight w:hRule="exact" w:val="340"/>
        </w:trPr>
        <w:tc>
          <w:tcPr>
            <w:tcW w:w="6946" w:type="dxa"/>
          </w:tcPr>
          <w:p w14:paraId="05679D20" w14:textId="7CBBE399"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42" w:right="100"/>
              <w:rPr>
                <w:rFonts w:cstheme="minorHAnsi"/>
                <w:bCs/>
                <w:color w:val="000000"/>
                <w:sz w:val="18"/>
                <w:szCs w:val="18"/>
              </w:rPr>
            </w:pPr>
            <w:r w:rsidRPr="0085531A">
              <w:rPr>
                <w:rFonts w:cstheme="minorHAnsi"/>
                <w:bCs/>
                <w:color w:val="000000"/>
                <w:sz w:val="18"/>
                <w:szCs w:val="18"/>
              </w:rPr>
              <w:t>Q1b</w:t>
            </w:r>
            <w:r w:rsidR="00CF0460">
              <w:rPr>
                <w:rFonts w:cstheme="minorHAnsi"/>
                <w:bCs/>
                <w:color w:val="000000"/>
                <w:sz w:val="18"/>
                <w:szCs w:val="18"/>
              </w:rPr>
              <w:t xml:space="preserve">. </w:t>
            </w:r>
            <w:r w:rsidRPr="0085531A">
              <w:rPr>
                <w:rFonts w:cstheme="minorHAnsi"/>
                <w:bCs/>
                <w:color w:val="000000"/>
                <w:sz w:val="18"/>
                <w:szCs w:val="18"/>
              </w:rPr>
              <w:t>Your current treatment is useful in controlling your IBD?</w:t>
            </w:r>
          </w:p>
        </w:tc>
        <w:tc>
          <w:tcPr>
            <w:tcW w:w="1134" w:type="dxa"/>
          </w:tcPr>
          <w:p w14:paraId="7303773D" w14:textId="77777777"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8"/>
                <w:szCs w:val="18"/>
              </w:rPr>
            </w:pPr>
            <w:r w:rsidRPr="0085531A">
              <w:rPr>
                <w:rFonts w:cstheme="minorHAnsi"/>
                <w:color w:val="000000"/>
                <w:sz w:val="18"/>
                <w:szCs w:val="18"/>
              </w:rPr>
              <w:t>-0.07</w:t>
            </w:r>
          </w:p>
        </w:tc>
        <w:tc>
          <w:tcPr>
            <w:tcW w:w="1276" w:type="dxa"/>
          </w:tcPr>
          <w:p w14:paraId="67025C37" w14:textId="77777777"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8"/>
                <w:szCs w:val="18"/>
              </w:rPr>
            </w:pPr>
            <w:r w:rsidRPr="0085531A">
              <w:rPr>
                <w:rFonts w:cstheme="minorHAnsi"/>
                <w:b/>
                <w:bCs/>
                <w:color w:val="000000"/>
                <w:sz w:val="18"/>
                <w:szCs w:val="18"/>
              </w:rPr>
              <w:t>1.02</w:t>
            </w:r>
          </w:p>
        </w:tc>
      </w:tr>
      <w:tr w:rsidR="001B6420" w:rsidRPr="0084469B" w14:paraId="0CA66767" w14:textId="77777777" w:rsidTr="00AB57E3">
        <w:trPr>
          <w:trHeight w:hRule="exact" w:val="340"/>
        </w:trPr>
        <w:tc>
          <w:tcPr>
            <w:tcW w:w="6946" w:type="dxa"/>
          </w:tcPr>
          <w:p w14:paraId="05D49963" w14:textId="77777777" w:rsidR="001B6420" w:rsidRDefault="001B6420" w:rsidP="00A34DA1">
            <w:pPr>
              <w:keepNext/>
              <w:pBdr>
                <w:top w:val="none" w:sz="0" w:space="0" w:color="000000"/>
                <w:left w:val="none" w:sz="0" w:space="0" w:color="000000"/>
                <w:bottom w:val="none" w:sz="0" w:space="0" w:color="000000"/>
                <w:right w:val="none" w:sz="0" w:space="0" w:color="000000"/>
              </w:pBdr>
              <w:spacing w:before="100" w:after="100"/>
              <w:ind w:left="142" w:right="100"/>
              <w:rPr>
                <w:rFonts w:cstheme="minorHAnsi"/>
                <w:bCs/>
                <w:color w:val="000000"/>
                <w:sz w:val="18"/>
                <w:szCs w:val="18"/>
              </w:rPr>
            </w:pPr>
            <w:r w:rsidRPr="0085531A">
              <w:rPr>
                <w:rFonts w:cstheme="minorHAnsi"/>
                <w:bCs/>
                <w:color w:val="000000"/>
                <w:sz w:val="18"/>
                <w:szCs w:val="18"/>
              </w:rPr>
              <w:t>Q3a</w:t>
            </w:r>
            <w:r w:rsidR="00CF0460">
              <w:rPr>
                <w:rFonts w:cstheme="minorHAnsi"/>
                <w:bCs/>
                <w:color w:val="000000"/>
                <w:sz w:val="18"/>
                <w:szCs w:val="18"/>
              </w:rPr>
              <w:t xml:space="preserve">. </w:t>
            </w:r>
            <w:r w:rsidRPr="0085531A">
              <w:rPr>
                <w:rFonts w:cstheme="minorHAnsi"/>
                <w:bCs/>
                <w:color w:val="000000"/>
                <w:sz w:val="18"/>
                <w:szCs w:val="18"/>
              </w:rPr>
              <w:t>Miss any planned activities because of IBD?</w:t>
            </w:r>
          </w:p>
          <w:p w14:paraId="56F1965B" w14:textId="26EAC5B2" w:rsidR="007D7B89" w:rsidRPr="0085531A" w:rsidRDefault="007D7B89" w:rsidP="007D7B89">
            <w:pPr>
              <w:keepNext/>
              <w:pBdr>
                <w:top w:val="none" w:sz="0" w:space="0" w:color="000000"/>
                <w:left w:val="none" w:sz="0" w:space="0" w:color="000000"/>
                <w:bottom w:val="none" w:sz="0" w:space="0" w:color="000000"/>
                <w:right w:val="none" w:sz="0" w:space="0" w:color="000000"/>
              </w:pBdr>
              <w:spacing w:before="100" w:after="100"/>
              <w:ind w:right="100"/>
              <w:rPr>
                <w:rFonts w:cstheme="minorHAnsi"/>
                <w:bCs/>
                <w:color w:val="000000"/>
                <w:sz w:val="18"/>
                <w:szCs w:val="18"/>
              </w:rPr>
            </w:pPr>
          </w:p>
        </w:tc>
        <w:tc>
          <w:tcPr>
            <w:tcW w:w="1134" w:type="dxa"/>
          </w:tcPr>
          <w:p w14:paraId="0D2201CB" w14:textId="77777777"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8"/>
                <w:szCs w:val="18"/>
              </w:rPr>
            </w:pPr>
            <w:r w:rsidRPr="0085531A">
              <w:rPr>
                <w:rFonts w:cstheme="minorHAnsi"/>
                <w:b/>
                <w:bCs/>
                <w:color w:val="000000"/>
                <w:sz w:val="18"/>
                <w:szCs w:val="18"/>
              </w:rPr>
              <w:t>0.77</w:t>
            </w:r>
          </w:p>
        </w:tc>
        <w:tc>
          <w:tcPr>
            <w:tcW w:w="1276" w:type="dxa"/>
          </w:tcPr>
          <w:p w14:paraId="6CAB8F53" w14:textId="77777777"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8"/>
                <w:szCs w:val="18"/>
              </w:rPr>
            </w:pPr>
            <w:r w:rsidRPr="0085531A">
              <w:rPr>
                <w:rFonts w:cstheme="minorHAnsi"/>
                <w:color w:val="000000"/>
                <w:sz w:val="18"/>
                <w:szCs w:val="18"/>
              </w:rPr>
              <w:t>0.07</w:t>
            </w:r>
          </w:p>
        </w:tc>
      </w:tr>
      <w:tr w:rsidR="001B6420" w:rsidRPr="0084469B" w14:paraId="703EC71E" w14:textId="77777777" w:rsidTr="00AB57E3">
        <w:trPr>
          <w:trHeight w:hRule="exact" w:val="340"/>
        </w:trPr>
        <w:tc>
          <w:tcPr>
            <w:tcW w:w="6946" w:type="dxa"/>
          </w:tcPr>
          <w:p w14:paraId="66D9A4D2" w14:textId="4C76F7C4"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42" w:right="100"/>
              <w:rPr>
                <w:rFonts w:cstheme="minorHAnsi"/>
                <w:bCs/>
                <w:color w:val="000000"/>
                <w:sz w:val="18"/>
                <w:szCs w:val="18"/>
              </w:rPr>
            </w:pPr>
            <w:r w:rsidRPr="0085531A">
              <w:rPr>
                <w:rFonts w:cstheme="minorHAnsi"/>
                <w:bCs/>
                <w:color w:val="000000"/>
                <w:sz w:val="18"/>
                <w:szCs w:val="18"/>
              </w:rPr>
              <w:t>Q3</w:t>
            </w:r>
            <w:r w:rsidR="00CF0460">
              <w:rPr>
                <w:rFonts w:cstheme="minorHAnsi"/>
                <w:bCs/>
                <w:color w:val="000000"/>
                <w:sz w:val="18"/>
                <w:szCs w:val="18"/>
              </w:rPr>
              <w:t xml:space="preserve">b. </w:t>
            </w:r>
            <w:r w:rsidRPr="0085531A">
              <w:rPr>
                <w:rFonts w:cstheme="minorHAnsi"/>
                <w:bCs/>
                <w:color w:val="000000"/>
                <w:sz w:val="18"/>
                <w:szCs w:val="18"/>
              </w:rPr>
              <w:t>Wake up at night because of symptoms of IBD?</w:t>
            </w:r>
          </w:p>
        </w:tc>
        <w:tc>
          <w:tcPr>
            <w:tcW w:w="1134" w:type="dxa"/>
          </w:tcPr>
          <w:p w14:paraId="4694F44A" w14:textId="77777777"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8"/>
                <w:szCs w:val="18"/>
              </w:rPr>
            </w:pPr>
            <w:r w:rsidRPr="0085531A">
              <w:rPr>
                <w:rFonts w:cstheme="minorHAnsi"/>
                <w:b/>
                <w:bCs/>
                <w:color w:val="000000"/>
                <w:sz w:val="18"/>
                <w:szCs w:val="18"/>
              </w:rPr>
              <w:t>0.77</w:t>
            </w:r>
          </w:p>
        </w:tc>
        <w:tc>
          <w:tcPr>
            <w:tcW w:w="1276" w:type="dxa"/>
          </w:tcPr>
          <w:p w14:paraId="5B6C9937" w14:textId="77777777"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8"/>
                <w:szCs w:val="18"/>
              </w:rPr>
            </w:pPr>
            <w:r w:rsidRPr="0085531A">
              <w:rPr>
                <w:rFonts w:cstheme="minorHAnsi"/>
                <w:color w:val="000000"/>
                <w:sz w:val="18"/>
                <w:szCs w:val="18"/>
              </w:rPr>
              <w:t>0.05</w:t>
            </w:r>
          </w:p>
        </w:tc>
      </w:tr>
      <w:tr w:rsidR="001B6420" w:rsidRPr="0084469B" w14:paraId="3315988D" w14:textId="77777777" w:rsidTr="00AB57E3">
        <w:trPr>
          <w:trHeight w:hRule="exact" w:val="340"/>
        </w:trPr>
        <w:tc>
          <w:tcPr>
            <w:tcW w:w="6946" w:type="dxa"/>
          </w:tcPr>
          <w:p w14:paraId="3369B892" w14:textId="16BB60D1"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42" w:right="100"/>
              <w:rPr>
                <w:rFonts w:cstheme="minorHAnsi"/>
                <w:bCs/>
                <w:color w:val="000000"/>
                <w:sz w:val="18"/>
                <w:szCs w:val="18"/>
              </w:rPr>
            </w:pPr>
            <w:r w:rsidRPr="0085531A">
              <w:rPr>
                <w:rFonts w:cstheme="minorHAnsi"/>
                <w:bCs/>
                <w:color w:val="000000"/>
                <w:sz w:val="18"/>
                <w:szCs w:val="18"/>
              </w:rPr>
              <w:t>Q3c</w:t>
            </w:r>
            <w:r w:rsidR="00CF0460">
              <w:rPr>
                <w:rFonts w:cstheme="minorHAnsi"/>
                <w:bCs/>
                <w:color w:val="000000"/>
                <w:sz w:val="18"/>
                <w:szCs w:val="18"/>
              </w:rPr>
              <w:t xml:space="preserve">. </w:t>
            </w:r>
            <w:r w:rsidRPr="0085531A">
              <w:rPr>
                <w:rFonts w:cstheme="minorHAnsi"/>
                <w:bCs/>
                <w:color w:val="000000"/>
                <w:sz w:val="18"/>
                <w:szCs w:val="18"/>
              </w:rPr>
              <w:t>Suffer from significant pain or discomfort?</w:t>
            </w:r>
          </w:p>
        </w:tc>
        <w:tc>
          <w:tcPr>
            <w:tcW w:w="1134" w:type="dxa"/>
          </w:tcPr>
          <w:p w14:paraId="79DA7773" w14:textId="77777777"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8"/>
                <w:szCs w:val="18"/>
              </w:rPr>
            </w:pPr>
            <w:r w:rsidRPr="0085531A">
              <w:rPr>
                <w:rFonts w:cstheme="minorHAnsi"/>
                <w:b/>
                <w:bCs/>
                <w:color w:val="000000"/>
                <w:sz w:val="18"/>
                <w:szCs w:val="18"/>
              </w:rPr>
              <w:t>0.85</w:t>
            </w:r>
          </w:p>
        </w:tc>
        <w:tc>
          <w:tcPr>
            <w:tcW w:w="1276" w:type="dxa"/>
          </w:tcPr>
          <w:p w14:paraId="4D2582BE" w14:textId="77777777"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8"/>
                <w:szCs w:val="18"/>
              </w:rPr>
            </w:pPr>
            <w:r w:rsidRPr="0085531A">
              <w:rPr>
                <w:rFonts w:cstheme="minorHAnsi"/>
                <w:color w:val="000000"/>
                <w:sz w:val="18"/>
                <w:szCs w:val="18"/>
              </w:rPr>
              <w:t>0.02</w:t>
            </w:r>
          </w:p>
        </w:tc>
      </w:tr>
      <w:tr w:rsidR="001B6420" w:rsidRPr="0084469B" w14:paraId="4CBC77B0" w14:textId="77777777" w:rsidTr="00AB57E3">
        <w:trPr>
          <w:trHeight w:hRule="exact" w:val="340"/>
        </w:trPr>
        <w:tc>
          <w:tcPr>
            <w:tcW w:w="6946" w:type="dxa"/>
          </w:tcPr>
          <w:p w14:paraId="5E8A37C8" w14:textId="285D423C"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42" w:right="100"/>
              <w:rPr>
                <w:rFonts w:cstheme="minorHAnsi"/>
                <w:bCs/>
                <w:color w:val="000000"/>
                <w:sz w:val="18"/>
                <w:szCs w:val="18"/>
              </w:rPr>
            </w:pPr>
            <w:r w:rsidRPr="0085531A">
              <w:rPr>
                <w:rFonts w:cstheme="minorHAnsi"/>
                <w:bCs/>
                <w:color w:val="000000"/>
                <w:sz w:val="18"/>
                <w:szCs w:val="18"/>
              </w:rPr>
              <w:t>Q3d</w:t>
            </w:r>
            <w:r w:rsidR="00CF0460">
              <w:rPr>
                <w:rFonts w:cstheme="minorHAnsi"/>
                <w:bCs/>
                <w:color w:val="000000"/>
                <w:sz w:val="18"/>
                <w:szCs w:val="18"/>
              </w:rPr>
              <w:t xml:space="preserve">. </w:t>
            </w:r>
            <w:r w:rsidRPr="0085531A">
              <w:rPr>
                <w:rFonts w:cstheme="minorHAnsi"/>
                <w:bCs/>
                <w:color w:val="000000"/>
                <w:sz w:val="18"/>
                <w:szCs w:val="18"/>
              </w:rPr>
              <w:t>Often feel lacking in energy (fatigued)?</w:t>
            </w:r>
          </w:p>
        </w:tc>
        <w:tc>
          <w:tcPr>
            <w:tcW w:w="1134" w:type="dxa"/>
          </w:tcPr>
          <w:p w14:paraId="778AD655" w14:textId="77777777"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8"/>
                <w:szCs w:val="18"/>
              </w:rPr>
            </w:pPr>
            <w:r w:rsidRPr="0085531A">
              <w:rPr>
                <w:rFonts w:cstheme="minorHAnsi"/>
                <w:b/>
                <w:bCs/>
                <w:color w:val="000000"/>
                <w:sz w:val="18"/>
                <w:szCs w:val="18"/>
              </w:rPr>
              <w:t>0.84</w:t>
            </w:r>
          </w:p>
        </w:tc>
        <w:tc>
          <w:tcPr>
            <w:tcW w:w="1276" w:type="dxa"/>
          </w:tcPr>
          <w:p w14:paraId="244D838D" w14:textId="77777777"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8"/>
                <w:szCs w:val="18"/>
              </w:rPr>
            </w:pPr>
            <w:r w:rsidRPr="0085531A">
              <w:rPr>
                <w:rFonts w:cstheme="minorHAnsi"/>
                <w:color w:val="000000"/>
                <w:sz w:val="18"/>
                <w:szCs w:val="18"/>
              </w:rPr>
              <w:t>-0.11</w:t>
            </w:r>
          </w:p>
        </w:tc>
      </w:tr>
      <w:tr w:rsidR="001B6420" w:rsidRPr="0084469B" w14:paraId="51E6BBD2" w14:textId="77777777" w:rsidTr="00AB57E3">
        <w:trPr>
          <w:trHeight w:hRule="exact" w:val="340"/>
        </w:trPr>
        <w:tc>
          <w:tcPr>
            <w:tcW w:w="6946" w:type="dxa"/>
          </w:tcPr>
          <w:p w14:paraId="75486F01" w14:textId="4D73045E"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42" w:right="100"/>
              <w:rPr>
                <w:rFonts w:cstheme="minorHAnsi"/>
                <w:bCs/>
                <w:color w:val="000000"/>
                <w:sz w:val="18"/>
                <w:szCs w:val="18"/>
              </w:rPr>
            </w:pPr>
            <w:r w:rsidRPr="0085531A">
              <w:rPr>
                <w:rFonts w:cstheme="minorHAnsi"/>
                <w:bCs/>
                <w:color w:val="000000"/>
                <w:sz w:val="18"/>
                <w:szCs w:val="18"/>
              </w:rPr>
              <w:t>Q3e</w:t>
            </w:r>
            <w:r w:rsidR="00CF0460">
              <w:rPr>
                <w:rFonts w:cstheme="minorHAnsi"/>
                <w:bCs/>
                <w:color w:val="000000"/>
                <w:sz w:val="18"/>
                <w:szCs w:val="18"/>
              </w:rPr>
              <w:t xml:space="preserve">. </w:t>
            </w:r>
            <w:r w:rsidRPr="0085531A">
              <w:rPr>
                <w:rFonts w:cstheme="minorHAnsi"/>
                <w:bCs/>
                <w:color w:val="000000"/>
                <w:sz w:val="18"/>
                <w:szCs w:val="18"/>
              </w:rPr>
              <w:t>Feel anxious or depressed because of your IBD?</w:t>
            </w:r>
          </w:p>
        </w:tc>
        <w:tc>
          <w:tcPr>
            <w:tcW w:w="1134" w:type="dxa"/>
          </w:tcPr>
          <w:p w14:paraId="76D771EB" w14:textId="77777777"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8"/>
                <w:szCs w:val="18"/>
              </w:rPr>
            </w:pPr>
            <w:r w:rsidRPr="0085531A">
              <w:rPr>
                <w:rFonts w:cstheme="minorHAnsi"/>
                <w:b/>
                <w:bCs/>
                <w:color w:val="000000"/>
                <w:sz w:val="18"/>
                <w:szCs w:val="18"/>
              </w:rPr>
              <w:t>0.72</w:t>
            </w:r>
          </w:p>
        </w:tc>
        <w:tc>
          <w:tcPr>
            <w:tcW w:w="1276" w:type="dxa"/>
          </w:tcPr>
          <w:p w14:paraId="423A4E9D" w14:textId="77777777"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8"/>
                <w:szCs w:val="18"/>
              </w:rPr>
            </w:pPr>
            <w:r w:rsidRPr="0085531A">
              <w:rPr>
                <w:rFonts w:cstheme="minorHAnsi"/>
                <w:color w:val="000000"/>
                <w:sz w:val="18"/>
                <w:szCs w:val="18"/>
              </w:rPr>
              <w:t>0.05</w:t>
            </w:r>
          </w:p>
        </w:tc>
      </w:tr>
      <w:tr w:rsidR="001B6420" w:rsidRPr="0084469B" w14:paraId="52BB41ED" w14:textId="77777777" w:rsidTr="00AB57E3">
        <w:trPr>
          <w:trHeight w:hRule="exact" w:val="340"/>
        </w:trPr>
        <w:tc>
          <w:tcPr>
            <w:tcW w:w="6946" w:type="dxa"/>
          </w:tcPr>
          <w:p w14:paraId="1BC03884" w14:textId="41BAF301"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42" w:right="100"/>
              <w:rPr>
                <w:rFonts w:cstheme="minorHAnsi"/>
                <w:bCs/>
                <w:color w:val="000000"/>
                <w:sz w:val="18"/>
                <w:szCs w:val="18"/>
              </w:rPr>
            </w:pPr>
            <w:r w:rsidRPr="0085531A">
              <w:rPr>
                <w:rFonts w:cstheme="minorHAnsi"/>
                <w:bCs/>
                <w:color w:val="000000"/>
                <w:sz w:val="18"/>
                <w:szCs w:val="18"/>
              </w:rPr>
              <w:t>Q3f</w:t>
            </w:r>
            <w:r w:rsidR="00CF0460">
              <w:rPr>
                <w:rFonts w:cstheme="minorHAnsi"/>
                <w:bCs/>
                <w:color w:val="000000"/>
                <w:sz w:val="18"/>
                <w:szCs w:val="18"/>
              </w:rPr>
              <w:t xml:space="preserve">. </w:t>
            </w:r>
            <w:r w:rsidRPr="0085531A">
              <w:rPr>
                <w:rFonts w:cstheme="minorHAnsi"/>
                <w:bCs/>
                <w:color w:val="000000"/>
                <w:sz w:val="18"/>
                <w:szCs w:val="18"/>
              </w:rPr>
              <w:t>Think you needed a change to your treatment?</w:t>
            </w:r>
          </w:p>
        </w:tc>
        <w:tc>
          <w:tcPr>
            <w:tcW w:w="1134" w:type="dxa"/>
          </w:tcPr>
          <w:p w14:paraId="3844CF89" w14:textId="77777777"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8"/>
                <w:szCs w:val="18"/>
              </w:rPr>
            </w:pPr>
            <w:r w:rsidRPr="0085531A">
              <w:rPr>
                <w:rFonts w:cstheme="minorHAnsi"/>
                <w:sz w:val="18"/>
                <w:szCs w:val="18"/>
              </w:rPr>
              <w:t>0.24</w:t>
            </w:r>
          </w:p>
        </w:tc>
        <w:tc>
          <w:tcPr>
            <w:tcW w:w="1276" w:type="dxa"/>
          </w:tcPr>
          <w:p w14:paraId="42DA7B5C" w14:textId="77777777" w:rsidR="001B6420" w:rsidRPr="0085531A" w:rsidRDefault="001B6420" w:rsidP="00A34DA1">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8"/>
                <w:szCs w:val="18"/>
              </w:rPr>
            </w:pPr>
            <w:r w:rsidRPr="0085531A">
              <w:rPr>
                <w:rFonts w:cstheme="minorHAnsi"/>
                <w:b/>
                <w:bCs/>
                <w:color w:val="000000"/>
                <w:sz w:val="18"/>
                <w:szCs w:val="18"/>
              </w:rPr>
              <w:t>0.67</w:t>
            </w:r>
          </w:p>
        </w:tc>
      </w:tr>
    </w:tbl>
    <w:p w14:paraId="20517356" w14:textId="04EDDD42" w:rsidR="001B6420" w:rsidRPr="00AB57E3" w:rsidRDefault="001B6420" w:rsidP="00AB57E3">
      <w:pPr>
        <w:tabs>
          <w:tab w:val="left" w:pos="1135"/>
        </w:tabs>
        <w:rPr>
          <w:sz w:val="18"/>
          <w:szCs w:val="18"/>
        </w:rPr>
      </w:pPr>
      <w:r>
        <w:t xml:space="preserve">   </w:t>
      </w:r>
      <w:r w:rsidRPr="0085531A">
        <w:rPr>
          <w:sz w:val="18"/>
          <w:szCs w:val="18"/>
        </w:rPr>
        <w:t xml:space="preserve">Data represent </w:t>
      </w:r>
      <w:r>
        <w:rPr>
          <w:sz w:val="18"/>
          <w:szCs w:val="18"/>
        </w:rPr>
        <w:t xml:space="preserve">the </w:t>
      </w:r>
      <w:r w:rsidRPr="0085531A">
        <w:rPr>
          <w:sz w:val="18"/>
          <w:szCs w:val="18"/>
        </w:rPr>
        <w:t>regression coefficients</w:t>
      </w:r>
      <w:r w:rsidR="007D7B89">
        <w:rPr>
          <w:sz w:val="18"/>
          <w:szCs w:val="18"/>
        </w:rPr>
        <w:t>. Bold values indicate which factor each items loads onto.</w:t>
      </w:r>
    </w:p>
    <w:p w14:paraId="36F025F8" w14:textId="77777777" w:rsidR="001B6420" w:rsidRDefault="001B6420" w:rsidP="002C0E5F">
      <w:pPr>
        <w:pStyle w:val="Caption"/>
        <w:keepNext/>
        <w:rPr>
          <w:color w:val="000000" w:themeColor="text1"/>
          <w:sz w:val="22"/>
          <w:szCs w:val="22"/>
        </w:rPr>
      </w:pPr>
    </w:p>
    <w:p w14:paraId="158D695B" w14:textId="23FCDE7D" w:rsidR="002C0E5F" w:rsidRPr="00AB57E3" w:rsidRDefault="002C0E5F" w:rsidP="002C0E5F">
      <w:pPr>
        <w:pStyle w:val="Caption"/>
        <w:keepNext/>
        <w:rPr>
          <w:color w:val="000000" w:themeColor="text1"/>
          <w:sz w:val="22"/>
          <w:szCs w:val="22"/>
        </w:rPr>
      </w:pPr>
      <w:r w:rsidRPr="0085531A">
        <w:rPr>
          <w:color w:val="000000" w:themeColor="text1"/>
          <w:sz w:val="22"/>
          <w:szCs w:val="22"/>
        </w:rPr>
        <w:t xml:space="preserve">Table </w:t>
      </w:r>
      <w:r w:rsidR="001B6420">
        <w:rPr>
          <w:color w:val="000000" w:themeColor="text1"/>
          <w:sz w:val="22"/>
          <w:szCs w:val="22"/>
        </w:rPr>
        <w:t>4</w:t>
      </w:r>
      <w:r w:rsidRPr="0085531A">
        <w:rPr>
          <w:b w:val="0"/>
          <w:bCs w:val="0"/>
          <w:color w:val="000000" w:themeColor="text1"/>
          <w:sz w:val="22"/>
          <w:szCs w:val="22"/>
        </w:rPr>
        <w:t>:</w:t>
      </w:r>
      <w:r w:rsidRPr="0085531A">
        <w:rPr>
          <w:b w:val="0"/>
          <w:bCs w:val="0"/>
          <w:i/>
          <w:iCs/>
          <w:color w:val="000000" w:themeColor="text1"/>
          <w:sz w:val="22"/>
          <w:szCs w:val="22"/>
        </w:rPr>
        <w:t xml:space="preserve"> </w:t>
      </w:r>
      <w:r>
        <w:rPr>
          <w:b w:val="0"/>
          <w:bCs w:val="0"/>
          <w:i/>
          <w:iCs/>
          <w:color w:val="000000" w:themeColor="text1"/>
          <w:sz w:val="22"/>
          <w:szCs w:val="22"/>
        </w:rPr>
        <w:t xml:space="preserve"> </w:t>
      </w:r>
      <w:r w:rsidRPr="0085531A">
        <w:rPr>
          <w:color w:val="000000" w:themeColor="text1"/>
          <w:sz w:val="22"/>
          <w:szCs w:val="22"/>
        </w:rPr>
        <w:t>Configural invariance model fit indices across different groups</w:t>
      </w:r>
    </w:p>
    <w:tbl>
      <w:tblPr>
        <w:tblStyle w:val="TableGrid"/>
        <w:tblW w:w="8931" w:type="dxa"/>
        <w:tblLook w:val="04A0" w:firstRow="1" w:lastRow="0" w:firstColumn="1" w:lastColumn="0" w:noHBand="0" w:noVBand="1"/>
      </w:tblPr>
      <w:tblGrid>
        <w:gridCol w:w="1973"/>
        <w:gridCol w:w="1620"/>
        <w:gridCol w:w="1797"/>
        <w:gridCol w:w="1801"/>
        <w:gridCol w:w="1740"/>
      </w:tblGrid>
      <w:tr w:rsidR="002C0E5F" w:rsidRPr="0079573F" w14:paraId="65D75161" w14:textId="77777777" w:rsidTr="00A34DA1">
        <w:trPr>
          <w:trHeight w:val="269"/>
        </w:trPr>
        <w:tc>
          <w:tcPr>
            <w:tcW w:w="1973" w:type="dxa"/>
            <w:shd w:val="clear" w:color="auto" w:fill="DEEAF6" w:themeFill="accent5" w:themeFillTint="33"/>
          </w:tcPr>
          <w:p w14:paraId="6D0F87F8" w14:textId="77777777" w:rsidR="002C0E5F" w:rsidRPr="0085531A" w:rsidRDefault="002C0E5F" w:rsidP="00A34DA1">
            <w:pPr>
              <w:rPr>
                <w:rFonts w:cstheme="minorHAnsi"/>
                <w:b/>
                <w:bCs/>
                <w:sz w:val="18"/>
                <w:szCs w:val="18"/>
              </w:rPr>
            </w:pPr>
            <w:r w:rsidRPr="0085531A">
              <w:rPr>
                <w:rFonts w:cstheme="minorHAnsi"/>
                <w:b/>
                <w:bCs/>
                <w:sz w:val="18"/>
                <w:szCs w:val="18"/>
              </w:rPr>
              <w:t>Grouped by:</w:t>
            </w:r>
          </w:p>
        </w:tc>
        <w:tc>
          <w:tcPr>
            <w:tcW w:w="1620" w:type="dxa"/>
            <w:shd w:val="clear" w:color="auto" w:fill="DEEAF6" w:themeFill="accent5" w:themeFillTint="33"/>
          </w:tcPr>
          <w:p w14:paraId="07E032FA" w14:textId="77777777" w:rsidR="002C0E5F" w:rsidRPr="0085531A" w:rsidRDefault="002C0E5F" w:rsidP="00A34DA1">
            <w:pPr>
              <w:jc w:val="right"/>
              <w:rPr>
                <w:rFonts w:cstheme="minorHAnsi"/>
                <w:b/>
                <w:bCs/>
                <w:sz w:val="18"/>
                <w:szCs w:val="18"/>
              </w:rPr>
            </w:pPr>
            <w:r w:rsidRPr="0085531A">
              <w:rPr>
                <w:rFonts w:cstheme="minorHAnsi"/>
                <w:b/>
                <w:bCs/>
                <w:sz w:val="18"/>
                <w:szCs w:val="18"/>
              </w:rPr>
              <w:t>RMSEA</w:t>
            </w:r>
          </w:p>
        </w:tc>
        <w:tc>
          <w:tcPr>
            <w:tcW w:w="1797" w:type="dxa"/>
            <w:shd w:val="clear" w:color="auto" w:fill="DEEAF6" w:themeFill="accent5" w:themeFillTint="33"/>
          </w:tcPr>
          <w:p w14:paraId="3F105A4A" w14:textId="77777777" w:rsidR="002C0E5F" w:rsidRPr="0085531A" w:rsidRDefault="002C0E5F" w:rsidP="00A34DA1">
            <w:pPr>
              <w:jc w:val="right"/>
              <w:rPr>
                <w:rFonts w:cstheme="minorHAnsi"/>
                <w:b/>
                <w:bCs/>
                <w:sz w:val="18"/>
                <w:szCs w:val="18"/>
              </w:rPr>
            </w:pPr>
            <w:r w:rsidRPr="0085531A">
              <w:rPr>
                <w:rFonts w:cstheme="minorHAnsi"/>
                <w:b/>
                <w:bCs/>
                <w:sz w:val="18"/>
                <w:szCs w:val="18"/>
              </w:rPr>
              <w:t>CFI</w:t>
            </w:r>
          </w:p>
        </w:tc>
        <w:tc>
          <w:tcPr>
            <w:tcW w:w="1801" w:type="dxa"/>
            <w:shd w:val="clear" w:color="auto" w:fill="DEEAF6" w:themeFill="accent5" w:themeFillTint="33"/>
          </w:tcPr>
          <w:p w14:paraId="7164AEEF" w14:textId="77777777" w:rsidR="002C0E5F" w:rsidRPr="0085531A" w:rsidRDefault="002C0E5F" w:rsidP="00A34DA1">
            <w:pPr>
              <w:jc w:val="right"/>
              <w:rPr>
                <w:rFonts w:cstheme="minorHAnsi"/>
                <w:b/>
                <w:bCs/>
                <w:sz w:val="18"/>
                <w:szCs w:val="18"/>
              </w:rPr>
            </w:pPr>
            <w:r w:rsidRPr="0085531A">
              <w:rPr>
                <w:rFonts w:cstheme="minorHAnsi"/>
                <w:b/>
                <w:bCs/>
                <w:sz w:val="18"/>
                <w:szCs w:val="18"/>
              </w:rPr>
              <w:t>TLI</w:t>
            </w:r>
          </w:p>
        </w:tc>
        <w:tc>
          <w:tcPr>
            <w:tcW w:w="1740" w:type="dxa"/>
            <w:shd w:val="clear" w:color="auto" w:fill="DEEAF6" w:themeFill="accent5" w:themeFillTint="33"/>
          </w:tcPr>
          <w:p w14:paraId="3E97EFCD" w14:textId="77777777" w:rsidR="002C0E5F" w:rsidRPr="0085531A" w:rsidRDefault="002C0E5F" w:rsidP="00A34DA1">
            <w:pPr>
              <w:jc w:val="right"/>
              <w:rPr>
                <w:rFonts w:cstheme="minorHAnsi"/>
                <w:b/>
                <w:bCs/>
                <w:sz w:val="18"/>
                <w:szCs w:val="18"/>
              </w:rPr>
            </w:pPr>
            <w:r w:rsidRPr="0085531A">
              <w:rPr>
                <w:rFonts w:cstheme="minorHAnsi"/>
                <w:b/>
                <w:bCs/>
                <w:sz w:val="18"/>
                <w:szCs w:val="18"/>
              </w:rPr>
              <w:t>SRMR</w:t>
            </w:r>
          </w:p>
        </w:tc>
      </w:tr>
      <w:tr w:rsidR="002C0E5F" w:rsidRPr="0079573F" w14:paraId="1F3023D8" w14:textId="77777777" w:rsidTr="00A34DA1">
        <w:trPr>
          <w:trHeight w:val="269"/>
        </w:trPr>
        <w:tc>
          <w:tcPr>
            <w:tcW w:w="1973" w:type="dxa"/>
          </w:tcPr>
          <w:p w14:paraId="1059E223" w14:textId="77777777" w:rsidR="002C0E5F" w:rsidRPr="002C0B8D" w:rsidRDefault="002C0E5F" w:rsidP="00A34DA1">
            <w:pPr>
              <w:rPr>
                <w:rFonts w:cstheme="minorHAnsi"/>
                <w:sz w:val="18"/>
                <w:szCs w:val="18"/>
              </w:rPr>
            </w:pPr>
            <w:r w:rsidRPr="002C0B8D">
              <w:rPr>
                <w:rFonts w:cstheme="minorHAnsi"/>
                <w:sz w:val="18"/>
                <w:szCs w:val="18"/>
              </w:rPr>
              <w:t>Diagnosis</w:t>
            </w:r>
          </w:p>
        </w:tc>
        <w:tc>
          <w:tcPr>
            <w:tcW w:w="1620" w:type="dxa"/>
          </w:tcPr>
          <w:p w14:paraId="634521C5" w14:textId="77777777" w:rsidR="002C0E5F" w:rsidRPr="002C0B8D" w:rsidRDefault="002C0E5F" w:rsidP="00A34DA1">
            <w:pPr>
              <w:jc w:val="right"/>
              <w:rPr>
                <w:rFonts w:cstheme="minorHAnsi"/>
                <w:sz w:val="18"/>
                <w:szCs w:val="18"/>
              </w:rPr>
            </w:pPr>
            <w:r w:rsidRPr="002C0B8D">
              <w:rPr>
                <w:rFonts w:cstheme="minorHAnsi"/>
                <w:sz w:val="18"/>
                <w:szCs w:val="18"/>
              </w:rPr>
              <w:t>0.038</w:t>
            </w:r>
          </w:p>
        </w:tc>
        <w:tc>
          <w:tcPr>
            <w:tcW w:w="1797" w:type="dxa"/>
          </w:tcPr>
          <w:p w14:paraId="6E2D6039" w14:textId="77777777" w:rsidR="002C0E5F" w:rsidRPr="002C0B8D" w:rsidRDefault="002C0E5F" w:rsidP="00A34DA1">
            <w:pPr>
              <w:jc w:val="right"/>
              <w:rPr>
                <w:rFonts w:cstheme="minorHAnsi"/>
                <w:sz w:val="18"/>
                <w:szCs w:val="18"/>
              </w:rPr>
            </w:pPr>
            <w:r w:rsidRPr="002C0B8D">
              <w:rPr>
                <w:rFonts w:cstheme="minorHAnsi"/>
                <w:sz w:val="18"/>
                <w:szCs w:val="18"/>
              </w:rPr>
              <w:t>0.99</w:t>
            </w:r>
          </w:p>
        </w:tc>
        <w:tc>
          <w:tcPr>
            <w:tcW w:w="1801" w:type="dxa"/>
          </w:tcPr>
          <w:p w14:paraId="5DD16CDB" w14:textId="77777777" w:rsidR="002C0E5F" w:rsidRPr="002C0B8D" w:rsidRDefault="002C0E5F" w:rsidP="00A34DA1">
            <w:pPr>
              <w:jc w:val="right"/>
              <w:rPr>
                <w:rFonts w:cstheme="minorHAnsi"/>
                <w:sz w:val="18"/>
                <w:szCs w:val="18"/>
              </w:rPr>
            </w:pPr>
            <w:r w:rsidRPr="002C0B8D">
              <w:rPr>
                <w:rFonts w:cstheme="minorHAnsi"/>
                <w:sz w:val="18"/>
                <w:szCs w:val="18"/>
              </w:rPr>
              <w:t>0.99</w:t>
            </w:r>
          </w:p>
        </w:tc>
        <w:tc>
          <w:tcPr>
            <w:tcW w:w="1740" w:type="dxa"/>
          </w:tcPr>
          <w:p w14:paraId="4649FB07" w14:textId="77777777" w:rsidR="002C0E5F" w:rsidRPr="002C0B8D" w:rsidRDefault="002C0E5F" w:rsidP="00A34DA1">
            <w:pPr>
              <w:jc w:val="right"/>
              <w:rPr>
                <w:rFonts w:cstheme="minorHAnsi"/>
                <w:sz w:val="18"/>
                <w:szCs w:val="18"/>
              </w:rPr>
            </w:pPr>
            <w:r w:rsidRPr="002C0B8D">
              <w:rPr>
                <w:rFonts w:cstheme="minorHAnsi"/>
                <w:sz w:val="18"/>
                <w:szCs w:val="18"/>
              </w:rPr>
              <w:t>0.033</w:t>
            </w:r>
          </w:p>
        </w:tc>
      </w:tr>
      <w:tr w:rsidR="002C0E5F" w:rsidRPr="0079573F" w14:paraId="47739CB3" w14:textId="77777777" w:rsidTr="00A34DA1">
        <w:trPr>
          <w:trHeight w:val="269"/>
        </w:trPr>
        <w:tc>
          <w:tcPr>
            <w:tcW w:w="1973" w:type="dxa"/>
          </w:tcPr>
          <w:p w14:paraId="14DBE951" w14:textId="77777777" w:rsidR="002C0E5F" w:rsidRPr="002C0B8D" w:rsidRDefault="002C0E5F" w:rsidP="00A34DA1">
            <w:pPr>
              <w:rPr>
                <w:rFonts w:cstheme="minorHAnsi"/>
                <w:sz w:val="18"/>
                <w:szCs w:val="18"/>
              </w:rPr>
            </w:pPr>
            <w:r w:rsidRPr="002C0B8D">
              <w:rPr>
                <w:rFonts w:cstheme="minorHAnsi"/>
                <w:sz w:val="18"/>
                <w:szCs w:val="18"/>
              </w:rPr>
              <w:t>Gender</w:t>
            </w:r>
          </w:p>
        </w:tc>
        <w:tc>
          <w:tcPr>
            <w:tcW w:w="1620" w:type="dxa"/>
          </w:tcPr>
          <w:p w14:paraId="539285B7" w14:textId="77777777" w:rsidR="002C0E5F" w:rsidRPr="002C0B8D" w:rsidRDefault="002C0E5F" w:rsidP="00A34DA1">
            <w:pPr>
              <w:jc w:val="right"/>
              <w:rPr>
                <w:rFonts w:cstheme="minorHAnsi"/>
                <w:sz w:val="18"/>
                <w:szCs w:val="18"/>
              </w:rPr>
            </w:pPr>
            <w:r w:rsidRPr="002C0B8D">
              <w:rPr>
                <w:rFonts w:cstheme="minorHAnsi"/>
                <w:sz w:val="18"/>
                <w:szCs w:val="18"/>
              </w:rPr>
              <w:t>0.038</w:t>
            </w:r>
          </w:p>
        </w:tc>
        <w:tc>
          <w:tcPr>
            <w:tcW w:w="1797" w:type="dxa"/>
          </w:tcPr>
          <w:p w14:paraId="3720ADA6" w14:textId="77777777" w:rsidR="002C0E5F" w:rsidRPr="002C0B8D" w:rsidRDefault="002C0E5F" w:rsidP="00A34DA1">
            <w:pPr>
              <w:jc w:val="right"/>
              <w:rPr>
                <w:rFonts w:cstheme="minorHAnsi"/>
                <w:sz w:val="18"/>
                <w:szCs w:val="18"/>
              </w:rPr>
            </w:pPr>
            <w:r w:rsidRPr="002C0B8D">
              <w:rPr>
                <w:rFonts w:cstheme="minorHAnsi"/>
                <w:sz w:val="18"/>
                <w:szCs w:val="18"/>
              </w:rPr>
              <w:t>0.99</w:t>
            </w:r>
          </w:p>
        </w:tc>
        <w:tc>
          <w:tcPr>
            <w:tcW w:w="1801" w:type="dxa"/>
          </w:tcPr>
          <w:p w14:paraId="7BB28FEB" w14:textId="77777777" w:rsidR="002C0E5F" w:rsidRPr="002C0B8D" w:rsidRDefault="002C0E5F" w:rsidP="00A34DA1">
            <w:pPr>
              <w:jc w:val="right"/>
              <w:rPr>
                <w:rFonts w:cstheme="minorHAnsi"/>
                <w:sz w:val="18"/>
                <w:szCs w:val="18"/>
              </w:rPr>
            </w:pPr>
            <w:r w:rsidRPr="002C0B8D">
              <w:rPr>
                <w:rFonts w:cstheme="minorHAnsi"/>
                <w:sz w:val="18"/>
                <w:szCs w:val="18"/>
              </w:rPr>
              <w:t>0.99</w:t>
            </w:r>
          </w:p>
        </w:tc>
        <w:tc>
          <w:tcPr>
            <w:tcW w:w="1740" w:type="dxa"/>
          </w:tcPr>
          <w:p w14:paraId="0C4829AE" w14:textId="77777777" w:rsidR="002C0E5F" w:rsidRPr="002C0B8D" w:rsidRDefault="002C0E5F" w:rsidP="00A34DA1">
            <w:pPr>
              <w:jc w:val="right"/>
              <w:rPr>
                <w:rFonts w:cstheme="minorHAnsi"/>
                <w:sz w:val="18"/>
                <w:szCs w:val="18"/>
              </w:rPr>
            </w:pPr>
            <w:r w:rsidRPr="002C0B8D">
              <w:rPr>
                <w:rFonts w:cstheme="minorHAnsi"/>
                <w:sz w:val="18"/>
                <w:szCs w:val="18"/>
              </w:rPr>
              <w:t>0.032</w:t>
            </w:r>
          </w:p>
        </w:tc>
      </w:tr>
      <w:tr w:rsidR="002C0E5F" w:rsidRPr="0079573F" w14:paraId="6BD7AD8A" w14:textId="77777777" w:rsidTr="00A34DA1">
        <w:trPr>
          <w:trHeight w:val="269"/>
        </w:trPr>
        <w:tc>
          <w:tcPr>
            <w:tcW w:w="1973" w:type="dxa"/>
          </w:tcPr>
          <w:p w14:paraId="394F6A7A" w14:textId="77777777" w:rsidR="002C0E5F" w:rsidRPr="002C0B8D" w:rsidRDefault="002C0E5F" w:rsidP="00A34DA1">
            <w:pPr>
              <w:rPr>
                <w:rFonts w:cstheme="minorHAnsi"/>
                <w:sz w:val="18"/>
                <w:szCs w:val="18"/>
              </w:rPr>
            </w:pPr>
            <w:r w:rsidRPr="002C0B8D">
              <w:rPr>
                <w:rFonts w:cstheme="minorHAnsi"/>
                <w:sz w:val="18"/>
                <w:szCs w:val="18"/>
              </w:rPr>
              <w:t>Age category</w:t>
            </w:r>
          </w:p>
        </w:tc>
        <w:tc>
          <w:tcPr>
            <w:tcW w:w="1620" w:type="dxa"/>
          </w:tcPr>
          <w:p w14:paraId="36B48FEE" w14:textId="77777777" w:rsidR="002C0E5F" w:rsidRPr="002C0B8D" w:rsidRDefault="002C0E5F" w:rsidP="00A34DA1">
            <w:pPr>
              <w:jc w:val="right"/>
              <w:rPr>
                <w:rFonts w:cstheme="minorHAnsi"/>
                <w:sz w:val="18"/>
                <w:szCs w:val="18"/>
              </w:rPr>
            </w:pPr>
            <w:r w:rsidRPr="002C0B8D">
              <w:rPr>
                <w:rFonts w:cstheme="minorHAnsi"/>
                <w:sz w:val="18"/>
                <w:szCs w:val="18"/>
              </w:rPr>
              <w:t>0.039</w:t>
            </w:r>
          </w:p>
        </w:tc>
        <w:tc>
          <w:tcPr>
            <w:tcW w:w="1797" w:type="dxa"/>
          </w:tcPr>
          <w:p w14:paraId="48026D7C" w14:textId="77777777" w:rsidR="002C0E5F" w:rsidRPr="002C0B8D" w:rsidRDefault="002C0E5F" w:rsidP="00A34DA1">
            <w:pPr>
              <w:jc w:val="right"/>
              <w:rPr>
                <w:rFonts w:cstheme="minorHAnsi"/>
                <w:sz w:val="18"/>
                <w:szCs w:val="18"/>
              </w:rPr>
            </w:pPr>
            <w:r w:rsidRPr="002C0B8D">
              <w:rPr>
                <w:rFonts w:cstheme="minorHAnsi"/>
                <w:sz w:val="18"/>
                <w:szCs w:val="18"/>
              </w:rPr>
              <w:t>0.99</w:t>
            </w:r>
          </w:p>
        </w:tc>
        <w:tc>
          <w:tcPr>
            <w:tcW w:w="1801" w:type="dxa"/>
          </w:tcPr>
          <w:p w14:paraId="202F0797" w14:textId="77777777" w:rsidR="002C0E5F" w:rsidRPr="002C0B8D" w:rsidRDefault="002C0E5F" w:rsidP="00A34DA1">
            <w:pPr>
              <w:jc w:val="right"/>
              <w:rPr>
                <w:rFonts w:cstheme="minorHAnsi"/>
                <w:sz w:val="18"/>
                <w:szCs w:val="18"/>
              </w:rPr>
            </w:pPr>
            <w:r w:rsidRPr="002C0B8D">
              <w:rPr>
                <w:rFonts w:cstheme="minorHAnsi"/>
                <w:sz w:val="18"/>
                <w:szCs w:val="18"/>
              </w:rPr>
              <w:t>0.99</w:t>
            </w:r>
          </w:p>
        </w:tc>
        <w:tc>
          <w:tcPr>
            <w:tcW w:w="1740" w:type="dxa"/>
          </w:tcPr>
          <w:p w14:paraId="4742E1A7" w14:textId="77777777" w:rsidR="002C0E5F" w:rsidRPr="002C0B8D" w:rsidRDefault="002C0E5F" w:rsidP="00A34DA1">
            <w:pPr>
              <w:jc w:val="right"/>
              <w:rPr>
                <w:rFonts w:cstheme="minorHAnsi"/>
                <w:sz w:val="18"/>
                <w:szCs w:val="18"/>
              </w:rPr>
            </w:pPr>
            <w:r w:rsidRPr="002C0B8D">
              <w:rPr>
                <w:rFonts w:cstheme="minorHAnsi"/>
                <w:sz w:val="18"/>
                <w:szCs w:val="18"/>
              </w:rPr>
              <w:t>0.032</w:t>
            </w:r>
          </w:p>
        </w:tc>
      </w:tr>
      <w:tr w:rsidR="002C0E5F" w:rsidRPr="0079573F" w14:paraId="104A7EC7" w14:textId="77777777" w:rsidTr="00A34DA1">
        <w:trPr>
          <w:trHeight w:val="269"/>
        </w:trPr>
        <w:tc>
          <w:tcPr>
            <w:tcW w:w="1973" w:type="dxa"/>
            <w:tcBorders>
              <w:bottom w:val="single" w:sz="4" w:space="0" w:color="auto"/>
            </w:tcBorders>
          </w:tcPr>
          <w:p w14:paraId="4C297A39" w14:textId="77777777" w:rsidR="002C0E5F" w:rsidRPr="002C0B8D" w:rsidRDefault="002C0E5F" w:rsidP="00A34DA1">
            <w:pPr>
              <w:rPr>
                <w:rFonts w:cstheme="minorHAnsi"/>
                <w:sz w:val="18"/>
                <w:szCs w:val="18"/>
              </w:rPr>
            </w:pPr>
            <w:r w:rsidRPr="002C0B8D">
              <w:rPr>
                <w:rFonts w:cstheme="minorHAnsi"/>
                <w:sz w:val="18"/>
                <w:szCs w:val="18"/>
              </w:rPr>
              <w:t>Comorbidities</w:t>
            </w:r>
          </w:p>
        </w:tc>
        <w:tc>
          <w:tcPr>
            <w:tcW w:w="1620" w:type="dxa"/>
            <w:tcBorders>
              <w:bottom w:val="single" w:sz="4" w:space="0" w:color="auto"/>
            </w:tcBorders>
          </w:tcPr>
          <w:p w14:paraId="6E42B68B" w14:textId="77777777" w:rsidR="002C0E5F" w:rsidRPr="002C0B8D" w:rsidRDefault="002C0E5F" w:rsidP="00A34DA1">
            <w:pPr>
              <w:jc w:val="right"/>
              <w:rPr>
                <w:rFonts w:cstheme="minorHAnsi"/>
                <w:sz w:val="18"/>
                <w:szCs w:val="18"/>
              </w:rPr>
            </w:pPr>
            <w:r w:rsidRPr="002C0B8D">
              <w:rPr>
                <w:rFonts w:cstheme="minorHAnsi"/>
                <w:sz w:val="18"/>
                <w:szCs w:val="18"/>
              </w:rPr>
              <w:t>0.039</w:t>
            </w:r>
          </w:p>
        </w:tc>
        <w:tc>
          <w:tcPr>
            <w:tcW w:w="1797" w:type="dxa"/>
            <w:tcBorders>
              <w:bottom w:val="single" w:sz="4" w:space="0" w:color="auto"/>
            </w:tcBorders>
          </w:tcPr>
          <w:p w14:paraId="1061EA89" w14:textId="77777777" w:rsidR="002C0E5F" w:rsidRPr="002C0B8D" w:rsidRDefault="002C0E5F" w:rsidP="00A34DA1">
            <w:pPr>
              <w:jc w:val="right"/>
              <w:rPr>
                <w:rFonts w:cstheme="minorHAnsi"/>
                <w:sz w:val="18"/>
                <w:szCs w:val="18"/>
              </w:rPr>
            </w:pPr>
            <w:r w:rsidRPr="002C0B8D">
              <w:rPr>
                <w:rFonts w:cstheme="minorHAnsi"/>
                <w:sz w:val="18"/>
                <w:szCs w:val="18"/>
              </w:rPr>
              <w:t>0.99</w:t>
            </w:r>
          </w:p>
        </w:tc>
        <w:tc>
          <w:tcPr>
            <w:tcW w:w="1801" w:type="dxa"/>
            <w:tcBorders>
              <w:bottom w:val="single" w:sz="4" w:space="0" w:color="auto"/>
            </w:tcBorders>
          </w:tcPr>
          <w:p w14:paraId="176F3CF3" w14:textId="77777777" w:rsidR="002C0E5F" w:rsidRPr="002C0B8D" w:rsidRDefault="002C0E5F" w:rsidP="00A34DA1">
            <w:pPr>
              <w:jc w:val="right"/>
              <w:rPr>
                <w:rFonts w:cstheme="minorHAnsi"/>
                <w:sz w:val="18"/>
                <w:szCs w:val="18"/>
              </w:rPr>
            </w:pPr>
            <w:r w:rsidRPr="002C0B8D">
              <w:rPr>
                <w:rFonts w:cstheme="minorHAnsi"/>
                <w:sz w:val="18"/>
                <w:szCs w:val="18"/>
              </w:rPr>
              <w:t>0.99</w:t>
            </w:r>
          </w:p>
        </w:tc>
        <w:tc>
          <w:tcPr>
            <w:tcW w:w="1740" w:type="dxa"/>
            <w:tcBorders>
              <w:bottom w:val="single" w:sz="4" w:space="0" w:color="auto"/>
            </w:tcBorders>
          </w:tcPr>
          <w:p w14:paraId="2181EC14" w14:textId="77777777" w:rsidR="002C0E5F" w:rsidRPr="002C0B8D" w:rsidRDefault="002C0E5F" w:rsidP="00A34DA1">
            <w:pPr>
              <w:jc w:val="right"/>
              <w:rPr>
                <w:rFonts w:cstheme="minorHAnsi"/>
                <w:sz w:val="18"/>
                <w:szCs w:val="18"/>
              </w:rPr>
            </w:pPr>
            <w:r w:rsidRPr="002C0B8D">
              <w:rPr>
                <w:rFonts w:cstheme="minorHAnsi"/>
                <w:sz w:val="18"/>
                <w:szCs w:val="18"/>
              </w:rPr>
              <w:t>0.032</w:t>
            </w:r>
          </w:p>
        </w:tc>
      </w:tr>
      <w:tr w:rsidR="002C0E5F" w:rsidRPr="0079573F" w14:paraId="1120D9DB" w14:textId="77777777" w:rsidTr="00A34DA1">
        <w:trPr>
          <w:trHeight w:val="269"/>
        </w:trPr>
        <w:tc>
          <w:tcPr>
            <w:tcW w:w="1973" w:type="dxa"/>
            <w:tcBorders>
              <w:bottom w:val="single" w:sz="4" w:space="0" w:color="auto"/>
            </w:tcBorders>
          </w:tcPr>
          <w:p w14:paraId="14EE6506" w14:textId="77777777" w:rsidR="002C0E5F" w:rsidRPr="002C0B8D" w:rsidRDefault="002C0E5F" w:rsidP="00A34DA1">
            <w:pPr>
              <w:rPr>
                <w:rFonts w:cstheme="minorHAnsi"/>
                <w:sz w:val="18"/>
                <w:szCs w:val="18"/>
              </w:rPr>
            </w:pPr>
            <w:r w:rsidRPr="002C0B8D">
              <w:rPr>
                <w:rFonts w:cstheme="minorHAnsi"/>
                <w:sz w:val="18"/>
                <w:szCs w:val="18"/>
              </w:rPr>
              <w:t xml:space="preserve">Deprivation </w:t>
            </w:r>
          </w:p>
        </w:tc>
        <w:tc>
          <w:tcPr>
            <w:tcW w:w="1620" w:type="dxa"/>
            <w:tcBorders>
              <w:bottom w:val="single" w:sz="4" w:space="0" w:color="auto"/>
            </w:tcBorders>
          </w:tcPr>
          <w:p w14:paraId="18A64AA8" w14:textId="77777777" w:rsidR="002C0E5F" w:rsidRPr="002C0B8D" w:rsidRDefault="002C0E5F" w:rsidP="00A34DA1">
            <w:pPr>
              <w:jc w:val="right"/>
              <w:rPr>
                <w:rFonts w:cstheme="minorHAnsi"/>
                <w:sz w:val="18"/>
                <w:szCs w:val="18"/>
              </w:rPr>
            </w:pPr>
            <w:r w:rsidRPr="002C0B8D">
              <w:rPr>
                <w:rFonts w:cstheme="minorHAnsi"/>
                <w:sz w:val="18"/>
                <w:szCs w:val="18"/>
              </w:rPr>
              <w:t>0.036</w:t>
            </w:r>
          </w:p>
        </w:tc>
        <w:tc>
          <w:tcPr>
            <w:tcW w:w="1797" w:type="dxa"/>
            <w:tcBorders>
              <w:bottom w:val="single" w:sz="4" w:space="0" w:color="auto"/>
            </w:tcBorders>
          </w:tcPr>
          <w:p w14:paraId="3E8AE0B4" w14:textId="77777777" w:rsidR="002C0E5F" w:rsidRPr="002C0B8D" w:rsidRDefault="002C0E5F" w:rsidP="00A34DA1">
            <w:pPr>
              <w:jc w:val="right"/>
              <w:rPr>
                <w:rFonts w:cstheme="minorHAnsi"/>
                <w:sz w:val="18"/>
                <w:szCs w:val="18"/>
              </w:rPr>
            </w:pPr>
            <w:r w:rsidRPr="002C0B8D">
              <w:rPr>
                <w:rFonts w:cstheme="minorHAnsi"/>
                <w:sz w:val="18"/>
                <w:szCs w:val="18"/>
              </w:rPr>
              <w:t>0.99</w:t>
            </w:r>
          </w:p>
        </w:tc>
        <w:tc>
          <w:tcPr>
            <w:tcW w:w="1801" w:type="dxa"/>
            <w:tcBorders>
              <w:bottom w:val="single" w:sz="4" w:space="0" w:color="auto"/>
            </w:tcBorders>
          </w:tcPr>
          <w:p w14:paraId="70DB32C7" w14:textId="77777777" w:rsidR="002C0E5F" w:rsidRPr="002C0B8D" w:rsidRDefault="002C0E5F" w:rsidP="00A34DA1">
            <w:pPr>
              <w:jc w:val="right"/>
              <w:rPr>
                <w:rFonts w:cstheme="minorHAnsi"/>
                <w:sz w:val="18"/>
                <w:szCs w:val="18"/>
              </w:rPr>
            </w:pPr>
            <w:r w:rsidRPr="002C0B8D">
              <w:rPr>
                <w:rFonts w:cstheme="minorHAnsi"/>
                <w:sz w:val="18"/>
                <w:szCs w:val="18"/>
              </w:rPr>
              <w:t>0.99</w:t>
            </w:r>
          </w:p>
        </w:tc>
        <w:tc>
          <w:tcPr>
            <w:tcW w:w="1740" w:type="dxa"/>
            <w:tcBorders>
              <w:bottom w:val="single" w:sz="4" w:space="0" w:color="auto"/>
            </w:tcBorders>
          </w:tcPr>
          <w:p w14:paraId="2437F0E2" w14:textId="77777777" w:rsidR="002C0E5F" w:rsidRPr="002C0B8D" w:rsidRDefault="002C0E5F" w:rsidP="00A34DA1">
            <w:pPr>
              <w:jc w:val="right"/>
              <w:rPr>
                <w:rFonts w:cstheme="minorHAnsi"/>
                <w:sz w:val="18"/>
                <w:szCs w:val="18"/>
              </w:rPr>
            </w:pPr>
            <w:r w:rsidRPr="002C0B8D">
              <w:rPr>
                <w:rFonts w:cstheme="minorHAnsi"/>
                <w:sz w:val="18"/>
                <w:szCs w:val="18"/>
              </w:rPr>
              <w:t>0.031</w:t>
            </w:r>
          </w:p>
        </w:tc>
      </w:tr>
      <w:tr w:rsidR="002C0E5F" w:rsidRPr="00CA3DA1" w14:paraId="5A00D2A7" w14:textId="77777777" w:rsidTr="00A34DA1">
        <w:trPr>
          <w:trHeight w:val="269"/>
        </w:trPr>
        <w:tc>
          <w:tcPr>
            <w:tcW w:w="8931" w:type="dxa"/>
            <w:gridSpan w:val="5"/>
            <w:tcBorders>
              <w:top w:val="single" w:sz="4" w:space="0" w:color="auto"/>
              <w:left w:val="nil"/>
              <w:bottom w:val="nil"/>
              <w:right w:val="nil"/>
            </w:tcBorders>
          </w:tcPr>
          <w:p w14:paraId="34527289" w14:textId="5E1DBF04" w:rsidR="002C0E5F" w:rsidRPr="002C0B8D" w:rsidRDefault="002C0E5F" w:rsidP="00A34DA1">
            <w:pPr>
              <w:ind w:left="-113"/>
              <w:rPr>
                <w:rFonts w:cstheme="minorHAnsi"/>
                <w:sz w:val="20"/>
                <w:szCs w:val="20"/>
              </w:rPr>
            </w:pPr>
            <w:r w:rsidRPr="002C0B8D">
              <w:rPr>
                <w:rFonts w:cstheme="minorHAnsi"/>
                <w:sz w:val="18"/>
                <w:szCs w:val="18"/>
              </w:rPr>
              <w:t xml:space="preserve">RMSEA = Root mean square error of approximation; CFI = Comparative fit index; TLI = Tucker-Lewis index SRMR = Standardized Root Mean Square Residual; Comorbidities = number of comorbidities; </w:t>
            </w:r>
            <w:r w:rsidR="007D7B89">
              <w:rPr>
                <w:rFonts w:cstheme="minorHAnsi"/>
                <w:sz w:val="18"/>
                <w:szCs w:val="18"/>
              </w:rPr>
              <w:t>D</w:t>
            </w:r>
            <w:r w:rsidRPr="002C0B8D">
              <w:rPr>
                <w:rFonts w:cstheme="minorHAnsi"/>
                <w:sz w:val="18"/>
                <w:szCs w:val="18"/>
              </w:rPr>
              <w:t>eprivation = Deprivation index category</w:t>
            </w:r>
            <w:r w:rsidR="007D7B89">
              <w:rPr>
                <w:rFonts w:cstheme="minorHAnsi"/>
                <w:sz w:val="18"/>
                <w:szCs w:val="18"/>
              </w:rPr>
              <w:t xml:space="preserve"> (Quintile).</w:t>
            </w:r>
          </w:p>
        </w:tc>
      </w:tr>
    </w:tbl>
    <w:p w14:paraId="04BA4702" w14:textId="77777777" w:rsidR="00EC1B64" w:rsidRDefault="00EC1B64">
      <w:pPr>
        <w:rPr>
          <w:b/>
          <w:bCs/>
        </w:rPr>
      </w:pPr>
    </w:p>
    <w:p w14:paraId="1F23D922" w14:textId="445D82E7" w:rsidR="000A41E8" w:rsidRPr="004B33C0" w:rsidRDefault="000A41E8" w:rsidP="000A41E8">
      <w:r w:rsidRPr="00F83658">
        <w:rPr>
          <w:b/>
          <w:bCs/>
        </w:rPr>
        <w:t xml:space="preserve">Table </w:t>
      </w:r>
      <w:r w:rsidR="001B6420">
        <w:rPr>
          <w:b/>
          <w:bCs/>
        </w:rPr>
        <w:t>5</w:t>
      </w:r>
      <w:r w:rsidRPr="00F83658">
        <w:rPr>
          <w:b/>
          <w:bCs/>
        </w:rPr>
        <w:t>:</w:t>
      </w:r>
      <w:r>
        <w:t xml:space="preserve">  </w:t>
      </w:r>
      <w:r w:rsidRPr="0085531A">
        <w:rPr>
          <w:b/>
          <w:bCs/>
        </w:rPr>
        <w:t>Metric, scalar and strict invariance across groups</w:t>
      </w:r>
    </w:p>
    <w:tbl>
      <w:tblPr>
        <w:tblStyle w:val="TableGrid"/>
        <w:tblW w:w="9310" w:type="dxa"/>
        <w:jc w:val="center"/>
        <w:tblLook w:val="04A0" w:firstRow="1" w:lastRow="0" w:firstColumn="1" w:lastColumn="0" w:noHBand="0" w:noVBand="1"/>
      </w:tblPr>
      <w:tblGrid>
        <w:gridCol w:w="1422"/>
        <w:gridCol w:w="914"/>
        <w:gridCol w:w="808"/>
        <w:gridCol w:w="869"/>
        <w:gridCol w:w="984"/>
        <w:gridCol w:w="749"/>
        <w:gridCol w:w="869"/>
        <w:gridCol w:w="984"/>
        <w:gridCol w:w="842"/>
        <w:gridCol w:w="869"/>
      </w:tblGrid>
      <w:tr w:rsidR="000A41E8" w:rsidRPr="002C0B8D" w14:paraId="5CD05AEC" w14:textId="77777777" w:rsidTr="00A34DA1">
        <w:trPr>
          <w:trHeight w:val="426"/>
          <w:jc w:val="center"/>
        </w:trPr>
        <w:tc>
          <w:tcPr>
            <w:tcW w:w="1422" w:type="dxa"/>
            <w:shd w:val="clear" w:color="auto" w:fill="DEEAF6" w:themeFill="accent5" w:themeFillTint="33"/>
            <w:noWrap/>
            <w:hideMark/>
          </w:tcPr>
          <w:p w14:paraId="3D4DBB0D" w14:textId="77777777" w:rsidR="000A41E8" w:rsidRPr="002C0B8D" w:rsidRDefault="000A41E8" w:rsidP="00A34DA1">
            <w:pPr>
              <w:rPr>
                <w:rFonts w:eastAsia="Times New Roman" w:cstheme="minorHAnsi"/>
                <w:color w:val="000000"/>
                <w:sz w:val="18"/>
                <w:szCs w:val="18"/>
                <w:lang w:eastAsia="en-GB"/>
              </w:rPr>
            </w:pPr>
          </w:p>
        </w:tc>
        <w:tc>
          <w:tcPr>
            <w:tcW w:w="2591" w:type="dxa"/>
            <w:gridSpan w:val="3"/>
            <w:shd w:val="clear" w:color="auto" w:fill="DEEAF6" w:themeFill="accent5" w:themeFillTint="33"/>
            <w:noWrap/>
            <w:hideMark/>
          </w:tcPr>
          <w:p w14:paraId="6A0DC96C" w14:textId="77777777" w:rsidR="000A41E8" w:rsidRPr="002C0B8D" w:rsidRDefault="000A41E8" w:rsidP="00A34DA1">
            <w:pPr>
              <w:jc w:val="center"/>
              <w:rPr>
                <w:rFonts w:eastAsia="Times New Roman" w:cstheme="minorHAnsi"/>
                <w:b/>
                <w:bCs/>
                <w:color w:val="000000"/>
                <w:sz w:val="18"/>
                <w:szCs w:val="18"/>
                <w:lang w:eastAsia="en-GB"/>
              </w:rPr>
            </w:pPr>
            <w:r w:rsidRPr="002C0B8D">
              <w:rPr>
                <w:rFonts w:eastAsia="Times New Roman" w:cstheme="minorHAnsi"/>
                <w:b/>
                <w:bCs/>
                <w:color w:val="000000"/>
                <w:sz w:val="18"/>
                <w:szCs w:val="18"/>
                <w:lang w:eastAsia="en-GB"/>
              </w:rPr>
              <w:t>Metric</w:t>
            </w:r>
          </w:p>
        </w:tc>
        <w:tc>
          <w:tcPr>
            <w:tcW w:w="2602" w:type="dxa"/>
            <w:gridSpan w:val="3"/>
            <w:shd w:val="clear" w:color="auto" w:fill="DEEAF6" w:themeFill="accent5" w:themeFillTint="33"/>
            <w:noWrap/>
            <w:hideMark/>
          </w:tcPr>
          <w:p w14:paraId="2DF51D0F" w14:textId="77777777" w:rsidR="000A41E8" w:rsidRPr="002C0B8D" w:rsidRDefault="000A41E8" w:rsidP="00A34DA1">
            <w:pPr>
              <w:jc w:val="center"/>
              <w:rPr>
                <w:rFonts w:eastAsia="Times New Roman" w:cstheme="minorHAnsi"/>
                <w:b/>
                <w:bCs/>
                <w:color w:val="000000"/>
                <w:sz w:val="18"/>
                <w:szCs w:val="18"/>
                <w:lang w:eastAsia="en-GB"/>
              </w:rPr>
            </w:pPr>
            <w:r w:rsidRPr="002C0B8D">
              <w:rPr>
                <w:rFonts w:eastAsia="Times New Roman" w:cstheme="minorHAnsi"/>
                <w:b/>
                <w:bCs/>
                <w:color w:val="000000"/>
                <w:sz w:val="18"/>
                <w:szCs w:val="18"/>
                <w:lang w:eastAsia="en-GB"/>
              </w:rPr>
              <w:t>Scalar</w:t>
            </w:r>
          </w:p>
        </w:tc>
        <w:tc>
          <w:tcPr>
            <w:tcW w:w="2695" w:type="dxa"/>
            <w:gridSpan w:val="3"/>
            <w:shd w:val="clear" w:color="auto" w:fill="DEEAF6" w:themeFill="accent5" w:themeFillTint="33"/>
            <w:noWrap/>
            <w:hideMark/>
          </w:tcPr>
          <w:p w14:paraId="2F68A6B6" w14:textId="77777777" w:rsidR="000A41E8" w:rsidRPr="002C0B8D" w:rsidRDefault="000A41E8" w:rsidP="00A34DA1">
            <w:pPr>
              <w:jc w:val="center"/>
              <w:rPr>
                <w:rFonts w:eastAsia="Times New Roman" w:cstheme="minorHAnsi"/>
                <w:b/>
                <w:bCs/>
                <w:color w:val="000000"/>
                <w:sz w:val="18"/>
                <w:szCs w:val="18"/>
                <w:lang w:eastAsia="en-GB"/>
              </w:rPr>
            </w:pPr>
            <w:r w:rsidRPr="002C0B8D">
              <w:rPr>
                <w:rFonts w:eastAsia="Times New Roman" w:cstheme="minorHAnsi"/>
                <w:b/>
                <w:bCs/>
                <w:color w:val="000000"/>
                <w:sz w:val="18"/>
                <w:szCs w:val="18"/>
                <w:lang w:eastAsia="en-GB"/>
              </w:rPr>
              <w:t>Strict</w:t>
            </w:r>
          </w:p>
        </w:tc>
      </w:tr>
      <w:tr w:rsidR="000A41E8" w:rsidRPr="002C0B8D" w14:paraId="662B7942" w14:textId="77777777" w:rsidTr="00A34DA1">
        <w:trPr>
          <w:trHeight w:val="171"/>
          <w:jc w:val="center"/>
        </w:trPr>
        <w:tc>
          <w:tcPr>
            <w:tcW w:w="1422" w:type="dxa"/>
            <w:noWrap/>
            <w:hideMark/>
          </w:tcPr>
          <w:p w14:paraId="403D0286" w14:textId="77777777" w:rsidR="000A41E8" w:rsidRPr="0085531A" w:rsidRDefault="000A41E8" w:rsidP="00A34DA1">
            <w:pPr>
              <w:rPr>
                <w:rFonts w:eastAsia="Times New Roman" w:cstheme="minorHAnsi"/>
                <w:b/>
                <w:bCs/>
                <w:color w:val="000000"/>
                <w:sz w:val="18"/>
                <w:szCs w:val="18"/>
                <w:lang w:eastAsia="en-GB"/>
              </w:rPr>
            </w:pPr>
            <w:r w:rsidRPr="0085531A">
              <w:rPr>
                <w:rFonts w:eastAsia="Times New Roman" w:cstheme="minorHAnsi"/>
                <w:b/>
                <w:bCs/>
                <w:color w:val="000000"/>
                <w:sz w:val="18"/>
                <w:szCs w:val="18"/>
                <w:lang w:eastAsia="en-GB"/>
              </w:rPr>
              <w:t>Grouped by:</w:t>
            </w:r>
          </w:p>
        </w:tc>
        <w:tc>
          <w:tcPr>
            <w:tcW w:w="914" w:type="dxa"/>
            <w:noWrap/>
            <w:hideMark/>
          </w:tcPr>
          <w:p w14:paraId="7F96B301" w14:textId="77777777" w:rsidR="000A41E8" w:rsidRPr="0085531A" w:rsidRDefault="000A41E8" w:rsidP="00A34DA1">
            <w:pPr>
              <w:jc w:val="right"/>
              <w:rPr>
                <w:rFonts w:eastAsia="Times New Roman" w:cstheme="minorHAnsi"/>
                <w:b/>
                <w:bCs/>
                <w:color w:val="000000"/>
                <w:sz w:val="18"/>
                <w:szCs w:val="18"/>
                <w:lang w:eastAsia="en-GB"/>
              </w:rPr>
            </w:pPr>
            <w:r w:rsidRPr="0085531A">
              <w:rPr>
                <w:rFonts w:eastAsia="Times New Roman" w:cstheme="minorHAnsi"/>
                <w:b/>
                <w:bCs/>
                <w:color w:val="000000"/>
                <w:sz w:val="18"/>
                <w:szCs w:val="18"/>
                <w:lang w:eastAsia="en-GB"/>
              </w:rPr>
              <w:t>∆RMSEA</w:t>
            </w:r>
          </w:p>
        </w:tc>
        <w:tc>
          <w:tcPr>
            <w:tcW w:w="808" w:type="dxa"/>
            <w:noWrap/>
            <w:hideMark/>
          </w:tcPr>
          <w:p w14:paraId="535E35E2" w14:textId="77777777" w:rsidR="000A41E8" w:rsidRPr="0085531A" w:rsidRDefault="000A41E8" w:rsidP="00A34DA1">
            <w:pPr>
              <w:jc w:val="right"/>
              <w:rPr>
                <w:rFonts w:eastAsia="Times New Roman" w:cstheme="minorHAnsi"/>
                <w:b/>
                <w:bCs/>
                <w:color w:val="000000"/>
                <w:sz w:val="18"/>
                <w:szCs w:val="18"/>
                <w:lang w:eastAsia="en-GB"/>
              </w:rPr>
            </w:pPr>
            <w:r w:rsidRPr="0085531A">
              <w:rPr>
                <w:rFonts w:eastAsia="Times New Roman" w:cstheme="minorHAnsi"/>
                <w:b/>
                <w:bCs/>
                <w:color w:val="000000"/>
                <w:sz w:val="18"/>
                <w:szCs w:val="18"/>
                <w:lang w:eastAsia="en-GB"/>
              </w:rPr>
              <w:t>∆CFI</w:t>
            </w:r>
          </w:p>
        </w:tc>
        <w:tc>
          <w:tcPr>
            <w:tcW w:w="869" w:type="dxa"/>
            <w:noWrap/>
            <w:hideMark/>
          </w:tcPr>
          <w:p w14:paraId="6045F724" w14:textId="77777777" w:rsidR="000A41E8" w:rsidRPr="0085531A" w:rsidRDefault="000A41E8" w:rsidP="00A34DA1">
            <w:pPr>
              <w:jc w:val="right"/>
              <w:rPr>
                <w:rFonts w:eastAsia="Times New Roman" w:cstheme="minorHAnsi"/>
                <w:b/>
                <w:bCs/>
                <w:color w:val="000000"/>
                <w:sz w:val="18"/>
                <w:szCs w:val="18"/>
                <w:lang w:eastAsia="en-GB"/>
              </w:rPr>
            </w:pPr>
            <w:r w:rsidRPr="0085531A">
              <w:rPr>
                <w:rFonts w:eastAsia="Times New Roman" w:cstheme="minorHAnsi"/>
                <w:b/>
                <w:bCs/>
                <w:color w:val="000000"/>
                <w:sz w:val="18"/>
                <w:szCs w:val="18"/>
                <w:lang w:eastAsia="en-GB"/>
              </w:rPr>
              <w:t>∆SRMR</w:t>
            </w:r>
          </w:p>
        </w:tc>
        <w:tc>
          <w:tcPr>
            <w:tcW w:w="984" w:type="dxa"/>
            <w:noWrap/>
            <w:hideMark/>
          </w:tcPr>
          <w:p w14:paraId="77270A53" w14:textId="77777777" w:rsidR="000A41E8" w:rsidRPr="0085531A" w:rsidRDefault="000A41E8" w:rsidP="00A34DA1">
            <w:pPr>
              <w:jc w:val="right"/>
              <w:rPr>
                <w:rFonts w:eastAsia="Times New Roman" w:cstheme="minorHAnsi"/>
                <w:b/>
                <w:bCs/>
                <w:color w:val="000000"/>
                <w:sz w:val="18"/>
                <w:szCs w:val="18"/>
                <w:lang w:eastAsia="en-GB"/>
              </w:rPr>
            </w:pPr>
            <w:r w:rsidRPr="0085531A">
              <w:rPr>
                <w:rFonts w:eastAsia="Times New Roman" w:cstheme="minorHAnsi"/>
                <w:b/>
                <w:bCs/>
                <w:color w:val="000000"/>
                <w:sz w:val="18"/>
                <w:szCs w:val="18"/>
                <w:lang w:eastAsia="en-GB"/>
              </w:rPr>
              <w:t>∆RMSEA</w:t>
            </w:r>
          </w:p>
        </w:tc>
        <w:tc>
          <w:tcPr>
            <w:tcW w:w="749" w:type="dxa"/>
            <w:noWrap/>
            <w:hideMark/>
          </w:tcPr>
          <w:p w14:paraId="2FC401B9" w14:textId="77777777" w:rsidR="000A41E8" w:rsidRPr="0085531A" w:rsidRDefault="000A41E8" w:rsidP="00A34DA1">
            <w:pPr>
              <w:jc w:val="right"/>
              <w:rPr>
                <w:rFonts w:eastAsia="Times New Roman" w:cstheme="minorHAnsi"/>
                <w:b/>
                <w:bCs/>
                <w:color w:val="000000"/>
                <w:sz w:val="18"/>
                <w:szCs w:val="18"/>
                <w:lang w:eastAsia="en-GB"/>
              </w:rPr>
            </w:pPr>
            <w:r w:rsidRPr="0085531A">
              <w:rPr>
                <w:rFonts w:eastAsia="Times New Roman" w:cstheme="minorHAnsi"/>
                <w:b/>
                <w:bCs/>
                <w:color w:val="000000"/>
                <w:sz w:val="18"/>
                <w:szCs w:val="18"/>
                <w:lang w:eastAsia="en-GB"/>
              </w:rPr>
              <w:t>∆CFI</w:t>
            </w:r>
          </w:p>
        </w:tc>
        <w:tc>
          <w:tcPr>
            <w:tcW w:w="869" w:type="dxa"/>
            <w:noWrap/>
            <w:hideMark/>
          </w:tcPr>
          <w:p w14:paraId="0D82DB85" w14:textId="77777777" w:rsidR="000A41E8" w:rsidRPr="0085531A" w:rsidRDefault="000A41E8" w:rsidP="00A34DA1">
            <w:pPr>
              <w:jc w:val="right"/>
              <w:rPr>
                <w:rFonts w:eastAsia="Times New Roman" w:cstheme="minorHAnsi"/>
                <w:b/>
                <w:bCs/>
                <w:color w:val="000000"/>
                <w:sz w:val="18"/>
                <w:szCs w:val="18"/>
                <w:lang w:eastAsia="en-GB"/>
              </w:rPr>
            </w:pPr>
            <w:r w:rsidRPr="0085531A">
              <w:rPr>
                <w:rFonts w:eastAsia="Times New Roman" w:cstheme="minorHAnsi"/>
                <w:b/>
                <w:bCs/>
                <w:color w:val="000000"/>
                <w:sz w:val="18"/>
                <w:szCs w:val="18"/>
                <w:lang w:eastAsia="en-GB"/>
              </w:rPr>
              <w:t>∆SRMR</w:t>
            </w:r>
          </w:p>
        </w:tc>
        <w:tc>
          <w:tcPr>
            <w:tcW w:w="984" w:type="dxa"/>
            <w:noWrap/>
            <w:hideMark/>
          </w:tcPr>
          <w:p w14:paraId="702C3177" w14:textId="77777777" w:rsidR="000A41E8" w:rsidRPr="0085531A" w:rsidRDefault="000A41E8" w:rsidP="00A34DA1">
            <w:pPr>
              <w:jc w:val="right"/>
              <w:rPr>
                <w:rFonts w:eastAsia="Times New Roman" w:cstheme="minorHAnsi"/>
                <w:b/>
                <w:bCs/>
                <w:color w:val="000000"/>
                <w:sz w:val="18"/>
                <w:szCs w:val="18"/>
                <w:lang w:eastAsia="en-GB"/>
              </w:rPr>
            </w:pPr>
            <w:r w:rsidRPr="0085531A">
              <w:rPr>
                <w:rFonts w:eastAsia="Times New Roman" w:cstheme="minorHAnsi"/>
                <w:b/>
                <w:bCs/>
                <w:color w:val="000000"/>
                <w:sz w:val="18"/>
                <w:szCs w:val="18"/>
                <w:lang w:eastAsia="en-GB"/>
              </w:rPr>
              <w:t>∆RMSEA</w:t>
            </w:r>
          </w:p>
        </w:tc>
        <w:tc>
          <w:tcPr>
            <w:tcW w:w="842" w:type="dxa"/>
            <w:noWrap/>
            <w:hideMark/>
          </w:tcPr>
          <w:p w14:paraId="6A728C40" w14:textId="77777777" w:rsidR="000A41E8" w:rsidRPr="0085531A" w:rsidRDefault="000A41E8" w:rsidP="00A34DA1">
            <w:pPr>
              <w:jc w:val="right"/>
              <w:rPr>
                <w:rFonts w:eastAsia="Times New Roman" w:cstheme="minorHAnsi"/>
                <w:b/>
                <w:bCs/>
                <w:color w:val="000000"/>
                <w:sz w:val="18"/>
                <w:szCs w:val="18"/>
                <w:lang w:eastAsia="en-GB"/>
              </w:rPr>
            </w:pPr>
            <w:r w:rsidRPr="0085531A">
              <w:rPr>
                <w:rFonts w:eastAsia="Times New Roman" w:cstheme="minorHAnsi"/>
                <w:b/>
                <w:bCs/>
                <w:color w:val="000000"/>
                <w:sz w:val="18"/>
                <w:szCs w:val="18"/>
                <w:lang w:eastAsia="en-GB"/>
              </w:rPr>
              <w:t>∆CFI</w:t>
            </w:r>
          </w:p>
        </w:tc>
        <w:tc>
          <w:tcPr>
            <w:tcW w:w="869" w:type="dxa"/>
            <w:noWrap/>
            <w:hideMark/>
          </w:tcPr>
          <w:p w14:paraId="477B745A" w14:textId="77777777" w:rsidR="000A41E8" w:rsidRPr="0085531A" w:rsidRDefault="000A41E8" w:rsidP="00A34DA1">
            <w:pPr>
              <w:jc w:val="right"/>
              <w:rPr>
                <w:rFonts w:eastAsia="Times New Roman" w:cstheme="minorHAnsi"/>
                <w:b/>
                <w:bCs/>
                <w:color w:val="000000"/>
                <w:sz w:val="18"/>
                <w:szCs w:val="18"/>
                <w:lang w:eastAsia="en-GB"/>
              </w:rPr>
            </w:pPr>
            <w:r w:rsidRPr="0085531A">
              <w:rPr>
                <w:rFonts w:eastAsia="Times New Roman" w:cstheme="minorHAnsi"/>
                <w:b/>
                <w:bCs/>
                <w:color w:val="000000"/>
                <w:sz w:val="18"/>
                <w:szCs w:val="18"/>
                <w:lang w:eastAsia="en-GB"/>
              </w:rPr>
              <w:t>∆SRMR</w:t>
            </w:r>
          </w:p>
        </w:tc>
      </w:tr>
      <w:tr w:rsidR="000A41E8" w:rsidRPr="002C0B8D" w14:paraId="2AE5CAC8" w14:textId="77777777" w:rsidTr="00A34DA1">
        <w:trPr>
          <w:trHeight w:val="171"/>
          <w:jc w:val="center"/>
        </w:trPr>
        <w:tc>
          <w:tcPr>
            <w:tcW w:w="1422" w:type="dxa"/>
            <w:noWrap/>
            <w:hideMark/>
          </w:tcPr>
          <w:p w14:paraId="2CD7CDA4" w14:textId="77777777" w:rsidR="000A41E8" w:rsidRPr="001B18D4" w:rsidRDefault="000A41E8" w:rsidP="00A34DA1">
            <w:pPr>
              <w:rPr>
                <w:rFonts w:eastAsia="Times New Roman" w:cstheme="minorHAnsi"/>
                <w:color w:val="000000"/>
                <w:sz w:val="18"/>
                <w:szCs w:val="18"/>
                <w:lang w:eastAsia="en-GB"/>
              </w:rPr>
            </w:pPr>
            <w:r w:rsidRPr="001B18D4">
              <w:rPr>
                <w:rFonts w:eastAsia="Times New Roman" w:cstheme="minorHAnsi"/>
                <w:color w:val="000000"/>
                <w:sz w:val="18"/>
                <w:szCs w:val="18"/>
                <w:lang w:eastAsia="en-GB"/>
              </w:rPr>
              <w:t>Diagnosis</w:t>
            </w:r>
          </w:p>
        </w:tc>
        <w:tc>
          <w:tcPr>
            <w:tcW w:w="914" w:type="dxa"/>
            <w:noWrap/>
            <w:hideMark/>
          </w:tcPr>
          <w:p w14:paraId="6DF8DF4C"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-0.001</w:t>
            </w:r>
          </w:p>
        </w:tc>
        <w:tc>
          <w:tcPr>
            <w:tcW w:w="808" w:type="dxa"/>
            <w:noWrap/>
            <w:hideMark/>
          </w:tcPr>
          <w:p w14:paraId="7F9B54D3"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-0.001</w:t>
            </w:r>
          </w:p>
        </w:tc>
        <w:tc>
          <w:tcPr>
            <w:tcW w:w="869" w:type="dxa"/>
            <w:noWrap/>
            <w:hideMark/>
          </w:tcPr>
          <w:p w14:paraId="05122A5A"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0.001</w:t>
            </w:r>
          </w:p>
        </w:tc>
        <w:tc>
          <w:tcPr>
            <w:tcW w:w="984" w:type="dxa"/>
            <w:noWrap/>
            <w:hideMark/>
          </w:tcPr>
          <w:p w14:paraId="24EF7060"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-0.001</w:t>
            </w:r>
          </w:p>
        </w:tc>
        <w:tc>
          <w:tcPr>
            <w:tcW w:w="749" w:type="dxa"/>
            <w:noWrap/>
            <w:hideMark/>
          </w:tcPr>
          <w:p w14:paraId="10B6D6C3"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-0.001</w:t>
            </w:r>
          </w:p>
        </w:tc>
        <w:tc>
          <w:tcPr>
            <w:tcW w:w="869" w:type="dxa"/>
            <w:noWrap/>
            <w:hideMark/>
          </w:tcPr>
          <w:p w14:paraId="5159C00B"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0.002</w:t>
            </w:r>
          </w:p>
        </w:tc>
        <w:tc>
          <w:tcPr>
            <w:tcW w:w="984" w:type="dxa"/>
            <w:noWrap/>
            <w:hideMark/>
          </w:tcPr>
          <w:p w14:paraId="7B295197"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0.01</w:t>
            </w:r>
          </w:p>
        </w:tc>
        <w:tc>
          <w:tcPr>
            <w:tcW w:w="842" w:type="dxa"/>
            <w:noWrap/>
            <w:hideMark/>
          </w:tcPr>
          <w:p w14:paraId="7B2C07C3"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-0.008</w:t>
            </w:r>
          </w:p>
        </w:tc>
        <w:tc>
          <w:tcPr>
            <w:tcW w:w="869" w:type="dxa"/>
            <w:noWrap/>
            <w:hideMark/>
          </w:tcPr>
          <w:p w14:paraId="6332B20F"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0.009</w:t>
            </w:r>
          </w:p>
        </w:tc>
      </w:tr>
      <w:tr w:rsidR="000A41E8" w:rsidRPr="002C0B8D" w14:paraId="6FFAAEC5" w14:textId="77777777" w:rsidTr="00A34DA1">
        <w:trPr>
          <w:trHeight w:val="171"/>
          <w:jc w:val="center"/>
        </w:trPr>
        <w:tc>
          <w:tcPr>
            <w:tcW w:w="1422" w:type="dxa"/>
            <w:noWrap/>
            <w:hideMark/>
          </w:tcPr>
          <w:p w14:paraId="4CA1329F" w14:textId="77777777" w:rsidR="000A41E8" w:rsidRPr="001B18D4" w:rsidRDefault="000A41E8" w:rsidP="00A34DA1">
            <w:pPr>
              <w:rPr>
                <w:rFonts w:eastAsia="Times New Roman" w:cstheme="minorHAnsi"/>
                <w:color w:val="000000"/>
                <w:sz w:val="18"/>
                <w:szCs w:val="18"/>
                <w:lang w:eastAsia="en-GB"/>
              </w:rPr>
            </w:pPr>
            <w:r w:rsidRPr="001B18D4">
              <w:rPr>
                <w:rFonts w:eastAsia="Times New Roman" w:cstheme="minorHAnsi"/>
                <w:color w:val="000000"/>
                <w:sz w:val="18"/>
                <w:szCs w:val="18"/>
                <w:lang w:eastAsia="en-GB"/>
              </w:rPr>
              <w:t>Gender</w:t>
            </w:r>
          </w:p>
        </w:tc>
        <w:tc>
          <w:tcPr>
            <w:tcW w:w="914" w:type="dxa"/>
            <w:noWrap/>
            <w:hideMark/>
          </w:tcPr>
          <w:p w14:paraId="5F1FE10A"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0.004</w:t>
            </w:r>
          </w:p>
        </w:tc>
        <w:tc>
          <w:tcPr>
            <w:tcW w:w="808" w:type="dxa"/>
            <w:noWrap/>
            <w:hideMark/>
          </w:tcPr>
          <w:p w14:paraId="65093052"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-0.003</w:t>
            </w:r>
          </w:p>
        </w:tc>
        <w:tc>
          <w:tcPr>
            <w:tcW w:w="869" w:type="dxa"/>
            <w:noWrap/>
            <w:hideMark/>
          </w:tcPr>
          <w:p w14:paraId="2C8FA503"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0.004</w:t>
            </w:r>
          </w:p>
        </w:tc>
        <w:tc>
          <w:tcPr>
            <w:tcW w:w="984" w:type="dxa"/>
            <w:noWrap/>
            <w:hideMark/>
          </w:tcPr>
          <w:p w14:paraId="1DBA3B29"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0.001</w:t>
            </w:r>
          </w:p>
        </w:tc>
        <w:tc>
          <w:tcPr>
            <w:tcW w:w="749" w:type="dxa"/>
            <w:noWrap/>
            <w:hideMark/>
          </w:tcPr>
          <w:p w14:paraId="0C7C49EC"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-0.002</w:t>
            </w:r>
          </w:p>
        </w:tc>
        <w:tc>
          <w:tcPr>
            <w:tcW w:w="869" w:type="dxa"/>
            <w:noWrap/>
            <w:hideMark/>
          </w:tcPr>
          <w:p w14:paraId="172C94CA"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0.003</w:t>
            </w:r>
          </w:p>
        </w:tc>
        <w:tc>
          <w:tcPr>
            <w:tcW w:w="984" w:type="dxa"/>
            <w:noWrap/>
            <w:hideMark/>
          </w:tcPr>
          <w:p w14:paraId="2454C9C0"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0.011</w:t>
            </w:r>
          </w:p>
        </w:tc>
        <w:tc>
          <w:tcPr>
            <w:tcW w:w="842" w:type="dxa"/>
            <w:noWrap/>
            <w:hideMark/>
          </w:tcPr>
          <w:p w14:paraId="63CC7F59"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-0.010</w:t>
            </w:r>
          </w:p>
        </w:tc>
        <w:tc>
          <w:tcPr>
            <w:tcW w:w="869" w:type="dxa"/>
            <w:noWrap/>
            <w:hideMark/>
          </w:tcPr>
          <w:p w14:paraId="373E66CE"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0.011</w:t>
            </w:r>
          </w:p>
        </w:tc>
      </w:tr>
      <w:tr w:rsidR="000A41E8" w:rsidRPr="002C0B8D" w14:paraId="285A75B4" w14:textId="77777777" w:rsidTr="00A34DA1">
        <w:trPr>
          <w:trHeight w:val="171"/>
          <w:jc w:val="center"/>
        </w:trPr>
        <w:tc>
          <w:tcPr>
            <w:tcW w:w="1422" w:type="dxa"/>
            <w:noWrap/>
            <w:hideMark/>
          </w:tcPr>
          <w:p w14:paraId="7F0FB5C5" w14:textId="77777777" w:rsidR="000A41E8" w:rsidRPr="001B18D4" w:rsidRDefault="000A41E8" w:rsidP="00A34DA1">
            <w:pPr>
              <w:rPr>
                <w:rFonts w:eastAsia="Times New Roman" w:cstheme="minorHAnsi"/>
                <w:color w:val="000000"/>
                <w:sz w:val="18"/>
                <w:szCs w:val="18"/>
                <w:lang w:eastAsia="en-GB"/>
              </w:rPr>
            </w:pPr>
            <w:r w:rsidRPr="001B18D4">
              <w:rPr>
                <w:rFonts w:eastAsia="Times New Roman" w:cstheme="minorHAnsi"/>
                <w:color w:val="000000"/>
                <w:sz w:val="18"/>
                <w:szCs w:val="18"/>
                <w:lang w:eastAsia="en-GB"/>
              </w:rPr>
              <w:t>Age category</w:t>
            </w:r>
          </w:p>
        </w:tc>
        <w:tc>
          <w:tcPr>
            <w:tcW w:w="914" w:type="dxa"/>
            <w:noWrap/>
            <w:hideMark/>
          </w:tcPr>
          <w:p w14:paraId="18BD50A9"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0.002</w:t>
            </w:r>
          </w:p>
        </w:tc>
        <w:tc>
          <w:tcPr>
            <w:tcW w:w="808" w:type="dxa"/>
            <w:noWrap/>
            <w:hideMark/>
          </w:tcPr>
          <w:p w14:paraId="31CC343E"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-0.002</w:t>
            </w:r>
          </w:p>
        </w:tc>
        <w:tc>
          <w:tcPr>
            <w:tcW w:w="869" w:type="dxa"/>
            <w:noWrap/>
            <w:hideMark/>
          </w:tcPr>
          <w:p w14:paraId="01FD07FE"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0.003</w:t>
            </w:r>
          </w:p>
        </w:tc>
        <w:tc>
          <w:tcPr>
            <w:tcW w:w="984" w:type="dxa"/>
            <w:noWrap/>
            <w:hideMark/>
          </w:tcPr>
          <w:p w14:paraId="63284A1A"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-0.002</w:t>
            </w:r>
          </w:p>
        </w:tc>
        <w:tc>
          <w:tcPr>
            <w:tcW w:w="749" w:type="dxa"/>
            <w:noWrap/>
            <w:hideMark/>
          </w:tcPr>
          <w:p w14:paraId="1BAFB572"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0.000</w:t>
            </w:r>
          </w:p>
        </w:tc>
        <w:tc>
          <w:tcPr>
            <w:tcW w:w="869" w:type="dxa"/>
            <w:noWrap/>
            <w:hideMark/>
          </w:tcPr>
          <w:p w14:paraId="3ED09368"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0.001</w:t>
            </w:r>
          </w:p>
        </w:tc>
        <w:tc>
          <w:tcPr>
            <w:tcW w:w="984" w:type="dxa"/>
            <w:noWrap/>
            <w:hideMark/>
          </w:tcPr>
          <w:p w14:paraId="62B3D113"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0.003</w:t>
            </w:r>
          </w:p>
        </w:tc>
        <w:tc>
          <w:tcPr>
            <w:tcW w:w="842" w:type="dxa"/>
            <w:noWrap/>
            <w:hideMark/>
          </w:tcPr>
          <w:p w14:paraId="2768AD01"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-0.003</w:t>
            </w:r>
          </w:p>
        </w:tc>
        <w:tc>
          <w:tcPr>
            <w:tcW w:w="869" w:type="dxa"/>
            <w:noWrap/>
            <w:hideMark/>
          </w:tcPr>
          <w:p w14:paraId="75C1D6CD"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0.007</w:t>
            </w:r>
          </w:p>
        </w:tc>
      </w:tr>
      <w:tr w:rsidR="000A41E8" w:rsidRPr="002C0B8D" w14:paraId="70AEA271" w14:textId="77777777" w:rsidTr="00A34DA1">
        <w:trPr>
          <w:trHeight w:val="171"/>
          <w:jc w:val="center"/>
        </w:trPr>
        <w:tc>
          <w:tcPr>
            <w:tcW w:w="1422" w:type="dxa"/>
            <w:noWrap/>
            <w:hideMark/>
          </w:tcPr>
          <w:p w14:paraId="31623E5A" w14:textId="77777777" w:rsidR="000A41E8" w:rsidRPr="001B18D4" w:rsidRDefault="000A41E8" w:rsidP="00A34DA1">
            <w:pPr>
              <w:rPr>
                <w:rFonts w:eastAsia="Times New Roman" w:cstheme="minorHAnsi"/>
                <w:color w:val="000000"/>
                <w:sz w:val="18"/>
                <w:szCs w:val="18"/>
                <w:lang w:eastAsia="en-GB"/>
              </w:rPr>
            </w:pPr>
            <w:r w:rsidRPr="001B18D4">
              <w:rPr>
                <w:rFonts w:eastAsia="Times New Roman" w:cstheme="minorHAnsi"/>
                <w:color w:val="000000"/>
                <w:sz w:val="18"/>
                <w:szCs w:val="18"/>
                <w:lang w:eastAsia="en-GB"/>
              </w:rPr>
              <w:t>Comorbidities</w:t>
            </w:r>
          </w:p>
        </w:tc>
        <w:tc>
          <w:tcPr>
            <w:tcW w:w="914" w:type="dxa"/>
            <w:noWrap/>
            <w:hideMark/>
          </w:tcPr>
          <w:p w14:paraId="20FED2DF"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-0.002</w:t>
            </w:r>
          </w:p>
        </w:tc>
        <w:tc>
          <w:tcPr>
            <w:tcW w:w="808" w:type="dxa"/>
            <w:noWrap/>
            <w:hideMark/>
          </w:tcPr>
          <w:p w14:paraId="6AEC761F"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0.000</w:t>
            </w:r>
          </w:p>
        </w:tc>
        <w:tc>
          <w:tcPr>
            <w:tcW w:w="869" w:type="dxa"/>
            <w:noWrap/>
            <w:hideMark/>
          </w:tcPr>
          <w:p w14:paraId="0C7C7D8C"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0.001</w:t>
            </w:r>
          </w:p>
        </w:tc>
        <w:tc>
          <w:tcPr>
            <w:tcW w:w="984" w:type="dxa"/>
            <w:noWrap/>
            <w:hideMark/>
          </w:tcPr>
          <w:p w14:paraId="1EE9281F"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-0.001</w:t>
            </w:r>
          </w:p>
        </w:tc>
        <w:tc>
          <w:tcPr>
            <w:tcW w:w="749" w:type="dxa"/>
            <w:noWrap/>
            <w:hideMark/>
          </w:tcPr>
          <w:p w14:paraId="71B4F2F1"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0.000</w:t>
            </w:r>
          </w:p>
        </w:tc>
        <w:tc>
          <w:tcPr>
            <w:tcW w:w="869" w:type="dxa"/>
            <w:noWrap/>
            <w:hideMark/>
          </w:tcPr>
          <w:p w14:paraId="45D904E8"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0.001</w:t>
            </w:r>
          </w:p>
        </w:tc>
        <w:tc>
          <w:tcPr>
            <w:tcW w:w="984" w:type="dxa"/>
            <w:noWrap/>
            <w:hideMark/>
          </w:tcPr>
          <w:p w14:paraId="319E0DC7"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0.000</w:t>
            </w:r>
          </w:p>
        </w:tc>
        <w:tc>
          <w:tcPr>
            <w:tcW w:w="842" w:type="dxa"/>
            <w:noWrap/>
            <w:hideMark/>
          </w:tcPr>
          <w:p w14:paraId="17834870"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-0.001</w:t>
            </w:r>
          </w:p>
        </w:tc>
        <w:tc>
          <w:tcPr>
            <w:tcW w:w="869" w:type="dxa"/>
            <w:noWrap/>
            <w:hideMark/>
          </w:tcPr>
          <w:p w14:paraId="227EAC8F"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0.001</w:t>
            </w:r>
          </w:p>
        </w:tc>
      </w:tr>
      <w:tr w:rsidR="000A41E8" w:rsidRPr="002C0B8D" w14:paraId="531D9493" w14:textId="77777777" w:rsidTr="00A34DA1">
        <w:trPr>
          <w:trHeight w:val="171"/>
          <w:jc w:val="center"/>
        </w:trPr>
        <w:tc>
          <w:tcPr>
            <w:tcW w:w="1422" w:type="dxa"/>
            <w:noWrap/>
            <w:hideMark/>
          </w:tcPr>
          <w:p w14:paraId="769AC79A" w14:textId="77777777" w:rsidR="000A41E8" w:rsidRPr="001B18D4" w:rsidRDefault="000A41E8" w:rsidP="00A34DA1">
            <w:pPr>
              <w:rPr>
                <w:rFonts w:eastAsia="Times New Roman" w:cstheme="minorHAnsi"/>
                <w:color w:val="000000"/>
                <w:sz w:val="18"/>
                <w:szCs w:val="18"/>
                <w:lang w:eastAsia="en-GB"/>
              </w:rPr>
            </w:pPr>
            <w:r w:rsidRPr="001B18D4">
              <w:rPr>
                <w:rFonts w:eastAsia="Times New Roman" w:cstheme="minorHAnsi"/>
                <w:color w:val="000000"/>
                <w:sz w:val="18"/>
                <w:szCs w:val="18"/>
                <w:lang w:eastAsia="en-GB"/>
              </w:rPr>
              <w:t>Deprivation</w:t>
            </w:r>
          </w:p>
        </w:tc>
        <w:tc>
          <w:tcPr>
            <w:tcW w:w="914" w:type="dxa"/>
            <w:noWrap/>
            <w:hideMark/>
          </w:tcPr>
          <w:p w14:paraId="2AE85735"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0.003</w:t>
            </w:r>
          </w:p>
        </w:tc>
        <w:tc>
          <w:tcPr>
            <w:tcW w:w="808" w:type="dxa"/>
            <w:noWrap/>
            <w:hideMark/>
          </w:tcPr>
          <w:p w14:paraId="2E665443"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-0.002</w:t>
            </w:r>
          </w:p>
        </w:tc>
        <w:tc>
          <w:tcPr>
            <w:tcW w:w="869" w:type="dxa"/>
            <w:noWrap/>
            <w:hideMark/>
          </w:tcPr>
          <w:p w14:paraId="26BB572C"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0.003</w:t>
            </w:r>
          </w:p>
        </w:tc>
        <w:tc>
          <w:tcPr>
            <w:tcW w:w="984" w:type="dxa"/>
            <w:noWrap/>
            <w:hideMark/>
          </w:tcPr>
          <w:p w14:paraId="7C0BFBBD"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-0.002</w:t>
            </w:r>
          </w:p>
        </w:tc>
        <w:tc>
          <w:tcPr>
            <w:tcW w:w="749" w:type="dxa"/>
            <w:noWrap/>
            <w:hideMark/>
          </w:tcPr>
          <w:p w14:paraId="72C569CF"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0.000</w:t>
            </w:r>
          </w:p>
        </w:tc>
        <w:tc>
          <w:tcPr>
            <w:tcW w:w="869" w:type="dxa"/>
            <w:noWrap/>
            <w:hideMark/>
          </w:tcPr>
          <w:p w14:paraId="1A7916A0"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0.000</w:t>
            </w:r>
          </w:p>
        </w:tc>
        <w:tc>
          <w:tcPr>
            <w:tcW w:w="984" w:type="dxa"/>
            <w:noWrap/>
            <w:hideMark/>
          </w:tcPr>
          <w:p w14:paraId="3265A54F"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0.010</w:t>
            </w:r>
          </w:p>
        </w:tc>
        <w:tc>
          <w:tcPr>
            <w:tcW w:w="842" w:type="dxa"/>
            <w:noWrap/>
            <w:hideMark/>
          </w:tcPr>
          <w:p w14:paraId="00838F7C"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-0.007</w:t>
            </w:r>
          </w:p>
        </w:tc>
        <w:tc>
          <w:tcPr>
            <w:tcW w:w="869" w:type="dxa"/>
            <w:noWrap/>
            <w:hideMark/>
          </w:tcPr>
          <w:p w14:paraId="52243BF9" w14:textId="77777777" w:rsidR="000A41E8" w:rsidRPr="002C0B8D" w:rsidRDefault="000A41E8" w:rsidP="00A34DA1">
            <w:pPr>
              <w:jc w:val="right"/>
              <w:rPr>
                <w:rFonts w:eastAsia="Times New Roman" w:cstheme="minorHAnsi"/>
                <w:color w:val="000000"/>
                <w:sz w:val="18"/>
                <w:szCs w:val="18"/>
                <w:lang w:eastAsia="en-GB"/>
              </w:rPr>
            </w:pPr>
            <w:r w:rsidRPr="002C0B8D">
              <w:rPr>
                <w:rFonts w:eastAsia="Times New Roman" w:cstheme="minorHAnsi"/>
                <w:color w:val="000000"/>
                <w:sz w:val="18"/>
                <w:szCs w:val="18"/>
                <w:lang w:eastAsia="en-GB"/>
              </w:rPr>
              <w:t>0.009</w:t>
            </w:r>
          </w:p>
        </w:tc>
      </w:tr>
    </w:tbl>
    <w:p w14:paraId="6A6F8EAF" w14:textId="3A3C1265" w:rsidR="00DD6A08" w:rsidRDefault="000A41E8">
      <w:pPr>
        <w:rPr>
          <w:b/>
          <w:bCs/>
        </w:rPr>
      </w:pPr>
      <w:r w:rsidRPr="0085531A">
        <w:rPr>
          <w:sz w:val="18"/>
          <w:szCs w:val="18"/>
        </w:rPr>
        <w:t>RMSEA = Root mean square error of approximation; CFI = Comparative fit index; SRMR = Standardized Root Mean Square Residual; Comorbidities = number of comorbidities; deprivation = Deprivation index category</w:t>
      </w:r>
      <w:r w:rsidR="007D7B89">
        <w:rPr>
          <w:sz w:val="18"/>
          <w:szCs w:val="18"/>
        </w:rPr>
        <w:t xml:space="preserve"> (Quintile).</w:t>
      </w:r>
    </w:p>
    <w:p w14:paraId="7FC92CB4" w14:textId="3389A776" w:rsidR="00DD6A08" w:rsidRPr="00DD6A08" w:rsidRDefault="00DD6A08" w:rsidP="00DD6A08">
      <w:pPr>
        <w:jc w:val="both"/>
        <w:rPr>
          <w:sz w:val="20"/>
          <w:szCs w:val="20"/>
        </w:rPr>
      </w:pPr>
      <w:r w:rsidRPr="00DD6A08">
        <w:rPr>
          <w:b/>
          <w:bCs/>
          <w:noProof/>
        </w:rPr>
        <w:lastRenderedPageBreak/>
        <w:drawing>
          <wp:inline distT="0" distB="0" distL="0" distR="0" wp14:anchorId="54978054" wp14:editId="0BEB5B5D">
            <wp:extent cx="5943600" cy="2011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011680"/>
                    </a:xfrm>
                    <a:prstGeom prst="rect">
                      <a:avLst/>
                    </a:prstGeom>
                  </pic:spPr>
                </pic:pic>
              </a:graphicData>
            </a:graphic>
          </wp:inline>
        </w:drawing>
      </w:r>
      <w:r w:rsidRPr="00DD6A08">
        <w:rPr>
          <w:b/>
          <w:bCs/>
          <w:sz w:val="20"/>
          <w:szCs w:val="20"/>
        </w:rPr>
        <w:t xml:space="preserve">Figure 1:  Distribution of responses to individual question items of the IBD-Control-8 among </w:t>
      </w:r>
      <w:r w:rsidR="0068177E">
        <w:rPr>
          <w:b/>
          <w:bCs/>
          <w:sz w:val="20"/>
          <w:szCs w:val="20"/>
        </w:rPr>
        <w:t>7,33</w:t>
      </w:r>
      <w:r w:rsidR="00FE54C9">
        <w:rPr>
          <w:b/>
          <w:bCs/>
          <w:sz w:val="20"/>
          <w:szCs w:val="20"/>
        </w:rPr>
        <w:t>7</w:t>
      </w:r>
      <w:r w:rsidR="0068177E">
        <w:rPr>
          <w:b/>
          <w:bCs/>
          <w:sz w:val="20"/>
          <w:szCs w:val="20"/>
        </w:rPr>
        <w:t xml:space="preserve"> </w:t>
      </w:r>
      <w:r>
        <w:rPr>
          <w:b/>
          <w:bCs/>
          <w:sz w:val="20"/>
          <w:szCs w:val="20"/>
        </w:rPr>
        <w:t xml:space="preserve">survey </w:t>
      </w:r>
      <w:r w:rsidRPr="00DD6A08">
        <w:rPr>
          <w:b/>
          <w:bCs/>
          <w:sz w:val="20"/>
          <w:szCs w:val="20"/>
        </w:rPr>
        <w:t xml:space="preserve">respondents.  </w:t>
      </w:r>
      <w:r w:rsidRPr="00DD6A08">
        <w:rPr>
          <w:sz w:val="20"/>
          <w:szCs w:val="20"/>
        </w:rPr>
        <w:t>Overall (</w:t>
      </w:r>
      <w:r w:rsidRPr="00DD6A08">
        <w:rPr>
          <w:b/>
          <w:bCs/>
          <w:sz w:val="20"/>
          <w:szCs w:val="20"/>
        </w:rPr>
        <w:t>Total</w:t>
      </w:r>
      <w:r w:rsidRPr="00DD6A08">
        <w:rPr>
          <w:sz w:val="20"/>
          <w:szCs w:val="20"/>
        </w:rPr>
        <w:t>) and stratified by diagnosis (Crohn’s disease [</w:t>
      </w:r>
      <w:r w:rsidRPr="00DD6A08">
        <w:rPr>
          <w:b/>
          <w:bCs/>
          <w:sz w:val="20"/>
          <w:szCs w:val="20"/>
        </w:rPr>
        <w:t>CD</w:t>
      </w:r>
      <w:r w:rsidRPr="00DD6A08">
        <w:rPr>
          <w:sz w:val="20"/>
          <w:szCs w:val="20"/>
        </w:rPr>
        <w:t>], n=3,808; ulcerative colitis [</w:t>
      </w:r>
      <w:r w:rsidRPr="00DD6A08">
        <w:rPr>
          <w:b/>
          <w:bCs/>
          <w:sz w:val="20"/>
          <w:szCs w:val="20"/>
        </w:rPr>
        <w:t>UC</w:t>
      </w:r>
      <w:r w:rsidRPr="00DD6A08">
        <w:rPr>
          <w:sz w:val="20"/>
          <w:szCs w:val="20"/>
        </w:rPr>
        <w:t>], n=3,298; inflammatory bowel disease unclassified [</w:t>
      </w:r>
      <w:r w:rsidRPr="00DD6A08">
        <w:rPr>
          <w:b/>
          <w:bCs/>
          <w:sz w:val="20"/>
          <w:szCs w:val="20"/>
        </w:rPr>
        <w:t>IBD-U</w:t>
      </w:r>
      <w:r w:rsidRPr="00DD6A08">
        <w:rPr>
          <w:sz w:val="20"/>
          <w:szCs w:val="20"/>
        </w:rPr>
        <w:t xml:space="preserve">], n=231). “Negative” ratings indicate an answer of “No” for questions 1a and 1b, or “Yes” for Questions 3a to 3f, which are scored as zero in the summary score.  Conversely, “Positive” ratings indicate an answer of “Yes” for questions 1a and 1b, or “No” for Questions 3a to 3f, which are scored as 2-points in the summary score.  “Neutral” ratings indicate answers of “Not Sure” for all questions, which are allocated a score of 1-point. </w:t>
      </w:r>
    </w:p>
    <w:p w14:paraId="070FD5EE" w14:textId="77777777" w:rsidR="00DF3DA9" w:rsidRDefault="00DF3DA9" w:rsidP="00DF3DA9">
      <w:pPr>
        <w:sectPr w:rsidR="00DF3DA9" w:rsidSect="00DF3DA9">
          <w:headerReference w:type="default" r:id="rId11"/>
          <w:footerReference w:type="even" r:id="rId12"/>
          <w:footerReference w:type="default" r:id="rId13"/>
          <w:pgSz w:w="12240" w:h="15840"/>
          <w:pgMar w:top="1440" w:right="1440" w:bottom="1440" w:left="1440" w:header="720" w:footer="720" w:gutter="0"/>
          <w:cols w:space="720"/>
        </w:sectPr>
      </w:pPr>
    </w:p>
    <w:p w14:paraId="53F64B4E" w14:textId="48C8EF64" w:rsidR="00DF3DA9" w:rsidRPr="00915CB8" w:rsidRDefault="00DF3DA9" w:rsidP="00DF3DA9">
      <w:pPr>
        <w:pStyle w:val="Caption"/>
        <w:keepNext/>
        <w:rPr>
          <w:color w:val="00B050"/>
          <w:sz w:val="24"/>
          <w:szCs w:val="24"/>
        </w:rPr>
      </w:pPr>
    </w:p>
    <w:p w14:paraId="2AB3C175" w14:textId="1B171620" w:rsidR="00DF3DA9" w:rsidRDefault="00DF3DA9" w:rsidP="00DF3DA9">
      <w:pPr>
        <w:keepNext/>
      </w:pPr>
    </w:p>
    <w:p w14:paraId="2F75F9A3" w14:textId="77096E74" w:rsidR="00DF3DA9" w:rsidRDefault="00A3377F" w:rsidP="007B3508">
      <w:pPr>
        <w:pStyle w:val="Caption"/>
        <w:jc w:val="both"/>
        <w:rPr>
          <w:b w:val="0"/>
          <w:color w:val="auto"/>
          <w:sz w:val="20"/>
          <w:szCs w:val="20"/>
        </w:rPr>
      </w:pPr>
      <w:r>
        <w:rPr>
          <w:b w:val="0"/>
          <w:noProof/>
          <w:color w:val="auto"/>
          <w:sz w:val="20"/>
          <w:szCs w:val="20"/>
        </w:rPr>
        <w:drawing>
          <wp:inline distT="0" distB="0" distL="0" distR="0" wp14:anchorId="42F3BDBA" wp14:editId="2D99D90D">
            <wp:extent cx="5943600" cy="3630930"/>
            <wp:effectExtent l="0" t="0" r="0" b="1270"/>
            <wp:docPr id="6" name="Picture 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ox and whiske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630930"/>
                    </a:xfrm>
                    <a:prstGeom prst="rect">
                      <a:avLst/>
                    </a:prstGeom>
                  </pic:spPr>
                </pic:pic>
              </a:graphicData>
            </a:graphic>
          </wp:inline>
        </w:drawing>
      </w:r>
    </w:p>
    <w:p w14:paraId="1CA820B6" w14:textId="325759DD" w:rsidR="000F59E5" w:rsidRDefault="000F59E5" w:rsidP="000F59E5">
      <w:pPr>
        <w:jc w:val="both"/>
        <w:rPr>
          <w:sz w:val="20"/>
          <w:szCs w:val="20"/>
        </w:rPr>
      </w:pPr>
      <w:r w:rsidRPr="000F59E5">
        <w:rPr>
          <w:b/>
          <w:bCs/>
          <w:sz w:val="20"/>
          <w:szCs w:val="20"/>
        </w:rPr>
        <w:t>Figure 2:</w:t>
      </w:r>
      <w:r w:rsidRPr="007B3508">
        <w:rPr>
          <w:sz w:val="20"/>
          <w:szCs w:val="20"/>
        </w:rPr>
        <w:t xml:space="preserve"> </w:t>
      </w:r>
      <w:r w:rsidRPr="005A2188">
        <w:rPr>
          <w:b/>
          <w:bCs/>
          <w:color w:val="000000" w:themeColor="text1"/>
          <w:sz w:val="20"/>
          <w:szCs w:val="20"/>
        </w:rPr>
        <w:t>IBD-Control</w:t>
      </w:r>
      <w:r w:rsidR="00E20B25" w:rsidRPr="005A2188">
        <w:rPr>
          <w:b/>
          <w:bCs/>
          <w:color w:val="000000" w:themeColor="text1"/>
          <w:sz w:val="20"/>
          <w:szCs w:val="20"/>
        </w:rPr>
        <w:t>-</w:t>
      </w:r>
      <w:r w:rsidRPr="005A2188">
        <w:rPr>
          <w:b/>
          <w:bCs/>
          <w:color w:val="000000" w:themeColor="text1"/>
          <w:sz w:val="20"/>
          <w:szCs w:val="20"/>
        </w:rPr>
        <w:t>VAS scores according to responses to each of the IBD-Control-8 items</w:t>
      </w:r>
      <w:r w:rsidRPr="007B3508">
        <w:rPr>
          <w:color w:val="000000" w:themeColor="text1"/>
          <w:sz w:val="20"/>
          <w:szCs w:val="20"/>
        </w:rPr>
        <w:t xml:space="preserve">. </w:t>
      </w:r>
      <w:r w:rsidRPr="007B3508">
        <w:rPr>
          <w:sz w:val="21"/>
          <w:szCs w:val="21"/>
        </w:rPr>
        <w:t>(A) IBD-Control 1a. Spearman’s</w:t>
      </w:r>
      <w:r>
        <w:rPr>
          <w:sz w:val="21"/>
          <w:szCs w:val="21"/>
        </w:rPr>
        <w:t xml:space="preserve"> R (</w:t>
      </w:r>
      <w:r w:rsidRPr="007B3508">
        <w:rPr>
          <w:sz w:val="21"/>
          <w:szCs w:val="21"/>
        </w:rPr>
        <w:t>R</w:t>
      </w:r>
      <w:r w:rsidRPr="007B3508">
        <w:rPr>
          <w:sz w:val="21"/>
          <w:szCs w:val="21"/>
          <w:vertAlign w:val="subscript"/>
        </w:rPr>
        <w:t>s</w:t>
      </w:r>
      <w:r w:rsidRPr="007B3508">
        <w:rPr>
          <w:sz w:val="21"/>
          <w:szCs w:val="21"/>
        </w:rPr>
        <w:t>)</w:t>
      </w:r>
      <w:r>
        <w:rPr>
          <w:sz w:val="21"/>
          <w:szCs w:val="21"/>
        </w:rPr>
        <w:t xml:space="preserve"> </w:t>
      </w:r>
      <w:r w:rsidRPr="007B3508">
        <w:rPr>
          <w:sz w:val="21"/>
          <w:szCs w:val="21"/>
        </w:rPr>
        <w:t>= 0.647, p&lt;0.001</w:t>
      </w:r>
      <w:r>
        <w:rPr>
          <w:sz w:val="21"/>
          <w:szCs w:val="21"/>
        </w:rPr>
        <w:t>;</w:t>
      </w:r>
      <w:r w:rsidRPr="007B3508">
        <w:rPr>
          <w:sz w:val="20"/>
          <w:szCs w:val="20"/>
        </w:rPr>
        <w:t xml:space="preserve"> (B) IBD-Control 1b. R</w:t>
      </w:r>
      <w:r w:rsidRPr="007B3508">
        <w:rPr>
          <w:sz w:val="20"/>
          <w:szCs w:val="20"/>
          <w:vertAlign w:val="subscript"/>
        </w:rPr>
        <w:t>s</w:t>
      </w:r>
      <w:r w:rsidRPr="007B3508">
        <w:rPr>
          <w:sz w:val="20"/>
          <w:szCs w:val="20"/>
        </w:rPr>
        <w:t>= 0.487, p&lt;0.001</w:t>
      </w:r>
      <w:r>
        <w:rPr>
          <w:sz w:val="20"/>
          <w:szCs w:val="20"/>
        </w:rPr>
        <w:t xml:space="preserve">; </w:t>
      </w:r>
      <w:r w:rsidRPr="007B3508">
        <w:rPr>
          <w:sz w:val="20"/>
          <w:szCs w:val="20"/>
        </w:rPr>
        <w:t>(C) IBD-Control 3a. R</w:t>
      </w:r>
      <w:r w:rsidRPr="007B3508">
        <w:rPr>
          <w:sz w:val="20"/>
          <w:szCs w:val="20"/>
          <w:vertAlign w:val="subscript"/>
        </w:rPr>
        <w:t>s</w:t>
      </w:r>
      <w:r w:rsidRPr="007B3508">
        <w:rPr>
          <w:sz w:val="20"/>
          <w:szCs w:val="20"/>
        </w:rPr>
        <w:t>= 0.472, p&lt;0.001;</w:t>
      </w:r>
      <w:r>
        <w:rPr>
          <w:sz w:val="20"/>
          <w:szCs w:val="20"/>
        </w:rPr>
        <w:t xml:space="preserve"> </w:t>
      </w:r>
      <w:r w:rsidRPr="007B3508">
        <w:rPr>
          <w:sz w:val="20"/>
          <w:szCs w:val="20"/>
        </w:rPr>
        <w:t>(D) IBD-Control 3b. R</w:t>
      </w:r>
      <w:r w:rsidRPr="007B3508">
        <w:rPr>
          <w:sz w:val="20"/>
          <w:szCs w:val="20"/>
          <w:vertAlign w:val="subscript"/>
        </w:rPr>
        <w:t>s</w:t>
      </w:r>
      <w:r w:rsidRPr="007B3508">
        <w:rPr>
          <w:sz w:val="20"/>
          <w:szCs w:val="20"/>
        </w:rPr>
        <w:t>= 0.527, p&lt;0.001</w:t>
      </w:r>
      <w:r>
        <w:rPr>
          <w:sz w:val="20"/>
          <w:szCs w:val="20"/>
        </w:rPr>
        <w:t xml:space="preserve">; </w:t>
      </w:r>
      <w:r w:rsidRPr="007B3508">
        <w:rPr>
          <w:sz w:val="20"/>
          <w:szCs w:val="20"/>
        </w:rPr>
        <w:t>(E) IBD-Control 3c. R</w:t>
      </w:r>
      <w:r w:rsidRPr="007B3508">
        <w:rPr>
          <w:sz w:val="20"/>
          <w:szCs w:val="20"/>
          <w:vertAlign w:val="subscript"/>
        </w:rPr>
        <w:t>s</w:t>
      </w:r>
      <w:r w:rsidRPr="007B3508">
        <w:rPr>
          <w:sz w:val="20"/>
          <w:szCs w:val="20"/>
        </w:rPr>
        <w:t>= 0.553, p&lt;0.001;</w:t>
      </w:r>
      <w:r>
        <w:rPr>
          <w:sz w:val="20"/>
          <w:szCs w:val="20"/>
        </w:rPr>
        <w:t xml:space="preserve"> </w:t>
      </w:r>
      <w:r w:rsidRPr="007B3508">
        <w:rPr>
          <w:sz w:val="20"/>
          <w:szCs w:val="20"/>
        </w:rPr>
        <w:t>(F) IBD-Control 3d. R</w:t>
      </w:r>
      <w:r w:rsidRPr="007B3508">
        <w:rPr>
          <w:sz w:val="20"/>
          <w:szCs w:val="20"/>
          <w:vertAlign w:val="subscript"/>
        </w:rPr>
        <w:t>s</w:t>
      </w:r>
      <w:r w:rsidRPr="007B3508">
        <w:rPr>
          <w:sz w:val="20"/>
          <w:szCs w:val="20"/>
        </w:rPr>
        <w:t>= 0.455, p&lt;0.001</w:t>
      </w:r>
      <w:r>
        <w:rPr>
          <w:sz w:val="20"/>
          <w:szCs w:val="20"/>
        </w:rPr>
        <w:t xml:space="preserve">; </w:t>
      </w:r>
      <w:r w:rsidRPr="007B3508">
        <w:rPr>
          <w:sz w:val="20"/>
          <w:szCs w:val="20"/>
        </w:rPr>
        <w:t>(G) IBD-Control 3e. R</w:t>
      </w:r>
      <w:r w:rsidRPr="007B3508">
        <w:rPr>
          <w:sz w:val="20"/>
          <w:szCs w:val="20"/>
          <w:vertAlign w:val="subscript"/>
        </w:rPr>
        <w:t>s</w:t>
      </w:r>
      <w:r w:rsidRPr="007B3508">
        <w:rPr>
          <w:sz w:val="20"/>
          <w:szCs w:val="20"/>
        </w:rPr>
        <w:t>= 0.475, p&lt;0.001; (H) IBD-Control 3f. R</w:t>
      </w:r>
      <w:r w:rsidRPr="007B3508">
        <w:rPr>
          <w:sz w:val="20"/>
          <w:szCs w:val="20"/>
          <w:vertAlign w:val="subscript"/>
        </w:rPr>
        <w:t>s</w:t>
      </w:r>
      <w:r w:rsidRPr="007B3508">
        <w:rPr>
          <w:sz w:val="20"/>
          <w:szCs w:val="20"/>
        </w:rPr>
        <w:t>= 0.576, p&lt;0.001.</w:t>
      </w:r>
      <w:r>
        <w:rPr>
          <w:sz w:val="20"/>
          <w:szCs w:val="20"/>
        </w:rPr>
        <w:t xml:space="preserve">  Median IBD-Control-VAS scores were significantly</w:t>
      </w:r>
      <w:r w:rsidRPr="000F59E5">
        <w:rPr>
          <w:sz w:val="20"/>
          <w:szCs w:val="20"/>
        </w:rPr>
        <w:t xml:space="preserve"> </w:t>
      </w:r>
      <w:r>
        <w:rPr>
          <w:sz w:val="20"/>
          <w:szCs w:val="20"/>
        </w:rPr>
        <w:t>different between the three response options for each of the eight items of IBD-Control (p&lt;0.001,</w:t>
      </w:r>
      <w:r w:rsidRPr="007B3508">
        <w:rPr>
          <w:sz w:val="21"/>
          <w:szCs w:val="21"/>
        </w:rPr>
        <w:t xml:space="preserve"> Kruskal-</w:t>
      </w:r>
      <w:r w:rsidRPr="007B3508">
        <w:rPr>
          <w:sz w:val="20"/>
          <w:szCs w:val="20"/>
        </w:rPr>
        <w:t>Wallis</w:t>
      </w:r>
      <w:r>
        <w:rPr>
          <w:sz w:val="20"/>
          <w:szCs w:val="20"/>
        </w:rPr>
        <w:t>)</w:t>
      </w:r>
      <w:r w:rsidR="00170C6E">
        <w:rPr>
          <w:sz w:val="20"/>
          <w:szCs w:val="20"/>
        </w:rPr>
        <w:t>.</w:t>
      </w:r>
    </w:p>
    <w:p w14:paraId="6BA41B52" w14:textId="77777777" w:rsidR="000F59E5" w:rsidRDefault="000F59E5" w:rsidP="000F59E5">
      <w:pPr>
        <w:rPr>
          <w:sz w:val="20"/>
          <w:szCs w:val="20"/>
        </w:rPr>
      </w:pPr>
    </w:p>
    <w:p w14:paraId="04EF5ACD" w14:textId="77777777" w:rsidR="000F59E5" w:rsidRDefault="000F59E5" w:rsidP="000F59E5">
      <w:pPr>
        <w:rPr>
          <w:sz w:val="20"/>
          <w:szCs w:val="20"/>
        </w:rPr>
      </w:pPr>
    </w:p>
    <w:p w14:paraId="0F6B5A7F" w14:textId="0B84CBB9" w:rsidR="000F59E5" w:rsidRDefault="00A3377F" w:rsidP="000F59E5">
      <w:r>
        <w:rPr>
          <w:noProof/>
        </w:rPr>
        <w:lastRenderedPageBreak/>
        <w:drawing>
          <wp:inline distT="0" distB="0" distL="0" distR="0" wp14:anchorId="03E76126" wp14:editId="3631BFDA">
            <wp:extent cx="5943600" cy="4234180"/>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234180"/>
                    </a:xfrm>
                    <a:prstGeom prst="rect">
                      <a:avLst/>
                    </a:prstGeom>
                  </pic:spPr>
                </pic:pic>
              </a:graphicData>
            </a:graphic>
          </wp:inline>
        </w:drawing>
      </w:r>
    </w:p>
    <w:p w14:paraId="247B78EE" w14:textId="39B4DB6B" w:rsidR="000F59E5" w:rsidRDefault="000F59E5" w:rsidP="000F59E5">
      <w:pPr>
        <w:pStyle w:val="Caption"/>
        <w:jc w:val="both"/>
      </w:pPr>
      <w:r w:rsidRPr="007B3508">
        <w:rPr>
          <w:color w:val="auto"/>
          <w:sz w:val="20"/>
          <w:szCs w:val="20"/>
        </w:rPr>
        <w:t xml:space="preserve">Figure </w:t>
      </w:r>
      <w:r>
        <w:rPr>
          <w:color w:val="auto"/>
          <w:sz w:val="20"/>
          <w:szCs w:val="20"/>
        </w:rPr>
        <w:t>3:</w:t>
      </w:r>
      <w:r w:rsidRPr="007B3508">
        <w:rPr>
          <w:color w:val="auto"/>
          <w:sz w:val="20"/>
          <w:szCs w:val="20"/>
        </w:rPr>
        <w:t xml:space="preserve">  </w:t>
      </w:r>
      <w:r w:rsidRPr="007B3508">
        <w:rPr>
          <w:bCs w:val="0"/>
          <w:color w:val="auto"/>
          <w:sz w:val="20"/>
          <w:szCs w:val="20"/>
        </w:rPr>
        <w:t>IBD-Control</w:t>
      </w:r>
      <w:r w:rsidR="00E20B25">
        <w:rPr>
          <w:bCs w:val="0"/>
          <w:color w:val="auto"/>
          <w:sz w:val="20"/>
          <w:szCs w:val="20"/>
        </w:rPr>
        <w:t>-</w:t>
      </w:r>
      <w:r w:rsidRPr="007B3508">
        <w:rPr>
          <w:bCs w:val="0"/>
          <w:color w:val="auto"/>
          <w:sz w:val="20"/>
          <w:szCs w:val="20"/>
        </w:rPr>
        <w:t>VAS scores according to IBD-Control-8 score, overall and by diagnosis</w:t>
      </w:r>
      <w:r w:rsidRPr="007B3508">
        <w:rPr>
          <w:b w:val="0"/>
          <w:color w:val="auto"/>
          <w:sz w:val="20"/>
          <w:szCs w:val="20"/>
        </w:rPr>
        <w:t>:</w:t>
      </w:r>
      <w:r w:rsidRPr="007B3508">
        <w:rPr>
          <w:color w:val="auto"/>
          <w:sz w:val="20"/>
          <w:szCs w:val="20"/>
        </w:rPr>
        <w:t xml:space="preserve"> (A)</w:t>
      </w:r>
      <w:r w:rsidRPr="007B3508">
        <w:rPr>
          <w:b w:val="0"/>
          <w:color w:val="auto"/>
          <w:sz w:val="20"/>
          <w:szCs w:val="20"/>
        </w:rPr>
        <w:t xml:space="preserve"> </w:t>
      </w:r>
      <w:r w:rsidR="007D7B89">
        <w:rPr>
          <w:b w:val="0"/>
          <w:color w:val="auto"/>
          <w:sz w:val="20"/>
          <w:szCs w:val="20"/>
        </w:rPr>
        <w:t>Overall</w:t>
      </w:r>
      <w:r w:rsidRPr="007B3508">
        <w:rPr>
          <w:b w:val="0"/>
          <w:color w:val="auto"/>
          <w:sz w:val="20"/>
          <w:szCs w:val="20"/>
        </w:rPr>
        <w:t>. Spearman’s R</w:t>
      </w:r>
      <w:r w:rsidRPr="007B3508">
        <w:rPr>
          <w:b w:val="0"/>
          <w:color w:val="auto"/>
          <w:sz w:val="20"/>
          <w:szCs w:val="20"/>
          <w:vertAlign w:val="subscript"/>
        </w:rPr>
        <w:t>s</w:t>
      </w:r>
      <w:r w:rsidRPr="007B3508">
        <w:rPr>
          <w:b w:val="0"/>
          <w:color w:val="auto"/>
          <w:sz w:val="20"/>
          <w:szCs w:val="20"/>
        </w:rPr>
        <w:t xml:space="preserve">= 0.738, p&lt;0.001; Kruskal-Wallis: p&lt;0.001 </w:t>
      </w:r>
      <w:r w:rsidRPr="007B3508">
        <w:rPr>
          <w:color w:val="auto"/>
          <w:sz w:val="20"/>
          <w:szCs w:val="20"/>
        </w:rPr>
        <w:t>(B)</w:t>
      </w:r>
      <w:r w:rsidRPr="007B3508">
        <w:rPr>
          <w:b w:val="0"/>
          <w:color w:val="auto"/>
          <w:sz w:val="20"/>
          <w:szCs w:val="20"/>
        </w:rPr>
        <w:t xml:space="preserve"> Crohn’s disease. R</w:t>
      </w:r>
      <w:r w:rsidRPr="007B3508">
        <w:rPr>
          <w:b w:val="0"/>
          <w:color w:val="auto"/>
          <w:sz w:val="20"/>
          <w:szCs w:val="20"/>
          <w:vertAlign w:val="subscript"/>
        </w:rPr>
        <w:t>s</w:t>
      </w:r>
      <w:r w:rsidRPr="007B3508">
        <w:rPr>
          <w:b w:val="0"/>
          <w:color w:val="auto"/>
          <w:sz w:val="20"/>
          <w:szCs w:val="20"/>
        </w:rPr>
        <w:t xml:space="preserve">= 0.747, p&lt;0.001; Kruskal-Wallis: p&lt;0.001 </w:t>
      </w:r>
      <w:r w:rsidRPr="007B3508">
        <w:rPr>
          <w:color w:val="auto"/>
          <w:sz w:val="20"/>
          <w:szCs w:val="20"/>
        </w:rPr>
        <w:t xml:space="preserve">(C) </w:t>
      </w:r>
      <w:r w:rsidRPr="007B3508">
        <w:rPr>
          <w:b w:val="0"/>
          <w:color w:val="auto"/>
          <w:sz w:val="20"/>
          <w:szCs w:val="20"/>
        </w:rPr>
        <w:t>Ulcerative colitis. R</w:t>
      </w:r>
      <w:r w:rsidRPr="007B3508">
        <w:rPr>
          <w:b w:val="0"/>
          <w:color w:val="auto"/>
          <w:sz w:val="20"/>
          <w:szCs w:val="20"/>
          <w:vertAlign w:val="subscript"/>
        </w:rPr>
        <w:t>s</w:t>
      </w:r>
      <w:r w:rsidRPr="007B3508">
        <w:rPr>
          <w:b w:val="0"/>
          <w:color w:val="auto"/>
          <w:sz w:val="20"/>
          <w:szCs w:val="20"/>
        </w:rPr>
        <w:t xml:space="preserve">= 0.714, p&lt;0.001; Kruskal-Wallis: p&lt;0.001 </w:t>
      </w:r>
      <w:r w:rsidRPr="007B3508">
        <w:rPr>
          <w:color w:val="auto"/>
          <w:sz w:val="20"/>
          <w:szCs w:val="20"/>
        </w:rPr>
        <w:t>(D)</w:t>
      </w:r>
      <w:r w:rsidRPr="007B3508">
        <w:rPr>
          <w:b w:val="0"/>
          <w:color w:val="auto"/>
          <w:sz w:val="20"/>
          <w:szCs w:val="20"/>
        </w:rPr>
        <w:t xml:space="preserve"> IBD-U. R</w:t>
      </w:r>
      <w:r w:rsidRPr="007B3508">
        <w:rPr>
          <w:b w:val="0"/>
          <w:color w:val="auto"/>
          <w:sz w:val="20"/>
          <w:szCs w:val="20"/>
          <w:vertAlign w:val="subscript"/>
        </w:rPr>
        <w:t>s</w:t>
      </w:r>
      <w:r w:rsidRPr="007B3508">
        <w:rPr>
          <w:b w:val="0"/>
          <w:color w:val="auto"/>
          <w:sz w:val="20"/>
          <w:szCs w:val="20"/>
        </w:rPr>
        <w:t>= 0.745, p&lt;0.001; Kruskal-Wallis: p&lt;0.001.  Boxplots show median (bold bar), interquartile range (shaded box) and range (error bars) of IBD-Control-VAS scores.</w:t>
      </w:r>
    </w:p>
    <w:p w14:paraId="22BFB561" w14:textId="61E0FD89" w:rsidR="000F59E5" w:rsidRPr="000F59E5" w:rsidRDefault="000F59E5" w:rsidP="000F59E5">
      <w:pPr>
        <w:sectPr w:rsidR="000F59E5" w:rsidRPr="000F59E5" w:rsidSect="000F59E5">
          <w:pgSz w:w="12240" w:h="15840"/>
          <w:pgMar w:top="1440" w:right="1440" w:bottom="1440" w:left="1440" w:header="720" w:footer="720" w:gutter="0"/>
          <w:cols w:space="720"/>
          <w:docGrid w:linePitch="299"/>
        </w:sectPr>
      </w:pPr>
    </w:p>
    <w:p w14:paraId="63B2BD7A" w14:textId="5353220C" w:rsidR="0047177F" w:rsidRPr="00D96C4C" w:rsidRDefault="0047177F" w:rsidP="0047177F">
      <w:pPr>
        <w:pStyle w:val="Caption"/>
        <w:keepNext/>
        <w:rPr>
          <w:color w:val="auto"/>
          <w:sz w:val="28"/>
          <w:szCs w:val="28"/>
        </w:rPr>
      </w:pPr>
    </w:p>
    <w:p w14:paraId="5B1BCA69" w14:textId="374E0E5C" w:rsidR="0047177F" w:rsidRDefault="0047177F" w:rsidP="0047177F">
      <w:pPr>
        <w:keepNext/>
      </w:pPr>
    </w:p>
    <w:p w14:paraId="704D01B1" w14:textId="690A94B1" w:rsidR="000F59E5" w:rsidRDefault="000F59E5">
      <w:pPr>
        <w:rPr>
          <w:b/>
          <w:bCs/>
          <w:sz w:val="20"/>
          <w:szCs w:val="20"/>
        </w:rPr>
      </w:pPr>
    </w:p>
    <w:p w14:paraId="151E8C36" w14:textId="2B9A30B9" w:rsidR="00566581" w:rsidRPr="000F59E5" w:rsidRDefault="00A3377F" w:rsidP="000F59E5">
      <w:pPr>
        <w:keepNext/>
      </w:pPr>
      <w:r>
        <w:rPr>
          <w:noProof/>
        </w:rPr>
        <w:drawing>
          <wp:inline distT="0" distB="0" distL="0" distR="0" wp14:anchorId="579F3370" wp14:editId="22B57C94">
            <wp:extent cx="5943600" cy="5331460"/>
            <wp:effectExtent l="0" t="0" r="0" b="2540"/>
            <wp:docPr id="7" name="Picture 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ox and whiske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5331460"/>
                    </a:xfrm>
                    <a:prstGeom prst="rect">
                      <a:avLst/>
                    </a:prstGeom>
                  </pic:spPr>
                </pic:pic>
              </a:graphicData>
            </a:graphic>
          </wp:inline>
        </w:drawing>
      </w:r>
    </w:p>
    <w:p w14:paraId="22C94515" w14:textId="6F1BF194" w:rsidR="0047177F" w:rsidRDefault="0047177F" w:rsidP="002C0E5F">
      <w:pPr>
        <w:pStyle w:val="Caption"/>
        <w:jc w:val="both"/>
      </w:pPr>
      <w:r w:rsidRPr="00325DA9">
        <w:rPr>
          <w:color w:val="auto"/>
          <w:sz w:val="20"/>
          <w:szCs w:val="20"/>
        </w:rPr>
        <w:t>Figure</w:t>
      </w:r>
      <w:r w:rsidR="00566581">
        <w:rPr>
          <w:color w:val="auto"/>
          <w:sz w:val="20"/>
          <w:szCs w:val="20"/>
        </w:rPr>
        <w:t xml:space="preserve"> 4</w:t>
      </w:r>
      <w:r w:rsidRPr="00325DA9">
        <w:rPr>
          <w:color w:val="auto"/>
          <w:sz w:val="20"/>
          <w:szCs w:val="20"/>
        </w:rPr>
        <w:t xml:space="preserve">: </w:t>
      </w:r>
      <w:r w:rsidR="002657F9" w:rsidRPr="00325DA9">
        <w:rPr>
          <w:bCs w:val="0"/>
          <w:color w:val="auto"/>
          <w:sz w:val="20"/>
          <w:szCs w:val="20"/>
        </w:rPr>
        <w:t>IBD-Control-8</w:t>
      </w:r>
      <w:r w:rsidRPr="00325DA9">
        <w:rPr>
          <w:bCs w:val="0"/>
          <w:color w:val="auto"/>
          <w:sz w:val="20"/>
          <w:szCs w:val="20"/>
        </w:rPr>
        <w:t xml:space="preserve"> scores ac</w:t>
      </w:r>
      <w:r w:rsidR="0092155A" w:rsidRPr="00325DA9">
        <w:rPr>
          <w:bCs w:val="0"/>
          <w:color w:val="auto"/>
          <w:sz w:val="20"/>
          <w:szCs w:val="20"/>
        </w:rPr>
        <w:t>cording to remission status</w:t>
      </w:r>
      <w:r w:rsidR="007B3508" w:rsidRPr="00325DA9">
        <w:rPr>
          <w:bCs w:val="0"/>
          <w:color w:val="auto"/>
          <w:sz w:val="20"/>
          <w:szCs w:val="20"/>
        </w:rPr>
        <w:t>,</w:t>
      </w:r>
      <w:r w:rsidR="0092155A" w:rsidRPr="00325DA9">
        <w:rPr>
          <w:bCs w:val="0"/>
          <w:color w:val="auto"/>
          <w:sz w:val="20"/>
          <w:szCs w:val="20"/>
        </w:rPr>
        <w:t xml:space="preserve"> </w:t>
      </w:r>
      <w:r w:rsidR="007B3508" w:rsidRPr="00325DA9">
        <w:rPr>
          <w:bCs w:val="0"/>
          <w:color w:val="auto"/>
          <w:sz w:val="20"/>
          <w:szCs w:val="20"/>
        </w:rPr>
        <w:t xml:space="preserve">defined using </w:t>
      </w:r>
      <w:r w:rsidR="00566581">
        <w:rPr>
          <w:bCs w:val="0"/>
          <w:color w:val="auto"/>
          <w:sz w:val="20"/>
          <w:szCs w:val="20"/>
        </w:rPr>
        <w:t xml:space="preserve">cut-offs for </w:t>
      </w:r>
      <w:r w:rsidR="007B3508" w:rsidRPr="00325DA9">
        <w:rPr>
          <w:bCs w:val="0"/>
          <w:color w:val="auto"/>
          <w:sz w:val="20"/>
          <w:szCs w:val="20"/>
        </w:rPr>
        <w:t>symptom-based scores (PRO2)</w:t>
      </w:r>
      <w:r w:rsidRPr="00325DA9">
        <w:rPr>
          <w:b w:val="0"/>
          <w:color w:val="auto"/>
          <w:sz w:val="20"/>
          <w:szCs w:val="20"/>
        </w:rPr>
        <w:t>.</w:t>
      </w:r>
      <w:r w:rsidR="007B3508" w:rsidRPr="00325DA9">
        <w:rPr>
          <w:b w:val="0"/>
          <w:color w:val="auto"/>
          <w:sz w:val="20"/>
          <w:szCs w:val="20"/>
        </w:rPr>
        <w:t xml:space="preserve"> </w:t>
      </w:r>
      <w:r w:rsidR="007B3508" w:rsidRPr="00325DA9">
        <w:rPr>
          <w:bCs w:val="0"/>
          <w:color w:val="auto"/>
          <w:sz w:val="20"/>
          <w:szCs w:val="20"/>
        </w:rPr>
        <w:t>(A)</w:t>
      </w:r>
      <w:r w:rsidR="007B3508" w:rsidRPr="00325DA9">
        <w:rPr>
          <w:b w:val="0"/>
          <w:color w:val="auto"/>
          <w:sz w:val="20"/>
          <w:szCs w:val="20"/>
        </w:rPr>
        <w:t xml:space="preserve"> Overall,</w:t>
      </w:r>
      <w:r w:rsidRPr="00325DA9">
        <w:rPr>
          <w:b w:val="0"/>
          <w:color w:val="auto"/>
          <w:sz w:val="20"/>
          <w:szCs w:val="20"/>
        </w:rPr>
        <w:t xml:space="preserve"> Wilcoxon: p&lt;0.001</w:t>
      </w:r>
      <w:r w:rsidR="00325DA9">
        <w:rPr>
          <w:b w:val="0"/>
          <w:color w:val="auto"/>
          <w:sz w:val="20"/>
          <w:szCs w:val="20"/>
        </w:rPr>
        <w:t>;</w:t>
      </w:r>
      <w:r w:rsidRPr="00325DA9">
        <w:rPr>
          <w:color w:val="auto"/>
          <w:sz w:val="20"/>
          <w:szCs w:val="20"/>
        </w:rPr>
        <w:t xml:space="preserve"> (B)</w:t>
      </w:r>
      <w:r w:rsidR="007B3508" w:rsidRPr="00325DA9">
        <w:rPr>
          <w:b w:val="0"/>
          <w:color w:val="auto"/>
          <w:sz w:val="20"/>
          <w:szCs w:val="20"/>
        </w:rPr>
        <w:t xml:space="preserve"> Crohn’s disease</w:t>
      </w:r>
      <w:r w:rsidRPr="00325DA9">
        <w:rPr>
          <w:b w:val="0"/>
          <w:color w:val="auto"/>
          <w:sz w:val="20"/>
          <w:szCs w:val="20"/>
        </w:rPr>
        <w:t>. Wilcoxon: p&lt;0.001</w:t>
      </w:r>
      <w:r w:rsidR="00325DA9">
        <w:rPr>
          <w:b w:val="0"/>
          <w:color w:val="auto"/>
          <w:sz w:val="20"/>
          <w:szCs w:val="20"/>
        </w:rPr>
        <w:t>;</w:t>
      </w:r>
      <w:r w:rsidRPr="00325DA9">
        <w:rPr>
          <w:color w:val="auto"/>
          <w:sz w:val="20"/>
          <w:szCs w:val="20"/>
        </w:rPr>
        <w:t xml:space="preserve"> (C)</w:t>
      </w:r>
      <w:r w:rsidR="007B3508" w:rsidRPr="00325DA9">
        <w:rPr>
          <w:color w:val="auto"/>
          <w:sz w:val="20"/>
          <w:szCs w:val="20"/>
        </w:rPr>
        <w:t xml:space="preserve"> </w:t>
      </w:r>
      <w:r w:rsidR="007B3508" w:rsidRPr="00325DA9">
        <w:rPr>
          <w:b w:val="0"/>
          <w:color w:val="auto"/>
          <w:sz w:val="20"/>
          <w:szCs w:val="20"/>
        </w:rPr>
        <w:t>Ulcerative colitis</w:t>
      </w:r>
      <w:r w:rsidRPr="00325DA9">
        <w:rPr>
          <w:b w:val="0"/>
          <w:color w:val="auto"/>
          <w:sz w:val="20"/>
          <w:szCs w:val="20"/>
        </w:rPr>
        <w:t>. Wilcoxon: p&lt;0.001</w:t>
      </w:r>
      <w:r w:rsidR="000F59E5">
        <w:rPr>
          <w:b w:val="0"/>
          <w:color w:val="auto"/>
          <w:sz w:val="20"/>
          <w:szCs w:val="20"/>
        </w:rPr>
        <w:t>.</w:t>
      </w:r>
      <w:r w:rsidR="00287846">
        <w:rPr>
          <w:b w:val="0"/>
          <w:color w:val="auto"/>
          <w:sz w:val="20"/>
          <w:szCs w:val="20"/>
        </w:rPr>
        <w:t xml:space="preserve">  These data provide evidence of known-groups construct validity.</w:t>
      </w:r>
    </w:p>
    <w:p w14:paraId="1E6C083A" w14:textId="77777777" w:rsidR="0047177F" w:rsidRDefault="0047177F" w:rsidP="0047177F"/>
    <w:p w14:paraId="31846B7E" w14:textId="77777777" w:rsidR="0047177F" w:rsidRDefault="0047177F" w:rsidP="0047177F"/>
    <w:p w14:paraId="401C931F" w14:textId="77777777" w:rsidR="0047177F" w:rsidRDefault="0047177F" w:rsidP="0047177F"/>
    <w:p w14:paraId="2344D7A4" w14:textId="77777777" w:rsidR="0047177F" w:rsidRDefault="0047177F" w:rsidP="0047177F"/>
    <w:p w14:paraId="6F4DA1DF" w14:textId="489CA313" w:rsidR="004968FB" w:rsidRPr="002C0E5F" w:rsidRDefault="004968FB" w:rsidP="002C0E5F">
      <w:pPr>
        <w:rPr>
          <w:b/>
          <w:bCs/>
        </w:rPr>
      </w:pPr>
      <w:r>
        <w:rPr>
          <w:b/>
          <w:bCs/>
        </w:rPr>
        <w:br w:type="page"/>
      </w:r>
      <w:r w:rsidR="000A269F">
        <w:rPr>
          <w:b/>
          <w:bCs/>
          <w:noProof/>
        </w:rPr>
        <w:lastRenderedPageBreak/>
        <w:drawing>
          <wp:inline distT="0" distB="0" distL="0" distR="0" wp14:anchorId="0031DCA5" wp14:editId="5B7C89BE">
            <wp:extent cx="5943600" cy="4679315"/>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7">
                      <a:grayscl/>
                      <a:extLst>
                        <a:ext uri="{28A0092B-C50C-407E-A947-70E740481C1C}">
                          <a14:useLocalDpi xmlns:a14="http://schemas.microsoft.com/office/drawing/2010/main" val="0"/>
                        </a:ext>
                      </a:extLst>
                    </a:blip>
                    <a:stretch>
                      <a:fillRect/>
                    </a:stretch>
                  </pic:blipFill>
                  <pic:spPr>
                    <a:xfrm>
                      <a:off x="0" y="0"/>
                      <a:ext cx="5943600" cy="4679315"/>
                    </a:xfrm>
                    <a:prstGeom prst="rect">
                      <a:avLst/>
                    </a:prstGeom>
                  </pic:spPr>
                </pic:pic>
              </a:graphicData>
            </a:graphic>
          </wp:inline>
        </w:drawing>
      </w:r>
    </w:p>
    <w:p w14:paraId="7A0E5FEA" w14:textId="6625A813" w:rsidR="004968FB" w:rsidRPr="00761BAC" w:rsidRDefault="004968FB" w:rsidP="004968FB">
      <w:pPr>
        <w:pStyle w:val="Caption"/>
        <w:rPr>
          <w:b w:val="0"/>
          <w:bCs w:val="0"/>
          <w:color w:val="auto"/>
          <w:sz w:val="22"/>
          <w:szCs w:val="22"/>
        </w:rPr>
      </w:pPr>
      <w:r w:rsidRPr="00761BAC">
        <w:rPr>
          <w:color w:val="000000" w:themeColor="text1"/>
          <w:sz w:val="22"/>
          <w:szCs w:val="22"/>
        </w:rPr>
        <w:t xml:space="preserve">Figure </w:t>
      </w:r>
      <w:r w:rsidR="004A2DBC">
        <w:rPr>
          <w:color w:val="000000" w:themeColor="text1"/>
          <w:sz w:val="22"/>
          <w:szCs w:val="22"/>
        </w:rPr>
        <w:t>5</w:t>
      </w:r>
      <w:r w:rsidRPr="00761BAC">
        <w:rPr>
          <w:color w:val="000000" w:themeColor="text1"/>
          <w:sz w:val="22"/>
          <w:szCs w:val="22"/>
        </w:rPr>
        <w:t xml:space="preserve">:  </w:t>
      </w:r>
      <w:r w:rsidRPr="00761BAC">
        <w:rPr>
          <w:color w:val="auto"/>
          <w:sz w:val="22"/>
          <w:szCs w:val="22"/>
        </w:rPr>
        <w:t xml:space="preserve">Exploratory factor analysis (EFA) confirming a two-factor representation for the measurement construct of IBD-Control-8.  </w:t>
      </w:r>
      <w:r w:rsidRPr="00761BAC">
        <w:rPr>
          <w:b w:val="0"/>
          <w:bCs w:val="0"/>
          <w:color w:val="auto"/>
          <w:sz w:val="22"/>
          <w:szCs w:val="22"/>
        </w:rPr>
        <w:t>The eight items load to either a “</w:t>
      </w:r>
      <w:r w:rsidR="000A269F">
        <w:rPr>
          <w:b w:val="0"/>
          <w:bCs w:val="0"/>
          <w:color w:val="auto"/>
          <w:sz w:val="22"/>
          <w:szCs w:val="22"/>
        </w:rPr>
        <w:t>T</w:t>
      </w:r>
      <w:r w:rsidRPr="00761BAC">
        <w:rPr>
          <w:b w:val="0"/>
          <w:bCs w:val="0"/>
          <w:color w:val="auto"/>
          <w:sz w:val="22"/>
          <w:szCs w:val="22"/>
        </w:rPr>
        <w:t xml:space="preserve">reatment” factor or to a second factor representing the traditional notion of </w:t>
      </w:r>
      <w:r w:rsidR="000A269F">
        <w:rPr>
          <w:b w:val="0"/>
          <w:bCs w:val="0"/>
          <w:color w:val="auto"/>
          <w:sz w:val="22"/>
          <w:szCs w:val="22"/>
        </w:rPr>
        <w:t>H</w:t>
      </w:r>
      <w:r w:rsidRPr="00761BAC">
        <w:rPr>
          <w:b w:val="0"/>
          <w:bCs w:val="0"/>
          <w:color w:val="auto"/>
          <w:sz w:val="22"/>
          <w:szCs w:val="22"/>
        </w:rPr>
        <w:t xml:space="preserve">ealth-related </w:t>
      </w:r>
      <w:r w:rsidR="00CB3B94">
        <w:rPr>
          <w:b w:val="0"/>
          <w:bCs w:val="0"/>
          <w:color w:val="auto"/>
          <w:sz w:val="22"/>
          <w:szCs w:val="22"/>
        </w:rPr>
        <w:t>Q</w:t>
      </w:r>
      <w:r w:rsidRPr="00761BAC">
        <w:rPr>
          <w:b w:val="0"/>
          <w:bCs w:val="0"/>
          <w:color w:val="auto"/>
          <w:sz w:val="22"/>
          <w:szCs w:val="22"/>
        </w:rPr>
        <w:t xml:space="preserve">uality of </w:t>
      </w:r>
      <w:r w:rsidR="00CB3B94">
        <w:rPr>
          <w:b w:val="0"/>
          <w:bCs w:val="0"/>
          <w:color w:val="auto"/>
          <w:sz w:val="22"/>
          <w:szCs w:val="22"/>
        </w:rPr>
        <w:t>L</w:t>
      </w:r>
      <w:r w:rsidRPr="00761BAC">
        <w:rPr>
          <w:b w:val="0"/>
          <w:bCs w:val="0"/>
          <w:color w:val="auto"/>
          <w:sz w:val="22"/>
          <w:szCs w:val="22"/>
        </w:rPr>
        <w:t>ife (HRQoL). Values are factor loadings</w:t>
      </w:r>
      <w:r w:rsidRPr="00761BAC">
        <w:rPr>
          <w:b w:val="0"/>
          <w:bCs w:val="0"/>
          <w:color w:val="FF0000"/>
          <w:sz w:val="22"/>
          <w:szCs w:val="22"/>
        </w:rPr>
        <w:t xml:space="preserve"> </w:t>
      </w:r>
      <w:r w:rsidRPr="00761BAC">
        <w:rPr>
          <w:b w:val="0"/>
          <w:bCs w:val="0"/>
          <w:color w:val="auto"/>
          <w:sz w:val="22"/>
          <w:szCs w:val="22"/>
        </w:rPr>
        <w:t>which represent standardized regression coefficients.</w:t>
      </w:r>
    </w:p>
    <w:p w14:paraId="28030E9B" w14:textId="0E172153" w:rsidR="008B39FC" w:rsidRPr="008B39FC" w:rsidRDefault="008B39FC" w:rsidP="002C0E5F">
      <w:pPr>
        <w:rPr>
          <w:b/>
          <w:sz w:val="20"/>
          <w:szCs w:val="20"/>
        </w:rPr>
      </w:pPr>
    </w:p>
    <w:p w14:paraId="320DC231" w14:textId="77777777" w:rsidR="00543CD9" w:rsidRDefault="00543CD9">
      <w:pPr>
        <w:rPr>
          <w:b/>
          <w:bCs/>
        </w:rPr>
      </w:pPr>
    </w:p>
    <w:p w14:paraId="2358694C" w14:textId="77777777" w:rsidR="00543CD9" w:rsidRDefault="00543CD9">
      <w:pPr>
        <w:rPr>
          <w:b/>
          <w:bCs/>
        </w:rPr>
      </w:pPr>
    </w:p>
    <w:p w14:paraId="642F7DE5" w14:textId="77777777" w:rsidR="00543CD9" w:rsidRDefault="00543CD9">
      <w:pPr>
        <w:rPr>
          <w:b/>
          <w:bCs/>
        </w:rPr>
      </w:pPr>
    </w:p>
    <w:p w14:paraId="785E1A7A" w14:textId="77777777" w:rsidR="00543CD9" w:rsidRDefault="00543CD9">
      <w:pPr>
        <w:rPr>
          <w:b/>
          <w:bCs/>
        </w:rPr>
      </w:pPr>
    </w:p>
    <w:p w14:paraId="7CDD8601" w14:textId="77777777" w:rsidR="00543CD9" w:rsidRDefault="00543CD9">
      <w:pPr>
        <w:rPr>
          <w:b/>
          <w:bCs/>
        </w:rPr>
      </w:pPr>
    </w:p>
    <w:p w14:paraId="725B3124" w14:textId="77777777" w:rsidR="00543CD9" w:rsidRDefault="00543CD9">
      <w:pPr>
        <w:rPr>
          <w:b/>
          <w:bCs/>
        </w:rPr>
      </w:pPr>
    </w:p>
    <w:p w14:paraId="7F6D3FAD" w14:textId="77777777" w:rsidR="00543CD9" w:rsidRDefault="00543CD9">
      <w:pPr>
        <w:rPr>
          <w:b/>
          <w:bCs/>
        </w:rPr>
      </w:pPr>
    </w:p>
    <w:p w14:paraId="157DA382" w14:textId="77777777" w:rsidR="00543CD9" w:rsidRDefault="00543CD9">
      <w:pPr>
        <w:rPr>
          <w:b/>
          <w:bCs/>
        </w:rPr>
      </w:pPr>
    </w:p>
    <w:p w14:paraId="6AF8755B" w14:textId="52042518" w:rsidR="007D0FBF" w:rsidRPr="0051716F" w:rsidRDefault="00B940F5" w:rsidP="00B940F5">
      <w:pPr>
        <w:rPr>
          <w:b/>
          <w:bCs/>
          <w:sz w:val="24"/>
          <w:szCs w:val="24"/>
        </w:rPr>
      </w:pPr>
      <w:r>
        <w:rPr>
          <w:b/>
          <w:bCs/>
          <w:sz w:val="24"/>
          <w:szCs w:val="24"/>
        </w:rPr>
        <w:lastRenderedPageBreak/>
        <w:t>Supplementary Table S1</w:t>
      </w:r>
      <w:r w:rsidRPr="0051716F">
        <w:rPr>
          <w:b/>
          <w:bCs/>
          <w:sz w:val="24"/>
          <w:szCs w:val="24"/>
        </w:rPr>
        <w:t xml:space="preserve">   Responses to individual items of the IBD-Control-8</w:t>
      </w:r>
      <w:r>
        <w:rPr>
          <w:b/>
          <w:bCs/>
          <w:sz w:val="24"/>
          <w:szCs w:val="24"/>
        </w:rPr>
        <w:t>, overall and by self-reported diagnosis</w:t>
      </w:r>
      <w:r w:rsidR="00733AC9">
        <w:rPr>
          <w:b/>
          <w:bCs/>
          <w:sz w:val="24"/>
          <w:szCs w:val="24"/>
        </w:rPr>
        <w:t xml:space="preserve"> (as shown in Figure 1)</w:t>
      </w:r>
    </w:p>
    <w:tbl>
      <w:tblPr>
        <w:tblW w:w="9240" w:type="dxa"/>
        <w:tblLook w:val="04A0" w:firstRow="1" w:lastRow="0" w:firstColumn="1" w:lastColumn="0" w:noHBand="0" w:noVBand="1"/>
      </w:tblPr>
      <w:tblGrid>
        <w:gridCol w:w="4560"/>
        <w:gridCol w:w="1160"/>
        <w:gridCol w:w="1180"/>
        <w:gridCol w:w="1180"/>
        <w:gridCol w:w="1160"/>
      </w:tblGrid>
      <w:tr w:rsidR="00F321F2" w:rsidRPr="00F321F2" w14:paraId="001ABB4F" w14:textId="77777777" w:rsidTr="00F321F2">
        <w:trPr>
          <w:trHeight w:val="200"/>
        </w:trPr>
        <w:tc>
          <w:tcPr>
            <w:tcW w:w="456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6E35BF3" w14:textId="77777777" w:rsidR="00F321F2" w:rsidRPr="00F321F2" w:rsidRDefault="00F321F2" w:rsidP="00F321F2">
            <w:pPr>
              <w:spacing w:after="0" w:line="240" w:lineRule="auto"/>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Question Item</w:t>
            </w:r>
          </w:p>
        </w:tc>
        <w:tc>
          <w:tcPr>
            <w:tcW w:w="1160" w:type="dxa"/>
            <w:tcBorders>
              <w:top w:val="single" w:sz="4" w:space="0" w:color="auto"/>
              <w:left w:val="nil"/>
              <w:bottom w:val="single" w:sz="4" w:space="0" w:color="auto"/>
              <w:right w:val="single" w:sz="4" w:space="0" w:color="auto"/>
            </w:tcBorders>
            <w:shd w:val="clear" w:color="000000" w:fill="DDEBF7"/>
            <w:noWrap/>
            <w:vAlign w:val="center"/>
            <w:hideMark/>
          </w:tcPr>
          <w:p w14:paraId="0B4B6913"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Overall</w:t>
            </w:r>
          </w:p>
        </w:tc>
        <w:tc>
          <w:tcPr>
            <w:tcW w:w="1180" w:type="dxa"/>
            <w:tcBorders>
              <w:top w:val="single" w:sz="4" w:space="0" w:color="auto"/>
              <w:left w:val="nil"/>
              <w:bottom w:val="single" w:sz="4" w:space="0" w:color="auto"/>
              <w:right w:val="single" w:sz="4" w:space="0" w:color="auto"/>
            </w:tcBorders>
            <w:shd w:val="clear" w:color="000000" w:fill="DDEBF7"/>
            <w:noWrap/>
            <w:vAlign w:val="center"/>
            <w:hideMark/>
          </w:tcPr>
          <w:p w14:paraId="670AB1AD"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Crohn's disease</w:t>
            </w:r>
          </w:p>
        </w:tc>
        <w:tc>
          <w:tcPr>
            <w:tcW w:w="1180" w:type="dxa"/>
            <w:tcBorders>
              <w:top w:val="single" w:sz="4" w:space="0" w:color="auto"/>
              <w:left w:val="nil"/>
              <w:bottom w:val="single" w:sz="4" w:space="0" w:color="auto"/>
              <w:right w:val="single" w:sz="4" w:space="0" w:color="auto"/>
            </w:tcBorders>
            <w:shd w:val="clear" w:color="000000" w:fill="DDEBF7"/>
            <w:noWrap/>
            <w:vAlign w:val="center"/>
            <w:hideMark/>
          </w:tcPr>
          <w:p w14:paraId="204F2765"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Ulcerative colitis</w:t>
            </w:r>
          </w:p>
        </w:tc>
        <w:tc>
          <w:tcPr>
            <w:tcW w:w="1160" w:type="dxa"/>
            <w:tcBorders>
              <w:top w:val="single" w:sz="4" w:space="0" w:color="auto"/>
              <w:left w:val="nil"/>
              <w:bottom w:val="single" w:sz="4" w:space="0" w:color="auto"/>
              <w:right w:val="single" w:sz="4" w:space="0" w:color="auto"/>
            </w:tcBorders>
            <w:shd w:val="clear" w:color="000000" w:fill="DDEBF7"/>
            <w:noWrap/>
            <w:vAlign w:val="center"/>
            <w:hideMark/>
          </w:tcPr>
          <w:p w14:paraId="17A71699"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IBD unclassified</w:t>
            </w:r>
          </w:p>
        </w:tc>
      </w:tr>
      <w:tr w:rsidR="00F321F2" w:rsidRPr="00F321F2" w14:paraId="0F854BC5"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1C90835E" w14:textId="77777777" w:rsidR="00F321F2" w:rsidRPr="00F321F2" w:rsidRDefault="00F321F2" w:rsidP="00F321F2">
            <w:pPr>
              <w:spacing w:after="0" w:line="240" w:lineRule="auto"/>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14:paraId="6F0C736E"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n=7,337</w:t>
            </w:r>
          </w:p>
        </w:tc>
        <w:tc>
          <w:tcPr>
            <w:tcW w:w="1180" w:type="dxa"/>
            <w:tcBorders>
              <w:top w:val="nil"/>
              <w:left w:val="nil"/>
              <w:bottom w:val="single" w:sz="4" w:space="0" w:color="auto"/>
              <w:right w:val="single" w:sz="4" w:space="0" w:color="auto"/>
            </w:tcBorders>
            <w:shd w:val="clear" w:color="auto" w:fill="auto"/>
            <w:noWrap/>
            <w:vAlign w:val="center"/>
            <w:hideMark/>
          </w:tcPr>
          <w:p w14:paraId="4BB539B9"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n=3,808</w:t>
            </w:r>
          </w:p>
        </w:tc>
        <w:tc>
          <w:tcPr>
            <w:tcW w:w="1180" w:type="dxa"/>
            <w:tcBorders>
              <w:top w:val="nil"/>
              <w:left w:val="nil"/>
              <w:bottom w:val="single" w:sz="4" w:space="0" w:color="auto"/>
              <w:right w:val="single" w:sz="4" w:space="0" w:color="auto"/>
            </w:tcBorders>
            <w:shd w:val="clear" w:color="auto" w:fill="auto"/>
            <w:noWrap/>
            <w:vAlign w:val="center"/>
            <w:hideMark/>
          </w:tcPr>
          <w:p w14:paraId="0274444E"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n=3,298</w:t>
            </w:r>
          </w:p>
        </w:tc>
        <w:tc>
          <w:tcPr>
            <w:tcW w:w="1160" w:type="dxa"/>
            <w:tcBorders>
              <w:top w:val="nil"/>
              <w:left w:val="nil"/>
              <w:bottom w:val="single" w:sz="4" w:space="0" w:color="auto"/>
              <w:right w:val="single" w:sz="4" w:space="0" w:color="auto"/>
            </w:tcBorders>
            <w:shd w:val="clear" w:color="auto" w:fill="auto"/>
            <w:noWrap/>
            <w:vAlign w:val="center"/>
            <w:hideMark/>
          </w:tcPr>
          <w:p w14:paraId="416D0C7F"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n=231</w:t>
            </w:r>
          </w:p>
        </w:tc>
      </w:tr>
      <w:tr w:rsidR="00F321F2" w:rsidRPr="00F321F2" w14:paraId="269F8E5C"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07B870B4" w14:textId="77777777" w:rsidR="00F321F2" w:rsidRPr="00F321F2" w:rsidRDefault="00F321F2" w:rsidP="00F321F2">
            <w:pPr>
              <w:spacing w:after="0" w:line="240" w:lineRule="auto"/>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1a.   Your IBD has been well controlled in the past two weeks?</w:t>
            </w:r>
          </w:p>
        </w:tc>
        <w:tc>
          <w:tcPr>
            <w:tcW w:w="1160" w:type="dxa"/>
            <w:tcBorders>
              <w:top w:val="nil"/>
              <w:left w:val="nil"/>
              <w:bottom w:val="single" w:sz="4" w:space="0" w:color="auto"/>
              <w:right w:val="single" w:sz="4" w:space="0" w:color="auto"/>
            </w:tcBorders>
            <w:shd w:val="clear" w:color="auto" w:fill="auto"/>
            <w:noWrap/>
            <w:vAlign w:val="center"/>
            <w:hideMark/>
          </w:tcPr>
          <w:p w14:paraId="49C85C57"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auto"/>
            <w:noWrap/>
            <w:vAlign w:val="center"/>
            <w:hideMark/>
          </w:tcPr>
          <w:p w14:paraId="268B633A"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auto"/>
            <w:noWrap/>
            <w:vAlign w:val="center"/>
            <w:hideMark/>
          </w:tcPr>
          <w:p w14:paraId="4C6A77F2"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14:paraId="2B884A85"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w:t>
            </w:r>
          </w:p>
        </w:tc>
      </w:tr>
      <w:tr w:rsidR="00F321F2" w:rsidRPr="00F321F2" w14:paraId="01A716BE"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5225222F"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No</w:t>
            </w:r>
          </w:p>
        </w:tc>
        <w:tc>
          <w:tcPr>
            <w:tcW w:w="1160" w:type="dxa"/>
            <w:tcBorders>
              <w:top w:val="nil"/>
              <w:left w:val="nil"/>
              <w:bottom w:val="single" w:sz="4" w:space="0" w:color="auto"/>
              <w:right w:val="single" w:sz="4" w:space="0" w:color="auto"/>
            </w:tcBorders>
            <w:shd w:val="clear" w:color="auto" w:fill="auto"/>
            <w:noWrap/>
            <w:vAlign w:val="center"/>
            <w:hideMark/>
          </w:tcPr>
          <w:p w14:paraId="759D38D7"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1,382 (19%)</w:t>
            </w:r>
          </w:p>
        </w:tc>
        <w:tc>
          <w:tcPr>
            <w:tcW w:w="1180" w:type="dxa"/>
            <w:tcBorders>
              <w:top w:val="nil"/>
              <w:left w:val="nil"/>
              <w:bottom w:val="single" w:sz="4" w:space="0" w:color="auto"/>
              <w:right w:val="single" w:sz="4" w:space="0" w:color="auto"/>
            </w:tcBorders>
            <w:shd w:val="clear" w:color="auto" w:fill="auto"/>
            <w:noWrap/>
            <w:vAlign w:val="center"/>
            <w:hideMark/>
          </w:tcPr>
          <w:p w14:paraId="2B9A9328"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759 (20%)</w:t>
            </w:r>
          </w:p>
        </w:tc>
        <w:tc>
          <w:tcPr>
            <w:tcW w:w="1180" w:type="dxa"/>
            <w:tcBorders>
              <w:top w:val="nil"/>
              <w:left w:val="nil"/>
              <w:bottom w:val="single" w:sz="4" w:space="0" w:color="auto"/>
              <w:right w:val="single" w:sz="4" w:space="0" w:color="auto"/>
            </w:tcBorders>
            <w:shd w:val="clear" w:color="auto" w:fill="auto"/>
            <w:noWrap/>
            <w:vAlign w:val="center"/>
            <w:hideMark/>
          </w:tcPr>
          <w:p w14:paraId="640C3388"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572 (17%)</w:t>
            </w:r>
          </w:p>
        </w:tc>
        <w:tc>
          <w:tcPr>
            <w:tcW w:w="1160" w:type="dxa"/>
            <w:tcBorders>
              <w:top w:val="nil"/>
              <w:left w:val="nil"/>
              <w:bottom w:val="single" w:sz="4" w:space="0" w:color="auto"/>
              <w:right w:val="single" w:sz="4" w:space="0" w:color="auto"/>
            </w:tcBorders>
            <w:shd w:val="clear" w:color="auto" w:fill="auto"/>
            <w:noWrap/>
            <w:vAlign w:val="center"/>
            <w:hideMark/>
          </w:tcPr>
          <w:p w14:paraId="4321C59E"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51 (22%)</w:t>
            </w:r>
          </w:p>
        </w:tc>
      </w:tr>
      <w:tr w:rsidR="00F321F2" w:rsidRPr="00F321F2" w14:paraId="2ABA7DBE"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0220306C"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Not sure</w:t>
            </w:r>
          </w:p>
        </w:tc>
        <w:tc>
          <w:tcPr>
            <w:tcW w:w="1160" w:type="dxa"/>
            <w:tcBorders>
              <w:top w:val="nil"/>
              <w:left w:val="nil"/>
              <w:bottom w:val="single" w:sz="4" w:space="0" w:color="auto"/>
              <w:right w:val="single" w:sz="4" w:space="0" w:color="auto"/>
            </w:tcBorders>
            <w:shd w:val="clear" w:color="auto" w:fill="auto"/>
            <w:noWrap/>
            <w:vAlign w:val="center"/>
            <w:hideMark/>
          </w:tcPr>
          <w:p w14:paraId="27EE57F5"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459 (6.3%)</w:t>
            </w:r>
          </w:p>
        </w:tc>
        <w:tc>
          <w:tcPr>
            <w:tcW w:w="1180" w:type="dxa"/>
            <w:tcBorders>
              <w:top w:val="nil"/>
              <w:left w:val="nil"/>
              <w:bottom w:val="single" w:sz="4" w:space="0" w:color="auto"/>
              <w:right w:val="single" w:sz="4" w:space="0" w:color="auto"/>
            </w:tcBorders>
            <w:shd w:val="clear" w:color="auto" w:fill="auto"/>
            <w:noWrap/>
            <w:vAlign w:val="center"/>
            <w:hideMark/>
          </w:tcPr>
          <w:p w14:paraId="7DB1243B"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277 (7.3%)</w:t>
            </w:r>
          </w:p>
        </w:tc>
        <w:tc>
          <w:tcPr>
            <w:tcW w:w="1180" w:type="dxa"/>
            <w:tcBorders>
              <w:top w:val="nil"/>
              <w:left w:val="nil"/>
              <w:bottom w:val="single" w:sz="4" w:space="0" w:color="auto"/>
              <w:right w:val="single" w:sz="4" w:space="0" w:color="auto"/>
            </w:tcBorders>
            <w:shd w:val="clear" w:color="auto" w:fill="auto"/>
            <w:noWrap/>
            <w:vAlign w:val="center"/>
            <w:hideMark/>
          </w:tcPr>
          <w:p w14:paraId="0FC7F544"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162 (4.9%)</w:t>
            </w:r>
          </w:p>
        </w:tc>
        <w:tc>
          <w:tcPr>
            <w:tcW w:w="1160" w:type="dxa"/>
            <w:tcBorders>
              <w:top w:val="nil"/>
              <w:left w:val="nil"/>
              <w:bottom w:val="single" w:sz="4" w:space="0" w:color="auto"/>
              <w:right w:val="single" w:sz="4" w:space="0" w:color="auto"/>
            </w:tcBorders>
            <w:shd w:val="clear" w:color="auto" w:fill="auto"/>
            <w:noWrap/>
            <w:vAlign w:val="center"/>
            <w:hideMark/>
          </w:tcPr>
          <w:p w14:paraId="0518FD4F"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20 (8.7%)</w:t>
            </w:r>
          </w:p>
        </w:tc>
      </w:tr>
      <w:tr w:rsidR="00F321F2" w:rsidRPr="00F321F2" w14:paraId="526BAD6B"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4F76A4C9"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Yes</w:t>
            </w:r>
          </w:p>
        </w:tc>
        <w:tc>
          <w:tcPr>
            <w:tcW w:w="1160" w:type="dxa"/>
            <w:tcBorders>
              <w:top w:val="nil"/>
              <w:left w:val="nil"/>
              <w:bottom w:val="single" w:sz="4" w:space="0" w:color="auto"/>
              <w:right w:val="single" w:sz="4" w:space="0" w:color="auto"/>
            </w:tcBorders>
            <w:shd w:val="clear" w:color="auto" w:fill="auto"/>
            <w:noWrap/>
            <w:vAlign w:val="center"/>
            <w:hideMark/>
          </w:tcPr>
          <w:p w14:paraId="159C86CB"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5,496 (75%)</w:t>
            </w:r>
          </w:p>
        </w:tc>
        <w:tc>
          <w:tcPr>
            <w:tcW w:w="1180" w:type="dxa"/>
            <w:tcBorders>
              <w:top w:val="nil"/>
              <w:left w:val="nil"/>
              <w:bottom w:val="single" w:sz="4" w:space="0" w:color="auto"/>
              <w:right w:val="single" w:sz="4" w:space="0" w:color="auto"/>
            </w:tcBorders>
            <w:shd w:val="clear" w:color="auto" w:fill="auto"/>
            <w:noWrap/>
            <w:vAlign w:val="center"/>
            <w:hideMark/>
          </w:tcPr>
          <w:p w14:paraId="30EBD012"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2,772 (73%)</w:t>
            </w:r>
          </w:p>
        </w:tc>
        <w:tc>
          <w:tcPr>
            <w:tcW w:w="1180" w:type="dxa"/>
            <w:tcBorders>
              <w:top w:val="nil"/>
              <w:left w:val="nil"/>
              <w:bottom w:val="single" w:sz="4" w:space="0" w:color="auto"/>
              <w:right w:val="single" w:sz="4" w:space="0" w:color="auto"/>
            </w:tcBorders>
            <w:shd w:val="clear" w:color="auto" w:fill="auto"/>
            <w:noWrap/>
            <w:vAlign w:val="center"/>
            <w:hideMark/>
          </w:tcPr>
          <w:p w14:paraId="619A1076"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2,564 (78%)</w:t>
            </w:r>
          </w:p>
        </w:tc>
        <w:tc>
          <w:tcPr>
            <w:tcW w:w="1160" w:type="dxa"/>
            <w:tcBorders>
              <w:top w:val="nil"/>
              <w:left w:val="nil"/>
              <w:bottom w:val="single" w:sz="4" w:space="0" w:color="auto"/>
              <w:right w:val="single" w:sz="4" w:space="0" w:color="auto"/>
            </w:tcBorders>
            <w:shd w:val="clear" w:color="auto" w:fill="auto"/>
            <w:noWrap/>
            <w:vAlign w:val="center"/>
            <w:hideMark/>
          </w:tcPr>
          <w:p w14:paraId="6E767B78"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160 (69%)</w:t>
            </w:r>
          </w:p>
        </w:tc>
      </w:tr>
      <w:tr w:rsidR="00F321F2" w:rsidRPr="00F321F2" w14:paraId="63BB4162"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07E8C169" w14:textId="77777777" w:rsidR="00F321F2" w:rsidRPr="00F321F2" w:rsidRDefault="00F321F2" w:rsidP="00F321F2">
            <w:pPr>
              <w:spacing w:after="0" w:line="240" w:lineRule="auto"/>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1b.   Your current treatment is useful in controlling your IBD?</w:t>
            </w:r>
          </w:p>
        </w:tc>
        <w:tc>
          <w:tcPr>
            <w:tcW w:w="1160" w:type="dxa"/>
            <w:tcBorders>
              <w:top w:val="nil"/>
              <w:left w:val="nil"/>
              <w:bottom w:val="single" w:sz="4" w:space="0" w:color="auto"/>
              <w:right w:val="single" w:sz="4" w:space="0" w:color="auto"/>
            </w:tcBorders>
            <w:shd w:val="clear" w:color="auto" w:fill="auto"/>
            <w:noWrap/>
            <w:vAlign w:val="center"/>
            <w:hideMark/>
          </w:tcPr>
          <w:p w14:paraId="07507CF7"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auto"/>
            <w:noWrap/>
            <w:vAlign w:val="center"/>
            <w:hideMark/>
          </w:tcPr>
          <w:p w14:paraId="35D6BC77"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auto"/>
            <w:noWrap/>
            <w:vAlign w:val="center"/>
            <w:hideMark/>
          </w:tcPr>
          <w:p w14:paraId="0A08E592"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14:paraId="125BB855"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w:t>
            </w:r>
          </w:p>
        </w:tc>
      </w:tr>
      <w:tr w:rsidR="00F321F2" w:rsidRPr="00F321F2" w14:paraId="78A43AC4"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21C848C3"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No</w:t>
            </w:r>
          </w:p>
        </w:tc>
        <w:tc>
          <w:tcPr>
            <w:tcW w:w="1160" w:type="dxa"/>
            <w:tcBorders>
              <w:top w:val="nil"/>
              <w:left w:val="nil"/>
              <w:bottom w:val="single" w:sz="4" w:space="0" w:color="auto"/>
              <w:right w:val="single" w:sz="4" w:space="0" w:color="auto"/>
            </w:tcBorders>
            <w:shd w:val="clear" w:color="auto" w:fill="auto"/>
            <w:noWrap/>
            <w:vAlign w:val="center"/>
            <w:hideMark/>
          </w:tcPr>
          <w:p w14:paraId="1B9C137E"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307 (4.2%)</w:t>
            </w:r>
          </w:p>
        </w:tc>
        <w:tc>
          <w:tcPr>
            <w:tcW w:w="1180" w:type="dxa"/>
            <w:tcBorders>
              <w:top w:val="nil"/>
              <w:left w:val="nil"/>
              <w:bottom w:val="single" w:sz="4" w:space="0" w:color="auto"/>
              <w:right w:val="single" w:sz="4" w:space="0" w:color="auto"/>
            </w:tcBorders>
            <w:shd w:val="clear" w:color="auto" w:fill="auto"/>
            <w:noWrap/>
            <w:vAlign w:val="center"/>
            <w:hideMark/>
          </w:tcPr>
          <w:p w14:paraId="4DA49A85"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165 (4.3%)</w:t>
            </w:r>
          </w:p>
        </w:tc>
        <w:tc>
          <w:tcPr>
            <w:tcW w:w="1180" w:type="dxa"/>
            <w:tcBorders>
              <w:top w:val="nil"/>
              <w:left w:val="nil"/>
              <w:bottom w:val="single" w:sz="4" w:space="0" w:color="auto"/>
              <w:right w:val="single" w:sz="4" w:space="0" w:color="auto"/>
            </w:tcBorders>
            <w:shd w:val="clear" w:color="auto" w:fill="auto"/>
            <w:noWrap/>
            <w:vAlign w:val="center"/>
            <w:hideMark/>
          </w:tcPr>
          <w:p w14:paraId="3EC8C0AD"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136 (4.1%)</w:t>
            </w:r>
          </w:p>
        </w:tc>
        <w:tc>
          <w:tcPr>
            <w:tcW w:w="1160" w:type="dxa"/>
            <w:tcBorders>
              <w:top w:val="nil"/>
              <w:left w:val="nil"/>
              <w:bottom w:val="single" w:sz="4" w:space="0" w:color="auto"/>
              <w:right w:val="single" w:sz="4" w:space="0" w:color="auto"/>
            </w:tcBorders>
            <w:shd w:val="clear" w:color="auto" w:fill="auto"/>
            <w:noWrap/>
            <w:vAlign w:val="center"/>
            <w:hideMark/>
          </w:tcPr>
          <w:p w14:paraId="369476F4"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6 (2.6%)</w:t>
            </w:r>
          </w:p>
        </w:tc>
      </w:tr>
      <w:tr w:rsidR="00F321F2" w:rsidRPr="00F321F2" w14:paraId="02015B25"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4F6F6005"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Not sure</w:t>
            </w:r>
          </w:p>
        </w:tc>
        <w:tc>
          <w:tcPr>
            <w:tcW w:w="1160" w:type="dxa"/>
            <w:tcBorders>
              <w:top w:val="nil"/>
              <w:left w:val="nil"/>
              <w:bottom w:val="single" w:sz="4" w:space="0" w:color="auto"/>
              <w:right w:val="single" w:sz="4" w:space="0" w:color="auto"/>
            </w:tcBorders>
            <w:shd w:val="clear" w:color="auto" w:fill="auto"/>
            <w:noWrap/>
            <w:vAlign w:val="center"/>
            <w:hideMark/>
          </w:tcPr>
          <w:p w14:paraId="7EC39287"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1,189 (16%)</w:t>
            </w:r>
          </w:p>
        </w:tc>
        <w:tc>
          <w:tcPr>
            <w:tcW w:w="1180" w:type="dxa"/>
            <w:tcBorders>
              <w:top w:val="nil"/>
              <w:left w:val="nil"/>
              <w:bottom w:val="single" w:sz="4" w:space="0" w:color="auto"/>
              <w:right w:val="single" w:sz="4" w:space="0" w:color="auto"/>
            </w:tcBorders>
            <w:shd w:val="clear" w:color="auto" w:fill="auto"/>
            <w:noWrap/>
            <w:vAlign w:val="center"/>
            <w:hideMark/>
          </w:tcPr>
          <w:p w14:paraId="2FD948C5"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703 (18%)</w:t>
            </w:r>
          </w:p>
        </w:tc>
        <w:tc>
          <w:tcPr>
            <w:tcW w:w="1180" w:type="dxa"/>
            <w:tcBorders>
              <w:top w:val="nil"/>
              <w:left w:val="nil"/>
              <w:bottom w:val="single" w:sz="4" w:space="0" w:color="auto"/>
              <w:right w:val="single" w:sz="4" w:space="0" w:color="auto"/>
            </w:tcBorders>
            <w:shd w:val="clear" w:color="auto" w:fill="auto"/>
            <w:noWrap/>
            <w:vAlign w:val="center"/>
            <w:hideMark/>
          </w:tcPr>
          <w:p w14:paraId="3DC96DA1"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426 (13%)</w:t>
            </w:r>
          </w:p>
        </w:tc>
        <w:tc>
          <w:tcPr>
            <w:tcW w:w="1160" w:type="dxa"/>
            <w:tcBorders>
              <w:top w:val="nil"/>
              <w:left w:val="nil"/>
              <w:bottom w:val="single" w:sz="4" w:space="0" w:color="auto"/>
              <w:right w:val="single" w:sz="4" w:space="0" w:color="auto"/>
            </w:tcBorders>
            <w:shd w:val="clear" w:color="auto" w:fill="auto"/>
            <w:noWrap/>
            <w:vAlign w:val="center"/>
            <w:hideMark/>
          </w:tcPr>
          <w:p w14:paraId="737F9EF0"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60 (26%)</w:t>
            </w:r>
          </w:p>
        </w:tc>
      </w:tr>
      <w:tr w:rsidR="00F321F2" w:rsidRPr="00F321F2" w14:paraId="3CA596C8"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09125AF5"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Yes</w:t>
            </w:r>
          </w:p>
        </w:tc>
        <w:tc>
          <w:tcPr>
            <w:tcW w:w="1160" w:type="dxa"/>
            <w:tcBorders>
              <w:top w:val="nil"/>
              <w:left w:val="nil"/>
              <w:bottom w:val="single" w:sz="4" w:space="0" w:color="auto"/>
              <w:right w:val="single" w:sz="4" w:space="0" w:color="auto"/>
            </w:tcBorders>
            <w:shd w:val="clear" w:color="auto" w:fill="auto"/>
            <w:noWrap/>
            <w:vAlign w:val="center"/>
            <w:hideMark/>
          </w:tcPr>
          <w:p w14:paraId="20382B8B"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5,841 (80%)</w:t>
            </w:r>
          </w:p>
        </w:tc>
        <w:tc>
          <w:tcPr>
            <w:tcW w:w="1180" w:type="dxa"/>
            <w:tcBorders>
              <w:top w:val="nil"/>
              <w:left w:val="nil"/>
              <w:bottom w:val="single" w:sz="4" w:space="0" w:color="auto"/>
              <w:right w:val="single" w:sz="4" w:space="0" w:color="auto"/>
            </w:tcBorders>
            <w:shd w:val="clear" w:color="auto" w:fill="auto"/>
            <w:noWrap/>
            <w:vAlign w:val="center"/>
            <w:hideMark/>
          </w:tcPr>
          <w:p w14:paraId="25EB495B"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2,940 (77%)</w:t>
            </w:r>
          </w:p>
        </w:tc>
        <w:tc>
          <w:tcPr>
            <w:tcW w:w="1180" w:type="dxa"/>
            <w:tcBorders>
              <w:top w:val="nil"/>
              <w:left w:val="nil"/>
              <w:bottom w:val="single" w:sz="4" w:space="0" w:color="auto"/>
              <w:right w:val="single" w:sz="4" w:space="0" w:color="auto"/>
            </w:tcBorders>
            <w:shd w:val="clear" w:color="auto" w:fill="auto"/>
            <w:noWrap/>
            <w:vAlign w:val="center"/>
            <w:hideMark/>
          </w:tcPr>
          <w:p w14:paraId="4E69F8CB"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2,736 (83%)</w:t>
            </w:r>
          </w:p>
        </w:tc>
        <w:tc>
          <w:tcPr>
            <w:tcW w:w="1160" w:type="dxa"/>
            <w:tcBorders>
              <w:top w:val="nil"/>
              <w:left w:val="nil"/>
              <w:bottom w:val="single" w:sz="4" w:space="0" w:color="auto"/>
              <w:right w:val="single" w:sz="4" w:space="0" w:color="auto"/>
            </w:tcBorders>
            <w:shd w:val="clear" w:color="auto" w:fill="auto"/>
            <w:noWrap/>
            <w:vAlign w:val="center"/>
            <w:hideMark/>
          </w:tcPr>
          <w:p w14:paraId="527A65F0"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165 (71%)</w:t>
            </w:r>
          </w:p>
        </w:tc>
      </w:tr>
      <w:tr w:rsidR="00F321F2" w:rsidRPr="00F321F2" w14:paraId="60B955B6"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37965464" w14:textId="77777777" w:rsidR="00F321F2" w:rsidRPr="00F321F2" w:rsidRDefault="00F321F2" w:rsidP="00F321F2">
            <w:pPr>
              <w:spacing w:after="0" w:line="240" w:lineRule="auto"/>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2.   Have your bowel symptoms been getting worse, getting better or not changed?</w:t>
            </w:r>
          </w:p>
        </w:tc>
        <w:tc>
          <w:tcPr>
            <w:tcW w:w="1160" w:type="dxa"/>
            <w:tcBorders>
              <w:top w:val="nil"/>
              <w:left w:val="nil"/>
              <w:bottom w:val="single" w:sz="4" w:space="0" w:color="auto"/>
              <w:right w:val="single" w:sz="4" w:space="0" w:color="auto"/>
            </w:tcBorders>
            <w:shd w:val="clear" w:color="auto" w:fill="auto"/>
            <w:noWrap/>
            <w:vAlign w:val="center"/>
            <w:hideMark/>
          </w:tcPr>
          <w:p w14:paraId="1D306316"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auto"/>
            <w:noWrap/>
            <w:vAlign w:val="center"/>
            <w:hideMark/>
          </w:tcPr>
          <w:p w14:paraId="645605E7"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auto"/>
            <w:noWrap/>
            <w:vAlign w:val="center"/>
            <w:hideMark/>
          </w:tcPr>
          <w:p w14:paraId="532D50A0"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14:paraId="0C7ADE93"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w:t>
            </w:r>
          </w:p>
        </w:tc>
      </w:tr>
      <w:tr w:rsidR="00F321F2" w:rsidRPr="00F321F2" w14:paraId="3A757748"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411A1CAE"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Better</w:t>
            </w:r>
          </w:p>
        </w:tc>
        <w:tc>
          <w:tcPr>
            <w:tcW w:w="1160" w:type="dxa"/>
            <w:tcBorders>
              <w:top w:val="nil"/>
              <w:left w:val="nil"/>
              <w:bottom w:val="single" w:sz="4" w:space="0" w:color="auto"/>
              <w:right w:val="single" w:sz="4" w:space="0" w:color="auto"/>
            </w:tcBorders>
            <w:shd w:val="clear" w:color="auto" w:fill="auto"/>
            <w:noWrap/>
            <w:vAlign w:val="center"/>
            <w:hideMark/>
          </w:tcPr>
          <w:p w14:paraId="21CB18D4"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430 (5.9%)</w:t>
            </w:r>
          </w:p>
        </w:tc>
        <w:tc>
          <w:tcPr>
            <w:tcW w:w="1180" w:type="dxa"/>
            <w:tcBorders>
              <w:top w:val="nil"/>
              <w:left w:val="nil"/>
              <w:bottom w:val="single" w:sz="4" w:space="0" w:color="auto"/>
              <w:right w:val="single" w:sz="4" w:space="0" w:color="auto"/>
            </w:tcBorders>
            <w:shd w:val="clear" w:color="auto" w:fill="auto"/>
            <w:noWrap/>
            <w:vAlign w:val="center"/>
            <w:hideMark/>
          </w:tcPr>
          <w:p w14:paraId="078439C9"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186 (4.9%)</w:t>
            </w:r>
          </w:p>
        </w:tc>
        <w:tc>
          <w:tcPr>
            <w:tcW w:w="1180" w:type="dxa"/>
            <w:tcBorders>
              <w:top w:val="nil"/>
              <w:left w:val="nil"/>
              <w:bottom w:val="single" w:sz="4" w:space="0" w:color="auto"/>
              <w:right w:val="single" w:sz="4" w:space="0" w:color="auto"/>
            </w:tcBorders>
            <w:shd w:val="clear" w:color="auto" w:fill="auto"/>
            <w:noWrap/>
            <w:vAlign w:val="center"/>
            <w:hideMark/>
          </w:tcPr>
          <w:p w14:paraId="76A99368"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226 (6.9%)</w:t>
            </w:r>
          </w:p>
        </w:tc>
        <w:tc>
          <w:tcPr>
            <w:tcW w:w="1160" w:type="dxa"/>
            <w:tcBorders>
              <w:top w:val="nil"/>
              <w:left w:val="nil"/>
              <w:bottom w:val="single" w:sz="4" w:space="0" w:color="auto"/>
              <w:right w:val="single" w:sz="4" w:space="0" w:color="auto"/>
            </w:tcBorders>
            <w:shd w:val="clear" w:color="auto" w:fill="auto"/>
            <w:noWrap/>
            <w:vAlign w:val="center"/>
            <w:hideMark/>
          </w:tcPr>
          <w:p w14:paraId="6288F03E"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18 (7.8%)</w:t>
            </w:r>
          </w:p>
        </w:tc>
      </w:tr>
      <w:tr w:rsidR="00F321F2" w:rsidRPr="00F321F2" w14:paraId="31EA9D4E"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476DC931"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No change</w:t>
            </w:r>
          </w:p>
        </w:tc>
        <w:tc>
          <w:tcPr>
            <w:tcW w:w="1160" w:type="dxa"/>
            <w:tcBorders>
              <w:top w:val="nil"/>
              <w:left w:val="nil"/>
              <w:bottom w:val="single" w:sz="4" w:space="0" w:color="auto"/>
              <w:right w:val="single" w:sz="4" w:space="0" w:color="auto"/>
            </w:tcBorders>
            <w:shd w:val="clear" w:color="auto" w:fill="auto"/>
            <w:noWrap/>
            <w:vAlign w:val="center"/>
            <w:hideMark/>
          </w:tcPr>
          <w:p w14:paraId="59CC33F1"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5,700 (78%)</w:t>
            </w:r>
          </w:p>
        </w:tc>
        <w:tc>
          <w:tcPr>
            <w:tcW w:w="1180" w:type="dxa"/>
            <w:tcBorders>
              <w:top w:val="nil"/>
              <w:left w:val="nil"/>
              <w:bottom w:val="single" w:sz="4" w:space="0" w:color="auto"/>
              <w:right w:val="single" w:sz="4" w:space="0" w:color="auto"/>
            </w:tcBorders>
            <w:shd w:val="clear" w:color="auto" w:fill="auto"/>
            <w:noWrap/>
            <w:vAlign w:val="center"/>
            <w:hideMark/>
          </w:tcPr>
          <w:p w14:paraId="09F187E9"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2,967 (78%)</w:t>
            </w:r>
          </w:p>
        </w:tc>
        <w:tc>
          <w:tcPr>
            <w:tcW w:w="1180" w:type="dxa"/>
            <w:tcBorders>
              <w:top w:val="nil"/>
              <w:left w:val="nil"/>
              <w:bottom w:val="single" w:sz="4" w:space="0" w:color="auto"/>
              <w:right w:val="single" w:sz="4" w:space="0" w:color="auto"/>
            </w:tcBorders>
            <w:shd w:val="clear" w:color="auto" w:fill="auto"/>
            <w:noWrap/>
            <w:vAlign w:val="center"/>
            <w:hideMark/>
          </w:tcPr>
          <w:p w14:paraId="11F7A394"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2,555 (77%)</w:t>
            </w:r>
          </w:p>
        </w:tc>
        <w:tc>
          <w:tcPr>
            <w:tcW w:w="1160" w:type="dxa"/>
            <w:tcBorders>
              <w:top w:val="nil"/>
              <w:left w:val="nil"/>
              <w:bottom w:val="single" w:sz="4" w:space="0" w:color="auto"/>
              <w:right w:val="single" w:sz="4" w:space="0" w:color="auto"/>
            </w:tcBorders>
            <w:shd w:val="clear" w:color="auto" w:fill="auto"/>
            <w:noWrap/>
            <w:vAlign w:val="center"/>
            <w:hideMark/>
          </w:tcPr>
          <w:p w14:paraId="644B2580"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178 (77%)</w:t>
            </w:r>
          </w:p>
        </w:tc>
      </w:tr>
      <w:tr w:rsidR="00F321F2" w:rsidRPr="00F321F2" w14:paraId="336ADBE2"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10A19234"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Worse</w:t>
            </w:r>
          </w:p>
        </w:tc>
        <w:tc>
          <w:tcPr>
            <w:tcW w:w="1160" w:type="dxa"/>
            <w:tcBorders>
              <w:top w:val="nil"/>
              <w:left w:val="nil"/>
              <w:bottom w:val="single" w:sz="4" w:space="0" w:color="auto"/>
              <w:right w:val="single" w:sz="4" w:space="0" w:color="auto"/>
            </w:tcBorders>
            <w:shd w:val="clear" w:color="auto" w:fill="auto"/>
            <w:noWrap/>
            <w:vAlign w:val="center"/>
            <w:hideMark/>
          </w:tcPr>
          <w:p w14:paraId="217298B4"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1,207 (16%)</w:t>
            </w:r>
          </w:p>
        </w:tc>
        <w:tc>
          <w:tcPr>
            <w:tcW w:w="1180" w:type="dxa"/>
            <w:tcBorders>
              <w:top w:val="nil"/>
              <w:left w:val="nil"/>
              <w:bottom w:val="single" w:sz="4" w:space="0" w:color="auto"/>
              <w:right w:val="single" w:sz="4" w:space="0" w:color="auto"/>
            </w:tcBorders>
            <w:shd w:val="clear" w:color="auto" w:fill="auto"/>
            <w:noWrap/>
            <w:vAlign w:val="center"/>
            <w:hideMark/>
          </w:tcPr>
          <w:p w14:paraId="4458F3A1"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655 (17%)</w:t>
            </w:r>
          </w:p>
        </w:tc>
        <w:tc>
          <w:tcPr>
            <w:tcW w:w="1180" w:type="dxa"/>
            <w:tcBorders>
              <w:top w:val="nil"/>
              <w:left w:val="nil"/>
              <w:bottom w:val="single" w:sz="4" w:space="0" w:color="auto"/>
              <w:right w:val="single" w:sz="4" w:space="0" w:color="auto"/>
            </w:tcBorders>
            <w:shd w:val="clear" w:color="auto" w:fill="auto"/>
            <w:noWrap/>
            <w:vAlign w:val="center"/>
            <w:hideMark/>
          </w:tcPr>
          <w:p w14:paraId="238730D8"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517 (16%)</w:t>
            </w:r>
          </w:p>
        </w:tc>
        <w:tc>
          <w:tcPr>
            <w:tcW w:w="1160" w:type="dxa"/>
            <w:tcBorders>
              <w:top w:val="nil"/>
              <w:left w:val="nil"/>
              <w:bottom w:val="single" w:sz="4" w:space="0" w:color="auto"/>
              <w:right w:val="single" w:sz="4" w:space="0" w:color="auto"/>
            </w:tcBorders>
            <w:shd w:val="clear" w:color="auto" w:fill="auto"/>
            <w:noWrap/>
            <w:vAlign w:val="center"/>
            <w:hideMark/>
          </w:tcPr>
          <w:p w14:paraId="1469A1A4"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35 (15%)</w:t>
            </w:r>
          </w:p>
        </w:tc>
      </w:tr>
      <w:tr w:rsidR="00F321F2" w:rsidRPr="00F321F2" w14:paraId="57983EBB"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258235A2" w14:textId="77777777" w:rsidR="00F321F2" w:rsidRPr="00F321F2" w:rsidRDefault="00F321F2" w:rsidP="00F321F2">
            <w:pPr>
              <w:spacing w:after="0" w:line="240" w:lineRule="auto"/>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3a.  Miss any planned activities because of IBD?</w:t>
            </w:r>
          </w:p>
        </w:tc>
        <w:tc>
          <w:tcPr>
            <w:tcW w:w="1160" w:type="dxa"/>
            <w:tcBorders>
              <w:top w:val="nil"/>
              <w:left w:val="nil"/>
              <w:bottom w:val="single" w:sz="4" w:space="0" w:color="auto"/>
              <w:right w:val="single" w:sz="4" w:space="0" w:color="auto"/>
            </w:tcBorders>
            <w:shd w:val="clear" w:color="auto" w:fill="auto"/>
            <w:noWrap/>
            <w:vAlign w:val="center"/>
            <w:hideMark/>
          </w:tcPr>
          <w:p w14:paraId="0F505B1A"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auto"/>
            <w:noWrap/>
            <w:vAlign w:val="center"/>
            <w:hideMark/>
          </w:tcPr>
          <w:p w14:paraId="18C3A05B" w14:textId="77777777" w:rsidR="00F321F2" w:rsidRPr="00F321F2" w:rsidRDefault="00F321F2" w:rsidP="00F321F2">
            <w:pPr>
              <w:spacing w:after="0" w:line="240" w:lineRule="auto"/>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auto"/>
            <w:noWrap/>
            <w:vAlign w:val="center"/>
            <w:hideMark/>
          </w:tcPr>
          <w:p w14:paraId="23EB8778" w14:textId="77777777" w:rsidR="00F321F2" w:rsidRPr="00F321F2" w:rsidRDefault="00F321F2" w:rsidP="00F321F2">
            <w:pPr>
              <w:spacing w:after="0" w:line="240" w:lineRule="auto"/>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14:paraId="1DB8DA37" w14:textId="77777777" w:rsidR="00F321F2" w:rsidRPr="00F321F2" w:rsidRDefault="00F321F2" w:rsidP="00F321F2">
            <w:pPr>
              <w:spacing w:after="0" w:line="240" w:lineRule="auto"/>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r>
      <w:tr w:rsidR="00F321F2" w:rsidRPr="00F321F2" w14:paraId="7FC7C6E4"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06AB621B"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Yes</w:t>
            </w:r>
          </w:p>
        </w:tc>
        <w:tc>
          <w:tcPr>
            <w:tcW w:w="1160" w:type="dxa"/>
            <w:tcBorders>
              <w:top w:val="nil"/>
              <w:left w:val="nil"/>
              <w:bottom w:val="single" w:sz="4" w:space="0" w:color="auto"/>
              <w:right w:val="single" w:sz="4" w:space="0" w:color="auto"/>
            </w:tcBorders>
            <w:shd w:val="clear" w:color="auto" w:fill="auto"/>
            <w:noWrap/>
            <w:vAlign w:val="center"/>
            <w:hideMark/>
          </w:tcPr>
          <w:p w14:paraId="77DF54EF"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1,527 (21%)</w:t>
            </w:r>
          </w:p>
        </w:tc>
        <w:tc>
          <w:tcPr>
            <w:tcW w:w="1180" w:type="dxa"/>
            <w:tcBorders>
              <w:top w:val="nil"/>
              <w:left w:val="nil"/>
              <w:bottom w:val="single" w:sz="4" w:space="0" w:color="auto"/>
              <w:right w:val="single" w:sz="4" w:space="0" w:color="auto"/>
            </w:tcBorders>
            <w:shd w:val="clear" w:color="auto" w:fill="auto"/>
            <w:noWrap/>
            <w:vAlign w:val="center"/>
            <w:hideMark/>
          </w:tcPr>
          <w:p w14:paraId="4DCA5EB1"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921 (24%)</w:t>
            </w:r>
          </w:p>
        </w:tc>
        <w:tc>
          <w:tcPr>
            <w:tcW w:w="1180" w:type="dxa"/>
            <w:tcBorders>
              <w:top w:val="nil"/>
              <w:left w:val="nil"/>
              <w:bottom w:val="single" w:sz="4" w:space="0" w:color="auto"/>
              <w:right w:val="single" w:sz="4" w:space="0" w:color="auto"/>
            </w:tcBorders>
            <w:shd w:val="clear" w:color="auto" w:fill="auto"/>
            <w:noWrap/>
            <w:vAlign w:val="center"/>
            <w:hideMark/>
          </w:tcPr>
          <w:p w14:paraId="679F8E88"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551 (17%)</w:t>
            </w:r>
          </w:p>
        </w:tc>
        <w:tc>
          <w:tcPr>
            <w:tcW w:w="1160" w:type="dxa"/>
            <w:tcBorders>
              <w:top w:val="nil"/>
              <w:left w:val="nil"/>
              <w:bottom w:val="single" w:sz="4" w:space="0" w:color="auto"/>
              <w:right w:val="single" w:sz="4" w:space="0" w:color="auto"/>
            </w:tcBorders>
            <w:shd w:val="clear" w:color="auto" w:fill="auto"/>
            <w:noWrap/>
            <w:vAlign w:val="center"/>
            <w:hideMark/>
          </w:tcPr>
          <w:p w14:paraId="6F2BD643"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55 (24%)</w:t>
            </w:r>
          </w:p>
        </w:tc>
      </w:tr>
      <w:tr w:rsidR="00F321F2" w:rsidRPr="00F321F2" w14:paraId="28BC24B3"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2E261117"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Not sure</w:t>
            </w:r>
          </w:p>
        </w:tc>
        <w:tc>
          <w:tcPr>
            <w:tcW w:w="1160" w:type="dxa"/>
            <w:tcBorders>
              <w:top w:val="nil"/>
              <w:left w:val="nil"/>
              <w:bottom w:val="single" w:sz="4" w:space="0" w:color="auto"/>
              <w:right w:val="single" w:sz="4" w:space="0" w:color="auto"/>
            </w:tcBorders>
            <w:shd w:val="clear" w:color="auto" w:fill="auto"/>
            <w:noWrap/>
            <w:vAlign w:val="center"/>
            <w:hideMark/>
          </w:tcPr>
          <w:p w14:paraId="056A675E"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77 (1.0%)</w:t>
            </w:r>
          </w:p>
        </w:tc>
        <w:tc>
          <w:tcPr>
            <w:tcW w:w="1180" w:type="dxa"/>
            <w:tcBorders>
              <w:top w:val="nil"/>
              <w:left w:val="nil"/>
              <w:bottom w:val="single" w:sz="4" w:space="0" w:color="auto"/>
              <w:right w:val="single" w:sz="4" w:space="0" w:color="auto"/>
            </w:tcBorders>
            <w:shd w:val="clear" w:color="auto" w:fill="auto"/>
            <w:noWrap/>
            <w:vAlign w:val="center"/>
            <w:hideMark/>
          </w:tcPr>
          <w:p w14:paraId="5E0C239D"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47 (1.2%)</w:t>
            </w:r>
          </w:p>
        </w:tc>
        <w:tc>
          <w:tcPr>
            <w:tcW w:w="1180" w:type="dxa"/>
            <w:tcBorders>
              <w:top w:val="nil"/>
              <w:left w:val="nil"/>
              <w:bottom w:val="single" w:sz="4" w:space="0" w:color="auto"/>
              <w:right w:val="single" w:sz="4" w:space="0" w:color="auto"/>
            </w:tcBorders>
            <w:shd w:val="clear" w:color="auto" w:fill="auto"/>
            <w:noWrap/>
            <w:vAlign w:val="center"/>
            <w:hideMark/>
          </w:tcPr>
          <w:p w14:paraId="12BF2D28"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28 (0.8%)</w:t>
            </w:r>
          </w:p>
        </w:tc>
        <w:tc>
          <w:tcPr>
            <w:tcW w:w="1160" w:type="dxa"/>
            <w:tcBorders>
              <w:top w:val="nil"/>
              <w:left w:val="nil"/>
              <w:bottom w:val="single" w:sz="4" w:space="0" w:color="auto"/>
              <w:right w:val="single" w:sz="4" w:space="0" w:color="auto"/>
            </w:tcBorders>
            <w:shd w:val="clear" w:color="auto" w:fill="auto"/>
            <w:noWrap/>
            <w:vAlign w:val="center"/>
            <w:hideMark/>
          </w:tcPr>
          <w:p w14:paraId="4B341951"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 (0.9%)</w:t>
            </w:r>
          </w:p>
        </w:tc>
      </w:tr>
      <w:tr w:rsidR="00F321F2" w:rsidRPr="00F321F2" w14:paraId="684F96C0"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54D8AC8F"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No</w:t>
            </w:r>
          </w:p>
        </w:tc>
        <w:tc>
          <w:tcPr>
            <w:tcW w:w="1160" w:type="dxa"/>
            <w:tcBorders>
              <w:top w:val="nil"/>
              <w:left w:val="nil"/>
              <w:bottom w:val="single" w:sz="4" w:space="0" w:color="auto"/>
              <w:right w:val="single" w:sz="4" w:space="0" w:color="auto"/>
            </w:tcBorders>
            <w:shd w:val="clear" w:color="auto" w:fill="auto"/>
            <w:noWrap/>
            <w:vAlign w:val="center"/>
            <w:hideMark/>
          </w:tcPr>
          <w:p w14:paraId="1760D95F"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5,733 (78%)</w:t>
            </w:r>
          </w:p>
        </w:tc>
        <w:tc>
          <w:tcPr>
            <w:tcW w:w="1180" w:type="dxa"/>
            <w:tcBorders>
              <w:top w:val="nil"/>
              <w:left w:val="nil"/>
              <w:bottom w:val="single" w:sz="4" w:space="0" w:color="auto"/>
              <w:right w:val="single" w:sz="4" w:space="0" w:color="auto"/>
            </w:tcBorders>
            <w:shd w:val="clear" w:color="auto" w:fill="auto"/>
            <w:noWrap/>
            <w:vAlign w:val="center"/>
            <w:hideMark/>
          </w:tcPr>
          <w:p w14:paraId="797FC8CE"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2,840 (75%)</w:t>
            </w:r>
          </w:p>
        </w:tc>
        <w:tc>
          <w:tcPr>
            <w:tcW w:w="1180" w:type="dxa"/>
            <w:tcBorders>
              <w:top w:val="nil"/>
              <w:left w:val="nil"/>
              <w:bottom w:val="single" w:sz="4" w:space="0" w:color="auto"/>
              <w:right w:val="single" w:sz="4" w:space="0" w:color="auto"/>
            </w:tcBorders>
            <w:shd w:val="clear" w:color="auto" w:fill="auto"/>
            <w:noWrap/>
            <w:vAlign w:val="center"/>
            <w:hideMark/>
          </w:tcPr>
          <w:p w14:paraId="364788FD"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2,719 (82%)</w:t>
            </w:r>
          </w:p>
        </w:tc>
        <w:tc>
          <w:tcPr>
            <w:tcW w:w="1160" w:type="dxa"/>
            <w:tcBorders>
              <w:top w:val="nil"/>
              <w:left w:val="nil"/>
              <w:bottom w:val="single" w:sz="4" w:space="0" w:color="auto"/>
              <w:right w:val="single" w:sz="4" w:space="0" w:color="auto"/>
            </w:tcBorders>
            <w:shd w:val="clear" w:color="auto" w:fill="auto"/>
            <w:noWrap/>
            <w:vAlign w:val="center"/>
            <w:hideMark/>
          </w:tcPr>
          <w:p w14:paraId="715F1904"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174 (75%)</w:t>
            </w:r>
          </w:p>
        </w:tc>
      </w:tr>
      <w:tr w:rsidR="00F321F2" w:rsidRPr="00F321F2" w14:paraId="57F02574"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50573DF5" w14:textId="77777777" w:rsidR="00F321F2" w:rsidRPr="00F321F2" w:rsidRDefault="00F321F2" w:rsidP="00F321F2">
            <w:pPr>
              <w:spacing w:after="0" w:line="240" w:lineRule="auto"/>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3b.  Wake up at night because of symptoms of IBD?</w:t>
            </w:r>
          </w:p>
        </w:tc>
        <w:tc>
          <w:tcPr>
            <w:tcW w:w="1160" w:type="dxa"/>
            <w:tcBorders>
              <w:top w:val="nil"/>
              <w:left w:val="nil"/>
              <w:bottom w:val="single" w:sz="4" w:space="0" w:color="auto"/>
              <w:right w:val="single" w:sz="4" w:space="0" w:color="auto"/>
            </w:tcBorders>
            <w:shd w:val="clear" w:color="auto" w:fill="auto"/>
            <w:noWrap/>
            <w:vAlign w:val="center"/>
            <w:hideMark/>
          </w:tcPr>
          <w:p w14:paraId="3DF0C3A9"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auto"/>
            <w:noWrap/>
            <w:vAlign w:val="center"/>
            <w:hideMark/>
          </w:tcPr>
          <w:p w14:paraId="588EF433"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auto"/>
            <w:noWrap/>
            <w:vAlign w:val="center"/>
            <w:hideMark/>
          </w:tcPr>
          <w:p w14:paraId="7F3B1F24"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14:paraId="1A26A762"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r>
      <w:tr w:rsidR="00F321F2" w:rsidRPr="00F321F2" w14:paraId="0F62D865"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32D9BE97"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Yes</w:t>
            </w:r>
          </w:p>
        </w:tc>
        <w:tc>
          <w:tcPr>
            <w:tcW w:w="1160" w:type="dxa"/>
            <w:tcBorders>
              <w:top w:val="nil"/>
              <w:left w:val="nil"/>
              <w:bottom w:val="single" w:sz="4" w:space="0" w:color="auto"/>
              <w:right w:val="single" w:sz="4" w:space="0" w:color="auto"/>
            </w:tcBorders>
            <w:shd w:val="clear" w:color="auto" w:fill="auto"/>
            <w:noWrap/>
            <w:vAlign w:val="center"/>
            <w:hideMark/>
          </w:tcPr>
          <w:p w14:paraId="66716C76"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2,314 (32%)</w:t>
            </w:r>
          </w:p>
        </w:tc>
        <w:tc>
          <w:tcPr>
            <w:tcW w:w="1180" w:type="dxa"/>
            <w:tcBorders>
              <w:top w:val="nil"/>
              <w:left w:val="nil"/>
              <w:bottom w:val="single" w:sz="4" w:space="0" w:color="auto"/>
              <w:right w:val="single" w:sz="4" w:space="0" w:color="auto"/>
            </w:tcBorders>
            <w:shd w:val="clear" w:color="auto" w:fill="auto"/>
            <w:noWrap/>
            <w:vAlign w:val="center"/>
            <w:hideMark/>
          </w:tcPr>
          <w:p w14:paraId="285AE141"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1,458 (38%)</w:t>
            </w:r>
          </w:p>
        </w:tc>
        <w:tc>
          <w:tcPr>
            <w:tcW w:w="1180" w:type="dxa"/>
            <w:tcBorders>
              <w:top w:val="nil"/>
              <w:left w:val="nil"/>
              <w:bottom w:val="single" w:sz="4" w:space="0" w:color="auto"/>
              <w:right w:val="single" w:sz="4" w:space="0" w:color="auto"/>
            </w:tcBorders>
            <w:shd w:val="clear" w:color="auto" w:fill="auto"/>
            <w:noWrap/>
            <w:vAlign w:val="center"/>
            <w:hideMark/>
          </w:tcPr>
          <w:p w14:paraId="41805427"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778 (24%)</w:t>
            </w:r>
          </w:p>
        </w:tc>
        <w:tc>
          <w:tcPr>
            <w:tcW w:w="1160" w:type="dxa"/>
            <w:tcBorders>
              <w:top w:val="nil"/>
              <w:left w:val="nil"/>
              <w:bottom w:val="single" w:sz="4" w:space="0" w:color="auto"/>
              <w:right w:val="single" w:sz="4" w:space="0" w:color="auto"/>
            </w:tcBorders>
            <w:shd w:val="clear" w:color="auto" w:fill="auto"/>
            <w:noWrap/>
            <w:vAlign w:val="center"/>
            <w:hideMark/>
          </w:tcPr>
          <w:p w14:paraId="73293854"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78 (34%)</w:t>
            </w:r>
          </w:p>
        </w:tc>
      </w:tr>
      <w:tr w:rsidR="00F321F2" w:rsidRPr="00F321F2" w14:paraId="36486D18"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5E144121"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Not sure</w:t>
            </w:r>
          </w:p>
        </w:tc>
        <w:tc>
          <w:tcPr>
            <w:tcW w:w="1160" w:type="dxa"/>
            <w:tcBorders>
              <w:top w:val="nil"/>
              <w:left w:val="nil"/>
              <w:bottom w:val="single" w:sz="4" w:space="0" w:color="auto"/>
              <w:right w:val="single" w:sz="4" w:space="0" w:color="auto"/>
            </w:tcBorders>
            <w:shd w:val="clear" w:color="auto" w:fill="auto"/>
            <w:noWrap/>
            <w:vAlign w:val="center"/>
            <w:hideMark/>
          </w:tcPr>
          <w:p w14:paraId="4A136FCC"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147 (2.0%)</w:t>
            </w:r>
          </w:p>
        </w:tc>
        <w:tc>
          <w:tcPr>
            <w:tcW w:w="1180" w:type="dxa"/>
            <w:tcBorders>
              <w:top w:val="nil"/>
              <w:left w:val="nil"/>
              <w:bottom w:val="single" w:sz="4" w:space="0" w:color="auto"/>
              <w:right w:val="single" w:sz="4" w:space="0" w:color="auto"/>
            </w:tcBorders>
            <w:shd w:val="clear" w:color="auto" w:fill="auto"/>
            <w:noWrap/>
            <w:vAlign w:val="center"/>
            <w:hideMark/>
          </w:tcPr>
          <w:p w14:paraId="66B4B2A8"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75 (2.0%)</w:t>
            </w:r>
          </w:p>
        </w:tc>
        <w:tc>
          <w:tcPr>
            <w:tcW w:w="1180" w:type="dxa"/>
            <w:tcBorders>
              <w:top w:val="nil"/>
              <w:left w:val="nil"/>
              <w:bottom w:val="single" w:sz="4" w:space="0" w:color="auto"/>
              <w:right w:val="single" w:sz="4" w:space="0" w:color="auto"/>
            </w:tcBorders>
            <w:shd w:val="clear" w:color="auto" w:fill="auto"/>
            <w:noWrap/>
            <w:vAlign w:val="center"/>
            <w:hideMark/>
          </w:tcPr>
          <w:p w14:paraId="3D36D729"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68 (2.1%)</w:t>
            </w:r>
          </w:p>
        </w:tc>
        <w:tc>
          <w:tcPr>
            <w:tcW w:w="1160" w:type="dxa"/>
            <w:tcBorders>
              <w:top w:val="nil"/>
              <w:left w:val="nil"/>
              <w:bottom w:val="single" w:sz="4" w:space="0" w:color="auto"/>
              <w:right w:val="single" w:sz="4" w:space="0" w:color="auto"/>
            </w:tcBorders>
            <w:shd w:val="clear" w:color="auto" w:fill="auto"/>
            <w:noWrap/>
            <w:vAlign w:val="center"/>
            <w:hideMark/>
          </w:tcPr>
          <w:p w14:paraId="7BE90A98"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4 (1.7%)</w:t>
            </w:r>
          </w:p>
        </w:tc>
      </w:tr>
      <w:tr w:rsidR="00F321F2" w:rsidRPr="00F321F2" w14:paraId="32A1DB5D"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138DFF93"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No</w:t>
            </w:r>
          </w:p>
        </w:tc>
        <w:tc>
          <w:tcPr>
            <w:tcW w:w="1160" w:type="dxa"/>
            <w:tcBorders>
              <w:top w:val="nil"/>
              <w:left w:val="nil"/>
              <w:bottom w:val="single" w:sz="4" w:space="0" w:color="auto"/>
              <w:right w:val="single" w:sz="4" w:space="0" w:color="auto"/>
            </w:tcBorders>
            <w:shd w:val="clear" w:color="auto" w:fill="auto"/>
            <w:noWrap/>
            <w:vAlign w:val="center"/>
            <w:hideMark/>
          </w:tcPr>
          <w:p w14:paraId="49925350"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4,876 (66%)</w:t>
            </w:r>
          </w:p>
        </w:tc>
        <w:tc>
          <w:tcPr>
            <w:tcW w:w="1180" w:type="dxa"/>
            <w:tcBorders>
              <w:top w:val="nil"/>
              <w:left w:val="nil"/>
              <w:bottom w:val="single" w:sz="4" w:space="0" w:color="auto"/>
              <w:right w:val="single" w:sz="4" w:space="0" w:color="auto"/>
            </w:tcBorders>
            <w:shd w:val="clear" w:color="auto" w:fill="auto"/>
            <w:noWrap/>
            <w:vAlign w:val="center"/>
            <w:hideMark/>
          </w:tcPr>
          <w:p w14:paraId="0D9304A6"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2,275 (60%)</w:t>
            </w:r>
          </w:p>
        </w:tc>
        <w:tc>
          <w:tcPr>
            <w:tcW w:w="1180" w:type="dxa"/>
            <w:tcBorders>
              <w:top w:val="nil"/>
              <w:left w:val="nil"/>
              <w:bottom w:val="single" w:sz="4" w:space="0" w:color="auto"/>
              <w:right w:val="single" w:sz="4" w:space="0" w:color="auto"/>
            </w:tcBorders>
            <w:shd w:val="clear" w:color="auto" w:fill="auto"/>
            <w:noWrap/>
            <w:vAlign w:val="center"/>
            <w:hideMark/>
          </w:tcPr>
          <w:p w14:paraId="5C260CF3"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2,452 (74%)</w:t>
            </w:r>
          </w:p>
        </w:tc>
        <w:tc>
          <w:tcPr>
            <w:tcW w:w="1160" w:type="dxa"/>
            <w:tcBorders>
              <w:top w:val="nil"/>
              <w:left w:val="nil"/>
              <w:bottom w:val="single" w:sz="4" w:space="0" w:color="auto"/>
              <w:right w:val="single" w:sz="4" w:space="0" w:color="auto"/>
            </w:tcBorders>
            <w:shd w:val="clear" w:color="auto" w:fill="auto"/>
            <w:noWrap/>
            <w:vAlign w:val="center"/>
            <w:hideMark/>
          </w:tcPr>
          <w:p w14:paraId="3ACBAC68"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149 (65%)</w:t>
            </w:r>
          </w:p>
        </w:tc>
      </w:tr>
      <w:tr w:rsidR="00F321F2" w:rsidRPr="00F321F2" w14:paraId="76185941"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06694080" w14:textId="77777777" w:rsidR="00F321F2" w:rsidRPr="00F321F2" w:rsidRDefault="00F321F2" w:rsidP="00F321F2">
            <w:pPr>
              <w:spacing w:after="0" w:line="240" w:lineRule="auto"/>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3c.  Suffer from significant pain or discomfort?</w:t>
            </w:r>
          </w:p>
        </w:tc>
        <w:tc>
          <w:tcPr>
            <w:tcW w:w="1160" w:type="dxa"/>
            <w:tcBorders>
              <w:top w:val="nil"/>
              <w:left w:val="nil"/>
              <w:bottom w:val="single" w:sz="4" w:space="0" w:color="auto"/>
              <w:right w:val="single" w:sz="4" w:space="0" w:color="auto"/>
            </w:tcBorders>
            <w:shd w:val="clear" w:color="auto" w:fill="auto"/>
            <w:noWrap/>
            <w:vAlign w:val="center"/>
            <w:hideMark/>
          </w:tcPr>
          <w:p w14:paraId="0EDC2D71"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auto"/>
            <w:noWrap/>
            <w:vAlign w:val="center"/>
            <w:hideMark/>
          </w:tcPr>
          <w:p w14:paraId="2FC811B5"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auto"/>
            <w:noWrap/>
            <w:vAlign w:val="center"/>
            <w:hideMark/>
          </w:tcPr>
          <w:p w14:paraId="295C1570"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14:paraId="4CAF2481"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r>
      <w:tr w:rsidR="00F321F2" w:rsidRPr="00F321F2" w14:paraId="3FEE91AF"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1F24FE23"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Yes</w:t>
            </w:r>
          </w:p>
        </w:tc>
        <w:tc>
          <w:tcPr>
            <w:tcW w:w="1160" w:type="dxa"/>
            <w:tcBorders>
              <w:top w:val="nil"/>
              <w:left w:val="nil"/>
              <w:bottom w:val="single" w:sz="4" w:space="0" w:color="auto"/>
              <w:right w:val="single" w:sz="4" w:space="0" w:color="auto"/>
            </w:tcBorders>
            <w:shd w:val="clear" w:color="auto" w:fill="auto"/>
            <w:noWrap/>
            <w:vAlign w:val="center"/>
            <w:hideMark/>
          </w:tcPr>
          <w:p w14:paraId="6936515D"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2,567 (35%)</w:t>
            </w:r>
          </w:p>
        </w:tc>
        <w:tc>
          <w:tcPr>
            <w:tcW w:w="1180" w:type="dxa"/>
            <w:tcBorders>
              <w:top w:val="nil"/>
              <w:left w:val="nil"/>
              <w:bottom w:val="single" w:sz="4" w:space="0" w:color="auto"/>
              <w:right w:val="single" w:sz="4" w:space="0" w:color="auto"/>
            </w:tcBorders>
            <w:shd w:val="clear" w:color="auto" w:fill="auto"/>
            <w:noWrap/>
            <w:vAlign w:val="center"/>
            <w:hideMark/>
          </w:tcPr>
          <w:p w14:paraId="63DC5604"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1,495 (39%)</w:t>
            </w:r>
          </w:p>
        </w:tc>
        <w:tc>
          <w:tcPr>
            <w:tcW w:w="1180" w:type="dxa"/>
            <w:tcBorders>
              <w:top w:val="nil"/>
              <w:left w:val="nil"/>
              <w:bottom w:val="single" w:sz="4" w:space="0" w:color="auto"/>
              <w:right w:val="single" w:sz="4" w:space="0" w:color="auto"/>
            </w:tcBorders>
            <w:shd w:val="clear" w:color="auto" w:fill="auto"/>
            <w:noWrap/>
            <w:vAlign w:val="center"/>
            <w:hideMark/>
          </w:tcPr>
          <w:p w14:paraId="16DCD39D"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974 (30%)</w:t>
            </w:r>
          </w:p>
        </w:tc>
        <w:tc>
          <w:tcPr>
            <w:tcW w:w="1160" w:type="dxa"/>
            <w:tcBorders>
              <w:top w:val="nil"/>
              <w:left w:val="nil"/>
              <w:bottom w:val="single" w:sz="4" w:space="0" w:color="auto"/>
              <w:right w:val="single" w:sz="4" w:space="0" w:color="auto"/>
            </w:tcBorders>
            <w:shd w:val="clear" w:color="auto" w:fill="auto"/>
            <w:noWrap/>
            <w:vAlign w:val="center"/>
            <w:hideMark/>
          </w:tcPr>
          <w:p w14:paraId="30AEE0B0"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98 (42%)</w:t>
            </w:r>
          </w:p>
        </w:tc>
      </w:tr>
      <w:tr w:rsidR="00F321F2" w:rsidRPr="00F321F2" w14:paraId="52B3ABFF"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3E57C6EF"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Not sure</w:t>
            </w:r>
          </w:p>
        </w:tc>
        <w:tc>
          <w:tcPr>
            <w:tcW w:w="1160" w:type="dxa"/>
            <w:tcBorders>
              <w:top w:val="nil"/>
              <w:left w:val="nil"/>
              <w:bottom w:val="single" w:sz="4" w:space="0" w:color="auto"/>
              <w:right w:val="single" w:sz="4" w:space="0" w:color="auto"/>
            </w:tcBorders>
            <w:shd w:val="clear" w:color="auto" w:fill="auto"/>
            <w:noWrap/>
            <w:vAlign w:val="center"/>
            <w:hideMark/>
          </w:tcPr>
          <w:p w14:paraId="487788EE"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212 (2.9%)</w:t>
            </w:r>
          </w:p>
        </w:tc>
        <w:tc>
          <w:tcPr>
            <w:tcW w:w="1180" w:type="dxa"/>
            <w:tcBorders>
              <w:top w:val="nil"/>
              <w:left w:val="nil"/>
              <w:bottom w:val="single" w:sz="4" w:space="0" w:color="auto"/>
              <w:right w:val="single" w:sz="4" w:space="0" w:color="auto"/>
            </w:tcBorders>
            <w:shd w:val="clear" w:color="auto" w:fill="auto"/>
            <w:noWrap/>
            <w:vAlign w:val="center"/>
            <w:hideMark/>
          </w:tcPr>
          <w:p w14:paraId="2CCCDE97"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107 (2.8%)</w:t>
            </w:r>
          </w:p>
        </w:tc>
        <w:tc>
          <w:tcPr>
            <w:tcW w:w="1180" w:type="dxa"/>
            <w:tcBorders>
              <w:top w:val="nil"/>
              <w:left w:val="nil"/>
              <w:bottom w:val="single" w:sz="4" w:space="0" w:color="auto"/>
              <w:right w:val="single" w:sz="4" w:space="0" w:color="auto"/>
            </w:tcBorders>
            <w:shd w:val="clear" w:color="auto" w:fill="auto"/>
            <w:noWrap/>
            <w:vAlign w:val="center"/>
            <w:hideMark/>
          </w:tcPr>
          <w:p w14:paraId="4A840F50"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101 (3.1%)</w:t>
            </w:r>
          </w:p>
        </w:tc>
        <w:tc>
          <w:tcPr>
            <w:tcW w:w="1160" w:type="dxa"/>
            <w:tcBorders>
              <w:top w:val="nil"/>
              <w:left w:val="nil"/>
              <w:bottom w:val="single" w:sz="4" w:space="0" w:color="auto"/>
              <w:right w:val="single" w:sz="4" w:space="0" w:color="auto"/>
            </w:tcBorders>
            <w:shd w:val="clear" w:color="auto" w:fill="auto"/>
            <w:noWrap/>
            <w:vAlign w:val="center"/>
            <w:hideMark/>
          </w:tcPr>
          <w:p w14:paraId="474C3C57"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4 (1.7%)</w:t>
            </w:r>
          </w:p>
        </w:tc>
      </w:tr>
      <w:tr w:rsidR="00F321F2" w:rsidRPr="00F321F2" w14:paraId="1E6B4347"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51DA4009"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No</w:t>
            </w:r>
          </w:p>
        </w:tc>
        <w:tc>
          <w:tcPr>
            <w:tcW w:w="1160" w:type="dxa"/>
            <w:tcBorders>
              <w:top w:val="nil"/>
              <w:left w:val="nil"/>
              <w:bottom w:val="single" w:sz="4" w:space="0" w:color="auto"/>
              <w:right w:val="single" w:sz="4" w:space="0" w:color="auto"/>
            </w:tcBorders>
            <w:shd w:val="clear" w:color="auto" w:fill="auto"/>
            <w:noWrap/>
            <w:vAlign w:val="center"/>
            <w:hideMark/>
          </w:tcPr>
          <w:p w14:paraId="3CD77069"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4,558 (62%)</w:t>
            </w:r>
          </w:p>
        </w:tc>
        <w:tc>
          <w:tcPr>
            <w:tcW w:w="1180" w:type="dxa"/>
            <w:tcBorders>
              <w:top w:val="nil"/>
              <w:left w:val="nil"/>
              <w:bottom w:val="single" w:sz="4" w:space="0" w:color="auto"/>
              <w:right w:val="single" w:sz="4" w:space="0" w:color="auto"/>
            </w:tcBorders>
            <w:shd w:val="clear" w:color="auto" w:fill="auto"/>
            <w:noWrap/>
            <w:vAlign w:val="center"/>
            <w:hideMark/>
          </w:tcPr>
          <w:p w14:paraId="30004F80"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2,206 (58%)</w:t>
            </w:r>
          </w:p>
        </w:tc>
        <w:tc>
          <w:tcPr>
            <w:tcW w:w="1180" w:type="dxa"/>
            <w:tcBorders>
              <w:top w:val="nil"/>
              <w:left w:val="nil"/>
              <w:bottom w:val="single" w:sz="4" w:space="0" w:color="auto"/>
              <w:right w:val="single" w:sz="4" w:space="0" w:color="auto"/>
            </w:tcBorders>
            <w:shd w:val="clear" w:color="auto" w:fill="auto"/>
            <w:noWrap/>
            <w:vAlign w:val="center"/>
            <w:hideMark/>
          </w:tcPr>
          <w:p w14:paraId="16F6B5CC"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2,223 (67%)</w:t>
            </w:r>
          </w:p>
        </w:tc>
        <w:tc>
          <w:tcPr>
            <w:tcW w:w="1160" w:type="dxa"/>
            <w:tcBorders>
              <w:top w:val="nil"/>
              <w:left w:val="nil"/>
              <w:bottom w:val="single" w:sz="4" w:space="0" w:color="auto"/>
              <w:right w:val="single" w:sz="4" w:space="0" w:color="auto"/>
            </w:tcBorders>
            <w:shd w:val="clear" w:color="auto" w:fill="auto"/>
            <w:noWrap/>
            <w:vAlign w:val="center"/>
            <w:hideMark/>
          </w:tcPr>
          <w:p w14:paraId="11A913DA"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129 (56%)</w:t>
            </w:r>
          </w:p>
        </w:tc>
      </w:tr>
      <w:tr w:rsidR="00F321F2" w:rsidRPr="00F321F2" w14:paraId="2CAC9140"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1400AD4C" w14:textId="77777777" w:rsidR="00F321F2" w:rsidRPr="00F321F2" w:rsidRDefault="00F321F2" w:rsidP="00F321F2">
            <w:pPr>
              <w:spacing w:after="0" w:line="240" w:lineRule="auto"/>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3d.  Often feel lacking in energy (fatigued)?</w:t>
            </w:r>
          </w:p>
        </w:tc>
        <w:tc>
          <w:tcPr>
            <w:tcW w:w="1160" w:type="dxa"/>
            <w:tcBorders>
              <w:top w:val="nil"/>
              <w:left w:val="nil"/>
              <w:bottom w:val="single" w:sz="4" w:space="0" w:color="auto"/>
              <w:right w:val="single" w:sz="4" w:space="0" w:color="auto"/>
            </w:tcBorders>
            <w:shd w:val="clear" w:color="auto" w:fill="auto"/>
            <w:noWrap/>
            <w:vAlign w:val="center"/>
            <w:hideMark/>
          </w:tcPr>
          <w:p w14:paraId="7905006B"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auto"/>
            <w:noWrap/>
            <w:vAlign w:val="center"/>
            <w:hideMark/>
          </w:tcPr>
          <w:p w14:paraId="4FEDF178"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auto"/>
            <w:noWrap/>
            <w:vAlign w:val="center"/>
            <w:hideMark/>
          </w:tcPr>
          <w:p w14:paraId="7655784F"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14:paraId="47F5683C"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r>
      <w:tr w:rsidR="00F321F2" w:rsidRPr="00F321F2" w14:paraId="4014AB9A"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734D1AB7"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Yes</w:t>
            </w:r>
          </w:p>
        </w:tc>
        <w:tc>
          <w:tcPr>
            <w:tcW w:w="1160" w:type="dxa"/>
            <w:tcBorders>
              <w:top w:val="nil"/>
              <w:left w:val="nil"/>
              <w:bottom w:val="single" w:sz="4" w:space="0" w:color="auto"/>
              <w:right w:val="single" w:sz="4" w:space="0" w:color="auto"/>
            </w:tcBorders>
            <w:shd w:val="clear" w:color="auto" w:fill="auto"/>
            <w:noWrap/>
            <w:vAlign w:val="center"/>
            <w:hideMark/>
          </w:tcPr>
          <w:p w14:paraId="7006CFD8"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4,041 (55%)</w:t>
            </w:r>
          </w:p>
        </w:tc>
        <w:tc>
          <w:tcPr>
            <w:tcW w:w="1180" w:type="dxa"/>
            <w:tcBorders>
              <w:top w:val="nil"/>
              <w:left w:val="nil"/>
              <w:bottom w:val="single" w:sz="4" w:space="0" w:color="auto"/>
              <w:right w:val="single" w:sz="4" w:space="0" w:color="auto"/>
            </w:tcBorders>
            <w:shd w:val="clear" w:color="auto" w:fill="auto"/>
            <w:noWrap/>
            <w:vAlign w:val="center"/>
            <w:hideMark/>
          </w:tcPr>
          <w:p w14:paraId="50608AED"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2,313 (61%)</w:t>
            </w:r>
          </w:p>
        </w:tc>
        <w:tc>
          <w:tcPr>
            <w:tcW w:w="1180" w:type="dxa"/>
            <w:tcBorders>
              <w:top w:val="nil"/>
              <w:left w:val="nil"/>
              <w:bottom w:val="single" w:sz="4" w:space="0" w:color="auto"/>
              <w:right w:val="single" w:sz="4" w:space="0" w:color="auto"/>
            </w:tcBorders>
            <w:shd w:val="clear" w:color="auto" w:fill="auto"/>
            <w:noWrap/>
            <w:vAlign w:val="center"/>
            <w:hideMark/>
          </w:tcPr>
          <w:p w14:paraId="22BE90DF"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1,606 (49%)</w:t>
            </w:r>
          </w:p>
        </w:tc>
        <w:tc>
          <w:tcPr>
            <w:tcW w:w="1160" w:type="dxa"/>
            <w:tcBorders>
              <w:top w:val="nil"/>
              <w:left w:val="nil"/>
              <w:bottom w:val="single" w:sz="4" w:space="0" w:color="auto"/>
              <w:right w:val="single" w:sz="4" w:space="0" w:color="auto"/>
            </w:tcBorders>
            <w:shd w:val="clear" w:color="auto" w:fill="auto"/>
            <w:noWrap/>
            <w:vAlign w:val="center"/>
            <w:hideMark/>
          </w:tcPr>
          <w:p w14:paraId="03C88EA3"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122 (53%)</w:t>
            </w:r>
          </w:p>
        </w:tc>
      </w:tr>
      <w:tr w:rsidR="00F321F2" w:rsidRPr="00F321F2" w14:paraId="01D152C5"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7408091C"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Not sure</w:t>
            </w:r>
          </w:p>
        </w:tc>
        <w:tc>
          <w:tcPr>
            <w:tcW w:w="1160" w:type="dxa"/>
            <w:tcBorders>
              <w:top w:val="nil"/>
              <w:left w:val="nil"/>
              <w:bottom w:val="single" w:sz="4" w:space="0" w:color="auto"/>
              <w:right w:val="single" w:sz="4" w:space="0" w:color="auto"/>
            </w:tcBorders>
            <w:shd w:val="clear" w:color="auto" w:fill="auto"/>
            <w:noWrap/>
            <w:vAlign w:val="center"/>
            <w:hideMark/>
          </w:tcPr>
          <w:p w14:paraId="73527307"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339 (4.6%)</w:t>
            </w:r>
          </w:p>
        </w:tc>
        <w:tc>
          <w:tcPr>
            <w:tcW w:w="1180" w:type="dxa"/>
            <w:tcBorders>
              <w:top w:val="nil"/>
              <w:left w:val="nil"/>
              <w:bottom w:val="single" w:sz="4" w:space="0" w:color="auto"/>
              <w:right w:val="single" w:sz="4" w:space="0" w:color="auto"/>
            </w:tcBorders>
            <w:shd w:val="clear" w:color="auto" w:fill="auto"/>
            <w:noWrap/>
            <w:vAlign w:val="center"/>
            <w:hideMark/>
          </w:tcPr>
          <w:p w14:paraId="3D13B720"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159 (4.2%)</w:t>
            </w:r>
          </w:p>
        </w:tc>
        <w:tc>
          <w:tcPr>
            <w:tcW w:w="1180" w:type="dxa"/>
            <w:tcBorders>
              <w:top w:val="nil"/>
              <w:left w:val="nil"/>
              <w:bottom w:val="single" w:sz="4" w:space="0" w:color="auto"/>
              <w:right w:val="single" w:sz="4" w:space="0" w:color="auto"/>
            </w:tcBorders>
            <w:shd w:val="clear" w:color="auto" w:fill="auto"/>
            <w:noWrap/>
            <w:vAlign w:val="center"/>
            <w:hideMark/>
          </w:tcPr>
          <w:p w14:paraId="38650989"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171 (5.2%)</w:t>
            </w:r>
          </w:p>
        </w:tc>
        <w:tc>
          <w:tcPr>
            <w:tcW w:w="1160" w:type="dxa"/>
            <w:tcBorders>
              <w:top w:val="nil"/>
              <w:left w:val="nil"/>
              <w:bottom w:val="single" w:sz="4" w:space="0" w:color="auto"/>
              <w:right w:val="single" w:sz="4" w:space="0" w:color="auto"/>
            </w:tcBorders>
            <w:shd w:val="clear" w:color="auto" w:fill="auto"/>
            <w:noWrap/>
            <w:vAlign w:val="center"/>
            <w:hideMark/>
          </w:tcPr>
          <w:p w14:paraId="172BAE7B"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9 (3.9%)</w:t>
            </w:r>
          </w:p>
        </w:tc>
      </w:tr>
      <w:tr w:rsidR="00F321F2" w:rsidRPr="00F321F2" w14:paraId="40E11774"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5660F7E0"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No</w:t>
            </w:r>
          </w:p>
        </w:tc>
        <w:tc>
          <w:tcPr>
            <w:tcW w:w="1160" w:type="dxa"/>
            <w:tcBorders>
              <w:top w:val="nil"/>
              <w:left w:val="nil"/>
              <w:bottom w:val="single" w:sz="4" w:space="0" w:color="auto"/>
              <w:right w:val="single" w:sz="4" w:space="0" w:color="auto"/>
            </w:tcBorders>
            <w:shd w:val="clear" w:color="auto" w:fill="auto"/>
            <w:noWrap/>
            <w:vAlign w:val="center"/>
            <w:hideMark/>
          </w:tcPr>
          <w:p w14:paraId="611241F0"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2,957 (40%)</w:t>
            </w:r>
          </w:p>
        </w:tc>
        <w:tc>
          <w:tcPr>
            <w:tcW w:w="1180" w:type="dxa"/>
            <w:tcBorders>
              <w:top w:val="nil"/>
              <w:left w:val="nil"/>
              <w:bottom w:val="single" w:sz="4" w:space="0" w:color="auto"/>
              <w:right w:val="single" w:sz="4" w:space="0" w:color="auto"/>
            </w:tcBorders>
            <w:shd w:val="clear" w:color="auto" w:fill="auto"/>
            <w:noWrap/>
            <w:vAlign w:val="center"/>
            <w:hideMark/>
          </w:tcPr>
          <w:p w14:paraId="147884CF"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1,336 (35%)</w:t>
            </w:r>
          </w:p>
        </w:tc>
        <w:tc>
          <w:tcPr>
            <w:tcW w:w="1180" w:type="dxa"/>
            <w:tcBorders>
              <w:top w:val="nil"/>
              <w:left w:val="nil"/>
              <w:bottom w:val="single" w:sz="4" w:space="0" w:color="auto"/>
              <w:right w:val="single" w:sz="4" w:space="0" w:color="auto"/>
            </w:tcBorders>
            <w:shd w:val="clear" w:color="auto" w:fill="auto"/>
            <w:noWrap/>
            <w:vAlign w:val="center"/>
            <w:hideMark/>
          </w:tcPr>
          <w:p w14:paraId="6E8BACE6"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1,521 (46%)</w:t>
            </w:r>
          </w:p>
        </w:tc>
        <w:tc>
          <w:tcPr>
            <w:tcW w:w="1160" w:type="dxa"/>
            <w:tcBorders>
              <w:top w:val="nil"/>
              <w:left w:val="nil"/>
              <w:bottom w:val="single" w:sz="4" w:space="0" w:color="auto"/>
              <w:right w:val="single" w:sz="4" w:space="0" w:color="auto"/>
            </w:tcBorders>
            <w:shd w:val="clear" w:color="auto" w:fill="auto"/>
            <w:noWrap/>
            <w:vAlign w:val="center"/>
            <w:hideMark/>
          </w:tcPr>
          <w:p w14:paraId="7F74DA21"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100 (43%)</w:t>
            </w:r>
          </w:p>
        </w:tc>
      </w:tr>
      <w:tr w:rsidR="00F321F2" w:rsidRPr="00F321F2" w14:paraId="554B09AE"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164D9389" w14:textId="77777777" w:rsidR="00F321F2" w:rsidRPr="00F321F2" w:rsidRDefault="00F321F2" w:rsidP="00F321F2">
            <w:pPr>
              <w:spacing w:after="0" w:line="240" w:lineRule="auto"/>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3e.  Feel anxious or depressed because of your IBD?</w:t>
            </w:r>
          </w:p>
        </w:tc>
        <w:tc>
          <w:tcPr>
            <w:tcW w:w="1160" w:type="dxa"/>
            <w:tcBorders>
              <w:top w:val="nil"/>
              <w:left w:val="nil"/>
              <w:bottom w:val="single" w:sz="4" w:space="0" w:color="auto"/>
              <w:right w:val="single" w:sz="4" w:space="0" w:color="auto"/>
            </w:tcBorders>
            <w:shd w:val="clear" w:color="auto" w:fill="auto"/>
            <w:noWrap/>
            <w:vAlign w:val="center"/>
            <w:hideMark/>
          </w:tcPr>
          <w:p w14:paraId="3921B2CE"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auto"/>
            <w:noWrap/>
            <w:vAlign w:val="center"/>
            <w:hideMark/>
          </w:tcPr>
          <w:p w14:paraId="5CD55FFA"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auto"/>
            <w:noWrap/>
            <w:vAlign w:val="center"/>
            <w:hideMark/>
          </w:tcPr>
          <w:p w14:paraId="00CFDD2E"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14:paraId="4164DBA4"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r>
      <w:tr w:rsidR="00F321F2" w:rsidRPr="00F321F2" w14:paraId="334A76B8"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3ABF3B1E"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Yes</w:t>
            </w:r>
          </w:p>
        </w:tc>
        <w:tc>
          <w:tcPr>
            <w:tcW w:w="1160" w:type="dxa"/>
            <w:tcBorders>
              <w:top w:val="nil"/>
              <w:left w:val="nil"/>
              <w:bottom w:val="single" w:sz="4" w:space="0" w:color="auto"/>
              <w:right w:val="single" w:sz="4" w:space="0" w:color="auto"/>
            </w:tcBorders>
            <w:shd w:val="clear" w:color="auto" w:fill="auto"/>
            <w:noWrap/>
            <w:vAlign w:val="center"/>
            <w:hideMark/>
          </w:tcPr>
          <w:p w14:paraId="554BBEBF"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2,239 (31%)</w:t>
            </w:r>
          </w:p>
        </w:tc>
        <w:tc>
          <w:tcPr>
            <w:tcW w:w="1180" w:type="dxa"/>
            <w:tcBorders>
              <w:top w:val="nil"/>
              <w:left w:val="nil"/>
              <w:bottom w:val="single" w:sz="4" w:space="0" w:color="auto"/>
              <w:right w:val="single" w:sz="4" w:space="0" w:color="auto"/>
            </w:tcBorders>
            <w:shd w:val="clear" w:color="auto" w:fill="auto"/>
            <w:noWrap/>
            <w:vAlign w:val="center"/>
            <w:hideMark/>
          </w:tcPr>
          <w:p w14:paraId="55E17EDA"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1,273 (33%)</w:t>
            </w:r>
          </w:p>
        </w:tc>
        <w:tc>
          <w:tcPr>
            <w:tcW w:w="1180" w:type="dxa"/>
            <w:tcBorders>
              <w:top w:val="nil"/>
              <w:left w:val="nil"/>
              <w:bottom w:val="single" w:sz="4" w:space="0" w:color="auto"/>
              <w:right w:val="single" w:sz="4" w:space="0" w:color="auto"/>
            </w:tcBorders>
            <w:shd w:val="clear" w:color="auto" w:fill="auto"/>
            <w:noWrap/>
            <w:vAlign w:val="center"/>
            <w:hideMark/>
          </w:tcPr>
          <w:p w14:paraId="46CC4664"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891 (27%)</w:t>
            </w:r>
          </w:p>
        </w:tc>
        <w:tc>
          <w:tcPr>
            <w:tcW w:w="1160" w:type="dxa"/>
            <w:tcBorders>
              <w:top w:val="nil"/>
              <w:left w:val="nil"/>
              <w:bottom w:val="single" w:sz="4" w:space="0" w:color="auto"/>
              <w:right w:val="single" w:sz="4" w:space="0" w:color="auto"/>
            </w:tcBorders>
            <w:shd w:val="clear" w:color="auto" w:fill="auto"/>
            <w:noWrap/>
            <w:vAlign w:val="center"/>
            <w:hideMark/>
          </w:tcPr>
          <w:p w14:paraId="25B531F6"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75 (32%)</w:t>
            </w:r>
          </w:p>
        </w:tc>
      </w:tr>
      <w:tr w:rsidR="00F321F2" w:rsidRPr="00F321F2" w14:paraId="1A76E5C6"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4AB94E34"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Not sure</w:t>
            </w:r>
          </w:p>
        </w:tc>
        <w:tc>
          <w:tcPr>
            <w:tcW w:w="1160" w:type="dxa"/>
            <w:tcBorders>
              <w:top w:val="nil"/>
              <w:left w:val="nil"/>
              <w:bottom w:val="single" w:sz="4" w:space="0" w:color="auto"/>
              <w:right w:val="single" w:sz="4" w:space="0" w:color="auto"/>
            </w:tcBorders>
            <w:shd w:val="clear" w:color="auto" w:fill="auto"/>
            <w:noWrap/>
            <w:vAlign w:val="center"/>
            <w:hideMark/>
          </w:tcPr>
          <w:p w14:paraId="41FA072B"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465 (6.3%)</w:t>
            </w:r>
          </w:p>
        </w:tc>
        <w:tc>
          <w:tcPr>
            <w:tcW w:w="1180" w:type="dxa"/>
            <w:tcBorders>
              <w:top w:val="nil"/>
              <w:left w:val="nil"/>
              <w:bottom w:val="single" w:sz="4" w:space="0" w:color="auto"/>
              <w:right w:val="single" w:sz="4" w:space="0" w:color="auto"/>
            </w:tcBorders>
            <w:shd w:val="clear" w:color="auto" w:fill="auto"/>
            <w:noWrap/>
            <w:vAlign w:val="center"/>
            <w:hideMark/>
          </w:tcPr>
          <w:p w14:paraId="2FF1D423"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227 (6.0%)</w:t>
            </w:r>
          </w:p>
        </w:tc>
        <w:tc>
          <w:tcPr>
            <w:tcW w:w="1180" w:type="dxa"/>
            <w:tcBorders>
              <w:top w:val="nil"/>
              <w:left w:val="nil"/>
              <w:bottom w:val="single" w:sz="4" w:space="0" w:color="auto"/>
              <w:right w:val="single" w:sz="4" w:space="0" w:color="auto"/>
            </w:tcBorders>
            <w:shd w:val="clear" w:color="auto" w:fill="auto"/>
            <w:noWrap/>
            <w:vAlign w:val="center"/>
            <w:hideMark/>
          </w:tcPr>
          <w:p w14:paraId="6B64228C"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224 (6.8%)</w:t>
            </w:r>
          </w:p>
        </w:tc>
        <w:tc>
          <w:tcPr>
            <w:tcW w:w="1160" w:type="dxa"/>
            <w:tcBorders>
              <w:top w:val="nil"/>
              <w:left w:val="nil"/>
              <w:bottom w:val="single" w:sz="4" w:space="0" w:color="auto"/>
              <w:right w:val="single" w:sz="4" w:space="0" w:color="auto"/>
            </w:tcBorders>
            <w:shd w:val="clear" w:color="auto" w:fill="auto"/>
            <w:noWrap/>
            <w:vAlign w:val="center"/>
            <w:hideMark/>
          </w:tcPr>
          <w:p w14:paraId="7B8E3AE9"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14 (6.1%)</w:t>
            </w:r>
          </w:p>
        </w:tc>
      </w:tr>
      <w:tr w:rsidR="00F321F2" w:rsidRPr="00F321F2" w14:paraId="6B0E1CC5"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5E598A69"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No</w:t>
            </w:r>
          </w:p>
        </w:tc>
        <w:tc>
          <w:tcPr>
            <w:tcW w:w="1160" w:type="dxa"/>
            <w:tcBorders>
              <w:top w:val="nil"/>
              <w:left w:val="nil"/>
              <w:bottom w:val="single" w:sz="4" w:space="0" w:color="auto"/>
              <w:right w:val="single" w:sz="4" w:space="0" w:color="auto"/>
            </w:tcBorders>
            <w:shd w:val="clear" w:color="auto" w:fill="auto"/>
            <w:noWrap/>
            <w:vAlign w:val="center"/>
            <w:hideMark/>
          </w:tcPr>
          <w:p w14:paraId="2C1FC1CD"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4,633 (63%)</w:t>
            </w:r>
          </w:p>
        </w:tc>
        <w:tc>
          <w:tcPr>
            <w:tcW w:w="1180" w:type="dxa"/>
            <w:tcBorders>
              <w:top w:val="nil"/>
              <w:left w:val="nil"/>
              <w:bottom w:val="single" w:sz="4" w:space="0" w:color="auto"/>
              <w:right w:val="single" w:sz="4" w:space="0" w:color="auto"/>
            </w:tcBorders>
            <w:shd w:val="clear" w:color="auto" w:fill="auto"/>
            <w:noWrap/>
            <w:vAlign w:val="center"/>
            <w:hideMark/>
          </w:tcPr>
          <w:p w14:paraId="595A9F47"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2,308 (61%)</w:t>
            </w:r>
          </w:p>
        </w:tc>
        <w:tc>
          <w:tcPr>
            <w:tcW w:w="1180" w:type="dxa"/>
            <w:tcBorders>
              <w:top w:val="nil"/>
              <w:left w:val="nil"/>
              <w:bottom w:val="single" w:sz="4" w:space="0" w:color="auto"/>
              <w:right w:val="single" w:sz="4" w:space="0" w:color="auto"/>
            </w:tcBorders>
            <w:shd w:val="clear" w:color="auto" w:fill="auto"/>
            <w:noWrap/>
            <w:vAlign w:val="center"/>
            <w:hideMark/>
          </w:tcPr>
          <w:p w14:paraId="049D3D6A"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2,183 (66%)</w:t>
            </w:r>
          </w:p>
        </w:tc>
        <w:tc>
          <w:tcPr>
            <w:tcW w:w="1160" w:type="dxa"/>
            <w:tcBorders>
              <w:top w:val="nil"/>
              <w:left w:val="nil"/>
              <w:bottom w:val="single" w:sz="4" w:space="0" w:color="auto"/>
              <w:right w:val="single" w:sz="4" w:space="0" w:color="auto"/>
            </w:tcBorders>
            <w:shd w:val="clear" w:color="auto" w:fill="auto"/>
            <w:noWrap/>
            <w:vAlign w:val="center"/>
            <w:hideMark/>
          </w:tcPr>
          <w:p w14:paraId="1F49BE16"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142 (61%)</w:t>
            </w:r>
          </w:p>
        </w:tc>
      </w:tr>
      <w:tr w:rsidR="00F321F2" w:rsidRPr="00F321F2" w14:paraId="08D15860"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1772960C" w14:textId="77777777" w:rsidR="00F321F2" w:rsidRPr="00F321F2" w:rsidRDefault="00F321F2" w:rsidP="00F321F2">
            <w:pPr>
              <w:spacing w:after="0" w:line="240" w:lineRule="auto"/>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3f.  Think you needed a change to your treatment?</w:t>
            </w:r>
          </w:p>
        </w:tc>
        <w:tc>
          <w:tcPr>
            <w:tcW w:w="1160" w:type="dxa"/>
            <w:tcBorders>
              <w:top w:val="nil"/>
              <w:left w:val="nil"/>
              <w:bottom w:val="single" w:sz="4" w:space="0" w:color="auto"/>
              <w:right w:val="single" w:sz="4" w:space="0" w:color="auto"/>
            </w:tcBorders>
            <w:shd w:val="clear" w:color="auto" w:fill="auto"/>
            <w:noWrap/>
            <w:vAlign w:val="center"/>
            <w:hideMark/>
          </w:tcPr>
          <w:p w14:paraId="21F3142A"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auto"/>
            <w:noWrap/>
            <w:vAlign w:val="center"/>
            <w:hideMark/>
          </w:tcPr>
          <w:p w14:paraId="055965E1"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auto"/>
            <w:noWrap/>
            <w:vAlign w:val="center"/>
            <w:hideMark/>
          </w:tcPr>
          <w:p w14:paraId="51A61B50"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c>
          <w:tcPr>
            <w:tcW w:w="1160" w:type="dxa"/>
            <w:tcBorders>
              <w:top w:val="nil"/>
              <w:left w:val="nil"/>
              <w:bottom w:val="single" w:sz="4" w:space="0" w:color="auto"/>
              <w:right w:val="single" w:sz="4" w:space="0" w:color="auto"/>
            </w:tcBorders>
            <w:shd w:val="clear" w:color="auto" w:fill="auto"/>
            <w:noWrap/>
            <w:vAlign w:val="center"/>
            <w:hideMark/>
          </w:tcPr>
          <w:p w14:paraId="6C72BD34" w14:textId="77777777" w:rsidR="00F321F2" w:rsidRPr="00F321F2" w:rsidRDefault="00F321F2" w:rsidP="00F321F2">
            <w:pPr>
              <w:spacing w:after="0" w:line="240" w:lineRule="auto"/>
              <w:jc w:val="right"/>
              <w:rPr>
                <w:rFonts w:ascii="Calibri" w:eastAsia="Times New Roman" w:hAnsi="Calibri" w:cs="Calibri"/>
                <w:b/>
                <w:bCs/>
                <w:color w:val="000000"/>
                <w:sz w:val="16"/>
                <w:szCs w:val="16"/>
                <w:lang w:eastAsia="en-GB"/>
              </w:rPr>
            </w:pPr>
            <w:r w:rsidRPr="00F321F2">
              <w:rPr>
                <w:rFonts w:ascii="Calibri" w:eastAsia="Times New Roman" w:hAnsi="Calibri" w:cs="Calibri"/>
                <w:b/>
                <w:bCs/>
                <w:color w:val="000000"/>
                <w:sz w:val="16"/>
                <w:szCs w:val="16"/>
                <w:lang w:eastAsia="en-GB"/>
              </w:rPr>
              <w:t> </w:t>
            </w:r>
          </w:p>
        </w:tc>
      </w:tr>
      <w:tr w:rsidR="00F321F2" w:rsidRPr="00F321F2" w14:paraId="0B7B685A"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6237FE50"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Yes</w:t>
            </w:r>
          </w:p>
        </w:tc>
        <w:tc>
          <w:tcPr>
            <w:tcW w:w="1160" w:type="dxa"/>
            <w:tcBorders>
              <w:top w:val="nil"/>
              <w:left w:val="nil"/>
              <w:bottom w:val="single" w:sz="4" w:space="0" w:color="auto"/>
              <w:right w:val="single" w:sz="4" w:space="0" w:color="auto"/>
            </w:tcBorders>
            <w:shd w:val="clear" w:color="auto" w:fill="auto"/>
            <w:noWrap/>
            <w:vAlign w:val="center"/>
            <w:hideMark/>
          </w:tcPr>
          <w:p w14:paraId="1924400C"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779 (11%)</w:t>
            </w:r>
          </w:p>
        </w:tc>
        <w:tc>
          <w:tcPr>
            <w:tcW w:w="1180" w:type="dxa"/>
            <w:tcBorders>
              <w:top w:val="nil"/>
              <w:left w:val="nil"/>
              <w:bottom w:val="single" w:sz="4" w:space="0" w:color="auto"/>
              <w:right w:val="single" w:sz="4" w:space="0" w:color="auto"/>
            </w:tcBorders>
            <w:shd w:val="clear" w:color="auto" w:fill="auto"/>
            <w:noWrap/>
            <w:vAlign w:val="center"/>
            <w:hideMark/>
          </w:tcPr>
          <w:p w14:paraId="1EB9BEF0"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442 (12%)</w:t>
            </w:r>
          </w:p>
        </w:tc>
        <w:tc>
          <w:tcPr>
            <w:tcW w:w="1180" w:type="dxa"/>
            <w:tcBorders>
              <w:top w:val="nil"/>
              <w:left w:val="nil"/>
              <w:bottom w:val="single" w:sz="4" w:space="0" w:color="auto"/>
              <w:right w:val="single" w:sz="4" w:space="0" w:color="auto"/>
            </w:tcBorders>
            <w:shd w:val="clear" w:color="auto" w:fill="auto"/>
            <w:noWrap/>
            <w:vAlign w:val="center"/>
            <w:hideMark/>
          </w:tcPr>
          <w:p w14:paraId="56DEC7F7"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297 (9.0%)</w:t>
            </w:r>
          </w:p>
        </w:tc>
        <w:tc>
          <w:tcPr>
            <w:tcW w:w="1160" w:type="dxa"/>
            <w:tcBorders>
              <w:top w:val="nil"/>
              <w:left w:val="nil"/>
              <w:bottom w:val="single" w:sz="4" w:space="0" w:color="auto"/>
              <w:right w:val="single" w:sz="4" w:space="0" w:color="auto"/>
            </w:tcBorders>
            <w:shd w:val="clear" w:color="auto" w:fill="auto"/>
            <w:noWrap/>
            <w:vAlign w:val="center"/>
            <w:hideMark/>
          </w:tcPr>
          <w:p w14:paraId="3BAA3336"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40 (17%)</w:t>
            </w:r>
          </w:p>
        </w:tc>
      </w:tr>
      <w:tr w:rsidR="00F321F2" w:rsidRPr="00F321F2" w14:paraId="0F1C7A77"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185EEDFC"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Not sure</w:t>
            </w:r>
          </w:p>
        </w:tc>
        <w:tc>
          <w:tcPr>
            <w:tcW w:w="1160" w:type="dxa"/>
            <w:tcBorders>
              <w:top w:val="nil"/>
              <w:left w:val="nil"/>
              <w:bottom w:val="single" w:sz="4" w:space="0" w:color="auto"/>
              <w:right w:val="single" w:sz="4" w:space="0" w:color="auto"/>
            </w:tcBorders>
            <w:shd w:val="clear" w:color="auto" w:fill="auto"/>
            <w:noWrap/>
            <w:vAlign w:val="center"/>
            <w:hideMark/>
          </w:tcPr>
          <w:p w14:paraId="0CDC933F"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1,538 (21%)</w:t>
            </w:r>
          </w:p>
        </w:tc>
        <w:tc>
          <w:tcPr>
            <w:tcW w:w="1180" w:type="dxa"/>
            <w:tcBorders>
              <w:top w:val="nil"/>
              <w:left w:val="nil"/>
              <w:bottom w:val="single" w:sz="4" w:space="0" w:color="auto"/>
              <w:right w:val="single" w:sz="4" w:space="0" w:color="auto"/>
            </w:tcBorders>
            <w:shd w:val="clear" w:color="auto" w:fill="auto"/>
            <w:noWrap/>
            <w:vAlign w:val="center"/>
            <w:hideMark/>
          </w:tcPr>
          <w:p w14:paraId="0509A24B"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845 (22%)</w:t>
            </w:r>
          </w:p>
        </w:tc>
        <w:tc>
          <w:tcPr>
            <w:tcW w:w="1180" w:type="dxa"/>
            <w:tcBorders>
              <w:top w:val="nil"/>
              <w:left w:val="nil"/>
              <w:bottom w:val="single" w:sz="4" w:space="0" w:color="auto"/>
              <w:right w:val="single" w:sz="4" w:space="0" w:color="auto"/>
            </w:tcBorders>
            <w:shd w:val="clear" w:color="auto" w:fill="auto"/>
            <w:noWrap/>
            <w:vAlign w:val="center"/>
            <w:hideMark/>
          </w:tcPr>
          <w:p w14:paraId="5DA3D8E2"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634 (19%)</w:t>
            </w:r>
          </w:p>
        </w:tc>
        <w:tc>
          <w:tcPr>
            <w:tcW w:w="1160" w:type="dxa"/>
            <w:tcBorders>
              <w:top w:val="nil"/>
              <w:left w:val="nil"/>
              <w:bottom w:val="single" w:sz="4" w:space="0" w:color="auto"/>
              <w:right w:val="single" w:sz="4" w:space="0" w:color="auto"/>
            </w:tcBorders>
            <w:shd w:val="clear" w:color="auto" w:fill="auto"/>
            <w:noWrap/>
            <w:vAlign w:val="center"/>
            <w:hideMark/>
          </w:tcPr>
          <w:p w14:paraId="71C4346F"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59 (26%)</w:t>
            </w:r>
          </w:p>
        </w:tc>
      </w:tr>
      <w:tr w:rsidR="00F321F2" w:rsidRPr="00F321F2" w14:paraId="73CC885F" w14:textId="77777777" w:rsidTr="00F321F2">
        <w:trPr>
          <w:trHeight w:val="200"/>
        </w:trPr>
        <w:tc>
          <w:tcPr>
            <w:tcW w:w="4560" w:type="dxa"/>
            <w:tcBorders>
              <w:top w:val="nil"/>
              <w:left w:val="single" w:sz="4" w:space="0" w:color="auto"/>
              <w:bottom w:val="single" w:sz="4" w:space="0" w:color="auto"/>
              <w:right w:val="single" w:sz="4" w:space="0" w:color="auto"/>
            </w:tcBorders>
            <w:shd w:val="clear" w:color="auto" w:fill="auto"/>
            <w:noWrap/>
            <w:vAlign w:val="center"/>
            <w:hideMark/>
          </w:tcPr>
          <w:p w14:paraId="5292EFAF" w14:textId="77777777" w:rsidR="00F321F2" w:rsidRPr="00F321F2" w:rsidRDefault="00F321F2" w:rsidP="00F321F2">
            <w:pPr>
              <w:spacing w:after="0" w:line="240" w:lineRule="auto"/>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 xml:space="preserve">   No</w:t>
            </w:r>
          </w:p>
        </w:tc>
        <w:tc>
          <w:tcPr>
            <w:tcW w:w="1160" w:type="dxa"/>
            <w:tcBorders>
              <w:top w:val="nil"/>
              <w:left w:val="nil"/>
              <w:bottom w:val="single" w:sz="4" w:space="0" w:color="auto"/>
              <w:right w:val="single" w:sz="4" w:space="0" w:color="auto"/>
            </w:tcBorders>
            <w:shd w:val="clear" w:color="auto" w:fill="auto"/>
            <w:noWrap/>
            <w:vAlign w:val="center"/>
            <w:hideMark/>
          </w:tcPr>
          <w:p w14:paraId="6A01FF36"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5,020 (68%)</w:t>
            </w:r>
          </w:p>
        </w:tc>
        <w:tc>
          <w:tcPr>
            <w:tcW w:w="1180" w:type="dxa"/>
            <w:tcBorders>
              <w:top w:val="nil"/>
              <w:left w:val="nil"/>
              <w:bottom w:val="single" w:sz="4" w:space="0" w:color="auto"/>
              <w:right w:val="single" w:sz="4" w:space="0" w:color="auto"/>
            </w:tcBorders>
            <w:shd w:val="clear" w:color="auto" w:fill="auto"/>
            <w:noWrap/>
            <w:vAlign w:val="center"/>
            <w:hideMark/>
          </w:tcPr>
          <w:p w14:paraId="69A8B75F"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2,521 (66%)</w:t>
            </w:r>
          </w:p>
        </w:tc>
        <w:tc>
          <w:tcPr>
            <w:tcW w:w="1180" w:type="dxa"/>
            <w:tcBorders>
              <w:top w:val="nil"/>
              <w:left w:val="nil"/>
              <w:bottom w:val="single" w:sz="4" w:space="0" w:color="auto"/>
              <w:right w:val="single" w:sz="4" w:space="0" w:color="auto"/>
            </w:tcBorders>
            <w:shd w:val="clear" w:color="auto" w:fill="auto"/>
            <w:noWrap/>
            <w:vAlign w:val="center"/>
            <w:hideMark/>
          </w:tcPr>
          <w:p w14:paraId="088FA1EA"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2,367 (72%)</w:t>
            </w:r>
          </w:p>
        </w:tc>
        <w:tc>
          <w:tcPr>
            <w:tcW w:w="1160" w:type="dxa"/>
            <w:tcBorders>
              <w:top w:val="nil"/>
              <w:left w:val="nil"/>
              <w:bottom w:val="single" w:sz="4" w:space="0" w:color="auto"/>
              <w:right w:val="single" w:sz="4" w:space="0" w:color="auto"/>
            </w:tcBorders>
            <w:shd w:val="clear" w:color="auto" w:fill="auto"/>
            <w:noWrap/>
            <w:vAlign w:val="center"/>
            <w:hideMark/>
          </w:tcPr>
          <w:p w14:paraId="09433ECA" w14:textId="77777777" w:rsidR="00F321F2" w:rsidRPr="00F321F2" w:rsidRDefault="00F321F2" w:rsidP="00F321F2">
            <w:pPr>
              <w:spacing w:after="0" w:line="240" w:lineRule="auto"/>
              <w:jc w:val="right"/>
              <w:rPr>
                <w:rFonts w:ascii="Calibri" w:eastAsia="Times New Roman" w:hAnsi="Calibri" w:cs="Calibri"/>
                <w:color w:val="000000"/>
                <w:sz w:val="16"/>
                <w:szCs w:val="16"/>
                <w:lang w:eastAsia="en-GB"/>
              </w:rPr>
            </w:pPr>
            <w:r w:rsidRPr="00F321F2">
              <w:rPr>
                <w:rFonts w:ascii="Calibri" w:eastAsia="Times New Roman" w:hAnsi="Calibri" w:cs="Calibri"/>
                <w:color w:val="000000"/>
                <w:sz w:val="16"/>
                <w:szCs w:val="16"/>
                <w:lang w:eastAsia="en-GB"/>
              </w:rPr>
              <w:t>132 (57%)</w:t>
            </w:r>
          </w:p>
        </w:tc>
      </w:tr>
    </w:tbl>
    <w:p w14:paraId="51DB14EB" w14:textId="41450215" w:rsidR="00B940F5" w:rsidRDefault="00B940F5" w:rsidP="00B940F5">
      <w:pPr>
        <w:rPr>
          <w:b/>
          <w:bCs/>
        </w:rPr>
      </w:pPr>
    </w:p>
    <w:p w14:paraId="0F6DB9B2" w14:textId="2F184F52" w:rsidR="0023314D" w:rsidRDefault="0023314D">
      <w:pPr>
        <w:rPr>
          <w:b/>
          <w:bCs/>
        </w:rPr>
      </w:pPr>
      <w:r>
        <w:rPr>
          <w:b/>
          <w:bCs/>
        </w:rPr>
        <w:br w:type="page"/>
      </w:r>
    </w:p>
    <w:p w14:paraId="52A7C339" w14:textId="77777777" w:rsidR="0023314D" w:rsidRDefault="0023314D" w:rsidP="00B940F5">
      <w:pPr>
        <w:rPr>
          <w:b/>
          <w:bCs/>
        </w:rPr>
      </w:pPr>
    </w:p>
    <w:p w14:paraId="7054627F" w14:textId="5FA60C5B" w:rsidR="006605A3" w:rsidRPr="004D2355" w:rsidDel="006605A3" w:rsidRDefault="00F90821">
      <w:pPr>
        <w:rPr>
          <w:b/>
          <w:bCs/>
          <w:noProof/>
          <w:sz w:val="24"/>
          <w:szCs w:val="24"/>
        </w:rPr>
      </w:pPr>
      <w:r>
        <w:rPr>
          <w:b/>
          <w:bCs/>
          <w:sz w:val="24"/>
          <w:szCs w:val="24"/>
        </w:rPr>
        <w:t>Supplementary Table S2</w:t>
      </w:r>
      <w:r w:rsidRPr="0051716F">
        <w:rPr>
          <w:b/>
          <w:bCs/>
          <w:sz w:val="24"/>
          <w:szCs w:val="24"/>
        </w:rPr>
        <w:t xml:space="preserve">   Responses to individual items</w:t>
      </w:r>
      <w:r>
        <w:rPr>
          <w:b/>
          <w:bCs/>
          <w:sz w:val="24"/>
          <w:szCs w:val="24"/>
        </w:rPr>
        <w:t xml:space="preserve"> of the IBD-Control-8</w:t>
      </w:r>
      <w:r w:rsidRPr="0051716F">
        <w:rPr>
          <w:b/>
          <w:bCs/>
          <w:sz w:val="24"/>
          <w:szCs w:val="24"/>
        </w:rPr>
        <w:t xml:space="preserve"> </w:t>
      </w:r>
      <w:r>
        <w:rPr>
          <w:b/>
          <w:bCs/>
          <w:sz w:val="24"/>
          <w:szCs w:val="24"/>
        </w:rPr>
        <w:t>stratified by population</w:t>
      </w:r>
      <w:r w:rsidR="00FF0169">
        <w:rPr>
          <w:b/>
          <w:bCs/>
          <w:sz w:val="24"/>
          <w:szCs w:val="24"/>
        </w:rPr>
        <w:t xml:space="preserve"> strata</w:t>
      </w:r>
    </w:p>
    <w:tbl>
      <w:tblPr>
        <w:tblpPr w:leftFromText="180" w:rightFromText="180" w:vertAnchor="text" w:tblpY="1"/>
        <w:tblOverlap w:val="never"/>
        <w:tblW w:w="9351" w:type="dxa"/>
        <w:shd w:val="clear" w:color="auto" w:fill="FFFFFF" w:themeFill="background1"/>
        <w:tblLayout w:type="fixed"/>
        <w:tblLook w:val="04A0" w:firstRow="1" w:lastRow="0" w:firstColumn="1" w:lastColumn="0" w:noHBand="0" w:noVBand="1"/>
      </w:tblPr>
      <w:tblGrid>
        <w:gridCol w:w="2689"/>
        <w:gridCol w:w="850"/>
        <w:gridCol w:w="851"/>
        <w:gridCol w:w="850"/>
        <w:gridCol w:w="709"/>
        <w:gridCol w:w="850"/>
        <w:gridCol w:w="851"/>
        <w:gridCol w:w="850"/>
        <w:gridCol w:w="851"/>
      </w:tblGrid>
      <w:tr w:rsidR="006605A3" w:rsidRPr="00F321F2" w14:paraId="3955FF8B" w14:textId="77777777" w:rsidTr="00F0396A">
        <w:trPr>
          <w:trHeight w:val="129"/>
        </w:trPr>
        <w:tc>
          <w:tcPr>
            <w:tcW w:w="2689" w:type="dxa"/>
            <w:vMerge w:val="restart"/>
            <w:tcBorders>
              <w:top w:val="single" w:sz="4" w:space="0" w:color="auto"/>
              <w:left w:val="single" w:sz="4" w:space="0" w:color="auto"/>
              <w:right w:val="single" w:sz="4" w:space="0" w:color="auto"/>
            </w:tcBorders>
            <w:shd w:val="clear" w:color="auto" w:fill="DEEAF6" w:themeFill="accent5" w:themeFillTint="33"/>
            <w:noWrap/>
            <w:vAlign w:val="center"/>
          </w:tcPr>
          <w:p w14:paraId="70539B71" w14:textId="77777777" w:rsidR="006605A3" w:rsidRDefault="006605A3" w:rsidP="00F0396A">
            <w:pPr>
              <w:spacing w:after="0" w:line="240" w:lineRule="auto"/>
              <w:rPr>
                <w:rFonts w:ascii="Calibri" w:eastAsia="Times New Roman" w:hAnsi="Calibri" w:cs="Calibri"/>
                <w:b/>
                <w:bCs/>
                <w:color w:val="000000"/>
                <w:sz w:val="16"/>
                <w:szCs w:val="16"/>
                <w:lang w:eastAsia="en-GB"/>
              </w:rPr>
            </w:pPr>
            <w:r w:rsidRPr="00F0396A">
              <w:rPr>
                <w:rFonts w:ascii="Calibri" w:eastAsia="Times New Roman" w:hAnsi="Calibri" w:cs="Calibri"/>
                <w:b/>
                <w:bCs/>
                <w:color w:val="000000"/>
                <w:sz w:val="11"/>
                <w:szCs w:val="11"/>
                <w:lang w:eastAsia="en-GB"/>
              </w:rPr>
              <w:t>Question Item</w:t>
            </w:r>
          </w:p>
        </w:tc>
        <w:tc>
          <w:tcPr>
            <w:tcW w:w="1701" w:type="dxa"/>
            <w:gridSpan w:val="2"/>
            <w:tcBorders>
              <w:top w:val="single" w:sz="4" w:space="0" w:color="auto"/>
              <w:left w:val="nil"/>
              <w:bottom w:val="single" w:sz="4" w:space="0" w:color="auto"/>
              <w:right w:val="single" w:sz="4" w:space="0" w:color="auto"/>
            </w:tcBorders>
            <w:shd w:val="clear" w:color="auto" w:fill="DEEAF6" w:themeFill="accent5" w:themeFillTint="33"/>
            <w:noWrap/>
          </w:tcPr>
          <w:p w14:paraId="527F4140" w14:textId="77777777" w:rsidR="006605A3" w:rsidRPr="00F0396A" w:rsidRDefault="006605A3" w:rsidP="00F0396A">
            <w:pPr>
              <w:spacing w:after="0" w:line="240" w:lineRule="auto"/>
              <w:jc w:val="center"/>
              <w:rPr>
                <w:rFonts w:ascii="Calibri" w:eastAsia="Times New Roman" w:hAnsi="Calibri" w:cs="Calibri"/>
                <w:b/>
                <w:bCs/>
                <w:color w:val="000000"/>
                <w:sz w:val="11"/>
                <w:szCs w:val="11"/>
                <w:lang w:eastAsia="en-GB"/>
              </w:rPr>
            </w:pPr>
            <w:r w:rsidRPr="00F0396A">
              <w:rPr>
                <w:rFonts w:ascii="Calibri" w:eastAsia="Times New Roman" w:hAnsi="Calibri" w:cs="Calibri"/>
                <w:b/>
                <w:bCs/>
                <w:color w:val="000000"/>
                <w:sz w:val="11"/>
                <w:szCs w:val="11"/>
                <w:lang w:eastAsia="en-GB"/>
              </w:rPr>
              <w:t>Sex at birth</w:t>
            </w:r>
          </w:p>
        </w:tc>
        <w:tc>
          <w:tcPr>
            <w:tcW w:w="1559" w:type="dxa"/>
            <w:gridSpan w:val="2"/>
            <w:tcBorders>
              <w:top w:val="single" w:sz="4" w:space="0" w:color="auto"/>
              <w:left w:val="nil"/>
              <w:bottom w:val="single" w:sz="4" w:space="0" w:color="auto"/>
              <w:right w:val="single" w:sz="4" w:space="0" w:color="auto"/>
            </w:tcBorders>
            <w:shd w:val="clear" w:color="auto" w:fill="DEEAF6" w:themeFill="accent5" w:themeFillTint="33"/>
          </w:tcPr>
          <w:p w14:paraId="76F7102F" w14:textId="77777777" w:rsidR="006605A3" w:rsidRPr="00F0396A" w:rsidRDefault="006605A3" w:rsidP="00F0396A">
            <w:pPr>
              <w:spacing w:after="0" w:line="240" w:lineRule="auto"/>
              <w:jc w:val="center"/>
              <w:rPr>
                <w:rFonts w:ascii="Calibri" w:eastAsia="Times New Roman" w:hAnsi="Calibri" w:cs="Calibri"/>
                <w:b/>
                <w:bCs/>
                <w:color w:val="000000"/>
                <w:sz w:val="11"/>
                <w:szCs w:val="11"/>
                <w:lang w:eastAsia="en-GB"/>
              </w:rPr>
            </w:pPr>
            <w:r w:rsidRPr="00F0396A">
              <w:rPr>
                <w:rFonts w:ascii="Calibri" w:eastAsia="Times New Roman" w:hAnsi="Calibri" w:cs="Calibri"/>
                <w:b/>
                <w:bCs/>
                <w:color w:val="000000"/>
                <w:sz w:val="11"/>
                <w:szCs w:val="11"/>
                <w:lang w:eastAsia="en-GB"/>
              </w:rPr>
              <w:t>Age Group</w:t>
            </w:r>
          </w:p>
        </w:tc>
        <w:tc>
          <w:tcPr>
            <w:tcW w:w="1701" w:type="dxa"/>
            <w:gridSpan w:val="2"/>
            <w:tcBorders>
              <w:top w:val="single" w:sz="4" w:space="0" w:color="auto"/>
              <w:left w:val="nil"/>
              <w:bottom w:val="single" w:sz="4" w:space="0" w:color="auto"/>
              <w:right w:val="single" w:sz="4" w:space="0" w:color="auto"/>
            </w:tcBorders>
            <w:shd w:val="clear" w:color="auto" w:fill="DEEAF6" w:themeFill="accent5" w:themeFillTint="33"/>
          </w:tcPr>
          <w:p w14:paraId="7F34D667" w14:textId="77777777" w:rsidR="006605A3" w:rsidRPr="00F0396A" w:rsidRDefault="006605A3" w:rsidP="00F0396A">
            <w:pPr>
              <w:spacing w:after="0" w:line="240" w:lineRule="auto"/>
              <w:jc w:val="center"/>
              <w:rPr>
                <w:rFonts w:ascii="Calibri" w:eastAsia="Times New Roman" w:hAnsi="Calibri" w:cs="Calibri"/>
                <w:b/>
                <w:bCs/>
                <w:color w:val="000000"/>
                <w:sz w:val="11"/>
                <w:szCs w:val="11"/>
                <w:lang w:eastAsia="en-GB"/>
              </w:rPr>
            </w:pPr>
            <w:r>
              <w:rPr>
                <w:rFonts w:ascii="Calibri" w:eastAsia="Times New Roman" w:hAnsi="Calibri" w:cs="Calibri"/>
                <w:b/>
                <w:bCs/>
                <w:color w:val="000000"/>
                <w:sz w:val="11"/>
                <w:szCs w:val="11"/>
                <w:lang w:eastAsia="en-GB"/>
              </w:rPr>
              <w:t>Number of c</w:t>
            </w:r>
            <w:r w:rsidRPr="00F0396A">
              <w:rPr>
                <w:rFonts w:ascii="Calibri" w:eastAsia="Times New Roman" w:hAnsi="Calibri" w:cs="Calibri"/>
                <w:b/>
                <w:bCs/>
                <w:color w:val="000000"/>
                <w:sz w:val="11"/>
                <w:szCs w:val="11"/>
                <w:lang w:eastAsia="en-GB"/>
              </w:rPr>
              <w:t>omorbidities</w:t>
            </w:r>
          </w:p>
        </w:tc>
        <w:tc>
          <w:tcPr>
            <w:tcW w:w="1701" w:type="dxa"/>
            <w:gridSpan w:val="2"/>
            <w:tcBorders>
              <w:top w:val="single" w:sz="4" w:space="0" w:color="auto"/>
              <w:left w:val="nil"/>
              <w:bottom w:val="single" w:sz="4" w:space="0" w:color="auto"/>
              <w:right w:val="single" w:sz="4" w:space="0" w:color="auto"/>
            </w:tcBorders>
            <w:shd w:val="clear" w:color="auto" w:fill="DEEAF6" w:themeFill="accent5" w:themeFillTint="33"/>
          </w:tcPr>
          <w:p w14:paraId="29122D06" w14:textId="77777777" w:rsidR="006605A3" w:rsidRPr="00F0396A" w:rsidRDefault="006605A3" w:rsidP="00F0396A">
            <w:pPr>
              <w:spacing w:after="0" w:line="240" w:lineRule="auto"/>
              <w:jc w:val="center"/>
              <w:rPr>
                <w:rFonts w:ascii="Calibri" w:eastAsia="Times New Roman" w:hAnsi="Calibri" w:cs="Calibri"/>
                <w:b/>
                <w:bCs/>
                <w:color w:val="000000"/>
                <w:sz w:val="11"/>
                <w:szCs w:val="11"/>
                <w:lang w:eastAsia="en-GB"/>
              </w:rPr>
            </w:pPr>
            <w:r w:rsidRPr="00F0396A">
              <w:rPr>
                <w:rFonts w:ascii="Calibri" w:eastAsia="Times New Roman" w:hAnsi="Calibri" w:cs="Calibri"/>
                <w:b/>
                <w:bCs/>
                <w:color w:val="000000"/>
                <w:sz w:val="11"/>
                <w:szCs w:val="11"/>
                <w:lang w:eastAsia="en-GB"/>
              </w:rPr>
              <w:t>Deprivation Status</w:t>
            </w:r>
          </w:p>
        </w:tc>
      </w:tr>
      <w:tr w:rsidR="006605A3" w:rsidRPr="00F321F2" w14:paraId="557F1A8A" w14:textId="77777777" w:rsidTr="00F0396A">
        <w:trPr>
          <w:trHeight w:val="200"/>
        </w:trPr>
        <w:tc>
          <w:tcPr>
            <w:tcW w:w="2689" w:type="dxa"/>
            <w:vMerge/>
            <w:tcBorders>
              <w:left w:val="single" w:sz="4" w:space="0" w:color="auto"/>
              <w:bottom w:val="single" w:sz="4" w:space="0" w:color="auto"/>
              <w:right w:val="single" w:sz="4" w:space="0" w:color="auto"/>
            </w:tcBorders>
            <w:shd w:val="clear" w:color="auto" w:fill="DEEAF6" w:themeFill="accent5" w:themeFillTint="33"/>
            <w:noWrap/>
            <w:hideMark/>
          </w:tcPr>
          <w:p w14:paraId="33395276" w14:textId="77777777" w:rsidR="006605A3" w:rsidRPr="00F0396A" w:rsidRDefault="006605A3" w:rsidP="00F0396A">
            <w:pPr>
              <w:spacing w:after="0" w:line="240" w:lineRule="auto"/>
              <w:rPr>
                <w:rFonts w:ascii="Calibri" w:eastAsia="Times New Roman" w:hAnsi="Calibri" w:cs="Calibri"/>
                <w:b/>
                <w:bCs/>
                <w:color w:val="000000"/>
                <w:sz w:val="11"/>
                <w:szCs w:val="11"/>
                <w:lang w:eastAsia="en-GB"/>
              </w:rPr>
            </w:pPr>
          </w:p>
        </w:tc>
        <w:tc>
          <w:tcPr>
            <w:tcW w:w="850"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91D3FFA" w14:textId="77777777" w:rsidR="006605A3" w:rsidRPr="00F0396A" w:rsidRDefault="006605A3" w:rsidP="00F0396A">
            <w:pPr>
              <w:spacing w:after="0" w:line="240" w:lineRule="auto"/>
              <w:jc w:val="right"/>
              <w:rPr>
                <w:rFonts w:ascii="Calibri" w:eastAsia="Times New Roman" w:hAnsi="Calibri" w:cs="Calibri"/>
                <w:b/>
                <w:bCs/>
                <w:color w:val="000000"/>
                <w:sz w:val="11"/>
                <w:szCs w:val="11"/>
                <w:lang w:eastAsia="en-GB"/>
              </w:rPr>
            </w:pPr>
            <w:r w:rsidRPr="00F0396A">
              <w:rPr>
                <w:rFonts w:ascii="Calibri" w:eastAsia="Times New Roman" w:hAnsi="Calibri" w:cs="Calibri"/>
                <w:b/>
                <w:bCs/>
                <w:color w:val="000000"/>
                <w:sz w:val="11"/>
                <w:szCs w:val="11"/>
                <w:lang w:eastAsia="en-GB"/>
              </w:rPr>
              <w:t>Males</w:t>
            </w:r>
          </w:p>
        </w:tc>
        <w:tc>
          <w:tcPr>
            <w:tcW w:w="851" w:type="dxa"/>
            <w:tcBorders>
              <w:top w:val="single" w:sz="4" w:space="0" w:color="auto"/>
              <w:left w:val="nil"/>
              <w:bottom w:val="single" w:sz="4" w:space="0" w:color="auto"/>
              <w:right w:val="single" w:sz="4" w:space="0" w:color="auto"/>
            </w:tcBorders>
            <w:shd w:val="clear" w:color="auto" w:fill="DEEAF6" w:themeFill="accent5" w:themeFillTint="33"/>
            <w:vAlign w:val="center"/>
          </w:tcPr>
          <w:p w14:paraId="322C1BC2" w14:textId="77777777" w:rsidR="006605A3" w:rsidRPr="00F0396A" w:rsidRDefault="006605A3" w:rsidP="00F0396A">
            <w:pPr>
              <w:spacing w:after="0" w:line="240" w:lineRule="auto"/>
              <w:jc w:val="right"/>
              <w:rPr>
                <w:rFonts w:ascii="Calibri" w:eastAsia="Times New Roman" w:hAnsi="Calibri" w:cs="Calibri"/>
                <w:b/>
                <w:bCs/>
                <w:color w:val="000000"/>
                <w:sz w:val="11"/>
                <w:szCs w:val="11"/>
                <w:lang w:eastAsia="en-GB"/>
              </w:rPr>
            </w:pPr>
            <w:r w:rsidRPr="00F0396A">
              <w:rPr>
                <w:rFonts w:ascii="Calibri" w:eastAsia="Times New Roman" w:hAnsi="Calibri" w:cs="Calibri"/>
                <w:b/>
                <w:bCs/>
                <w:color w:val="000000"/>
                <w:sz w:val="11"/>
                <w:szCs w:val="11"/>
                <w:lang w:eastAsia="en-GB"/>
              </w:rPr>
              <w:t>Females</w:t>
            </w:r>
          </w:p>
        </w:tc>
        <w:tc>
          <w:tcPr>
            <w:tcW w:w="850" w:type="dxa"/>
            <w:tcBorders>
              <w:top w:val="single" w:sz="4" w:space="0" w:color="auto"/>
              <w:left w:val="nil"/>
              <w:bottom w:val="single" w:sz="4" w:space="0" w:color="auto"/>
              <w:right w:val="single" w:sz="4" w:space="0" w:color="auto"/>
            </w:tcBorders>
            <w:shd w:val="clear" w:color="auto" w:fill="DEEAF6" w:themeFill="accent5" w:themeFillTint="33"/>
            <w:vAlign w:val="center"/>
          </w:tcPr>
          <w:p w14:paraId="6131B552" w14:textId="77777777" w:rsidR="006605A3" w:rsidRPr="00F0396A" w:rsidRDefault="006605A3" w:rsidP="00F0396A">
            <w:pPr>
              <w:spacing w:after="0" w:line="240" w:lineRule="auto"/>
              <w:jc w:val="right"/>
              <w:rPr>
                <w:rFonts w:ascii="Calibri" w:eastAsia="Times New Roman" w:hAnsi="Calibri" w:cs="Calibri"/>
                <w:b/>
                <w:bCs/>
                <w:color w:val="000000"/>
                <w:sz w:val="11"/>
                <w:szCs w:val="11"/>
                <w:lang w:eastAsia="en-GB"/>
              </w:rPr>
            </w:pPr>
            <w:r w:rsidRPr="00F0396A">
              <w:rPr>
                <w:rFonts w:ascii="Calibri" w:eastAsia="Times New Roman" w:hAnsi="Calibri" w:cs="Calibri"/>
                <w:b/>
                <w:bCs/>
                <w:color w:val="000000"/>
                <w:sz w:val="11"/>
                <w:szCs w:val="11"/>
                <w:lang w:eastAsia="en-GB"/>
              </w:rPr>
              <w:t>&lt;65 yrs</w:t>
            </w:r>
          </w:p>
        </w:tc>
        <w:tc>
          <w:tcPr>
            <w:tcW w:w="709" w:type="dxa"/>
            <w:tcBorders>
              <w:top w:val="single" w:sz="4" w:space="0" w:color="auto"/>
              <w:left w:val="nil"/>
              <w:bottom w:val="single" w:sz="4" w:space="0" w:color="auto"/>
              <w:right w:val="single" w:sz="4" w:space="0" w:color="auto"/>
            </w:tcBorders>
            <w:shd w:val="clear" w:color="auto" w:fill="DEEAF6" w:themeFill="accent5" w:themeFillTint="33"/>
            <w:vAlign w:val="center"/>
          </w:tcPr>
          <w:p w14:paraId="4B05EE71" w14:textId="77777777" w:rsidR="006605A3" w:rsidRPr="00F0396A" w:rsidRDefault="006605A3" w:rsidP="00F0396A">
            <w:pPr>
              <w:spacing w:after="0" w:line="240" w:lineRule="auto"/>
              <w:jc w:val="right"/>
              <w:rPr>
                <w:rFonts w:ascii="Calibri" w:eastAsia="Times New Roman" w:hAnsi="Calibri" w:cs="Calibri"/>
                <w:b/>
                <w:bCs/>
                <w:color w:val="000000"/>
                <w:sz w:val="11"/>
                <w:szCs w:val="11"/>
                <w:lang w:eastAsia="en-GB"/>
              </w:rPr>
            </w:pPr>
            <w:r w:rsidRPr="00F0396A">
              <w:rPr>
                <w:rFonts w:ascii="Calibri" w:eastAsia="Times New Roman" w:hAnsi="Calibri" w:cs="Calibri"/>
                <w:b/>
                <w:bCs/>
                <w:color w:val="000000"/>
                <w:sz w:val="11"/>
                <w:szCs w:val="11"/>
                <w:lang w:eastAsia="en-GB"/>
              </w:rPr>
              <w:t>≥65 yrs</w:t>
            </w:r>
          </w:p>
        </w:tc>
        <w:tc>
          <w:tcPr>
            <w:tcW w:w="850" w:type="dxa"/>
            <w:tcBorders>
              <w:top w:val="single" w:sz="4" w:space="0" w:color="auto"/>
              <w:left w:val="nil"/>
              <w:bottom w:val="single" w:sz="4" w:space="0" w:color="auto"/>
              <w:right w:val="single" w:sz="4" w:space="0" w:color="auto"/>
            </w:tcBorders>
            <w:shd w:val="clear" w:color="auto" w:fill="DEEAF6" w:themeFill="accent5" w:themeFillTint="33"/>
            <w:vAlign w:val="center"/>
          </w:tcPr>
          <w:p w14:paraId="3D995538" w14:textId="77777777" w:rsidR="006605A3" w:rsidRPr="00F0396A" w:rsidRDefault="006605A3" w:rsidP="00F0396A">
            <w:pPr>
              <w:spacing w:after="0" w:line="240" w:lineRule="auto"/>
              <w:jc w:val="right"/>
              <w:rPr>
                <w:rFonts w:ascii="Calibri" w:eastAsia="Times New Roman" w:hAnsi="Calibri" w:cs="Calibri"/>
                <w:b/>
                <w:bCs/>
                <w:color w:val="000000"/>
                <w:sz w:val="11"/>
                <w:szCs w:val="11"/>
                <w:lang w:eastAsia="en-GB"/>
              </w:rPr>
            </w:pPr>
            <w:r w:rsidRPr="00F0396A">
              <w:rPr>
                <w:rFonts w:ascii="Calibri" w:eastAsia="Times New Roman" w:hAnsi="Calibri" w:cs="Calibri"/>
                <w:b/>
                <w:bCs/>
                <w:color w:val="000000"/>
                <w:sz w:val="11"/>
                <w:szCs w:val="11"/>
                <w:lang w:eastAsia="en-GB"/>
              </w:rPr>
              <w:t>None</w:t>
            </w:r>
          </w:p>
        </w:tc>
        <w:tc>
          <w:tcPr>
            <w:tcW w:w="851" w:type="dxa"/>
            <w:tcBorders>
              <w:top w:val="single" w:sz="4" w:space="0" w:color="auto"/>
              <w:left w:val="nil"/>
              <w:bottom w:val="single" w:sz="4" w:space="0" w:color="auto"/>
              <w:right w:val="single" w:sz="4" w:space="0" w:color="auto"/>
            </w:tcBorders>
            <w:shd w:val="clear" w:color="auto" w:fill="DEEAF6" w:themeFill="accent5" w:themeFillTint="33"/>
            <w:vAlign w:val="center"/>
          </w:tcPr>
          <w:p w14:paraId="3E671BF6" w14:textId="77777777" w:rsidR="006605A3" w:rsidRPr="00F0396A" w:rsidRDefault="006605A3" w:rsidP="00F0396A">
            <w:pPr>
              <w:spacing w:after="0" w:line="240" w:lineRule="auto"/>
              <w:jc w:val="right"/>
              <w:rPr>
                <w:rFonts w:ascii="Calibri" w:eastAsia="Times New Roman" w:hAnsi="Calibri" w:cs="Calibri"/>
                <w:b/>
                <w:bCs/>
                <w:color w:val="000000"/>
                <w:sz w:val="11"/>
                <w:szCs w:val="11"/>
                <w:lang w:eastAsia="en-GB"/>
              </w:rPr>
            </w:pPr>
            <w:r w:rsidRPr="00F0396A">
              <w:rPr>
                <w:rFonts w:ascii="Calibri" w:eastAsia="Times New Roman" w:hAnsi="Calibri" w:cs="Calibri"/>
                <w:b/>
                <w:bCs/>
                <w:color w:val="000000"/>
                <w:sz w:val="11"/>
                <w:szCs w:val="11"/>
                <w:lang w:eastAsia="en-GB"/>
              </w:rPr>
              <w:t>≥1</w:t>
            </w:r>
          </w:p>
        </w:tc>
        <w:tc>
          <w:tcPr>
            <w:tcW w:w="850" w:type="dxa"/>
            <w:tcBorders>
              <w:top w:val="single" w:sz="4" w:space="0" w:color="auto"/>
              <w:left w:val="nil"/>
              <w:bottom w:val="single" w:sz="4" w:space="0" w:color="auto"/>
              <w:right w:val="single" w:sz="4" w:space="0" w:color="auto"/>
            </w:tcBorders>
            <w:shd w:val="clear" w:color="auto" w:fill="DEEAF6" w:themeFill="accent5" w:themeFillTint="33"/>
          </w:tcPr>
          <w:p w14:paraId="14A8854F" w14:textId="77777777" w:rsidR="006605A3" w:rsidRPr="00F0396A" w:rsidRDefault="006605A3" w:rsidP="00F0396A">
            <w:pPr>
              <w:spacing w:after="0" w:line="240" w:lineRule="auto"/>
              <w:jc w:val="right"/>
              <w:rPr>
                <w:rFonts w:ascii="Calibri" w:eastAsia="Times New Roman" w:hAnsi="Calibri" w:cs="Calibri"/>
                <w:b/>
                <w:bCs/>
                <w:color w:val="000000"/>
                <w:sz w:val="11"/>
                <w:szCs w:val="11"/>
                <w:lang w:eastAsia="en-GB"/>
              </w:rPr>
            </w:pPr>
            <w:r w:rsidRPr="00F0396A">
              <w:rPr>
                <w:rFonts w:ascii="Calibri" w:eastAsia="Times New Roman" w:hAnsi="Calibri" w:cs="Calibri"/>
                <w:b/>
                <w:bCs/>
                <w:color w:val="000000"/>
                <w:sz w:val="11"/>
                <w:szCs w:val="11"/>
                <w:lang w:eastAsia="en-GB"/>
              </w:rPr>
              <w:t xml:space="preserve">Quintile 1 </w:t>
            </w:r>
          </w:p>
          <w:p w14:paraId="200EF27B"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Least deprived area</w:t>
            </w:r>
          </w:p>
        </w:tc>
        <w:tc>
          <w:tcPr>
            <w:tcW w:w="851" w:type="dxa"/>
            <w:tcBorders>
              <w:top w:val="single" w:sz="4" w:space="0" w:color="auto"/>
              <w:left w:val="nil"/>
              <w:bottom w:val="single" w:sz="4" w:space="0" w:color="auto"/>
              <w:right w:val="single" w:sz="4" w:space="0" w:color="auto"/>
            </w:tcBorders>
            <w:shd w:val="clear" w:color="auto" w:fill="DEEAF6" w:themeFill="accent5" w:themeFillTint="33"/>
          </w:tcPr>
          <w:p w14:paraId="787916CC" w14:textId="77777777" w:rsidR="006605A3" w:rsidRPr="00F0396A" w:rsidRDefault="006605A3" w:rsidP="00F0396A">
            <w:pPr>
              <w:spacing w:after="0" w:line="240" w:lineRule="auto"/>
              <w:jc w:val="right"/>
              <w:rPr>
                <w:rFonts w:ascii="Calibri" w:eastAsia="Times New Roman" w:hAnsi="Calibri" w:cs="Calibri"/>
                <w:b/>
                <w:bCs/>
                <w:color w:val="000000"/>
                <w:sz w:val="11"/>
                <w:szCs w:val="11"/>
                <w:lang w:eastAsia="en-GB"/>
              </w:rPr>
            </w:pPr>
            <w:r w:rsidRPr="00F0396A">
              <w:rPr>
                <w:rFonts w:ascii="Calibri" w:eastAsia="Times New Roman" w:hAnsi="Calibri" w:cs="Calibri"/>
                <w:b/>
                <w:bCs/>
                <w:color w:val="000000"/>
                <w:sz w:val="11"/>
                <w:szCs w:val="11"/>
                <w:lang w:eastAsia="en-GB"/>
              </w:rPr>
              <w:t>Quintile 5</w:t>
            </w:r>
          </w:p>
          <w:p w14:paraId="586C8033"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Most deprived area</w:t>
            </w:r>
          </w:p>
        </w:tc>
      </w:tr>
      <w:tr w:rsidR="006605A3" w:rsidRPr="00F321F2" w14:paraId="466793DA"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0829FD33" w14:textId="77777777" w:rsidR="006605A3" w:rsidRPr="00F0396A" w:rsidRDefault="006605A3" w:rsidP="00F0396A">
            <w:pPr>
              <w:spacing w:after="0" w:line="240" w:lineRule="auto"/>
              <w:rPr>
                <w:rFonts w:ascii="Calibri" w:eastAsia="Times New Roman" w:hAnsi="Calibri" w:cs="Calibri"/>
                <w:b/>
                <w:bCs/>
                <w:color w:val="000000"/>
                <w:sz w:val="11"/>
                <w:szCs w:val="11"/>
                <w:lang w:eastAsia="en-GB"/>
              </w:rPr>
            </w:pPr>
          </w:p>
        </w:tc>
        <w:tc>
          <w:tcPr>
            <w:tcW w:w="850" w:type="dxa"/>
            <w:tcBorders>
              <w:top w:val="nil"/>
              <w:left w:val="nil"/>
              <w:bottom w:val="single" w:sz="4" w:space="0" w:color="auto"/>
              <w:right w:val="single" w:sz="4" w:space="0" w:color="auto"/>
            </w:tcBorders>
            <w:shd w:val="clear" w:color="auto" w:fill="FFFFFF" w:themeFill="background1"/>
            <w:noWrap/>
            <w:hideMark/>
          </w:tcPr>
          <w:p w14:paraId="4DE33191"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N=2,729</w:t>
            </w:r>
          </w:p>
        </w:tc>
        <w:tc>
          <w:tcPr>
            <w:tcW w:w="851" w:type="dxa"/>
            <w:tcBorders>
              <w:top w:val="nil"/>
              <w:left w:val="nil"/>
              <w:bottom w:val="single" w:sz="4" w:space="0" w:color="auto"/>
              <w:right w:val="single" w:sz="4" w:space="0" w:color="auto"/>
            </w:tcBorders>
            <w:shd w:val="clear" w:color="auto" w:fill="FFFFFF" w:themeFill="background1"/>
          </w:tcPr>
          <w:p w14:paraId="1FF16FAE" w14:textId="77777777" w:rsidR="006605A3" w:rsidRPr="00F0396A" w:rsidDel="001569BD" w:rsidRDefault="006605A3" w:rsidP="00F0396A">
            <w:pPr>
              <w:spacing w:after="0" w:line="240" w:lineRule="auto"/>
              <w:jc w:val="center"/>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N=4,608</w:t>
            </w:r>
          </w:p>
        </w:tc>
        <w:tc>
          <w:tcPr>
            <w:tcW w:w="850" w:type="dxa"/>
            <w:tcBorders>
              <w:top w:val="nil"/>
              <w:left w:val="nil"/>
              <w:bottom w:val="single" w:sz="4" w:space="0" w:color="auto"/>
              <w:right w:val="single" w:sz="4" w:space="0" w:color="auto"/>
            </w:tcBorders>
            <w:shd w:val="clear" w:color="auto" w:fill="FFFFFF" w:themeFill="background1"/>
          </w:tcPr>
          <w:p w14:paraId="0C561E30"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N=6,276</w:t>
            </w:r>
          </w:p>
        </w:tc>
        <w:tc>
          <w:tcPr>
            <w:tcW w:w="709" w:type="dxa"/>
            <w:tcBorders>
              <w:top w:val="nil"/>
              <w:left w:val="nil"/>
              <w:bottom w:val="single" w:sz="4" w:space="0" w:color="auto"/>
              <w:right w:val="single" w:sz="4" w:space="0" w:color="auto"/>
            </w:tcBorders>
            <w:shd w:val="clear" w:color="auto" w:fill="FFFFFF" w:themeFill="background1"/>
          </w:tcPr>
          <w:p w14:paraId="5ED0BED9"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N=1,065</w:t>
            </w:r>
          </w:p>
        </w:tc>
        <w:tc>
          <w:tcPr>
            <w:tcW w:w="850" w:type="dxa"/>
            <w:tcBorders>
              <w:top w:val="nil"/>
              <w:left w:val="nil"/>
              <w:bottom w:val="single" w:sz="4" w:space="0" w:color="auto"/>
              <w:right w:val="single" w:sz="4" w:space="0" w:color="auto"/>
            </w:tcBorders>
            <w:shd w:val="clear" w:color="auto" w:fill="FFFFFF" w:themeFill="background1"/>
          </w:tcPr>
          <w:p w14:paraId="09367981"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N=5,510</w:t>
            </w:r>
          </w:p>
        </w:tc>
        <w:tc>
          <w:tcPr>
            <w:tcW w:w="851" w:type="dxa"/>
            <w:tcBorders>
              <w:top w:val="nil"/>
              <w:left w:val="nil"/>
              <w:bottom w:val="single" w:sz="4" w:space="0" w:color="auto"/>
              <w:right w:val="single" w:sz="4" w:space="0" w:color="auto"/>
            </w:tcBorders>
            <w:shd w:val="clear" w:color="auto" w:fill="FFFFFF" w:themeFill="background1"/>
          </w:tcPr>
          <w:p w14:paraId="09E00835"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N=1,827</w:t>
            </w:r>
          </w:p>
        </w:tc>
        <w:tc>
          <w:tcPr>
            <w:tcW w:w="850" w:type="dxa"/>
            <w:tcBorders>
              <w:top w:val="nil"/>
              <w:left w:val="nil"/>
              <w:bottom w:val="single" w:sz="4" w:space="0" w:color="auto"/>
              <w:right w:val="single" w:sz="4" w:space="0" w:color="auto"/>
            </w:tcBorders>
            <w:shd w:val="clear" w:color="auto" w:fill="FFFFFF" w:themeFill="background1"/>
          </w:tcPr>
          <w:p w14:paraId="72A79186"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N=2,003</w:t>
            </w:r>
          </w:p>
        </w:tc>
        <w:tc>
          <w:tcPr>
            <w:tcW w:w="851" w:type="dxa"/>
            <w:tcBorders>
              <w:top w:val="nil"/>
              <w:left w:val="nil"/>
              <w:bottom w:val="single" w:sz="4" w:space="0" w:color="auto"/>
              <w:right w:val="single" w:sz="4" w:space="0" w:color="auto"/>
            </w:tcBorders>
            <w:shd w:val="clear" w:color="auto" w:fill="FFFFFF" w:themeFill="background1"/>
          </w:tcPr>
          <w:p w14:paraId="2186AB55"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N=721</w:t>
            </w:r>
          </w:p>
        </w:tc>
      </w:tr>
      <w:tr w:rsidR="006605A3" w:rsidRPr="00F321F2" w14:paraId="5015EC8B" w14:textId="77777777" w:rsidTr="00F0396A">
        <w:trPr>
          <w:trHeight w:hRule="exact" w:val="198"/>
        </w:trPr>
        <w:tc>
          <w:tcPr>
            <w:tcW w:w="9351" w:type="dxa"/>
            <w:gridSpan w:val="9"/>
            <w:tcBorders>
              <w:top w:val="nil"/>
              <w:left w:val="single" w:sz="4" w:space="0" w:color="auto"/>
              <w:bottom w:val="single" w:sz="4" w:space="0" w:color="auto"/>
              <w:right w:val="single" w:sz="4" w:space="0" w:color="auto"/>
            </w:tcBorders>
            <w:shd w:val="clear" w:color="auto" w:fill="FFFFFF" w:themeFill="background1"/>
            <w:noWrap/>
            <w:vAlign w:val="center"/>
            <w:hideMark/>
          </w:tcPr>
          <w:p w14:paraId="0E9FDFF9" w14:textId="77777777" w:rsidR="006605A3" w:rsidRPr="00F0396A" w:rsidRDefault="006605A3" w:rsidP="00F0396A">
            <w:pPr>
              <w:spacing w:after="0" w:line="240" w:lineRule="auto"/>
              <w:rPr>
                <w:rFonts w:ascii="Calibri" w:eastAsia="Times New Roman" w:hAnsi="Calibri" w:cs="Calibri"/>
                <w:b/>
                <w:bCs/>
                <w:color w:val="000000"/>
                <w:sz w:val="11"/>
                <w:szCs w:val="11"/>
                <w:lang w:eastAsia="en-GB"/>
              </w:rPr>
            </w:pPr>
            <w:r w:rsidRPr="00F0396A">
              <w:rPr>
                <w:rFonts w:ascii="Calibri" w:eastAsia="Times New Roman" w:hAnsi="Calibri" w:cs="Calibri"/>
                <w:b/>
                <w:bCs/>
                <w:color w:val="000000"/>
                <w:sz w:val="11"/>
                <w:szCs w:val="11"/>
                <w:lang w:eastAsia="en-GB"/>
              </w:rPr>
              <w:t>1a.</w:t>
            </w:r>
            <w:r>
              <w:rPr>
                <w:rFonts w:ascii="Calibri" w:eastAsia="Times New Roman" w:hAnsi="Calibri" w:cs="Calibri"/>
                <w:b/>
                <w:bCs/>
                <w:color w:val="000000"/>
                <w:sz w:val="11"/>
                <w:szCs w:val="11"/>
                <w:lang w:eastAsia="en-GB"/>
              </w:rPr>
              <w:t xml:space="preserve">  </w:t>
            </w:r>
            <w:r w:rsidRPr="00F0396A">
              <w:rPr>
                <w:rFonts w:ascii="Calibri" w:eastAsia="Times New Roman" w:hAnsi="Calibri" w:cs="Calibri"/>
                <w:b/>
                <w:bCs/>
                <w:color w:val="000000"/>
                <w:sz w:val="11"/>
                <w:szCs w:val="11"/>
                <w:lang w:eastAsia="en-GB"/>
              </w:rPr>
              <w:t>Your IBD has been well controlled in the past two weeks?</w:t>
            </w:r>
          </w:p>
          <w:p w14:paraId="26601BC4"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w:t>
            </w:r>
          </w:p>
        </w:tc>
      </w:tr>
      <w:tr w:rsidR="006605A3" w:rsidRPr="00F321F2" w14:paraId="142B42E6"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74206F21"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No</w:t>
            </w:r>
          </w:p>
        </w:tc>
        <w:tc>
          <w:tcPr>
            <w:tcW w:w="850" w:type="dxa"/>
            <w:tcBorders>
              <w:top w:val="nil"/>
              <w:left w:val="nil"/>
              <w:bottom w:val="single" w:sz="4" w:space="0" w:color="auto"/>
              <w:right w:val="single" w:sz="4" w:space="0" w:color="auto"/>
            </w:tcBorders>
            <w:shd w:val="clear" w:color="auto" w:fill="FFFFFF" w:themeFill="background1"/>
            <w:noWrap/>
            <w:hideMark/>
          </w:tcPr>
          <w:p w14:paraId="1B542EA4" w14:textId="77777777" w:rsidR="006605A3" w:rsidRPr="00F0396A" w:rsidRDefault="006605A3" w:rsidP="00F0396A">
            <w:pPr>
              <w:spacing w:after="0" w:line="240" w:lineRule="auto"/>
              <w:jc w:val="right"/>
              <w:rPr>
                <w:rFonts w:ascii="Calibri" w:eastAsia="Times New Roman" w:hAnsi="Calibri" w:cs="Calibri"/>
                <w:color w:val="000000"/>
                <w:sz w:val="11"/>
                <w:szCs w:val="11"/>
                <w:highlight w:val="yellow"/>
                <w:lang w:eastAsia="en-GB"/>
              </w:rPr>
            </w:pPr>
            <w:r w:rsidRPr="005E75F7">
              <w:rPr>
                <w:rFonts w:ascii="Calibri" w:eastAsia="Times New Roman" w:hAnsi="Calibri" w:cs="Calibri"/>
                <w:color w:val="000000"/>
                <w:sz w:val="11"/>
                <w:szCs w:val="11"/>
                <w:lang w:eastAsia="en-GB"/>
              </w:rPr>
              <w:t>381 (14%)</w:t>
            </w:r>
          </w:p>
        </w:tc>
        <w:tc>
          <w:tcPr>
            <w:tcW w:w="851" w:type="dxa"/>
            <w:tcBorders>
              <w:top w:val="nil"/>
              <w:left w:val="nil"/>
              <w:bottom w:val="single" w:sz="4" w:space="0" w:color="auto"/>
              <w:right w:val="single" w:sz="4" w:space="0" w:color="auto"/>
            </w:tcBorders>
            <w:shd w:val="clear" w:color="auto" w:fill="FFFFFF" w:themeFill="background1"/>
          </w:tcPr>
          <w:p w14:paraId="078E018E"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1,001 (22%)</w:t>
            </w:r>
          </w:p>
        </w:tc>
        <w:tc>
          <w:tcPr>
            <w:tcW w:w="850" w:type="dxa"/>
            <w:tcBorders>
              <w:top w:val="nil"/>
              <w:left w:val="nil"/>
              <w:bottom w:val="single" w:sz="4" w:space="0" w:color="auto"/>
              <w:right w:val="single" w:sz="4" w:space="0" w:color="auto"/>
            </w:tcBorders>
            <w:shd w:val="clear" w:color="auto" w:fill="FFFFFF" w:themeFill="background1"/>
          </w:tcPr>
          <w:p w14:paraId="6DDE4BFF"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1,258 (20%)</w:t>
            </w:r>
          </w:p>
        </w:tc>
        <w:tc>
          <w:tcPr>
            <w:tcW w:w="709" w:type="dxa"/>
            <w:tcBorders>
              <w:top w:val="nil"/>
              <w:left w:val="nil"/>
              <w:bottom w:val="single" w:sz="4" w:space="0" w:color="auto"/>
              <w:right w:val="single" w:sz="4" w:space="0" w:color="auto"/>
            </w:tcBorders>
            <w:shd w:val="clear" w:color="auto" w:fill="FFFFFF" w:themeFill="background1"/>
          </w:tcPr>
          <w:p w14:paraId="0416644F"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124 (12%)</w:t>
            </w:r>
          </w:p>
        </w:tc>
        <w:tc>
          <w:tcPr>
            <w:tcW w:w="850" w:type="dxa"/>
            <w:tcBorders>
              <w:top w:val="nil"/>
              <w:left w:val="nil"/>
              <w:bottom w:val="single" w:sz="4" w:space="0" w:color="auto"/>
              <w:right w:val="single" w:sz="4" w:space="0" w:color="auto"/>
            </w:tcBorders>
            <w:shd w:val="clear" w:color="auto" w:fill="FFFFFF" w:themeFill="background1"/>
          </w:tcPr>
          <w:p w14:paraId="6A12E91D"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1,024 (19%)</w:t>
            </w:r>
          </w:p>
        </w:tc>
        <w:tc>
          <w:tcPr>
            <w:tcW w:w="851" w:type="dxa"/>
            <w:tcBorders>
              <w:top w:val="nil"/>
              <w:left w:val="nil"/>
              <w:bottom w:val="single" w:sz="4" w:space="0" w:color="auto"/>
              <w:right w:val="single" w:sz="4" w:space="0" w:color="auto"/>
            </w:tcBorders>
            <w:shd w:val="clear" w:color="auto" w:fill="FFFFFF" w:themeFill="background1"/>
          </w:tcPr>
          <w:p w14:paraId="7285E323"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358 (20%)</w:t>
            </w:r>
          </w:p>
          <w:p w14:paraId="15679B3F" w14:textId="77777777" w:rsidR="006605A3" w:rsidRPr="00F0396A" w:rsidDel="001569BD" w:rsidRDefault="006605A3" w:rsidP="00F0396A">
            <w:pPr>
              <w:spacing w:after="0" w:line="240" w:lineRule="auto"/>
              <w:jc w:val="center"/>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w:t>
            </w:r>
          </w:p>
        </w:tc>
        <w:tc>
          <w:tcPr>
            <w:tcW w:w="850" w:type="dxa"/>
            <w:tcBorders>
              <w:top w:val="nil"/>
              <w:left w:val="nil"/>
              <w:bottom w:val="single" w:sz="4" w:space="0" w:color="auto"/>
              <w:right w:val="single" w:sz="4" w:space="0" w:color="auto"/>
            </w:tcBorders>
            <w:shd w:val="clear" w:color="auto" w:fill="FFFFFF" w:themeFill="background1"/>
          </w:tcPr>
          <w:p w14:paraId="42BB7828"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301 (15%)</w:t>
            </w:r>
          </w:p>
        </w:tc>
        <w:tc>
          <w:tcPr>
            <w:tcW w:w="851" w:type="dxa"/>
            <w:tcBorders>
              <w:top w:val="nil"/>
              <w:left w:val="nil"/>
              <w:bottom w:val="single" w:sz="4" w:space="0" w:color="auto"/>
              <w:right w:val="single" w:sz="4" w:space="0" w:color="auto"/>
            </w:tcBorders>
            <w:shd w:val="clear" w:color="auto" w:fill="FFFFFF" w:themeFill="background1"/>
          </w:tcPr>
          <w:p w14:paraId="2CFD802E"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179 (25%)</w:t>
            </w:r>
          </w:p>
        </w:tc>
      </w:tr>
      <w:tr w:rsidR="006605A3" w:rsidRPr="00F321F2" w14:paraId="55047699"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5AB23164"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Not sure</w:t>
            </w:r>
          </w:p>
        </w:tc>
        <w:tc>
          <w:tcPr>
            <w:tcW w:w="850" w:type="dxa"/>
            <w:tcBorders>
              <w:top w:val="nil"/>
              <w:left w:val="nil"/>
              <w:bottom w:val="single" w:sz="4" w:space="0" w:color="auto"/>
              <w:right w:val="single" w:sz="4" w:space="0" w:color="auto"/>
            </w:tcBorders>
            <w:shd w:val="clear" w:color="auto" w:fill="FFFFFF" w:themeFill="background1"/>
            <w:noWrap/>
            <w:hideMark/>
          </w:tcPr>
          <w:p w14:paraId="011DC03E" w14:textId="77777777" w:rsidR="006605A3" w:rsidRPr="00F0396A" w:rsidRDefault="006605A3" w:rsidP="00F0396A">
            <w:pPr>
              <w:spacing w:after="0" w:line="240" w:lineRule="auto"/>
              <w:jc w:val="right"/>
              <w:rPr>
                <w:rFonts w:ascii="Calibri" w:eastAsia="Times New Roman" w:hAnsi="Calibri" w:cs="Calibri"/>
                <w:color w:val="000000"/>
                <w:sz w:val="11"/>
                <w:szCs w:val="11"/>
                <w:highlight w:val="yellow"/>
                <w:lang w:eastAsia="en-GB"/>
              </w:rPr>
            </w:pPr>
            <w:r w:rsidRPr="005E75F7">
              <w:rPr>
                <w:rFonts w:ascii="Calibri" w:eastAsia="Times New Roman" w:hAnsi="Calibri" w:cs="Calibri"/>
                <w:color w:val="000000"/>
                <w:sz w:val="11"/>
                <w:szCs w:val="11"/>
                <w:lang w:eastAsia="en-GB"/>
              </w:rPr>
              <w:t>141 (5.2%)</w:t>
            </w:r>
          </w:p>
        </w:tc>
        <w:tc>
          <w:tcPr>
            <w:tcW w:w="851" w:type="dxa"/>
            <w:tcBorders>
              <w:top w:val="nil"/>
              <w:left w:val="nil"/>
              <w:bottom w:val="single" w:sz="4" w:space="0" w:color="auto"/>
              <w:right w:val="single" w:sz="4" w:space="0" w:color="auto"/>
            </w:tcBorders>
            <w:shd w:val="clear" w:color="auto" w:fill="FFFFFF" w:themeFill="background1"/>
          </w:tcPr>
          <w:p w14:paraId="6D64C81D"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318 (6.9%)</w:t>
            </w:r>
          </w:p>
        </w:tc>
        <w:tc>
          <w:tcPr>
            <w:tcW w:w="850" w:type="dxa"/>
            <w:tcBorders>
              <w:top w:val="nil"/>
              <w:left w:val="nil"/>
              <w:bottom w:val="single" w:sz="4" w:space="0" w:color="auto"/>
              <w:right w:val="single" w:sz="4" w:space="0" w:color="auto"/>
            </w:tcBorders>
            <w:shd w:val="clear" w:color="auto" w:fill="FFFFFF" w:themeFill="background1"/>
          </w:tcPr>
          <w:p w14:paraId="4E5DE637"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394 (6.3%)</w:t>
            </w:r>
          </w:p>
        </w:tc>
        <w:tc>
          <w:tcPr>
            <w:tcW w:w="709" w:type="dxa"/>
            <w:tcBorders>
              <w:top w:val="nil"/>
              <w:left w:val="nil"/>
              <w:bottom w:val="single" w:sz="4" w:space="0" w:color="auto"/>
              <w:right w:val="single" w:sz="4" w:space="0" w:color="auto"/>
            </w:tcBorders>
            <w:shd w:val="clear" w:color="auto" w:fill="FFFFFF" w:themeFill="background1"/>
          </w:tcPr>
          <w:p w14:paraId="03559DBB"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65 (6.1%)</w:t>
            </w:r>
          </w:p>
        </w:tc>
        <w:tc>
          <w:tcPr>
            <w:tcW w:w="850" w:type="dxa"/>
            <w:tcBorders>
              <w:top w:val="nil"/>
              <w:left w:val="nil"/>
              <w:bottom w:val="single" w:sz="4" w:space="0" w:color="auto"/>
              <w:right w:val="single" w:sz="4" w:space="0" w:color="auto"/>
            </w:tcBorders>
            <w:shd w:val="clear" w:color="auto" w:fill="FFFFFF" w:themeFill="background1"/>
          </w:tcPr>
          <w:p w14:paraId="0690C8EF"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322 (5.8%)</w:t>
            </w:r>
          </w:p>
        </w:tc>
        <w:tc>
          <w:tcPr>
            <w:tcW w:w="851" w:type="dxa"/>
            <w:tcBorders>
              <w:top w:val="nil"/>
              <w:left w:val="nil"/>
              <w:bottom w:val="single" w:sz="4" w:space="0" w:color="auto"/>
              <w:right w:val="single" w:sz="4" w:space="0" w:color="auto"/>
            </w:tcBorders>
            <w:shd w:val="clear" w:color="auto" w:fill="FFFFFF" w:themeFill="background1"/>
          </w:tcPr>
          <w:p w14:paraId="7B791C90"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137 (7.5%)</w:t>
            </w:r>
          </w:p>
        </w:tc>
        <w:tc>
          <w:tcPr>
            <w:tcW w:w="850" w:type="dxa"/>
            <w:tcBorders>
              <w:top w:val="nil"/>
              <w:left w:val="nil"/>
              <w:bottom w:val="single" w:sz="4" w:space="0" w:color="auto"/>
              <w:right w:val="single" w:sz="4" w:space="0" w:color="auto"/>
            </w:tcBorders>
            <w:shd w:val="clear" w:color="auto" w:fill="FFFFFF" w:themeFill="background1"/>
          </w:tcPr>
          <w:p w14:paraId="7049B2CD"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104 (5.2%)</w:t>
            </w:r>
          </w:p>
        </w:tc>
        <w:tc>
          <w:tcPr>
            <w:tcW w:w="851" w:type="dxa"/>
            <w:tcBorders>
              <w:top w:val="nil"/>
              <w:left w:val="nil"/>
              <w:bottom w:val="single" w:sz="4" w:space="0" w:color="auto"/>
              <w:right w:val="single" w:sz="4" w:space="0" w:color="auto"/>
            </w:tcBorders>
            <w:shd w:val="clear" w:color="auto" w:fill="FFFFFF" w:themeFill="background1"/>
          </w:tcPr>
          <w:p w14:paraId="565D514A"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63 (8.7%)</w:t>
            </w:r>
          </w:p>
        </w:tc>
      </w:tr>
      <w:tr w:rsidR="006605A3" w:rsidRPr="00F321F2" w14:paraId="1BD3DBC3"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2746A8F2"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Yes</w:t>
            </w:r>
          </w:p>
        </w:tc>
        <w:tc>
          <w:tcPr>
            <w:tcW w:w="850" w:type="dxa"/>
            <w:tcBorders>
              <w:top w:val="nil"/>
              <w:left w:val="nil"/>
              <w:bottom w:val="single" w:sz="4" w:space="0" w:color="auto"/>
              <w:right w:val="single" w:sz="4" w:space="0" w:color="auto"/>
            </w:tcBorders>
            <w:shd w:val="clear" w:color="auto" w:fill="FFFFFF" w:themeFill="background1"/>
            <w:noWrap/>
            <w:hideMark/>
          </w:tcPr>
          <w:p w14:paraId="5CCC0BD4" w14:textId="77777777" w:rsidR="006605A3" w:rsidRPr="00F0396A" w:rsidRDefault="006605A3" w:rsidP="00F0396A">
            <w:pPr>
              <w:spacing w:after="0" w:line="240" w:lineRule="auto"/>
              <w:jc w:val="right"/>
              <w:rPr>
                <w:rFonts w:ascii="Calibri" w:eastAsia="Times New Roman" w:hAnsi="Calibri" w:cs="Calibri"/>
                <w:color w:val="000000"/>
                <w:sz w:val="11"/>
                <w:szCs w:val="11"/>
                <w:highlight w:val="yellow"/>
                <w:lang w:eastAsia="en-GB"/>
              </w:rPr>
            </w:pPr>
            <w:r w:rsidRPr="005E75F7">
              <w:rPr>
                <w:rFonts w:ascii="Calibri" w:eastAsia="Times New Roman" w:hAnsi="Calibri" w:cs="Calibri"/>
                <w:color w:val="000000"/>
                <w:sz w:val="11"/>
                <w:szCs w:val="11"/>
                <w:lang w:eastAsia="en-GB"/>
              </w:rPr>
              <w:t>2,207 (81%)</w:t>
            </w:r>
          </w:p>
        </w:tc>
        <w:tc>
          <w:tcPr>
            <w:tcW w:w="851" w:type="dxa"/>
            <w:tcBorders>
              <w:top w:val="nil"/>
              <w:left w:val="nil"/>
              <w:bottom w:val="single" w:sz="4" w:space="0" w:color="auto"/>
              <w:right w:val="single" w:sz="4" w:space="0" w:color="auto"/>
            </w:tcBorders>
            <w:shd w:val="clear" w:color="auto" w:fill="FFFFFF" w:themeFill="background1"/>
          </w:tcPr>
          <w:p w14:paraId="1AEE9B89"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3,289 (71%)</w:t>
            </w:r>
          </w:p>
        </w:tc>
        <w:tc>
          <w:tcPr>
            <w:tcW w:w="850" w:type="dxa"/>
            <w:tcBorders>
              <w:top w:val="nil"/>
              <w:left w:val="nil"/>
              <w:bottom w:val="single" w:sz="4" w:space="0" w:color="auto"/>
              <w:right w:val="single" w:sz="4" w:space="0" w:color="auto"/>
            </w:tcBorders>
            <w:shd w:val="clear" w:color="auto" w:fill="FFFFFF" w:themeFill="background1"/>
          </w:tcPr>
          <w:p w14:paraId="4ED1903D"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4,622 (74%)</w:t>
            </w:r>
          </w:p>
        </w:tc>
        <w:tc>
          <w:tcPr>
            <w:tcW w:w="709" w:type="dxa"/>
            <w:tcBorders>
              <w:top w:val="nil"/>
              <w:left w:val="nil"/>
              <w:bottom w:val="single" w:sz="4" w:space="0" w:color="auto"/>
              <w:right w:val="single" w:sz="4" w:space="0" w:color="auto"/>
            </w:tcBorders>
            <w:shd w:val="clear" w:color="auto" w:fill="FFFFFF" w:themeFill="background1"/>
          </w:tcPr>
          <w:p w14:paraId="58975A36"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874 (82%)</w:t>
            </w:r>
          </w:p>
        </w:tc>
        <w:tc>
          <w:tcPr>
            <w:tcW w:w="850" w:type="dxa"/>
            <w:tcBorders>
              <w:top w:val="nil"/>
              <w:left w:val="nil"/>
              <w:bottom w:val="single" w:sz="4" w:space="0" w:color="auto"/>
              <w:right w:val="single" w:sz="4" w:space="0" w:color="auto"/>
            </w:tcBorders>
            <w:shd w:val="clear" w:color="auto" w:fill="FFFFFF" w:themeFill="background1"/>
          </w:tcPr>
          <w:p w14:paraId="416CB298"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4,164 (76%)</w:t>
            </w:r>
          </w:p>
        </w:tc>
        <w:tc>
          <w:tcPr>
            <w:tcW w:w="851" w:type="dxa"/>
            <w:tcBorders>
              <w:top w:val="nil"/>
              <w:left w:val="nil"/>
              <w:bottom w:val="single" w:sz="4" w:space="0" w:color="auto"/>
              <w:right w:val="single" w:sz="4" w:space="0" w:color="auto"/>
            </w:tcBorders>
            <w:shd w:val="clear" w:color="auto" w:fill="FFFFFF" w:themeFill="background1"/>
          </w:tcPr>
          <w:p w14:paraId="020C370E"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1,332 (73%)</w:t>
            </w:r>
          </w:p>
        </w:tc>
        <w:tc>
          <w:tcPr>
            <w:tcW w:w="850" w:type="dxa"/>
            <w:tcBorders>
              <w:top w:val="nil"/>
              <w:left w:val="nil"/>
              <w:bottom w:val="single" w:sz="4" w:space="0" w:color="auto"/>
              <w:right w:val="single" w:sz="4" w:space="0" w:color="auto"/>
            </w:tcBorders>
            <w:shd w:val="clear" w:color="auto" w:fill="FFFFFF" w:themeFill="background1"/>
          </w:tcPr>
          <w:p w14:paraId="29A8D2A7"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1,598 (80%)</w:t>
            </w:r>
          </w:p>
        </w:tc>
        <w:tc>
          <w:tcPr>
            <w:tcW w:w="851" w:type="dxa"/>
            <w:tcBorders>
              <w:top w:val="nil"/>
              <w:left w:val="nil"/>
              <w:bottom w:val="single" w:sz="4" w:space="0" w:color="auto"/>
              <w:right w:val="single" w:sz="4" w:space="0" w:color="auto"/>
            </w:tcBorders>
            <w:shd w:val="clear" w:color="auto" w:fill="FFFFFF" w:themeFill="background1"/>
          </w:tcPr>
          <w:p w14:paraId="4CA61DD9"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479 (66%)</w:t>
            </w:r>
          </w:p>
        </w:tc>
      </w:tr>
      <w:tr w:rsidR="006605A3" w:rsidRPr="00F321F2" w14:paraId="64AD51B8" w14:textId="77777777" w:rsidTr="00F0396A">
        <w:trPr>
          <w:trHeight w:hRule="exact" w:val="198"/>
        </w:trPr>
        <w:tc>
          <w:tcPr>
            <w:tcW w:w="9351" w:type="dxa"/>
            <w:gridSpan w:val="9"/>
            <w:tcBorders>
              <w:top w:val="nil"/>
              <w:left w:val="single" w:sz="4" w:space="0" w:color="auto"/>
              <w:bottom w:val="single" w:sz="4" w:space="0" w:color="auto"/>
              <w:right w:val="single" w:sz="4" w:space="0" w:color="auto"/>
            </w:tcBorders>
            <w:shd w:val="clear" w:color="auto" w:fill="FFFFFF" w:themeFill="background1"/>
            <w:noWrap/>
            <w:vAlign w:val="center"/>
            <w:hideMark/>
          </w:tcPr>
          <w:p w14:paraId="29A277B9" w14:textId="77777777" w:rsidR="006605A3" w:rsidRPr="00F0396A" w:rsidRDefault="006605A3" w:rsidP="00F0396A">
            <w:pPr>
              <w:spacing w:after="0" w:line="240" w:lineRule="auto"/>
              <w:rPr>
                <w:rFonts w:ascii="Calibri" w:eastAsia="Times New Roman" w:hAnsi="Calibri" w:cs="Calibri"/>
                <w:b/>
                <w:bCs/>
                <w:color w:val="000000"/>
                <w:sz w:val="11"/>
                <w:szCs w:val="11"/>
                <w:lang w:eastAsia="en-GB"/>
              </w:rPr>
            </w:pPr>
            <w:r w:rsidRPr="00F0396A">
              <w:rPr>
                <w:rFonts w:ascii="Calibri" w:eastAsia="Times New Roman" w:hAnsi="Calibri" w:cs="Calibri"/>
                <w:b/>
                <w:bCs/>
                <w:color w:val="000000"/>
                <w:sz w:val="11"/>
                <w:szCs w:val="11"/>
                <w:lang w:eastAsia="en-GB"/>
              </w:rPr>
              <w:t>1b.</w:t>
            </w:r>
            <w:r>
              <w:rPr>
                <w:rFonts w:ascii="Calibri" w:eastAsia="Times New Roman" w:hAnsi="Calibri" w:cs="Calibri"/>
                <w:b/>
                <w:bCs/>
                <w:color w:val="000000"/>
                <w:sz w:val="11"/>
                <w:szCs w:val="11"/>
                <w:lang w:eastAsia="en-GB"/>
              </w:rPr>
              <w:t xml:space="preserve">  </w:t>
            </w:r>
            <w:r w:rsidRPr="00F0396A">
              <w:rPr>
                <w:rFonts w:ascii="Calibri" w:eastAsia="Times New Roman" w:hAnsi="Calibri" w:cs="Calibri"/>
                <w:b/>
                <w:bCs/>
                <w:color w:val="000000"/>
                <w:sz w:val="11"/>
                <w:szCs w:val="11"/>
                <w:lang w:eastAsia="en-GB"/>
              </w:rPr>
              <w:t>Your current treatment is useful in controlling your IBD?</w:t>
            </w:r>
          </w:p>
          <w:p w14:paraId="58D7AA4E"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w:t>
            </w:r>
          </w:p>
        </w:tc>
      </w:tr>
      <w:tr w:rsidR="006605A3" w:rsidRPr="00F321F2" w14:paraId="64E24B06"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6824E272"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No</w:t>
            </w:r>
          </w:p>
        </w:tc>
        <w:tc>
          <w:tcPr>
            <w:tcW w:w="850" w:type="dxa"/>
            <w:tcBorders>
              <w:top w:val="nil"/>
              <w:left w:val="nil"/>
              <w:bottom w:val="single" w:sz="4" w:space="0" w:color="auto"/>
              <w:right w:val="single" w:sz="4" w:space="0" w:color="auto"/>
            </w:tcBorders>
            <w:shd w:val="clear" w:color="auto" w:fill="FFFFFF" w:themeFill="background1"/>
            <w:noWrap/>
            <w:hideMark/>
          </w:tcPr>
          <w:p w14:paraId="6A10311D"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83 (3.0%)</w:t>
            </w:r>
          </w:p>
        </w:tc>
        <w:tc>
          <w:tcPr>
            <w:tcW w:w="851" w:type="dxa"/>
            <w:tcBorders>
              <w:top w:val="nil"/>
              <w:left w:val="nil"/>
              <w:bottom w:val="single" w:sz="4" w:space="0" w:color="auto"/>
              <w:right w:val="single" w:sz="4" w:space="0" w:color="auto"/>
            </w:tcBorders>
            <w:shd w:val="clear" w:color="auto" w:fill="FFFFFF" w:themeFill="background1"/>
          </w:tcPr>
          <w:p w14:paraId="0A390F7D"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224 (4.9%)</w:t>
            </w:r>
          </w:p>
        </w:tc>
        <w:tc>
          <w:tcPr>
            <w:tcW w:w="850" w:type="dxa"/>
            <w:tcBorders>
              <w:top w:val="nil"/>
              <w:left w:val="nil"/>
              <w:bottom w:val="single" w:sz="4" w:space="0" w:color="auto"/>
              <w:right w:val="single" w:sz="4" w:space="0" w:color="auto"/>
            </w:tcBorders>
            <w:shd w:val="clear" w:color="auto" w:fill="FFFFFF" w:themeFill="background1"/>
          </w:tcPr>
          <w:p w14:paraId="4A13DBBE"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291 (4.6%)</w:t>
            </w:r>
          </w:p>
        </w:tc>
        <w:tc>
          <w:tcPr>
            <w:tcW w:w="709" w:type="dxa"/>
            <w:tcBorders>
              <w:top w:val="nil"/>
              <w:left w:val="nil"/>
              <w:bottom w:val="single" w:sz="4" w:space="0" w:color="auto"/>
              <w:right w:val="single" w:sz="4" w:space="0" w:color="auto"/>
            </w:tcBorders>
            <w:shd w:val="clear" w:color="auto" w:fill="FFFFFF" w:themeFill="background1"/>
          </w:tcPr>
          <w:p w14:paraId="76E1DDBD"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16 (1.5%)</w:t>
            </w:r>
          </w:p>
        </w:tc>
        <w:tc>
          <w:tcPr>
            <w:tcW w:w="850" w:type="dxa"/>
            <w:tcBorders>
              <w:top w:val="nil"/>
              <w:left w:val="nil"/>
              <w:bottom w:val="single" w:sz="4" w:space="0" w:color="auto"/>
              <w:right w:val="single" w:sz="4" w:space="0" w:color="auto"/>
            </w:tcBorders>
            <w:shd w:val="clear" w:color="auto" w:fill="FFFFFF" w:themeFill="background1"/>
          </w:tcPr>
          <w:p w14:paraId="52049412"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242 (4.4%)</w:t>
            </w:r>
          </w:p>
        </w:tc>
        <w:tc>
          <w:tcPr>
            <w:tcW w:w="851" w:type="dxa"/>
            <w:tcBorders>
              <w:top w:val="nil"/>
              <w:left w:val="nil"/>
              <w:bottom w:val="single" w:sz="4" w:space="0" w:color="auto"/>
              <w:right w:val="single" w:sz="4" w:space="0" w:color="auto"/>
            </w:tcBorders>
            <w:shd w:val="clear" w:color="auto" w:fill="FFFFFF" w:themeFill="background1"/>
          </w:tcPr>
          <w:p w14:paraId="14B14C7C"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65 (3.6%)</w:t>
            </w:r>
          </w:p>
        </w:tc>
        <w:tc>
          <w:tcPr>
            <w:tcW w:w="850" w:type="dxa"/>
            <w:tcBorders>
              <w:top w:val="nil"/>
              <w:left w:val="nil"/>
              <w:bottom w:val="single" w:sz="4" w:space="0" w:color="auto"/>
              <w:right w:val="single" w:sz="4" w:space="0" w:color="auto"/>
            </w:tcBorders>
            <w:shd w:val="clear" w:color="auto" w:fill="FFFFFF" w:themeFill="background1"/>
          </w:tcPr>
          <w:p w14:paraId="70CFF1A2"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63 (3.1%)</w:t>
            </w:r>
          </w:p>
        </w:tc>
        <w:tc>
          <w:tcPr>
            <w:tcW w:w="851" w:type="dxa"/>
            <w:tcBorders>
              <w:top w:val="nil"/>
              <w:left w:val="nil"/>
              <w:bottom w:val="single" w:sz="4" w:space="0" w:color="auto"/>
              <w:right w:val="single" w:sz="4" w:space="0" w:color="auto"/>
            </w:tcBorders>
            <w:shd w:val="clear" w:color="auto" w:fill="FFFFFF" w:themeFill="background1"/>
          </w:tcPr>
          <w:p w14:paraId="7475C3B7"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48 (6.7%)</w:t>
            </w:r>
          </w:p>
        </w:tc>
      </w:tr>
      <w:tr w:rsidR="006605A3" w:rsidRPr="00F321F2" w14:paraId="721C09B0"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586515A5"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Not sure</w:t>
            </w:r>
          </w:p>
        </w:tc>
        <w:tc>
          <w:tcPr>
            <w:tcW w:w="850" w:type="dxa"/>
            <w:tcBorders>
              <w:top w:val="nil"/>
              <w:left w:val="nil"/>
              <w:bottom w:val="single" w:sz="4" w:space="0" w:color="auto"/>
              <w:right w:val="single" w:sz="4" w:space="0" w:color="auto"/>
            </w:tcBorders>
            <w:shd w:val="clear" w:color="auto" w:fill="FFFFFF" w:themeFill="background1"/>
            <w:noWrap/>
            <w:hideMark/>
          </w:tcPr>
          <w:p w14:paraId="38FC4D6F"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376 (14%)</w:t>
            </w:r>
          </w:p>
        </w:tc>
        <w:tc>
          <w:tcPr>
            <w:tcW w:w="851" w:type="dxa"/>
            <w:tcBorders>
              <w:top w:val="nil"/>
              <w:left w:val="nil"/>
              <w:bottom w:val="single" w:sz="4" w:space="0" w:color="auto"/>
              <w:right w:val="single" w:sz="4" w:space="0" w:color="auto"/>
            </w:tcBorders>
            <w:shd w:val="clear" w:color="auto" w:fill="FFFFFF" w:themeFill="background1"/>
          </w:tcPr>
          <w:p w14:paraId="423363C8"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813 (18%)</w:t>
            </w:r>
          </w:p>
        </w:tc>
        <w:tc>
          <w:tcPr>
            <w:tcW w:w="850" w:type="dxa"/>
            <w:tcBorders>
              <w:top w:val="nil"/>
              <w:left w:val="nil"/>
              <w:bottom w:val="single" w:sz="4" w:space="0" w:color="auto"/>
              <w:right w:val="single" w:sz="4" w:space="0" w:color="auto"/>
            </w:tcBorders>
            <w:shd w:val="clear" w:color="auto" w:fill="FFFFFF" w:themeFill="background1"/>
          </w:tcPr>
          <w:p w14:paraId="4887BBEF"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1,033 (16%)</w:t>
            </w:r>
          </w:p>
        </w:tc>
        <w:tc>
          <w:tcPr>
            <w:tcW w:w="709" w:type="dxa"/>
            <w:tcBorders>
              <w:top w:val="nil"/>
              <w:left w:val="nil"/>
              <w:bottom w:val="single" w:sz="4" w:space="0" w:color="auto"/>
              <w:right w:val="single" w:sz="4" w:space="0" w:color="auto"/>
            </w:tcBorders>
            <w:shd w:val="clear" w:color="auto" w:fill="FFFFFF" w:themeFill="background1"/>
          </w:tcPr>
          <w:p w14:paraId="1A419638"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156 (15%)</w:t>
            </w:r>
          </w:p>
        </w:tc>
        <w:tc>
          <w:tcPr>
            <w:tcW w:w="850" w:type="dxa"/>
            <w:tcBorders>
              <w:top w:val="nil"/>
              <w:left w:val="nil"/>
              <w:bottom w:val="single" w:sz="4" w:space="0" w:color="auto"/>
              <w:right w:val="single" w:sz="4" w:space="0" w:color="auto"/>
            </w:tcBorders>
            <w:shd w:val="clear" w:color="auto" w:fill="FFFFFF" w:themeFill="background1"/>
          </w:tcPr>
          <w:p w14:paraId="612CA660"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848 (15%)</w:t>
            </w:r>
          </w:p>
        </w:tc>
        <w:tc>
          <w:tcPr>
            <w:tcW w:w="851" w:type="dxa"/>
            <w:tcBorders>
              <w:top w:val="nil"/>
              <w:left w:val="nil"/>
              <w:bottom w:val="single" w:sz="4" w:space="0" w:color="auto"/>
              <w:right w:val="single" w:sz="4" w:space="0" w:color="auto"/>
            </w:tcBorders>
            <w:shd w:val="clear" w:color="auto" w:fill="FFFFFF" w:themeFill="background1"/>
          </w:tcPr>
          <w:p w14:paraId="08F7AE62"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341 (19%)</w:t>
            </w:r>
          </w:p>
        </w:tc>
        <w:tc>
          <w:tcPr>
            <w:tcW w:w="850" w:type="dxa"/>
            <w:tcBorders>
              <w:top w:val="nil"/>
              <w:left w:val="nil"/>
              <w:bottom w:val="single" w:sz="4" w:space="0" w:color="auto"/>
              <w:right w:val="single" w:sz="4" w:space="0" w:color="auto"/>
            </w:tcBorders>
            <w:shd w:val="clear" w:color="auto" w:fill="FFFFFF" w:themeFill="background1"/>
          </w:tcPr>
          <w:p w14:paraId="20E9A298"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284 (14%)</w:t>
            </w:r>
          </w:p>
        </w:tc>
        <w:tc>
          <w:tcPr>
            <w:tcW w:w="851" w:type="dxa"/>
            <w:tcBorders>
              <w:top w:val="nil"/>
              <w:left w:val="nil"/>
              <w:bottom w:val="single" w:sz="4" w:space="0" w:color="auto"/>
              <w:right w:val="single" w:sz="4" w:space="0" w:color="auto"/>
            </w:tcBorders>
            <w:shd w:val="clear" w:color="auto" w:fill="FFFFFF" w:themeFill="background1"/>
          </w:tcPr>
          <w:p w14:paraId="3E0F7583"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142 (20%)</w:t>
            </w:r>
          </w:p>
        </w:tc>
      </w:tr>
      <w:tr w:rsidR="006605A3" w:rsidRPr="00F321F2" w14:paraId="27945AA3"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38ACA2BE"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Yes</w:t>
            </w:r>
          </w:p>
        </w:tc>
        <w:tc>
          <w:tcPr>
            <w:tcW w:w="850" w:type="dxa"/>
            <w:tcBorders>
              <w:top w:val="nil"/>
              <w:left w:val="nil"/>
              <w:bottom w:val="single" w:sz="4" w:space="0" w:color="auto"/>
              <w:right w:val="single" w:sz="4" w:space="0" w:color="auto"/>
            </w:tcBorders>
            <w:shd w:val="clear" w:color="auto" w:fill="FFFFFF" w:themeFill="background1"/>
            <w:noWrap/>
            <w:hideMark/>
          </w:tcPr>
          <w:p w14:paraId="51EC2BF6"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2,270 (83%)</w:t>
            </w:r>
          </w:p>
        </w:tc>
        <w:tc>
          <w:tcPr>
            <w:tcW w:w="851" w:type="dxa"/>
            <w:tcBorders>
              <w:top w:val="nil"/>
              <w:left w:val="nil"/>
              <w:bottom w:val="single" w:sz="4" w:space="0" w:color="auto"/>
              <w:right w:val="single" w:sz="4" w:space="0" w:color="auto"/>
            </w:tcBorders>
            <w:shd w:val="clear" w:color="auto" w:fill="FFFFFF" w:themeFill="background1"/>
          </w:tcPr>
          <w:p w14:paraId="6C5F6D82"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3,571 (77%)</w:t>
            </w:r>
          </w:p>
        </w:tc>
        <w:tc>
          <w:tcPr>
            <w:tcW w:w="850" w:type="dxa"/>
            <w:tcBorders>
              <w:top w:val="nil"/>
              <w:left w:val="nil"/>
              <w:bottom w:val="single" w:sz="4" w:space="0" w:color="auto"/>
              <w:right w:val="single" w:sz="4" w:space="0" w:color="auto"/>
            </w:tcBorders>
            <w:shd w:val="clear" w:color="auto" w:fill="FFFFFF" w:themeFill="background1"/>
          </w:tcPr>
          <w:p w14:paraId="23F8F8B5"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4,950 (79%)</w:t>
            </w:r>
          </w:p>
        </w:tc>
        <w:tc>
          <w:tcPr>
            <w:tcW w:w="709" w:type="dxa"/>
            <w:tcBorders>
              <w:top w:val="nil"/>
              <w:left w:val="nil"/>
              <w:bottom w:val="single" w:sz="4" w:space="0" w:color="auto"/>
              <w:right w:val="single" w:sz="4" w:space="0" w:color="auto"/>
            </w:tcBorders>
            <w:shd w:val="clear" w:color="auto" w:fill="FFFFFF" w:themeFill="background1"/>
          </w:tcPr>
          <w:p w14:paraId="216A018F"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891 (84%)</w:t>
            </w:r>
          </w:p>
        </w:tc>
        <w:tc>
          <w:tcPr>
            <w:tcW w:w="850" w:type="dxa"/>
            <w:tcBorders>
              <w:top w:val="nil"/>
              <w:left w:val="nil"/>
              <w:bottom w:val="single" w:sz="4" w:space="0" w:color="auto"/>
              <w:right w:val="single" w:sz="4" w:space="0" w:color="auto"/>
            </w:tcBorders>
            <w:shd w:val="clear" w:color="auto" w:fill="FFFFFF" w:themeFill="background1"/>
          </w:tcPr>
          <w:p w14:paraId="7ACAA190"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4,420 (80%)</w:t>
            </w:r>
          </w:p>
        </w:tc>
        <w:tc>
          <w:tcPr>
            <w:tcW w:w="851" w:type="dxa"/>
            <w:tcBorders>
              <w:top w:val="nil"/>
              <w:left w:val="nil"/>
              <w:bottom w:val="single" w:sz="4" w:space="0" w:color="auto"/>
              <w:right w:val="single" w:sz="4" w:space="0" w:color="auto"/>
            </w:tcBorders>
            <w:shd w:val="clear" w:color="auto" w:fill="FFFFFF" w:themeFill="background1"/>
          </w:tcPr>
          <w:p w14:paraId="4AA5109E"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1,421 (78%)</w:t>
            </w:r>
          </w:p>
        </w:tc>
        <w:tc>
          <w:tcPr>
            <w:tcW w:w="850" w:type="dxa"/>
            <w:tcBorders>
              <w:top w:val="nil"/>
              <w:left w:val="nil"/>
              <w:bottom w:val="single" w:sz="4" w:space="0" w:color="auto"/>
              <w:right w:val="single" w:sz="4" w:space="0" w:color="auto"/>
            </w:tcBorders>
            <w:shd w:val="clear" w:color="auto" w:fill="FFFFFF" w:themeFill="background1"/>
          </w:tcPr>
          <w:p w14:paraId="397B4841"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1,656 (83%)</w:t>
            </w:r>
          </w:p>
        </w:tc>
        <w:tc>
          <w:tcPr>
            <w:tcW w:w="851" w:type="dxa"/>
            <w:tcBorders>
              <w:top w:val="nil"/>
              <w:left w:val="nil"/>
              <w:bottom w:val="single" w:sz="4" w:space="0" w:color="auto"/>
              <w:right w:val="single" w:sz="4" w:space="0" w:color="auto"/>
            </w:tcBorders>
            <w:shd w:val="clear" w:color="auto" w:fill="FFFFFF" w:themeFill="background1"/>
          </w:tcPr>
          <w:p w14:paraId="498FAAB2"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531 (74%)</w:t>
            </w:r>
          </w:p>
        </w:tc>
      </w:tr>
      <w:tr w:rsidR="006605A3" w:rsidRPr="00F321F2" w14:paraId="612E3F30" w14:textId="77777777" w:rsidTr="00F0396A">
        <w:trPr>
          <w:trHeight w:hRule="exact" w:val="198"/>
        </w:trPr>
        <w:tc>
          <w:tcPr>
            <w:tcW w:w="9351" w:type="dxa"/>
            <w:gridSpan w:val="9"/>
            <w:tcBorders>
              <w:top w:val="nil"/>
              <w:left w:val="single" w:sz="4" w:space="0" w:color="auto"/>
              <w:bottom w:val="single" w:sz="4" w:space="0" w:color="auto"/>
              <w:right w:val="single" w:sz="4" w:space="0" w:color="auto"/>
            </w:tcBorders>
            <w:shd w:val="clear" w:color="auto" w:fill="FFFFFF" w:themeFill="background1"/>
            <w:vAlign w:val="center"/>
            <w:hideMark/>
          </w:tcPr>
          <w:p w14:paraId="0165EF3E" w14:textId="77777777" w:rsidR="006605A3" w:rsidRPr="00F0396A" w:rsidRDefault="006605A3" w:rsidP="00F0396A">
            <w:pPr>
              <w:spacing w:after="0" w:line="240" w:lineRule="auto"/>
              <w:rPr>
                <w:rFonts w:ascii="Calibri" w:eastAsia="Times New Roman" w:hAnsi="Calibri" w:cs="Calibri"/>
                <w:b/>
                <w:bCs/>
                <w:color w:val="000000"/>
                <w:sz w:val="11"/>
                <w:szCs w:val="11"/>
                <w:lang w:eastAsia="en-GB"/>
              </w:rPr>
            </w:pPr>
            <w:r w:rsidRPr="00F0396A">
              <w:rPr>
                <w:rFonts w:ascii="Calibri" w:eastAsia="Times New Roman" w:hAnsi="Calibri" w:cs="Calibri"/>
                <w:b/>
                <w:bCs/>
                <w:color w:val="000000"/>
                <w:sz w:val="11"/>
                <w:szCs w:val="11"/>
                <w:lang w:eastAsia="en-GB"/>
              </w:rPr>
              <w:t>2.</w:t>
            </w:r>
            <w:r>
              <w:rPr>
                <w:rFonts w:ascii="Calibri" w:eastAsia="Times New Roman" w:hAnsi="Calibri" w:cs="Calibri"/>
                <w:b/>
                <w:bCs/>
                <w:color w:val="000000"/>
                <w:sz w:val="11"/>
                <w:szCs w:val="11"/>
                <w:lang w:eastAsia="en-GB"/>
              </w:rPr>
              <w:t xml:space="preserve">  </w:t>
            </w:r>
            <w:r w:rsidRPr="00F0396A">
              <w:rPr>
                <w:rFonts w:ascii="Calibri" w:eastAsia="Times New Roman" w:hAnsi="Calibri" w:cs="Calibri"/>
                <w:b/>
                <w:bCs/>
                <w:color w:val="000000"/>
                <w:sz w:val="11"/>
                <w:szCs w:val="11"/>
                <w:lang w:eastAsia="en-GB"/>
              </w:rPr>
              <w:t>Have your bowel symptoms been getting worse, getting better or not changed?</w:t>
            </w:r>
          </w:p>
          <w:p w14:paraId="3E97D0B3" w14:textId="77777777" w:rsidR="006605A3" w:rsidRPr="00F0396A" w:rsidRDefault="006605A3" w:rsidP="00F0396A">
            <w:pPr>
              <w:spacing w:after="0" w:line="240" w:lineRule="auto"/>
              <w:jc w:val="right"/>
              <w:rPr>
                <w:rFonts w:ascii="Calibri" w:eastAsia="Times New Roman" w:hAnsi="Calibri" w:cs="Calibri"/>
                <w:color w:val="000000"/>
                <w:sz w:val="13"/>
                <w:szCs w:val="13"/>
                <w:lang w:eastAsia="en-GB"/>
              </w:rPr>
            </w:pPr>
            <w:r w:rsidRPr="00F0396A">
              <w:rPr>
                <w:rFonts w:ascii="Calibri" w:eastAsia="Times New Roman" w:hAnsi="Calibri" w:cs="Calibri"/>
                <w:color w:val="000000"/>
                <w:sz w:val="13"/>
                <w:szCs w:val="13"/>
                <w:lang w:eastAsia="en-GB"/>
              </w:rPr>
              <w:t> </w:t>
            </w:r>
          </w:p>
        </w:tc>
      </w:tr>
      <w:tr w:rsidR="006605A3" w:rsidRPr="00F321F2" w14:paraId="1FC5F7D2"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463B09C6"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Better</w:t>
            </w:r>
          </w:p>
        </w:tc>
        <w:tc>
          <w:tcPr>
            <w:tcW w:w="850" w:type="dxa"/>
            <w:tcBorders>
              <w:top w:val="nil"/>
              <w:left w:val="nil"/>
              <w:bottom w:val="single" w:sz="4" w:space="0" w:color="auto"/>
              <w:right w:val="single" w:sz="4" w:space="0" w:color="auto"/>
            </w:tcBorders>
            <w:shd w:val="clear" w:color="auto" w:fill="FFFFFF" w:themeFill="background1"/>
            <w:noWrap/>
            <w:hideMark/>
          </w:tcPr>
          <w:p w14:paraId="61F2DC00"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172 (6.3%)</w:t>
            </w:r>
          </w:p>
        </w:tc>
        <w:tc>
          <w:tcPr>
            <w:tcW w:w="851" w:type="dxa"/>
            <w:tcBorders>
              <w:top w:val="nil"/>
              <w:left w:val="nil"/>
              <w:bottom w:val="single" w:sz="4" w:space="0" w:color="auto"/>
              <w:right w:val="single" w:sz="4" w:space="0" w:color="auto"/>
            </w:tcBorders>
            <w:shd w:val="clear" w:color="auto" w:fill="FFFFFF" w:themeFill="background1"/>
          </w:tcPr>
          <w:p w14:paraId="3CEEDB7E"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258 (5.6%)</w:t>
            </w:r>
          </w:p>
        </w:tc>
        <w:tc>
          <w:tcPr>
            <w:tcW w:w="850" w:type="dxa"/>
            <w:tcBorders>
              <w:top w:val="nil"/>
              <w:left w:val="nil"/>
              <w:bottom w:val="single" w:sz="4" w:space="0" w:color="auto"/>
              <w:right w:val="single" w:sz="4" w:space="0" w:color="auto"/>
            </w:tcBorders>
            <w:shd w:val="clear" w:color="auto" w:fill="FFFFFF" w:themeFill="background1"/>
          </w:tcPr>
          <w:p w14:paraId="32675567"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359 (5.7%)</w:t>
            </w:r>
          </w:p>
        </w:tc>
        <w:tc>
          <w:tcPr>
            <w:tcW w:w="709" w:type="dxa"/>
            <w:tcBorders>
              <w:top w:val="nil"/>
              <w:left w:val="nil"/>
              <w:bottom w:val="single" w:sz="4" w:space="0" w:color="auto"/>
              <w:right w:val="single" w:sz="4" w:space="0" w:color="auto"/>
            </w:tcBorders>
            <w:shd w:val="clear" w:color="auto" w:fill="FFFFFF" w:themeFill="background1"/>
          </w:tcPr>
          <w:p w14:paraId="41442816"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71 (6.7%)</w:t>
            </w:r>
          </w:p>
        </w:tc>
        <w:tc>
          <w:tcPr>
            <w:tcW w:w="850" w:type="dxa"/>
            <w:tcBorders>
              <w:top w:val="nil"/>
              <w:left w:val="nil"/>
              <w:bottom w:val="single" w:sz="4" w:space="0" w:color="auto"/>
              <w:right w:val="single" w:sz="4" w:space="0" w:color="auto"/>
            </w:tcBorders>
            <w:shd w:val="clear" w:color="auto" w:fill="FFFFFF" w:themeFill="background1"/>
          </w:tcPr>
          <w:p w14:paraId="6EC29B65"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321 (5.8%)</w:t>
            </w:r>
          </w:p>
        </w:tc>
        <w:tc>
          <w:tcPr>
            <w:tcW w:w="851" w:type="dxa"/>
            <w:tcBorders>
              <w:top w:val="nil"/>
              <w:left w:val="nil"/>
              <w:bottom w:val="single" w:sz="4" w:space="0" w:color="auto"/>
              <w:right w:val="single" w:sz="4" w:space="0" w:color="auto"/>
            </w:tcBorders>
            <w:shd w:val="clear" w:color="auto" w:fill="FFFFFF" w:themeFill="background1"/>
          </w:tcPr>
          <w:p w14:paraId="3AD075DE"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109 (6.0%)</w:t>
            </w:r>
          </w:p>
        </w:tc>
        <w:tc>
          <w:tcPr>
            <w:tcW w:w="850" w:type="dxa"/>
            <w:tcBorders>
              <w:top w:val="nil"/>
              <w:left w:val="nil"/>
              <w:bottom w:val="single" w:sz="4" w:space="0" w:color="auto"/>
              <w:right w:val="single" w:sz="4" w:space="0" w:color="auto"/>
            </w:tcBorders>
            <w:shd w:val="clear" w:color="auto" w:fill="FFFFFF" w:themeFill="background1"/>
          </w:tcPr>
          <w:p w14:paraId="6A468902"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104 (5.2%)</w:t>
            </w:r>
          </w:p>
        </w:tc>
        <w:tc>
          <w:tcPr>
            <w:tcW w:w="851" w:type="dxa"/>
            <w:tcBorders>
              <w:top w:val="nil"/>
              <w:left w:val="nil"/>
              <w:bottom w:val="single" w:sz="4" w:space="0" w:color="auto"/>
              <w:right w:val="single" w:sz="4" w:space="0" w:color="auto"/>
            </w:tcBorders>
            <w:shd w:val="clear" w:color="auto" w:fill="FFFFFF" w:themeFill="background1"/>
          </w:tcPr>
          <w:p w14:paraId="2F02F6E2"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49 (6.8%)</w:t>
            </w:r>
          </w:p>
        </w:tc>
      </w:tr>
      <w:tr w:rsidR="006605A3" w:rsidRPr="00F321F2" w14:paraId="2155C987"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08C10437"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No change</w:t>
            </w:r>
          </w:p>
        </w:tc>
        <w:tc>
          <w:tcPr>
            <w:tcW w:w="850" w:type="dxa"/>
            <w:tcBorders>
              <w:top w:val="nil"/>
              <w:left w:val="nil"/>
              <w:bottom w:val="single" w:sz="4" w:space="0" w:color="auto"/>
              <w:right w:val="single" w:sz="4" w:space="0" w:color="auto"/>
            </w:tcBorders>
            <w:shd w:val="clear" w:color="auto" w:fill="FFFFFF" w:themeFill="background1"/>
            <w:noWrap/>
            <w:hideMark/>
          </w:tcPr>
          <w:p w14:paraId="6FCB6C0C"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2,242 (82%)</w:t>
            </w:r>
          </w:p>
        </w:tc>
        <w:tc>
          <w:tcPr>
            <w:tcW w:w="851" w:type="dxa"/>
            <w:tcBorders>
              <w:top w:val="nil"/>
              <w:left w:val="nil"/>
              <w:bottom w:val="single" w:sz="4" w:space="0" w:color="auto"/>
              <w:right w:val="single" w:sz="4" w:space="0" w:color="auto"/>
            </w:tcBorders>
            <w:shd w:val="clear" w:color="auto" w:fill="FFFFFF" w:themeFill="background1"/>
          </w:tcPr>
          <w:p w14:paraId="69FCFFCB"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3,458 (75%)</w:t>
            </w:r>
          </w:p>
        </w:tc>
        <w:tc>
          <w:tcPr>
            <w:tcW w:w="850" w:type="dxa"/>
            <w:tcBorders>
              <w:top w:val="nil"/>
              <w:left w:val="nil"/>
              <w:bottom w:val="single" w:sz="4" w:space="0" w:color="auto"/>
              <w:right w:val="single" w:sz="4" w:space="0" w:color="auto"/>
            </w:tcBorders>
            <w:shd w:val="clear" w:color="auto" w:fill="FFFFFF" w:themeFill="background1"/>
          </w:tcPr>
          <w:p w14:paraId="29EDFD44"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4,823 (77%)</w:t>
            </w:r>
          </w:p>
        </w:tc>
        <w:tc>
          <w:tcPr>
            <w:tcW w:w="709" w:type="dxa"/>
            <w:tcBorders>
              <w:top w:val="nil"/>
              <w:left w:val="nil"/>
              <w:bottom w:val="single" w:sz="4" w:space="0" w:color="auto"/>
              <w:right w:val="single" w:sz="4" w:space="0" w:color="auto"/>
            </w:tcBorders>
            <w:shd w:val="clear" w:color="auto" w:fill="FFFFFF" w:themeFill="background1"/>
          </w:tcPr>
          <w:p w14:paraId="2A19F079"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878 (83%)</w:t>
            </w:r>
          </w:p>
        </w:tc>
        <w:tc>
          <w:tcPr>
            <w:tcW w:w="850" w:type="dxa"/>
            <w:tcBorders>
              <w:top w:val="nil"/>
              <w:left w:val="nil"/>
              <w:bottom w:val="single" w:sz="4" w:space="0" w:color="auto"/>
              <w:right w:val="single" w:sz="4" w:space="0" w:color="auto"/>
            </w:tcBorders>
            <w:shd w:val="clear" w:color="auto" w:fill="FFFFFF" w:themeFill="background1"/>
          </w:tcPr>
          <w:p w14:paraId="402B1278"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4,306 (78%)</w:t>
            </w:r>
          </w:p>
        </w:tc>
        <w:tc>
          <w:tcPr>
            <w:tcW w:w="851" w:type="dxa"/>
            <w:tcBorders>
              <w:top w:val="nil"/>
              <w:left w:val="nil"/>
              <w:bottom w:val="single" w:sz="4" w:space="0" w:color="auto"/>
              <w:right w:val="single" w:sz="4" w:space="0" w:color="auto"/>
            </w:tcBorders>
            <w:shd w:val="clear" w:color="auto" w:fill="FFFFFF" w:themeFill="background1"/>
          </w:tcPr>
          <w:p w14:paraId="4F706E7E"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1,394 (76%)</w:t>
            </w:r>
          </w:p>
        </w:tc>
        <w:tc>
          <w:tcPr>
            <w:tcW w:w="850" w:type="dxa"/>
            <w:tcBorders>
              <w:top w:val="nil"/>
              <w:left w:val="nil"/>
              <w:bottom w:val="single" w:sz="4" w:space="0" w:color="auto"/>
              <w:right w:val="single" w:sz="4" w:space="0" w:color="auto"/>
            </w:tcBorders>
            <w:shd w:val="clear" w:color="auto" w:fill="FFFFFF" w:themeFill="background1"/>
          </w:tcPr>
          <w:p w14:paraId="274BBD01"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1,623 (81%)</w:t>
            </w:r>
          </w:p>
        </w:tc>
        <w:tc>
          <w:tcPr>
            <w:tcW w:w="851" w:type="dxa"/>
            <w:tcBorders>
              <w:top w:val="nil"/>
              <w:left w:val="nil"/>
              <w:bottom w:val="single" w:sz="4" w:space="0" w:color="auto"/>
              <w:right w:val="single" w:sz="4" w:space="0" w:color="auto"/>
            </w:tcBorders>
            <w:shd w:val="clear" w:color="auto" w:fill="FFFFFF" w:themeFill="background1"/>
          </w:tcPr>
          <w:p w14:paraId="1F9E920D"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509 (71%)</w:t>
            </w:r>
          </w:p>
        </w:tc>
      </w:tr>
      <w:tr w:rsidR="006605A3" w:rsidRPr="00F321F2" w14:paraId="05CFE100"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7320FA7C"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Worse</w:t>
            </w:r>
          </w:p>
        </w:tc>
        <w:tc>
          <w:tcPr>
            <w:tcW w:w="850" w:type="dxa"/>
            <w:tcBorders>
              <w:top w:val="nil"/>
              <w:left w:val="nil"/>
              <w:bottom w:val="single" w:sz="4" w:space="0" w:color="auto"/>
              <w:right w:val="single" w:sz="4" w:space="0" w:color="auto"/>
            </w:tcBorders>
            <w:shd w:val="clear" w:color="auto" w:fill="FFFFFF" w:themeFill="background1"/>
            <w:noWrap/>
            <w:hideMark/>
          </w:tcPr>
          <w:p w14:paraId="53365AF6"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315 (12%)</w:t>
            </w:r>
          </w:p>
        </w:tc>
        <w:tc>
          <w:tcPr>
            <w:tcW w:w="851" w:type="dxa"/>
            <w:tcBorders>
              <w:top w:val="nil"/>
              <w:left w:val="nil"/>
              <w:bottom w:val="single" w:sz="4" w:space="0" w:color="auto"/>
              <w:right w:val="single" w:sz="4" w:space="0" w:color="auto"/>
            </w:tcBorders>
            <w:shd w:val="clear" w:color="auto" w:fill="FFFFFF" w:themeFill="background1"/>
          </w:tcPr>
          <w:p w14:paraId="674C6934"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892 (19%)</w:t>
            </w:r>
          </w:p>
        </w:tc>
        <w:tc>
          <w:tcPr>
            <w:tcW w:w="850" w:type="dxa"/>
            <w:tcBorders>
              <w:top w:val="nil"/>
              <w:left w:val="nil"/>
              <w:bottom w:val="single" w:sz="4" w:space="0" w:color="auto"/>
              <w:right w:val="single" w:sz="4" w:space="0" w:color="auto"/>
            </w:tcBorders>
            <w:shd w:val="clear" w:color="auto" w:fill="FFFFFF" w:themeFill="background1"/>
          </w:tcPr>
          <w:p w14:paraId="796CE7EC"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1,092 (17%)</w:t>
            </w:r>
          </w:p>
        </w:tc>
        <w:tc>
          <w:tcPr>
            <w:tcW w:w="709" w:type="dxa"/>
            <w:tcBorders>
              <w:top w:val="nil"/>
              <w:left w:val="nil"/>
              <w:bottom w:val="single" w:sz="4" w:space="0" w:color="auto"/>
              <w:right w:val="single" w:sz="4" w:space="0" w:color="auto"/>
            </w:tcBorders>
            <w:shd w:val="clear" w:color="auto" w:fill="FFFFFF" w:themeFill="background1"/>
          </w:tcPr>
          <w:p w14:paraId="620A487C"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115 (11%)</w:t>
            </w:r>
          </w:p>
        </w:tc>
        <w:tc>
          <w:tcPr>
            <w:tcW w:w="850" w:type="dxa"/>
            <w:tcBorders>
              <w:top w:val="nil"/>
              <w:left w:val="nil"/>
              <w:bottom w:val="single" w:sz="4" w:space="0" w:color="auto"/>
              <w:right w:val="single" w:sz="4" w:space="0" w:color="auto"/>
            </w:tcBorders>
            <w:shd w:val="clear" w:color="auto" w:fill="FFFFFF" w:themeFill="background1"/>
          </w:tcPr>
          <w:p w14:paraId="3F8BB1B6"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883 (16%)</w:t>
            </w:r>
          </w:p>
        </w:tc>
        <w:tc>
          <w:tcPr>
            <w:tcW w:w="851" w:type="dxa"/>
            <w:tcBorders>
              <w:top w:val="nil"/>
              <w:left w:val="nil"/>
              <w:bottom w:val="single" w:sz="4" w:space="0" w:color="auto"/>
              <w:right w:val="single" w:sz="4" w:space="0" w:color="auto"/>
            </w:tcBorders>
            <w:shd w:val="clear" w:color="auto" w:fill="FFFFFF" w:themeFill="background1"/>
          </w:tcPr>
          <w:p w14:paraId="6D2D65D6"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324 (18%)</w:t>
            </w:r>
          </w:p>
        </w:tc>
        <w:tc>
          <w:tcPr>
            <w:tcW w:w="850" w:type="dxa"/>
            <w:tcBorders>
              <w:top w:val="nil"/>
              <w:left w:val="nil"/>
              <w:bottom w:val="single" w:sz="4" w:space="0" w:color="auto"/>
              <w:right w:val="single" w:sz="4" w:space="0" w:color="auto"/>
            </w:tcBorders>
            <w:shd w:val="clear" w:color="auto" w:fill="FFFFFF" w:themeFill="background1"/>
          </w:tcPr>
          <w:p w14:paraId="01A8B0F7"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276 (14%)</w:t>
            </w:r>
          </w:p>
        </w:tc>
        <w:tc>
          <w:tcPr>
            <w:tcW w:w="851" w:type="dxa"/>
            <w:tcBorders>
              <w:top w:val="nil"/>
              <w:left w:val="nil"/>
              <w:bottom w:val="single" w:sz="4" w:space="0" w:color="auto"/>
              <w:right w:val="single" w:sz="4" w:space="0" w:color="auto"/>
            </w:tcBorders>
            <w:shd w:val="clear" w:color="auto" w:fill="FFFFFF" w:themeFill="background1"/>
          </w:tcPr>
          <w:p w14:paraId="3F99AEB3"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163 (23%)</w:t>
            </w:r>
          </w:p>
        </w:tc>
      </w:tr>
      <w:tr w:rsidR="006605A3" w:rsidRPr="00F321F2" w14:paraId="57158E23" w14:textId="77777777" w:rsidTr="00F0396A">
        <w:trPr>
          <w:trHeight w:hRule="exact" w:val="198"/>
        </w:trPr>
        <w:tc>
          <w:tcPr>
            <w:tcW w:w="9351" w:type="dxa"/>
            <w:gridSpan w:val="9"/>
            <w:tcBorders>
              <w:top w:val="nil"/>
              <w:left w:val="single" w:sz="4" w:space="0" w:color="auto"/>
              <w:bottom w:val="single" w:sz="4" w:space="0" w:color="auto"/>
              <w:right w:val="single" w:sz="4" w:space="0" w:color="auto"/>
            </w:tcBorders>
            <w:shd w:val="clear" w:color="auto" w:fill="FFFFFF" w:themeFill="background1"/>
            <w:noWrap/>
            <w:vAlign w:val="center"/>
            <w:hideMark/>
          </w:tcPr>
          <w:p w14:paraId="12F75F05" w14:textId="77777777" w:rsidR="006605A3" w:rsidRPr="00F0396A" w:rsidRDefault="006605A3" w:rsidP="00F0396A">
            <w:pPr>
              <w:spacing w:after="0" w:line="240" w:lineRule="auto"/>
              <w:rPr>
                <w:rFonts w:ascii="Calibri" w:eastAsia="Times New Roman" w:hAnsi="Calibri" w:cs="Calibri"/>
                <w:b/>
                <w:bCs/>
                <w:color w:val="000000"/>
                <w:sz w:val="11"/>
                <w:szCs w:val="11"/>
                <w:lang w:eastAsia="en-GB"/>
              </w:rPr>
            </w:pPr>
            <w:r w:rsidRPr="00F0396A">
              <w:rPr>
                <w:rFonts w:ascii="Calibri" w:eastAsia="Times New Roman" w:hAnsi="Calibri" w:cs="Calibri"/>
                <w:b/>
                <w:bCs/>
                <w:color w:val="000000"/>
                <w:sz w:val="11"/>
                <w:szCs w:val="11"/>
                <w:lang w:eastAsia="en-GB"/>
              </w:rPr>
              <w:t>3a.</w:t>
            </w:r>
            <w:r>
              <w:rPr>
                <w:rFonts w:ascii="Calibri" w:eastAsia="Times New Roman" w:hAnsi="Calibri" w:cs="Calibri"/>
                <w:b/>
                <w:bCs/>
                <w:color w:val="000000"/>
                <w:sz w:val="11"/>
                <w:szCs w:val="11"/>
                <w:lang w:eastAsia="en-GB"/>
              </w:rPr>
              <w:t xml:space="preserve">  </w:t>
            </w:r>
            <w:r w:rsidRPr="00F0396A">
              <w:rPr>
                <w:rFonts w:ascii="Calibri" w:eastAsia="Times New Roman" w:hAnsi="Calibri" w:cs="Calibri"/>
                <w:b/>
                <w:bCs/>
                <w:color w:val="000000"/>
                <w:sz w:val="11"/>
                <w:szCs w:val="11"/>
                <w:lang w:eastAsia="en-GB"/>
              </w:rPr>
              <w:t>Miss any planned activities because of IBD?</w:t>
            </w:r>
          </w:p>
          <w:p w14:paraId="37050820" w14:textId="77777777" w:rsidR="006605A3" w:rsidRPr="00F0396A" w:rsidRDefault="006605A3" w:rsidP="00F0396A">
            <w:pPr>
              <w:spacing w:after="0" w:line="240" w:lineRule="auto"/>
              <w:jc w:val="right"/>
              <w:rPr>
                <w:rFonts w:ascii="Calibri" w:eastAsia="Times New Roman" w:hAnsi="Calibri" w:cs="Calibri"/>
                <w:b/>
                <w:bCs/>
                <w:color w:val="000000"/>
                <w:sz w:val="13"/>
                <w:szCs w:val="13"/>
                <w:lang w:eastAsia="en-GB"/>
              </w:rPr>
            </w:pPr>
            <w:r w:rsidRPr="00F0396A">
              <w:rPr>
                <w:rFonts w:ascii="Calibri" w:eastAsia="Times New Roman" w:hAnsi="Calibri" w:cs="Calibri"/>
                <w:b/>
                <w:bCs/>
                <w:color w:val="000000"/>
                <w:sz w:val="13"/>
                <w:szCs w:val="13"/>
                <w:lang w:eastAsia="en-GB"/>
              </w:rPr>
              <w:t> </w:t>
            </w:r>
          </w:p>
        </w:tc>
      </w:tr>
      <w:tr w:rsidR="006605A3" w:rsidRPr="00F321F2" w14:paraId="1057C08D"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70FABEBC"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Yes</w:t>
            </w:r>
          </w:p>
        </w:tc>
        <w:tc>
          <w:tcPr>
            <w:tcW w:w="850" w:type="dxa"/>
            <w:tcBorders>
              <w:top w:val="nil"/>
              <w:left w:val="nil"/>
              <w:bottom w:val="single" w:sz="4" w:space="0" w:color="auto"/>
              <w:right w:val="single" w:sz="4" w:space="0" w:color="auto"/>
            </w:tcBorders>
            <w:shd w:val="clear" w:color="auto" w:fill="FFFFFF" w:themeFill="background1"/>
            <w:noWrap/>
            <w:hideMark/>
          </w:tcPr>
          <w:p w14:paraId="5E743352"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404 (15%)</w:t>
            </w:r>
          </w:p>
        </w:tc>
        <w:tc>
          <w:tcPr>
            <w:tcW w:w="851" w:type="dxa"/>
            <w:tcBorders>
              <w:top w:val="nil"/>
              <w:left w:val="nil"/>
              <w:bottom w:val="single" w:sz="4" w:space="0" w:color="auto"/>
              <w:right w:val="single" w:sz="4" w:space="0" w:color="auto"/>
            </w:tcBorders>
            <w:shd w:val="clear" w:color="auto" w:fill="FFFFFF" w:themeFill="background1"/>
          </w:tcPr>
          <w:p w14:paraId="2AE1C8E7"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1,123 (24%)</w:t>
            </w:r>
          </w:p>
        </w:tc>
        <w:tc>
          <w:tcPr>
            <w:tcW w:w="850" w:type="dxa"/>
            <w:tcBorders>
              <w:top w:val="nil"/>
              <w:left w:val="nil"/>
              <w:bottom w:val="single" w:sz="4" w:space="0" w:color="auto"/>
              <w:right w:val="single" w:sz="4" w:space="0" w:color="auto"/>
            </w:tcBorders>
            <w:shd w:val="clear" w:color="auto" w:fill="FFFFFF" w:themeFill="background1"/>
          </w:tcPr>
          <w:p w14:paraId="32E4FFEA"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1,416 (23%)</w:t>
            </w:r>
          </w:p>
        </w:tc>
        <w:tc>
          <w:tcPr>
            <w:tcW w:w="709" w:type="dxa"/>
            <w:tcBorders>
              <w:top w:val="nil"/>
              <w:left w:val="nil"/>
              <w:bottom w:val="single" w:sz="4" w:space="0" w:color="auto"/>
              <w:right w:val="single" w:sz="4" w:space="0" w:color="auto"/>
            </w:tcBorders>
            <w:shd w:val="clear" w:color="auto" w:fill="FFFFFF" w:themeFill="background1"/>
          </w:tcPr>
          <w:p w14:paraId="163A7E1D"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111 (10%)</w:t>
            </w:r>
          </w:p>
        </w:tc>
        <w:tc>
          <w:tcPr>
            <w:tcW w:w="850" w:type="dxa"/>
            <w:tcBorders>
              <w:top w:val="nil"/>
              <w:left w:val="nil"/>
              <w:bottom w:val="single" w:sz="4" w:space="0" w:color="auto"/>
              <w:right w:val="single" w:sz="4" w:space="0" w:color="auto"/>
            </w:tcBorders>
            <w:shd w:val="clear" w:color="auto" w:fill="FFFFFF" w:themeFill="background1"/>
          </w:tcPr>
          <w:p w14:paraId="5D04EAA9"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1,124 (20%)</w:t>
            </w:r>
          </w:p>
        </w:tc>
        <w:tc>
          <w:tcPr>
            <w:tcW w:w="851" w:type="dxa"/>
            <w:tcBorders>
              <w:top w:val="nil"/>
              <w:left w:val="nil"/>
              <w:bottom w:val="single" w:sz="4" w:space="0" w:color="auto"/>
              <w:right w:val="single" w:sz="4" w:space="0" w:color="auto"/>
            </w:tcBorders>
            <w:shd w:val="clear" w:color="auto" w:fill="FFFFFF" w:themeFill="background1"/>
          </w:tcPr>
          <w:p w14:paraId="20AB4437"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403 (22%)</w:t>
            </w:r>
          </w:p>
        </w:tc>
        <w:tc>
          <w:tcPr>
            <w:tcW w:w="850" w:type="dxa"/>
            <w:tcBorders>
              <w:top w:val="nil"/>
              <w:left w:val="nil"/>
              <w:bottom w:val="single" w:sz="4" w:space="0" w:color="auto"/>
              <w:right w:val="single" w:sz="4" w:space="0" w:color="auto"/>
            </w:tcBorders>
            <w:shd w:val="clear" w:color="auto" w:fill="FFFFFF" w:themeFill="background1"/>
          </w:tcPr>
          <w:p w14:paraId="6564BE41"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329 (16%)</w:t>
            </w:r>
          </w:p>
        </w:tc>
        <w:tc>
          <w:tcPr>
            <w:tcW w:w="851" w:type="dxa"/>
            <w:tcBorders>
              <w:top w:val="nil"/>
              <w:left w:val="nil"/>
              <w:bottom w:val="single" w:sz="4" w:space="0" w:color="auto"/>
              <w:right w:val="single" w:sz="4" w:space="0" w:color="auto"/>
            </w:tcBorders>
            <w:shd w:val="clear" w:color="auto" w:fill="FFFFFF" w:themeFill="background1"/>
          </w:tcPr>
          <w:p w14:paraId="64E3C05E"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223 (31%)</w:t>
            </w:r>
          </w:p>
        </w:tc>
      </w:tr>
      <w:tr w:rsidR="006605A3" w:rsidRPr="00F321F2" w14:paraId="7D3376F6"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11829201"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Not sure</w:t>
            </w:r>
          </w:p>
        </w:tc>
        <w:tc>
          <w:tcPr>
            <w:tcW w:w="850" w:type="dxa"/>
            <w:tcBorders>
              <w:top w:val="nil"/>
              <w:left w:val="nil"/>
              <w:bottom w:val="single" w:sz="4" w:space="0" w:color="auto"/>
              <w:right w:val="single" w:sz="4" w:space="0" w:color="auto"/>
            </w:tcBorders>
            <w:shd w:val="clear" w:color="auto" w:fill="FFFFFF" w:themeFill="background1"/>
            <w:noWrap/>
            <w:hideMark/>
          </w:tcPr>
          <w:p w14:paraId="5927ED5B"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23 (0.8%)</w:t>
            </w:r>
          </w:p>
        </w:tc>
        <w:tc>
          <w:tcPr>
            <w:tcW w:w="851" w:type="dxa"/>
            <w:tcBorders>
              <w:top w:val="nil"/>
              <w:left w:val="nil"/>
              <w:bottom w:val="single" w:sz="4" w:space="0" w:color="auto"/>
              <w:right w:val="single" w:sz="4" w:space="0" w:color="auto"/>
            </w:tcBorders>
            <w:shd w:val="clear" w:color="auto" w:fill="FFFFFF" w:themeFill="background1"/>
          </w:tcPr>
          <w:p w14:paraId="6BC9905A"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54 (1.2%)</w:t>
            </w:r>
          </w:p>
        </w:tc>
        <w:tc>
          <w:tcPr>
            <w:tcW w:w="850" w:type="dxa"/>
            <w:tcBorders>
              <w:top w:val="nil"/>
              <w:left w:val="nil"/>
              <w:bottom w:val="single" w:sz="4" w:space="0" w:color="auto"/>
              <w:right w:val="single" w:sz="4" w:space="0" w:color="auto"/>
            </w:tcBorders>
            <w:shd w:val="clear" w:color="auto" w:fill="FFFFFF" w:themeFill="background1"/>
          </w:tcPr>
          <w:p w14:paraId="2EB3B3CC"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67 (1.1%)</w:t>
            </w:r>
          </w:p>
        </w:tc>
        <w:tc>
          <w:tcPr>
            <w:tcW w:w="709" w:type="dxa"/>
            <w:tcBorders>
              <w:top w:val="nil"/>
              <w:left w:val="nil"/>
              <w:bottom w:val="single" w:sz="4" w:space="0" w:color="auto"/>
              <w:right w:val="single" w:sz="4" w:space="0" w:color="auto"/>
            </w:tcBorders>
            <w:shd w:val="clear" w:color="auto" w:fill="FFFFFF" w:themeFill="background1"/>
          </w:tcPr>
          <w:p w14:paraId="3F05708D"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10 (0.9%)</w:t>
            </w:r>
          </w:p>
        </w:tc>
        <w:tc>
          <w:tcPr>
            <w:tcW w:w="850" w:type="dxa"/>
            <w:tcBorders>
              <w:top w:val="nil"/>
              <w:left w:val="nil"/>
              <w:bottom w:val="single" w:sz="4" w:space="0" w:color="auto"/>
              <w:right w:val="single" w:sz="4" w:space="0" w:color="auto"/>
            </w:tcBorders>
            <w:shd w:val="clear" w:color="auto" w:fill="FFFFFF" w:themeFill="background1"/>
          </w:tcPr>
          <w:p w14:paraId="4EBBAA16"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55 (1.0%)</w:t>
            </w:r>
          </w:p>
        </w:tc>
        <w:tc>
          <w:tcPr>
            <w:tcW w:w="851" w:type="dxa"/>
            <w:tcBorders>
              <w:top w:val="nil"/>
              <w:left w:val="nil"/>
              <w:bottom w:val="single" w:sz="4" w:space="0" w:color="auto"/>
              <w:right w:val="single" w:sz="4" w:space="0" w:color="auto"/>
            </w:tcBorders>
            <w:shd w:val="clear" w:color="auto" w:fill="FFFFFF" w:themeFill="background1"/>
          </w:tcPr>
          <w:p w14:paraId="1078F82B"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22 (1.2%)</w:t>
            </w:r>
          </w:p>
        </w:tc>
        <w:tc>
          <w:tcPr>
            <w:tcW w:w="850" w:type="dxa"/>
            <w:tcBorders>
              <w:top w:val="nil"/>
              <w:left w:val="nil"/>
              <w:bottom w:val="single" w:sz="4" w:space="0" w:color="auto"/>
              <w:right w:val="single" w:sz="4" w:space="0" w:color="auto"/>
            </w:tcBorders>
            <w:shd w:val="clear" w:color="auto" w:fill="FFFFFF" w:themeFill="background1"/>
          </w:tcPr>
          <w:p w14:paraId="0BD54BDC"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25 (1.2%)</w:t>
            </w:r>
          </w:p>
        </w:tc>
        <w:tc>
          <w:tcPr>
            <w:tcW w:w="851" w:type="dxa"/>
            <w:tcBorders>
              <w:top w:val="nil"/>
              <w:left w:val="nil"/>
              <w:bottom w:val="single" w:sz="4" w:space="0" w:color="auto"/>
              <w:right w:val="single" w:sz="4" w:space="0" w:color="auto"/>
            </w:tcBorders>
            <w:shd w:val="clear" w:color="auto" w:fill="FFFFFF" w:themeFill="background1"/>
          </w:tcPr>
          <w:p w14:paraId="10CC0048"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12 (1.7%)</w:t>
            </w:r>
          </w:p>
        </w:tc>
      </w:tr>
      <w:tr w:rsidR="006605A3" w:rsidRPr="00F321F2" w14:paraId="7174A422"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3A67AD09"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No</w:t>
            </w:r>
          </w:p>
        </w:tc>
        <w:tc>
          <w:tcPr>
            <w:tcW w:w="850" w:type="dxa"/>
            <w:tcBorders>
              <w:top w:val="nil"/>
              <w:left w:val="nil"/>
              <w:bottom w:val="single" w:sz="4" w:space="0" w:color="auto"/>
              <w:right w:val="single" w:sz="4" w:space="0" w:color="auto"/>
            </w:tcBorders>
            <w:shd w:val="clear" w:color="auto" w:fill="FFFFFF" w:themeFill="background1"/>
            <w:noWrap/>
            <w:hideMark/>
          </w:tcPr>
          <w:p w14:paraId="3665FAE0"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2,302 (84%)</w:t>
            </w:r>
          </w:p>
        </w:tc>
        <w:tc>
          <w:tcPr>
            <w:tcW w:w="851" w:type="dxa"/>
            <w:tcBorders>
              <w:top w:val="nil"/>
              <w:left w:val="nil"/>
              <w:bottom w:val="single" w:sz="4" w:space="0" w:color="auto"/>
              <w:right w:val="single" w:sz="4" w:space="0" w:color="auto"/>
            </w:tcBorders>
            <w:shd w:val="clear" w:color="auto" w:fill="FFFFFF" w:themeFill="background1"/>
          </w:tcPr>
          <w:p w14:paraId="01563D98"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3,431 (74%)</w:t>
            </w:r>
          </w:p>
        </w:tc>
        <w:tc>
          <w:tcPr>
            <w:tcW w:w="850" w:type="dxa"/>
            <w:tcBorders>
              <w:top w:val="nil"/>
              <w:left w:val="nil"/>
              <w:bottom w:val="single" w:sz="4" w:space="0" w:color="auto"/>
              <w:right w:val="single" w:sz="4" w:space="0" w:color="auto"/>
            </w:tcBorders>
            <w:shd w:val="clear" w:color="auto" w:fill="FFFFFF" w:themeFill="background1"/>
          </w:tcPr>
          <w:p w14:paraId="64859801"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4,791 (76%)</w:t>
            </w:r>
          </w:p>
        </w:tc>
        <w:tc>
          <w:tcPr>
            <w:tcW w:w="709" w:type="dxa"/>
            <w:tcBorders>
              <w:top w:val="nil"/>
              <w:left w:val="nil"/>
              <w:bottom w:val="single" w:sz="4" w:space="0" w:color="auto"/>
              <w:right w:val="single" w:sz="4" w:space="0" w:color="auto"/>
            </w:tcBorders>
            <w:shd w:val="clear" w:color="auto" w:fill="FFFFFF" w:themeFill="background1"/>
          </w:tcPr>
          <w:p w14:paraId="74254982"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942 (89%)</w:t>
            </w:r>
          </w:p>
        </w:tc>
        <w:tc>
          <w:tcPr>
            <w:tcW w:w="850" w:type="dxa"/>
            <w:tcBorders>
              <w:top w:val="nil"/>
              <w:left w:val="nil"/>
              <w:bottom w:val="single" w:sz="4" w:space="0" w:color="auto"/>
              <w:right w:val="single" w:sz="4" w:space="0" w:color="auto"/>
            </w:tcBorders>
            <w:shd w:val="clear" w:color="auto" w:fill="FFFFFF" w:themeFill="background1"/>
          </w:tcPr>
          <w:p w14:paraId="55820227"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4,331 (79%)</w:t>
            </w:r>
          </w:p>
        </w:tc>
        <w:tc>
          <w:tcPr>
            <w:tcW w:w="851" w:type="dxa"/>
            <w:tcBorders>
              <w:top w:val="nil"/>
              <w:left w:val="nil"/>
              <w:bottom w:val="single" w:sz="4" w:space="0" w:color="auto"/>
              <w:right w:val="single" w:sz="4" w:space="0" w:color="auto"/>
            </w:tcBorders>
            <w:shd w:val="clear" w:color="auto" w:fill="FFFFFF" w:themeFill="background1"/>
          </w:tcPr>
          <w:p w14:paraId="77996ACE"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1,402 (77%)</w:t>
            </w:r>
          </w:p>
        </w:tc>
        <w:tc>
          <w:tcPr>
            <w:tcW w:w="850" w:type="dxa"/>
            <w:tcBorders>
              <w:top w:val="nil"/>
              <w:left w:val="nil"/>
              <w:bottom w:val="single" w:sz="4" w:space="0" w:color="auto"/>
              <w:right w:val="single" w:sz="4" w:space="0" w:color="auto"/>
            </w:tcBorders>
            <w:shd w:val="clear" w:color="auto" w:fill="FFFFFF" w:themeFill="background1"/>
          </w:tcPr>
          <w:p w14:paraId="53A35C77"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1,649 (82%)</w:t>
            </w:r>
          </w:p>
        </w:tc>
        <w:tc>
          <w:tcPr>
            <w:tcW w:w="851" w:type="dxa"/>
            <w:tcBorders>
              <w:top w:val="nil"/>
              <w:left w:val="nil"/>
              <w:bottom w:val="single" w:sz="4" w:space="0" w:color="auto"/>
              <w:right w:val="single" w:sz="4" w:space="0" w:color="auto"/>
            </w:tcBorders>
            <w:shd w:val="clear" w:color="auto" w:fill="FFFFFF" w:themeFill="background1"/>
          </w:tcPr>
          <w:p w14:paraId="3D1F3658"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486 (67%)</w:t>
            </w:r>
          </w:p>
        </w:tc>
      </w:tr>
      <w:tr w:rsidR="006605A3" w:rsidRPr="00F321F2" w14:paraId="1292C095" w14:textId="77777777" w:rsidTr="00F0396A">
        <w:trPr>
          <w:trHeight w:hRule="exact" w:val="198"/>
        </w:trPr>
        <w:tc>
          <w:tcPr>
            <w:tcW w:w="9351" w:type="dxa"/>
            <w:gridSpan w:val="9"/>
            <w:tcBorders>
              <w:top w:val="nil"/>
              <w:left w:val="single" w:sz="4" w:space="0" w:color="auto"/>
              <w:bottom w:val="single" w:sz="4" w:space="0" w:color="auto"/>
              <w:right w:val="single" w:sz="4" w:space="0" w:color="auto"/>
            </w:tcBorders>
            <w:shd w:val="clear" w:color="auto" w:fill="FFFFFF" w:themeFill="background1"/>
            <w:noWrap/>
            <w:vAlign w:val="center"/>
            <w:hideMark/>
          </w:tcPr>
          <w:p w14:paraId="22C9A836" w14:textId="77777777" w:rsidR="006605A3" w:rsidRPr="00F0396A" w:rsidRDefault="006605A3" w:rsidP="00F0396A">
            <w:pPr>
              <w:rPr>
                <w:b/>
                <w:bCs/>
                <w:sz w:val="11"/>
                <w:szCs w:val="11"/>
                <w:lang w:eastAsia="en-GB"/>
              </w:rPr>
            </w:pPr>
            <w:r w:rsidRPr="00F0396A">
              <w:rPr>
                <w:b/>
                <w:bCs/>
                <w:sz w:val="11"/>
                <w:szCs w:val="11"/>
                <w:lang w:eastAsia="en-GB"/>
              </w:rPr>
              <w:t>3b.</w:t>
            </w:r>
            <w:r>
              <w:rPr>
                <w:b/>
                <w:bCs/>
                <w:sz w:val="11"/>
                <w:szCs w:val="11"/>
                <w:lang w:eastAsia="en-GB"/>
              </w:rPr>
              <w:t xml:space="preserve">  </w:t>
            </w:r>
            <w:r w:rsidRPr="00F0396A">
              <w:rPr>
                <w:b/>
                <w:bCs/>
                <w:sz w:val="11"/>
                <w:szCs w:val="11"/>
                <w:lang w:eastAsia="en-GB"/>
              </w:rPr>
              <w:t>Wake up at night because of symptoms of IBD?</w:t>
            </w:r>
          </w:p>
          <w:p w14:paraId="2D46DCD6" w14:textId="77777777" w:rsidR="006605A3" w:rsidRPr="00F0396A" w:rsidRDefault="006605A3" w:rsidP="00F0396A">
            <w:pPr>
              <w:rPr>
                <w:b/>
                <w:bCs/>
                <w:sz w:val="11"/>
                <w:szCs w:val="11"/>
                <w:lang w:eastAsia="en-GB"/>
              </w:rPr>
            </w:pPr>
            <w:r w:rsidRPr="00F0396A">
              <w:rPr>
                <w:b/>
                <w:bCs/>
                <w:sz w:val="11"/>
                <w:szCs w:val="11"/>
                <w:lang w:eastAsia="en-GB"/>
              </w:rPr>
              <w:t> </w:t>
            </w:r>
          </w:p>
        </w:tc>
      </w:tr>
      <w:tr w:rsidR="006605A3" w:rsidRPr="00F321F2" w14:paraId="5343735C"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22F2C882"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Yes</w:t>
            </w:r>
          </w:p>
        </w:tc>
        <w:tc>
          <w:tcPr>
            <w:tcW w:w="850" w:type="dxa"/>
            <w:tcBorders>
              <w:top w:val="nil"/>
              <w:left w:val="nil"/>
              <w:bottom w:val="single" w:sz="4" w:space="0" w:color="auto"/>
              <w:right w:val="single" w:sz="4" w:space="0" w:color="auto"/>
            </w:tcBorders>
            <w:shd w:val="clear" w:color="auto" w:fill="FFFFFF" w:themeFill="background1"/>
            <w:noWrap/>
            <w:hideMark/>
          </w:tcPr>
          <w:p w14:paraId="5702D56D"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670 (25%)</w:t>
            </w:r>
          </w:p>
        </w:tc>
        <w:tc>
          <w:tcPr>
            <w:tcW w:w="851" w:type="dxa"/>
            <w:tcBorders>
              <w:top w:val="nil"/>
              <w:left w:val="nil"/>
              <w:bottom w:val="single" w:sz="4" w:space="0" w:color="auto"/>
              <w:right w:val="single" w:sz="4" w:space="0" w:color="auto"/>
            </w:tcBorders>
            <w:shd w:val="clear" w:color="auto" w:fill="FFFFFF" w:themeFill="background1"/>
          </w:tcPr>
          <w:p w14:paraId="22C2AB43"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1,644 (36%)</w:t>
            </w:r>
          </w:p>
        </w:tc>
        <w:tc>
          <w:tcPr>
            <w:tcW w:w="850" w:type="dxa"/>
            <w:tcBorders>
              <w:top w:val="nil"/>
              <w:left w:val="nil"/>
              <w:bottom w:val="single" w:sz="4" w:space="0" w:color="auto"/>
              <w:right w:val="single" w:sz="4" w:space="0" w:color="auto"/>
            </w:tcBorders>
            <w:shd w:val="clear" w:color="auto" w:fill="FFFFFF" w:themeFill="background1"/>
          </w:tcPr>
          <w:p w14:paraId="2130FC10"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2,084 (33%)</w:t>
            </w:r>
          </w:p>
        </w:tc>
        <w:tc>
          <w:tcPr>
            <w:tcW w:w="709" w:type="dxa"/>
            <w:tcBorders>
              <w:top w:val="nil"/>
              <w:left w:val="nil"/>
              <w:bottom w:val="single" w:sz="4" w:space="0" w:color="auto"/>
              <w:right w:val="single" w:sz="4" w:space="0" w:color="auto"/>
            </w:tcBorders>
            <w:shd w:val="clear" w:color="auto" w:fill="FFFFFF" w:themeFill="background1"/>
          </w:tcPr>
          <w:p w14:paraId="6F42B9AB"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230 (22%)</w:t>
            </w:r>
          </w:p>
        </w:tc>
        <w:tc>
          <w:tcPr>
            <w:tcW w:w="850" w:type="dxa"/>
            <w:tcBorders>
              <w:top w:val="nil"/>
              <w:left w:val="nil"/>
              <w:bottom w:val="single" w:sz="4" w:space="0" w:color="auto"/>
              <w:right w:val="single" w:sz="4" w:space="0" w:color="auto"/>
            </w:tcBorders>
            <w:shd w:val="clear" w:color="auto" w:fill="FFFFFF" w:themeFill="background1"/>
          </w:tcPr>
          <w:p w14:paraId="6DD9B660"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1,658 (30%)</w:t>
            </w:r>
          </w:p>
        </w:tc>
        <w:tc>
          <w:tcPr>
            <w:tcW w:w="851" w:type="dxa"/>
            <w:tcBorders>
              <w:top w:val="nil"/>
              <w:left w:val="nil"/>
              <w:bottom w:val="single" w:sz="4" w:space="0" w:color="auto"/>
              <w:right w:val="single" w:sz="4" w:space="0" w:color="auto"/>
            </w:tcBorders>
            <w:shd w:val="clear" w:color="auto" w:fill="FFFFFF" w:themeFill="background1"/>
          </w:tcPr>
          <w:p w14:paraId="54367862"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656 (36%)</w:t>
            </w:r>
          </w:p>
        </w:tc>
        <w:tc>
          <w:tcPr>
            <w:tcW w:w="850" w:type="dxa"/>
            <w:tcBorders>
              <w:top w:val="nil"/>
              <w:left w:val="nil"/>
              <w:bottom w:val="single" w:sz="4" w:space="0" w:color="auto"/>
              <w:right w:val="single" w:sz="4" w:space="0" w:color="auto"/>
            </w:tcBorders>
            <w:shd w:val="clear" w:color="auto" w:fill="FFFFFF" w:themeFill="background1"/>
          </w:tcPr>
          <w:p w14:paraId="48B53D04"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510 (25%)</w:t>
            </w:r>
          </w:p>
        </w:tc>
        <w:tc>
          <w:tcPr>
            <w:tcW w:w="851" w:type="dxa"/>
            <w:tcBorders>
              <w:top w:val="nil"/>
              <w:left w:val="nil"/>
              <w:bottom w:val="single" w:sz="4" w:space="0" w:color="auto"/>
              <w:right w:val="single" w:sz="4" w:space="0" w:color="auto"/>
            </w:tcBorders>
            <w:shd w:val="clear" w:color="auto" w:fill="FFFFFF" w:themeFill="background1"/>
          </w:tcPr>
          <w:p w14:paraId="6BF28E21"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323 (45%)</w:t>
            </w:r>
          </w:p>
        </w:tc>
      </w:tr>
      <w:tr w:rsidR="006605A3" w:rsidRPr="00F321F2" w14:paraId="13D38E72"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5DAD7580"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Not sure</w:t>
            </w:r>
          </w:p>
        </w:tc>
        <w:tc>
          <w:tcPr>
            <w:tcW w:w="850" w:type="dxa"/>
            <w:tcBorders>
              <w:top w:val="nil"/>
              <w:left w:val="nil"/>
              <w:bottom w:val="single" w:sz="4" w:space="0" w:color="auto"/>
              <w:right w:val="single" w:sz="4" w:space="0" w:color="auto"/>
            </w:tcBorders>
            <w:shd w:val="clear" w:color="auto" w:fill="FFFFFF" w:themeFill="background1"/>
            <w:noWrap/>
            <w:hideMark/>
          </w:tcPr>
          <w:p w14:paraId="62818A9C"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65 (2.4%)</w:t>
            </w:r>
          </w:p>
        </w:tc>
        <w:tc>
          <w:tcPr>
            <w:tcW w:w="851" w:type="dxa"/>
            <w:tcBorders>
              <w:top w:val="nil"/>
              <w:left w:val="nil"/>
              <w:bottom w:val="single" w:sz="4" w:space="0" w:color="auto"/>
              <w:right w:val="single" w:sz="4" w:space="0" w:color="auto"/>
            </w:tcBorders>
            <w:shd w:val="clear" w:color="auto" w:fill="FFFFFF" w:themeFill="background1"/>
          </w:tcPr>
          <w:p w14:paraId="1EAF7E15"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82 (1.8%)</w:t>
            </w:r>
          </w:p>
        </w:tc>
        <w:tc>
          <w:tcPr>
            <w:tcW w:w="850" w:type="dxa"/>
            <w:tcBorders>
              <w:top w:val="nil"/>
              <w:left w:val="nil"/>
              <w:bottom w:val="single" w:sz="4" w:space="0" w:color="auto"/>
              <w:right w:val="single" w:sz="4" w:space="0" w:color="auto"/>
            </w:tcBorders>
            <w:shd w:val="clear" w:color="auto" w:fill="FFFFFF" w:themeFill="background1"/>
          </w:tcPr>
          <w:p w14:paraId="4D84A553"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122 (1.9%)</w:t>
            </w:r>
          </w:p>
        </w:tc>
        <w:tc>
          <w:tcPr>
            <w:tcW w:w="709" w:type="dxa"/>
            <w:tcBorders>
              <w:top w:val="nil"/>
              <w:left w:val="nil"/>
              <w:bottom w:val="single" w:sz="4" w:space="0" w:color="auto"/>
              <w:right w:val="single" w:sz="4" w:space="0" w:color="auto"/>
            </w:tcBorders>
            <w:shd w:val="clear" w:color="auto" w:fill="FFFFFF" w:themeFill="background1"/>
          </w:tcPr>
          <w:p w14:paraId="74C735BE"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25 (2.4%)</w:t>
            </w:r>
          </w:p>
        </w:tc>
        <w:tc>
          <w:tcPr>
            <w:tcW w:w="850" w:type="dxa"/>
            <w:tcBorders>
              <w:top w:val="nil"/>
              <w:left w:val="nil"/>
              <w:bottom w:val="single" w:sz="4" w:space="0" w:color="auto"/>
              <w:right w:val="single" w:sz="4" w:space="0" w:color="auto"/>
            </w:tcBorders>
            <w:shd w:val="clear" w:color="auto" w:fill="FFFFFF" w:themeFill="background1"/>
          </w:tcPr>
          <w:p w14:paraId="1965BD00"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97 (1.8%)</w:t>
            </w:r>
          </w:p>
        </w:tc>
        <w:tc>
          <w:tcPr>
            <w:tcW w:w="851" w:type="dxa"/>
            <w:tcBorders>
              <w:top w:val="nil"/>
              <w:left w:val="nil"/>
              <w:bottom w:val="single" w:sz="4" w:space="0" w:color="auto"/>
              <w:right w:val="single" w:sz="4" w:space="0" w:color="auto"/>
            </w:tcBorders>
            <w:shd w:val="clear" w:color="auto" w:fill="FFFFFF" w:themeFill="background1"/>
          </w:tcPr>
          <w:p w14:paraId="6F106FF4"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50 (2.7%)</w:t>
            </w:r>
          </w:p>
        </w:tc>
        <w:tc>
          <w:tcPr>
            <w:tcW w:w="850" w:type="dxa"/>
            <w:tcBorders>
              <w:top w:val="nil"/>
              <w:left w:val="nil"/>
              <w:bottom w:val="single" w:sz="4" w:space="0" w:color="auto"/>
              <w:right w:val="single" w:sz="4" w:space="0" w:color="auto"/>
            </w:tcBorders>
            <w:shd w:val="clear" w:color="auto" w:fill="FFFFFF" w:themeFill="background1"/>
          </w:tcPr>
          <w:p w14:paraId="64A3E45E"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33 (1.6%)</w:t>
            </w:r>
          </w:p>
        </w:tc>
        <w:tc>
          <w:tcPr>
            <w:tcW w:w="851" w:type="dxa"/>
            <w:tcBorders>
              <w:top w:val="nil"/>
              <w:left w:val="nil"/>
              <w:bottom w:val="single" w:sz="4" w:space="0" w:color="auto"/>
              <w:right w:val="single" w:sz="4" w:space="0" w:color="auto"/>
            </w:tcBorders>
            <w:shd w:val="clear" w:color="auto" w:fill="FFFFFF" w:themeFill="background1"/>
          </w:tcPr>
          <w:p w14:paraId="7E7CC662"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9 (1.2%)</w:t>
            </w:r>
          </w:p>
        </w:tc>
      </w:tr>
      <w:tr w:rsidR="006605A3" w:rsidRPr="00F321F2" w14:paraId="3522E106"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360C742C"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No</w:t>
            </w:r>
          </w:p>
        </w:tc>
        <w:tc>
          <w:tcPr>
            <w:tcW w:w="850" w:type="dxa"/>
            <w:tcBorders>
              <w:top w:val="nil"/>
              <w:left w:val="nil"/>
              <w:bottom w:val="single" w:sz="4" w:space="0" w:color="auto"/>
              <w:right w:val="single" w:sz="4" w:space="0" w:color="auto"/>
            </w:tcBorders>
            <w:shd w:val="clear" w:color="auto" w:fill="FFFFFF" w:themeFill="background1"/>
            <w:noWrap/>
            <w:hideMark/>
          </w:tcPr>
          <w:p w14:paraId="16D17DC6"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1,994 (73%)</w:t>
            </w:r>
          </w:p>
        </w:tc>
        <w:tc>
          <w:tcPr>
            <w:tcW w:w="851" w:type="dxa"/>
            <w:tcBorders>
              <w:top w:val="nil"/>
              <w:left w:val="nil"/>
              <w:bottom w:val="single" w:sz="4" w:space="0" w:color="auto"/>
              <w:right w:val="single" w:sz="4" w:space="0" w:color="auto"/>
            </w:tcBorders>
            <w:shd w:val="clear" w:color="auto" w:fill="FFFFFF" w:themeFill="background1"/>
          </w:tcPr>
          <w:p w14:paraId="7DD2DAD6"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2,882 (63%)</w:t>
            </w:r>
          </w:p>
        </w:tc>
        <w:tc>
          <w:tcPr>
            <w:tcW w:w="850" w:type="dxa"/>
            <w:tcBorders>
              <w:top w:val="nil"/>
              <w:left w:val="nil"/>
              <w:bottom w:val="single" w:sz="4" w:space="0" w:color="auto"/>
              <w:right w:val="single" w:sz="4" w:space="0" w:color="auto"/>
            </w:tcBorders>
            <w:shd w:val="clear" w:color="auto" w:fill="FFFFFF" w:themeFill="background1"/>
          </w:tcPr>
          <w:p w14:paraId="1D222FA4"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4,068 (65%)</w:t>
            </w:r>
          </w:p>
        </w:tc>
        <w:tc>
          <w:tcPr>
            <w:tcW w:w="709" w:type="dxa"/>
            <w:tcBorders>
              <w:top w:val="nil"/>
              <w:left w:val="nil"/>
              <w:bottom w:val="single" w:sz="4" w:space="0" w:color="auto"/>
              <w:right w:val="single" w:sz="4" w:space="0" w:color="auto"/>
            </w:tcBorders>
            <w:shd w:val="clear" w:color="auto" w:fill="FFFFFF" w:themeFill="background1"/>
          </w:tcPr>
          <w:p w14:paraId="438A6FA2"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808 (76%)</w:t>
            </w:r>
          </w:p>
        </w:tc>
        <w:tc>
          <w:tcPr>
            <w:tcW w:w="850" w:type="dxa"/>
            <w:tcBorders>
              <w:top w:val="nil"/>
              <w:left w:val="nil"/>
              <w:bottom w:val="single" w:sz="4" w:space="0" w:color="auto"/>
              <w:right w:val="single" w:sz="4" w:space="0" w:color="auto"/>
            </w:tcBorders>
            <w:shd w:val="clear" w:color="auto" w:fill="FFFFFF" w:themeFill="background1"/>
          </w:tcPr>
          <w:p w14:paraId="30E97783"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3,755 (68%)</w:t>
            </w:r>
          </w:p>
        </w:tc>
        <w:tc>
          <w:tcPr>
            <w:tcW w:w="851" w:type="dxa"/>
            <w:tcBorders>
              <w:top w:val="nil"/>
              <w:left w:val="nil"/>
              <w:bottom w:val="single" w:sz="4" w:space="0" w:color="auto"/>
              <w:right w:val="single" w:sz="4" w:space="0" w:color="auto"/>
            </w:tcBorders>
            <w:shd w:val="clear" w:color="auto" w:fill="FFFFFF" w:themeFill="background1"/>
          </w:tcPr>
          <w:p w14:paraId="079AB861"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1,121 (61%)</w:t>
            </w:r>
          </w:p>
        </w:tc>
        <w:tc>
          <w:tcPr>
            <w:tcW w:w="850" w:type="dxa"/>
            <w:tcBorders>
              <w:top w:val="nil"/>
              <w:left w:val="nil"/>
              <w:bottom w:val="single" w:sz="4" w:space="0" w:color="auto"/>
              <w:right w:val="single" w:sz="4" w:space="0" w:color="auto"/>
            </w:tcBorders>
            <w:shd w:val="clear" w:color="auto" w:fill="FFFFFF" w:themeFill="background1"/>
          </w:tcPr>
          <w:p w14:paraId="55A02845"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1,460 (73%)</w:t>
            </w:r>
          </w:p>
        </w:tc>
        <w:tc>
          <w:tcPr>
            <w:tcW w:w="851" w:type="dxa"/>
            <w:tcBorders>
              <w:top w:val="nil"/>
              <w:left w:val="nil"/>
              <w:bottom w:val="single" w:sz="4" w:space="0" w:color="auto"/>
              <w:right w:val="single" w:sz="4" w:space="0" w:color="auto"/>
            </w:tcBorders>
            <w:shd w:val="clear" w:color="auto" w:fill="FFFFFF" w:themeFill="background1"/>
          </w:tcPr>
          <w:p w14:paraId="7C35C065"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389 (54%)</w:t>
            </w:r>
          </w:p>
        </w:tc>
      </w:tr>
      <w:tr w:rsidR="006605A3" w:rsidRPr="00F321F2" w14:paraId="69F690C8" w14:textId="77777777" w:rsidTr="00F0396A">
        <w:trPr>
          <w:trHeight w:hRule="exact" w:val="198"/>
        </w:trPr>
        <w:tc>
          <w:tcPr>
            <w:tcW w:w="9351" w:type="dxa"/>
            <w:gridSpan w:val="9"/>
            <w:tcBorders>
              <w:top w:val="nil"/>
              <w:left w:val="single" w:sz="4" w:space="0" w:color="auto"/>
              <w:bottom w:val="single" w:sz="4" w:space="0" w:color="auto"/>
              <w:right w:val="single" w:sz="4" w:space="0" w:color="auto"/>
            </w:tcBorders>
            <w:shd w:val="clear" w:color="auto" w:fill="FFFFFF" w:themeFill="background1"/>
            <w:noWrap/>
            <w:vAlign w:val="center"/>
            <w:hideMark/>
          </w:tcPr>
          <w:p w14:paraId="161F6040" w14:textId="77777777" w:rsidR="006605A3" w:rsidRPr="00F0396A" w:rsidRDefault="006605A3" w:rsidP="00F0396A">
            <w:pPr>
              <w:spacing w:after="0" w:line="240" w:lineRule="auto"/>
              <w:rPr>
                <w:rFonts w:ascii="Calibri" w:eastAsia="Times New Roman" w:hAnsi="Calibri" w:cs="Calibri"/>
                <w:b/>
                <w:bCs/>
                <w:color w:val="000000"/>
                <w:sz w:val="11"/>
                <w:szCs w:val="11"/>
                <w:lang w:eastAsia="en-GB"/>
              </w:rPr>
            </w:pPr>
            <w:r w:rsidRPr="00F0396A">
              <w:rPr>
                <w:rFonts w:ascii="Calibri" w:eastAsia="Times New Roman" w:hAnsi="Calibri" w:cs="Calibri"/>
                <w:b/>
                <w:bCs/>
                <w:color w:val="000000"/>
                <w:sz w:val="11"/>
                <w:szCs w:val="11"/>
                <w:lang w:eastAsia="en-GB"/>
              </w:rPr>
              <w:t xml:space="preserve">3c. </w:t>
            </w:r>
            <w:r>
              <w:rPr>
                <w:rFonts w:ascii="Calibri" w:eastAsia="Times New Roman" w:hAnsi="Calibri" w:cs="Calibri"/>
                <w:b/>
                <w:bCs/>
                <w:color w:val="000000"/>
                <w:sz w:val="11"/>
                <w:szCs w:val="11"/>
                <w:lang w:eastAsia="en-GB"/>
              </w:rPr>
              <w:t xml:space="preserve"> </w:t>
            </w:r>
            <w:r w:rsidRPr="00F0396A">
              <w:rPr>
                <w:rFonts w:ascii="Calibri" w:eastAsia="Times New Roman" w:hAnsi="Calibri" w:cs="Calibri"/>
                <w:b/>
                <w:bCs/>
                <w:color w:val="000000"/>
                <w:sz w:val="11"/>
                <w:szCs w:val="11"/>
                <w:lang w:eastAsia="en-GB"/>
              </w:rPr>
              <w:t>Suffer from significant pain or discomfort?</w:t>
            </w:r>
          </w:p>
          <w:p w14:paraId="4CBC2C26" w14:textId="77777777" w:rsidR="006605A3" w:rsidRPr="00F0396A" w:rsidRDefault="006605A3" w:rsidP="00F0396A">
            <w:pPr>
              <w:spacing w:after="0" w:line="240" w:lineRule="auto"/>
              <w:jc w:val="right"/>
              <w:rPr>
                <w:rFonts w:ascii="Calibri" w:eastAsia="Times New Roman" w:hAnsi="Calibri" w:cs="Calibri"/>
                <w:b/>
                <w:bCs/>
                <w:color w:val="000000"/>
                <w:sz w:val="13"/>
                <w:szCs w:val="13"/>
                <w:lang w:eastAsia="en-GB"/>
              </w:rPr>
            </w:pPr>
            <w:r w:rsidRPr="00F0396A">
              <w:rPr>
                <w:rFonts w:ascii="Calibri" w:eastAsia="Times New Roman" w:hAnsi="Calibri" w:cs="Calibri"/>
                <w:b/>
                <w:bCs/>
                <w:color w:val="000000"/>
                <w:sz w:val="13"/>
                <w:szCs w:val="13"/>
                <w:lang w:eastAsia="en-GB"/>
              </w:rPr>
              <w:t> </w:t>
            </w:r>
          </w:p>
        </w:tc>
      </w:tr>
      <w:tr w:rsidR="006605A3" w:rsidRPr="00F321F2" w14:paraId="5D7FCB0B"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331D46D6"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Yes</w:t>
            </w:r>
          </w:p>
        </w:tc>
        <w:tc>
          <w:tcPr>
            <w:tcW w:w="850" w:type="dxa"/>
            <w:tcBorders>
              <w:top w:val="nil"/>
              <w:left w:val="nil"/>
              <w:bottom w:val="single" w:sz="4" w:space="0" w:color="auto"/>
              <w:right w:val="single" w:sz="4" w:space="0" w:color="auto"/>
            </w:tcBorders>
            <w:shd w:val="clear" w:color="auto" w:fill="FFFFFF" w:themeFill="background1"/>
            <w:noWrap/>
            <w:hideMark/>
          </w:tcPr>
          <w:p w14:paraId="05335517"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691 (25%)</w:t>
            </w:r>
          </w:p>
        </w:tc>
        <w:tc>
          <w:tcPr>
            <w:tcW w:w="851" w:type="dxa"/>
            <w:tcBorders>
              <w:top w:val="nil"/>
              <w:left w:val="nil"/>
              <w:bottom w:val="single" w:sz="4" w:space="0" w:color="auto"/>
              <w:right w:val="single" w:sz="4" w:space="0" w:color="auto"/>
            </w:tcBorders>
            <w:shd w:val="clear" w:color="auto" w:fill="FFFFFF" w:themeFill="background1"/>
          </w:tcPr>
          <w:p w14:paraId="1D540290"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1,876 (41%)</w:t>
            </w:r>
          </w:p>
        </w:tc>
        <w:tc>
          <w:tcPr>
            <w:tcW w:w="850" w:type="dxa"/>
            <w:tcBorders>
              <w:top w:val="nil"/>
              <w:left w:val="nil"/>
              <w:bottom w:val="single" w:sz="4" w:space="0" w:color="auto"/>
              <w:right w:val="single" w:sz="4" w:space="0" w:color="auto"/>
            </w:tcBorders>
            <w:shd w:val="clear" w:color="auto" w:fill="FFFFFF" w:themeFill="background1"/>
          </w:tcPr>
          <w:p w14:paraId="3AF3126C"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2,314 (37%)</w:t>
            </w:r>
          </w:p>
        </w:tc>
        <w:tc>
          <w:tcPr>
            <w:tcW w:w="709" w:type="dxa"/>
            <w:tcBorders>
              <w:top w:val="nil"/>
              <w:left w:val="nil"/>
              <w:bottom w:val="single" w:sz="4" w:space="0" w:color="auto"/>
              <w:right w:val="single" w:sz="4" w:space="0" w:color="auto"/>
            </w:tcBorders>
            <w:shd w:val="clear" w:color="auto" w:fill="FFFFFF" w:themeFill="background1"/>
          </w:tcPr>
          <w:p w14:paraId="1A169759"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253 (24%)</w:t>
            </w:r>
          </w:p>
        </w:tc>
        <w:tc>
          <w:tcPr>
            <w:tcW w:w="850" w:type="dxa"/>
            <w:tcBorders>
              <w:top w:val="nil"/>
              <w:left w:val="nil"/>
              <w:bottom w:val="single" w:sz="4" w:space="0" w:color="auto"/>
              <w:right w:val="single" w:sz="4" w:space="0" w:color="auto"/>
            </w:tcBorders>
            <w:shd w:val="clear" w:color="auto" w:fill="FFFFFF" w:themeFill="background1"/>
          </w:tcPr>
          <w:p w14:paraId="6FB8EA33"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1,815 (33%)</w:t>
            </w:r>
          </w:p>
        </w:tc>
        <w:tc>
          <w:tcPr>
            <w:tcW w:w="851" w:type="dxa"/>
            <w:tcBorders>
              <w:top w:val="nil"/>
              <w:left w:val="nil"/>
              <w:bottom w:val="single" w:sz="4" w:space="0" w:color="auto"/>
              <w:right w:val="single" w:sz="4" w:space="0" w:color="auto"/>
            </w:tcBorders>
            <w:shd w:val="clear" w:color="auto" w:fill="FFFFFF" w:themeFill="background1"/>
          </w:tcPr>
          <w:p w14:paraId="23FDA190"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752 (41%)</w:t>
            </w:r>
          </w:p>
        </w:tc>
        <w:tc>
          <w:tcPr>
            <w:tcW w:w="850" w:type="dxa"/>
            <w:tcBorders>
              <w:top w:val="nil"/>
              <w:left w:val="nil"/>
              <w:bottom w:val="single" w:sz="4" w:space="0" w:color="auto"/>
              <w:right w:val="single" w:sz="4" w:space="0" w:color="auto"/>
            </w:tcBorders>
            <w:shd w:val="clear" w:color="auto" w:fill="FFFFFF" w:themeFill="background1"/>
          </w:tcPr>
          <w:p w14:paraId="542BCEAE"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566 (28%)</w:t>
            </w:r>
          </w:p>
        </w:tc>
        <w:tc>
          <w:tcPr>
            <w:tcW w:w="851" w:type="dxa"/>
            <w:tcBorders>
              <w:top w:val="nil"/>
              <w:left w:val="nil"/>
              <w:bottom w:val="single" w:sz="4" w:space="0" w:color="auto"/>
              <w:right w:val="single" w:sz="4" w:space="0" w:color="auto"/>
            </w:tcBorders>
            <w:shd w:val="clear" w:color="auto" w:fill="FFFFFF" w:themeFill="background1"/>
          </w:tcPr>
          <w:p w14:paraId="2FA4B9FC"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334 (46%)</w:t>
            </w:r>
          </w:p>
        </w:tc>
      </w:tr>
      <w:tr w:rsidR="006605A3" w:rsidRPr="00F321F2" w14:paraId="38E47BD7"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0A9D3E50"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Not sure</w:t>
            </w:r>
          </w:p>
        </w:tc>
        <w:tc>
          <w:tcPr>
            <w:tcW w:w="850" w:type="dxa"/>
            <w:tcBorders>
              <w:top w:val="nil"/>
              <w:left w:val="nil"/>
              <w:bottom w:val="single" w:sz="4" w:space="0" w:color="auto"/>
              <w:right w:val="single" w:sz="4" w:space="0" w:color="auto"/>
            </w:tcBorders>
            <w:shd w:val="clear" w:color="auto" w:fill="FFFFFF" w:themeFill="background1"/>
            <w:noWrap/>
            <w:hideMark/>
          </w:tcPr>
          <w:p w14:paraId="4D6C4A52"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72 (2.6%)</w:t>
            </w:r>
          </w:p>
        </w:tc>
        <w:tc>
          <w:tcPr>
            <w:tcW w:w="851" w:type="dxa"/>
            <w:tcBorders>
              <w:top w:val="nil"/>
              <w:left w:val="nil"/>
              <w:bottom w:val="single" w:sz="4" w:space="0" w:color="auto"/>
              <w:right w:val="single" w:sz="4" w:space="0" w:color="auto"/>
            </w:tcBorders>
            <w:shd w:val="clear" w:color="auto" w:fill="FFFFFF" w:themeFill="background1"/>
          </w:tcPr>
          <w:p w14:paraId="4E6BFBA9"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140 (3.0%)</w:t>
            </w:r>
          </w:p>
        </w:tc>
        <w:tc>
          <w:tcPr>
            <w:tcW w:w="850" w:type="dxa"/>
            <w:tcBorders>
              <w:top w:val="nil"/>
              <w:left w:val="nil"/>
              <w:bottom w:val="single" w:sz="4" w:space="0" w:color="auto"/>
              <w:right w:val="single" w:sz="4" w:space="0" w:color="auto"/>
            </w:tcBorders>
            <w:shd w:val="clear" w:color="auto" w:fill="FFFFFF" w:themeFill="background1"/>
          </w:tcPr>
          <w:p w14:paraId="1FA2745D"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178 (2.8%)</w:t>
            </w:r>
          </w:p>
        </w:tc>
        <w:tc>
          <w:tcPr>
            <w:tcW w:w="709" w:type="dxa"/>
            <w:tcBorders>
              <w:top w:val="nil"/>
              <w:left w:val="nil"/>
              <w:bottom w:val="single" w:sz="4" w:space="0" w:color="auto"/>
              <w:right w:val="single" w:sz="4" w:space="0" w:color="auto"/>
            </w:tcBorders>
            <w:shd w:val="clear" w:color="auto" w:fill="FFFFFF" w:themeFill="background1"/>
          </w:tcPr>
          <w:p w14:paraId="3656D1D4"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34 (3.2%)</w:t>
            </w:r>
          </w:p>
        </w:tc>
        <w:tc>
          <w:tcPr>
            <w:tcW w:w="850" w:type="dxa"/>
            <w:tcBorders>
              <w:top w:val="nil"/>
              <w:left w:val="nil"/>
              <w:bottom w:val="single" w:sz="4" w:space="0" w:color="auto"/>
              <w:right w:val="single" w:sz="4" w:space="0" w:color="auto"/>
            </w:tcBorders>
            <w:shd w:val="clear" w:color="auto" w:fill="FFFFFF" w:themeFill="background1"/>
          </w:tcPr>
          <w:p w14:paraId="3BBC74C7"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153 (2.8%)</w:t>
            </w:r>
          </w:p>
        </w:tc>
        <w:tc>
          <w:tcPr>
            <w:tcW w:w="851" w:type="dxa"/>
            <w:tcBorders>
              <w:top w:val="nil"/>
              <w:left w:val="nil"/>
              <w:bottom w:val="single" w:sz="4" w:space="0" w:color="auto"/>
              <w:right w:val="single" w:sz="4" w:space="0" w:color="auto"/>
            </w:tcBorders>
            <w:shd w:val="clear" w:color="auto" w:fill="FFFFFF" w:themeFill="background1"/>
          </w:tcPr>
          <w:p w14:paraId="47D8CA10"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59 (3.2%)</w:t>
            </w:r>
          </w:p>
        </w:tc>
        <w:tc>
          <w:tcPr>
            <w:tcW w:w="850" w:type="dxa"/>
            <w:tcBorders>
              <w:top w:val="nil"/>
              <w:left w:val="nil"/>
              <w:bottom w:val="single" w:sz="4" w:space="0" w:color="auto"/>
              <w:right w:val="single" w:sz="4" w:space="0" w:color="auto"/>
            </w:tcBorders>
            <w:shd w:val="clear" w:color="auto" w:fill="FFFFFF" w:themeFill="background1"/>
          </w:tcPr>
          <w:p w14:paraId="62CCA47F"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61 (3.0%)</w:t>
            </w:r>
          </w:p>
        </w:tc>
        <w:tc>
          <w:tcPr>
            <w:tcW w:w="851" w:type="dxa"/>
            <w:tcBorders>
              <w:top w:val="nil"/>
              <w:left w:val="nil"/>
              <w:bottom w:val="single" w:sz="4" w:space="0" w:color="auto"/>
              <w:right w:val="single" w:sz="4" w:space="0" w:color="auto"/>
            </w:tcBorders>
            <w:shd w:val="clear" w:color="auto" w:fill="FFFFFF" w:themeFill="background1"/>
          </w:tcPr>
          <w:p w14:paraId="5FCF906C"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23 (3.2%)</w:t>
            </w:r>
          </w:p>
        </w:tc>
      </w:tr>
      <w:tr w:rsidR="006605A3" w:rsidRPr="00F321F2" w14:paraId="78322F7A"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306FC391"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No</w:t>
            </w:r>
          </w:p>
        </w:tc>
        <w:tc>
          <w:tcPr>
            <w:tcW w:w="850" w:type="dxa"/>
            <w:tcBorders>
              <w:top w:val="nil"/>
              <w:left w:val="nil"/>
              <w:bottom w:val="single" w:sz="4" w:space="0" w:color="auto"/>
              <w:right w:val="single" w:sz="4" w:space="0" w:color="auto"/>
            </w:tcBorders>
            <w:shd w:val="clear" w:color="auto" w:fill="FFFFFF" w:themeFill="background1"/>
            <w:noWrap/>
            <w:hideMark/>
          </w:tcPr>
          <w:p w14:paraId="4AAE710F"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1,966 (72%)</w:t>
            </w:r>
          </w:p>
        </w:tc>
        <w:tc>
          <w:tcPr>
            <w:tcW w:w="851" w:type="dxa"/>
            <w:tcBorders>
              <w:top w:val="nil"/>
              <w:left w:val="nil"/>
              <w:bottom w:val="single" w:sz="4" w:space="0" w:color="auto"/>
              <w:right w:val="single" w:sz="4" w:space="0" w:color="auto"/>
            </w:tcBorders>
            <w:shd w:val="clear" w:color="auto" w:fill="FFFFFF" w:themeFill="background1"/>
          </w:tcPr>
          <w:p w14:paraId="21342F0F"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2,592 (56%)</w:t>
            </w:r>
          </w:p>
        </w:tc>
        <w:tc>
          <w:tcPr>
            <w:tcW w:w="850" w:type="dxa"/>
            <w:tcBorders>
              <w:top w:val="nil"/>
              <w:left w:val="nil"/>
              <w:bottom w:val="single" w:sz="4" w:space="0" w:color="auto"/>
              <w:right w:val="single" w:sz="4" w:space="0" w:color="auto"/>
            </w:tcBorders>
            <w:shd w:val="clear" w:color="auto" w:fill="FFFFFF" w:themeFill="background1"/>
          </w:tcPr>
          <w:p w14:paraId="69FE076C"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3,782 (60%)</w:t>
            </w:r>
          </w:p>
        </w:tc>
        <w:tc>
          <w:tcPr>
            <w:tcW w:w="709" w:type="dxa"/>
            <w:tcBorders>
              <w:top w:val="nil"/>
              <w:left w:val="nil"/>
              <w:bottom w:val="single" w:sz="4" w:space="0" w:color="auto"/>
              <w:right w:val="single" w:sz="4" w:space="0" w:color="auto"/>
            </w:tcBorders>
            <w:shd w:val="clear" w:color="auto" w:fill="FFFFFF" w:themeFill="background1"/>
          </w:tcPr>
          <w:p w14:paraId="516FA42F"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776 (73%)</w:t>
            </w:r>
          </w:p>
        </w:tc>
        <w:tc>
          <w:tcPr>
            <w:tcW w:w="850" w:type="dxa"/>
            <w:tcBorders>
              <w:top w:val="nil"/>
              <w:left w:val="nil"/>
              <w:bottom w:val="single" w:sz="4" w:space="0" w:color="auto"/>
              <w:right w:val="single" w:sz="4" w:space="0" w:color="auto"/>
            </w:tcBorders>
            <w:shd w:val="clear" w:color="auto" w:fill="FFFFFF" w:themeFill="background1"/>
          </w:tcPr>
          <w:p w14:paraId="42FA72C5"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3,542 (64%)</w:t>
            </w:r>
          </w:p>
        </w:tc>
        <w:tc>
          <w:tcPr>
            <w:tcW w:w="851" w:type="dxa"/>
            <w:tcBorders>
              <w:top w:val="nil"/>
              <w:left w:val="nil"/>
              <w:bottom w:val="single" w:sz="4" w:space="0" w:color="auto"/>
              <w:right w:val="single" w:sz="4" w:space="0" w:color="auto"/>
            </w:tcBorders>
            <w:shd w:val="clear" w:color="auto" w:fill="FFFFFF" w:themeFill="background1"/>
          </w:tcPr>
          <w:p w14:paraId="1D11C549"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1,016 (56%)</w:t>
            </w:r>
          </w:p>
        </w:tc>
        <w:tc>
          <w:tcPr>
            <w:tcW w:w="850" w:type="dxa"/>
            <w:tcBorders>
              <w:top w:val="nil"/>
              <w:left w:val="nil"/>
              <w:bottom w:val="single" w:sz="4" w:space="0" w:color="auto"/>
              <w:right w:val="single" w:sz="4" w:space="0" w:color="auto"/>
            </w:tcBorders>
            <w:shd w:val="clear" w:color="auto" w:fill="FFFFFF" w:themeFill="background1"/>
          </w:tcPr>
          <w:p w14:paraId="4DCA5391"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1,376 (69%)</w:t>
            </w:r>
          </w:p>
        </w:tc>
        <w:tc>
          <w:tcPr>
            <w:tcW w:w="851" w:type="dxa"/>
            <w:tcBorders>
              <w:top w:val="nil"/>
              <w:left w:val="nil"/>
              <w:bottom w:val="single" w:sz="4" w:space="0" w:color="auto"/>
              <w:right w:val="single" w:sz="4" w:space="0" w:color="auto"/>
            </w:tcBorders>
            <w:shd w:val="clear" w:color="auto" w:fill="FFFFFF" w:themeFill="background1"/>
          </w:tcPr>
          <w:p w14:paraId="65F4B78B"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364 (50%)</w:t>
            </w:r>
          </w:p>
        </w:tc>
      </w:tr>
      <w:tr w:rsidR="006605A3" w:rsidRPr="00F321F2" w14:paraId="07C6EAE9" w14:textId="77777777" w:rsidTr="00F0396A">
        <w:trPr>
          <w:trHeight w:hRule="exact" w:val="198"/>
        </w:trPr>
        <w:tc>
          <w:tcPr>
            <w:tcW w:w="9351" w:type="dxa"/>
            <w:gridSpan w:val="9"/>
            <w:tcBorders>
              <w:top w:val="nil"/>
              <w:left w:val="single" w:sz="4" w:space="0" w:color="auto"/>
              <w:bottom w:val="single" w:sz="4" w:space="0" w:color="auto"/>
              <w:right w:val="single" w:sz="4" w:space="0" w:color="auto"/>
            </w:tcBorders>
            <w:shd w:val="clear" w:color="auto" w:fill="FFFFFF" w:themeFill="background1"/>
            <w:noWrap/>
            <w:vAlign w:val="center"/>
            <w:hideMark/>
          </w:tcPr>
          <w:p w14:paraId="38544F4F" w14:textId="77777777" w:rsidR="006605A3" w:rsidRPr="00F0396A" w:rsidRDefault="006605A3" w:rsidP="00F0396A">
            <w:pPr>
              <w:spacing w:after="0" w:line="240" w:lineRule="auto"/>
              <w:rPr>
                <w:rFonts w:ascii="Calibri" w:eastAsia="Times New Roman" w:hAnsi="Calibri" w:cs="Calibri"/>
                <w:b/>
                <w:bCs/>
                <w:color w:val="000000"/>
                <w:sz w:val="11"/>
                <w:szCs w:val="11"/>
                <w:lang w:eastAsia="en-GB"/>
              </w:rPr>
            </w:pPr>
            <w:r w:rsidRPr="00F0396A">
              <w:rPr>
                <w:rFonts w:ascii="Calibri" w:eastAsia="Times New Roman" w:hAnsi="Calibri" w:cs="Calibri"/>
                <w:b/>
                <w:bCs/>
                <w:color w:val="000000"/>
                <w:sz w:val="11"/>
                <w:szCs w:val="11"/>
                <w:lang w:eastAsia="en-GB"/>
              </w:rPr>
              <w:t>3d.</w:t>
            </w:r>
            <w:r>
              <w:rPr>
                <w:rFonts w:ascii="Calibri" w:eastAsia="Times New Roman" w:hAnsi="Calibri" w:cs="Calibri"/>
                <w:b/>
                <w:bCs/>
                <w:color w:val="000000"/>
                <w:sz w:val="11"/>
                <w:szCs w:val="11"/>
                <w:lang w:eastAsia="en-GB"/>
              </w:rPr>
              <w:t xml:space="preserve">  </w:t>
            </w:r>
            <w:r w:rsidRPr="00F0396A">
              <w:rPr>
                <w:rFonts w:ascii="Calibri" w:eastAsia="Times New Roman" w:hAnsi="Calibri" w:cs="Calibri"/>
                <w:b/>
                <w:bCs/>
                <w:color w:val="000000"/>
                <w:sz w:val="11"/>
                <w:szCs w:val="11"/>
                <w:lang w:eastAsia="en-GB"/>
              </w:rPr>
              <w:t>Often feel lacking in energy (fatigued)?</w:t>
            </w:r>
          </w:p>
          <w:p w14:paraId="15736A6F" w14:textId="77777777" w:rsidR="006605A3" w:rsidRPr="00F0396A" w:rsidRDefault="006605A3" w:rsidP="00F0396A">
            <w:pPr>
              <w:spacing w:after="0" w:line="240" w:lineRule="auto"/>
              <w:jc w:val="right"/>
              <w:rPr>
                <w:rFonts w:ascii="Calibri" w:eastAsia="Times New Roman" w:hAnsi="Calibri" w:cs="Calibri"/>
                <w:b/>
                <w:bCs/>
                <w:color w:val="000000"/>
                <w:sz w:val="13"/>
                <w:szCs w:val="13"/>
                <w:lang w:eastAsia="en-GB"/>
              </w:rPr>
            </w:pPr>
            <w:r w:rsidRPr="00F0396A">
              <w:rPr>
                <w:rFonts w:ascii="Calibri" w:eastAsia="Times New Roman" w:hAnsi="Calibri" w:cs="Calibri"/>
                <w:b/>
                <w:bCs/>
                <w:color w:val="000000"/>
                <w:sz w:val="13"/>
                <w:szCs w:val="13"/>
                <w:lang w:eastAsia="en-GB"/>
              </w:rPr>
              <w:t> </w:t>
            </w:r>
          </w:p>
        </w:tc>
      </w:tr>
      <w:tr w:rsidR="006605A3" w:rsidRPr="00F321F2" w14:paraId="04E70D7D"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752EA42A"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Yes</w:t>
            </w:r>
          </w:p>
        </w:tc>
        <w:tc>
          <w:tcPr>
            <w:tcW w:w="850" w:type="dxa"/>
            <w:tcBorders>
              <w:top w:val="nil"/>
              <w:left w:val="nil"/>
              <w:bottom w:val="single" w:sz="4" w:space="0" w:color="auto"/>
              <w:right w:val="single" w:sz="4" w:space="0" w:color="auto"/>
            </w:tcBorders>
            <w:shd w:val="clear" w:color="auto" w:fill="FFFFFF" w:themeFill="background1"/>
            <w:noWrap/>
            <w:hideMark/>
          </w:tcPr>
          <w:p w14:paraId="195CCFF4"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1,170 (43%)</w:t>
            </w:r>
          </w:p>
        </w:tc>
        <w:tc>
          <w:tcPr>
            <w:tcW w:w="851" w:type="dxa"/>
            <w:tcBorders>
              <w:top w:val="nil"/>
              <w:left w:val="nil"/>
              <w:bottom w:val="single" w:sz="4" w:space="0" w:color="auto"/>
              <w:right w:val="single" w:sz="4" w:space="0" w:color="auto"/>
            </w:tcBorders>
            <w:shd w:val="clear" w:color="auto" w:fill="FFFFFF" w:themeFill="background1"/>
          </w:tcPr>
          <w:p w14:paraId="18A27E50"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2,871 (62%)</w:t>
            </w:r>
          </w:p>
        </w:tc>
        <w:tc>
          <w:tcPr>
            <w:tcW w:w="850" w:type="dxa"/>
            <w:tcBorders>
              <w:top w:val="nil"/>
              <w:left w:val="nil"/>
              <w:bottom w:val="single" w:sz="4" w:space="0" w:color="auto"/>
              <w:right w:val="single" w:sz="4" w:space="0" w:color="auto"/>
            </w:tcBorders>
            <w:shd w:val="clear" w:color="auto" w:fill="FFFFFF" w:themeFill="background1"/>
          </w:tcPr>
          <w:p w14:paraId="2CD47F28"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3,617 (58%)</w:t>
            </w:r>
          </w:p>
        </w:tc>
        <w:tc>
          <w:tcPr>
            <w:tcW w:w="709" w:type="dxa"/>
            <w:tcBorders>
              <w:top w:val="nil"/>
              <w:left w:val="nil"/>
              <w:bottom w:val="single" w:sz="4" w:space="0" w:color="auto"/>
              <w:right w:val="single" w:sz="4" w:space="0" w:color="auto"/>
            </w:tcBorders>
            <w:shd w:val="clear" w:color="auto" w:fill="FFFFFF" w:themeFill="background1"/>
          </w:tcPr>
          <w:p w14:paraId="6F1EEEEE"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424 (40%)</w:t>
            </w:r>
          </w:p>
        </w:tc>
        <w:tc>
          <w:tcPr>
            <w:tcW w:w="850" w:type="dxa"/>
            <w:tcBorders>
              <w:top w:val="nil"/>
              <w:left w:val="nil"/>
              <w:bottom w:val="single" w:sz="4" w:space="0" w:color="auto"/>
              <w:right w:val="single" w:sz="4" w:space="0" w:color="auto"/>
            </w:tcBorders>
            <w:shd w:val="clear" w:color="auto" w:fill="FFFFFF" w:themeFill="background1"/>
          </w:tcPr>
          <w:p w14:paraId="10C112A8"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2,929 (53%)</w:t>
            </w:r>
          </w:p>
        </w:tc>
        <w:tc>
          <w:tcPr>
            <w:tcW w:w="851" w:type="dxa"/>
            <w:tcBorders>
              <w:top w:val="nil"/>
              <w:left w:val="nil"/>
              <w:bottom w:val="single" w:sz="4" w:space="0" w:color="auto"/>
              <w:right w:val="single" w:sz="4" w:space="0" w:color="auto"/>
            </w:tcBorders>
            <w:shd w:val="clear" w:color="auto" w:fill="FFFFFF" w:themeFill="background1"/>
          </w:tcPr>
          <w:p w14:paraId="59F5639D"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1,112 (61%)</w:t>
            </w:r>
          </w:p>
        </w:tc>
        <w:tc>
          <w:tcPr>
            <w:tcW w:w="850" w:type="dxa"/>
            <w:tcBorders>
              <w:top w:val="nil"/>
              <w:left w:val="nil"/>
              <w:bottom w:val="single" w:sz="4" w:space="0" w:color="auto"/>
              <w:right w:val="single" w:sz="4" w:space="0" w:color="auto"/>
            </w:tcBorders>
            <w:shd w:val="clear" w:color="auto" w:fill="FFFFFF" w:themeFill="background1"/>
          </w:tcPr>
          <w:p w14:paraId="35FB5ACC"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946 (47%)</w:t>
            </w:r>
          </w:p>
        </w:tc>
        <w:tc>
          <w:tcPr>
            <w:tcW w:w="851" w:type="dxa"/>
            <w:tcBorders>
              <w:top w:val="nil"/>
              <w:left w:val="nil"/>
              <w:bottom w:val="single" w:sz="4" w:space="0" w:color="auto"/>
              <w:right w:val="single" w:sz="4" w:space="0" w:color="auto"/>
            </w:tcBorders>
            <w:shd w:val="clear" w:color="auto" w:fill="FFFFFF" w:themeFill="background1"/>
          </w:tcPr>
          <w:p w14:paraId="06D71902"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491 (68%)</w:t>
            </w:r>
          </w:p>
        </w:tc>
      </w:tr>
      <w:tr w:rsidR="006605A3" w:rsidRPr="00F321F2" w14:paraId="35C28988"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2EFD2AE2"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Not sure</w:t>
            </w:r>
          </w:p>
        </w:tc>
        <w:tc>
          <w:tcPr>
            <w:tcW w:w="850" w:type="dxa"/>
            <w:tcBorders>
              <w:top w:val="nil"/>
              <w:left w:val="nil"/>
              <w:bottom w:val="single" w:sz="4" w:space="0" w:color="auto"/>
              <w:right w:val="single" w:sz="4" w:space="0" w:color="auto"/>
            </w:tcBorders>
            <w:shd w:val="clear" w:color="auto" w:fill="FFFFFF" w:themeFill="background1"/>
            <w:noWrap/>
            <w:hideMark/>
          </w:tcPr>
          <w:p w14:paraId="4162FBF7"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141 (5.2%)</w:t>
            </w:r>
          </w:p>
        </w:tc>
        <w:tc>
          <w:tcPr>
            <w:tcW w:w="851" w:type="dxa"/>
            <w:tcBorders>
              <w:top w:val="nil"/>
              <w:left w:val="nil"/>
              <w:bottom w:val="single" w:sz="4" w:space="0" w:color="auto"/>
              <w:right w:val="single" w:sz="4" w:space="0" w:color="auto"/>
            </w:tcBorders>
            <w:shd w:val="clear" w:color="auto" w:fill="FFFFFF" w:themeFill="background1"/>
          </w:tcPr>
          <w:p w14:paraId="0D6900BC"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198 (4.3%)</w:t>
            </w:r>
          </w:p>
        </w:tc>
        <w:tc>
          <w:tcPr>
            <w:tcW w:w="850" w:type="dxa"/>
            <w:tcBorders>
              <w:top w:val="nil"/>
              <w:left w:val="nil"/>
              <w:bottom w:val="single" w:sz="4" w:space="0" w:color="auto"/>
              <w:right w:val="single" w:sz="4" w:space="0" w:color="auto"/>
            </w:tcBorders>
            <w:shd w:val="clear" w:color="auto" w:fill="FFFFFF" w:themeFill="background1"/>
          </w:tcPr>
          <w:p w14:paraId="104DE326"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268 (4.3%)</w:t>
            </w:r>
          </w:p>
        </w:tc>
        <w:tc>
          <w:tcPr>
            <w:tcW w:w="709" w:type="dxa"/>
            <w:tcBorders>
              <w:top w:val="nil"/>
              <w:left w:val="nil"/>
              <w:bottom w:val="single" w:sz="4" w:space="0" w:color="auto"/>
              <w:right w:val="single" w:sz="4" w:space="0" w:color="auto"/>
            </w:tcBorders>
            <w:shd w:val="clear" w:color="auto" w:fill="FFFFFF" w:themeFill="background1"/>
          </w:tcPr>
          <w:p w14:paraId="170FDAC9"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71 (6.7%)</w:t>
            </w:r>
          </w:p>
        </w:tc>
        <w:tc>
          <w:tcPr>
            <w:tcW w:w="850" w:type="dxa"/>
            <w:tcBorders>
              <w:top w:val="nil"/>
              <w:left w:val="nil"/>
              <w:bottom w:val="single" w:sz="4" w:space="0" w:color="auto"/>
              <w:right w:val="single" w:sz="4" w:space="0" w:color="auto"/>
            </w:tcBorders>
            <w:shd w:val="clear" w:color="auto" w:fill="FFFFFF" w:themeFill="background1"/>
          </w:tcPr>
          <w:p w14:paraId="56490A6A"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260 (4.7%)</w:t>
            </w:r>
          </w:p>
        </w:tc>
        <w:tc>
          <w:tcPr>
            <w:tcW w:w="851" w:type="dxa"/>
            <w:tcBorders>
              <w:top w:val="nil"/>
              <w:left w:val="nil"/>
              <w:bottom w:val="single" w:sz="4" w:space="0" w:color="auto"/>
              <w:right w:val="single" w:sz="4" w:space="0" w:color="auto"/>
            </w:tcBorders>
            <w:shd w:val="clear" w:color="auto" w:fill="FFFFFF" w:themeFill="background1"/>
          </w:tcPr>
          <w:p w14:paraId="4B216397"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79 (4.3%)</w:t>
            </w:r>
          </w:p>
        </w:tc>
        <w:tc>
          <w:tcPr>
            <w:tcW w:w="850" w:type="dxa"/>
            <w:tcBorders>
              <w:top w:val="nil"/>
              <w:left w:val="nil"/>
              <w:bottom w:val="single" w:sz="4" w:space="0" w:color="auto"/>
              <w:right w:val="single" w:sz="4" w:space="0" w:color="auto"/>
            </w:tcBorders>
            <w:shd w:val="clear" w:color="auto" w:fill="FFFFFF" w:themeFill="background1"/>
          </w:tcPr>
          <w:p w14:paraId="5AF684F3"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91 (4.5%)</w:t>
            </w:r>
          </w:p>
        </w:tc>
        <w:tc>
          <w:tcPr>
            <w:tcW w:w="851" w:type="dxa"/>
            <w:tcBorders>
              <w:top w:val="nil"/>
              <w:left w:val="nil"/>
              <w:bottom w:val="single" w:sz="4" w:space="0" w:color="auto"/>
              <w:right w:val="single" w:sz="4" w:space="0" w:color="auto"/>
            </w:tcBorders>
            <w:shd w:val="clear" w:color="auto" w:fill="FFFFFF" w:themeFill="background1"/>
          </w:tcPr>
          <w:p w14:paraId="3E574A19"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21 (2.9%)</w:t>
            </w:r>
          </w:p>
        </w:tc>
      </w:tr>
      <w:tr w:rsidR="006605A3" w:rsidRPr="00F321F2" w14:paraId="2A34F540"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03230831"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No</w:t>
            </w:r>
          </w:p>
        </w:tc>
        <w:tc>
          <w:tcPr>
            <w:tcW w:w="850" w:type="dxa"/>
            <w:tcBorders>
              <w:top w:val="nil"/>
              <w:left w:val="nil"/>
              <w:bottom w:val="single" w:sz="4" w:space="0" w:color="auto"/>
              <w:right w:val="single" w:sz="4" w:space="0" w:color="auto"/>
            </w:tcBorders>
            <w:shd w:val="clear" w:color="auto" w:fill="FFFFFF" w:themeFill="background1"/>
            <w:noWrap/>
            <w:hideMark/>
          </w:tcPr>
          <w:p w14:paraId="71FDF4D9"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1,418 (52%)</w:t>
            </w:r>
          </w:p>
        </w:tc>
        <w:tc>
          <w:tcPr>
            <w:tcW w:w="851" w:type="dxa"/>
            <w:tcBorders>
              <w:top w:val="nil"/>
              <w:left w:val="nil"/>
              <w:bottom w:val="single" w:sz="4" w:space="0" w:color="auto"/>
              <w:right w:val="single" w:sz="4" w:space="0" w:color="auto"/>
            </w:tcBorders>
            <w:shd w:val="clear" w:color="auto" w:fill="FFFFFF" w:themeFill="background1"/>
          </w:tcPr>
          <w:p w14:paraId="36A719C1"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1,539 (33%)</w:t>
            </w:r>
          </w:p>
        </w:tc>
        <w:tc>
          <w:tcPr>
            <w:tcW w:w="850" w:type="dxa"/>
            <w:tcBorders>
              <w:top w:val="nil"/>
              <w:left w:val="nil"/>
              <w:bottom w:val="single" w:sz="4" w:space="0" w:color="auto"/>
              <w:right w:val="single" w:sz="4" w:space="0" w:color="auto"/>
            </w:tcBorders>
            <w:shd w:val="clear" w:color="auto" w:fill="FFFFFF" w:themeFill="background1"/>
          </w:tcPr>
          <w:p w14:paraId="4393C154"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2,389 (38%)</w:t>
            </w:r>
          </w:p>
        </w:tc>
        <w:tc>
          <w:tcPr>
            <w:tcW w:w="709" w:type="dxa"/>
            <w:tcBorders>
              <w:top w:val="nil"/>
              <w:left w:val="nil"/>
              <w:bottom w:val="single" w:sz="4" w:space="0" w:color="auto"/>
              <w:right w:val="single" w:sz="4" w:space="0" w:color="auto"/>
            </w:tcBorders>
            <w:shd w:val="clear" w:color="auto" w:fill="FFFFFF" w:themeFill="background1"/>
          </w:tcPr>
          <w:p w14:paraId="166C808B"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568 (53%)</w:t>
            </w:r>
          </w:p>
        </w:tc>
        <w:tc>
          <w:tcPr>
            <w:tcW w:w="850" w:type="dxa"/>
            <w:tcBorders>
              <w:top w:val="nil"/>
              <w:left w:val="nil"/>
              <w:bottom w:val="single" w:sz="4" w:space="0" w:color="auto"/>
              <w:right w:val="single" w:sz="4" w:space="0" w:color="auto"/>
            </w:tcBorders>
            <w:shd w:val="clear" w:color="auto" w:fill="FFFFFF" w:themeFill="background1"/>
          </w:tcPr>
          <w:p w14:paraId="5B8C23D8"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2,321 (42%)</w:t>
            </w:r>
          </w:p>
        </w:tc>
        <w:tc>
          <w:tcPr>
            <w:tcW w:w="851" w:type="dxa"/>
            <w:tcBorders>
              <w:top w:val="nil"/>
              <w:left w:val="nil"/>
              <w:bottom w:val="single" w:sz="4" w:space="0" w:color="auto"/>
              <w:right w:val="single" w:sz="4" w:space="0" w:color="auto"/>
            </w:tcBorders>
            <w:shd w:val="clear" w:color="auto" w:fill="FFFFFF" w:themeFill="background1"/>
          </w:tcPr>
          <w:p w14:paraId="2A47FD05"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636 (35%)</w:t>
            </w:r>
          </w:p>
        </w:tc>
        <w:tc>
          <w:tcPr>
            <w:tcW w:w="850" w:type="dxa"/>
            <w:tcBorders>
              <w:top w:val="nil"/>
              <w:left w:val="nil"/>
              <w:bottom w:val="single" w:sz="4" w:space="0" w:color="auto"/>
              <w:right w:val="single" w:sz="4" w:space="0" w:color="auto"/>
            </w:tcBorders>
            <w:shd w:val="clear" w:color="auto" w:fill="FFFFFF" w:themeFill="background1"/>
          </w:tcPr>
          <w:p w14:paraId="26C283B5"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966 (48%)</w:t>
            </w:r>
          </w:p>
        </w:tc>
        <w:tc>
          <w:tcPr>
            <w:tcW w:w="851" w:type="dxa"/>
            <w:tcBorders>
              <w:top w:val="nil"/>
              <w:left w:val="nil"/>
              <w:bottom w:val="single" w:sz="4" w:space="0" w:color="auto"/>
              <w:right w:val="single" w:sz="4" w:space="0" w:color="auto"/>
            </w:tcBorders>
            <w:shd w:val="clear" w:color="auto" w:fill="FFFFFF" w:themeFill="background1"/>
          </w:tcPr>
          <w:p w14:paraId="0F4376E5"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209 (29%)</w:t>
            </w:r>
          </w:p>
        </w:tc>
      </w:tr>
      <w:tr w:rsidR="006605A3" w:rsidRPr="00F321F2" w14:paraId="0329F33B" w14:textId="77777777" w:rsidTr="00F0396A">
        <w:trPr>
          <w:trHeight w:hRule="exact" w:val="198"/>
        </w:trPr>
        <w:tc>
          <w:tcPr>
            <w:tcW w:w="9351" w:type="dxa"/>
            <w:gridSpan w:val="9"/>
            <w:tcBorders>
              <w:top w:val="nil"/>
              <w:left w:val="single" w:sz="4" w:space="0" w:color="auto"/>
              <w:bottom w:val="single" w:sz="4" w:space="0" w:color="auto"/>
              <w:right w:val="single" w:sz="4" w:space="0" w:color="auto"/>
            </w:tcBorders>
            <w:shd w:val="clear" w:color="auto" w:fill="FFFFFF" w:themeFill="background1"/>
            <w:noWrap/>
            <w:vAlign w:val="center"/>
            <w:hideMark/>
          </w:tcPr>
          <w:p w14:paraId="4CB16BB8" w14:textId="77777777" w:rsidR="006605A3" w:rsidRPr="00F0396A" w:rsidRDefault="006605A3" w:rsidP="00F0396A">
            <w:pPr>
              <w:spacing w:after="0" w:line="240" w:lineRule="auto"/>
              <w:rPr>
                <w:rFonts w:ascii="Calibri" w:eastAsia="Times New Roman" w:hAnsi="Calibri" w:cs="Calibri"/>
                <w:b/>
                <w:bCs/>
                <w:color w:val="000000"/>
                <w:sz w:val="11"/>
                <w:szCs w:val="11"/>
                <w:lang w:eastAsia="en-GB"/>
              </w:rPr>
            </w:pPr>
            <w:r w:rsidRPr="00F0396A">
              <w:rPr>
                <w:rFonts w:ascii="Calibri" w:eastAsia="Times New Roman" w:hAnsi="Calibri" w:cs="Calibri"/>
                <w:b/>
                <w:bCs/>
                <w:color w:val="000000"/>
                <w:sz w:val="11"/>
                <w:szCs w:val="11"/>
                <w:lang w:eastAsia="en-GB"/>
              </w:rPr>
              <w:t>3e.</w:t>
            </w:r>
            <w:r>
              <w:rPr>
                <w:rFonts w:ascii="Calibri" w:eastAsia="Times New Roman" w:hAnsi="Calibri" w:cs="Calibri"/>
                <w:b/>
                <w:bCs/>
                <w:color w:val="000000"/>
                <w:sz w:val="11"/>
                <w:szCs w:val="11"/>
                <w:lang w:eastAsia="en-GB"/>
              </w:rPr>
              <w:t xml:space="preserve">  </w:t>
            </w:r>
            <w:r w:rsidRPr="00F0396A">
              <w:rPr>
                <w:rFonts w:ascii="Calibri" w:eastAsia="Times New Roman" w:hAnsi="Calibri" w:cs="Calibri"/>
                <w:b/>
                <w:bCs/>
                <w:color w:val="000000"/>
                <w:sz w:val="11"/>
                <w:szCs w:val="11"/>
                <w:lang w:eastAsia="en-GB"/>
              </w:rPr>
              <w:t>Feel anxious or depressed because of your IBD?</w:t>
            </w:r>
          </w:p>
          <w:p w14:paraId="4D7E5905" w14:textId="77777777" w:rsidR="006605A3" w:rsidRPr="00F0396A" w:rsidRDefault="006605A3" w:rsidP="00F0396A">
            <w:pPr>
              <w:spacing w:after="0" w:line="240" w:lineRule="auto"/>
              <w:jc w:val="right"/>
              <w:rPr>
                <w:rFonts w:ascii="Calibri" w:eastAsia="Times New Roman" w:hAnsi="Calibri" w:cs="Calibri"/>
                <w:b/>
                <w:bCs/>
                <w:color w:val="000000"/>
                <w:sz w:val="13"/>
                <w:szCs w:val="13"/>
                <w:lang w:eastAsia="en-GB"/>
              </w:rPr>
            </w:pPr>
            <w:r w:rsidRPr="00F0396A">
              <w:rPr>
                <w:rFonts w:ascii="Calibri" w:eastAsia="Times New Roman" w:hAnsi="Calibri" w:cs="Calibri"/>
                <w:b/>
                <w:bCs/>
                <w:color w:val="000000"/>
                <w:sz w:val="13"/>
                <w:szCs w:val="13"/>
                <w:lang w:eastAsia="en-GB"/>
              </w:rPr>
              <w:t> </w:t>
            </w:r>
          </w:p>
        </w:tc>
      </w:tr>
      <w:tr w:rsidR="006605A3" w:rsidRPr="00F321F2" w14:paraId="6837E76E"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7B64CCD0"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Yes</w:t>
            </w:r>
          </w:p>
        </w:tc>
        <w:tc>
          <w:tcPr>
            <w:tcW w:w="850" w:type="dxa"/>
            <w:tcBorders>
              <w:top w:val="nil"/>
              <w:left w:val="nil"/>
              <w:bottom w:val="single" w:sz="4" w:space="0" w:color="auto"/>
              <w:right w:val="single" w:sz="4" w:space="0" w:color="auto"/>
            </w:tcBorders>
            <w:shd w:val="clear" w:color="auto" w:fill="FFFFFF" w:themeFill="background1"/>
            <w:noWrap/>
            <w:hideMark/>
          </w:tcPr>
          <w:p w14:paraId="6512321C"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665 (24%)</w:t>
            </w:r>
          </w:p>
        </w:tc>
        <w:tc>
          <w:tcPr>
            <w:tcW w:w="851" w:type="dxa"/>
            <w:tcBorders>
              <w:top w:val="nil"/>
              <w:left w:val="nil"/>
              <w:bottom w:val="single" w:sz="4" w:space="0" w:color="auto"/>
              <w:right w:val="single" w:sz="4" w:space="0" w:color="auto"/>
            </w:tcBorders>
            <w:shd w:val="clear" w:color="auto" w:fill="FFFFFF" w:themeFill="background1"/>
          </w:tcPr>
          <w:p w14:paraId="06195855"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1,574 (34%)</w:t>
            </w:r>
          </w:p>
        </w:tc>
        <w:tc>
          <w:tcPr>
            <w:tcW w:w="850" w:type="dxa"/>
            <w:tcBorders>
              <w:top w:val="nil"/>
              <w:left w:val="nil"/>
              <w:bottom w:val="single" w:sz="4" w:space="0" w:color="auto"/>
              <w:right w:val="single" w:sz="4" w:space="0" w:color="auto"/>
            </w:tcBorders>
            <w:shd w:val="clear" w:color="auto" w:fill="FFFFFF" w:themeFill="background1"/>
          </w:tcPr>
          <w:p w14:paraId="155E6789"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2,025 (32%)</w:t>
            </w:r>
          </w:p>
        </w:tc>
        <w:tc>
          <w:tcPr>
            <w:tcW w:w="709" w:type="dxa"/>
            <w:tcBorders>
              <w:top w:val="nil"/>
              <w:left w:val="nil"/>
              <w:bottom w:val="single" w:sz="4" w:space="0" w:color="auto"/>
              <w:right w:val="single" w:sz="4" w:space="0" w:color="auto"/>
            </w:tcBorders>
            <w:shd w:val="clear" w:color="auto" w:fill="FFFFFF" w:themeFill="background1"/>
          </w:tcPr>
          <w:p w14:paraId="61B69E27"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214 (20%)</w:t>
            </w:r>
          </w:p>
        </w:tc>
        <w:tc>
          <w:tcPr>
            <w:tcW w:w="850" w:type="dxa"/>
            <w:tcBorders>
              <w:top w:val="nil"/>
              <w:left w:val="nil"/>
              <w:bottom w:val="single" w:sz="4" w:space="0" w:color="auto"/>
              <w:right w:val="single" w:sz="4" w:space="0" w:color="auto"/>
            </w:tcBorders>
            <w:shd w:val="clear" w:color="auto" w:fill="FFFFFF" w:themeFill="background1"/>
          </w:tcPr>
          <w:p w14:paraId="35DE1E87"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1,627 (30%)</w:t>
            </w:r>
          </w:p>
        </w:tc>
        <w:tc>
          <w:tcPr>
            <w:tcW w:w="851" w:type="dxa"/>
            <w:tcBorders>
              <w:top w:val="nil"/>
              <w:left w:val="nil"/>
              <w:bottom w:val="single" w:sz="4" w:space="0" w:color="auto"/>
              <w:right w:val="single" w:sz="4" w:space="0" w:color="auto"/>
            </w:tcBorders>
            <w:shd w:val="clear" w:color="auto" w:fill="FFFFFF" w:themeFill="background1"/>
          </w:tcPr>
          <w:p w14:paraId="2545EB26"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612 (33%)</w:t>
            </w:r>
          </w:p>
        </w:tc>
        <w:tc>
          <w:tcPr>
            <w:tcW w:w="850" w:type="dxa"/>
            <w:tcBorders>
              <w:top w:val="nil"/>
              <w:left w:val="nil"/>
              <w:bottom w:val="single" w:sz="4" w:space="0" w:color="auto"/>
              <w:right w:val="single" w:sz="4" w:space="0" w:color="auto"/>
            </w:tcBorders>
            <w:shd w:val="clear" w:color="auto" w:fill="FFFFFF" w:themeFill="background1"/>
          </w:tcPr>
          <w:p w14:paraId="065ADCF0"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493 (25%)</w:t>
            </w:r>
          </w:p>
        </w:tc>
        <w:tc>
          <w:tcPr>
            <w:tcW w:w="851" w:type="dxa"/>
            <w:tcBorders>
              <w:top w:val="nil"/>
              <w:left w:val="nil"/>
              <w:bottom w:val="single" w:sz="4" w:space="0" w:color="auto"/>
              <w:right w:val="single" w:sz="4" w:space="0" w:color="auto"/>
            </w:tcBorders>
            <w:shd w:val="clear" w:color="auto" w:fill="FFFFFF" w:themeFill="background1"/>
          </w:tcPr>
          <w:p w14:paraId="66DA8547"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301 (42%)</w:t>
            </w:r>
          </w:p>
        </w:tc>
      </w:tr>
      <w:tr w:rsidR="006605A3" w:rsidRPr="00F321F2" w14:paraId="4244A60E"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43B663B7"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Not sure</w:t>
            </w:r>
          </w:p>
        </w:tc>
        <w:tc>
          <w:tcPr>
            <w:tcW w:w="850" w:type="dxa"/>
            <w:tcBorders>
              <w:top w:val="nil"/>
              <w:left w:val="nil"/>
              <w:bottom w:val="single" w:sz="4" w:space="0" w:color="auto"/>
              <w:right w:val="single" w:sz="4" w:space="0" w:color="auto"/>
            </w:tcBorders>
            <w:shd w:val="clear" w:color="auto" w:fill="FFFFFF" w:themeFill="background1"/>
            <w:noWrap/>
            <w:hideMark/>
          </w:tcPr>
          <w:p w14:paraId="471C4DE1"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176 (6.4%)</w:t>
            </w:r>
          </w:p>
        </w:tc>
        <w:tc>
          <w:tcPr>
            <w:tcW w:w="851" w:type="dxa"/>
            <w:tcBorders>
              <w:top w:val="nil"/>
              <w:left w:val="nil"/>
              <w:bottom w:val="single" w:sz="4" w:space="0" w:color="auto"/>
              <w:right w:val="single" w:sz="4" w:space="0" w:color="auto"/>
            </w:tcBorders>
            <w:shd w:val="clear" w:color="auto" w:fill="FFFFFF" w:themeFill="background1"/>
          </w:tcPr>
          <w:p w14:paraId="23E487E2"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289 (6.3%)</w:t>
            </w:r>
          </w:p>
        </w:tc>
        <w:tc>
          <w:tcPr>
            <w:tcW w:w="850" w:type="dxa"/>
            <w:tcBorders>
              <w:top w:val="nil"/>
              <w:left w:val="nil"/>
              <w:bottom w:val="single" w:sz="4" w:space="0" w:color="auto"/>
              <w:right w:val="single" w:sz="4" w:space="0" w:color="auto"/>
            </w:tcBorders>
            <w:shd w:val="clear" w:color="auto" w:fill="FFFFFF" w:themeFill="background1"/>
          </w:tcPr>
          <w:p w14:paraId="113DA619"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393 (6.3%)</w:t>
            </w:r>
          </w:p>
        </w:tc>
        <w:tc>
          <w:tcPr>
            <w:tcW w:w="709" w:type="dxa"/>
            <w:tcBorders>
              <w:top w:val="nil"/>
              <w:left w:val="nil"/>
              <w:bottom w:val="single" w:sz="4" w:space="0" w:color="auto"/>
              <w:right w:val="single" w:sz="4" w:space="0" w:color="auto"/>
            </w:tcBorders>
            <w:shd w:val="clear" w:color="auto" w:fill="FFFFFF" w:themeFill="background1"/>
          </w:tcPr>
          <w:p w14:paraId="0519BB04"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72 (6.8%)</w:t>
            </w:r>
          </w:p>
        </w:tc>
        <w:tc>
          <w:tcPr>
            <w:tcW w:w="850" w:type="dxa"/>
            <w:tcBorders>
              <w:top w:val="nil"/>
              <w:left w:val="nil"/>
              <w:bottom w:val="single" w:sz="4" w:space="0" w:color="auto"/>
              <w:right w:val="single" w:sz="4" w:space="0" w:color="auto"/>
            </w:tcBorders>
            <w:shd w:val="clear" w:color="auto" w:fill="FFFFFF" w:themeFill="background1"/>
          </w:tcPr>
          <w:p w14:paraId="47284931"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341 (6.2%)</w:t>
            </w:r>
          </w:p>
        </w:tc>
        <w:tc>
          <w:tcPr>
            <w:tcW w:w="851" w:type="dxa"/>
            <w:tcBorders>
              <w:top w:val="nil"/>
              <w:left w:val="nil"/>
              <w:bottom w:val="single" w:sz="4" w:space="0" w:color="auto"/>
              <w:right w:val="single" w:sz="4" w:space="0" w:color="auto"/>
            </w:tcBorders>
            <w:shd w:val="clear" w:color="auto" w:fill="FFFFFF" w:themeFill="background1"/>
          </w:tcPr>
          <w:p w14:paraId="6F8CB43D"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124 (6.8%)</w:t>
            </w:r>
          </w:p>
        </w:tc>
        <w:tc>
          <w:tcPr>
            <w:tcW w:w="850" w:type="dxa"/>
            <w:tcBorders>
              <w:top w:val="nil"/>
              <w:left w:val="nil"/>
              <w:bottom w:val="single" w:sz="4" w:space="0" w:color="auto"/>
              <w:right w:val="single" w:sz="4" w:space="0" w:color="auto"/>
            </w:tcBorders>
            <w:shd w:val="clear" w:color="auto" w:fill="FFFFFF" w:themeFill="background1"/>
          </w:tcPr>
          <w:p w14:paraId="03EB8764"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107 (5.3%)</w:t>
            </w:r>
          </w:p>
        </w:tc>
        <w:tc>
          <w:tcPr>
            <w:tcW w:w="851" w:type="dxa"/>
            <w:tcBorders>
              <w:top w:val="nil"/>
              <w:left w:val="nil"/>
              <w:bottom w:val="single" w:sz="4" w:space="0" w:color="auto"/>
              <w:right w:val="single" w:sz="4" w:space="0" w:color="auto"/>
            </w:tcBorders>
            <w:shd w:val="clear" w:color="auto" w:fill="FFFFFF" w:themeFill="background1"/>
          </w:tcPr>
          <w:p w14:paraId="7DB5CB49"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58 (8.0%)</w:t>
            </w:r>
          </w:p>
        </w:tc>
      </w:tr>
      <w:tr w:rsidR="006605A3" w:rsidRPr="00F321F2" w14:paraId="594BB7DF"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5EA34EB6"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No</w:t>
            </w:r>
          </w:p>
        </w:tc>
        <w:tc>
          <w:tcPr>
            <w:tcW w:w="850" w:type="dxa"/>
            <w:tcBorders>
              <w:top w:val="nil"/>
              <w:left w:val="nil"/>
              <w:bottom w:val="single" w:sz="4" w:space="0" w:color="auto"/>
              <w:right w:val="single" w:sz="4" w:space="0" w:color="auto"/>
            </w:tcBorders>
            <w:shd w:val="clear" w:color="auto" w:fill="FFFFFF" w:themeFill="background1"/>
            <w:noWrap/>
            <w:hideMark/>
          </w:tcPr>
          <w:p w14:paraId="3A0F7DF9"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1,888 (69%)</w:t>
            </w:r>
          </w:p>
        </w:tc>
        <w:tc>
          <w:tcPr>
            <w:tcW w:w="851" w:type="dxa"/>
            <w:tcBorders>
              <w:top w:val="nil"/>
              <w:left w:val="nil"/>
              <w:bottom w:val="single" w:sz="4" w:space="0" w:color="auto"/>
              <w:right w:val="single" w:sz="4" w:space="0" w:color="auto"/>
            </w:tcBorders>
            <w:shd w:val="clear" w:color="auto" w:fill="FFFFFF" w:themeFill="background1"/>
          </w:tcPr>
          <w:p w14:paraId="7F609BD6"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2,745 (60%)</w:t>
            </w:r>
          </w:p>
        </w:tc>
        <w:tc>
          <w:tcPr>
            <w:tcW w:w="850" w:type="dxa"/>
            <w:tcBorders>
              <w:top w:val="nil"/>
              <w:left w:val="nil"/>
              <w:bottom w:val="single" w:sz="4" w:space="0" w:color="auto"/>
              <w:right w:val="single" w:sz="4" w:space="0" w:color="auto"/>
            </w:tcBorders>
            <w:shd w:val="clear" w:color="auto" w:fill="FFFFFF" w:themeFill="background1"/>
          </w:tcPr>
          <w:p w14:paraId="38474D8A"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3,856 (61%)</w:t>
            </w:r>
          </w:p>
        </w:tc>
        <w:tc>
          <w:tcPr>
            <w:tcW w:w="709" w:type="dxa"/>
            <w:tcBorders>
              <w:top w:val="nil"/>
              <w:left w:val="nil"/>
              <w:bottom w:val="single" w:sz="4" w:space="0" w:color="auto"/>
              <w:right w:val="single" w:sz="4" w:space="0" w:color="auto"/>
            </w:tcBorders>
            <w:shd w:val="clear" w:color="auto" w:fill="FFFFFF" w:themeFill="background1"/>
          </w:tcPr>
          <w:p w14:paraId="22767715"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777 (73%)</w:t>
            </w:r>
          </w:p>
        </w:tc>
        <w:tc>
          <w:tcPr>
            <w:tcW w:w="850" w:type="dxa"/>
            <w:tcBorders>
              <w:top w:val="nil"/>
              <w:left w:val="nil"/>
              <w:bottom w:val="single" w:sz="4" w:space="0" w:color="auto"/>
              <w:right w:val="single" w:sz="4" w:space="0" w:color="auto"/>
            </w:tcBorders>
            <w:shd w:val="clear" w:color="auto" w:fill="FFFFFF" w:themeFill="background1"/>
          </w:tcPr>
          <w:p w14:paraId="35C33333"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3,542 (64%)</w:t>
            </w:r>
          </w:p>
        </w:tc>
        <w:tc>
          <w:tcPr>
            <w:tcW w:w="851" w:type="dxa"/>
            <w:tcBorders>
              <w:top w:val="nil"/>
              <w:left w:val="nil"/>
              <w:bottom w:val="single" w:sz="4" w:space="0" w:color="auto"/>
              <w:right w:val="single" w:sz="4" w:space="0" w:color="auto"/>
            </w:tcBorders>
            <w:shd w:val="clear" w:color="auto" w:fill="FFFFFF" w:themeFill="background1"/>
          </w:tcPr>
          <w:p w14:paraId="1C900BD0"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1,091 (60%)</w:t>
            </w:r>
          </w:p>
        </w:tc>
        <w:tc>
          <w:tcPr>
            <w:tcW w:w="850" w:type="dxa"/>
            <w:tcBorders>
              <w:top w:val="nil"/>
              <w:left w:val="nil"/>
              <w:bottom w:val="single" w:sz="4" w:space="0" w:color="auto"/>
              <w:right w:val="single" w:sz="4" w:space="0" w:color="auto"/>
            </w:tcBorders>
            <w:shd w:val="clear" w:color="auto" w:fill="FFFFFF" w:themeFill="background1"/>
          </w:tcPr>
          <w:p w14:paraId="5D21EDB2"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1,403 (70%)</w:t>
            </w:r>
          </w:p>
        </w:tc>
        <w:tc>
          <w:tcPr>
            <w:tcW w:w="851" w:type="dxa"/>
            <w:tcBorders>
              <w:top w:val="nil"/>
              <w:left w:val="nil"/>
              <w:bottom w:val="single" w:sz="4" w:space="0" w:color="auto"/>
              <w:right w:val="single" w:sz="4" w:space="0" w:color="auto"/>
            </w:tcBorders>
            <w:shd w:val="clear" w:color="auto" w:fill="FFFFFF" w:themeFill="background1"/>
          </w:tcPr>
          <w:p w14:paraId="79A8BC46"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362 (50%)</w:t>
            </w:r>
          </w:p>
        </w:tc>
      </w:tr>
      <w:tr w:rsidR="006605A3" w:rsidRPr="00F321F2" w14:paraId="619B4F7D" w14:textId="77777777" w:rsidTr="00F0396A">
        <w:trPr>
          <w:trHeight w:hRule="exact" w:val="198"/>
        </w:trPr>
        <w:tc>
          <w:tcPr>
            <w:tcW w:w="9351" w:type="dxa"/>
            <w:gridSpan w:val="9"/>
            <w:tcBorders>
              <w:top w:val="nil"/>
              <w:left w:val="single" w:sz="4" w:space="0" w:color="auto"/>
              <w:bottom w:val="single" w:sz="4" w:space="0" w:color="auto"/>
              <w:right w:val="single" w:sz="4" w:space="0" w:color="auto"/>
            </w:tcBorders>
            <w:shd w:val="clear" w:color="auto" w:fill="FFFFFF" w:themeFill="background1"/>
            <w:noWrap/>
            <w:vAlign w:val="center"/>
            <w:hideMark/>
          </w:tcPr>
          <w:p w14:paraId="48D9DC53" w14:textId="77777777" w:rsidR="006605A3" w:rsidRPr="00F0396A" w:rsidRDefault="006605A3" w:rsidP="00F0396A">
            <w:pPr>
              <w:spacing w:after="0" w:line="240" w:lineRule="auto"/>
              <w:rPr>
                <w:rFonts w:ascii="Calibri" w:eastAsia="Times New Roman" w:hAnsi="Calibri" w:cs="Calibri"/>
                <w:b/>
                <w:bCs/>
                <w:color w:val="000000"/>
                <w:sz w:val="11"/>
                <w:szCs w:val="11"/>
                <w:lang w:eastAsia="en-GB"/>
              </w:rPr>
            </w:pPr>
            <w:r w:rsidRPr="00F0396A">
              <w:rPr>
                <w:rFonts w:ascii="Calibri" w:eastAsia="Times New Roman" w:hAnsi="Calibri" w:cs="Calibri"/>
                <w:b/>
                <w:bCs/>
                <w:color w:val="000000"/>
                <w:sz w:val="11"/>
                <w:szCs w:val="11"/>
                <w:lang w:eastAsia="en-GB"/>
              </w:rPr>
              <w:t>3f.</w:t>
            </w:r>
            <w:r>
              <w:rPr>
                <w:rFonts w:ascii="Calibri" w:eastAsia="Times New Roman" w:hAnsi="Calibri" w:cs="Calibri"/>
                <w:b/>
                <w:bCs/>
                <w:color w:val="000000"/>
                <w:sz w:val="11"/>
                <w:szCs w:val="11"/>
                <w:lang w:eastAsia="en-GB"/>
              </w:rPr>
              <w:t xml:space="preserve">  </w:t>
            </w:r>
            <w:r w:rsidRPr="00F0396A">
              <w:rPr>
                <w:rFonts w:ascii="Calibri" w:eastAsia="Times New Roman" w:hAnsi="Calibri" w:cs="Calibri"/>
                <w:b/>
                <w:bCs/>
                <w:color w:val="000000"/>
                <w:sz w:val="11"/>
                <w:szCs w:val="11"/>
                <w:lang w:eastAsia="en-GB"/>
              </w:rPr>
              <w:t>Think you needed a change to your treatment?</w:t>
            </w:r>
          </w:p>
          <w:p w14:paraId="68E62EB9" w14:textId="77777777" w:rsidR="006605A3" w:rsidRPr="00F0396A" w:rsidRDefault="006605A3" w:rsidP="00F0396A">
            <w:pPr>
              <w:spacing w:after="0" w:line="240" w:lineRule="auto"/>
              <w:jc w:val="right"/>
              <w:rPr>
                <w:rFonts w:ascii="Calibri" w:eastAsia="Times New Roman" w:hAnsi="Calibri" w:cs="Calibri"/>
                <w:b/>
                <w:bCs/>
                <w:color w:val="000000"/>
                <w:sz w:val="13"/>
                <w:szCs w:val="13"/>
                <w:lang w:eastAsia="en-GB"/>
              </w:rPr>
            </w:pPr>
            <w:r w:rsidRPr="00F0396A">
              <w:rPr>
                <w:rFonts w:ascii="Calibri" w:eastAsia="Times New Roman" w:hAnsi="Calibri" w:cs="Calibri"/>
                <w:b/>
                <w:bCs/>
                <w:color w:val="000000"/>
                <w:sz w:val="13"/>
                <w:szCs w:val="13"/>
                <w:lang w:eastAsia="en-GB"/>
              </w:rPr>
              <w:t> </w:t>
            </w:r>
          </w:p>
        </w:tc>
      </w:tr>
      <w:tr w:rsidR="006605A3" w:rsidRPr="00F321F2" w14:paraId="3270CE32"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1E4557E9"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Yes</w:t>
            </w:r>
          </w:p>
        </w:tc>
        <w:tc>
          <w:tcPr>
            <w:tcW w:w="850" w:type="dxa"/>
            <w:tcBorders>
              <w:top w:val="nil"/>
              <w:left w:val="nil"/>
              <w:bottom w:val="single" w:sz="4" w:space="0" w:color="auto"/>
              <w:right w:val="single" w:sz="4" w:space="0" w:color="auto"/>
            </w:tcBorders>
            <w:shd w:val="clear" w:color="auto" w:fill="FFFFFF" w:themeFill="background1"/>
            <w:noWrap/>
            <w:hideMark/>
          </w:tcPr>
          <w:p w14:paraId="654A55E4"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229 (8.4%)</w:t>
            </w:r>
          </w:p>
        </w:tc>
        <w:tc>
          <w:tcPr>
            <w:tcW w:w="851" w:type="dxa"/>
            <w:tcBorders>
              <w:top w:val="nil"/>
              <w:left w:val="nil"/>
              <w:bottom w:val="single" w:sz="4" w:space="0" w:color="auto"/>
              <w:right w:val="single" w:sz="4" w:space="0" w:color="auto"/>
            </w:tcBorders>
            <w:shd w:val="clear" w:color="auto" w:fill="FFFFFF" w:themeFill="background1"/>
          </w:tcPr>
          <w:p w14:paraId="6FCDFA45"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550 (12%)</w:t>
            </w:r>
          </w:p>
        </w:tc>
        <w:tc>
          <w:tcPr>
            <w:tcW w:w="850" w:type="dxa"/>
            <w:tcBorders>
              <w:top w:val="nil"/>
              <w:left w:val="nil"/>
              <w:bottom w:val="single" w:sz="4" w:space="0" w:color="auto"/>
              <w:right w:val="single" w:sz="4" w:space="0" w:color="auto"/>
            </w:tcBorders>
            <w:shd w:val="clear" w:color="auto" w:fill="FFFFFF" w:themeFill="background1"/>
          </w:tcPr>
          <w:p w14:paraId="4C071F3A"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715 (11%)</w:t>
            </w:r>
          </w:p>
        </w:tc>
        <w:tc>
          <w:tcPr>
            <w:tcW w:w="709" w:type="dxa"/>
            <w:tcBorders>
              <w:top w:val="nil"/>
              <w:left w:val="nil"/>
              <w:bottom w:val="single" w:sz="4" w:space="0" w:color="auto"/>
              <w:right w:val="single" w:sz="4" w:space="0" w:color="auto"/>
            </w:tcBorders>
            <w:shd w:val="clear" w:color="auto" w:fill="FFFFFF" w:themeFill="background1"/>
          </w:tcPr>
          <w:p w14:paraId="4845DF25"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64 (6.0%)</w:t>
            </w:r>
          </w:p>
        </w:tc>
        <w:tc>
          <w:tcPr>
            <w:tcW w:w="850" w:type="dxa"/>
            <w:tcBorders>
              <w:top w:val="nil"/>
              <w:left w:val="nil"/>
              <w:bottom w:val="single" w:sz="4" w:space="0" w:color="auto"/>
              <w:right w:val="single" w:sz="4" w:space="0" w:color="auto"/>
            </w:tcBorders>
            <w:shd w:val="clear" w:color="auto" w:fill="FFFFFF" w:themeFill="background1"/>
          </w:tcPr>
          <w:p w14:paraId="3B8E5792"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573 (10%)</w:t>
            </w:r>
          </w:p>
        </w:tc>
        <w:tc>
          <w:tcPr>
            <w:tcW w:w="851" w:type="dxa"/>
            <w:tcBorders>
              <w:top w:val="nil"/>
              <w:left w:val="nil"/>
              <w:bottom w:val="single" w:sz="4" w:space="0" w:color="auto"/>
              <w:right w:val="single" w:sz="4" w:space="0" w:color="auto"/>
            </w:tcBorders>
            <w:shd w:val="clear" w:color="auto" w:fill="FFFFFF" w:themeFill="background1"/>
          </w:tcPr>
          <w:p w14:paraId="5EC260AB"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206 (11%)</w:t>
            </w:r>
          </w:p>
        </w:tc>
        <w:tc>
          <w:tcPr>
            <w:tcW w:w="850" w:type="dxa"/>
            <w:tcBorders>
              <w:top w:val="nil"/>
              <w:left w:val="nil"/>
              <w:bottom w:val="single" w:sz="4" w:space="0" w:color="auto"/>
              <w:right w:val="single" w:sz="4" w:space="0" w:color="auto"/>
            </w:tcBorders>
            <w:shd w:val="clear" w:color="auto" w:fill="FFFFFF" w:themeFill="background1"/>
          </w:tcPr>
          <w:p w14:paraId="620357C9"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193 (9.6%)</w:t>
            </w:r>
          </w:p>
        </w:tc>
        <w:tc>
          <w:tcPr>
            <w:tcW w:w="851" w:type="dxa"/>
            <w:tcBorders>
              <w:top w:val="nil"/>
              <w:left w:val="nil"/>
              <w:bottom w:val="single" w:sz="4" w:space="0" w:color="auto"/>
              <w:right w:val="single" w:sz="4" w:space="0" w:color="auto"/>
            </w:tcBorders>
            <w:shd w:val="clear" w:color="auto" w:fill="FFFFFF" w:themeFill="background1"/>
          </w:tcPr>
          <w:p w14:paraId="354BA7CA"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104 (14%)</w:t>
            </w:r>
          </w:p>
        </w:tc>
      </w:tr>
      <w:tr w:rsidR="006605A3" w:rsidRPr="00F321F2" w14:paraId="0B53C48B"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2CA31787"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Not sure</w:t>
            </w:r>
          </w:p>
        </w:tc>
        <w:tc>
          <w:tcPr>
            <w:tcW w:w="850" w:type="dxa"/>
            <w:tcBorders>
              <w:top w:val="nil"/>
              <w:left w:val="nil"/>
              <w:bottom w:val="single" w:sz="4" w:space="0" w:color="auto"/>
              <w:right w:val="single" w:sz="4" w:space="0" w:color="auto"/>
            </w:tcBorders>
            <w:shd w:val="clear" w:color="auto" w:fill="FFFFFF" w:themeFill="background1"/>
            <w:noWrap/>
            <w:hideMark/>
          </w:tcPr>
          <w:p w14:paraId="07CA54D6"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507 (19%)</w:t>
            </w:r>
          </w:p>
        </w:tc>
        <w:tc>
          <w:tcPr>
            <w:tcW w:w="851" w:type="dxa"/>
            <w:tcBorders>
              <w:top w:val="nil"/>
              <w:left w:val="nil"/>
              <w:bottom w:val="single" w:sz="4" w:space="0" w:color="auto"/>
              <w:right w:val="single" w:sz="4" w:space="0" w:color="auto"/>
            </w:tcBorders>
            <w:shd w:val="clear" w:color="auto" w:fill="FFFFFF" w:themeFill="background1"/>
          </w:tcPr>
          <w:p w14:paraId="78255175"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1,031 (22%)</w:t>
            </w:r>
          </w:p>
        </w:tc>
        <w:tc>
          <w:tcPr>
            <w:tcW w:w="850" w:type="dxa"/>
            <w:tcBorders>
              <w:top w:val="nil"/>
              <w:left w:val="nil"/>
              <w:bottom w:val="single" w:sz="4" w:space="0" w:color="auto"/>
              <w:right w:val="single" w:sz="4" w:space="0" w:color="auto"/>
            </w:tcBorders>
            <w:shd w:val="clear" w:color="auto" w:fill="FFFFFF" w:themeFill="background1"/>
          </w:tcPr>
          <w:p w14:paraId="4AB2ECCA"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1,326 (21%)</w:t>
            </w:r>
          </w:p>
        </w:tc>
        <w:tc>
          <w:tcPr>
            <w:tcW w:w="709" w:type="dxa"/>
            <w:tcBorders>
              <w:top w:val="nil"/>
              <w:left w:val="nil"/>
              <w:bottom w:val="single" w:sz="4" w:space="0" w:color="auto"/>
              <w:right w:val="single" w:sz="4" w:space="0" w:color="auto"/>
            </w:tcBorders>
            <w:shd w:val="clear" w:color="auto" w:fill="FFFFFF" w:themeFill="background1"/>
          </w:tcPr>
          <w:p w14:paraId="4D32E1D1"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212 (20%)</w:t>
            </w:r>
          </w:p>
        </w:tc>
        <w:tc>
          <w:tcPr>
            <w:tcW w:w="850" w:type="dxa"/>
            <w:tcBorders>
              <w:top w:val="nil"/>
              <w:left w:val="nil"/>
              <w:bottom w:val="single" w:sz="4" w:space="0" w:color="auto"/>
              <w:right w:val="single" w:sz="4" w:space="0" w:color="auto"/>
            </w:tcBorders>
            <w:shd w:val="clear" w:color="auto" w:fill="FFFFFF" w:themeFill="background1"/>
          </w:tcPr>
          <w:p w14:paraId="340DE000"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1,089 (20%)</w:t>
            </w:r>
          </w:p>
        </w:tc>
        <w:tc>
          <w:tcPr>
            <w:tcW w:w="851" w:type="dxa"/>
            <w:tcBorders>
              <w:top w:val="nil"/>
              <w:left w:val="nil"/>
              <w:bottom w:val="single" w:sz="4" w:space="0" w:color="auto"/>
              <w:right w:val="single" w:sz="4" w:space="0" w:color="auto"/>
            </w:tcBorders>
            <w:shd w:val="clear" w:color="auto" w:fill="FFFFFF" w:themeFill="background1"/>
          </w:tcPr>
          <w:p w14:paraId="13572802"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449 (25%)</w:t>
            </w:r>
          </w:p>
        </w:tc>
        <w:tc>
          <w:tcPr>
            <w:tcW w:w="850" w:type="dxa"/>
            <w:tcBorders>
              <w:top w:val="nil"/>
              <w:left w:val="nil"/>
              <w:bottom w:val="single" w:sz="4" w:space="0" w:color="auto"/>
              <w:right w:val="single" w:sz="4" w:space="0" w:color="auto"/>
            </w:tcBorders>
            <w:shd w:val="clear" w:color="auto" w:fill="FFFFFF" w:themeFill="background1"/>
          </w:tcPr>
          <w:p w14:paraId="11A69D8F"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356 (18%)</w:t>
            </w:r>
          </w:p>
        </w:tc>
        <w:tc>
          <w:tcPr>
            <w:tcW w:w="851" w:type="dxa"/>
            <w:tcBorders>
              <w:top w:val="nil"/>
              <w:left w:val="nil"/>
              <w:bottom w:val="single" w:sz="4" w:space="0" w:color="auto"/>
              <w:right w:val="single" w:sz="4" w:space="0" w:color="auto"/>
            </w:tcBorders>
            <w:shd w:val="clear" w:color="auto" w:fill="FFFFFF" w:themeFill="background1"/>
          </w:tcPr>
          <w:p w14:paraId="3FF73FB4"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181 (25%)</w:t>
            </w:r>
          </w:p>
        </w:tc>
      </w:tr>
      <w:tr w:rsidR="006605A3" w:rsidRPr="00F321F2" w14:paraId="1FA0E11B" w14:textId="77777777" w:rsidTr="00F0396A">
        <w:trPr>
          <w:trHeight w:hRule="exact" w:val="170"/>
        </w:trPr>
        <w:tc>
          <w:tcPr>
            <w:tcW w:w="2689" w:type="dxa"/>
            <w:tcBorders>
              <w:top w:val="nil"/>
              <w:left w:val="single" w:sz="4" w:space="0" w:color="auto"/>
              <w:bottom w:val="single" w:sz="4" w:space="0" w:color="auto"/>
              <w:right w:val="single" w:sz="4" w:space="0" w:color="auto"/>
            </w:tcBorders>
            <w:shd w:val="clear" w:color="auto" w:fill="FFFFFF" w:themeFill="background1"/>
            <w:noWrap/>
            <w:hideMark/>
          </w:tcPr>
          <w:p w14:paraId="27A7CE68" w14:textId="77777777" w:rsidR="006605A3" w:rsidRPr="00F0396A" w:rsidRDefault="006605A3" w:rsidP="00F0396A">
            <w:pPr>
              <w:spacing w:after="0" w:line="240" w:lineRule="auto"/>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 xml:space="preserve">   No</w:t>
            </w:r>
          </w:p>
        </w:tc>
        <w:tc>
          <w:tcPr>
            <w:tcW w:w="850" w:type="dxa"/>
            <w:tcBorders>
              <w:top w:val="nil"/>
              <w:left w:val="nil"/>
              <w:bottom w:val="single" w:sz="4" w:space="0" w:color="auto"/>
              <w:right w:val="single" w:sz="4" w:space="0" w:color="auto"/>
            </w:tcBorders>
            <w:shd w:val="clear" w:color="auto" w:fill="FFFFFF" w:themeFill="background1"/>
            <w:noWrap/>
            <w:hideMark/>
          </w:tcPr>
          <w:p w14:paraId="6BA63150" w14:textId="77777777" w:rsidR="006605A3" w:rsidRPr="00F0396A"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1,993 (73%)</w:t>
            </w:r>
          </w:p>
        </w:tc>
        <w:tc>
          <w:tcPr>
            <w:tcW w:w="851" w:type="dxa"/>
            <w:tcBorders>
              <w:top w:val="nil"/>
              <w:left w:val="nil"/>
              <w:bottom w:val="single" w:sz="4" w:space="0" w:color="auto"/>
              <w:right w:val="single" w:sz="4" w:space="0" w:color="auto"/>
            </w:tcBorders>
            <w:shd w:val="clear" w:color="auto" w:fill="FFFFFF" w:themeFill="background1"/>
          </w:tcPr>
          <w:p w14:paraId="61BEB97B"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3,027 (66%)</w:t>
            </w:r>
          </w:p>
        </w:tc>
        <w:tc>
          <w:tcPr>
            <w:tcW w:w="850" w:type="dxa"/>
            <w:tcBorders>
              <w:top w:val="nil"/>
              <w:left w:val="nil"/>
              <w:bottom w:val="single" w:sz="4" w:space="0" w:color="auto"/>
              <w:right w:val="single" w:sz="4" w:space="0" w:color="auto"/>
            </w:tcBorders>
            <w:shd w:val="clear" w:color="auto" w:fill="FFFFFF" w:themeFill="background1"/>
          </w:tcPr>
          <w:p w14:paraId="6CDE816B"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4,233 (67%)</w:t>
            </w:r>
          </w:p>
        </w:tc>
        <w:tc>
          <w:tcPr>
            <w:tcW w:w="709" w:type="dxa"/>
            <w:tcBorders>
              <w:top w:val="nil"/>
              <w:left w:val="nil"/>
              <w:bottom w:val="single" w:sz="4" w:space="0" w:color="auto"/>
              <w:right w:val="single" w:sz="4" w:space="0" w:color="auto"/>
            </w:tcBorders>
            <w:shd w:val="clear" w:color="auto" w:fill="FFFFFF" w:themeFill="background1"/>
          </w:tcPr>
          <w:p w14:paraId="2F17C8A1"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rFonts w:ascii="Calibri" w:eastAsia="Times New Roman" w:hAnsi="Calibri" w:cs="Calibri"/>
                <w:color w:val="000000"/>
                <w:sz w:val="11"/>
                <w:szCs w:val="11"/>
                <w:lang w:eastAsia="en-GB"/>
              </w:rPr>
              <w:t>787 (74%)</w:t>
            </w:r>
          </w:p>
        </w:tc>
        <w:tc>
          <w:tcPr>
            <w:tcW w:w="850" w:type="dxa"/>
            <w:tcBorders>
              <w:top w:val="nil"/>
              <w:left w:val="nil"/>
              <w:bottom w:val="single" w:sz="4" w:space="0" w:color="auto"/>
              <w:right w:val="single" w:sz="4" w:space="0" w:color="auto"/>
            </w:tcBorders>
            <w:shd w:val="clear" w:color="auto" w:fill="FFFFFF" w:themeFill="background1"/>
          </w:tcPr>
          <w:p w14:paraId="3E788B8D"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3,848 (70%)</w:t>
            </w:r>
          </w:p>
        </w:tc>
        <w:tc>
          <w:tcPr>
            <w:tcW w:w="851" w:type="dxa"/>
            <w:tcBorders>
              <w:top w:val="nil"/>
              <w:left w:val="nil"/>
              <w:bottom w:val="single" w:sz="4" w:space="0" w:color="auto"/>
              <w:right w:val="single" w:sz="4" w:space="0" w:color="auto"/>
            </w:tcBorders>
            <w:shd w:val="clear" w:color="auto" w:fill="FFFFFF" w:themeFill="background1"/>
          </w:tcPr>
          <w:p w14:paraId="318E6981"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1,172 (64%)</w:t>
            </w:r>
          </w:p>
        </w:tc>
        <w:tc>
          <w:tcPr>
            <w:tcW w:w="850" w:type="dxa"/>
            <w:tcBorders>
              <w:top w:val="nil"/>
              <w:left w:val="nil"/>
              <w:bottom w:val="single" w:sz="4" w:space="0" w:color="auto"/>
              <w:right w:val="single" w:sz="4" w:space="0" w:color="auto"/>
            </w:tcBorders>
            <w:shd w:val="clear" w:color="auto" w:fill="FFFFFF" w:themeFill="background1"/>
          </w:tcPr>
          <w:p w14:paraId="3F724611" w14:textId="77777777" w:rsidR="006605A3" w:rsidRPr="00F0396A" w:rsidDel="001569BD" w:rsidRDefault="006605A3" w:rsidP="00F0396A">
            <w:pPr>
              <w:spacing w:after="0" w:line="240" w:lineRule="auto"/>
              <w:jc w:val="right"/>
              <w:rPr>
                <w:rFonts w:ascii="Calibri" w:eastAsia="Times New Roman" w:hAnsi="Calibri" w:cs="Calibri"/>
                <w:color w:val="000000"/>
                <w:sz w:val="11"/>
                <w:szCs w:val="11"/>
                <w:lang w:eastAsia="en-GB"/>
              </w:rPr>
            </w:pPr>
            <w:r w:rsidRPr="00F0396A">
              <w:rPr>
                <w:sz w:val="11"/>
                <w:szCs w:val="11"/>
              </w:rPr>
              <w:t>1,454 (73%)</w:t>
            </w:r>
          </w:p>
        </w:tc>
        <w:tc>
          <w:tcPr>
            <w:tcW w:w="851" w:type="dxa"/>
            <w:tcBorders>
              <w:top w:val="nil"/>
              <w:left w:val="nil"/>
              <w:bottom w:val="single" w:sz="4" w:space="0" w:color="auto"/>
              <w:right w:val="single" w:sz="4" w:space="0" w:color="auto"/>
            </w:tcBorders>
            <w:shd w:val="clear" w:color="auto" w:fill="FFFFFF" w:themeFill="background1"/>
          </w:tcPr>
          <w:p w14:paraId="1DF6C99A" w14:textId="77777777" w:rsidR="006605A3" w:rsidRPr="00F0396A" w:rsidDel="001569BD" w:rsidRDefault="006605A3" w:rsidP="00F0396A">
            <w:pPr>
              <w:spacing w:after="0" w:line="240" w:lineRule="auto"/>
              <w:jc w:val="right"/>
              <w:rPr>
                <w:rFonts w:eastAsia="Times New Roman" w:cstheme="minorHAnsi"/>
                <w:color w:val="000000"/>
                <w:sz w:val="11"/>
                <w:szCs w:val="11"/>
                <w:lang w:eastAsia="en-GB"/>
              </w:rPr>
            </w:pPr>
            <w:r w:rsidRPr="00F0396A">
              <w:rPr>
                <w:rFonts w:cstheme="minorHAnsi"/>
                <w:sz w:val="11"/>
                <w:szCs w:val="11"/>
              </w:rPr>
              <w:t>436 (60%)</w:t>
            </w:r>
          </w:p>
        </w:tc>
      </w:tr>
    </w:tbl>
    <w:p w14:paraId="2C298EBA" w14:textId="7E50E6AC" w:rsidR="00B940F5" w:rsidRPr="002F7AA6" w:rsidRDefault="00B940F5">
      <w:pPr>
        <w:rPr>
          <w:b/>
          <w:bCs/>
        </w:rPr>
      </w:pPr>
      <w:r w:rsidRPr="002F7AA6">
        <w:rPr>
          <w:b/>
          <w:bCs/>
        </w:rPr>
        <w:br w:type="page"/>
      </w:r>
    </w:p>
    <w:p w14:paraId="47D5E5F1" w14:textId="61D7BAE3" w:rsidR="005A43C3" w:rsidRPr="002F7AA6" w:rsidRDefault="005A43C3" w:rsidP="005A43C3">
      <w:pPr>
        <w:rPr>
          <w:b/>
          <w:bCs/>
        </w:rPr>
      </w:pPr>
      <w:r w:rsidRPr="002F7AA6">
        <w:rPr>
          <w:b/>
          <w:bCs/>
        </w:rPr>
        <w:lastRenderedPageBreak/>
        <w:t>References</w:t>
      </w:r>
    </w:p>
    <w:p w14:paraId="43C2813D" w14:textId="77777777" w:rsidR="0032292F" w:rsidRPr="002F7AA6" w:rsidRDefault="005A43C3" w:rsidP="0032292F">
      <w:pPr>
        <w:pStyle w:val="Bibliography"/>
        <w:rPr>
          <w:rFonts w:ascii="Calibri" w:cs="Calibri"/>
        </w:rPr>
      </w:pPr>
      <w:r w:rsidRPr="002F7AA6">
        <w:rPr>
          <w:rFonts w:ascii="Calibri" w:cs="Calibri"/>
        </w:rPr>
        <w:t xml:space="preserve"> </w:t>
      </w:r>
      <w:r w:rsidRPr="002F7AA6">
        <w:rPr>
          <w:rFonts w:ascii="Calibri" w:cs="Calibri"/>
        </w:rPr>
        <w:fldChar w:fldCharType="begin"/>
      </w:r>
      <w:r w:rsidR="005A6893" w:rsidRPr="002F7AA6">
        <w:rPr>
          <w:rFonts w:ascii="Calibri" w:cs="Calibri"/>
        </w:rPr>
        <w:instrText xml:space="preserve"> ADDIN ZOTERO_BIBL {"uncited":[],"omitted":[],"custom":[]} CSL_BIBLIOGRAPHY </w:instrText>
      </w:r>
      <w:r w:rsidRPr="002F7AA6">
        <w:rPr>
          <w:rFonts w:ascii="Calibri" w:cs="Calibri"/>
        </w:rPr>
        <w:fldChar w:fldCharType="separate"/>
      </w:r>
      <w:r w:rsidR="0032292F" w:rsidRPr="002F7AA6">
        <w:rPr>
          <w:rFonts w:ascii="Calibri" w:cs="Calibri"/>
        </w:rPr>
        <w:t xml:space="preserve">1. </w:t>
      </w:r>
      <w:r w:rsidR="0032292F" w:rsidRPr="002F7AA6">
        <w:rPr>
          <w:rFonts w:ascii="Calibri" w:cs="Calibri"/>
        </w:rPr>
        <w:tab/>
        <w:t xml:space="preserve">Bojic D, Bodger K, Travis S. Patient Reported Outcome Measures (PROMs) in Inflammatory Bowel Disease: New Data. J Crohns Colitis 2017;11(suppl_2):S576–85. </w:t>
      </w:r>
    </w:p>
    <w:p w14:paraId="17E4D382" w14:textId="77777777" w:rsidR="0032292F" w:rsidRPr="002F7AA6" w:rsidRDefault="0032292F" w:rsidP="0032292F">
      <w:pPr>
        <w:pStyle w:val="Bibliography"/>
        <w:rPr>
          <w:rFonts w:ascii="Calibri" w:cs="Calibri"/>
        </w:rPr>
      </w:pPr>
      <w:r w:rsidRPr="002F7AA6">
        <w:rPr>
          <w:rFonts w:ascii="Calibri" w:cs="Calibri"/>
        </w:rPr>
        <w:t xml:space="preserve">2. </w:t>
      </w:r>
      <w:r w:rsidRPr="002F7AA6">
        <w:rPr>
          <w:rFonts w:ascii="Calibri" w:cs="Calibri"/>
        </w:rPr>
        <w:tab/>
        <w:t xml:space="preserve">Fletcher J, Cooper SC, Swift A. Patient-Reported Outcomes in Inflammatory Bowel Disease: A Measurement of Effect in Research and Clinical Care. Gastroenterol Insights 2021;12(2):225–37. </w:t>
      </w:r>
    </w:p>
    <w:p w14:paraId="4092ED9B" w14:textId="77777777" w:rsidR="0032292F" w:rsidRPr="002F7AA6" w:rsidRDefault="0032292F" w:rsidP="0032292F">
      <w:pPr>
        <w:pStyle w:val="Bibliography"/>
        <w:rPr>
          <w:rFonts w:ascii="Calibri" w:cs="Calibri"/>
        </w:rPr>
      </w:pPr>
      <w:r w:rsidRPr="002F7AA6">
        <w:rPr>
          <w:rFonts w:ascii="Calibri" w:cs="Calibri"/>
        </w:rPr>
        <w:t xml:space="preserve">3. </w:t>
      </w:r>
      <w:r w:rsidRPr="002F7AA6">
        <w:rPr>
          <w:rFonts w:ascii="Calibri" w:cs="Calibri"/>
        </w:rPr>
        <w:tab/>
        <w:t xml:space="preserve">Jairath V, Khanna R, Zou GY, et al. Development of interim patient-reported outcome measures for the assessment of ulcerative colitis disease activity in clinical trials. Aliment Pharmacol Ther 2015;42(10):1200–10. </w:t>
      </w:r>
    </w:p>
    <w:p w14:paraId="5FB222CE" w14:textId="77777777" w:rsidR="0032292F" w:rsidRPr="002F7AA6" w:rsidRDefault="0032292F" w:rsidP="0032292F">
      <w:pPr>
        <w:pStyle w:val="Bibliography"/>
        <w:rPr>
          <w:rFonts w:ascii="Calibri" w:cs="Calibri"/>
        </w:rPr>
      </w:pPr>
      <w:r w:rsidRPr="002F7AA6">
        <w:rPr>
          <w:rFonts w:ascii="Calibri" w:cs="Calibri"/>
        </w:rPr>
        <w:t xml:space="preserve">4. </w:t>
      </w:r>
      <w:r w:rsidRPr="002F7AA6">
        <w:rPr>
          <w:rFonts w:ascii="Calibri" w:cs="Calibri"/>
        </w:rPr>
        <w:tab/>
        <w:t xml:space="preserve">Khanna R, Zou G, D’Haens G, et al. A retrospective analysis: the development of patient reported outcome measures for the assessment of Crohn’s disease activity. Aliment Pharmacol Ther 2015;41(1):77–86. </w:t>
      </w:r>
    </w:p>
    <w:p w14:paraId="4FEE2E53" w14:textId="77777777" w:rsidR="0032292F" w:rsidRPr="002F7AA6" w:rsidRDefault="0032292F" w:rsidP="0032292F">
      <w:pPr>
        <w:pStyle w:val="Bibliography"/>
        <w:rPr>
          <w:rFonts w:ascii="Calibri" w:cs="Calibri"/>
        </w:rPr>
      </w:pPr>
      <w:r w:rsidRPr="002F7AA6">
        <w:rPr>
          <w:rFonts w:ascii="Calibri" w:cs="Calibri"/>
        </w:rPr>
        <w:t xml:space="preserve">5. </w:t>
      </w:r>
      <w:r w:rsidRPr="002F7AA6">
        <w:rPr>
          <w:rFonts w:ascii="Calibri" w:cs="Calibri"/>
        </w:rPr>
        <w:tab/>
        <w:t xml:space="preserve">Guyatt G, Mitchell A, Irvine EJ, et al. A new measure of health status for clinical trials in inflammatory bowel disease. Gastroenterology 1989;96(3):804–10. </w:t>
      </w:r>
    </w:p>
    <w:p w14:paraId="7F73F8CB" w14:textId="77777777" w:rsidR="0032292F" w:rsidRPr="002F7AA6" w:rsidRDefault="0032292F" w:rsidP="0032292F">
      <w:pPr>
        <w:pStyle w:val="Bibliography"/>
        <w:rPr>
          <w:rFonts w:ascii="Calibri" w:cs="Calibri"/>
        </w:rPr>
      </w:pPr>
      <w:r w:rsidRPr="002F7AA6">
        <w:rPr>
          <w:rFonts w:ascii="Calibri" w:cs="Calibri"/>
        </w:rPr>
        <w:t xml:space="preserve">6. </w:t>
      </w:r>
      <w:r w:rsidRPr="002F7AA6">
        <w:rPr>
          <w:rFonts w:ascii="Calibri" w:cs="Calibri"/>
        </w:rPr>
        <w:tab/>
        <w:t xml:space="preserve">Irvine EJ. Development and subsequent refinement of the inflammatory bowel disease questionnaire: a quality-of-life instrument for adult patients with inflammatory bowel disease. J Pediatr Gastroenterol Nutr 1999;28(4):S23-27. </w:t>
      </w:r>
    </w:p>
    <w:p w14:paraId="1F1C915D" w14:textId="77777777" w:rsidR="0032292F" w:rsidRPr="002F7AA6" w:rsidRDefault="0032292F" w:rsidP="0032292F">
      <w:pPr>
        <w:pStyle w:val="Bibliography"/>
        <w:rPr>
          <w:rFonts w:ascii="Calibri" w:cs="Calibri"/>
        </w:rPr>
      </w:pPr>
      <w:r w:rsidRPr="002F7AA6">
        <w:rPr>
          <w:rFonts w:ascii="Calibri" w:cs="Calibri"/>
        </w:rPr>
        <w:t xml:space="preserve">7. </w:t>
      </w:r>
      <w:r w:rsidRPr="002F7AA6">
        <w:rPr>
          <w:rFonts w:ascii="Calibri" w:cs="Calibri"/>
        </w:rPr>
        <w:tab/>
        <w:t xml:space="preserve">Chen X-L, Zhong L-H, Wen Y, et al. Inflammatory bowel disease-specific health-related quality of life instruments: a systematic review of measurement properties. Health Qual Life Outcomes 2017;15(1):177. </w:t>
      </w:r>
    </w:p>
    <w:p w14:paraId="26015BF4" w14:textId="77777777" w:rsidR="0032292F" w:rsidRPr="002F7AA6" w:rsidRDefault="0032292F" w:rsidP="0032292F">
      <w:pPr>
        <w:pStyle w:val="Bibliography"/>
        <w:rPr>
          <w:rFonts w:ascii="Calibri" w:cs="Calibri"/>
        </w:rPr>
      </w:pPr>
      <w:r w:rsidRPr="002F7AA6">
        <w:rPr>
          <w:rFonts w:ascii="Calibri" w:cs="Calibri"/>
        </w:rPr>
        <w:t xml:space="preserve">8. </w:t>
      </w:r>
      <w:r w:rsidRPr="002F7AA6">
        <w:rPr>
          <w:rFonts w:ascii="Calibri" w:cs="Calibri"/>
        </w:rPr>
        <w:tab/>
        <w:t xml:space="preserve">Bodger K, Ormerod C, Shackcloth D, Harrison M, IBD Control Collaborative. Development and validation of a rapid, generic measure of disease control from the patient’s perspective: the IBD-control questionnaire. Gut 2014;63(7):1092–102. </w:t>
      </w:r>
    </w:p>
    <w:p w14:paraId="1D3157D7" w14:textId="77777777" w:rsidR="0032292F" w:rsidRPr="002F7AA6" w:rsidRDefault="0032292F" w:rsidP="0032292F">
      <w:pPr>
        <w:pStyle w:val="Bibliography"/>
        <w:rPr>
          <w:rFonts w:ascii="Calibri" w:cs="Calibri"/>
        </w:rPr>
      </w:pPr>
      <w:r w:rsidRPr="002F7AA6">
        <w:rPr>
          <w:rFonts w:ascii="Calibri" w:cs="Calibri"/>
        </w:rPr>
        <w:t xml:space="preserve">9. </w:t>
      </w:r>
      <w:r w:rsidRPr="002F7AA6">
        <w:rPr>
          <w:rFonts w:ascii="Calibri" w:cs="Calibri"/>
        </w:rPr>
        <w:tab/>
        <w:t xml:space="preserve">de Jong ME, Taal E, Thomas PWA, et al. Cross-cultural translation and validation of the IBD-control questionnaire in The Netherlands: a patient-reported outcome measure in inflammatory bowel disease. Scand J Gastroenterol 2021;56(2):155–61. </w:t>
      </w:r>
    </w:p>
    <w:p w14:paraId="09038F6D" w14:textId="5765AAA0" w:rsidR="0032292F" w:rsidRPr="002F7AA6" w:rsidRDefault="0032292F" w:rsidP="0032292F">
      <w:pPr>
        <w:pStyle w:val="Bibliography"/>
        <w:rPr>
          <w:rFonts w:ascii="Calibri" w:cs="Calibri"/>
        </w:rPr>
      </w:pPr>
      <w:r w:rsidRPr="002F7AA6">
        <w:rPr>
          <w:rFonts w:ascii="Calibri" w:cs="Calibri"/>
        </w:rPr>
        <w:t xml:space="preserve">10. </w:t>
      </w:r>
      <w:r w:rsidRPr="002F7AA6">
        <w:rPr>
          <w:rFonts w:ascii="Calibri" w:cs="Calibri"/>
        </w:rPr>
        <w:tab/>
        <w:t>Vicente Lidón R, García López S, Corsino Roche P, et al. Translation into Spanish and validation of a short questionnaire to measure the control of inflammatory bowel disease from the patient’s perspective: IBD-Control, EII-Control. Gastroenterol Hepatol 202</w:t>
      </w:r>
      <w:r w:rsidR="002F7AA6" w:rsidRPr="002F7AA6">
        <w:rPr>
          <w:rFonts w:ascii="Calibri" w:cs="Calibri"/>
        </w:rPr>
        <w:t>2</w:t>
      </w:r>
      <w:r w:rsidRPr="002F7AA6">
        <w:rPr>
          <w:rFonts w:ascii="Calibri" w:cs="Calibri"/>
        </w:rPr>
        <w:t>;</w:t>
      </w:r>
      <w:r w:rsidR="002F7AA6" w:rsidRPr="002F7AA6">
        <w:t xml:space="preserve"> </w:t>
      </w:r>
      <w:r w:rsidR="002F7AA6" w:rsidRPr="002F7AA6">
        <w:rPr>
          <w:rStyle w:val="cit"/>
        </w:rPr>
        <w:t>45(7):524-534</w:t>
      </w:r>
      <w:r w:rsidRPr="002F7AA6">
        <w:rPr>
          <w:rFonts w:ascii="Calibri" w:cs="Calibri"/>
        </w:rPr>
        <w:t xml:space="preserve">. </w:t>
      </w:r>
    </w:p>
    <w:p w14:paraId="68A2048A" w14:textId="3720D958" w:rsidR="0032292F" w:rsidRPr="002F7AA6" w:rsidRDefault="0032292F" w:rsidP="0032292F">
      <w:pPr>
        <w:pStyle w:val="Bibliography"/>
        <w:rPr>
          <w:rFonts w:ascii="Calibri" w:cs="Calibri"/>
        </w:rPr>
      </w:pPr>
      <w:r w:rsidRPr="002F7AA6">
        <w:rPr>
          <w:rFonts w:ascii="Calibri" w:cs="Calibri"/>
        </w:rPr>
        <w:t xml:space="preserve">11. </w:t>
      </w:r>
      <w:r w:rsidRPr="002F7AA6">
        <w:rPr>
          <w:rFonts w:ascii="Calibri" w:cs="Calibri"/>
        </w:rPr>
        <w:tab/>
        <w:t xml:space="preserve">Müller A, Bilger SS, Göldi A, et al. [The IBD-Control questionnaire: German translation and validation of the standardized questionnaire for Patient Reported Outcome Measurement in inflammatory bowel disease]. Z Gastroenterol </w:t>
      </w:r>
      <w:r w:rsidR="002F7AA6" w:rsidRPr="002F7AA6">
        <w:rPr>
          <w:rFonts w:ascii="Calibri" w:cs="Calibri"/>
        </w:rPr>
        <w:t>2022 Jun;60(6):911-926</w:t>
      </w:r>
      <w:r w:rsidR="002F7AA6">
        <w:rPr>
          <w:rFonts w:ascii="Calibri" w:cs="Calibri"/>
        </w:rPr>
        <w:t>.</w:t>
      </w:r>
    </w:p>
    <w:p w14:paraId="2A9507F6" w14:textId="708722B1" w:rsidR="0032292F" w:rsidRPr="002F7AA6" w:rsidRDefault="0032292F" w:rsidP="0032292F">
      <w:pPr>
        <w:pStyle w:val="Bibliography"/>
        <w:rPr>
          <w:rFonts w:ascii="Calibri" w:cs="Calibri"/>
        </w:rPr>
      </w:pPr>
      <w:r w:rsidRPr="002F7AA6">
        <w:rPr>
          <w:rFonts w:ascii="Calibri" w:cs="Calibri"/>
        </w:rPr>
        <w:t xml:space="preserve">12. </w:t>
      </w:r>
      <w:r w:rsidRPr="002F7AA6">
        <w:rPr>
          <w:rFonts w:ascii="Calibri" w:cs="Calibri"/>
        </w:rPr>
        <w:tab/>
        <w:t>Deutscher D, Weil C, Chodic G, et al. Implementing electronic patient reported outcome measures in inflammatory bowel disease: Patient participation, score reliability and validity. Health Qual Life Outcomes 2023</w:t>
      </w:r>
      <w:r w:rsidR="002F7AA6">
        <w:t>;</w:t>
      </w:r>
      <w:r w:rsidR="002F7AA6" w:rsidRPr="002F7AA6">
        <w:rPr>
          <w:rFonts w:ascii="Calibri" w:cs="Calibri"/>
        </w:rPr>
        <w:t>21(1):2</w:t>
      </w:r>
      <w:r w:rsidR="002F7AA6">
        <w:rPr>
          <w:rFonts w:ascii="Calibri" w:cs="Calibri"/>
        </w:rPr>
        <w:t>.</w:t>
      </w:r>
    </w:p>
    <w:p w14:paraId="325F3C70" w14:textId="6DBCA06D" w:rsidR="0032292F" w:rsidRPr="002F7AA6" w:rsidRDefault="0032292F" w:rsidP="0032292F">
      <w:pPr>
        <w:pStyle w:val="Bibliography"/>
        <w:rPr>
          <w:rFonts w:ascii="Calibri" w:cs="Calibri"/>
        </w:rPr>
      </w:pPr>
      <w:r w:rsidRPr="002F7AA6">
        <w:rPr>
          <w:rFonts w:ascii="Calibri" w:cs="Calibri"/>
        </w:rPr>
        <w:lastRenderedPageBreak/>
        <w:t xml:space="preserve">13. </w:t>
      </w:r>
      <w:r w:rsidRPr="002F7AA6">
        <w:rPr>
          <w:rFonts w:ascii="Calibri" w:cs="Calibri"/>
        </w:rPr>
        <w:tab/>
        <w:t>Wong D, Matini L, Kormilitzin A, et al. Patient Reported Outcomes: the ICHOM Standard Set for inflammatory bowel disease in real life practice helps quantify deficits in current care. J Crohns Colitis 2022;</w:t>
      </w:r>
      <w:r w:rsidR="002F7AA6" w:rsidRPr="002F7AA6">
        <w:t xml:space="preserve"> </w:t>
      </w:r>
      <w:r w:rsidR="002F7AA6" w:rsidRPr="002F7AA6">
        <w:rPr>
          <w:rFonts w:ascii="Calibri" w:cs="Calibri"/>
        </w:rPr>
        <w:t>16(12):1874-1881</w:t>
      </w:r>
      <w:r w:rsidRPr="002F7AA6">
        <w:rPr>
          <w:rFonts w:ascii="Calibri" w:cs="Calibri"/>
        </w:rPr>
        <w:t xml:space="preserve">. </w:t>
      </w:r>
    </w:p>
    <w:p w14:paraId="0A9E66E3" w14:textId="77777777" w:rsidR="0032292F" w:rsidRPr="002F7AA6" w:rsidRDefault="0032292F" w:rsidP="0032292F">
      <w:pPr>
        <w:pStyle w:val="Bibliography"/>
        <w:rPr>
          <w:rFonts w:ascii="Calibri" w:cs="Calibri"/>
        </w:rPr>
      </w:pPr>
      <w:r w:rsidRPr="002F7AA6">
        <w:rPr>
          <w:rFonts w:ascii="Calibri" w:cs="Calibri"/>
        </w:rPr>
        <w:t xml:space="preserve">14. </w:t>
      </w:r>
      <w:r w:rsidRPr="002F7AA6">
        <w:rPr>
          <w:rFonts w:ascii="Calibri" w:cs="Calibri"/>
        </w:rPr>
        <w:tab/>
        <w:t>IBD Control (without VAS) | ECCO E-Guide [Internet]. [cited 2022 Apr 9];Available from: http://www.e-guide.ecco-ibd.eu/resources/calculator/ibd-control-without-vas</w:t>
      </w:r>
    </w:p>
    <w:p w14:paraId="79DDCFE7" w14:textId="77777777" w:rsidR="0032292F" w:rsidRPr="002F7AA6" w:rsidRDefault="0032292F" w:rsidP="0032292F">
      <w:pPr>
        <w:pStyle w:val="Bibliography"/>
        <w:rPr>
          <w:rFonts w:ascii="Calibri" w:cs="Calibri"/>
        </w:rPr>
      </w:pPr>
      <w:r w:rsidRPr="002F7AA6">
        <w:rPr>
          <w:rFonts w:ascii="Calibri" w:cs="Calibri"/>
        </w:rPr>
        <w:t xml:space="preserve">15. </w:t>
      </w:r>
      <w:r w:rsidRPr="002F7AA6">
        <w:rPr>
          <w:rFonts w:ascii="Calibri" w:cs="Calibri"/>
        </w:rPr>
        <w:tab/>
        <w:t>Data Submission Framework [Internet]. IBD Regist. [cited 2020 Mar 15];Available from: https://ibdregistry.org.uk/data-submission-framework/</w:t>
      </w:r>
    </w:p>
    <w:p w14:paraId="4D7DCF06" w14:textId="77777777" w:rsidR="0032292F" w:rsidRPr="002F7AA6" w:rsidRDefault="0032292F" w:rsidP="0032292F">
      <w:pPr>
        <w:pStyle w:val="Bibliography"/>
        <w:rPr>
          <w:rFonts w:ascii="Calibri" w:cs="Calibri"/>
        </w:rPr>
      </w:pPr>
      <w:r w:rsidRPr="002F7AA6">
        <w:rPr>
          <w:rFonts w:ascii="Calibri" w:cs="Calibri"/>
        </w:rPr>
        <w:t xml:space="preserve">16. </w:t>
      </w:r>
      <w:r w:rsidRPr="002F7AA6">
        <w:rPr>
          <w:rFonts w:ascii="Calibri" w:cs="Calibri"/>
        </w:rPr>
        <w:tab/>
        <w:t xml:space="preserve">Gonczi L, Kurti Z, Verdon C, et al. Perceived Quality of Care is Associated with Disease Activity, Quality of Life, Work Productivity, and Gender, but not Disease Phenotype: A Prospective Study in a High-volume IBD Centre. J Crohns Colitis 2019;13(9):1138–47. </w:t>
      </w:r>
    </w:p>
    <w:p w14:paraId="6E7BE7A1" w14:textId="15F7D858" w:rsidR="0032292F" w:rsidRPr="002F7AA6" w:rsidRDefault="0032292F" w:rsidP="0032292F">
      <w:pPr>
        <w:pStyle w:val="Bibliography"/>
        <w:rPr>
          <w:rFonts w:ascii="Calibri" w:cs="Calibri"/>
        </w:rPr>
      </w:pPr>
      <w:r w:rsidRPr="002F7AA6">
        <w:rPr>
          <w:rFonts w:ascii="Calibri" w:cs="Calibri"/>
        </w:rPr>
        <w:t xml:space="preserve">17. </w:t>
      </w:r>
      <w:r w:rsidRPr="002F7AA6">
        <w:rPr>
          <w:rFonts w:ascii="Calibri" w:cs="Calibri"/>
        </w:rPr>
        <w:tab/>
        <w:t xml:space="preserve">Paulides E, Pasma A, Erler NS, van Eijk RLA, de Vries AC, van der Woude CJ. Impact of the Coronavirus Disease Pandemic on Health-Related Quality of Life of Patients with Inflammatory Bowel Disease. Dig Dis Sci </w:t>
      </w:r>
      <w:r w:rsidR="002F7AA6" w:rsidRPr="002F7AA6">
        <w:rPr>
          <w:rFonts w:ascii="Calibri" w:cs="Calibri"/>
        </w:rPr>
        <w:t>2022;67(7):2849-2856</w:t>
      </w:r>
      <w:r w:rsidR="002F7AA6">
        <w:rPr>
          <w:rFonts w:ascii="Calibri" w:cs="Calibri"/>
        </w:rPr>
        <w:t>.</w:t>
      </w:r>
    </w:p>
    <w:p w14:paraId="2271EC26" w14:textId="43D7ACE6" w:rsidR="0032292F" w:rsidRPr="002F7AA6" w:rsidRDefault="0032292F" w:rsidP="0032292F">
      <w:pPr>
        <w:pStyle w:val="Bibliography"/>
        <w:rPr>
          <w:rFonts w:ascii="Calibri" w:cs="Calibri"/>
        </w:rPr>
      </w:pPr>
      <w:r w:rsidRPr="002F7AA6">
        <w:rPr>
          <w:rFonts w:ascii="Calibri" w:cs="Calibri"/>
        </w:rPr>
        <w:t xml:space="preserve">18. </w:t>
      </w:r>
      <w:r w:rsidRPr="002F7AA6">
        <w:rPr>
          <w:rFonts w:ascii="Calibri" w:cs="Calibri"/>
        </w:rPr>
        <w:tab/>
        <w:t xml:space="preserve">Ventress E, Young D, Rahmany S, et al. Transitioning from intRavenous to subcutAneous VEdolizumab in patients with infLammatory bowEl diSeaSe (TRAVELESS). J Crohns Colitis </w:t>
      </w:r>
      <w:r w:rsidR="009E7CE4" w:rsidRPr="009E7CE4">
        <w:rPr>
          <w:rFonts w:ascii="Calibri" w:cs="Calibri"/>
        </w:rPr>
        <w:t>2022 Jul 14;16(6):911-921</w:t>
      </w:r>
      <w:r w:rsidRPr="002F7AA6">
        <w:rPr>
          <w:rFonts w:ascii="Calibri" w:cs="Calibri"/>
        </w:rPr>
        <w:t xml:space="preserve">. </w:t>
      </w:r>
    </w:p>
    <w:p w14:paraId="077D2D93" w14:textId="77777777" w:rsidR="0032292F" w:rsidRPr="002F7AA6" w:rsidRDefault="0032292F" w:rsidP="0032292F">
      <w:pPr>
        <w:pStyle w:val="Bibliography"/>
        <w:rPr>
          <w:rFonts w:ascii="Calibri" w:cs="Calibri"/>
        </w:rPr>
      </w:pPr>
      <w:r w:rsidRPr="002F7AA6">
        <w:rPr>
          <w:rFonts w:ascii="Calibri" w:cs="Calibri"/>
        </w:rPr>
        <w:t xml:space="preserve">19. </w:t>
      </w:r>
      <w:r w:rsidRPr="002F7AA6">
        <w:rPr>
          <w:rFonts w:ascii="Calibri" w:cs="Calibri"/>
        </w:rPr>
        <w:tab/>
        <w:t xml:space="preserve">van Linschoten RCA, van Leeuwen N, Nieboer D, et al. Value-based care pathway for inflammatory bowel disease: a protocol for the multicentre longitudinal non-randomised parallel cluster IBD Value study with baseline period. BMJ Open 2022;12(1):e050539. </w:t>
      </w:r>
    </w:p>
    <w:p w14:paraId="684A039E" w14:textId="77777777" w:rsidR="0032292F" w:rsidRPr="002F7AA6" w:rsidRDefault="0032292F" w:rsidP="0032292F">
      <w:pPr>
        <w:pStyle w:val="Bibliography"/>
        <w:rPr>
          <w:rFonts w:ascii="Calibri" w:cs="Calibri"/>
        </w:rPr>
      </w:pPr>
      <w:r w:rsidRPr="002F7AA6">
        <w:rPr>
          <w:rFonts w:ascii="Calibri" w:cs="Calibri"/>
        </w:rPr>
        <w:t xml:space="preserve">20. </w:t>
      </w:r>
      <w:r w:rsidRPr="002F7AA6">
        <w:rPr>
          <w:rFonts w:ascii="Calibri" w:cs="Calibri"/>
        </w:rPr>
        <w:tab/>
        <w:t>Story of the COVID-19 IBD Risk Tool [Internet]. IBD Regist. [cited 2021 Oct 23];Available from: https://ibdregistry.org.uk/story-of-the-covid-19-ibd-risk-tool/</w:t>
      </w:r>
    </w:p>
    <w:p w14:paraId="7A79AC78" w14:textId="77777777" w:rsidR="0032292F" w:rsidRPr="002F7AA6" w:rsidRDefault="0032292F" w:rsidP="0032292F">
      <w:pPr>
        <w:pStyle w:val="Bibliography"/>
        <w:rPr>
          <w:rFonts w:ascii="Calibri" w:cs="Calibri"/>
        </w:rPr>
      </w:pPr>
      <w:r w:rsidRPr="002F7AA6">
        <w:rPr>
          <w:rFonts w:ascii="Calibri" w:cs="Calibri"/>
        </w:rPr>
        <w:t xml:space="preserve">21. </w:t>
      </w:r>
      <w:r w:rsidRPr="002F7AA6">
        <w:rPr>
          <w:rFonts w:ascii="Calibri" w:cs="Calibri"/>
        </w:rPr>
        <w:tab/>
        <w:t>REDCap [Internet]. [cited 2023 Jan 24];Available from: https://www.project-redcap.org/</w:t>
      </w:r>
    </w:p>
    <w:p w14:paraId="28DA8343" w14:textId="77777777" w:rsidR="0032292F" w:rsidRPr="002F7AA6" w:rsidRDefault="0032292F" w:rsidP="0032292F">
      <w:pPr>
        <w:pStyle w:val="Bibliography"/>
        <w:rPr>
          <w:rFonts w:ascii="Calibri" w:cs="Calibri"/>
        </w:rPr>
      </w:pPr>
      <w:r w:rsidRPr="002F7AA6">
        <w:rPr>
          <w:rFonts w:ascii="Calibri" w:cs="Calibri"/>
        </w:rPr>
        <w:t xml:space="preserve">22. </w:t>
      </w:r>
      <w:r w:rsidRPr="002F7AA6">
        <w:rPr>
          <w:rFonts w:ascii="Calibri" w:cs="Calibri"/>
        </w:rPr>
        <w:tab/>
        <w:t xml:space="preserve">Mîndrilă D. Maximum Likelihood (ML) and Diagonally Weighted Least Squares (DWLS) Estimation Procedures: A Comparison of Estimation Bias with Ordinal and Multivariate Non-Normal Data. Int J Digit Soc 2010;1(1):60–6. </w:t>
      </w:r>
    </w:p>
    <w:p w14:paraId="61EA6AFE" w14:textId="77777777" w:rsidR="0032292F" w:rsidRPr="002F7AA6" w:rsidRDefault="0032292F" w:rsidP="0032292F">
      <w:pPr>
        <w:pStyle w:val="Bibliography"/>
        <w:rPr>
          <w:rFonts w:ascii="Calibri" w:cs="Calibri"/>
        </w:rPr>
      </w:pPr>
      <w:r w:rsidRPr="002F7AA6">
        <w:rPr>
          <w:rFonts w:ascii="Calibri" w:cs="Calibri"/>
        </w:rPr>
        <w:t xml:space="preserve">23. </w:t>
      </w:r>
      <w:r w:rsidRPr="002F7AA6">
        <w:rPr>
          <w:rFonts w:ascii="Calibri" w:cs="Calibri"/>
        </w:rPr>
        <w:tab/>
        <w:t xml:space="preserve">Hu L, Bentler PM. Cutoff criteria for fit indexes in covariance structure analysis: Conventional criteria versus new alternatives. Struct Equ Model Multidiscip J 1999;6(1):1–55. </w:t>
      </w:r>
    </w:p>
    <w:p w14:paraId="79178150" w14:textId="77777777" w:rsidR="0032292F" w:rsidRPr="002F7AA6" w:rsidRDefault="0032292F" w:rsidP="0032292F">
      <w:pPr>
        <w:pStyle w:val="Bibliography"/>
        <w:rPr>
          <w:rFonts w:ascii="Calibri" w:cs="Calibri"/>
        </w:rPr>
      </w:pPr>
      <w:r w:rsidRPr="002F7AA6">
        <w:rPr>
          <w:rFonts w:ascii="Calibri" w:cs="Calibri"/>
        </w:rPr>
        <w:t xml:space="preserve">24. </w:t>
      </w:r>
      <w:r w:rsidRPr="002F7AA6">
        <w:rPr>
          <w:rFonts w:ascii="Calibri" w:cs="Calibri"/>
        </w:rPr>
        <w:tab/>
        <w:t xml:space="preserve">MacCallum RC, Browne MW, Sugawara HM. Power analysis and determination of sample size for covariance structure modeling. Psychol Methods 1996;1:130–49. </w:t>
      </w:r>
    </w:p>
    <w:p w14:paraId="15C8E19C" w14:textId="77777777" w:rsidR="0032292F" w:rsidRPr="002F7AA6" w:rsidRDefault="0032292F" w:rsidP="0032292F">
      <w:pPr>
        <w:pStyle w:val="Bibliography"/>
        <w:rPr>
          <w:rFonts w:ascii="Calibri" w:cs="Calibri"/>
        </w:rPr>
      </w:pPr>
      <w:r w:rsidRPr="002F7AA6">
        <w:rPr>
          <w:rFonts w:ascii="Calibri" w:cs="Calibri"/>
        </w:rPr>
        <w:t xml:space="preserve">25. </w:t>
      </w:r>
      <w:r w:rsidRPr="002F7AA6">
        <w:rPr>
          <w:rFonts w:ascii="Calibri" w:cs="Calibri"/>
        </w:rPr>
        <w:tab/>
        <w:t xml:space="preserve">Revelle W, Zinbarg RE. Coefficients Alpha, Beta, Omega, and the glb: Comments on Sijtsma. Psychometrika 2008;74(1):145. </w:t>
      </w:r>
    </w:p>
    <w:p w14:paraId="5683E7C6" w14:textId="77777777" w:rsidR="0032292F" w:rsidRPr="002F7AA6" w:rsidRDefault="0032292F" w:rsidP="0032292F">
      <w:pPr>
        <w:pStyle w:val="Bibliography"/>
        <w:rPr>
          <w:rFonts w:ascii="Calibri" w:cs="Calibri"/>
        </w:rPr>
      </w:pPr>
      <w:r w:rsidRPr="002F7AA6">
        <w:rPr>
          <w:rFonts w:ascii="Calibri" w:cs="Calibri"/>
        </w:rPr>
        <w:t xml:space="preserve">26. </w:t>
      </w:r>
      <w:r w:rsidRPr="002F7AA6">
        <w:rPr>
          <w:rFonts w:ascii="Calibri" w:cs="Calibri"/>
        </w:rPr>
        <w:tab/>
        <w:t xml:space="preserve">Chen FF. Sensitivity of Goodness of Fit Indexes to Lack of Measurement Invariance. Struct Equ Model Multidiscip J 2007;14(3):464–504. </w:t>
      </w:r>
    </w:p>
    <w:p w14:paraId="1D5F896C" w14:textId="77777777" w:rsidR="0032292F" w:rsidRPr="002F7AA6" w:rsidRDefault="0032292F" w:rsidP="0032292F">
      <w:pPr>
        <w:pStyle w:val="Bibliography"/>
        <w:rPr>
          <w:rFonts w:ascii="Calibri" w:cs="Calibri"/>
        </w:rPr>
      </w:pPr>
      <w:r w:rsidRPr="002F7AA6">
        <w:rPr>
          <w:rFonts w:ascii="Calibri" w:cs="Calibri"/>
        </w:rPr>
        <w:lastRenderedPageBreak/>
        <w:t xml:space="preserve">27. </w:t>
      </w:r>
      <w:r w:rsidRPr="002F7AA6">
        <w:rPr>
          <w:rFonts w:ascii="Calibri" w:cs="Calibri"/>
        </w:rPr>
        <w:tab/>
        <w:t xml:space="preserve">Colombel J-F, D’haens G, Lee W-J, Petersson J, Panaccione R. Outcomes and Strategies to Support a Treat-to-target Approach in Inflammatory Bowel Disease: A Systematic Review. J Crohns Colitis 2020;14(2):254–66. </w:t>
      </w:r>
    </w:p>
    <w:p w14:paraId="7527BCB0" w14:textId="77777777" w:rsidR="0032292F" w:rsidRPr="002F7AA6" w:rsidRDefault="0032292F" w:rsidP="0032292F">
      <w:pPr>
        <w:pStyle w:val="Bibliography"/>
        <w:rPr>
          <w:rFonts w:ascii="Calibri" w:cs="Calibri"/>
        </w:rPr>
      </w:pPr>
      <w:r w:rsidRPr="002F7AA6">
        <w:rPr>
          <w:rFonts w:ascii="Calibri" w:cs="Calibri"/>
        </w:rPr>
        <w:t xml:space="preserve">28. </w:t>
      </w:r>
      <w:r w:rsidRPr="002F7AA6">
        <w:rPr>
          <w:rFonts w:ascii="Calibri" w:cs="Calibri"/>
        </w:rPr>
        <w:tab/>
        <w:t xml:space="preserve">Fehnel S, DeMuro C, McLeod L, Coon C, Gnanasakthy A. US FDA patient-reported outcome guidance: great expectations and unintended consequences. Expert Rev Pharmacoecon Outcomes Res 2013;13(4):441–6. </w:t>
      </w:r>
    </w:p>
    <w:p w14:paraId="107E9E95" w14:textId="77777777" w:rsidR="0032292F" w:rsidRPr="002F7AA6" w:rsidRDefault="0032292F" w:rsidP="0032292F">
      <w:pPr>
        <w:pStyle w:val="Bibliography"/>
        <w:rPr>
          <w:rFonts w:ascii="Calibri" w:cs="Calibri"/>
        </w:rPr>
      </w:pPr>
      <w:r w:rsidRPr="002F7AA6">
        <w:rPr>
          <w:rFonts w:ascii="Calibri" w:cs="Calibri"/>
        </w:rPr>
        <w:t xml:space="preserve">29. </w:t>
      </w:r>
      <w:r w:rsidRPr="002F7AA6">
        <w:rPr>
          <w:rFonts w:ascii="Calibri" w:cs="Calibri"/>
        </w:rPr>
        <w:tab/>
        <w:t xml:space="preserve">Walsh A, Travis S. What’s app? Electronic health technology in inflammatory bowel disease. Intest Res 2018;16(3):366–73. </w:t>
      </w:r>
    </w:p>
    <w:p w14:paraId="64966A4E" w14:textId="77777777" w:rsidR="0032292F" w:rsidRPr="002F7AA6" w:rsidRDefault="0032292F" w:rsidP="0032292F">
      <w:pPr>
        <w:pStyle w:val="Bibliography"/>
        <w:rPr>
          <w:rFonts w:ascii="Calibri" w:cs="Calibri"/>
        </w:rPr>
      </w:pPr>
      <w:r w:rsidRPr="002F7AA6">
        <w:rPr>
          <w:rFonts w:ascii="Calibri" w:cs="Calibri"/>
        </w:rPr>
        <w:t xml:space="preserve">30. </w:t>
      </w:r>
      <w:r w:rsidRPr="002F7AA6">
        <w:rPr>
          <w:rFonts w:ascii="Calibri" w:cs="Calibri"/>
        </w:rPr>
        <w:tab/>
        <w:t xml:space="preserve">Escoffery C. Gender Similarities and Differences for e-Health Behaviors Among U.S. Adults. Telemed J E-Health Off J Am Telemed Assoc 2018;24(5):335–43. </w:t>
      </w:r>
    </w:p>
    <w:p w14:paraId="79792AAB" w14:textId="77777777" w:rsidR="0032292F" w:rsidRPr="002F7AA6" w:rsidRDefault="0032292F" w:rsidP="0032292F">
      <w:pPr>
        <w:pStyle w:val="Bibliography"/>
        <w:rPr>
          <w:rFonts w:ascii="Calibri" w:cs="Calibri"/>
        </w:rPr>
      </w:pPr>
      <w:r w:rsidRPr="002F7AA6">
        <w:rPr>
          <w:rFonts w:ascii="Calibri" w:cs="Calibri"/>
        </w:rPr>
        <w:t xml:space="preserve">31. </w:t>
      </w:r>
      <w:r w:rsidRPr="002F7AA6">
        <w:rPr>
          <w:rFonts w:ascii="Calibri" w:cs="Calibri"/>
        </w:rPr>
        <w:tab/>
        <w:t>Inflammatory Bowel Disease | ICHOM – International Consortium for Health Outcomes Measurement [Internet]. [cited 2017 Mar 6];Available from: http://www.ichom.org/medical-conditions/inflammatory-bowel-disease/</w:t>
      </w:r>
    </w:p>
    <w:p w14:paraId="73E331E7" w14:textId="46891EE0" w:rsidR="005A43C3" w:rsidRPr="002F7AA6" w:rsidRDefault="005A43C3" w:rsidP="005A43C3">
      <w:pPr>
        <w:rPr>
          <w:b/>
          <w:bCs/>
        </w:rPr>
      </w:pPr>
      <w:r w:rsidRPr="002F7AA6">
        <w:rPr>
          <w:rFonts w:ascii="Calibri" w:cs="Calibri"/>
        </w:rPr>
        <w:fldChar w:fldCharType="end"/>
      </w:r>
    </w:p>
    <w:p w14:paraId="295C55CF" w14:textId="0CE6AD09" w:rsidR="00813F1F" w:rsidRPr="00813F1F" w:rsidRDefault="00813F1F">
      <w:pPr>
        <w:rPr>
          <w:b/>
          <w:bCs/>
        </w:rPr>
      </w:pPr>
    </w:p>
    <w:sectPr w:rsidR="00813F1F" w:rsidRPr="00813F1F" w:rsidSect="00DF3DA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58C96" w14:textId="77777777" w:rsidR="0078661F" w:rsidRDefault="0078661F" w:rsidP="00145626">
      <w:pPr>
        <w:spacing w:after="0" w:line="240" w:lineRule="auto"/>
      </w:pPr>
      <w:r>
        <w:separator/>
      </w:r>
    </w:p>
  </w:endnote>
  <w:endnote w:type="continuationSeparator" w:id="0">
    <w:p w14:paraId="4B9F482D" w14:textId="77777777" w:rsidR="0078661F" w:rsidRDefault="0078661F" w:rsidP="00145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2939042"/>
      <w:docPartObj>
        <w:docPartGallery w:val="Page Numbers (Bottom of Page)"/>
        <w:docPartUnique/>
      </w:docPartObj>
    </w:sdtPr>
    <w:sdtContent>
      <w:p w14:paraId="141046E1" w14:textId="611758CF" w:rsidR="007211AE" w:rsidRDefault="007211AE" w:rsidP="00570D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3DE79B" w14:textId="77777777" w:rsidR="007211AE" w:rsidRDefault="007211AE" w:rsidP="007211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763003"/>
      <w:docPartObj>
        <w:docPartGallery w:val="Page Numbers (Bottom of Page)"/>
        <w:docPartUnique/>
      </w:docPartObj>
    </w:sdtPr>
    <w:sdtContent>
      <w:p w14:paraId="265D0EE4" w14:textId="7D97517F" w:rsidR="007211AE" w:rsidRDefault="007211AE" w:rsidP="00570D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14:paraId="0770B04F" w14:textId="77777777" w:rsidR="007211AE" w:rsidRDefault="007211AE" w:rsidP="007211A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FFD39" w14:textId="77777777" w:rsidR="0078661F" w:rsidRDefault="0078661F" w:rsidP="00145626">
      <w:pPr>
        <w:spacing w:after="0" w:line="240" w:lineRule="auto"/>
      </w:pPr>
      <w:r>
        <w:separator/>
      </w:r>
    </w:p>
  </w:footnote>
  <w:footnote w:type="continuationSeparator" w:id="0">
    <w:p w14:paraId="0D7DE484" w14:textId="77777777" w:rsidR="0078661F" w:rsidRDefault="0078661F" w:rsidP="00145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FD2F3" w14:textId="7358B6BB" w:rsidR="007211AE" w:rsidRPr="007211AE" w:rsidRDefault="007211AE" w:rsidP="007211AE">
    <w:pPr>
      <w:pStyle w:val="Header"/>
      <w:jc w:val="right"/>
      <w:rPr>
        <w:sz w:val="18"/>
        <w:szCs w:val="18"/>
      </w:rPr>
    </w:pPr>
    <w:r w:rsidRPr="007211AE">
      <w:rPr>
        <w:sz w:val="18"/>
        <w:szCs w:val="18"/>
      </w:rPr>
      <w:t xml:space="preserve">Gebeyehu </w:t>
    </w:r>
    <w:r w:rsidRPr="007211AE">
      <w:rPr>
        <w:i/>
        <w:iCs/>
        <w:sz w:val="18"/>
        <w:szCs w:val="18"/>
      </w:rPr>
      <w:t>et al</w:t>
    </w:r>
    <w:r w:rsidRPr="007211AE">
      <w:rPr>
        <w:sz w:val="18"/>
        <w:szCs w:val="18"/>
      </w:rPr>
      <w:t>, Validation of the Inflammatory Bowel Disease Control Questionnaire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026EE"/>
    <w:multiLevelType w:val="multilevel"/>
    <w:tmpl w:val="41188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1E1EF4"/>
    <w:multiLevelType w:val="hybridMultilevel"/>
    <w:tmpl w:val="821629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7C4DB5"/>
    <w:multiLevelType w:val="hybridMultilevel"/>
    <w:tmpl w:val="DAEE8824"/>
    <w:lvl w:ilvl="0" w:tplc="56E04532">
      <w:start w:val="1"/>
      <w:numFmt w:val="decimal"/>
      <w:lvlText w:val="%1."/>
      <w:lvlJc w:val="left"/>
      <w:pPr>
        <w:ind w:left="720" w:hanging="360"/>
      </w:pPr>
      <w:rPr>
        <w:rFonts w:hint="default"/>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314E4C"/>
    <w:multiLevelType w:val="hybridMultilevel"/>
    <w:tmpl w:val="8B2EF468"/>
    <w:lvl w:ilvl="0" w:tplc="F8AEAEB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084169">
    <w:abstractNumId w:val="1"/>
  </w:num>
  <w:num w:numId="2" w16cid:durableId="1491292418">
    <w:abstractNumId w:val="3"/>
  </w:num>
  <w:num w:numId="3" w16cid:durableId="1861893281">
    <w:abstractNumId w:val="2"/>
  </w:num>
  <w:num w:numId="4" w16cid:durableId="2011522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trackRevisions/>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vfata5ztt5doe20ep50r0ttrdtexsver0a&quot;&gt;IBD-Control-8&lt;record-ids&gt;&lt;item&gt;8&lt;/item&gt;&lt;item&gt;9&lt;/item&gt;&lt;item&gt;10&lt;/item&gt;&lt;item&gt;11&lt;/item&gt;&lt;item&gt;12&lt;/item&gt;&lt;item&gt;13&lt;/item&gt;&lt;item&gt;14&lt;/item&gt;&lt;item&gt;15&lt;/item&gt;&lt;item&gt;16&lt;/item&gt;&lt;item&gt;17&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5&lt;/item&gt;&lt;/record-ids&gt;&lt;/item&gt;&lt;/Libraries&gt;"/>
  </w:docVars>
  <w:rsids>
    <w:rsidRoot w:val="005F4700"/>
    <w:rsid w:val="00003216"/>
    <w:rsid w:val="00005438"/>
    <w:rsid w:val="00006343"/>
    <w:rsid w:val="0000691A"/>
    <w:rsid w:val="00007A63"/>
    <w:rsid w:val="00010317"/>
    <w:rsid w:val="00014DF0"/>
    <w:rsid w:val="0001682C"/>
    <w:rsid w:val="000209A4"/>
    <w:rsid w:val="000217E6"/>
    <w:rsid w:val="0002391B"/>
    <w:rsid w:val="00024460"/>
    <w:rsid w:val="00025CB6"/>
    <w:rsid w:val="00025DAB"/>
    <w:rsid w:val="00026439"/>
    <w:rsid w:val="00026CBE"/>
    <w:rsid w:val="00027637"/>
    <w:rsid w:val="00027D9D"/>
    <w:rsid w:val="00027E35"/>
    <w:rsid w:val="00030491"/>
    <w:rsid w:val="0003099E"/>
    <w:rsid w:val="00031E99"/>
    <w:rsid w:val="0003349E"/>
    <w:rsid w:val="00033CBB"/>
    <w:rsid w:val="00035296"/>
    <w:rsid w:val="00037587"/>
    <w:rsid w:val="00040A8E"/>
    <w:rsid w:val="000419DF"/>
    <w:rsid w:val="00042C75"/>
    <w:rsid w:val="00042D30"/>
    <w:rsid w:val="00043E58"/>
    <w:rsid w:val="0004400F"/>
    <w:rsid w:val="00046B54"/>
    <w:rsid w:val="00053600"/>
    <w:rsid w:val="00055E8C"/>
    <w:rsid w:val="0006008F"/>
    <w:rsid w:val="00062F10"/>
    <w:rsid w:val="00063D11"/>
    <w:rsid w:val="000658CE"/>
    <w:rsid w:val="00065B56"/>
    <w:rsid w:val="00066548"/>
    <w:rsid w:val="0006703E"/>
    <w:rsid w:val="00067EFA"/>
    <w:rsid w:val="0007085B"/>
    <w:rsid w:val="000722DC"/>
    <w:rsid w:val="00072F67"/>
    <w:rsid w:val="00072F9D"/>
    <w:rsid w:val="000730EE"/>
    <w:rsid w:val="00073AC3"/>
    <w:rsid w:val="000748C9"/>
    <w:rsid w:val="0007553A"/>
    <w:rsid w:val="00077D27"/>
    <w:rsid w:val="00081AF8"/>
    <w:rsid w:val="000840EE"/>
    <w:rsid w:val="00085450"/>
    <w:rsid w:val="000857EB"/>
    <w:rsid w:val="00086978"/>
    <w:rsid w:val="00087422"/>
    <w:rsid w:val="000877C1"/>
    <w:rsid w:val="00087E12"/>
    <w:rsid w:val="00090A34"/>
    <w:rsid w:val="00092E6A"/>
    <w:rsid w:val="000941CF"/>
    <w:rsid w:val="000944BC"/>
    <w:rsid w:val="000944E6"/>
    <w:rsid w:val="00095D0C"/>
    <w:rsid w:val="00096165"/>
    <w:rsid w:val="00096B86"/>
    <w:rsid w:val="000978C8"/>
    <w:rsid w:val="00097B4F"/>
    <w:rsid w:val="000A12C5"/>
    <w:rsid w:val="000A269F"/>
    <w:rsid w:val="000A28A8"/>
    <w:rsid w:val="000A41E8"/>
    <w:rsid w:val="000A51F9"/>
    <w:rsid w:val="000A717F"/>
    <w:rsid w:val="000B0171"/>
    <w:rsid w:val="000B1E05"/>
    <w:rsid w:val="000B1EF6"/>
    <w:rsid w:val="000B3A6A"/>
    <w:rsid w:val="000B46C7"/>
    <w:rsid w:val="000B5142"/>
    <w:rsid w:val="000B54FA"/>
    <w:rsid w:val="000B58BA"/>
    <w:rsid w:val="000B59AA"/>
    <w:rsid w:val="000C0C38"/>
    <w:rsid w:val="000C12A5"/>
    <w:rsid w:val="000C1F4B"/>
    <w:rsid w:val="000C24FD"/>
    <w:rsid w:val="000C365A"/>
    <w:rsid w:val="000C4374"/>
    <w:rsid w:val="000C4D73"/>
    <w:rsid w:val="000C6848"/>
    <w:rsid w:val="000D2CFC"/>
    <w:rsid w:val="000D346F"/>
    <w:rsid w:val="000E1B3F"/>
    <w:rsid w:val="000E22C3"/>
    <w:rsid w:val="000E480F"/>
    <w:rsid w:val="000E4F4D"/>
    <w:rsid w:val="000F05AF"/>
    <w:rsid w:val="000F0B6B"/>
    <w:rsid w:val="000F33C4"/>
    <w:rsid w:val="000F4F8E"/>
    <w:rsid w:val="000F59E5"/>
    <w:rsid w:val="000F6AF6"/>
    <w:rsid w:val="00100FC3"/>
    <w:rsid w:val="001013DA"/>
    <w:rsid w:val="00101A64"/>
    <w:rsid w:val="00103753"/>
    <w:rsid w:val="00105ED6"/>
    <w:rsid w:val="001073BA"/>
    <w:rsid w:val="0011072E"/>
    <w:rsid w:val="001114AD"/>
    <w:rsid w:val="00112DE8"/>
    <w:rsid w:val="0011544B"/>
    <w:rsid w:val="00116EAB"/>
    <w:rsid w:val="0011724C"/>
    <w:rsid w:val="0011791B"/>
    <w:rsid w:val="00120DFA"/>
    <w:rsid w:val="0012285E"/>
    <w:rsid w:val="001234B6"/>
    <w:rsid w:val="0012446B"/>
    <w:rsid w:val="00130E8E"/>
    <w:rsid w:val="00141DF8"/>
    <w:rsid w:val="00142CD9"/>
    <w:rsid w:val="00143D50"/>
    <w:rsid w:val="00145626"/>
    <w:rsid w:val="001459CA"/>
    <w:rsid w:val="001533D6"/>
    <w:rsid w:val="001569BD"/>
    <w:rsid w:val="0016059A"/>
    <w:rsid w:val="00161EDA"/>
    <w:rsid w:val="00164918"/>
    <w:rsid w:val="00164C94"/>
    <w:rsid w:val="00165C43"/>
    <w:rsid w:val="00165E0D"/>
    <w:rsid w:val="00170A4E"/>
    <w:rsid w:val="00170C6E"/>
    <w:rsid w:val="00170F41"/>
    <w:rsid w:val="0017146C"/>
    <w:rsid w:val="001729D6"/>
    <w:rsid w:val="001732C7"/>
    <w:rsid w:val="00173AE1"/>
    <w:rsid w:val="0017417B"/>
    <w:rsid w:val="001742B4"/>
    <w:rsid w:val="0017794F"/>
    <w:rsid w:val="00177F67"/>
    <w:rsid w:val="00183B71"/>
    <w:rsid w:val="001847C2"/>
    <w:rsid w:val="00190938"/>
    <w:rsid w:val="00197A57"/>
    <w:rsid w:val="00197C49"/>
    <w:rsid w:val="001A26E3"/>
    <w:rsid w:val="001A4325"/>
    <w:rsid w:val="001A4734"/>
    <w:rsid w:val="001B0E92"/>
    <w:rsid w:val="001B2B1A"/>
    <w:rsid w:val="001B2B70"/>
    <w:rsid w:val="001B3083"/>
    <w:rsid w:val="001B392A"/>
    <w:rsid w:val="001B5BF0"/>
    <w:rsid w:val="001B6420"/>
    <w:rsid w:val="001B6FCB"/>
    <w:rsid w:val="001B71BD"/>
    <w:rsid w:val="001C06D5"/>
    <w:rsid w:val="001C14B0"/>
    <w:rsid w:val="001C2931"/>
    <w:rsid w:val="001C386C"/>
    <w:rsid w:val="001C4583"/>
    <w:rsid w:val="001C4624"/>
    <w:rsid w:val="001C6C0D"/>
    <w:rsid w:val="001C7FBF"/>
    <w:rsid w:val="001D134A"/>
    <w:rsid w:val="001D438B"/>
    <w:rsid w:val="001D43F3"/>
    <w:rsid w:val="001E1AD3"/>
    <w:rsid w:val="001E6047"/>
    <w:rsid w:val="001E6817"/>
    <w:rsid w:val="001E70D1"/>
    <w:rsid w:val="001F088D"/>
    <w:rsid w:val="001F0B0E"/>
    <w:rsid w:val="001F7901"/>
    <w:rsid w:val="0020324F"/>
    <w:rsid w:val="00207150"/>
    <w:rsid w:val="002117B4"/>
    <w:rsid w:val="00212850"/>
    <w:rsid w:val="00212B10"/>
    <w:rsid w:val="00217717"/>
    <w:rsid w:val="00220B39"/>
    <w:rsid w:val="00221A5E"/>
    <w:rsid w:val="00226408"/>
    <w:rsid w:val="00230F63"/>
    <w:rsid w:val="0023104D"/>
    <w:rsid w:val="00231235"/>
    <w:rsid w:val="0023314D"/>
    <w:rsid w:val="0023526A"/>
    <w:rsid w:val="00236010"/>
    <w:rsid w:val="002370A5"/>
    <w:rsid w:val="002402B2"/>
    <w:rsid w:val="00240788"/>
    <w:rsid w:val="002422E0"/>
    <w:rsid w:val="0024425F"/>
    <w:rsid w:val="002472C4"/>
    <w:rsid w:val="00250700"/>
    <w:rsid w:val="00250D51"/>
    <w:rsid w:val="00253F35"/>
    <w:rsid w:val="002551A8"/>
    <w:rsid w:val="002577DF"/>
    <w:rsid w:val="00257B17"/>
    <w:rsid w:val="00257D24"/>
    <w:rsid w:val="0026017C"/>
    <w:rsid w:val="002617DA"/>
    <w:rsid w:val="00262DA4"/>
    <w:rsid w:val="002657F9"/>
    <w:rsid w:val="00265D33"/>
    <w:rsid w:val="00265FFF"/>
    <w:rsid w:val="00271680"/>
    <w:rsid w:val="0027210A"/>
    <w:rsid w:val="002733FD"/>
    <w:rsid w:val="0028023A"/>
    <w:rsid w:val="002810B7"/>
    <w:rsid w:val="0028200F"/>
    <w:rsid w:val="00282A58"/>
    <w:rsid w:val="002839A8"/>
    <w:rsid w:val="00284CA5"/>
    <w:rsid w:val="00286831"/>
    <w:rsid w:val="00287846"/>
    <w:rsid w:val="00296FF8"/>
    <w:rsid w:val="002A0949"/>
    <w:rsid w:val="002A0CD6"/>
    <w:rsid w:val="002A2532"/>
    <w:rsid w:val="002A3651"/>
    <w:rsid w:val="002A42B6"/>
    <w:rsid w:val="002A431D"/>
    <w:rsid w:val="002A43A0"/>
    <w:rsid w:val="002B00C1"/>
    <w:rsid w:val="002B17A3"/>
    <w:rsid w:val="002B45F2"/>
    <w:rsid w:val="002B7562"/>
    <w:rsid w:val="002C0E5F"/>
    <w:rsid w:val="002C1C5D"/>
    <w:rsid w:val="002C3A84"/>
    <w:rsid w:val="002D02B3"/>
    <w:rsid w:val="002D2483"/>
    <w:rsid w:val="002D2609"/>
    <w:rsid w:val="002D5D06"/>
    <w:rsid w:val="002D692A"/>
    <w:rsid w:val="002D6C05"/>
    <w:rsid w:val="002D719E"/>
    <w:rsid w:val="002D71D8"/>
    <w:rsid w:val="002D7BC4"/>
    <w:rsid w:val="002E3603"/>
    <w:rsid w:val="002E596F"/>
    <w:rsid w:val="002E7FC1"/>
    <w:rsid w:val="002F0169"/>
    <w:rsid w:val="002F052E"/>
    <w:rsid w:val="002F0BED"/>
    <w:rsid w:val="002F3978"/>
    <w:rsid w:val="002F7AA6"/>
    <w:rsid w:val="00300B54"/>
    <w:rsid w:val="003019C6"/>
    <w:rsid w:val="00302105"/>
    <w:rsid w:val="00303B01"/>
    <w:rsid w:val="0030645C"/>
    <w:rsid w:val="00306FF2"/>
    <w:rsid w:val="003106FE"/>
    <w:rsid w:val="00312275"/>
    <w:rsid w:val="00315DD3"/>
    <w:rsid w:val="00320588"/>
    <w:rsid w:val="0032292F"/>
    <w:rsid w:val="0032356A"/>
    <w:rsid w:val="00323EDF"/>
    <w:rsid w:val="003254CA"/>
    <w:rsid w:val="003255CA"/>
    <w:rsid w:val="00325DA9"/>
    <w:rsid w:val="00326AA9"/>
    <w:rsid w:val="00327862"/>
    <w:rsid w:val="00330B31"/>
    <w:rsid w:val="003346A9"/>
    <w:rsid w:val="00335267"/>
    <w:rsid w:val="0033559D"/>
    <w:rsid w:val="00336E88"/>
    <w:rsid w:val="00337844"/>
    <w:rsid w:val="00344BA9"/>
    <w:rsid w:val="0035036C"/>
    <w:rsid w:val="00350F7A"/>
    <w:rsid w:val="00353D75"/>
    <w:rsid w:val="003569B9"/>
    <w:rsid w:val="00357AB0"/>
    <w:rsid w:val="00361296"/>
    <w:rsid w:val="0036285A"/>
    <w:rsid w:val="0036482C"/>
    <w:rsid w:val="00364DD7"/>
    <w:rsid w:val="0036714F"/>
    <w:rsid w:val="003703F4"/>
    <w:rsid w:val="00370F63"/>
    <w:rsid w:val="00372239"/>
    <w:rsid w:val="003725B5"/>
    <w:rsid w:val="00374E41"/>
    <w:rsid w:val="00381E9D"/>
    <w:rsid w:val="00383AB4"/>
    <w:rsid w:val="00386E19"/>
    <w:rsid w:val="003900AB"/>
    <w:rsid w:val="00390FD5"/>
    <w:rsid w:val="00392F0C"/>
    <w:rsid w:val="00396826"/>
    <w:rsid w:val="003973B4"/>
    <w:rsid w:val="003A24D4"/>
    <w:rsid w:val="003A26F6"/>
    <w:rsid w:val="003A3398"/>
    <w:rsid w:val="003A6FF2"/>
    <w:rsid w:val="003B1483"/>
    <w:rsid w:val="003B2084"/>
    <w:rsid w:val="003B36F0"/>
    <w:rsid w:val="003B4674"/>
    <w:rsid w:val="003B5337"/>
    <w:rsid w:val="003B5562"/>
    <w:rsid w:val="003B63AD"/>
    <w:rsid w:val="003C15C8"/>
    <w:rsid w:val="003C19BC"/>
    <w:rsid w:val="003C1A22"/>
    <w:rsid w:val="003C22CA"/>
    <w:rsid w:val="003C55E5"/>
    <w:rsid w:val="003C6A9C"/>
    <w:rsid w:val="003D04F3"/>
    <w:rsid w:val="003D0A5D"/>
    <w:rsid w:val="003D2E88"/>
    <w:rsid w:val="003D3144"/>
    <w:rsid w:val="003D54A4"/>
    <w:rsid w:val="003E001B"/>
    <w:rsid w:val="003E2433"/>
    <w:rsid w:val="003E680A"/>
    <w:rsid w:val="003F16DB"/>
    <w:rsid w:val="003F2A57"/>
    <w:rsid w:val="003F2C6B"/>
    <w:rsid w:val="003F4F02"/>
    <w:rsid w:val="003F5545"/>
    <w:rsid w:val="003F67CB"/>
    <w:rsid w:val="00400F74"/>
    <w:rsid w:val="00402CDB"/>
    <w:rsid w:val="00403507"/>
    <w:rsid w:val="0040374F"/>
    <w:rsid w:val="00405A93"/>
    <w:rsid w:val="0041024D"/>
    <w:rsid w:val="00411B9E"/>
    <w:rsid w:val="00412E50"/>
    <w:rsid w:val="00413C09"/>
    <w:rsid w:val="00417AC3"/>
    <w:rsid w:val="00420305"/>
    <w:rsid w:val="004203C2"/>
    <w:rsid w:val="0042171D"/>
    <w:rsid w:val="00430620"/>
    <w:rsid w:val="00434303"/>
    <w:rsid w:val="00434C34"/>
    <w:rsid w:val="00437645"/>
    <w:rsid w:val="00440839"/>
    <w:rsid w:val="00442D17"/>
    <w:rsid w:val="004520CF"/>
    <w:rsid w:val="00455C22"/>
    <w:rsid w:val="00457EDD"/>
    <w:rsid w:val="00465DC9"/>
    <w:rsid w:val="00466B80"/>
    <w:rsid w:val="00466C5B"/>
    <w:rsid w:val="0046724D"/>
    <w:rsid w:val="00470113"/>
    <w:rsid w:val="0047177F"/>
    <w:rsid w:val="00471DD7"/>
    <w:rsid w:val="0047231C"/>
    <w:rsid w:val="00472574"/>
    <w:rsid w:val="00477291"/>
    <w:rsid w:val="0047743A"/>
    <w:rsid w:val="00477A2D"/>
    <w:rsid w:val="00477B9D"/>
    <w:rsid w:val="00481104"/>
    <w:rsid w:val="00483DD9"/>
    <w:rsid w:val="00484AA1"/>
    <w:rsid w:val="00487027"/>
    <w:rsid w:val="00491299"/>
    <w:rsid w:val="004919A9"/>
    <w:rsid w:val="00494A20"/>
    <w:rsid w:val="004968FB"/>
    <w:rsid w:val="004A2DBC"/>
    <w:rsid w:val="004A5D79"/>
    <w:rsid w:val="004B122B"/>
    <w:rsid w:val="004B1242"/>
    <w:rsid w:val="004B124C"/>
    <w:rsid w:val="004B2BE1"/>
    <w:rsid w:val="004B33C0"/>
    <w:rsid w:val="004B5FAA"/>
    <w:rsid w:val="004B69FF"/>
    <w:rsid w:val="004C15BC"/>
    <w:rsid w:val="004C4C80"/>
    <w:rsid w:val="004D05B5"/>
    <w:rsid w:val="004D2355"/>
    <w:rsid w:val="004D6881"/>
    <w:rsid w:val="004D73AE"/>
    <w:rsid w:val="004E2956"/>
    <w:rsid w:val="004E299C"/>
    <w:rsid w:val="004E2C81"/>
    <w:rsid w:val="004E3F56"/>
    <w:rsid w:val="004E4724"/>
    <w:rsid w:val="004E502B"/>
    <w:rsid w:val="004F0D04"/>
    <w:rsid w:val="004F1E4F"/>
    <w:rsid w:val="004F4040"/>
    <w:rsid w:val="004F51BC"/>
    <w:rsid w:val="004F6CC7"/>
    <w:rsid w:val="004F6F6F"/>
    <w:rsid w:val="00501D8F"/>
    <w:rsid w:val="00502FB1"/>
    <w:rsid w:val="00515E1B"/>
    <w:rsid w:val="005160F2"/>
    <w:rsid w:val="0051716F"/>
    <w:rsid w:val="00523107"/>
    <w:rsid w:val="0052372D"/>
    <w:rsid w:val="00523AF3"/>
    <w:rsid w:val="0052415C"/>
    <w:rsid w:val="00527371"/>
    <w:rsid w:val="00531D88"/>
    <w:rsid w:val="005334CD"/>
    <w:rsid w:val="005420DC"/>
    <w:rsid w:val="005429D8"/>
    <w:rsid w:val="00543CD9"/>
    <w:rsid w:val="00546EDE"/>
    <w:rsid w:val="00547712"/>
    <w:rsid w:val="00553026"/>
    <w:rsid w:val="00553F3F"/>
    <w:rsid w:val="00554F36"/>
    <w:rsid w:val="00557A62"/>
    <w:rsid w:val="00557E13"/>
    <w:rsid w:val="00564D95"/>
    <w:rsid w:val="00566581"/>
    <w:rsid w:val="00567B44"/>
    <w:rsid w:val="005718D2"/>
    <w:rsid w:val="00573D27"/>
    <w:rsid w:val="00573F7C"/>
    <w:rsid w:val="005741FE"/>
    <w:rsid w:val="00575E9F"/>
    <w:rsid w:val="0057656B"/>
    <w:rsid w:val="005770DE"/>
    <w:rsid w:val="00580F1E"/>
    <w:rsid w:val="00581BA1"/>
    <w:rsid w:val="005836C8"/>
    <w:rsid w:val="00584A59"/>
    <w:rsid w:val="00592340"/>
    <w:rsid w:val="0059255D"/>
    <w:rsid w:val="0059470A"/>
    <w:rsid w:val="00594E10"/>
    <w:rsid w:val="0059620C"/>
    <w:rsid w:val="00596246"/>
    <w:rsid w:val="00596615"/>
    <w:rsid w:val="005A16B4"/>
    <w:rsid w:val="005A2188"/>
    <w:rsid w:val="005A2DA0"/>
    <w:rsid w:val="005A411D"/>
    <w:rsid w:val="005A43C3"/>
    <w:rsid w:val="005A5995"/>
    <w:rsid w:val="005A6893"/>
    <w:rsid w:val="005A6FBC"/>
    <w:rsid w:val="005B1580"/>
    <w:rsid w:val="005B267E"/>
    <w:rsid w:val="005B2FEA"/>
    <w:rsid w:val="005B434A"/>
    <w:rsid w:val="005B6624"/>
    <w:rsid w:val="005B74B8"/>
    <w:rsid w:val="005C2687"/>
    <w:rsid w:val="005C2DA8"/>
    <w:rsid w:val="005C33B6"/>
    <w:rsid w:val="005C5194"/>
    <w:rsid w:val="005D0483"/>
    <w:rsid w:val="005D353E"/>
    <w:rsid w:val="005D3943"/>
    <w:rsid w:val="005D5CC2"/>
    <w:rsid w:val="005E08F1"/>
    <w:rsid w:val="005F354E"/>
    <w:rsid w:val="005F4700"/>
    <w:rsid w:val="005F593F"/>
    <w:rsid w:val="005F69A3"/>
    <w:rsid w:val="005F792D"/>
    <w:rsid w:val="00601041"/>
    <w:rsid w:val="00601688"/>
    <w:rsid w:val="00601F5E"/>
    <w:rsid w:val="00602C37"/>
    <w:rsid w:val="006043C5"/>
    <w:rsid w:val="0060646B"/>
    <w:rsid w:val="006071EE"/>
    <w:rsid w:val="0060766F"/>
    <w:rsid w:val="00611225"/>
    <w:rsid w:val="00611777"/>
    <w:rsid w:val="00612549"/>
    <w:rsid w:val="00616B10"/>
    <w:rsid w:val="00616FAE"/>
    <w:rsid w:val="00621DBC"/>
    <w:rsid w:val="006223FE"/>
    <w:rsid w:val="0062795A"/>
    <w:rsid w:val="00631583"/>
    <w:rsid w:val="0063253C"/>
    <w:rsid w:val="00632AE6"/>
    <w:rsid w:val="00634759"/>
    <w:rsid w:val="00636CCD"/>
    <w:rsid w:val="006421A5"/>
    <w:rsid w:val="006429BF"/>
    <w:rsid w:val="00642EAF"/>
    <w:rsid w:val="00643301"/>
    <w:rsid w:val="00643ED2"/>
    <w:rsid w:val="00644148"/>
    <w:rsid w:val="00644417"/>
    <w:rsid w:val="00646ACD"/>
    <w:rsid w:val="00646EA2"/>
    <w:rsid w:val="006470D1"/>
    <w:rsid w:val="00650AC4"/>
    <w:rsid w:val="0065284F"/>
    <w:rsid w:val="006533AA"/>
    <w:rsid w:val="006535EC"/>
    <w:rsid w:val="006549EB"/>
    <w:rsid w:val="0065500C"/>
    <w:rsid w:val="00655546"/>
    <w:rsid w:val="00655C16"/>
    <w:rsid w:val="006605A3"/>
    <w:rsid w:val="0066188B"/>
    <w:rsid w:val="00661AF6"/>
    <w:rsid w:val="00661EB9"/>
    <w:rsid w:val="00662C52"/>
    <w:rsid w:val="00662FAA"/>
    <w:rsid w:val="0066452F"/>
    <w:rsid w:val="006660AA"/>
    <w:rsid w:val="0066690B"/>
    <w:rsid w:val="006702A6"/>
    <w:rsid w:val="006717B0"/>
    <w:rsid w:val="0067268D"/>
    <w:rsid w:val="00672DA8"/>
    <w:rsid w:val="006741D7"/>
    <w:rsid w:val="006749B1"/>
    <w:rsid w:val="00676001"/>
    <w:rsid w:val="00676452"/>
    <w:rsid w:val="0068130C"/>
    <w:rsid w:val="0068177E"/>
    <w:rsid w:val="00682A50"/>
    <w:rsid w:val="00684924"/>
    <w:rsid w:val="00692091"/>
    <w:rsid w:val="006927B3"/>
    <w:rsid w:val="0069567E"/>
    <w:rsid w:val="00695C5D"/>
    <w:rsid w:val="00697FD6"/>
    <w:rsid w:val="006A2006"/>
    <w:rsid w:val="006A2807"/>
    <w:rsid w:val="006A4192"/>
    <w:rsid w:val="006B4430"/>
    <w:rsid w:val="006B73E2"/>
    <w:rsid w:val="006B776B"/>
    <w:rsid w:val="006B7C24"/>
    <w:rsid w:val="006C37AE"/>
    <w:rsid w:val="006C4C56"/>
    <w:rsid w:val="006C7A5B"/>
    <w:rsid w:val="006D0B97"/>
    <w:rsid w:val="006D17C9"/>
    <w:rsid w:val="006D211E"/>
    <w:rsid w:val="006D22B7"/>
    <w:rsid w:val="006D5DC9"/>
    <w:rsid w:val="006D6685"/>
    <w:rsid w:val="006E07CA"/>
    <w:rsid w:val="006E1AA3"/>
    <w:rsid w:val="006E474F"/>
    <w:rsid w:val="006E5447"/>
    <w:rsid w:val="006E6D6F"/>
    <w:rsid w:val="006E7751"/>
    <w:rsid w:val="006F0AAC"/>
    <w:rsid w:val="006F38A9"/>
    <w:rsid w:val="006F3C04"/>
    <w:rsid w:val="006F5F7B"/>
    <w:rsid w:val="006F66E5"/>
    <w:rsid w:val="007037E6"/>
    <w:rsid w:val="00703B10"/>
    <w:rsid w:val="00704A63"/>
    <w:rsid w:val="00704FB0"/>
    <w:rsid w:val="00705BBE"/>
    <w:rsid w:val="00705ECB"/>
    <w:rsid w:val="00705F16"/>
    <w:rsid w:val="00711450"/>
    <w:rsid w:val="00711E00"/>
    <w:rsid w:val="0071230C"/>
    <w:rsid w:val="00714438"/>
    <w:rsid w:val="00714E37"/>
    <w:rsid w:val="007211AE"/>
    <w:rsid w:val="007213BA"/>
    <w:rsid w:val="007235E8"/>
    <w:rsid w:val="007259E7"/>
    <w:rsid w:val="00726062"/>
    <w:rsid w:val="00726595"/>
    <w:rsid w:val="007272A0"/>
    <w:rsid w:val="00731D83"/>
    <w:rsid w:val="0073284C"/>
    <w:rsid w:val="007336D0"/>
    <w:rsid w:val="00733AC9"/>
    <w:rsid w:val="00733EB6"/>
    <w:rsid w:val="00734337"/>
    <w:rsid w:val="00740CF9"/>
    <w:rsid w:val="00741033"/>
    <w:rsid w:val="00741AC3"/>
    <w:rsid w:val="00741FFE"/>
    <w:rsid w:val="0074265B"/>
    <w:rsid w:val="00742DD3"/>
    <w:rsid w:val="007434B6"/>
    <w:rsid w:val="00744F87"/>
    <w:rsid w:val="00747D7B"/>
    <w:rsid w:val="00747E1E"/>
    <w:rsid w:val="00751E60"/>
    <w:rsid w:val="00756082"/>
    <w:rsid w:val="00757C6F"/>
    <w:rsid w:val="007604A6"/>
    <w:rsid w:val="00763610"/>
    <w:rsid w:val="00766711"/>
    <w:rsid w:val="00772996"/>
    <w:rsid w:val="007749E8"/>
    <w:rsid w:val="00774AD8"/>
    <w:rsid w:val="00774D1B"/>
    <w:rsid w:val="00777791"/>
    <w:rsid w:val="00780A92"/>
    <w:rsid w:val="00780B51"/>
    <w:rsid w:val="00782C03"/>
    <w:rsid w:val="00784B0D"/>
    <w:rsid w:val="00784E0F"/>
    <w:rsid w:val="00786313"/>
    <w:rsid w:val="0078661F"/>
    <w:rsid w:val="0078689C"/>
    <w:rsid w:val="00797C59"/>
    <w:rsid w:val="007A003F"/>
    <w:rsid w:val="007A2A2C"/>
    <w:rsid w:val="007A3044"/>
    <w:rsid w:val="007A355E"/>
    <w:rsid w:val="007B0B7C"/>
    <w:rsid w:val="007B166E"/>
    <w:rsid w:val="007B1EBF"/>
    <w:rsid w:val="007B1EFC"/>
    <w:rsid w:val="007B3508"/>
    <w:rsid w:val="007C0718"/>
    <w:rsid w:val="007D025A"/>
    <w:rsid w:val="007D0D5C"/>
    <w:rsid w:val="007D0FBF"/>
    <w:rsid w:val="007D1A1C"/>
    <w:rsid w:val="007D402F"/>
    <w:rsid w:val="007D6716"/>
    <w:rsid w:val="007D6F54"/>
    <w:rsid w:val="007D7444"/>
    <w:rsid w:val="007D7B89"/>
    <w:rsid w:val="007E10EF"/>
    <w:rsid w:val="007E49EA"/>
    <w:rsid w:val="007F010D"/>
    <w:rsid w:val="007F0831"/>
    <w:rsid w:val="007F1D2F"/>
    <w:rsid w:val="007F6B6F"/>
    <w:rsid w:val="007F6C33"/>
    <w:rsid w:val="0080166D"/>
    <w:rsid w:val="00801DBF"/>
    <w:rsid w:val="0080226F"/>
    <w:rsid w:val="008036C2"/>
    <w:rsid w:val="00804A81"/>
    <w:rsid w:val="00805B58"/>
    <w:rsid w:val="00807466"/>
    <w:rsid w:val="00807D69"/>
    <w:rsid w:val="00811165"/>
    <w:rsid w:val="00811E76"/>
    <w:rsid w:val="008138EF"/>
    <w:rsid w:val="00813C9A"/>
    <w:rsid w:val="00813F1F"/>
    <w:rsid w:val="00814380"/>
    <w:rsid w:val="00814D2C"/>
    <w:rsid w:val="00814EBA"/>
    <w:rsid w:val="00817A94"/>
    <w:rsid w:val="008209D8"/>
    <w:rsid w:val="00822C59"/>
    <w:rsid w:val="008248D9"/>
    <w:rsid w:val="0082547F"/>
    <w:rsid w:val="00826CA9"/>
    <w:rsid w:val="0082721F"/>
    <w:rsid w:val="008275EA"/>
    <w:rsid w:val="0083273F"/>
    <w:rsid w:val="00832B91"/>
    <w:rsid w:val="00834C75"/>
    <w:rsid w:val="008376EC"/>
    <w:rsid w:val="00840AE4"/>
    <w:rsid w:val="0084118A"/>
    <w:rsid w:val="0084195E"/>
    <w:rsid w:val="008446A3"/>
    <w:rsid w:val="00846ED0"/>
    <w:rsid w:val="008532B6"/>
    <w:rsid w:val="00860908"/>
    <w:rsid w:val="0086171D"/>
    <w:rsid w:val="008623F9"/>
    <w:rsid w:val="00863628"/>
    <w:rsid w:val="00866F18"/>
    <w:rsid w:val="0086791B"/>
    <w:rsid w:val="00870CAD"/>
    <w:rsid w:val="00873F67"/>
    <w:rsid w:val="00874872"/>
    <w:rsid w:val="00875879"/>
    <w:rsid w:val="00876BD6"/>
    <w:rsid w:val="00886DD3"/>
    <w:rsid w:val="00887415"/>
    <w:rsid w:val="008925A3"/>
    <w:rsid w:val="00892987"/>
    <w:rsid w:val="00894835"/>
    <w:rsid w:val="00897C81"/>
    <w:rsid w:val="008A02F1"/>
    <w:rsid w:val="008A0F09"/>
    <w:rsid w:val="008A27C2"/>
    <w:rsid w:val="008A5C09"/>
    <w:rsid w:val="008B0610"/>
    <w:rsid w:val="008B2C4A"/>
    <w:rsid w:val="008B39FC"/>
    <w:rsid w:val="008B3DD2"/>
    <w:rsid w:val="008B57AE"/>
    <w:rsid w:val="008B59CB"/>
    <w:rsid w:val="008B5BE0"/>
    <w:rsid w:val="008B79B6"/>
    <w:rsid w:val="008C0DAD"/>
    <w:rsid w:val="008C0E2A"/>
    <w:rsid w:val="008C13F4"/>
    <w:rsid w:val="008C2397"/>
    <w:rsid w:val="008C265A"/>
    <w:rsid w:val="008C2D30"/>
    <w:rsid w:val="008C4997"/>
    <w:rsid w:val="008C4A4A"/>
    <w:rsid w:val="008C6426"/>
    <w:rsid w:val="008C725A"/>
    <w:rsid w:val="008D30FC"/>
    <w:rsid w:val="008D3B33"/>
    <w:rsid w:val="008D4254"/>
    <w:rsid w:val="008D4B93"/>
    <w:rsid w:val="008D64A5"/>
    <w:rsid w:val="008D7345"/>
    <w:rsid w:val="008D7BDC"/>
    <w:rsid w:val="008E0954"/>
    <w:rsid w:val="008E2435"/>
    <w:rsid w:val="008E30D7"/>
    <w:rsid w:val="008E356C"/>
    <w:rsid w:val="008E41FC"/>
    <w:rsid w:val="008E5E8E"/>
    <w:rsid w:val="008E7B05"/>
    <w:rsid w:val="008F0C8A"/>
    <w:rsid w:val="008F63D0"/>
    <w:rsid w:val="008F7C2A"/>
    <w:rsid w:val="008F7F73"/>
    <w:rsid w:val="00900C34"/>
    <w:rsid w:val="009026FC"/>
    <w:rsid w:val="00902B19"/>
    <w:rsid w:val="00905EDD"/>
    <w:rsid w:val="00910408"/>
    <w:rsid w:val="0091174A"/>
    <w:rsid w:val="00911887"/>
    <w:rsid w:val="00912BCD"/>
    <w:rsid w:val="009137B1"/>
    <w:rsid w:val="009147FA"/>
    <w:rsid w:val="009151C4"/>
    <w:rsid w:val="009155A5"/>
    <w:rsid w:val="009156CB"/>
    <w:rsid w:val="00915CB8"/>
    <w:rsid w:val="00917E39"/>
    <w:rsid w:val="0092155A"/>
    <w:rsid w:val="00922534"/>
    <w:rsid w:val="00923582"/>
    <w:rsid w:val="00924A0C"/>
    <w:rsid w:val="00924A90"/>
    <w:rsid w:val="00925D37"/>
    <w:rsid w:val="00926C62"/>
    <w:rsid w:val="00930201"/>
    <w:rsid w:val="00932E1F"/>
    <w:rsid w:val="00934204"/>
    <w:rsid w:val="0093484D"/>
    <w:rsid w:val="00935F9E"/>
    <w:rsid w:val="0093719F"/>
    <w:rsid w:val="009408AA"/>
    <w:rsid w:val="00940BBA"/>
    <w:rsid w:val="00945882"/>
    <w:rsid w:val="00950B05"/>
    <w:rsid w:val="009534BF"/>
    <w:rsid w:val="00954855"/>
    <w:rsid w:val="0095593B"/>
    <w:rsid w:val="009575B6"/>
    <w:rsid w:val="00961D8F"/>
    <w:rsid w:val="009635F2"/>
    <w:rsid w:val="009711F6"/>
    <w:rsid w:val="009717EF"/>
    <w:rsid w:val="00973C67"/>
    <w:rsid w:val="00974EA7"/>
    <w:rsid w:val="009757D3"/>
    <w:rsid w:val="0098603F"/>
    <w:rsid w:val="00986172"/>
    <w:rsid w:val="0098667C"/>
    <w:rsid w:val="00986A3D"/>
    <w:rsid w:val="00991E65"/>
    <w:rsid w:val="00992506"/>
    <w:rsid w:val="009951EE"/>
    <w:rsid w:val="00995832"/>
    <w:rsid w:val="00997292"/>
    <w:rsid w:val="00997BD3"/>
    <w:rsid w:val="009A4DE8"/>
    <w:rsid w:val="009A6414"/>
    <w:rsid w:val="009B37A7"/>
    <w:rsid w:val="009B3DF3"/>
    <w:rsid w:val="009B4467"/>
    <w:rsid w:val="009B4FF1"/>
    <w:rsid w:val="009B7282"/>
    <w:rsid w:val="009C3EF1"/>
    <w:rsid w:val="009C5662"/>
    <w:rsid w:val="009D505B"/>
    <w:rsid w:val="009E4056"/>
    <w:rsid w:val="009E4C6E"/>
    <w:rsid w:val="009E58FE"/>
    <w:rsid w:val="009E75E2"/>
    <w:rsid w:val="009E7CE4"/>
    <w:rsid w:val="009F068B"/>
    <w:rsid w:val="009F0978"/>
    <w:rsid w:val="009F263B"/>
    <w:rsid w:val="009F4DD4"/>
    <w:rsid w:val="00A00DC7"/>
    <w:rsid w:val="00A01815"/>
    <w:rsid w:val="00A03CB5"/>
    <w:rsid w:val="00A0506E"/>
    <w:rsid w:val="00A05A77"/>
    <w:rsid w:val="00A07582"/>
    <w:rsid w:val="00A07C5F"/>
    <w:rsid w:val="00A1037E"/>
    <w:rsid w:val="00A12AE8"/>
    <w:rsid w:val="00A219EE"/>
    <w:rsid w:val="00A21FA4"/>
    <w:rsid w:val="00A25853"/>
    <w:rsid w:val="00A26319"/>
    <w:rsid w:val="00A26665"/>
    <w:rsid w:val="00A30059"/>
    <w:rsid w:val="00A300C9"/>
    <w:rsid w:val="00A30EC8"/>
    <w:rsid w:val="00A30EE3"/>
    <w:rsid w:val="00A31934"/>
    <w:rsid w:val="00A3243A"/>
    <w:rsid w:val="00A3377F"/>
    <w:rsid w:val="00A33E47"/>
    <w:rsid w:val="00A345E4"/>
    <w:rsid w:val="00A36840"/>
    <w:rsid w:val="00A36BEE"/>
    <w:rsid w:val="00A420B5"/>
    <w:rsid w:val="00A43154"/>
    <w:rsid w:val="00A43936"/>
    <w:rsid w:val="00A44B48"/>
    <w:rsid w:val="00A462C7"/>
    <w:rsid w:val="00A47736"/>
    <w:rsid w:val="00A47F09"/>
    <w:rsid w:val="00A50DBB"/>
    <w:rsid w:val="00A52309"/>
    <w:rsid w:val="00A52C61"/>
    <w:rsid w:val="00A567F6"/>
    <w:rsid w:val="00A56906"/>
    <w:rsid w:val="00A56FED"/>
    <w:rsid w:val="00A61DEF"/>
    <w:rsid w:val="00A633C0"/>
    <w:rsid w:val="00A651E1"/>
    <w:rsid w:val="00A70B95"/>
    <w:rsid w:val="00A72E38"/>
    <w:rsid w:val="00A72F4D"/>
    <w:rsid w:val="00A7452A"/>
    <w:rsid w:val="00A75CCC"/>
    <w:rsid w:val="00A80516"/>
    <w:rsid w:val="00A83718"/>
    <w:rsid w:val="00A85BF2"/>
    <w:rsid w:val="00A87B88"/>
    <w:rsid w:val="00A87E1C"/>
    <w:rsid w:val="00A95850"/>
    <w:rsid w:val="00A9612C"/>
    <w:rsid w:val="00AA086A"/>
    <w:rsid w:val="00AA2B30"/>
    <w:rsid w:val="00AA37AF"/>
    <w:rsid w:val="00AA6FD5"/>
    <w:rsid w:val="00AA7A3E"/>
    <w:rsid w:val="00AA7E85"/>
    <w:rsid w:val="00AB1E2B"/>
    <w:rsid w:val="00AB2140"/>
    <w:rsid w:val="00AB57E3"/>
    <w:rsid w:val="00AB665C"/>
    <w:rsid w:val="00AB7B39"/>
    <w:rsid w:val="00AB7BFE"/>
    <w:rsid w:val="00AC0468"/>
    <w:rsid w:val="00AC1F6A"/>
    <w:rsid w:val="00AC4703"/>
    <w:rsid w:val="00AC5991"/>
    <w:rsid w:val="00AC6CD8"/>
    <w:rsid w:val="00AC7D3E"/>
    <w:rsid w:val="00AD0B5C"/>
    <w:rsid w:val="00AD5906"/>
    <w:rsid w:val="00AE12DD"/>
    <w:rsid w:val="00AE1B39"/>
    <w:rsid w:val="00AE2FEF"/>
    <w:rsid w:val="00AE3CDD"/>
    <w:rsid w:val="00AE4F4F"/>
    <w:rsid w:val="00AE63A5"/>
    <w:rsid w:val="00AF04A3"/>
    <w:rsid w:val="00AF510C"/>
    <w:rsid w:val="00AF5709"/>
    <w:rsid w:val="00AF591A"/>
    <w:rsid w:val="00AF6A9A"/>
    <w:rsid w:val="00B02D20"/>
    <w:rsid w:val="00B037CD"/>
    <w:rsid w:val="00B051A0"/>
    <w:rsid w:val="00B05804"/>
    <w:rsid w:val="00B05817"/>
    <w:rsid w:val="00B07F4B"/>
    <w:rsid w:val="00B10970"/>
    <w:rsid w:val="00B124AD"/>
    <w:rsid w:val="00B12CF3"/>
    <w:rsid w:val="00B13324"/>
    <w:rsid w:val="00B13533"/>
    <w:rsid w:val="00B15B64"/>
    <w:rsid w:val="00B16A03"/>
    <w:rsid w:val="00B17DDE"/>
    <w:rsid w:val="00B200C5"/>
    <w:rsid w:val="00B21141"/>
    <w:rsid w:val="00B21A94"/>
    <w:rsid w:val="00B22D8F"/>
    <w:rsid w:val="00B30E97"/>
    <w:rsid w:val="00B316D9"/>
    <w:rsid w:val="00B32163"/>
    <w:rsid w:val="00B34AFE"/>
    <w:rsid w:val="00B350EE"/>
    <w:rsid w:val="00B40177"/>
    <w:rsid w:val="00B40468"/>
    <w:rsid w:val="00B41878"/>
    <w:rsid w:val="00B42B29"/>
    <w:rsid w:val="00B44105"/>
    <w:rsid w:val="00B44FC8"/>
    <w:rsid w:val="00B45DD6"/>
    <w:rsid w:val="00B46313"/>
    <w:rsid w:val="00B46D52"/>
    <w:rsid w:val="00B47CC1"/>
    <w:rsid w:val="00B53F37"/>
    <w:rsid w:val="00B55581"/>
    <w:rsid w:val="00B62AAC"/>
    <w:rsid w:val="00B633A6"/>
    <w:rsid w:val="00B64681"/>
    <w:rsid w:val="00B64B68"/>
    <w:rsid w:val="00B6664F"/>
    <w:rsid w:val="00B67143"/>
    <w:rsid w:val="00B671AE"/>
    <w:rsid w:val="00B67797"/>
    <w:rsid w:val="00B67D3F"/>
    <w:rsid w:val="00B70797"/>
    <w:rsid w:val="00B7327A"/>
    <w:rsid w:val="00B74F06"/>
    <w:rsid w:val="00B7668B"/>
    <w:rsid w:val="00B76E01"/>
    <w:rsid w:val="00B805DF"/>
    <w:rsid w:val="00B80ACB"/>
    <w:rsid w:val="00B815BD"/>
    <w:rsid w:val="00B82ABE"/>
    <w:rsid w:val="00B84959"/>
    <w:rsid w:val="00B85DF7"/>
    <w:rsid w:val="00B918EF"/>
    <w:rsid w:val="00B940F5"/>
    <w:rsid w:val="00B95AEB"/>
    <w:rsid w:val="00B95F1F"/>
    <w:rsid w:val="00BA3337"/>
    <w:rsid w:val="00BA4312"/>
    <w:rsid w:val="00BA47E5"/>
    <w:rsid w:val="00BA4F12"/>
    <w:rsid w:val="00BA6390"/>
    <w:rsid w:val="00BB049B"/>
    <w:rsid w:val="00BB19D6"/>
    <w:rsid w:val="00BB34A6"/>
    <w:rsid w:val="00BB3813"/>
    <w:rsid w:val="00BB6E33"/>
    <w:rsid w:val="00BB73C4"/>
    <w:rsid w:val="00BC18D3"/>
    <w:rsid w:val="00BC3A08"/>
    <w:rsid w:val="00BC624A"/>
    <w:rsid w:val="00BC6E4D"/>
    <w:rsid w:val="00BC7FED"/>
    <w:rsid w:val="00BD01A3"/>
    <w:rsid w:val="00BD1D77"/>
    <w:rsid w:val="00BD3A76"/>
    <w:rsid w:val="00BD3ECC"/>
    <w:rsid w:val="00BD4310"/>
    <w:rsid w:val="00BD4CDD"/>
    <w:rsid w:val="00BD63E9"/>
    <w:rsid w:val="00BE0004"/>
    <w:rsid w:val="00BE08E2"/>
    <w:rsid w:val="00BE136F"/>
    <w:rsid w:val="00BE1C3C"/>
    <w:rsid w:val="00BE315B"/>
    <w:rsid w:val="00BE5B87"/>
    <w:rsid w:val="00BE650B"/>
    <w:rsid w:val="00BF0D0A"/>
    <w:rsid w:val="00BF12C1"/>
    <w:rsid w:val="00BF137E"/>
    <w:rsid w:val="00BF26DF"/>
    <w:rsid w:val="00BF2732"/>
    <w:rsid w:val="00BF2BC1"/>
    <w:rsid w:val="00BF62F7"/>
    <w:rsid w:val="00C004A3"/>
    <w:rsid w:val="00C019FC"/>
    <w:rsid w:val="00C01DCB"/>
    <w:rsid w:val="00C02153"/>
    <w:rsid w:val="00C0463C"/>
    <w:rsid w:val="00C06DBC"/>
    <w:rsid w:val="00C06F10"/>
    <w:rsid w:val="00C07444"/>
    <w:rsid w:val="00C077BC"/>
    <w:rsid w:val="00C10371"/>
    <w:rsid w:val="00C11CC3"/>
    <w:rsid w:val="00C1283E"/>
    <w:rsid w:val="00C12B63"/>
    <w:rsid w:val="00C15BC6"/>
    <w:rsid w:val="00C17E79"/>
    <w:rsid w:val="00C2273F"/>
    <w:rsid w:val="00C2670E"/>
    <w:rsid w:val="00C27441"/>
    <w:rsid w:val="00C27DB1"/>
    <w:rsid w:val="00C327FA"/>
    <w:rsid w:val="00C332E6"/>
    <w:rsid w:val="00C35FD7"/>
    <w:rsid w:val="00C4134E"/>
    <w:rsid w:val="00C42531"/>
    <w:rsid w:val="00C42EAE"/>
    <w:rsid w:val="00C45C91"/>
    <w:rsid w:val="00C51388"/>
    <w:rsid w:val="00C51B8E"/>
    <w:rsid w:val="00C51E47"/>
    <w:rsid w:val="00C52F4A"/>
    <w:rsid w:val="00C55D2D"/>
    <w:rsid w:val="00C571F0"/>
    <w:rsid w:val="00C57B41"/>
    <w:rsid w:val="00C60099"/>
    <w:rsid w:val="00C627EC"/>
    <w:rsid w:val="00C6396F"/>
    <w:rsid w:val="00C6598F"/>
    <w:rsid w:val="00C66F83"/>
    <w:rsid w:val="00C67332"/>
    <w:rsid w:val="00C71922"/>
    <w:rsid w:val="00C75A9B"/>
    <w:rsid w:val="00C75D02"/>
    <w:rsid w:val="00C7667B"/>
    <w:rsid w:val="00C770B9"/>
    <w:rsid w:val="00C83B28"/>
    <w:rsid w:val="00C841A3"/>
    <w:rsid w:val="00C8515B"/>
    <w:rsid w:val="00C85E40"/>
    <w:rsid w:val="00C86B34"/>
    <w:rsid w:val="00C90143"/>
    <w:rsid w:val="00C9055D"/>
    <w:rsid w:val="00C94545"/>
    <w:rsid w:val="00C9595F"/>
    <w:rsid w:val="00C95B13"/>
    <w:rsid w:val="00C97180"/>
    <w:rsid w:val="00C97C5B"/>
    <w:rsid w:val="00CA0502"/>
    <w:rsid w:val="00CA0E37"/>
    <w:rsid w:val="00CA1311"/>
    <w:rsid w:val="00CA3DA1"/>
    <w:rsid w:val="00CA4548"/>
    <w:rsid w:val="00CB3229"/>
    <w:rsid w:val="00CB3B94"/>
    <w:rsid w:val="00CB573F"/>
    <w:rsid w:val="00CB704D"/>
    <w:rsid w:val="00CC0223"/>
    <w:rsid w:val="00CC0C37"/>
    <w:rsid w:val="00CC0DFA"/>
    <w:rsid w:val="00CC7580"/>
    <w:rsid w:val="00CD178B"/>
    <w:rsid w:val="00CD17C4"/>
    <w:rsid w:val="00CD1CAA"/>
    <w:rsid w:val="00CD24DB"/>
    <w:rsid w:val="00CD2552"/>
    <w:rsid w:val="00CD7A4B"/>
    <w:rsid w:val="00CE018D"/>
    <w:rsid w:val="00CE1734"/>
    <w:rsid w:val="00CE3637"/>
    <w:rsid w:val="00CE5431"/>
    <w:rsid w:val="00CF0460"/>
    <w:rsid w:val="00CF46A3"/>
    <w:rsid w:val="00CF7042"/>
    <w:rsid w:val="00CF72EB"/>
    <w:rsid w:val="00CF7C99"/>
    <w:rsid w:val="00D017DD"/>
    <w:rsid w:val="00D01E16"/>
    <w:rsid w:val="00D069E3"/>
    <w:rsid w:val="00D06AC2"/>
    <w:rsid w:val="00D071AC"/>
    <w:rsid w:val="00D07428"/>
    <w:rsid w:val="00D10A15"/>
    <w:rsid w:val="00D12D40"/>
    <w:rsid w:val="00D143F0"/>
    <w:rsid w:val="00D14F80"/>
    <w:rsid w:val="00D20A6C"/>
    <w:rsid w:val="00D21A01"/>
    <w:rsid w:val="00D2303B"/>
    <w:rsid w:val="00D24095"/>
    <w:rsid w:val="00D27DFD"/>
    <w:rsid w:val="00D311DC"/>
    <w:rsid w:val="00D33A4E"/>
    <w:rsid w:val="00D34421"/>
    <w:rsid w:val="00D349AD"/>
    <w:rsid w:val="00D35AEE"/>
    <w:rsid w:val="00D377DE"/>
    <w:rsid w:val="00D37DB2"/>
    <w:rsid w:val="00D37F66"/>
    <w:rsid w:val="00D445A5"/>
    <w:rsid w:val="00D4462B"/>
    <w:rsid w:val="00D44C8C"/>
    <w:rsid w:val="00D508E1"/>
    <w:rsid w:val="00D520B2"/>
    <w:rsid w:val="00D53FB4"/>
    <w:rsid w:val="00D54A10"/>
    <w:rsid w:val="00D567A4"/>
    <w:rsid w:val="00D6036C"/>
    <w:rsid w:val="00D60498"/>
    <w:rsid w:val="00D6261F"/>
    <w:rsid w:val="00D670F5"/>
    <w:rsid w:val="00D67A7C"/>
    <w:rsid w:val="00D70765"/>
    <w:rsid w:val="00D707C1"/>
    <w:rsid w:val="00D75084"/>
    <w:rsid w:val="00D755F2"/>
    <w:rsid w:val="00D7659F"/>
    <w:rsid w:val="00D769F6"/>
    <w:rsid w:val="00D77AEC"/>
    <w:rsid w:val="00D82162"/>
    <w:rsid w:val="00D83FD3"/>
    <w:rsid w:val="00D86077"/>
    <w:rsid w:val="00D8642B"/>
    <w:rsid w:val="00D87DDB"/>
    <w:rsid w:val="00D90C09"/>
    <w:rsid w:val="00D914E1"/>
    <w:rsid w:val="00D9153A"/>
    <w:rsid w:val="00D92C59"/>
    <w:rsid w:val="00D92E6B"/>
    <w:rsid w:val="00D94326"/>
    <w:rsid w:val="00D94F02"/>
    <w:rsid w:val="00D96386"/>
    <w:rsid w:val="00D9751A"/>
    <w:rsid w:val="00DA64A2"/>
    <w:rsid w:val="00DA70D1"/>
    <w:rsid w:val="00DB29E9"/>
    <w:rsid w:val="00DB2F01"/>
    <w:rsid w:val="00DB7587"/>
    <w:rsid w:val="00DC0396"/>
    <w:rsid w:val="00DC05C7"/>
    <w:rsid w:val="00DC19D9"/>
    <w:rsid w:val="00DC1E75"/>
    <w:rsid w:val="00DC2B60"/>
    <w:rsid w:val="00DC5DE0"/>
    <w:rsid w:val="00DC5FC2"/>
    <w:rsid w:val="00DD2AE1"/>
    <w:rsid w:val="00DD374A"/>
    <w:rsid w:val="00DD4806"/>
    <w:rsid w:val="00DD48DB"/>
    <w:rsid w:val="00DD5D21"/>
    <w:rsid w:val="00DD5DCA"/>
    <w:rsid w:val="00DD6A08"/>
    <w:rsid w:val="00DE3BC9"/>
    <w:rsid w:val="00DE7B20"/>
    <w:rsid w:val="00DF3DA9"/>
    <w:rsid w:val="00DF60A7"/>
    <w:rsid w:val="00DF7355"/>
    <w:rsid w:val="00E031F1"/>
    <w:rsid w:val="00E06671"/>
    <w:rsid w:val="00E066FF"/>
    <w:rsid w:val="00E07768"/>
    <w:rsid w:val="00E102CF"/>
    <w:rsid w:val="00E1778B"/>
    <w:rsid w:val="00E20B25"/>
    <w:rsid w:val="00E20C4E"/>
    <w:rsid w:val="00E23B0E"/>
    <w:rsid w:val="00E25D58"/>
    <w:rsid w:val="00E264C1"/>
    <w:rsid w:val="00E26843"/>
    <w:rsid w:val="00E3176C"/>
    <w:rsid w:val="00E328AD"/>
    <w:rsid w:val="00E34092"/>
    <w:rsid w:val="00E36CD3"/>
    <w:rsid w:val="00E37D8E"/>
    <w:rsid w:val="00E4008F"/>
    <w:rsid w:val="00E414D6"/>
    <w:rsid w:val="00E44D19"/>
    <w:rsid w:val="00E47C44"/>
    <w:rsid w:val="00E50278"/>
    <w:rsid w:val="00E510CF"/>
    <w:rsid w:val="00E553CA"/>
    <w:rsid w:val="00E5602B"/>
    <w:rsid w:val="00E57725"/>
    <w:rsid w:val="00E60204"/>
    <w:rsid w:val="00E62DA4"/>
    <w:rsid w:val="00E64B47"/>
    <w:rsid w:val="00E66F59"/>
    <w:rsid w:val="00E6715C"/>
    <w:rsid w:val="00E67FC3"/>
    <w:rsid w:val="00E7535F"/>
    <w:rsid w:val="00E80AD2"/>
    <w:rsid w:val="00E84202"/>
    <w:rsid w:val="00E85BEC"/>
    <w:rsid w:val="00E876CC"/>
    <w:rsid w:val="00E87AE2"/>
    <w:rsid w:val="00E913D6"/>
    <w:rsid w:val="00E91627"/>
    <w:rsid w:val="00E93D3F"/>
    <w:rsid w:val="00E9558F"/>
    <w:rsid w:val="00E96671"/>
    <w:rsid w:val="00EA4888"/>
    <w:rsid w:val="00EA53C1"/>
    <w:rsid w:val="00EB01FD"/>
    <w:rsid w:val="00EB1843"/>
    <w:rsid w:val="00EB3EDF"/>
    <w:rsid w:val="00EC1B64"/>
    <w:rsid w:val="00EC1E35"/>
    <w:rsid w:val="00EC55D9"/>
    <w:rsid w:val="00EC56C0"/>
    <w:rsid w:val="00ED01EA"/>
    <w:rsid w:val="00ED1AB5"/>
    <w:rsid w:val="00ED4DA7"/>
    <w:rsid w:val="00ED4DD3"/>
    <w:rsid w:val="00ED51CA"/>
    <w:rsid w:val="00ED5377"/>
    <w:rsid w:val="00ED7143"/>
    <w:rsid w:val="00EE15CC"/>
    <w:rsid w:val="00EE6606"/>
    <w:rsid w:val="00EE7158"/>
    <w:rsid w:val="00EE7EE5"/>
    <w:rsid w:val="00EF1215"/>
    <w:rsid w:val="00EF408C"/>
    <w:rsid w:val="00EF51D7"/>
    <w:rsid w:val="00EF6891"/>
    <w:rsid w:val="00F0030B"/>
    <w:rsid w:val="00F01170"/>
    <w:rsid w:val="00F03D8D"/>
    <w:rsid w:val="00F105F1"/>
    <w:rsid w:val="00F117FC"/>
    <w:rsid w:val="00F127DB"/>
    <w:rsid w:val="00F16CA1"/>
    <w:rsid w:val="00F171B0"/>
    <w:rsid w:val="00F219AD"/>
    <w:rsid w:val="00F22CBC"/>
    <w:rsid w:val="00F24597"/>
    <w:rsid w:val="00F24BB9"/>
    <w:rsid w:val="00F25517"/>
    <w:rsid w:val="00F256C3"/>
    <w:rsid w:val="00F25994"/>
    <w:rsid w:val="00F2656A"/>
    <w:rsid w:val="00F2697F"/>
    <w:rsid w:val="00F277B8"/>
    <w:rsid w:val="00F321F2"/>
    <w:rsid w:val="00F3310C"/>
    <w:rsid w:val="00F3796C"/>
    <w:rsid w:val="00F41EC2"/>
    <w:rsid w:val="00F43946"/>
    <w:rsid w:val="00F442C0"/>
    <w:rsid w:val="00F44FC4"/>
    <w:rsid w:val="00F5145B"/>
    <w:rsid w:val="00F51657"/>
    <w:rsid w:val="00F5437F"/>
    <w:rsid w:val="00F57826"/>
    <w:rsid w:val="00F57B17"/>
    <w:rsid w:val="00F61E27"/>
    <w:rsid w:val="00F664EC"/>
    <w:rsid w:val="00F66615"/>
    <w:rsid w:val="00F66A3D"/>
    <w:rsid w:val="00F67E79"/>
    <w:rsid w:val="00F702F0"/>
    <w:rsid w:val="00F70FD3"/>
    <w:rsid w:val="00F71C7E"/>
    <w:rsid w:val="00F72113"/>
    <w:rsid w:val="00F72E21"/>
    <w:rsid w:val="00F7317B"/>
    <w:rsid w:val="00F73484"/>
    <w:rsid w:val="00F73769"/>
    <w:rsid w:val="00F74F7B"/>
    <w:rsid w:val="00F76C2A"/>
    <w:rsid w:val="00F77463"/>
    <w:rsid w:val="00F82124"/>
    <w:rsid w:val="00F82CDE"/>
    <w:rsid w:val="00F85161"/>
    <w:rsid w:val="00F855CB"/>
    <w:rsid w:val="00F85820"/>
    <w:rsid w:val="00F87416"/>
    <w:rsid w:val="00F876E1"/>
    <w:rsid w:val="00F90821"/>
    <w:rsid w:val="00F92A4F"/>
    <w:rsid w:val="00F969DD"/>
    <w:rsid w:val="00F97A1D"/>
    <w:rsid w:val="00FA09F6"/>
    <w:rsid w:val="00FA2985"/>
    <w:rsid w:val="00FB5BC5"/>
    <w:rsid w:val="00FB7367"/>
    <w:rsid w:val="00FB7760"/>
    <w:rsid w:val="00FC0C15"/>
    <w:rsid w:val="00FC5C6F"/>
    <w:rsid w:val="00FC6C1F"/>
    <w:rsid w:val="00FC73DF"/>
    <w:rsid w:val="00FD01A2"/>
    <w:rsid w:val="00FD1B2F"/>
    <w:rsid w:val="00FD29DC"/>
    <w:rsid w:val="00FD330E"/>
    <w:rsid w:val="00FD3E2E"/>
    <w:rsid w:val="00FE048A"/>
    <w:rsid w:val="00FE111B"/>
    <w:rsid w:val="00FE1E07"/>
    <w:rsid w:val="00FE3415"/>
    <w:rsid w:val="00FE54C9"/>
    <w:rsid w:val="00FE6DD2"/>
    <w:rsid w:val="00FE7899"/>
    <w:rsid w:val="00FF0169"/>
    <w:rsid w:val="00FF03E5"/>
    <w:rsid w:val="00FF12E6"/>
    <w:rsid w:val="00FF1DA2"/>
    <w:rsid w:val="00FF3333"/>
    <w:rsid w:val="00FF38E5"/>
    <w:rsid w:val="00FF4748"/>
    <w:rsid w:val="00FF6A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DC576"/>
  <w15:chartTrackingRefBased/>
  <w15:docId w15:val="{3646682B-8A06-43BF-8051-52F54CC75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456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5626"/>
    <w:rPr>
      <w:sz w:val="20"/>
      <w:szCs w:val="20"/>
    </w:rPr>
  </w:style>
  <w:style w:type="character" w:styleId="FootnoteReference">
    <w:name w:val="footnote reference"/>
    <w:basedOn w:val="DefaultParagraphFont"/>
    <w:uiPriority w:val="99"/>
    <w:semiHidden/>
    <w:unhideWhenUsed/>
    <w:rsid w:val="00145626"/>
    <w:rPr>
      <w:vertAlign w:val="superscript"/>
    </w:rPr>
  </w:style>
  <w:style w:type="paragraph" w:customStyle="1" w:styleId="EndNoteBibliographyTitle">
    <w:name w:val="EndNote Bibliography Title"/>
    <w:basedOn w:val="Normal"/>
    <w:link w:val="EndNoteBibliographyTitleChar"/>
    <w:rsid w:val="0014562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45626"/>
    <w:rPr>
      <w:rFonts w:ascii="Calibri" w:hAnsi="Calibri" w:cs="Calibri"/>
      <w:noProof/>
      <w:lang w:val="en-US"/>
    </w:rPr>
  </w:style>
  <w:style w:type="paragraph" w:customStyle="1" w:styleId="EndNoteBibliography">
    <w:name w:val="EndNote Bibliography"/>
    <w:basedOn w:val="Normal"/>
    <w:link w:val="EndNoteBibliographyChar"/>
    <w:rsid w:val="0014562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145626"/>
    <w:rPr>
      <w:rFonts w:ascii="Calibri" w:hAnsi="Calibri" w:cs="Calibri"/>
      <w:noProof/>
      <w:lang w:val="en-US"/>
    </w:rPr>
  </w:style>
  <w:style w:type="character" w:styleId="Hyperlink">
    <w:name w:val="Hyperlink"/>
    <w:basedOn w:val="DefaultParagraphFont"/>
    <w:uiPriority w:val="99"/>
    <w:unhideWhenUsed/>
    <w:rsid w:val="00DE7B20"/>
    <w:rPr>
      <w:color w:val="0563C1" w:themeColor="hyperlink"/>
      <w:u w:val="single"/>
    </w:rPr>
  </w:style>
  <w:style w:type="character" w:styleId="UnresolvedMention">
    <w:name w:val="Unresolved Mention"/>
    <w:basedOn w:val="DefaultParagraphFont"/>
    <w:uiPriority w:val="99"/>
    <w:semiHidden/>
    <w:unhideWhenUsed/>
    <w:rsid w:val="00DE7B20"/>
    <w:rPr>
      <w:color w:val="605E5C"/>
      <w:shd w:val="clear" w:color="auto" w:fill="E1DFDD"/>
    </w:rPr>
  </w:style>
  <w:style w:type="paragraph" w:styleId="Caption">
    <w:name w:val="caption"/>
    <w:basedOn w:val="Normal"/>
    <w:next w:val="Normal"/>
    <w:uiPriority w:val="35"/>
    <w:unhideWhenUsed/>
    <w:qFormat/>
    <w:rsid w:val="00183B71"/>
    <w:pPr>
      <w:spacing w:after="200" w:line="240" w:lineRule="auto"/>
    </w:pPr>
    <w:rPr>
      <w:b/>
      <w:bCs/>
      <w:color w:val="4472C4" w:themeColor="accent1"/>
      <w:sz w:val="18"/>
      <w:szCs w:val="18"/>
    </w:rPr>
  </w:style>
  <w:style w:type="paragraph" w:styleId="Header">
    <w:name w:val="header"/>
    <w:basedOn w:val="Normal"/>
    <w:link w:val="HeaderChar"/>
    <w:uiPriority w:val="99"/>
    <w:unhideWhenUsed/>
    <w:rsid w:val="00F70F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0FD3"/>
  </w:style>
  <w:style w:type="paragraph" w:styleId="Footer">
    <w:name w:val="footer"/>
    <w:basedOn w:val="Normal"/>
    <w:link w:val="FooterChar"/>
    <w:uiPriority w:val="99"/>
    <w:unhideWhenUsed/>
    <w:rsid w:val="00F70F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0FD3"/>
  </w:style>
  <w:style w:type="table" w:styleId="TableGrid">
    <w:name w:val="Table Grid"/>
    <w:basedOn w:val="TableNormal"/>
    <w:uiPriority w:val="39"/>
    <w:rsid w:val="00C97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A7A3E"/>
    <w:rPr>
      <w:sz w:val="16"/>
      <w:szCs w:val="16"/>
    </w:rPr>
  </w:style>
  <w:style w:type="paragraph" w:styleId="CommentText">
    <w:name w:val="annotation text"/>
    <w:basedOn w:val="Normal"/>
    <w:link w:val="CommentTextChar"/>
    <w:uiPriority w:val="99"/>
    <w:unhideWhenUsed/>
    <w:rsid w:val="00AA7A3E"/>
    <w:pPr>
      <w:spacing w:line="240" w:lineRule="auto"/>
    </w:pPr>
    <w:rPr>
      <w:sz w:val="20"/>
      <w:szCs w:val="20"/>
    </w:rPr>
  </w:style>
  <w:style w:type="character" w:customStyle="1" w:styleId="CommentTextChar">
    <w:name w:val="Comment Text Char"/>
    <w:basedOn w:val="DefaultParagraphFont"/>
    <w:link w:val="CommentText"/>
    <w:uiPriority w:val="99"/>
    <w:rsid w:val="00AA7A3E"/>
    <w:rPr>
      <w:sz w:val="20"/>
      <w:szCs w:val="20"/>
    </w:rPr>
  </w:style>
  <w:style w:type="paragraph" w:styleId="CommentSubject">
    <w:name w:val="annotation subject"/>
    <w:basedOn w:val="CommentText"/>
    <w:next w:val="CommentText"/>
    <w:link w:val="CommentSubjectChar"/>
    <w:uiPriority w:val="99"/>
    <w:semiHidden/>
    <w:unhideWhenUsed/>
    <w:rsid w:val="00AA7A3E"/>
    <w:rPr>
      <w:b/>
      <w:bCs/>
    </w:rPr>
  </w:style>
  <w:style w:type="character" w:customStyle="1" w:styleId="CommentSubjectChar">
    <w:name w:val="Comment Subject Char"/>
    <w:basedOn w:val="CommentTextChar"/>
    <w:link w:val="CommentSubject"/>
    <w:uiPriority w:val="99"/>
    <w:semiHidden/>
    <w:rsid w:val="00AA7A3E"/>
    <w:rPr>
      <w:b/>
      <w:bCs/>
      <w:sz w:val="20"/>
      <w:szCs w:val="20"/>
    </w:rPr>
  </w:style>
  <w:style w:type="paragraph" w:styleId="Revision">
    <w:name w:val="Revision"/>
    <w:hidden/>
    <w:uiPriority w:val="99"/>
    <w:semiHidden/>
    <w:rsid w:val="003D3144"/>
    <w:pPr>
      <w:spacing w:after="0" w:line="240" w:lineRule="auto"/>
    </w:pPr>
  </w:style>
  <w:style w:type="paragraph" w:styleId="Bibliography">
    <w:name w:val="Bibliography"/>
    <w:basedOn w:val="Normal"/>
    <w:next w:val="Normal"/>
    <w:uiPriority w:val="37"/>
    <w:unhideWhenUsed/>
    <w:rsid w:val="00D071AC"/>
    <w:pPr>
      <w:tabs>
        <w:tab w:val="left" w:pos="380"/>
      </w:tabs>
      <w:spacing w:after="240" w:line="240" w:lineRule="auto"/>
      <w:ind w:left="384" w:hanging="384"/>
    </w:pPr>
  </w:style>
  <w:style w:type="paragraph" w:styleId="ListParagraph">
    <w:name w:val="List Paragraph"/>
    <w:basedOn w:val="Normal"/>
    <w:uiPriority w:val="34"/>
    <w:qFormat/>
    <w:rsid w:val="00A56906"/>
    <w:pPr>
      <w:ind w:left="720"/>
      <w:contextualSpacing/>
    </w:pPr>
  </w:style>
  <w:style w:type="character" w:styleId="PageNumber">
    <w:name w:val="page number"/>
    <w:basedOn w:val="DefaultParagraphFont"/>
    <w:uiPriority w:val="99"/>
    <w:semiHidden/>
    <w:unhideWhenUsed/>
    <w:rsid w:val="007211AE"/>
  </w:style>
  <w:style w:type="character" w:customStyle="1" w:styleId="cit">
    <w:name w:val="cit"/>
    <w:basedOn w:val="DefaultParagraphFont"/>
    <w:rsid w:val="002F7AA6"/>
  </w:style>
  <w:style w:type="character" w:styleId="FollowedHyperlink">
    <w:name w:val="FollowedHyperlink"/>
    <w:basedOn w:val="DefaultParagraphFont"/>
    <w:uiPriority w:val="99"/>
    <w:semiHidden/>
    <w:unhideWhenUsed/>
    <w:rsid w:val="000D34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977342">
      <w:bodyDiv w:val="1"/>
      <w:marLeft w:val="0"/>
      <w:marRight w:val="0"/>
      <w:marTop w:val="0"/>
      <w:marBottom w:val="0"/>
      <w:divBdr>
        <w:top w:val="none" w:sz="0" w:space="0" w:color="auto"/>
        <w:left w:val="none" w:sz="0" w:space="0" w:color="auto"/>
        <w:bottom w:val="none" w:sz="0" w:space="0" w:color="auto"/>
        <w:right w:val="none" w:sz="0" w:space="0" w:color="auto"/>
      </w:divBdr>
      <w:divsChild>
        <w:div w:id="74668062">
          <w:marLeft w:val="547"/>
          <w:marRight w:val="0"/>
          <w:marTop w:val="0"/>
          <w:marBottom w:val="0"/>
          <w:divBdr>
            <w:top w:val="none" w:sz="0" w:space="0" w:color="auto"/>
            <w:left w:val="none" w:sz="0" w:space="0" w:color="auto"/>
            <w:bottom w:val="none" w:sz="0" w:space="0" w:color="auto"/>
            <w:right w:val="none" w:sz="0" w:space="0" w:color="auto"/>
          </w:divBdr>
        </w:div>
      </w:divsChild>
    </w:div>
    <w:div w:id="706099063">
      <w:bodyDiv w:val="1"/>
      <w:marLeft w:val="0"/>
      <w:marRight w:val="0"/>
      <w:marTop w:val="0"/>
      <w:marBottom w:val="0"/>
      <w:divBdr>
        <w:top w:val="none" w:sz="0" w:space="0" w:color="auto"/>
        <w:left w:val="none" w:sz="0" w:space="0" w:color="auto"/>
        <w:bottom w:val="none" w:sz="0" w:space="0" w:color="auto"/>
        <w:right w:val="none" w:sz="0" w:space="0" w:color="auto"/>
      </w:divBdr>
    </w:div>
    <w:div w:id="727148505">
      <w:bodyDiv w:val="1"/>
      <w:marLeft w:val="0"/>
      <w:marRight w:val="0"/>
      <w:marTop w:val="0"/>
      <w:marBottom w:val="0"/>
      <w:divBdr>
        <w:top w:val="none" w:sz="0" w:space="0" w:color="auto"/>
        <w:left w:val="none" w:sz="0" w:space="0" w:color="auto"/>
        <w:bottom w:val="none" w:sz="0" w:space="0" w:color="auto"/>
        <w:right w:val="none" w:sz="0" w:space="0" w:color="auto"/>
      </w:divBdr>
      <w:divsChild>
        <w:div w:id="1634287475">
          <w:marLeft w:val="547"/>
          <w:marRight w:val="0"/>
          <w:marTop w:val="0"/>
          <w:marBottom w:val="0"/>
          <w:divBdr>
            <w:top w:val="none" w:sz="0" w:space="0" w:color="auto"/>
            <w:left w:val="none" w:sz="0" w:space="0" w:color="auto"/>
            <w:bottom w:val="none" w:sz="0" w:space="0" w:color="auto"/>
            <w:right w:val="none" w:sz="0" w:space="0" w:color="auto"/>
          </w:divBdr>
        </w:div>
      </w:divsChild>
    </w:div>
    <w:div w:id="1002120600">
      <w:bodyDiv w:val="1"/>
      <w:marLeft w:val="0"/>
      <w:marRight w:val="0"/>
      <w:marTop w:val="0"/>
      <w:marBottom w:val="0"/>
      <w:divBdr>
        <w:top w:val="none" w:sz="0" w:space="0" w:color="auto"/>
        <w:left w:val="none" w:sz="0" w:space="0" w:color="auto"/>
        <w:bottom w:val="none" w:sz="0" w:space="0" w:color="auto"/>
        <w:right w:val="none" w:sz="0" w:space="0" w:color="auto"/>
      </w:divBdr>
    </w:div>
    <w:div w:id="1357807001">
      <w:bodyDiv w:val="1"/>
      <w:marLeft w:val="0"/>
      <w:marRight w:val="0"/>
      <w:marTop w:val="0"/>
      <w:marBottom w:val="0"/>
      <w:divBdr>
        <w:top w:val="none" w:sz="0" w:space="0" w:color="auto"/>
        <w:left w:val="none" w:sz="0" w:space="0" w:color="auto"/>
        <w:bottom w:val="none" w:sz="0" w:space="0" w:color="auto"/>
        <w:right w:val="none" w:sz="0" w:space="0" w:color="auto"/>
      </w:divBdr>
    </w:div>
    <w:div w:id="1403526438">
      <w:bodyDiv w:val="1"/>
      <w:marLeft w:val="0"/>
      <w:marRight w:val="0"/>
      <w:marTop w:val="0"/>
      <w:marBottom w:val="0"/>
      <w:divBdr>
        <w:top w:val="none" w:sz="0" w:space="0" w:color="auto"/>
        <w:left w:val="none" w:sz="0" w:space="0" w:color="auto"/>
        <w:bottom w:val="none" w:sz="0" w:space="0" w:color="auto"/>
        <w:right w:val="none" w:sz="0" w:space="0" w:color="auto"/>
      </w:divBdr>
    </w:div>
    <w:div w:id="1580484399">
      <w:bodyDiv w:val="1"/>
      <w:marLeft w:val="0"/>
      <w:marRight w:val="0"/>
      <w:marTop w:val="0"/>
      <w:marBottom w:val="0"/>
      <w:divBdr>
        <w:top w:val="none" w:sz="0" w:space="0" w:color="auto"/>
        <w:left w:val="none" w:sz="0" w:space="0" w:color="auto"/>
        <w:bottom w:val="none" w:sz="0" w:space="0" w:color="auto"/>
        <w:right w:val="none" w:sz="0" w:space="0" w:color="auto"/>
      </w:divBdr>
    </w:div>
    <w:div w:id="1658146123">
      <w:bodyDiv w:val="1"/>
      <w:marLeft w:val="0"/>
      <w:marRight w:val="0"/>
      <w:marTop w:val="0"/>
      <w:marBottom w:val="0"/>
      <w:divBdr>
        <w:top w:val="none" w:sz="0" w:space="0" w:color="auto"/>
        <w:left w:val="none" w:sz="0" w:space="0" w:color="auto"/>
        <w:bottom w:val="none" w:sz="0" w:space="0" w:color="auto"/>
        <w:right w:val="none" w:sz="0" w:space="0" w:color="auto"/>
      </w:divBdr>
    </w:div>
    <w:div w:id="1694262652">
      <w:bodyDiv w:val="1"/>
      <w:marLeft w:val="0"/>
      <w:marRight w:val="0"/>
      <w:marTop w:val="0"/>
      <w:marBottom w:val="0"/>
      <w:divBdr>
        <w:top w:val="none" w:sz="0" w:space="0" w:color="auto"/>
        <w:left w:val="none" w:sz="0" w:space="0" w:color="auto"/>
        <w:bottom w:val="none" w:sz="0" w:space="0" w:color="auto"/>
        <w:right w:val="none" w:sz="0" w:space="0" w:color="auto"/>
      </w:divBdr>
    </w:div>
    <w:div w:id="1833177509">
      <w:bodyDiv w:val="1"/>
      <w:marLeft w:val="0"/>
      <w:marRight w:val="0"/>
      <w:marTop w:val="0"/>
      <w:marBottom w:val="0"/>
      <w:divBdr>
        <w:top w:val="none" w:sz="0" w:space="0" w:color="auto"/>
        <w:left w:val="none" w:sz="0" w:space="0" w:color="auto"/>
        <w:bottom w:val="none" w:sz="0" w:space="0" w:color="auto"/>
        <w:right w:val="none" w:sz="0" w:space="0" w:color="auto"/>
      </w:divBdr>
    </w:div>
    <w:div w:id="207916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bdregistry.org.uk/analysis-and-research/apply-to-use-our-data/"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ti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alysis@ibdregistry.org.uk"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FDA</b:Tag>
    <b:SourceType>Book</b:SourceType>
    <b:Guid>{A337A967-8329-4F2D-BE90-4BB2F697D6C6}</b:Guid>
    <b:Author>
      <b:Author>
        <b:NameList>
          <b:Person>
            <b:Last>FDA</b:Last>
          </b:Person>
        </b:NameList>
      </b:Author>
    </b:Author>
    <b:RefOrder>1</b:RefOrder>
  </b:Source>
</b:Sources>
</file>

<file path=customXml/itemProps1.xml><?xml version="1.0" encoding="utf-8"?>
<ds:datastoreItem xmlns:ds="http://schemas.openxmlformats.org/officeDocument/2006/customXml" ds:itemID="{59C3D0D5-A46B-458B-8980-81A9D92A5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35656</Words>
  <Characters>203241</Characters>
  <Application>Microsoft Office Word</Application>
  <DocSecurity>0</DocSecurity>
  <Lines>1693</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Gebeyehu, Gerum</dc:creator>
  <cp:keywords/>
  <dc:description/>
  <cp:lastModifiedBy>Keith Bodger</cp:lastModifiedBy>
  <cp:revision>4</cp:revision>
  <dcterms:created xsi:type="dcterms:W3CDTF">2023-08-21T07:56:00Z</dcterms:created>
  <dcterms:modified xsi:type="dcterms:W3CDTF">2023-08-21T07:58:00Z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id="2uEeHRab"/&gt;&lt;style id="http://www.zotero.org/styles/the-new-england-journal-of-medicine" hasBibliography="1" bibliographyStyleHasBeenSet="1"/&gt;&lt;prefs&gt;&lt;pref name="fieldType" value="Field"/&gt;&lt;pref nam</vt:lpwstr>
  </property>
  <property fmtid="{D5CDD505-2E9C-101B-9397-08002B2CF9AE}" pid="3" name="ZOTERO_PREF_2">
    <vt:lpwstr>e="automaticJournalAbbreviations" value="true"/&gt;&lt;/prefs&gt;&lt;/data&gt;</vt:lpwstr>
  </property>
</Properties>
</file>