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2F" w14:textId="77777777" w:rsidR="00B34926" w:rsidRDefault="00F63944">
      <w:pPr>
        <w:pStyle w:val="Heading1"/>
        <w:rPr>
          <w:rFonts w:ascii="Calibri" w:eastAsia="Calibri" w:hAnsi="Calibri" w:cs="Calibri"/>
          <w:b/>
          <w:color w:val="000000"/>
        </w:rPr>
      </w:pPr>
      <w:bookmarkStart w:id="0" w:name="_heading=h.3znysh7" w:colFirst="0" w:colLast="0"/>
      <w:bookmarkEnd w:id="0"/>
      <w:r>
        <w:rPr>
          <w:rFonts w:ascii="Calibri" w:eastAsia="Calibri" w:hAnsi="Calibri" w:cs="Calibri"/>
          <w:b/>
          <w:color w:val="000000"/>
        </w:rPr>
        <w:t>Abstract</w:t>
      </w:r>
    </w:p>
    <w:p w14:paraId="4BAFB269" w14:textId="77777777" w:rsidR="0087516E" w:rsidRDefault="0087516E">
      <w:pPr>
        <w:spacing w:line="480" w:lineRule="auto"/>
        <w:ind w:firstLine="360"/>
        <w:rPr>
          <w:rFonts w:ascii="Times New Roman" w:eastAsia="Times New Roman" w:hAnsi="Times New Roman" w:cs="Times New Roman"/>
          <w:color w:val="000000"/>
          <w:sz w:val="24"/>
          <w:szCs w:val="24"/>
        </w:rPr>
      </w:pPr>
    </w:p>
    <w:p w14:paraId="00000132" w14:textId="1546797F" w:rsidR="00B34926" w:rsidRDefault="00F63944">
      <w:pPr>
        <w:spacing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case study will equip you with the skills to explore the history of revolutions. Taking the American Revolution as an example, it focuses on two sources taken from either side of the political debate; one is public, the other is private. While this example focuses on the American Revolution, the techniques used to analyse the texts can be applied to contemporary documents relating to other revolutions. By the end of this case </w:t>
      </w:r>
      <w:proofErr w:type="gramStart"/>
      <w:r>
        <w:rPr>
          <w:rFonts w:ascii="Times New Roman" w:eastAsia="Times New Roman" w:hAnsi="Times New Roman" w:cs="Times New Roman"/>
          <w:color w:val="000000"/>
          <w:sz w:val="24"/>
          <w:szCs w:val="24"/>
        </w:rPr>
        <w:t>study</w:t>
      </w:r>
      <w:proofErr w:type="gramEnd"/>
      <w:r>
        <w:rPr>
          <w:rFonts w:ascii="Times New Roman" w:eastAsia="Times New Roman" w:hAnsi="Times New Roman" w:cs="Times New Roman"/>
          <w:color w:val="000000"/>
          <w:sz w:val="24"/>
          <w:szCs w:val="24"/>
        </w:rPr>
        <w:t xml:space="preserve"> you will be able to navigate archival materials to identify a range of potential sources for studying revolutions. </w:t>
      </w:r>
    </w:p>
    <w:p w14:paraId="00000133" w14:textId="77777777" w:rsidR="00B34926" w:rsidRDefault="00F63944">
      <w:pPr>
        <w:spacing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exists a rich and varied range of documents through which we can study periods of revolution. By studying the history of revolutions, we can not only better understand how revolutionary ideas emerge and spread in response to local political </w:t>
      </w:r>
      <w:proofErr w:type="gramStart"/>
      <w:r>
        <w:rPr>
          <w:rFonts w:ascii="Times New Roman" w:eastAsia="Times New Roman" w:hAnsi="Times New Roman" w:cs="Times New Roman"/>
          <w:color w:val="000000"/>
          <w:sz w:val="24"/>
          <w:szCs w:val="24"/>
        </w:rPr>
        <w:t>crises, but</w:t>
      </w:r>
      <w:proofErr w:type="gramEnd"/>
      <w:r>
        <w:rPr>
          <w:rFonts w:ascii="Times New Roman" w:eastAsia="Times New Roman" w:hAnsi="Times New Roman" w:cs="Times New Roman"/>
          <w:color w:val="000000"/>
          <w:sz w:val="24"/>
          <w:szCs w:val="24"/>
        </w:rPr>
        <w:t xml:space="preserve"> can begin to think more broadly about how the long-term impacts of major political upheavals continue to shape the modern world.</w:t>
      </w:r>
    </w:p>
    <w:p w14:paraId="00000134" w14:textId="77777777" w:rsidR="00B34926" w:rsidRDefault="00000000">
      <w:pPr>
        <w:rPr>
          <w:color w:val="FF0000"/>
        </w:rPr>
      </w:pPr>
      <w:r>
        <w:pict w14:anchorId="143FC12B">
          <v:rect id="_x0000_i1025" style="width:0;height:1.5pt" o:hralign="center" o:hrstd="t" o:hr="t" fillcolor="#a0a0a0" stroked="f"/>
        </w:pict>
      </w:r>
    </w:p>
    <w:p w14:paraId="00000135" w14:textId="77777777" w:rsidR="00B34926" w:rsidRDefault="00F63944">
      <w:pPr>
        <w:pStyle w:val="Heading1"/>
        <w:rPr>
          <w:rFonts w:ascii="Calibri" w:eastAsia="Calibri" w:hAnsi="Calibri" w:cs="Calibri"/>
          <w:b/>
          <w:color w:val="000000"/>
        </w:rPr>
      </w:pPr>
      <w:r>
        <w:rPr>
          <w:rFonts w:ascii="Calibri" w:eastAsia="Calibri" w:hAnsi="Calibri" w:cs="Calibri"/>
          <w:b/>
          <w:color w:val="000000"/>
        </w:rPr>
        <w:t xml:space="preserve">Learning Outcomes </w:t>
      </w:r>
    </w:p>
    <w:p w14:paraId="0EE69067" w14:textId="77777777" w:rsidR="0087516E" w:rsidRDefault="0087516E">
      <w:pPr>
        <w:spacing w:line="480" w:lineRule="auto"/>
        <w:rPr>
          <w:rFonts w:ascii="Times New Roman" w:eastAsia="Times New Roman" w:hAnsi="Times New Roman" w:cs="Times New Roman"/>
          <w:color w:val="000000"/>
          <w:sz w:val="24"/>
          <w:szCs w:val="24"/>
        </w:rPr>
      </w:pPr>
      <w:bookmarkStart w:id="1" w:name="_heading=h.2et92p0" w:colFirst="0" w:colLast="0"/>
      <w:bookmarkEnd w:id="1"/>
    </w:p>
    <w:p w14:paraId="0000013A" w14:textId="71601A87" w:rsidR="00B34926" w:rsidRDefault="00F63944">
      <w:pPr>
        <w:spacing w:line="48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sz w:val="24"/>
          <w:szCs w:val="24"/>
        </w:rPr>
        <w:t>By the end of this case study, you should be able to:</w:t>
      </w:r>
    </w:p>
    <w:p w14:paraId="0000013B" w14:textId="7F3F9880" w:rsidR="00B34926" w:rsidRDefault="00F63944">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qualities of a revolution, and to summarise why it is important that we learn about them.</w:t>
      </w:r>
    </w:p>
    <w:p w14:paraId="0000013C" w14:textId="77777777" w:rsidR="00B34926" w:rsidRDefault="00F63944">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locate different types of historical sources that may be useful for studying revolutions.</w:t>
      </w:r>
    </w:p>
    <w:p w14:paraId="0000013D" w14:textId="77777777" w:rsidR="00B34926" w:rsidRDefault="00F63944">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Ask effective questions to identify the creators/authors of primary sources, to consider how the author’s standpoint may have affected the document’s content and to evaluate the reliability of the source.</w:t>
      </w:r>
    </w:p>
    <w:p w14:paraId="0000013E" w14:textId="77777777" w:rsidR="00B34926" w:rsidRDefault="00F63944">
      <w:pPr>
        <w:numPr>
          <w:ilvl w:val="0"/>
          <w:numId w:val="2"/>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upon the material provided within historical sources to construct sound arguments that reveal more about the nature of revolutions.</w:t>
      </w:r>
    </w:p>
    <w:p w14:paraId="0000013F" w14:textId="77777777" w:rsidR="00B34926" w:rsidRDefault="00000000">
      <w:pPr>
        <w:spacing w:line="480" w:lineRule="auto"/>
        <w:rPr>
          <w:b/>
        </w:rPr>
      </w:pPr>
      <w:r>
        <w:pict w14:anchorId="7076077E">
          <v:rect id="_x0000_i1026" style="width:0;height:1.5pt" o:hralign="center" o:hrstd="t" o:hr="t" fillcolor="#a0a0a0" stroked="f"/>
        </w:pict>
      </w:r>
    </w:p>
    <w:p w14:paraId="00000140" w14:textId="77777777" w:rsidR="00B34926" w:rsidRDefault="00F63944">
      <w:pPr>
        <w:pStyle w:val="Heading1"/>
        <w:rPr>
          <w:rFonts w:ascii="Calibri" w:eastAsia="Calibri" w:hAnsi="Calibri" w:cs="Calibri"/>
          <w:b/>
          <w:color w:val="000000"/>
        </w:rPr>
      </w:pPr>
      <w:r>
        <w:rPr>
          <w:rFonts w:ascii="Calibri" w:eastAsia="Calibri" w:hAnsi="Calibri" w:cs="Calibri"/>
          <w:b/>
          <w:color w:val="000000"/>
        </w:rPr>
        <w:t>Initial steps and questions</w:t>
      </w:r>
    </w:p>
    <w:p w14:paraId="3288022E" w14:textId="77777777" w:rsidR="0087516E" w:rsidRPr="0087516E" w:rsidRDefault="0087516E" w:rsidP="0087516E"/>
    <w:p w14:paraId="00000147" w14:textId="7EF77A86" w:rsidR="00B34926" w:rsidRDefault="00F63944">
      <w:pPr>
        <w:numPr>
          <w:ilvl w:val="0"/>
          <w:numId w:val="7"/>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many different types of sources that can be used to study revolutions, and the nature of a document and its intended audience can affect its </w:t>
      </w:r>
      <w:r w:rsidRPr="0087516E">
        <w:rPr>
          <w:rFonts w:ascii="Times New Roman" w:eastAsia="Times New Roman" w:hAnsi="Times New Roman" w:cs="Times New Roman"/>
          <w:color w:val="000000"/>
          <w:sz w:val="24"/>
          <w:szCs w:val="24"/>
        </w:rPr>
        <w:t xml:space="preserve">content and reliability. Sources may be documents that were intended for public consumption; official documents, </w:t>
      </w:r>
      <w:r w:rsidR="000842C3" w:rsidRPr="0087516E">
        <w:rPr>
          <w:rFonts w:ascii="Times New Roman" w:eastAsia="Times New Roman" w:hAnsi="Times New Roman" w:cs="Times New Roman"/>
          <w:color w:val="000000"/>
          <w:sz w:val="24"/>
          <w:szCs w:val="24"/>
        </w:rPr>
        <w:t xml:space="preserve">which were </w:t>
      </w:r>
      <w:r w:rsidRPr="0087516E">
        <w:rPr>
          <w:rFonts w:ascii="Times New Roman" w:eastAsia="Times New Roman" w:hAnsi="Times New Roman" w:cs="Times New Roman"/>
          <w:color w:val="000000"/>
          <w:sz w:val="24"/>
          <w:szCs w:val="24"/>
        </w:rPr>
        <w:t>created by an organisation or government;</w:t>
      </w:r>
      <w:r w:rsidR="000842C3" w:rsidRPr="0087516E">
        <w:rPr>
          <w:rFonts w:ascii="Times New Roman" w:eastAsia="Times New Roman" w:hAnsi="Times New Roman" w:cs="Times New Roman"/>
          <w:color w:val="000000"/>
          <w:sz w:val="24"/>
          <w:szCs w:val="24"/>
        </w:rPr>
        <w:t xml:space="preserve"> </w:t>
      </w:r>
      <w:r w:rsidRPr="0087516E">
        <w:rPr>
          <w:rFonts w:ascii="Times New Roman" w:eastAsia="Times New Roman" w:hAnsi="Times New Roman" w:cs="Times New Roman"/>
          <w:color w:val="000000"/>
          <w:sz w:val="24"/>
          <w:szCs w:val="24"/>
        </w:rPr>
        <w:t>or private documents, such as letters or journals, i</w:t>
      </w:r>
      <w:r>
        <w:rPr>
          <w:rFonts w:ascii="Times New Roman" w:eastAsia="Times New Roman" w:hAnsi="Times New Roman" w:cs="Times New Roman"/>
          <w:color w:val="000000"/>
          <w:sz w:val="24"/>
          <w:szCs w:val="24"/>
        </w:rPr>
        <w:t>n which an individual shares their personal reflections. Your first task is to identify the type of document that you are working with, using the following questions:</w:t>
      </w:r>
    </w:p>
    <w:p w14:paraId="00000148" w14:textId="77777777"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this a printed source, or is it handwritten?</w:t>
      </w:r>
    </w:p>
    <w:p w14:paraId="00000149" w14:textId="77777777"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it a document intended for public examination, or is it intended for a more private audience?</w:t>
      </w:r>
    </w:p>
    <w:p w14:paraId="0000014A" w14:textId="77777777"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this a written text, or a picture/image?</w:t>
      </w:r>
    </w:p>
    <w:p w14:paraId="0000014B" w14:textId="77777777" w:rsidR="00B34926" w:rsidRDefault="00B34926">
      <w:pPr>
        <w:pBdr>
          <w:top w:val="nil"/>
          <w:left w:val="nil"/>
          <w:bottom w:val="nil"/>
          <w:right w:val="nil"/>
          <w:between w:val="nil"/>
        </w:pBdr>
        <w:spacing w:after="0" w:line="480" w:lineRule="auto"/>
        <w:ind w:left="1800"/>
        <w:rPr>
          <w:rFonts w:ascii="Times New Roman" w:eastAsia="Times New Roman" w:hAnsi="Times New Roman" w:cs="Times New Roman"/>
          <w:color w:val="000000"/>
          <w:sz w:val="24"/>
          <w:szCs w:val="24"/>
        </w:rPr>
      </w:pPr>
    </w:p>
    <w:p w14:paraId="0000014C" w14:textId="77777777" w:rsidR="00B34926" w:rsidRDefault="00F63944">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was the author/creator of this document? How might their viewpoint or personal circumstances affect the content of the document?</w:t>
      </w:r>
    </w:p>
    <w:p w14:paraId="0000014D" w14:textId="2EB864F1"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Was the author/creator of the source associated with a particular side or political party during the revolution?</w:t>
      </w:r>
    </w:p>
    <w:p w14:paraId="0000014E" w14:textId="77777777"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Was the document created by a single person, a group of individuals, or a formal organisation?</w:t>
      </w:r>
    </w:p>
    <w:p w14:paraId="0000014F" w14:textId="77777777"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might we approach the document, given the author’s political viewpoint? Can we trust all that they say, or do we need to corroborate their evidence with additional material?</w:t>
      </w:r>
    </w:p>
    <w:p w14:paraId="00000150" w14:textId="77777777" w:rsidR="00B34926" w:rsidRDefault="00B34926">
      <w:pPr>
        <w:pBdr>
          <w:top w:val="nil"/>
          <w:left w:val="nil"/>
          <w:bottom w:val="nil"/>
          <w:right w:val="nil"/>
          <w:between w:val="nil"/>
        </w:pBdr>
        <w:spacing w:after="0" w:line="480" w:lineRule="auto"/>
        <w:ind w:left="1080"/>
        <w:rPr>
          <w:rFonts w:ascii="Times New Roman" w:eastAsia="Times New Roman" w:hAnsi="Times New Roman" w:cs="Times New Roman"/>
          <w:color w:val="000000"/>
          <w:sz w:val="24"/>
          <w:szCs w:val="24"/>
        </w:rPr>
      </w:pPr>
    </w:p>
    <w:p w14:paraId="00000151" w14:textId="77777777" w:rsidR="00B34926" w:rsidRDefault="00F63944">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and where was the document created? What was its purpose, and how might this impact its content and utility?</w:t>
      </w:r>
    </w:p>
    <w:p w14:paraId="00000152" w14:textId="77777777"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Familiarise yourself with some of the key dates of the revolution: what else was happening while this document was being created? </w:t>
      </w:r>
    </w:p>
    <w:p w14:paraId="00000153" w14:textId="77777777"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this document created in response to any specific events during the revolution?</w:t>
      </w:r>
    </w:p>
    <w:p w14:paraId="00000154" w14:textId="77777777"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source was written in the aftermath of the revolution, how reliable is this source? May their views be affected by hindsight or memory?</w:t>
      </w:r>
    </w:p>
    <w:p w14:paraId="00000155" w14:textId="77777777" w:rsidR="00B34926" w:rsidRDefault="00B34926">
      <w:pPr>
        <w:pBdr>
          <w:top w:val="nil"/>
          <w:left w:val="nil"/>
          <w:bottom w:val="nil"/>
          <w:right w:val="nil"/>
          <w:between w:val="nil"/>
        </w:pBdr>
        <w:spacing w:after="0" w:line="480" w:lineRule="auto"/>
        <w:ind w:left="1800"/>
        <w:rPr>
          <w:rFonts w:ascii="Times New Roman" w:eastAsia="Times New Roman" w:hAnsi="Times New Roman" w:cs="Times New Roman"/>
          <w:color w:val="000000"/>
          <w:sz w:val="24"/>
          <w:szCs w:val="24"/>
        </w:rPr>
      </w:pPr>
    </w:p>
    <w:p w14:paraId="00000156" w14:textId="77777777" w:rsidR="00B34926" w:rsidRDefault="00F63944">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was this document communicated, and why does it still survive?</w:t>
      </w:r>
    </w:p>
    <w:p w14:paraId="00000157" w14:textId="77777777"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it a printed text that was intended to be purchased, read, and discussed?</w:t>
      </w:r>
    </w:p>
    <w:p w14:paraId="00000158" w14:textId="77777777" w:rsidR="00B34926" w:rsidRDefault="00F63944">
      <w:pPr>
        <w:numPr>
          <w:ilvl w:val="1"/>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it a personal item that has been preserved in an archive?</w:t>
      </w:r>
    </w:p>
    <w:p w14:paraId="00000159" w14:textId="77777777" w:rsidR="00B34926" w:rsidRDefault="00F63944">
      <w:pPr>
        <w:numPr>
          <w:ilvl w:val="1"/>
          <w:numId w:val="3"/>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it an official government or legal record?</w:t>
      </w:r>
    </w:p>
    <w:p w14:paraId="0000015A" w14:textId="77777777" w:rsidR="00B34926" w:rsidRDefault="00B34926">
      <w:pPr>
        <w:pBdr>
          <w:bottom w:val="single" w:sz="6" w:space="1" w:color="000000"/>
        </w:pBdr>
      </w:pPr>
    </w:p>
    <w:p w14:paraId="0000015B" w14:textId="77777777" w:rsidR="00B34926" w:rsidRDefault="00F63944">
      <w:pPr>
        <w:pStyle w:val="Heading1"/>
        <w:rPr>
          <w:rFonts w:ascii="Calibri" w:eastAsia="Calibri" w:hAnsi="Calibri" w:cs="Calibri"/>
          <w:b/>
          <w:color w:val="000000"/>
        </w:rPr>
      </w:pPr>
      <w:r>
        <w:rPr>
          <w:rFonts w:ascii="Calibri" w:eastAsia="Calibri" w:hAnsi="Calibri" w:cs="Calibri"/>
          <w:b/>
          <w:color w:val="000000"/>
        </w:rPr>
        <w:t>Contextual information</w:t>
      </w:r>
    </w:p>
    <w:p w14:paraId="7639F2C6" w14:textId="77777777" w:rsidR="0087516E" w:rsidRPr="0087516E" w:rsidRDefault="0087516E" w:rsidP="0087516E"/>
    <w:p w14:paraId="0000015F" w14:textId="77777777" w:rsidR="00B34926" w:rsidRDefault="00F63944">
      <w:pPr>
        <w:spacing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history of revolutions is a particularly popular field of study amongst scholars of the humanities. Appealing to historians of political thought, military historians, as well as social and cultural historians, scholars continually pursue research to uncover the protagonists </w:t>
      </w:r>
      <w:r>
        <w:rPr>
          <w:rFonts w:ascii="Times New Roman" w:eastAsia="Times New Roman" w:hAnsi="Times New Roman" w:cs="Times New Roman"/>
          <w:color w:val="000000"/>
          <w:sz w:val="24"/>
          <w:szCs w:val="24"/>
        </w:rPr>
        <w:lastRenderedPageBreak/>
        <w:t xml:space="preserve">behind revolutionary movements, the spread of revolutionary ideas, and the crucial moments and turning points that shifted the balance of power during prolonged periods of political upheaval. This case study uses the American Revolution as an example through which we can think more widely about the history of revolutions. </w:t>
      </w:r>
    </w:p>
    <w:p w14:paraId="00000160" w14:textId="77777777" w:rsidR="00B34926" w:rsidRPr="0087516E" w:rsidRDefault="00F63944">
      <w:pPr>
        <w:spacing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American Revolution continues to inspire an ever-expanding body of scholarly literature, which </w:t>
      </w:r>
      <w:proofErr w:type="gramStart"/>
      <w:r>
        <w:rPr>
          <w:rFonts w:ascii="Times New Roman" w:eastAsia="Times New Roman" w:hAnsi="Times New Roman" w:cs="Times New Roman"/>
          <w:color w:val="000000"/>
          <w:sz w:val="24"/>
          <w:szCs w:val="24"/>
        </w:rPr>
        <w:t>dates back to</w:t>
      </w:r>
      <w:proofErr w:type="gramEnd"/>
      <w:r>
        <w:rPr>
          <w:rFonts w:ascii="Times New Roman" w:eastAsia="Times New Roman" w:hAnsi="Times New Roman" w:cs="Times New Roman"/>
          <w:color w:val="000000"/>
          <w:sz w:val="24"/>
          <w:szCs w:val="24"/>
        </w:rPr>
        <w:t xml:space="preserve"> the late eighteenth century. The first ‘histories’ of the Revolution emerged in the immediate aftermath of the war, including those of David Ramsay in 1789 and Mercy Otis Warren (sister of James Otis Jr.) in 1805.</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During the nineteenth century, scholarship adopted a narrative of progress, neatly depicting the Revolution as a teleological series of events starting with the Stamp Act Crisis (1765) and culminating in the inevitable establishment of the United States. This continued into the early- to mid-twentieth </w:t>
      </w:r>
      <w:r w:rsidRPr="0087516E">
        <w:rPr>
          <w:rFonts w:ascii="Times New Roman" w:eastAsia="Times New Roman" w:hAnsi="Times New Roman" w:cs="Times New Roman"/>
          <w:color w:val="000000"/>
          <w:sz w:val="24"/>
          <w:szCs w:val="24"/>
        </w:rPr>
        <w:t>century, as the Cold War and the concept of American exceptionalism shaped the narrative of the history of the nation’s origins.</w:t>
      </w:r>
      <w:r w:rsidRPr="0087516E">
        <w:rPr>
          <w:rFonts w:ascii="Times New Roman" w:eastAsia="Times New Roman" w:hAnsi="Times New Roman" w:cs="Times New Roman"/>
          <w:color w:val="000000"/>
          <w:sz w:val="24"/>
          <w:szCs w:val="24"/>
          <w:vertAlign w:val="superscript"/>
        </w:rPr>
        <w:footnoteReference w:id="2"/>
      </w:r>
      <w:r w:rsidRPr="0087516E">
        <w:rPr>
          <w:rFonts w:ascii="Times New Roman" w:eastAsia="Times New Roman" w:hAnsi="Times New Roman" w:cs="Times New Roman"/>
          <w:color w:val="000000"/>
          <w:sz w:val="24"/>
          <w:szCs w:val="24"/>
        </w:rPr>
        <w:t xml:space="preserve"> </w:t>
      </w:r>
    </w:p>
    <w:p w14:paraId="00000161" w14:textId="384928C2" w:rsidR="00B34926" w:rsidRDefault="00F63944">
      <w:pPr>
        <w:spacing w:line="480" w:lineRule="auto"/>
        <w:ind w:firstLine="360"/>
        <w:rPr>
          <w:rFonts w:ascii="Times New Roman" w:eastAsia="Times New Roman" w:hAnsi="Times New Roman" w:cs="Times New Roman"/>
          <w:color w:val="000000"/>
          <w:sz w:val="24"/>
          <w:szCs w:val="24"/>
        </w:rPr>
      </w:pPr>
      <w:r w:rsidRPr="0087516E">
        <w:rPr>
          <w:rFonts w:ascii="Times New Roman" w:eastAsia="Times New Roman" w:hAnsi="Times New Roman" w:cs="Times New Roman"/>
          <w:color w:val="000000"/>
          <w:sz w:val="24"/>
          <w:szCs w:val="24"/>
        </w:rPr>
        <w:t>The bicentenary of the American Revolution in 1976 marked a turning point. Responding to contemporary social issues of the day,</w:t>
      </w:r>
      <w:r w:rsidR="000842C3" w:rsidRPr="0087516E">
        <w:rPr>
          <w:rFonts w:ascii="Times New Roman" w:eastAsia="Times New Roman" w:hAnsi="Times New Roman" w:cs="Times New Roman"/>
          <w:color w:val="000000"/>
          <w:sz w:val="24"/>
          <w:szCs w:val="24"/>
        </w:rPr>
        <w:t xml:space="preserve"> </w:t>
      </w:r>
      <w:r w:rsidRPr="0087516E">
        <w:rPr>
          <w:rFonts w:ascii="Times New Roman" w:eastAsia="Times New Roman" w:hAnsi="Times New Roman" w:cs="Times New Roman"/>
          <w:color w:val="000000"/>
          <w:sz w:val="24"/>
          <w:szCs w:val="24"/>
        </w:rPr>
        <w:t>scholarship</w:t>
      </w:r>
      <w:r w:rsidR="000842C3" w:rsidRPr="0087516E">
        <w:rPr>
          <w:rFonts w:ascii="Times New Roman" w:eastAsia="Times New Roman" w:hAnsi="Times New Roman" w:cs="Times New Roman"/>
          <w:color w:val="000000"/>
          <w:sz w:val="24"/>
          <w:szCs w:val="24"/>
        </w:rPr>
        <w:t xml:space="preserve"> since the 1970s and 1980s</w:t>
      </w:r>
      <w:r w:rsidRPr="0087516E">
        <w:rPr>
          <w:rFonts w:ascii="Times New Roman" w:eastAsia="Times New Roman" w:hAnsi="Times New Roman" w:cs="Times New Roman"/>
          <w:color w:val="000000"/>
          <w:sz w:val="24"/>
          <w:szCs w:val="24"/>
        </w:rPr>
        <w:t xml:space="preserve"> has increasing</w:t>
      </w:r>
      <w:r w:rsidR="000842C3" w:rsidRPr="0087516E">
        <w:rPr>
          <w:rFonts w:ascii="Times New Roman" w:eastAsia="Times New Roman" w:hAnsi="Times New Roman" w:cs="Times New Roman"/>
          <w:color w:val="000000"/>
          <w:sz w:val="24"/>
          <w:szCs w:val="24"/>
        </w:rPr>
        <w:t>ly</w:t>
      </w:r>
      <w:r w:rsidRPr="0087516E">
        <w:rPr>
          <w:rFonts w:ascii="Times New Roman" w:eastAsia="Times New Roman" w:hAnsi="Times New Roman" w:cs="Times New Roman"/>
          <w:color w:val="000000"/>
          <w:sz w:val="24"/>
          <w:szCs w:val="24"/>
        </w:rPr>
        <w:t xml:space="preserve"> incorporat</w:t>
      </w:r>
      <w:r w:rsidR="000842C3" w:rsidRPr="0087516E">
        <w:rPr>
          <w:rFonts w:ascii="Times New Roman" w:eastAsia="Times New Roman" w:hAnsi="Times New Roman" w:cs="Times New Roman"/>
          <w:color w:val="000000"/>
          <w:sz w:val="24"/>
          <w:szCs w:val="24"/>
        </w:rPr>
        <w:t>ed</w:t>
      </w:r>
      <w:r w:rsidRPr="0087516E">
        <w:rPr>
          <w:rFonts w:ascii="Times New Roman" w:eastAsia="Times New Roman" w:hAnsi="Times New Roman" w:cs="Times New Roman"/>
          <w:color w:val="000000"/>
          <w:sz w:val="24"/>
          <w:szCs w:val="24"/>
        </w:rPr>
        <w:t xml:space="preserve"> practices from the</w:t>
      </w:r>
      <w:r>
        <w:rPr>
          <w:rFonts w:ascii="Times New Roman" w:eastAsia="Times New Roman" w:hAnsi="Times New Roman" w:cs="Times New Roman"/>
          <w:color w:val="000000"/>
          <w:sz w:val="24"/>
          <w:szCs w:val="24"/>
        </w:rPr>
        <w:t xml:space="preserve"> fields of social history and anthropology to place a new emphasis on race, ethnicity and gender in colonial America and the early republic of the United States.</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Meanwhile, the emergence in popularity of loyalist studies in the early </w:t>
      </w:r>
      <w:r>
        <w:rPr>
          <w:rFonts w:ascii="Times New Roman" w:eastAsia="Times New Roman" w:hAnsi="Times New Roman" w:cs="Times New Roman"/>
          <w:color w:val="000000"/>
          <w:sz w:val="24"/>
          <w:szCs w:val="24"/>
        </w:rPr>
        <w:lastRenderedPageBreak/>
        <w:t>2000s has bolstered the comprehensiveness of the scholarly conversation by exploring both sides of the revolutionary divide.</w:t>
      </w:r>
      <w:r>
        <w:rPr>
          <w:rFonts w:ascii="Times New Roman" w:eastAsia="Times New Roman" w:hAnsi="Times New Roman" w:cs="Times New Roman"/>
          <w:color w:val="000000"/>
          <w:sz w:val="24"/>
          <w:szCs w:val="24"/>
          <w:vertAlign w:val="superscript"/>
        </w:rPr>
        <w:footnoteReference w:id="4"/>
      </w:r>
    </w:p>
    <w:p w14:paraId="00000162" w14:textId="13C84ADB" w:rsidR="00B34926" w:rsidRDefault="00F63944">
      <w:pPr>
        <w:spacing w:line="480" w:lineRule="auto"/>
        <w:ind w:firstLine="360"/>
        <w:rPr>
          <w:rFonts w:ascii="Times New Roman" w:eastAsia="Times New Roman" w:hAnsi="Times New Roman" w:cs="Times New Roman"/>
          <w:color w:val="000000"/>
          <w:sz w:val="24"/>
          <w:szCs w:val="24"/>
        </w:rPr>
      </w:pPr>
      <w:r w:rsidRPr="0087516E">
        <w:rPr>
          <w:rFonts w:ascii="Times New Roman" w:eastAsia="Times New Roman" w:hAnsi="Times New Roman" w:cs="Times New Roman"/>
          <w:color w:val="000000"/>
          <w:sz w:val="24"/>
          <w:szCs w:val="24"/>
        </w:rPr>
        <w:t>This study forms a close reading of two primary sources which discuss the origins of the American Revolution. The first is a Declaration made by the Continental Congress at Philadelphia in 1775. The Continental Congress was formed in response to imperial action taken against the American colonies and was comprised of representatives drawn from across the thirteen North American colonies that would subsequently form the United States. The text outlines Congress’s interpretation of the origins of the dispute with Britain and sets forth the necessity of taking</w:t>
      </w:r>
      <w:r>
        <w:rPr>
          <w:rFonts w:ascii="Times New Roman" w:eastAsia="Times New Roman" w:hAnsi="Times New Roman" w:cs="Times New Roman"/>
          <w:color w:val="000000"/>
          <w:sz w:val="24"/>
          <w:szCs w:val="24"/>
        </w:rPr>
        <w:t xml:space="preserve"> up arms. As we shall consider, the Declaration by Congress was printed in the colonial newspapers and was intended for a public audience.</w:t>
      </w:r>
    </w:p>
    <w:p w14:paraId="00000163" w14:textId="77777777" w:rsidR="00B34926" w:rsidRDefault="00F63944">
      <w:pPr>
        <w:spacing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text is a letter which was sent from Governor William Franklin of New Jersey to Lord Dartmouth, informing Dartmouth of the Declaration by Congress and the public response to it. Although the letter was private, Dartmouth was Secretary of State for the Colonies and First Lord of Trade; as such it was likely that any intelligence communicated by Franklin would have been shared amongst government ministers in London. Franklin enclosed a printed copy of the ‘Declaration to Take Up Arms’ within his correspondence to Dartmouth, while outlining the strength of the “Friends of Government”, or the American loyalists, who were opposed to the outbreak of rebellion.</w:t>
      </w:r>
    </w:p>
    <w:p w14:paraId="0614687E" w14:textId="77777777" w:rsidR="000842C3" w:rsidRDefault="00F63944">
      <w:pPr>
        <w:spacing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several important contextual factors to consider when assessing these two texts. Both are dated from the summer of 1775 (July and August, respectively). The timing of their </w:t>
      </w:r>
      <w:r>
        <w:rPr>
          <w:rFonts w:ascii="Times New Roman" w:eastAsia="Times New Roman" w:hAnsi="Times New Roman" w:cs="Times New Roman"/>
          <w:color w:val="000000"/>
          <w:sz w:val="24"/>
          <w:szCs w:val="24"/>
        </w:rPr>
        <w:lastRenderedPageBreak/>
        <w:t xml:space="preserve">creation is important, as both sources were written in the immediate aftermath of the Battles of Lexington and Concord. During the late 1760s and 1770s, the British government had introduced a series of punitive measures against Massachusetts, which </w:t>
      </w:r>
      <w:proofErr w:type="gramStart"/>
      <w:r>
        <w:rPr>
          <w:rFonts w:ascii="Times New Roman" w:eastAsia="Times New Roman" w:hAnsi="Times New Roman" w:cs="Times New Roman"/>
          <w:color w:val="000000"/>
          <w:sz w:val="24"/>
          <w:szCs w:val="24"/>
        </w:rPr>
        <w:t>was considered to be</w:t>
      </w:r>
      <w:proofErr w:type="gramEnd"/>
      <w:r>
        <w:rPr>
          <w:rFonts w:ascii="Times New Roman" w:eastAsia="Times New Roman" w:hAnsi="Times New Roman" w:cs="Times New Roman"/>
          <w:color w:val="000000"/>
          <w:sz w:val="24"/>
          <w:szCs w:val="24"/>
        </w:rPr>
        <w:t xml:space="preserve"> in a state of rebellion. Tensions emerged between colonists and British soldiers stationed in Boston, leading to events such as the Boston Massacre of 1770, the Boston ‘Tea Party’ of 1773, and the Battles of Lexington and Concord in 1775. Contested between the Massachusetts militia and the British army, Lexington and Concord marked the first battles of the American Revolutionary War. </w:t>
      </w:r>
    </w:p>
    <w:p w14:paraId="00000164" w14:textId="20AC1E55" w:rsidR="00B34926" w:rsidRDefault="00F63944">
      <w:pPr>
        <w:spacing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Conversely, both texts predate the Declaration of Independence of 4 July 1776. Thus, at this precarious stage of the American Revolution, American independence was not yet being formally pursued. Instead, the Declaration by Congress sits within a larger body of texts which </w:t>
      </w:r>
      <w:proofErr w:type="gramStart"/>
      <w:r>
        <w:rPr>
          <w:rFonts w:ascii="Times New Roman" w:eastAsia="Times New Roman" w:hAnsi="Times New Roman" w:cs="Times New Roman"/>
          <w:color w:val="000000"/>
          <w:sz w:val="24"/>
          <w:szCs w:val="24"/>
        </w:rPr>
        <w:t>protest against</w:t>
      </w:r>
      <w:proofErr w:type="gramEnd"/>
      <w:r>
        <w:rPr>
          <w:rFonts w:ascii="Times New Roman" w:eastAsia="Times New Roman" w:hAnsi="Times New Roman" w:cs="Times New Roman"/>
          <w:color w:val="000000"/>
          <w:sz w:val="24"/>
          <w:szCs w:val="24"/>
        </w:rPr>
        <w:t xml:space="preserve"> the measures taken by the British Government and call for political reform, but not necessarily independence. These texts include resolutions printed by revolutionary groups such as the Sons of Liberty,</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as well as political pamphlets such as Thomas Paine’s </w:t>
      </w:r>
      <w:r>
        <w:rPr>
          <w:rFonts w:ascii="Times New Roman" w:eastAsia="Times New Roman" w:hAnsi="Times New Roman" w:cs="Times New Roman"/>
          <w:i/>
          <w:color w:val="000000"/>
          <w:sz w:val="24"/>
          <w:szCs w:val="24"/>
        </w:rPr>
        <w:t>Common Sense.</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Bernard </w:t>
      </w:r>
      <w:proofErr w:type="spellStart"/>
      <w:r>
        <w:rPr>
          <w:rFonts w:ascii="Times New Roman" w:eastAsia="Times New Roman" w:hAnsi="Times New Roman" w:cs="Times New Roman"/>
          <w:color w:val="000000"/>
          <w:sz w:val="24"/>
          <w:szCs w:val="24"/>
        </w:rPr>
        <w:t>Bailyn’s</w:t>
      </w:r>
      <w:proofErr w:type="spellEnd"/>
      <w:r>
        <w:rPr>
          <w:rFonts w:ascii="Times New Roman" w:eastAsia="Times New Roman" w:hAnsi="Times New Roman" w:cs="Times New Roman"/>
          <w:color w:val="000000"/>
          <w:sz w:val="24"/>
          <w:szCs w:val="24"/>
        </w:rPr>
        <w:t xml:space="preserve"> influential study </w:t>
      </w:r>
      <w:r>
        <w:rPr>
          <w:rFonts w:ascii="Times New Roman" w:eastAsia="Times New Roman" w:hAnsi="Times New Roman" w:cs="Times New Roman"/>
          <w:i/>
          <w:color w:val="000000"/>
          <w:sz w:val="24"/>
          <w:szCs w:val="24"/>
        </w:rPr>
        <w:t>The Ideological Origins of the American Revolution</w:t>
      </w:r>
      <w:r>
        <w:rPr>
          <w:rFonts w:ascii="Times New Roman" w:eastAsia="Times New Roman" w:hAnsi="Times New Roman" w:cs="Times New Roman"/>
          <w:color w:val="000000"/>
          <w:sz w:val="24"/>
          <w:szCs w:val="24"/>
        </w:rPr>
        <w:t xml:space="preserve"> considers the rhetoric used within such pamphlets and the development of American revolutionary political thought.</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It may be helpful to consider how the aims outlined within the Declaration compare with similar texts written during the period. </w:t>
      </w:r>
    </w:p>
    <w:p w14:paraId="00000165" w14:textId="4BDD8D70" w:rsidR="00B34926" w:rsidRDefault="00F63944">
      <w:pPr>
        <w:spacing w:line="480" w:lineRule="auto"/>
        <w:ind w:firstLine="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At the point </w:t>
      </w:r>
      <w:r w:rsidR="00D6199F">
        <w:rPr>
          <w:rFonts w:ascii="Times New Roman" w:eastAsia="Times New Roman" w:hAnsi="Times New Roman" w:cs="Times New Roman"/>
          <w:color w:val="000000"/>
          <w:sz w:val="24"/>
          <w:szCs w:val="24"/>
        </w:rPr>
        <w:t xml:space="preserve">when these sources were created, </w:t>
      </w:r>
      <w:r>
        <w:rPr>
          <w:rFonts w:ascii="Times New Roman" w:eastAsia="Times New Roman" w:hAnsi="Times New Roman" w:cs="Times New Roman"/>
          <w:color w:val="000000"/>
          <w:sz w:val="24"/>
          <w:szCs w:val="24"/>
        </w:rPr>
        <w:t xml:space="preserve">independence was not necessarily inevitable. As Franklin’s letter to Dartmouth indicates, there were substantial numbers of </w:t>
      </w:r>
      <w:r>
        <w:rPr>
          <w:rFonts w:ascii="Times New Roman" w:eastAsia="Times New Roman" w:hAnsi="Times New Roman" w:cs="Times New Roman"/>
          <w:color w:val="000000"/>
          <w:sz w:val="24"/>
          <w:szCs w:val="24"/>
        </w:rPr>
        <w:lastRenderedPageBreak/>
        <w:t xml:space="preserve">people who were opposed to independence. However, these ‘loyalists’, as they came to be remembered, were not united into a coherent party under clear local leadership, in the way that the revolutionaries were. These political feelings of loyalty to Britain were a consequence of the strong emotional, cultural and material ties that had developed between Britain and the American colonies and are the focus of Timothy Breen’s article ‘Baubles of Britain’ and Brendan McConville’s study </w:t>
      </w:r>
      <w:r>
        <w:rPr>
          <w:rFonts w:ascii="Times New Roman" w:eastAsia="Times New Roman" w:hAnsi="Times New Roman" w:cs="Times New Roman"/>
          <w:i/>
          <w:color w:val="000000"/>
          <w:sz w:val="24"/>
          <w:szCs w:val="24"/>
        </w:rPr>
        <w:t>The King’s Three Faces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Considering the American loyalists in more detail, Wallace Brown’s </w:t>
      </w:r>
      <w:r>
        <w:rPr>
          <w:rFonts w:ascii="Times New Roman" w:eastAsia="Times New Roman" w:hAnsi="Times New Roman" w:cs="Times New Roman"/>
          <w:i/>
          <w:color w:val="000000"/>
          <w:sz w:val="24"/>
          <w:szCs w:val="24"/>
        </w:rPr>
        <w:t>The King’s Friends</w:t>
      </w:r>
      <w:r>
        <w:rPr>
          <w:rFonts w:ascii="Times New Roman" w:eastAsia="Times New Roman" w:hAnsi="Times New Roman" w:cs="Times New Roman"/>
          <w:color w:val="000000"/>
          <w:sz w:val="24"/>
          <w:szCs w:val="24"/>
        </w:rPr>
        <w:t xml:space="preserve"> provides a high-level analysis of the numbers of American loyalists who submitted post-war compensation claims to the British government.</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An examination of these claims in detail reveals that several persons, including some of the delegates to the Continental Congress, changed sides throughout the conflict.</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This issue is explored further in Ruma Chopra’s </w:t>
      </w:r>
      <w:r>
        <w:rPr>
          <w:rFonts w:ascii="Times New Roman" w:eastAsia="Times New Roman" w:hAnsi="Times New Roman" w:cs="Times New Roman"/>
          <w:i/>
          <w:color w:val="000000"/>
          <w:sz w:val="24"/>
          <w:szCs w:val="24"/>
        </w:rPr>
        <w:t>Choosing Sides.</w:t>
      </w:r>
      <w:r>
        <w:rPr>
          <w:rFonts w:ascii="Times New Roman" w:eastAsia="Times New Roman" w:hAnsi="Times New Roman" w:cs="Times New Roman"/>
          <w:color w:val="000000"/>
          <w:sz w:val="24"/>
          <w:szCs w:val="24"/>
          <w:vertAlign w:val="superscript"/>
        </w:rPr>
        <w:footnoteReference w:id="11"/>
      </w:r>
    </w:p>
    <w:p w14:paraId="00000166" w14:textId="77777777" w:rsidR="00B34926" w:rsidRDefault="00F63944">
      <w:pPr>
        <w:spacing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 vast plethora of sources that exist through which we can study the history of revolutions. Many of these sources reveal the anxieties and aspirations held during the immediate context in which they were </w:t>
      </w:r>
      <w:proofErr w:type="gramStart"/>
      <w:r>
        <w:rPr>
          <w:rFonts w:ascii="Times New Roman" w:eastAsia="Times New Roman" w:hAnsi="Times New Roman" w:cs="Times New Roman"/>
          <w:color w:val="000000"/>
          <w:sz w:val="24"/>
          <w:szCs w:val="24"/>
        </w:rPr>
        <w:t>written, and</w:t>
      </w:r>
      <w:proofErr w:type="gramEnd"/>
      <w:r>
        <w:rPr>
          <w:rFonts w:ascii="Times New Roman" w:eastAsia="Times New Roman" w:hAnsi="Times New Roman" w:cs="Times New Roman"/>
          <w:color w:val="000000"/>
          <w:sz w:val="24"/>
          <w:szCs w:val="24"/>
        </w:rPr>
        <w:t xml:space="preserve"> are likely to have been produced by those on differing sides of the debate. By considering texts from the opposing factions in conjunction with each other, we can reveal a more comprehensive and balanced analysis of the events that occurred during periods of revolution, and how individuals responded to them.</w:t>
      </w:r>
    </w:p>
    <w:p w14:paraId="00000167" w14:textId="77777777" w:rsidR="00B34926" w:rsidRDefault="00000000">
      <w:pPr>
        <w:spacing w:line="480" w:lineRule="auto"/>
        <w:rPr>
          <w:b/>
        </w:rPr>
      </w:pPr>
      <w:r>
        <w:pict w14:anchorId="66905AA6">
          <v:rect id="_x0000_i1027" style="width:0;height:1.5pt" o:hralign="center" o:hrstd="t" o:hr="t" fillcolor="#a0a0a0" stroked="f"/>
        </w:pict>
      </w:r>
    </w:p>
    <w:p w14:paraId="00000168" w14:textId="77777777" w:rsidR="00B34926" w:rsidRDefault="00F63944">
      <w:pPr>
        <w:pStyle w:val="Heading1"/>
        <w:rPr>
          <w:rFonts w:ascii="Calibri" w:eastAsia="Calibri" w:hAnsi="Calibri" w:cs="Calibri"/>
          <w:b/>
          <w:color w:val="000000"/>
        </w:rPr>
      </w:pPr>
      <w:r>
        <w:rPr>
          <w:rFonts w:ascii="Calibri" w:eastAsia="Calibri" w:hAnsi="Calibri" w:cs="Calibri"/>
          <w:b/>
          <w:color w:val="000000"/>
        </w:rPr>
        <w:lastRenderedPageBreak/>
        <w:t>Source analysis questions</w:t>
      </w:r>
    </w:p>
    <w:p w14:paraId="3850CDA7" w14:textId="77777777" w:rsidR="0087516E" w:rsidRPr="0087516E" w:rsidRDefault="0087516E" w:rsidP="0087516E"/>
    <w:p w14:paraId="0000016E" w14:textId="77777777" w:rsidR="00B34926" w:rsidRDefault="00F63944">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bookmarkStart w:id="2" w:name="_heading=h.tyjcwt" w:colFirst="0" w:colLast="0"/>
      <w:bookmarkEnd w:id="2"/>
      <w:r>
        <w:rPr>
          <w:rFonts w:ascii="Times New Roman" w:eastAsia="Times New Roman" w:hAnsi="Times New Roman" w:cs="Times New Roman"/>
          <w:color w:val="000000"/>
          <w:sz w:val="24"/>
          <w:szCs w:val="24"/>
        </w:rPr>
        <w:t>Who was (or were) the creator(s) of this document, and what were their intentions?</w:t>
      </w:r>
    </w:p>
    <w:p w14:paraId="0000016F" w14:textId="77777777" w:rsidR="00B34926" w:rsidRDefault="00F63944">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know that this document was written during a period of revolution; in light of this, what can we learn of its creator(s)’s political stance during the revolution?</w:t>
      </w:r>
    </w:p>
    <w:p w14:paraId="00000170" w14:textId="77777777" w:rsidR="00B34926" w:rsidRDefault="00F63944">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was the intended audience/recipient of this document? Was this document for public consumption or private use?</w:t>
      </w:r>
    </w:p>
    <w:p w14:paraId="00000171" w14:textId="77777777" w:rsidR="00B34926" w:rsidRDefault="00F63944">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can this source tell us about the political origins of the outbreak of the American Revolution?</w:t>
      </w:r>
    </w:p>
    <w:p w14:paraId="00000172" w14:textId="77777777" w:rsidR="00B34926" w:rsidRDefault="00F63944">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can this source tell us about those who were opposed to the American Revolution?</w:t>
      </w:r>
    </w:p>
    <w:p w14:paraId="00000173" w14:textId="77777777" w:rsidR="00B34926" w:rsidRDefault="00F63944">
      <w:pPr>
        <w:numPr>
          <w:ilvl w:val="0"/>
          <w:numId w:val="4"/>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the limitations of this source – what can it </w:t>
      </w:r>
      <w:r>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rPr>
        <w:t xml:space="preserve"> tell us?</w:t>
      </w:r>
    </w:p>
    <w:p w14:paraId="00000174" w14:textId="77777777" w:rsidR="00B34926" w:rsidRDefault="00000000">
      <w:pPr>
        <w:pStyle w:val="Heading1"/>
        <w:rPr>
          <w:color w:val="FF0000"/>
        </w:rPr>
      </w:pPr>
      <w:r>
        <w:pict w14:anchorId="1EC26135">
          <v:rect id="_x0000_i1028" style="width:0;height:1.5pt" o:hralign="center" o:hrstd="t" o:hr="t" fillcolor="#a0a0a0" stroked="f"/>
        </w:pict>
      </w:r>
    </w:p>
    <w:p w14:paraId="00000175" w14:textId="77777777" w:rsidR="00B34926" w:rsidRDefault="00B34926"/>
    <w:p w14:paraId="00000176" w14:textId="77777777" w:rsidR="00B34926" w:rsidRDefault="00F63944">
      <w:pPr>
        <w:pStyle w:val="Heading1"/>
        <w:rPr>
          <w:rFonts w:ascii="Calibri" w:eastAsia="Calibri" w:hAnsi="Calibri" w:cs="Calibri"/>
          <w:b/>
          <w:color w:val="000000"/>
        </w:rPr>
      </w:pPr>
      <w:r>
        <w:rPr>
          <w:rFonts w:ascii="Calibri" w:eastAsia="Calibri" w:hAnsi="Calibri" w:cs="Calibri"/>
          <w:b/>
          <w:color w:val="000000"/>
        </w:rPr>
        <w:t>Critical evaluation</w:t>
      </w:r>
    </w:p>
    <w:p w14:paraId="073E1315" w14:textId="77777777" w:rsidR="0087516E" w:rsidRPr="0087516E" w:rsidRDefault="0087516E" w:rsidP="0087516E"/>
    <w:p w14:paraId="0000017B" w14:textId="77777777" w:rsidR="00B34926" w:rsidRDefault="00F63944">
      <w:pPr>
        <w:spacing w:line="480" w:lineRule="auto"/>
        <w:rPr>
          <w:rFonts w:ascii="Times New Roman" w:eastAsia="Times New Roman" w:hAnsi="Times New Roman" w:cs="Times New Roman"/>
          <w:b/>
          <w:color w:val="000000"/>
          <w:sz w:val="24"/>
          <w:szCs w:val="24"/>
        </w:rPr>
      </w:pPr>
      <w:bookmarkStart w:id="3" w:name="_heading=h.3dy6vkm" w:colFirst="0" w:colLast="0"/>
      <w:bookmarkEnd w:id="3"/>
      <w:r>
        <w:rPr>
          <w:rFonts w:ascii="Times New Roman" w:eastAsia="Times New Roman" w:hAnsi="Times New Roman" w:cs="Times New Roman"/>
          <w:b/>
          <w:color w:val="000000"/>
          <w:sz w:val="24"/>
          <w:szCs w:val="24"/>
        </w:rPr>
        <w:t>Introduction: Familiarising Yourself with the Document</w:t>
      </w:r>
    </w:p>
    <w:p w14:paraId="0000017C" w14:textId="2E65AE17"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Begin by identifying the type of source that you are working with. At the top of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63, we can see that this document is “A Declaration by the Representatives of the United Colonies of North-America”. From the document’s full title, we learn that the Representatives are “now met in General Congress at Philadelphia”, and that the purpose of their Declaration is for “setting forth the Causes and Necessity of their taking up Arms.” A glance at the end of the text on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64 reveals that the Declaration was signed on 6 July 1775, and that it was signed by John Hancock (who we learn was the President of the Congress) on behalf of the entire Congress. </w:t>
      </w:r>
    </w:p>
    <w:p w14:paraId="0000017D" w14:textId="2EE449C8" w:rsidR="00B34926" w:rsidRPr="0087516E"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Congress held at Philadelphia in 1775 was the second Continental Congress, the first having been called in 1774 in response to the British blockade of Boston harbour. In 1775, Congress met in response to the Battles of Lexington and Concord in Massachusetts. It was attended by representatives from across the thirteen North American colonies which would later form the United States. A year later, the same Congress would call for independence from Great Britain with the Declaration of Independence on 4 July 1776. An appreciation of the timing of the source’s creation is important for our interpretation of the document: although we know with hindsight that the American colonial leadership would eventually </w:t>
      </w:r>
      <w:r w:rsidRPr="0087516E">
        <w:rPr>
          <w:rFonts w:ascii="Times New Roman" w:eastAsia="Times New Roman" w:hAnsi="Times New Roman" w:cs="Times New Roman"/>
          <w:color w:val="000000"/>
          <w:sz w:val="24"/>
          <w:szCs w:val="24"/>
        </w:rPr>
        <w:t xml:space="preserve">pursue the aim of political independence, at this stage of the Revolution this was not yet guaranteed. In 1775, colonists were seeking a resolution to the perceived wrongdoings of the British Parliament; this was to be achieved from within the British Empire, not as an independent American state. </w:t>
      </w:r>
    </w:p>
    <w:p w14:paraId="0000017E" w14:textId="59DD7CF9" w:rsidR="00B34926" w:rsidRDefault="00F63944">
      <w:pPr>
        <w:spacing w:line="480" w:lineRule="auto"/>
        <w:ind w:firstLine="720"/>
        <w:rPr>
          <w:rFonts w:ascii="Times New Roman" w:eastAsia="Times New Roman" w:hAnsi="Times New Roman" w:cs="Times New Roman"/>
          <w:color w:val="000000"/>
          <w:sz w:val="24"/>
          <w:szCs w:val="24"/>
        </w:rPr>
      </w:pPr>
      <w:r w:rsidRPr="0087516E">
        <w:rPr>
          <w:rFonts w:ascii="Times New Roman" w:eastAsia="Times New Roman" w:hAnsi="Times New Roman" w:cs="Times New Roman"/>
          <w:color w:val="000000"/>
          <w:sz w:val="24"/>
          <w:szCs w:val="24"/>
        </w:rPr>
        <w:t xml:space="preserve">If we look more broadly at the remainder of image </w:t>
      </w:r>
      <w:r w:rsidR="005E3640" w:rsidRPr="0087516E">
        <w:rPr>
          <w:rFonts w:ascii="Times New Roman" w:eastAsia="Times New Roman" w:hAnsi="Times New Roman" w:cs="Times New Roman"/>
          <w:color w:val="000000"/>
          <w:sz w:val="24"/>
          <w:szCs w:val="24"/>
        </w:rPr>
        <w:t>2</w:t>
      </w:r>
      <w:r w:rsidRPr="0087516E">
        <w:rPr>
          <w:rFonts w:ascii="Times New Roman" w:eastAsia="Times New Roman" w:hAnsi="Times New Roman" w:cs="Times New Roman"/>
          <w:color w:val="000000"/>
          <w:sz w:val="24"/>
          <w:szCs w:val="24"/>
        </w:rPr>
        <w:t xml:space="preserve">64, we can see that the Declaration is published alongside a series of various advertisements. This tells us that the Declaration was printed in a newspaper and, as such, was likely to have been available to a broad public audience. While the advertisements themselves are not of interest for our study of the American Revolution, if we briefly take a closer look at </w:t>
      </w:r>
      <w:proofErr w:type="gramStart"/>
      <w:r w:rsidRPr="0087516E">
        <w:rPr>
          <w:rFonts w:ascii="Times New Roman" w:eastAsia="Times New Roman" w:hAnsi="Times New Roman" w:cs="Times New Roman"/>
          <w:color w:val="000000"/>
          <w:sz w:val="24"/>
          <w:szCs w:val="24"/>
        </w:rPr>
        <w:t>them</w:t>
      </w:r>
      <w:proofErr w:type="gramEnd"/>
      <w:r w:rsidRPr="0087516E">
        <w:rPr>
          <w:rFonts w:ascii="Times New Roman" w:eastAsia="Times New Roman" w:hAnsi="Times New Roman" w:cs="Times New Roman"/>
          <w:color w:val="000000"/>
          <w:sz w:val="24"/>
          <w:szCs w:val="24"/>
        </w:rPr>
        <w:t xml:space="preserve"> we notice that they relate to New York and New Jersey, even though we have just learned that the Congress was held in Philadelphia. For instance, there are references to Thomas </w:t>
      </w:r>
      <w:proofErr w:type="spellStart"/>
      <w:r w:rsidRPr="0087516E">
        <w:rPr>
          <w:rFonts w:ascii="Times New Roman" w:eastAsia="Times New Roman" w:hAnsi="Times New Roman" w:cs="Times New Roman"/>
          <w:color w:val="000000"/>
          <w:sz w:val="24"/>
          <w:szCs w:val="24"/>
        </w:rPr>
        <w:t>Bridgen</w:t>
      </w:r>
      <w:proofErr w:type="spellEnd"/>
      <w:r w:rsidRPr="0087516E">
        <w:rPr>
          <w:rFonts w:ascii="Times New Roman" w:eastAsia="Times New Roman" w:hAnsi="Times New Roman" w:cs="Times New Roman"/>
          <w:color w:val="000000"/>
          <w:sz w:val="24"/>
          <w:szCs w:val="24"/>
        </w:rPr>
        <w:t xml:space="preserve"> Atwood’s store near Coenties Market and to a pocketbook lost by John Lewis of Beekman’s Slip, both at New York’s harbour; an advertisement for James Wallace’s luxury textiles for sale near to the New York coffee-house; a notification that apprentice John M</w:t>
      </w:r>
      <w:r w:rsidRPr="0087516E">
        <w:rPr>
          <w:rFonts w:ascii="Times New Roman" w:eastAsia="Times New Roman" w:hAnsi="Times New Roman" w:cs="Times New Roman"/>
          <w:color w:val="000000"/>
          <w:sz w:val="24"/>
          <w:szCs w:val="24"/>
          <w:vertAlign w:val="superscript"/>
        </w:rPr>
        <w:t>c</w:t>
      </w:r>
      <w:r w:rsidRPr="0087516E">
        <w:rPr>
          <w:rFonts w:ascii="Times New Roman" w:eastAsia="Times New Roman" w:hAnsi="Times New Roman" w:cs="Times New Roman"/>
          <w:color w:val="000000"/>
          <w:sz w:val="24"/>
          <w:szCs w:val="24"/>
        </w:rPr>
        <w:t>Lea</w:t>
      </w:r>
      <w:r w:rsidR="005E3640" w:rsidRPr="0087516E">
        <w:rPr>
          <w:rFonts w:ascii="Times New Roman" w:eastAsia="Times New Roman" w:hAnsi="Times New Roman" w:cs="Times New Roman"/>
          <w:color w:val="000000"/>
          <w:sz w:val="24"/>
          <w:szCs w:val="24"/>
        </w:rPr>
        <w:t>n</w:t>
      </w:r>
      <w:r w:rsidRPr="0087516E">
        <w:rPr>
          <w:rFonts w:ascii="Times New Roman" w:eastAsia="Times New Roman" w:hAnsi="Times New Roman" w:cs="Times New Roman"/>
          <w:color w:val="000000"/>
          <w:sz w:val="24"/>
          <w:szCs w:val="24"/>
        </w:rPr>
        <w:t xml:space="preserve"> has run</w:t>
      </w:r>
      <w:r>
        <w:rPr>
          <w:rFonts w:ascii="Times New Roman" w:eastAsia="Times New Roman" w:hAnsi="Times New Roman" w:cs="Times New Roman"/>
          <w:color w:val="000000"/>
          <w:sz w:val="24"/>
          <w:szCs w:val="24"/>
        </w:rPr>
        <w:t xml:space="preserve"> away from his master in Springfield, East New Jersey; and a public notice addressed to the residents of Somerset County, New Jersey. From these advertisements, we can presume that the </w:t>
      </w:r>
      <w:r>
        <w:rPr>
          <w:rFonts w:ascii="Times New Roman" w:eastAsia="Times New Roman" w:hAnsi="Times New Roman" w:cs="Times New Roman"/>
          <w:color w:val="000000"/>
          <w:sz w:val="24"/>
          <w:szCs w:val="24"/>
        </w:rPr>
        <w:lastRenderedPageBreak/>
        <w:t xml:space="preserve">Declaration was likely to have been published in newspapers in several colonies beyond Pennsylvania. </w:t>
      </w:r>
    </w:p>
    <w:p w14:paraId="0000017F" w14:textId="1C907D59"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Thus, we know that inhabitants of colonial America could access the Declaration via the newspaper. However, the source gives us further clues as to how this text may have been shared elsewhere. Turning back to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63, there is an annotation in the bottom right corner of the document that reads “</w:t>
      </w:r>
      <w:proofErr w:type="spellStart"/>
      <w:r>
        <w:rPr>
          <w:rFonts w:ascii="Times New Roman" w:eastAsia="Times New Roman" w:hAnsi="Times New Roman" w:cs="Times New Roman"/>
          <w:color w:val="000000"/>
          <w:sz w:val="24"/>
          <w:szCs w:val="24"/>
        </w:rPr>
        <w:t>Inclosed</w:t>
      </w:r>
      <w:proofErr w:type="spellEnd"/>
      <w:r>
        <w:rPr>
          <w:rFonts w:ascii="Times New Roman" w:eastAsia="Times New Roman" w:hAnsi="Times New Roman" w:cs="Times New Roman"/>
          <w:color w:val="000000"/>
          <w:sz w:val="24"/>
          <w:szCs w:val="24"/>
        </w:rPr>
        <w:t xml:space="preserve"> Franklin’s (N</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 xml:space="preserve"> 26) of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August 1775”. Let us turn to the second source in this collection, which is a letter sent by the Governor of New Jersey, William Franklin to Lord Dartmouth. Although Franklin’s father was the well-known Patriot Benjamin Franklin, William Franklin would later become a Loyalist (a term used to describe those who were opposed to the American Revolution). Dartmouth, meanwhile, was Secretary of State for the Colonies and First Lord of Trade. Consequently, although this letter was private, it is likely that its contents would have been shared amongst government ministers in London. </w:t>
      </w:r>
    </w:p>
    <w:p w14:paraId="00000180" w14:textId="77777777"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Within this letter, on image 256, we learn that Franklin sent a copy of the Declaration to his correspondent in London. Note the number 26 in the top left corner of the letter: in the eighteenth-century, it was common practice to number letters in sequence, as they were likely to go astray or be delayed. Importantly for us, this suggests that there was an ongoing correspondence between Franklin and </w:t>
      </w:r>
      <w:proofErr w:type="gramStart"/>
      <w:r>
        <w:rPr>
          <w:rFonts w:ascii="Times New Roman" w:eastAsia="Times New Roman" w:hAnsi="Times New Roman" w:cs="Times New Roman"/>
          <w:color w:val="000000"/>
          <w:sz w:val="24"/>
          <w:szCs w:val="24"/>
        </w:rPr>
        <w:t>Dartmouth;</w:t>
      </w:r>
      <w:proofErr w:type="gramEnd"/>
      <w:r>
        <w:rPr>
          <w:rFonts w:ascii="Times New Roman" w:eastAsia="Times New Roman" w:hAnsi="Times New Roman" w:cs="Times New Roman"/>
          <w:color w:val="000000"/>
          <w:sz w:val="24"/>
          <w:szCs w:val="24"/>
        </w:rPr>
        <w:t xml:space="preserve"> potentially on the subject of the American Revolution. A closer examination of image 256 confirms this to be true, as Franklin </w:t>
      </w:r>
      <w:sdt>
        <w:sdtPr>
          <w:tag w:val="goog_rdk_1"/>
          <w:id w:val="301508454"/>
        </w:sdtPr>
        <w:sdtContent/>
      </w:sdt>
      <w:r>
        <w:rPr>
          <w:rFonts w:ascii="Times New Roman" w:eastAsia="Times New Roman" w:hAnsi="Times New Roman" w:cs="Times New Roman"/>
          <w:color w:val="000000"/>
          <w:sz w:val="24"/>
          <w:szCs w:val="24"/>
        </w:rPr>
        <w:t>writes in paragraph two that “the same Disposition &amp; the same Measures as mentioned in my last.”</w:t>
      </w:r>
    </w:p>
    <w:p w14:paraId="00000181" w14:textId="77777777"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initial examination of the source material, although brief, helps us to prepare for a more detailed and rigorous analysis of its content. We have encountered the two opposing factions in the American Revolution: the patriots who formed the Continental Congress and published the Declaration, and the loyalists such as Franklin. We have learned how the source </w:t>
      </w:r>
      <w:r>
        <w:rPr>
          <w:rFonts w:ascii="Times New Roman" w:eastAsia="Times New Roman" w:hAnsi="Times New Roman" w:cs="Times New Roman"/>
          <w:color w:val="000000"/>
          <w:sz w:val="24"/>
          <w:szCs w:val="24"/>
        </w:rPr>
        <w:lastRenderedPageBreak/>
        <w:t>was disseminated, both formally and informally, and reflected upon who its target audience was. Similar questioning techniques can be used when assessing alternative sources to study other historic revolutions. Using the source questions outlined above, we can now turn to conducting an in-depth analysis of the source.</w:t>
      </w:r>
    </w:p>
    <w:p w14:paraId="00000182" w14:textId="77777777" w:rsidR="00B34926" w:rsidRDefault="00F63944">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Pre-Revolutionary Relationship Between Britain and America</w:t>
      </w:r>
    </w:p>
    <w:p w14:paraId="00000183" w14:textId="6E257D12" w:rsidR="00B34926" w:rsidRDefault="00F6394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Having familiarised ourselves with the authors and intended recipients of the sources (as well as their respective political stances), let us now turn to consider what the sources reveal about the political origins and outbreak of the American Revolution. From its outset, the Declaration made by Congress clearly outlines what it perceives to be the tyrannical overreach of the British Parliament and the duty of the American colonies to resist it.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do this, Congress begins by outlining what it describes as the “harmonious intercourse”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63) that had existed between Britain and America prior to the American Revolution, before outlining the offensive measures taken by Parliament. Think carefully about the rhetorical devices used, and why the narrative is constructed in this way. In this </w:t>
      </w:r>
      <w:proofErr w:type="gramStart"/>
      <w:r>
        <w:rPr>
          <w:rFonts w:ascii="Times New Roman" w:eastAsia="Times New Roman" w:hAnsi="Times New Roman" w:cs="Times New Roman"/>
          <w:color w:val="000000"/>
          <w:sz w:val="24"/>
          <w:szCs w:val="24"/>
        </w:rPr>
        <w:t>particular example</w:t>
      </w:r>
      <w:proofErr w:type="gramEnd"/>
      <w:r>
        <w:rPr>
          <w:rFonts w:ascii="Times New Roman" w:eastAsia="Times New Roman" w:hAnsi="Times New Roman" w:cs="Times New Roman"/>
          <w:color w:val="000000"/>
          <w:sz w:val="24"/>
          <w:szCs w:val="24"/>
        </w:rPr>
        <w:t>, blame is clearly and decidedly placed upon the British Government. For alternative sources that you may encounter, similar techniques may be used to portray a particular series of events.</w:t>
      </w:r>
    </w:p>
    <w:p w14:paraId="00000185" w14:textId="49891408" w:rsidR="00B34926" w:rsidRDefault="00D6199F" w:rsidP="0087516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63, w</w:t>
      </w:r>
      <w:r w:rsidR="00F63944">
        <w:rPr>
          <w:rFonts w:ascii="Times New Roman" w:eastAsia="Times New Roman" w:hAnsi="Times New Roman" w:cs="Times New Roman"/>
          <w:color w:val="000000"/>
          <w:sz w:val="24"/>
          <w:szCs w:val="24"/>
        </w:rPr>
        <w:t>e learn that the colonist’s forefathers had left Britain seeking civil and religious freedoms and how, through their own risk and hard labour, these early sett</w:t>
      </w:r>
      <w:sdt>
        <w:sdtPr>
          <w:tag w:val="goog_rdk_2"/>
          <w:id w:val="963005722"/>
        </w:sdtPr>
        <w:sdtContent/>
      </w:sdt>
      <w:r w:rsidR="00F63944">
        <w:rPr>
          <w:rFonts w:ascii="Times New Roman" w:eastAsia="Times New Roman" w:hAnsi="Times New Roman" w:cs="Times New Roman"/>
          <w:color w:val="000000"/>
          <w:sz w:val="24"/>
          <w:szCs w:val="24"/>
        </w:rPr>
        <w:t>lers had “erected settlements in the distant and inhospitable wilds of America.” By the mid-eighteenth century, these early settlements had become fully formed societies “vested with perfect legislatures” or local systems of government. According to Congress, “the mutual benefits of this union” between Britain and its American colonies were “so extraordinary as to excite astonishment.”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image</w:t>
      </w:r>
      <w:proofErr w:type="gramEnd"/>
      <w:r>
        <w:rPr>
          <w:rFonts w:ascii="Times New Roman" w:eastAsia="Times New Roman" w:hAnsi="Times New Roman" w:cs="Times New Roman"/>
          <w:color w:val="000000"/>
          <w:sz w:val="24"/>
          <w:szCs w:val="24"/>
        </w:rPr>
        <w:t xml:space="preserv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63)</w:t>
      </w:r>
      <w:r w:rsidR="00F63944">
        <w:rPr>
          <w:rFonts w:ascii="Times New Roman" w:eastAsia="Times New Roman" w:hAnsi="Times New Roman" w:cs="Times New Roman"/>
          <w:color w:val="000000"/>
          <w:sz w:val="24"/>
          <w:szCs w:val="24"/>
        </w:rPr>
        <w:t xml:space="preserve"> At this point, it would be helpful to refer to relevant </w:t>
      </w:r>
      <w:r w:rsidR="00F63944">
        <w:rPr>
          <w:rFonts w:ascii="Times New Roman" w:eastAsia="Times New Roman" w:hAnsi="Times New Roman" w:cs="Times New Roman"/>
          <w:color w:val="000000"/>
          <w:sz w:val="24"/>
          <w:szCs w:val="24"/>
        </w:rPr>
        <w:lastRenderedPageBreak/>
        <w:t>secondary sources, or historical theory, to assess whether Congress’ depiction of the pre-Revolutionary relationship that existed between Britain and America is accurate.</w:t>
      </w:r>
      <w:r w:rsidR="00F63944">
        <w:rPr>
          <w:rFonts w:ascii="Times New Roman" w:eastAsia="Times New Roman" w:hAnsi="Times New Roman" w:cs="Times New Roman"/>
          <w:color w:val="000000"/>
          <w:sz w:val="24"/>
          <w:szCs w:val="24"/>
        </w:rPr>
        <w:tab/>
      </w:r>
    </w:p>
    <w:p w14:paraId="00000186" w14:textId="5710FD4B"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source also reveals that the American colonists had provided support to Britain during periods of war. The Declaration makes specific reference to the Seven-Years-War, which was contested primarily between Britain and France between 1756 and 1763, with parts of the conflict occurring in North America. According to Congress, we learn from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63 that the colonists provided “dutiful, zealous and useful services during the war”, which are alleged to have “enabled her [Britain] to triumph over her enemies.” Think carefully about the level of detail provided here, as the Declaration does not elaborate upon what these “services” were. You may wish to refer to the historical theory to evaluate this claim.</w:t>
      </w:r>
    </w:p>
    <w:p w14:paraId="00000187" w14:textId="77777777" w:rsidR="00B34926" w:rsidRDefault="00F63944">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Origins of the American Revolution</w:t>
      </w:r>
    </w:p>
    <w:p w14:paraId="00000188" w14:textId="092F37D1"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Turning our focus to the formal outbreak of the American Revolution, we learn from the Declaration that the conclusion of the Seven-Years-War formed a turning point in the relationship between Britain and its American colonies. From 1764 onwards, </w:t>
      </w:r>
      <w:sdt>
        <w:sdtPr>
          <w:tag w:val="goog_rdk_3"/>
          <w:id w:val="-1016456935"/>
        </w:sdtPr>
        <w:sdtContent/>
      </w:sdt>
      <w:r>
        <w:rPr>
          <w:rFonts w:ascii="Times New Roman" w:eastAsia="Times New Roman" w:hAnsi="Times New Roman" w:cs="Times New Roman"/>
          <w:color w:val="000000"/>
          <w:sz w:val="24"/>
          <w:szCs w:val="24"/>
        </w:rPr>
        <w:t>Congress accuses the British Government of seeing the colonies as little more than “statutable plunder.”</w:t>
      </w:r>
      <w:r w:rsidR="00D6199F">
        <w:rPr>
          <w:rFonts w:ascii="Times New Roman" w:eastAsia="Times New Roman" w:hAnsi="Times New Roman" w:cs="Times New Roman"/>
          <w:color w:val="000000"/>
          <w:sz w:val="24"/>
          <w:szCs w:val="24"/>
        </w:rPr>
        <w:t xml:space="preserve"> (</w:t>
      </w:r>
      <w:proofErr w:type="gramStart"/>
      <w:r w:rsidR="00D6199F">
        <w:rPr>
          <w:rFonts w:ascii="Times New Roman" w:eastAsia="Times New Roman" w:hAnsi="Times New Roman" w:cs="Times New Roman"/>
          <w:color w:val="000000"/>
          <w:sz w:val="24"/>
          <w:szCs w:val="24"/>
        </w:rPr>
        <w:t>image</w:t>
      </w:r>
      <w:proofErr w:type="gramEnd"/>
      <w:r w:rsidR="00D6199F">
        <w:rPr>
          <w:rFonts w:ascii="Times New Roman" w:eastAsia="Times New Roman" w:hAnsi="Times New Roman" w:cs="Times New Roman"/>
          <w:color w:val="000000"/>
          <w:sz w:val="24"/>
          <w:szCs w:val="24"/>
        </w:rPr>
        <w:t xml:space="preserve"> </w:t>
      </w:r>
      <w:r w:rsidR="005E3640">
        <w:rPr>
          <w:rFonts w:ascii="Times New Roman" w:eastAsia="Times New Roman" w:hAnsi="Times New Roman" w:cs="Times New Roman"/>
          <w:color w:val="000000"/>
          <w:sz w:val="24"/>
          <w:szCs w:val="24"/>
        </w:rPr>
        <w:t>2</w:t>
      </w:r>
      <w:r w:rsidR="00D6199F">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z w:val="24"/>
          <w:szCs w:val="24"/>
        </w:rPr>
        <w:t xml:space="preserve"> “</w:t>
      </w:r>
      <w:r w:rsidR="00D6199F">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the course of eleven years”, they claim, Parliament has adopted a “pernicious project” to enforce its power over the colonies. This includes Parliament’s decision to “give and grant our money without our consent, though we have ever exercised an exclusive right to dispose of our own property”. The use of secondary literature will help you to contextualise such claims made in similar sources. For instance, here, Congress is alluding to the Stamp Act of 1765, the Sugar Act of </w:t>
      </w:r>
      <w:proofErr w:type="gramStart"/>
      <w:r>
        <w:rPr>
          <w:rFonts w:ascii="Times New Roman" w:eastAsia="Times New Roman" w:hAnsi="Times New Roman" w:cs="Times New Roman"/>
          <w:color w:val="000000"/>
          <w:sz w:val="24"/>
          <w:szCs w:val="24"/>
        </w:rPr>
        <w:t>1765</w:t>
      </w:r>
      <w:proofErr w:type="gramEnd"/>
      <w:r>
        <w:rPr>
          <w:rFonts w:ascii="Times New Roman" w:eastAsia="Times New Roman" w:hAnsi="Times New Roman" w:cs="Times New Roman"/>
          <w:color w:val="000000"/>
          <w:sz w:val="24"/>
          <w:szCs w:val="24"/>
        </w:rPr>
        <w:t xml:space="preserve"> and the Townshend Acts of 1766. Each of these Acts authorised a tax on imports of specific goods to the colonies. </w:t>
      </w:r>
    </w:p>
    <w:p w14:paraId="00000189" w14:textId="1A580085"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above-mentioned Acts were introduced by Parliament as a measure to reduce the national debt which Britain had accrued </w:t>
      </w:r>
      <w:proofErr w:type="gramStart"/>
      <w:r>
        <w:rPr>
          <w:rFonts w:ascii="Times New Roman" w:eastAsia="Times New Roman" w:hAnsi="Times New Roman" w:cs="Times New Roman"/>
          <w:color w:val="000000"/>
          <w:sz w:val="24"/>
          <w:szCs w:val="24"/>
        </w:rPr>
        <w:t>as a result of</w:t>
      </w:r>
      <w:proofErr w:type="gramEnd"/>
      <w:r>
        <w:rPr>
          <w:rFonts w:ascii="Times New Roman" w:eastAsia="Times New Roman" w:hAnsi="Times New Roman" w:cs="Times New Roman"/>
          <w:color w:val="000000"/>
          <w:sz w:val="24"/>
          <w:szCs w:val="24"/>
        </w:rPr>
        <w:t xml:space="preserve"> the Seven-Years-War, including its defence of the American colonies; a point that Congress fails to mention in its Declaration to take up arms. Think carefully about why Congress may have chosen not to acknowledge the reasons behind this taxation; for instance, justifying the reasons for taxation might have undermined their argument for taking up arms against Britain. Instead, as we can see on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63, Congress attributes this change in approach to a personnel change in government. Prior to the Seven-Years-War, ministers had permitted the American colonists to govern themselves, however at the conclusion of the war we are told that “it pleased our sovereign to make a change in his counsels.” From this, we can conclude that Congress blames specific ministers (who, presumably, did not understand the “harmonious intercourse” </w:t>
      </w:r>
      <w:r w:rsidR="005E3640">
        <w:rPr>
          <w:rFonts w:ascii="Times New Roman" w:eastAsia="Times New Roman" w:hAnsi="Times New Roman" w:cs="Times New Roman"/>
          <w:color w:val="000000"/>
          <w:sz w:val="24"/>
          <w:szCs w:val="24"/>
        </w:rPr>
        <w:t xml:space="preserve">referred to in </w:t>
      </w:r>
      <w:r>
        <w:rPr>
          <w:rFonts w:ascii="Times New Roman" w:eastAsia="Times New Roman" w:hAnsi="Times New Roman" w:cs="Times New Roman"/>
          <w:color w:val="000000"/>
          <w:sz w:val="24"/>
          <w:szCs w:val="24"/>
        </w:rPr>
        <w:t xml:space="preserve">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63 that existed between Britain and her American colonies) for the encroachments of Parliament, rather than the King himself. </w:t>
      </w:r>
    </w:p>
    <w:p w14:paraId="0000018B" w14:textId="0483CA68" w:rsidR="00B34926" w:rsidRDefault="00000000" w:rsidP="0087516E">
      <w:pPr>
        <w:spacing w:line="480" w:lineRule="auto"/>
        <w:rPr>
          <w:rFonts w:ascii="Times New Roman" w:eastAsia="Times New Roman" w:hAnsi="Times New Roman" w:cs="Times New Roman"/>
          <w:color w:val="000000"/>
          <w:sz w:val="24"/>
          <w:szCs w:val="24"/>
        </w:rPr>
      </w:pPr>
      <w:sdt>
        <w:sdtPr>
          <w:tag w:val="goog_rdk_4"/>
          <w:id w:val="-1297981667"/>
          <w:showingPlcHdr/>
        </w:sdtPr>
        <w:sdtContent>
          <w:r w:rsidR="0087516E">
            <w:t xml:space="preserve">     </w:t>
          </w:r>
        </w:sdtContent>
      </w:sdt>
      <w:r w:rsidR="00F63944">
        <w:rPr>
          <w:rFonts w:ascii="Times New Roman" w:eastAsia="Times New Roman" w:hAnsi="Times New Roman" w:cs="Times New Roman"/>
          <w:color w:val="000000"/>
          <w:sz w:val="24"/>
          <w:szCs w:val="24"/>
        </w:rPr>
        <w:t xml:space="preserve">Having considered the political origins of the outbreak of the Revolution, what can </w:t>
      </w:r>
      <w:proofErr w:type="gramStart"/>
      <w:r w:rsidR="00F63944">
        <w:rPr>
          <w:rFonts w:ascii="Times New Roman" w:eastAsia="Times New Roman" w:hAnsi="Times New Roman" w:cs="Times New Roman"/>
          <w:color w:val="000000"/>
          <w:sz w:val="24"/>
          <w:szCs w:val="24"/>
        </w:rPr>
        <w:t>sources</w:t>
      </w:r>
      <w:proofErr w:type="gramEnd"/>
      <w:r w:rsidR="00F63944">
        <w:rPr>
          <w:rFonts w:ascii="Times New Roman" w:eastAsia="Times New Roman" w:hAnsi="Times New Roman" w:cs="Times New Roman"/>
          <w:color w:val="000000"/>
          <w:sz w:val="24"/>
          <w:szCs w:val="24"/>
        </w:rPr>
        <w:t xml:space="preserve"> such as these tell us about the practical measures taken by revolutionary leaders? In this </w:t>
      </w:r>
      <w:proofErr w:type="gramStart"/>
      <w:r w:rsidR="00F63944">
        <w:rPr>
          <w:rFonts w:ascii="Times New Roman" w:eastAsia="Times New Roman" w:hAnsi="Times New Roman" w:cs="Times New Roman"/>
          <w:color w:val="000000"/>
          <w:sz w:val="24"/>
          <w:szCs w:val="24"/>
        </w:rPr>
        <w:t>particular example</w:t>
      </w:r>
      <w:proofErr w:type="gramEnd"/>
      <w:r w:rsidR="00F63944">
        <w:rPr>
          <w:rFonts w:ascii="Times New Roman" w:eastAsia="Times New Roman" w:hAnsi="Times New Roman" w:cs="Times New Roman"/>
          <w:color w:val="000000"/>
          <w:sz w:val="24"/>
          <w:szCs w:val="24"/>
        </w:rPr>
        <w:t xml:space="preserve">, we learn that the American colonists adopted diplomatic measures to attempt to resolve the political schism that had emerged between themselves and Parliament. For instance, on image </w:t>
      </w:r>
      <w:r w:rsidR="005E3640">
        <w:rPr>
          <w:rFonts w:ascii="Times New Roman" w:eastAsia="Times New Roman" w:hAnsi="Times New Roman" w:cs="Times New Roman"/>
          <w:color w:val="000000"/>
          <w:sz w:val="24"/>
          <w:szCs w:val="24"/>
        </w:rPr>
        <w:t>2</w:t>
      </w:r>
      <w:r w:rsidR="00F63944">
        <w:rPr>
          <w:rFonts w:ascii="Times New Roman" w:eastAsia="Times New Roman" w:hAnsi="Times New Roman" w:cs="Times New Roman"/>
          <w:color w:val="000000"/>
          <w:sz w:val="24"/>
          <w:szCs w:val="24"/>
        </w:rPr>
        <w:t xml:space="preserve">63 we learn that a “Congress of Delegates” from each colony was assembled, who met at Philadelphia in September 1774. Claiming to have “pursued every temperate, every respectful measure”, Congress “resolved again to offer </w:t>
      </w:r>
      <w:proofErr w:type="gramStart"/>
      <w:r w:rsidR="00F63944">
        <w:rPr>
          <w:rFonts w:ascii="Times New Roman" w:eastAsia="Times New Roman" w:hAnsi="Times New Roman" w:cs="Times New Roman"/>
          <w:color w:val="000000"/>
          <w:sz w:val="24"/>
          <w:szCs w:val="24"/>
        </w:rPr>
        <w:t>an</w:t>
      </w:r>
      <w:proofErr w:type="gramEnd"/>
      <w:r w:rsidR="00F63944">
        <w:rPr>
          <w:rFonts w:ascii="Times New Roman" w:eastAsia="Times New Roman" w:hAnsi="Times New Roman" w:cs="Times New Roman"/>
          <w:color w:val="000000"/>
          <w:sz w:val="24"/>
          <w:szCs w:val="24"/>
        </w:rPr>
        <w:t xml:space="preserve"> humble and dutiful petition to the King.” Thinking more broadly about alternative sources, think carefully about what statements such as these reveal about the aims of the revolutionaries; here, in contrast to the scholarly narrative (outlined in the contextual information section) that suggests the inevitability of the American independence, the suggestion is that Congress is calling for reform as British subjects, rather than independence. </w:t>
      </w:r>
    </w:p>
    <w:p w14:paraId="0000018C" w14:textId="6A119769"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We also learn from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63 that such diplomatic measures had precedent in the American context: referring to the broader period of 1765-1775, we learn that “we</w:t>
      </w:r>
      <w:r w:rsidR="00084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[American colonists] for ten years incessantly and ineffectually besieged the throne as supplicants.” Referring to the long-established practice of submitting petitions to Parliament, we learn that the Americans “reasoned” and “remonstrated with parliament in the most mild and decent language.” Use of historical literature will confirm that such petitions were, in part, successful: while the Stamp Act, Sugar Act, and Townshend Acts were largely repealed in 1766 in response to colonial resistance, Parliament maintained a tax upon tea imports. </w:t>
      </w:r>
    </w:p>
    <w:p w14:paraId="0000018D" w14:textId="284C5B1C"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studying periods of revolution, it can be helpful to think carefully about the reasons why particular sources were created. Sources written by revolutionary leaders for a public audience are often composed to generate an emotional response, or to gain support for their cause. Note the emotive language used throughout the Declaration. Multiple references are made to Britain’s attempts to “enslave” the American colonies, demanding “absolute property in and an unbounded power over” them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63). On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64, Britain is described as “despotic”, inflicting “humiliating” and “rigid” terms upon the American colonists. At one point on the same image, Britain is described as violating the obligation of its treaties; an act which, according to Congress, “even savage nations deem sacred.” The use of ‘savage’ is particularly evocative, suggesting that Britain was uncivilised. This highly inflammatory language suggests that Congress is trying to provoke an emotional response from the readers of the Declaration, attempting to persuade the American public to agree to their cause and the necessity of taking up arms against Britain. </w:t>
      </w:r>
    </w:p>
    <w:p w14:paraId="0000018E" w14:textId="145017CB"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Turning to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64, we are now brought to the crux of the Declaration. This second Congress, meeting in response to the Battles at Lexington and Concord, outlines the two choices faced by colonists: “choosing an unconditional submission to the tyranny of irritated ministers [Britain], or resistance by force.” Failure to resist would not only be an insult to </w:t>
      </w:r>
      <w:r>
        <w:rPr>
          <w:rFonts w:ascii="Times New Roman" w:eastAsia="Times New Roman" w:hAnsi="Times New Roman" w:cs="Times New Roman"/>
          <w:color w:val="000000"/>
          <w:sz w:val="24"/>
          <w:szCs w:val="24"/>
        </w:rPr>
        <w:lastRenderedPageBreak/>
        <w:t>their “gallant ancestors” who secured them such freedoms as they currently enjoy; they would also be guilty of “resigning succeeding generations to that wretchedness which inevitably awaits them.” Thus, Congress declares that “we have taken up arms. We shall lay them down when hostilities shall cease on the part of the aggressors.” In this statement, Congress firmly outlines their stance and invites Britain to respond.</w:t>
      </w:r>
    </w:p>
    <w:p w14:paraId="0000018F" w14:textId="5FAD7952"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the Declaration by Congress provided colonists with a clear choice between submission and resistance, we should be cautious about reducing all political options to two discrete choices. Consider whether there were any other options available to settle the dispute with Britain. Furthermore, we should think carefully about the ultimate aims of the Congress in taking up arms. They declare that they shall lay down their arms “when hostilities shall cease on the part of the aggressors”, but it is unclear what this means in practice. The Congress is keen to state that this is not a call for independence, stating on image </w:t>
      </w:r>
      <w:r w:rsidR="005E36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64 that “We have not raised arms with ambitious designs of separating from Great Britain and establishing independent states – We fight not for glory, or for conquest.” Consider what this means for the American Revolution; rather than being a radical overthrow of a tyrannical regime, perhaps the American Revolution can be described as a conservative revolution that simply aimed to restore metropolitan-colonial relations to their pre-1763 state. However, the stated aims of Congress are conflicted, having declared in the paragraph above that “if necessary, foreign assistance is undoubtedly attainable.” Consider what this foreign assistance might be, and who from. Furthermore, with hindsight, we know that the Declaration of Independence occurs less than a year later in July 1776. </w:t>
      </w:r>
    </w:p>
    <w:p w14:paraId="00000190" w14:textId="22EE6356"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 as the stated aims of the Congress are conflicted, so too is the language and terminology that is used throughout their Declaration. For instance, </w:t>
      </w:r>
      <w:r w:rsidR="000842C3">
        <w:rPr>
          <w:rFonts w:ascii="Times New Roman" w:eastAsia="Times New Roman" w:hAnsi="Times New Roman" w:cs="Times New Roman"/>
          <w:color w:val="000000"/>
          <w:sz w:val="24"/>
          <w:szCs w:val="24"/>
        </w:rPr>
        <w:t xml:space="preserve">on image </w:t>
      </w:r>
      <w:r w:rsidR="005E3640">
        <w:rPr>
          <w:rFonts w:ascii="Times New Roman" w:eastAsia="Times New Roman" w:hAnsi="Times New Roman" w:cs="Times New Roman"/>
          <w:color w:val="000000"/>
          <w:sz w:val="24"/>
          <w:szCs w:val="24"/>
        </w:rPr>
        <w:t>2</w:t>
      </w:r>
      <w:r w:rsidR="000842C3">
        <w:rPr>
          <w:rFonts w:ascii="Times New Roman" w:eastAsia="Times New Roman" w:hAnsi="Times New Roman" w:cs="Times New Roman"/>
          <w:color w:val="000000"/>
          <w:sz w:val="24"/>
          <w:szCs w:val="24"/>
        </w:rPr>
        <w:t xml:space="preserve">63 </w:t>
      </w:r>
      <w:r>
        <w:rPr>
          <w:rFonts w:ascii="Times New Roman" w:eastAsia="Times New Roman" w:hAnsi="Times New Roman" w:cs="Times New Roman"/>
          <w:color w:val="000000"/>
          <w:sz w:val="24"/>
          <w:szCs w:val="24"/>
        </w:rPr>
        <w:t xml:space="preserve">the Declaration </w:t>
      </w:r>
      <w:sdt>
        <w:sdtPr>
          <w:tag w:val="goog_rdk_5"/>
          <w:id w:val="-2108264320"/>
        </w:sdtPr>
        <w:sdtContent/>
      </w:sdt>
      <w:r>
        <w:rPr>
          <w:rFonts w:ascii="Times New Roman" w:eastAsia="Times New Roman" w:hAnsi="Times New Roman" w:cs="Times New Roman"/>
          <w:color w:val="000000"/>
          <w:sz w:val="24"/>
          <w:szCs w:val="24"/>
        </w:rPr>
        <w:t xml:space="preserve">begins by first calling upon “men, who exercise their reason”; this refers to popular contemporary ideas surrounding the Enlightenment and rational, rather than </w:t>
      </w:r>
      <w:r>
        <w:rPr>
          <w:rFonts w:ascii="Times New Roman" w:eastAsia="Times New Roman" w:hAnsi="Times New Roman" w:cs="Times New Roman"/>
          <w:color w:val="000000"/>
          <w:sz w:val="24"/>
          <w:szCs w:val="24"/>
        </w:rPr>
        <w:lastRenderedPageBreak/>
        <w:t xml:space="preserve">superstitious, thought. However, the Declaration quickly follows this sentiment by declaring rebellion to be in “reverence for our great Creator.” There are several subsequent references to God in justification of taking up arms and preventing Parliamentary tyranny. Remember that the Congress was composed of delegates drawn from across the thirteen North American colonies. Whilst the delegates to Congress may have been united in their disapproval of British measures, they formed a heterogenous group with their own local priorities and political interests. There were several conflicting viewpoints to </w:t>
      </w:r>
      <w:proofErr w:type="gramStart"/>
      <w:r>
        <w:rPr>
          <w:rFonts w:ascii="Times New Roman" w:eastAsia="Times New Roman" w:hAnsi="Times New Roman" w:cs="Times New Roman"/>
          <w:color w:val="000000"/>
          <w:sz w:val="24"/>
          <w:szCs w:val="24"/>
        </w:rPr>
        <w:t>take into account</w:t>
      </w:r>
      <w:proofErr w:type="gramEnd"/>
      <w:r>
        <w:rPr>
          <w:rFonts w:ascii="Times New Roman" w:eastAsia="Times New Roman" w:hAnsi="Times New Roman" w:cs="Times New Roman"/>
          <w:color w:val="000000"/>
          <w:sz w:val="24"/>
          <w:szCs w:val="24"/>
        </w:rPr>
        <w:t>, including those who sought to remain within the British Empire.</w:t>
      </w:r>
    </w:p>
    <w:p w14:paraId="00000191" w14:textId="77777777" w:rsidR="00B34926" w:rsidRDefault="00F63944">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Opposition to the Declaration: The Other Side of the Argument</w:t>
      </w:r>
    </w:p>
    <w:p w14:paraId="00000192" w14:textId="2742C3EB"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far, we have considered what the sources can tell us about the aims and political beliefs of revolutionaries. However, revolutions were often contested between two (or more) competing factions; what, then, can such sources tell us about those who held opposing political beliefs? Turn now to image 256 and consider William Franklin’s letter to Lord Dartmouth, dated August 1775. As we have already considered, Franklin was a colonial official and would remain loyal to Britain, while Dartmouth was a British minister; both were on the side of Government. Within the letter we learn that the Declaration had been printed in “all” of the newspapers and that Congress’s cause had been taken up with popular enthusiasm. Thinking more widely about the ways in which we study revolutions, by taking primary sources from opposing political factions, we can both verify and disprove </w:t>
      </w:r>
      <w:proofErr w:type="gramStart"/>
      <w:r>
        <w:rPr>
          <w:rFonts w:ascii="Times New Roman" w:eastAsia="Times New Roman" w:hAnsi="Times New Roman" w:cs="Times New Roman"/>
          <w:color w:val="000000"/>
          <w:sz w:val="24"/>
          <w:szCs w:val="24"/>
        </w:rPr>
        <w:t>particular statements</w:t>
      </w:r>
      <w:proofErr w:type="gramEnd"/>
      <w:r>
        <w:rPr>
          <w:rFonts w:ascii="Times New Roman" w:eastAsia="Times New Roman" w:hAnsi="Times New Roman" w:cs="Times New Roman"/>
          <w:color w:val="000000"/>
          <w:sz w:val="24"/>
          <w:szCs w:val="24"/>
        </w:rPr>
        <w:t xml:space="preserve"> made by either party. In this instance, thinking back to the conflicted aims of the Congress discussed above, Franklin confirms that their aim is understood to be independence. According to Franklin, </w:t>
      </w:r>
      <w:r w:rsidR="000842C3">
        <w:rPr>
          <w:rFonts w:ascii="Times New Roman" w:eastAsia="Times New Roman" w:hAnsi="Times New Roman" w:cs="Times New Roman"/>
          <w:color w:val="000000"/>
          <w:sz w:val="24"/>
          <w:szCs w:val="24"/>
        </w:rPr>
        <w:t>from</w:t>
      </w:r>
      <w:r w:rsidR="00D6199F">
        <w:rPr>
          <w:rFonts w:ascii="Times New Roman" w:eastAsia="Times New Roman" w:hAnsi="Times New Roman" w:cs="Times New Roman"/>
          <w:color w:val="000000"/>
          <w:sz w:val="24"/>
          <w:szCs w:val="24"/>
        </w:rPr>
        <w:t xml:space="preserve"> image 25</w:t>
      </w:r>
      <w:r w:rsidR="00FB4643">
        <w:rPr>
          <w:rFonts w:ascii="Times New Roman" w:eastAsia="Times New Roman" w:hAnsi="Times New Roman" w:cs="Times New Roman"/>
          <w:color w:val="000000"/>
          <w:sz w:val="24"/>
          <w:szCs w:val="24"/>
        </w:rPr>
        <w:t>6</w:t>
      </w:r>
      <w:r w:rsidR="00D6199F">
        <w:rPr>
          <w:rFonts w:ascii="Times New Roman" w:eastAsia="Times New Roman" w:hAnsi="Times New Roman" w:cs="Times New Roman"/>
          <w:color w:val="000000"/>
          <w:sz w:val="24"/>
          <w:szCs w:val="24"/>
        </w:rPr>
        <w:t xml:space="preserve"> </w:t>
      </w:r>
      <w:r w:rsidR="000842C3">
        <w:rPr>
          <w:rFonts w:ascii="Times New Roman" w:eastAsia="Times New Roman" w:hAnsi="Times New Roman" w:cs="Times New Roman"/>
          <w:color w:val="000000"/>
          <w:sz w:val="24"/>
          <w:szCs w:val="24"/>
        </w:rPr>
        <w:t xml:space="preserve">we learn that </w:t>
      </w:r>
      <w:r>
        <w:rPr>
          <w:rFonts w:ascii="Times New Roman" w:eastAsia="Times New Roman" w:hAnsi="Times New Roman" w:cs="Times New Roman"/>
          <w:color w:val="000000"/>
          <w:sz w:val="24"/>
          <w:szCs w:val="24"/>
        </w:rPr>
        <w:t xml:space="preserve">there has been “every Preparation made for carrying on a War which is in their </w:t>
      </w:r>
      <w:sdt>
        <w:sdtPr>
          <w:tag w:val="goog_rdk_6"/>
          <w:id w:val="-562256093"/>
        </w:sdtPr>
        <w:sdtContent/>
      </w:sdt>
      <w:r>
        <w:rPr>
          <w:rFonts w:ascii="Times New Roman" w:eastAsia="Times New Roman" w:hAnsi="Times New Roman" w:cs="Times New Roman"/>
          <w:color w:val="000000"/>
          <w:sz w:val="24"/>
          <w:szCs w:val="24"/>
        </w:rPr>
        <w:t xml:space="preserve">Power.” He continues to explain in image 257 that there is “a Dread in the minds of many people here that some of the Leaders of the People are aiming to establish a Republic.” Franklin informs Dartmouth of the “critical situation” faced </w:t>
      </w:r>
      <w:r>
        <w:rPr>
          <w:rFonts w:ascii="Times New Roman" w:eastAsia="Times New Roman" w:hAnsi="Times New Roman" w:cs="Times New Roman"/>
          <w:color w:val="000000"/>
          <w:sz w:val="24"/>
          <w:szCs w:val="24"/>
        </w:rPr>
        <w:lastRenderedPageBreak/>
        <w:t>by colonial officials, who were representatives of Great Britain, who have “no kind of Protection” against the leaders of the popular rebellion.</w:t>
      </w:r>
    </w:p>
    <w:p w14:paraId="00000193" w14:textId="77B11828"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according to Franklin, some hope for the British cause. Turning back to image 256 we learn that “there are many Friends of Government” within the American colonies. Note that Congress does not make any mention of these “Friends”, who would later be known as Loyalists, and think about the reasons for their absence from the Declaration. Might an acknowledgement of the strength of popular support for Britain undermine Congress’s cause in taking up arms? However, Franklin claims that these “Friends of Government” are “too scattered to venture forming themselves into a body, especially as they have no places of strength or security to resort </w:t>
      </w:r>
      <w:sdt>
        <w:sdtPr>
          <w:tag w:val="goog_rdk_7"/>
          <w:id w:val="-1547602634"/>
        </w:sdtPr>
        <w:sdtContent/>
      </w:sdt>
      <w:r>
        <w:rPr>
          <w:rFonts w:ascii="Times New Roman" w:eastAsia="Times New Roman" w:hAnsi="Times New Roman" w:cs="Times New Roman"/>
          <w:color w:val="000000"/>
          <w:sz w:val="24"/>
          <w:szCs w:val="24"/>
        </w:rPr>
        <w:t xml:space="preserve">to.” </w:t>
      </w:r>
      <w:r w:rsidR="00FB4643">
        <w:rPr>
          <w:rFonts w:ascii="Times New Roman" w:eastAsia="Times New Roman" w:hAnsi="Times New Roman" w:cs="Times New Roman"/>
          <w:color w:val="000000"/>
          <w:sz w:val="24"/>
          <w:szCs w:val="24"/>
        </w:rPr>
        <w:t>(</w:t>
      </w:r>
      <w:proofErr w:type="gramStart"/>
      <w:r w:rsidR="00FB4643">
        <w:rPr>
          <w:rFonts w:ascii="Times New Roman" w:eastAsia="Times New Roman" w:hAnsi="Times New Roman" w:cs="Times New Roman"/>
          <w:color w:val="000000"/>
          <w:sz w:val="24"/>
          <w:szCs w:val="24"/>
        </w:rPr>
        <w:t>image</w:t>
      </w:r>
      <w:proofErr w:type="gramEnd"/>
      <w:r w:rsidR="00FB4643">
        <w:rPr>
          <w:rFonts w:ascii="Times New Roman" w:eastAsia="Times New Roman" w:hAnsi="Times New Roman" w:cs="Times New Roman"/>
          <w:color w:val="000000"/>
          <w:sz w:val="24"/>
          <w:szCs w:val="24"/>
        </w:rPr>
        <w:t xml:space="preserve"> 256) </w:t>
      </w:r>
      <w:r>
        <w:rPr>
          <w:rFonts w:ascii="Times New Roman" w:eastAsia="Times New Roman" w:hAnsi="Times New Roman" w:cs="Times New Roman"/>
          <w:color w:val="000000"/>
          <w:sz w:val="24"/>
          <w:szCs w:val="24"/>
        </w:rPr>
        <w:t xml:space="preserve">Reflect upon why Franklin might make such an statement to a Government Minister. Is he calling upon Dartmouth to mobilise support? </w:t>
      </w:r>
    </w:p>
    <w:p w14:paraId="00000194" w14:textId="77777777"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Nevertheless, despite his desire to remain within the British Empire, we learn that Franklin – like the Congress – is equally opposed to Parliament’s continued taxation upon the American colonies. While he claims in image 257 that “we have thousands who would risk the loss of their lives in Defence of the old Constitution”, he makes it clear to Dartmouth that reform is necessary to harness popular support and that “some constitution should be formed for America”. As he explains, “Not that I believe there are any of the Gentlemen of the Country who would draw their swords in support of taxation by Parliament.” Thus, in contrast to Congress’s clearly articulated options – “submission to … tyranny” or “resistance by force” – there was a third option: reform from within the British Empire.</w:t>
      </w:r>
    </w:p>
    <w:p w14:paraId="00000195" w14:textId="77777777" w:rsidR="00B34926" w:rsidRDefault="00F63944">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Limitations of the Sources</w:t>
      </w:r>
    </w:p>
    <w:p w14:paraId="00000196" w14:textId="5FF0948D" w:rsidR="00B34926" w:rsidRDefault="00F639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Having considered how contemporary sources can aid our understanding of the history of revolutions, it is important to briefly consider what the sources cannot tell us. </w:t>
      </w:r>
      <w:r>
        <w:rPr>
          <w:rFonts w:ascii="Times New Roman" w:eastAsia="Times New Roman" w:hAnsi="Times New Roman" w:cs="Times New Roman"/>
          <w:color w:val="000000"/>
          <w:sz w:val="24"/>
          <w:szCs w:val="24"/>
        </w:rPr>
        <w:lastRenderedPageBreak/>
        <w:t xml:space="preserve">These sources solely relate the experiences of white males; furthermore, as elected representatives (Congress) and colonial officials (Franklin), these men enjoyed a level of status not shared by all colonists. </w:t>
      </w:r>
      <w:r w:rsidRPr="006C1F6E">
        <w:rPr>
          <w:rFonts w:ascii="Times New Roman" w:eastAsia="Times New Roman" w:hAnsi="Times New Roman" w:cs="Times New Roman"/>
          <w:color w:val="000000"/>
          <w:sz w:val="24"/>
          <w:szCs w:val="24"/>
        </w:rPr>
        <w:t xml:space="preserve">Conversely, these sources do not reveal any indication as to how women, black Americans (free or enslaved), </w:t>
      </w:r>
      <w:r w:rsidR="00FB4643" w:rsidRPr="006C1F6E">
        <w:rPr>
          <w:rFonts w:ascii="Times New Roman" w:eastAsia="Times New Roman" w:hAnsi="Times New Roman" w:cs="Times New Roman"/>
          <w:color w:val="000000"/>
          <w:sz w:val="24"/>
          <w:szCs w:val="24"/>
        </w:rPr>
        <w:t xml:space="preserve">indigenous peoples, </w:t>
      </w:r>
      <w:r w:rsidRPr="006C1F6E">
        <w:rPr>
          <w:rFonts w:ascii="Times New Roman" w:eastAsia="Times New Roman" w:hAnsi="Times New Roman" w:cs="Times New Roman"/>
          <w:color w:val="000000"/>
          <w:sz w:val="24"/>
          <w:szCs w:val="24"/>
        </w:rPr>
        <w:t>labouring</w:t>
      </w:r>
      <w:r>
        <w:rPr>
          <w:rFonts w:ascii="Times New Roman" w:eastAsia="Times New Roman" w:hAnsi="Times New Roman" w:cs="Times New Roman"/>
          <w:color w:val="000000"/>
          <w:sz w:val="24"/>
          <w:szCs w:val="24"/>
        </w:rPr>
        <w:t xml:space="preserve"> men, or rural families experienced the Revolution. For instance, the Declaration makes several references to the American colonists being “enslaved” by </w:t>
      </w:r>
      <w:proofErr w:type="gramStart"/>
      <w:r>
        <w:rPr>
          <w:rFonts w:ascii="Times New Roman" w:eastAsia="Times New Roman" w:hAnsi="Times New Roman" w:cs="Times New Roman"/>
          <w:color w:val="000000"/>
          <w:sz w:val="24"/>
          <w:szCs w:val="24"/>
        </w:rPr>
        <w:t>Britain, but</w:t>
      </w:r>
      <w:proofErr w:type="gramEnd"/>
      <w:r>
        <w:rPr>
          <w:rFonts w:ascii="Times New Roman" w:eastAsia="Times New Roman" w:hAnsi="Times New Roman" w:cs="Times New Roman"/>
          <w:color w:val="000000"/>
          <w:sz w:val="24"/>
          <w:szCs w:val="24"/>
        </w:rPr>
        <w:t xml:space="preserve"> makes no connection to enforced slave labour within the American colonies. When studying periods of revolution, therefore, it is crucial to refer to historical theory to fully familiarise yourself with the broader social and cultural contexts of the societies in which such events take place.</w:t>
      </w:r>
    </w:p>
    <w:p w14:paraId="00000197" w14:textId="77777777" w:rsidR="00B34926" w:rsidRDefault="00F63944">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14:paraId="00000198" w14:textId="545FB3B1" w:rsidR="00B34926" w:rsidRDefault="00F63944">
      <w:pPr>
        <w:spacing w:line="480" w:lineRule="auto"/>
        <w:rPr>
          <w:rFonts w:ascii="Times New Roman" w:eastAsia="Times New Roman" w:hAnsi="Times New Roman" w:cs="Times New Roman"/>
          <w:color w:val="000000"/>
          <w:sz w:val="24"/>
          <w:szCs w:val="24"/>
        </w:rPr>
      </w:pPr>
      <w:bookmarkStart w:id="4" w:name="_heading=h.1t3h5sf" w:colFirst="0" w:colLast="0"/>
      <w:bookmarkEnd w:id="4"/>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Using the Source Questions outlined above, these</w:t>
      </w:r>
      <w:sdt>
        <w:sdtPr>
          <w:tag w:val="goog_rdk_8"/>
          <w:id w:val="-1342468763"/>
        </w:sdtPr>
        <w:sdtContent>
          <w:r>
            <w:rPr>
              <w:rFonts w:ascii="Times New Roman" w:eastAsia="Times New Roman" w:hAnsi="Times New Roman" w:cs="Times New Roman"/>
              <w:color w:val="000000"/>
              <w:sz w:val="24"/>
              <w:szCs w:val="24"/>
            </w:rPr>
            <w:t xml:space="preserve"> </w:t>
          </w:r>
        </w:sdtContent>
      </w:sdt>
      <w:r>
        <w:rPr>
          <w:rFonts w:ascii="Times New Roman" w:eastAsia="Times New Roman" w:hAnsi="Times New Roman" w:cs="Times New Roman"/>
          <w:color w:val="000000"/>
          <w:sz w:val="24"/>
          <w:szCs w:val="24"/>
        </w:rPr>
        <w:t xml:space="preserve">two historical documents demonstrate how contemporary texts can help us to study periods of revolution. Taking the American Revolution as an example, the sources introduce many of the key political themes and circumstances underpinning the origins of the Revolution, as well as the key protagonists and their respective stances. They also reveal how revolutionary ideas and information was spread </w:t>
      </w:r>
      <w:sdt>
        <w:sdtPr>
          <w:tag w:val="goog_rdk_9"/>
          <w:id w:val="-1299918387"/>
        </w:sdtPr>
        <w:sdtContent/>
      </w:sdt>
      <w:r w:rsidR="00FB4643">
        <w:rPr>
          <w:rFonts w:ascii="Times New Roman" w:eastAsia="Times New Roman" w:hAnsi="Times New Roman" w:cs="Times New Roman"/>
          <w:color w:val="000000"/>
          <w:sz w:val="24"/>
          <w:szCs w:val="24"/>
        </w:rPr>
        <w:t xml:space="preserve">using </w:t>
      </w:r>
      <w:r>
        <w:rPr>
          <w:rFonts w:ascii="Times New Roman" w:eastAsia="Times New Roman" w:hAnsi="Times New Roman" w:cs="Times New Roman"/>
          <w:color w:val="000000"/>
          <w:sz w:val="24"/>
          <w:szCs w:val="24"/>
        </w:rPr>
        <w:t xml:space="preserve">a variety of methods: the first, through printed material made available to a public audience; the second via private correspondence. It is important to remember that both texts were written during a period of political upheaval and uncertainty; as such the biases of the author are reflected in each source, and important details may not always be included if they were to undermine the political goal. However, when these two sources are read together, they provide a fuller and more balanced picture than if we had read them alone. While further reading is necessary to situate both texts within the broader historical context, they provide an excellent starting point for understanding how the leaders of both sides felt as the American Revolution developed. Although these sources refer specifically to the </w:t>
      </w:r>
      <w:r>
        <w:rPr>
          <w:rFonts w:ascii="Times New Roman" w:eastAsia="Times New Roman" w:hAnsi="Times New Roman" w:cs="Times New Roman"/>
          <w:color w:val="000000"/>
          <w:sz w:val="24"/>
          <w:szCs w:val="24"/>
        </w:rPr>
        <w:lastRenderedPageBreak/>
        <w:t xml:space="preserve">American Revolution, we can use similar questioning techniques to approach historical texts relating to other revolutions. </w:t>
      </w:r>
    </w:p>
    <w:p w14:paraId="00000199" w14:textId="77777777" w:rsidR="00B34926" w:rsidRDefault="00B34926">
      <w:pPr>
        <w:pBdr>
          <w:bottom w:val="single" w:sz="6" w:space="1" w:color="000000"/>
        </w:pBdr>
        <w:rPr>
          <w:color w:val="000000"/>
        </w:rPr>
      </w:pPr>
    </w:p>
    <w:p w14:paraId="0000019A" w14:textId="77777777" w:rsidR="00B34926" w:rsidRDefault="00B34926">
      <w:pPr>
        <w:rPr>
          <w:color w:val="000000"/>
        </w:rPr>
      </w:pPr>
    </w:p>
    <w:p w14:paraId="0000019B" w14:textId="77777777" w:rsidR="00B34926" w:rsidRDefault="00F63944">
      <w:pPr>
        <w:pStyle w:val="Heading1"/>
        <w:rPr>
          <w:rFonts w:ascii="Calibri" w:eastAsia="Calibri" w:hAnsi="Calibri" w:cs="Calibri"/>
          <w:b/>
          <w:color w:val="000000"/>
        </w:rPr>
      </w:pPr>
      <w:r>
        <w:rPr>
          <w:rFonts w:ascii="Calibri" w:eastAsia="Calibri" w:hAnsi="Calibri" w:cs="Calibri"/>
          <w:b/>
          <w:color w:val="000000"/>
        </w:rPr>
        <w:t>Post-evaluation questions</w:t>
      </w:r>
    </w:p>
    <w:p w14:paraId="719564F7" w14:textId="77777777" w:rsidR="0087516E" w:rsidRPr="0087516E" w:rsidRDefault="0087516E" w:rsidP="0087516E"/>
    <w:p w14:paraId="000001A2" w14:textId="77777777" w:rsidR="00B34926" w:rsidRDefault="00F63944">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Thinking about the questions that have been asked of the sources above, how might you apply them to other sources concerning periods of revolution?</w:t>
      </w:r>
    </w:p>
    <w:p w14:paraId="000001A3" w14:textId="77777777" w:rsidR="00B34926" w:rsidRDefault="00F63944">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revolutions are relatively conservative, invoking the etymological definition of the word as ‘turning’ or ‘cyclical’. Other revolutions, meanwhile, involve the (often violent) removal of a political and/or social regime. Which definition do you think is most appropriate here?</w:t>
      </w:r>
    </w:p>
    <w:p w14:paraId="000001A4" w14:textId="77777777" w:rsidR="00B34926" w:rsidRDefault="00F63944">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can the sources tell us about the different methods used by revolutionary movements? Which of these do you think are most and least effective?</w:t>
      </w:r>
    </w:p>
    <w:p w14:paraId="000001A5" w14:textId="77777777" w:rsidR="00B34926" w:rsidRDefault="00F63944">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the limitations of these sources? What can they not tell us?</w:t>
      </w:r>
    </w:p>
    <w:p w14:paraId="000001A6" w14:textId="77777777" w:rsidR="00B34926" w:rsidRDefault="00F63944">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additional sources might we need to consider before we can fully analyse the origins of a political Revolution?</w:t>
      </w:r>
    </w:p>
    <w:p w14:paraId="000001A7" w14:textId="77777777" w:rsidR="00B34926" w:rsidRDefault="00F63944">
      <w:pPr>
        <w:rPr>
          <w:b/>
          <w:sz w:val="32"/>
          <w:szCs w:val="32"/>
        </w:rPr>
      </w:pPr>
      <w:r>
        <w:rPr>
          <w:b/>
          <w:sz w:val="32"/>
          <w:szCs w:val="32"/>
        </w:rPr>
        <w:t>Next research steps</w:t>
      </w:r>
    </w:p>
    <w:p w14:paraId="2DF296F3" w14:textId="77777777" w:rsidR="0087516E" w:rsidRDefault="0087516E">
      <w:pPr>
        <w:rPr>
          <w:b/>
          <w:sz w:val="32"/>
          <w:szCs w:val="32"/>
        </w:rPr>
      </w:pPr>
    </w:p>
    <w:p w14:paraId="000001AD" w14:textId="77777777" w:rsidR="00B34926" w:rsidRDefault="00F63944">
      <w:pPr>
        <w:numPr>
          <w:ilvl w:val="0"/>
          <w:numId w:val="6"/>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used these sources to consider the outbreak of the American Revolution. What other uses could these sources have for telling us about the past? For instance, what might they tell us about </w:t>
      </w:r>
      <w:proofErr w:type="gramStart"/>
      <w:r>
        <w:rPr>
          <w:rFonts w:ascii="Times New Roman" w:eastAsia="Times New Roman" w:hAnsi="Times New Roman" w:cs="Times New Roman"/>
          <w:color w:val="000000"/>
          <w:sz w:val="24"/>
          <w:szCs w:val="24"/>
        </w:rPr>
        <w:t>early-American</w:t>
      </w:r>
      <w:proofErr w:type="gramEnd"/>
      <w:r>
        <w:rPr>
          <w:rFonts w:ascii="Times New Roman" w:eastAsia="Times New Roman" w:hAnsi="Times New Roman" w:cs="Times New Roman"/>
          <w:color w:val="000000"/>
          <w:sz w:val="24"/>
          <w:szCs w:val="24"/>
        </w:rPr>
        <w:t xml:space="preserve"> political culture, Anglo-American relations during the eighteenth century, colonial American cultural history, early modern transatlantic correspondence, or questions relating to the development of local colonial identities?</w:t>
      </w:r>
    </w:p>
    <w:p w14:paraId="000001AE" w14:textId="77777777" w:rsidR="00B34926" w:rsidRDefault="00F63944">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source analysis focused directly on the American Revolution. If we were to consider these sources alongside historical texts pertaining to other revolutions, how might we link the American Revolution to other periods of revolution? Do all revolutions have the same aims?</w:t>
      </w:r>
    </w:p>
    <w:p w14:paraId="000001AF" w14:textId="77777777" w:rsidR="00B34926" w:rsidRDefault="00000000">
      <w:pPr>
        <w:rPr>
          <w:color w:val="FF0000"/>
        </w:rPr>
      </w:pPr>
      <w:r>
        <w:pict w14:anchorId="448D29B3">
          <v:rect id="_x0000_i1029" style="width:0;height:1.5pt" o:hralign="center" o:hrstd="t" o:hr="t" fillcolor="#a0a0a0" stroked="f"/>
        </w:pict>
      </w:r>
    </w:p>
    <w:p w14:paraId="000001B0" w14:textId="77777777" w:rsidR="00B34926" w:rsidRDefault="00F63944">
      <w:pPr>
        <w:pStyle w:val="Heading1"/>
        <w:rPr>
          <w:rFonts w:ascii="Calibri" w:eastAsia="Calibri" w:hAnsi="Calibri" w:cs="Calibri"/>
          <w:b/>
          <w:color w:val="000000"/>
        </w:rPr>
      </w:pPr>
      <w:r>
        <w:rPr>
          <w:rFonts w:ascii="Calibri" w:eastAsia="Calibri" w:hAnsi="Calibri" w:cs="Calibri"/>
          <w:b/>
          <w:color w:val="000000"/>
        </w:rPr>
        <w:t xml:space="preserve">Further resources </w:t>
      </w:r>
    </w:p>
    <w:p w14:paraId="000001B4" w14:textId="506A8504" w:rsidR="00B34926" w:rsidRDefault="00B34926"/>
    <w:p w14:paraId="000001B5" w14:textId="77777777" w:rsidR="00B34926" w:rsidRDefault="00F63944">
      <w:pPr>
        <w:numPr>
          <w:ilvl w:val="0"/>
          <w:numId w:val="8"/>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Bernard </w:t>
      </w:r>
      <w:proofErr w:type="spellStart"/>
      <w:r>
        <w:rPr>
          <w:rFonts w:ascii="Times New Roman" w:eastAsia="Times New Roman" w:hAnsi="Times New Roman" w:cs="Times New Roman"/>
          <w:color w:val="000000"/>
          <w:sz w:val="24"/>
          <w:szCs w:val="24"/>
        </w:rPr>
        <w:t>Bailyn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Ideological Origins of the American Revolution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Cambridge, MA: </w:t>
      </w:r>
      <w:proofErr w:type="spellStart"/>
      <w:r>
        <w:rPr>
          <w:rFonts w:ascii="Times New Roman" w:eastAsia="Times New Roman" w:hAnsi="Times New Roman" w:cs="Times New Roman"/>
          <w:color w:val="000000"/>
          <w:sz w:val="24"/>
          <w:szCs w:val="24"/>
          <w:highlight w:val="white"/>
        </w:rPr>
        <w:t>Belknap</w:t>
      </w:r>
      <w:proofErr w:type="spellEnd"/>
      <w:r>
        <w:rPr>
          <w:rFonts w:ascii="Times New Roman" w:eastAsia="Times New Roman" w:hAnsi="Times New Roman" w:cs="Times New Roman"/>
          <w:color w:val="000000"/>
          <w:sz w:val="24"/>
          <w:szCs w:val="24"/>
          <w:highlight w:val="white"/>
        </w:rPr>
        <w:t xml:space="preserve"> Press, 2017), 50</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Anniversary edition.</w:t>
      </w:r>
    </w:p>
    <w:p w14:paraId="000001B6"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Brendan McConville, </w:t>
      </w:r>
      <w:r>
        <w:rPr>
          <w:rFonts w:ascii="Times New Roman" w:eastAsia="Times New Roman" w:hAnsi="Times New Roman" w:cs="Times New Roman"/>
          <w:i/>
          <w:color w:val="000000"/>
          <w:sz w:val="24"/>
          <w:szCs w:val="24"/>
        </w:rPr>
        <w:t>The King's Three Faces: The Rise and Fall of Royal America, 1688-1776</w:t>
      </w:r>
      <w:r>
        <w:rPr>
          <w:rFonts w:ascii="Times New Roman" w:eastAsia="Times New Roman" w:hAnsi="Times New Roman" w:cs="Times New Roman"/>
          <w:color w:val="000000"/>
          <w:sz w:val="24"/>
          <w:szCs w:val="24"/>
        </w:rPr>
        <w:t xml:space="preserve"> (Chapel Hill: University of North Carolina Press, 2006).</w:t>
      </w:r>
    </w:p>
    <w:p w14:paraId="000001B7"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Colin </w:t>
      </w:r>
      <w:proofErr w:type="spellStart"/>
      <w:r>
        <w:rPr>
          <w:rFonts w:ascii="Times New Roman" w:eastAsia="Times New Roman" w:hAnsi="Times New Roman" w:cs="Times New Roman"/>
          <w:color w:val="000000"/>
          <w:sz w:val="24"/>
          <w:szCs w:val="24"/>
        </w:rPr>
        <w:t>Bonwick</w:t>
      </w:r>
      <w:proofErr w:type="spellEnd"/>
      <w:r>
        <w:rPr>
          <w:rFonts w:ascii="Times New Roman" w:eastAsia="Times New Roman" w:hAnsi="Times New Roman" w:cs="Times New Roman"/>
          <w:color w:val="000000"/>
          <w:sz w:val="24"/>
          <w:szCs w:val="24"/>
        </w:rPr>
        <w:t xml:space="preserve"> ‘The American Revolution as a Social Movement Revisited,’ </w:t>
      </w:r>
      <w:r>
        <w:rPr>
          <w:rFonts w:ascii="Times New Roman" w:eastAsia="Times New Roman" w:hAnsi="Times New Roman" w:cs="Times New Roman"/>
          <w:i/>
          <w:color w:val="000000"/>
          <w:sz w:val="24"/>
          <w:szCs w:val="24"/>
        </w:rPr>
        <w:t>Journal of American Studies,</w:t>
      </w:r>
      <w:r>
        <w:rPr>
          <w:rFonts w:ascii="Times New Roman" w:eastAsia="Times New Roman" w:hAnsi="Times New Roman" w:cs="Times New Roman"/>
          <w:color w:val="000000"/>
          <w:sz w:val="24"/>
          <w:szCs w:val="24"/>
        </w:rPr>
        <w:t xml:space="preserve"> 20, no. 3 (1986): 355-373.</w:t>
      </w:r>
    </w:p>
    <w:p w14:paraId="000001B8"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Ruma Chopra, </w:t>
      </w:r>
      <w:r>
        <w:rPr>
          <w:rFonts w:ascii="Times New Roman" w:eastAsia="Times New Roman" w:hAnsi="Times New Roman" w:cs="Times New Roman"/>
          <w:i/>
          <w:color w:val="000000"/>
          <w:sz w:val="24"/>
          <w:szCs w:val="24"/>
        </w:rPr>
        <w:t xml:space="preserve">Choosing Sides: Loyalists in Revolutionary America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Lanham: Rowman &amp; Littlefield, Publishers, 2013).</w:t>
      </w:r>
    </w:p>
    <w:p w14:paraId="000001B9"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Timothy H. Breen, “‘Baubles of Britain’: The American and Consumer Revolutions of the Eighteenth Century”, </w:t>
      </w:r>
      <w:r>
        <w:rPr>
          <w:rFonts w:ascii="Times New Roman" w:eastAsia="Times New Roman" w:hAnsi="Times New Roman" w:cs="Times New Roman"/>
          <w:i/>
          <w:color w:val="000000"/>
          <w:sz w:val="24"/>
          <w:szCs w:val="24"/>
        </w:rPr>
        <w:t>Past and Present</w:t>
      </w:r>
      <w:r>
        <w:rPr>
          <w:rFonts w:ascii="Times New Roman" w:eastAsia="Times New Roman" w:hAnsi="Times New Roman" w:cs="Times New Roman"/>
          <w:color w:val="000000"/>
          <w:sz w:val="24"/>
          <w:szCs w:val="24"/>
        </w:rPr>
        <w:t>, 119 (1988): 73-104</w:t>
      </w:r>
    </w:p>
    <w:p w14:paraId="000001BA"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“Resolves of the New York Sons of Liberty, December 15, 1773”, digitized at </w:t>
      </w:r>
      <w:hyperlink r:id="rId8">
        <w:r>
          <w:rPr>
            <w:rFonts w:ascii="Times New Roman" w:eastAsia="Times New Roman" w:hAnsi="Times New Roman" w:cs="Times New Roman"/>
            <w:color w:val="0000FF"/>
            <w:sz w:val="24"/>
            <w:szCs w:val="24"/>
            <w:u w:val="single"/>
          </w:rPr>
          <w:t>http://teachingamericanhistory.org/library/document/resolves-of-the-new-york-sons-of-liberty/</w:t>
        </w:r>
      </w:hyperlink>
      <w:r>
        <w:rPr>
          <w:rFonts w:ascii="Times New Roman" w:eastAsia="Times New Roman" w:hAnsi="Times New Roman" w:cs="Times New Roman"/>
          <w:color w:val="000000"/>
          <w:sz w:val="24"/>
          <w:szCs w:val="24"/>
        </w:rPr>
        <w:t>.</w:t>
      </w:r>
    </w:p>
    <w:p w14:paraId="000001BB" w14:textId="77777777" w:rsidR="00B34926" w:rsidRDefault="00B34926"/>
    <w:p w14:paraId="000001C3" w14:textId="765FF435" w:rsidR="00B34926" w:rsidRDefault="00000000">
      <w:r>
        <w:pict w14:anchorId="5E18F51A">
          <v:rect id="_x0000_i1040" style="width:0;height:1.5pt" o:hralign="center" o:hrstd="t" o:hr="t" fillcolor="#a0a0a0" stroked="f"/>
        </w:pict>
      </w:r>
    </w:p>
    <w:p w14:paraId="000001C4" w14:textId="77777777" w:rsidR="00B34926" w:rsidRDefault="00F63944">
      <w:pPr>
        <w:pStyle w:val="Heading1"/>
        <w:rPr>
          <w:rFonts w:ascii="Calibri" w:eastAsia="Calibri" w:hAnsi="Calibri" w:cs="Calibri"/>
          <w:b/>
          <w:color w:val="000000"/>
        </w:rPr>
      </w:pPr>
      <w:r>
        <w:rPr>
          <w:rFonts w:ascii="Calibri" w:eastAsia="Calibri" w:hAnsi="Calibri" w:cs="Calibri"/>
          <w:b/>
          <w:color w:val="000000"/>
        </w:rPr>
        <w:t>References</w:t>
      </w:r>
    </w:p>
    <w:p w14:paraId="000001C8" w14:textId="2BD29F19" w:rsidR="00B34926" w:rsidRDefault="00F63944">
      <w:r>
        <w:t xml:space="preserve"> </w:t>
      </w:r>
    </w:p>
    <w:p w14:paraId="000001C9"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American Loyalists Claims, Series I. The National Archives: AO 12. </w:t>
      </w:r>
    </w:p>
    <w:p w14:paraId="000001CA" w14:textId="77777777" w:rsidR="00B34926" w:rsidRDefault="00F63944">
      <w:pPr>
        <w:numPr>
          <w:ilvl w:val="0"/>
          <w:numId w:val="8"/>
        </w:numPr>
        <w:pBdr>
          <w:top w:val="nil"/>
          <w:left w:val="nil"/>
          <w:bottom w:val="nil"/>
          <w:right w:val="nil"/>
          <w:between w:val="nil"/>
        </w:pBdr>
        <w:spacing w:after="0" w:line="480" w:lineRule="auto"/>
        <w:rPr>
          <w:color w:val="000000"/>
          <w:sz w:val="24"/>
          <w:szCs w:val="24"/>
        </w:rPr>
      </w:pPr>
      <w:proofErr w:type="spellStart"/>
      <w:r>
        <w:rPr>
          <w:rFonts w:ascii="Times New Roman" w:eastAsia="Times New Roman" w:hAnsi="Times New Roman" w:cs="Times New Roman"/>
          <w:color w:val="000000"/>
          <w:sz w:val="24"/>
          <w:szCs w:val="24"/>
        </w:rPr>
        <w:lastRenderedPageBreak/>
        <w:t>Bailyn</w:t>
      </w:r>
      <w:proofErr w:type="spellEnd"/>
      <w:r>
        <w:rPr>
          <w:rFonts w:ascii="Times New Roman" w:eastAsia="Times New Roman" w:hAnsi="Times New Roman" w:cs="Times New Roman"/>
          <w:color w:val="000000"/>
          <w:sz w:val="24"/>
          <w:szCs w:val="24"/>
        </w:rPr>
        <w:t>, Bernard,</w:t>
      </w:r>
      <w:r>
        <w:rPr>
          <w:rFonts w:ascii="Times New Roman" w:eastAsia="Times New Roman" w:hAnsi="Times New Roman" w:cs="Times New Roman"/>
          <w:i/>
          <w:color w:val="000000"/>
          <w:sz w:val="24"/>
          <w:szCs w:val="24"/>
        </w:rPr>
        <w:t xml:space="preserve"> The Ideological Origins of the American Revolution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Cambridge, MA: </w:t>
      </w:r>
      <w:proofErr w:type="spellStart"/>
      <w:r>
        <w:rPr>
          <w:rFonts w:ascii="Times New Roman" w:eastAsia="Times New Roman" w:hAnsi="Times New Roman" w:cs="Times New Roman"/>
          <w:color w:val="000000"/>
          <w:sz w:val="24"/>
          <w:szCs w:val="24"/>
          <w:highlight w:val="white"/>
        </w:rPr>
        <w:t>Belknap</w:t>
      </w:r>
      <w:proofErr w:type="spellEnd"/>
      <w:r>
        <w:rPr>
          <w:rFonts w:ascii="Times New Roman" w:eastAsia="Times New Roman" w:hAnsi="Times New Roman" w:cs="Times New Roman"/>
          <w:color w:val="000000"/>
          <w:sz w:val="24"/>
          <w:szCs w:val="24"/>
          <w:highlight w:val="white"/>
        </w:rPr>
        <w:t xml:space="preserve"> Press, 2017), 50</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Anniversary edition.</w:t>
      </w:r>
    </w:p>
    <w:p w14:paraId="000001CB"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Breen, Timothy H., “‘Baubles of Britain’: The American and Consumer Revolutions of the Eighteenth Century”, </w:t>
      </w:r>
      <w:r>
        <w:rPr>
          <w:rFonts w:ascii="Times New Roman" w:eastAsia="Times New Roman" w:hAnsi="Times New Roman" w:cs="Times New Roman"/>
          <w:i/>
          <w:color w:val="000000"/>
          <w:sz w:val="24"/>
          <w:szCs w:val="24"/>
        </w:rPr>
        <w:t>Past and Present</w:t>
      </w:r>
      <w:r>
        <w:rPr>
          <w:rFonts w:ascii="Times New Roman" w:eastAsia="Times New Roman" w:hAnsi="Times New Roman" w:cs="Times New Roman"/>
          <w:color w:val="000000"/>
          <w:sz w:val="24"/>
          <w:szCs w:val="24"/>
        </w:rPr>
        <w:t>, 119 (1988): 73-104.</w:t>
      </w:r>
    </w:p>
    <w:p w14:paraId="000001CC"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Brown, Wallace, </w:t>
      </w:r>
      <w:r>
        <w:rPr>
          <w:rFonts w:ascii="Times New Roman" w:eastAsia="Times New Roman" w:hAnsi="Times New Roman" w:cs="Times New Roman"/>
          <w:i/>
          <w:color w:val="000000"/>
          <w:sz w:val="24"/>
          <w:szCs w:val="24"/>
        </w:rPr>
        <w:t>The King's Friends: The Composition and Motives of the American Loyalist Claimants</w:t>
      </w:r>
      <w:r>
        <w:rPr>
          <w:rFonts w:ascii="Times New Roman" w:eastAsia="Times New Roman" w:hAnsi="Times New Roman" w:cs="Times New Roman"/>
          <w:color w:val="000000"/>
          <w:sz w:val="24"/>
          <w:szCs w:val="24"/>
        </w:rPr>
        <w:t xml:space="preserve"> (Providence, RI: Brown University Press, 1966).</w:t>
      </w:r>
    </w:p>
    <w:p w14:paraId="000001CD" w14:textId="77777777" w:rsidR="00B34926" w:rsidRDefault="00F63944">
      <w:pPr>
        <w:numPr>
          <w:ilvl w:val="0"/>
          <w:numId w:val="8"/>
        </w:numPr>
        <w:pBdr>
          <w:top w:val="nil"/>
          <w:left w:val="nil"/>
          <w:bottom w:val="nil"/>
          <w:right w:val="nil"/>
          <w:between w:val="nil"/>
        </w:pBdr>
        <w:spacing w:line="480" w:lineRule="auto"/>
        <w:rPr>
          <w:color w:val="000000"/>
          <w:sz w:val="24"/>
          <w:szCs w:val="24"/>
        </w:rPr>
      </w:pPr>
      <w:r>
        <w:rPr>
          <w:rFonts w:ascii="Times New Roman" w:eastAsia="Times New Roman" w:hAnsi="Times New Roman" w:cs="Times New Roman"/>
          <w:color w:val="000000"/>
          <w:sz w:val="24"/>
          <w:szCs w:val="24"/>
        </w:rPr>
        <w:t xml:space="preserve">Chopra, Ruma, </w:t>
      </w:r>
      <w:r>
        <w:rPr>
          <w:rFonts w:ascii="Times New Roman" w:eastAsia="Times New Roman" w:hAnsi="Times New Roman" w:cs="Times New Roman"/>
          <w:i/>
          <w:color w:val="000000"/>
          <w:sz w:val="24"/>
          <w:szCs w:val="24"/>
        </w:rPr>
        <w:t xml:space="preserve">Choosing Sides: Loyalists in Revolutionary America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Lanham: Rowman &amp; Littlefield, Publishers, 2013).</w:t>
      </w:r>
    </w:p>
    <w:p w14:paraId="000001CE"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McConville, Brendan, </w:t>
      </w:r>
      <w:r>
        <w:rPr>
          <w:rFonts w:ascii="Times New Roman" w:eastAsia="Times New Roman" w:hAnsi="Times New Roman" w:cs="Times New Roman"/>
          <w:i/>
          <w:color w:val="000000"/>
          <w:sz w:val="24"/>
          <w:szCs w:val="24"/>
        </w:rPr>
        <w:t>The King's Three Faces: The Rise and Fall of Royal America, 1688-1776</w:t>
      </w:r>
      <w:r>
        <w:rPr>
          <w:rFonts w:ascii="Times New Roman" w:eastAsia="Times New Roman" w:hAnsi="Times New Roman" w:cs="Times New Roman"/>
          <w:color w:val="000000"/>
          <w:sz w:val="24"/>
          <w:szCs w:val="24"/>
        </w:rPr>
        <w:t xml:space="preserve"> (Chapel Hill: University of North Carolina Press, 2006).</w:t>
      </w:r>
    </w:p>
    <w:p w14:paraId="000001CF"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Menard, Russell R., “Reckoning with Williams: ‘Capitalism and Slavery’ and the Reconstruction of Early American History,” </w:t>
      </w:r>
      <w:r>
        <w:rPr>
          <w:rFonts w:ascii="Times New Roman" w:eastAsia="Times New Roman" w:hAnsi="Times New Roman" w:cs="Times New Roman"/>
          <w:i/>
          <w:color w:val="000000"/>
          <w:sz w:val="24"/>
          <w:szCs w:val="24"/>
        </w:rPr>
        <w:t>Callaloo</w:t>
      </w:r>
      <w:r>
        <w:rPr>
          <w:rFonts w:ascii="Times New Roman" w:eastAsia="Times New Roman" w:hAnsi="Times New Roman" w:cs="Times New Roman"/>
          <w:color w:val="000000"/>
          <w:sz w:val="24"/>
          <w:szCs w:val="24"/>
        </w:rPr>
        <w:t>, 20, no. 4 (Autumn 1997): 791-99.</w:t>
      </w:r>
    </w:p>
    <w:p w14:paraId="000001D0"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Paine, Thomas, </w:t>
      </w:r>
      <w:r>
        <w:rPr>
          <w:rFonts w:ascii="Times New Roman" w:eastAsia="Times New Roman" w:hAnsi="Times New Roman" w:cs="Times New Roman"/>
          <w:i/>
          <w:color w:val="000000"/>
          <w:sz w:val="24"/>
          <w:szCs w:val="24"/>
        </w:rPr>
        <w:t>Common Sense, addressed to the inhabitants of America</w:t>
      </w:r>
      <w:r>
        <w:rPr>
          <w:rFonts w:ascii="Times New Roman" w:eastAsia="Times New Roman" w:hAnsi="Times New Roman" w:cs="Times New Roman"/>
          <w:color w:val="000000"/>
          <w:sz w:val="24"/>
          <w:szCs w:val="24"/>
        </w:rPr>
        <w:t xml:space="preserve"> … (Philadelphia: R. Bell, 1776).</w:t>
      </w:r>
    </w:p>
    <w:p w14:paraId="000001D1" w14:textId="77777777" w:rsidR="00B34926" w:rsidRDefault="00F63944">
      <w:pPr>
        <w:numPr>
          <w:ilvl w:val="0"/>
          <w:numId w:val="8"/>
        </w:numPr>
        <w:pBdr>
          <w:top w:val="nil"/>
          <w:left w:val="nil"/>
          <w:bottom w:val="nil"/>
          <w:right w:val="nil"/>
          <w:between w:val="nil"/>
        </w:pBdr>
        <w:spacing w:after="0" w:line="480" w:lineRule="auto"/>
        <w:rPr>
          <w:color w:val="000000"/>
          <w:sz w:val="24"/>
          <w:szCs w:val="24"/>
        </w:rPr>
      </w:pPr>
      <w:r>
        <w:rPr>
          <w:rFonts w:ascii="Times New Roman" w:eastAsia="Times New Roman" w:hAnsi="Times New Roman" w:cs="Times New Roman"/>
          <w:color w:val="000000"/>
          <w:sz w:val="24"/>
          <w:szCs w:val="24"/>
        </w:rPr>
        <w:t xml:space="preserve">“Resolves of the New York Sons of Liberty, December 15, 1773”, digitized at </w:t>
      </w:r>
      <w:hyperlink r:id="rId9">
        <w:r>
          <w:rPr>
            <w:rFonts w:ascii="Times New Roman" w:eastAsia="Times New Roman" w:hAnsi="Times New Roman" w:cs="Times New Roman"/>
            <w:color w:val="0000FF"/>
            <w:sz w:val="24"/>
            <w:szCs w:val="24"/>
            <w:u w:val="single"/>
          </w:rPr>
          <w:t>http://teachingamericanhistory.org/library/document/resolves-of-the-new-york-sons-of-liberty/</w:t>
        </w:r>
      </w:hyperlink>
      <w:r>
        <w:rPr>
          <w:rFonts w:ascii="Times New Roman" w:eastAsia="Times New Roman" w:hAnsi="Times New Roman" w:cs="Times New Roman"/>
          <w:color w:val="000000"/>
          <w:sz w:val="24"/>
          <w:szCs w:val="24"/>
        </w:rPr>
        <w:t>.</w:t>
      </w:r>
    </w:p>
    <w:p w14:paraId="000001D2"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Tiedemann, Joseph S., Fingerhut, Eugene R., and Venables, Robert W., eds., </w:t>
      </w:r>
      <w:r>
        <w:rPr>
          <w:rFonts w:ascii="Times New Roman" w:eastAsia="Times New Roman" w:hAnsi="Times New Roman" w:cs="Times New Roman"/>
          <w:i/>
          <w:color w:val="000000"/>
          <w:sz w:val="24"/>
          <w:szCs w:val="24"/>
        </w:rPr>
        <w:t>The Other Loyalists: Ordinary People, Royalism and Revolution in the Middle Colonies</w:t>
      </w:r>
      <w:r>
        <w:rPr>
          <w:rFonts w:ascii="Times New Roman" w:eastAsia="Times New Roman" w:hAnsi="Times New Roman" w:cs="Times New Roman"/>
          <w:color w:val="000000"/>
          <w:sz w:val="24"/>
          <w:szCs w:val="24"/>
        </w:rPr>
        <w:t xml:space="preserve"> (Albany: State University of New York Press, 2009).</w:t>
      </w:r>
    </w:p>
    <w:p w14:paraId="000001D3"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Van Buskirk, Judith,</w:t>
      </w:r>
      <w:r>
        <w:rPr>
          <w:rFonts w:ascii="Times New Roman" w:eastAsia="Times New Roman" w:hAnsi="Times New Roman" w:cs="Times New Roman"/>
          <w:i/>
          <w:color w:val="000000"/>
          <w:sz w:val="24"/>
          <w:szCs w:val="24"/>
        </w:rPr>
        <w:t xml:space="preserve"> Generous Enemies: Patriots and Loyalists in Revolutionary New York </w:t>
      </w:r>
      <w:r>
        <w:rPr>
          <w:rFonts w:ascii="Times New Roman" w:eastAsia="Times New Roman" w:hAnsi="Times New Roman" w:cs="Times New Roman"/>
          <w:color w:val="000000"/>
          <w:sz w:val="24"/>
          <w:szCs w:val="24"/>
        </w:rPr>
        <w:t>(Philadelphia: University of Pennsylvania Press, 2002).</w:t>
      </w:r>
    </w:p>
    <w:p w14:paraId="000001D4" w14:textId="77777777" w:rsidR="00B34926" w:rsidRDefault="00F63944">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Wood, Gordon S., “A Century of Writing Early American History: Then and Now Compared; Or How Henry Adams Got It Wrong”, </w:t>
      </w:r>
      <w:r>
        <w:rPr>
          <w:rFonts w:ascii="Times New Roman" w:eastAsia="Times New Roman" w:hAnsi="Times New Roman" w:cs="Times New Roman"/>
          <w:i/>
          <w:color w:val="000000"/>
          <w:sz w:val="24"/>
          <w:szCs w:val="24"/>
        </w:rPr>
        <w:t>American Historical Review</w:t>
      </w:r>
      <w:r>
        <w:rPr>
          <w:rFonts w:ascii="Times New Roman" w:eastAsia="Times New Roman" w:hAnsi="Times New Roman" w:cs="Times New Roman"/>
          <w:color w:val="000000"/>
          <w:sz w:val="24"/>
          <w:szCs w:val="24"/>
        </w:rPr>
        <w:t>, 100, no. 3 (June 1995): 678-96.</w:t>
      </w:r>
    </w:p>
    <w:p w14:paraId="000001D5" w14:textId="77777777" w:rsidR="00B34926" w:rsidRDefault="00B34926"/>
    <w:p w14:paraId="000001D7" w14:textId="2839155D" w:rsidR="00B34926" w:rsidRDefault="00B34926"/>
    <w:sectPr w:rsidR="00B3492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5C37" w14:textId="77777777" w:rsidR="00902925" w:rsidRDefault="00902925">
      <w:pPr>
        <w:spacing w:after="0" w:line="240" w:lineRule="auto"/>
      </w:pPr>
      <w:r>
        <w:separator/>
      </w:r>
    </w:p>
  </w:endnote>
  <w:endnote w:type="continuationSeparator" w:id="0">
    <w:p w14:paraId="78E27A4E" w14:textId="77777777" w:rsidR="00902925" w:rsidRDefault="009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77777777" w:rsidR="00D6199F" w:rsidRDefault="00D6199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533860EE" w:rsidR="00D6199F" w:rsidRDefault="00D6199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19</w:t>
    </w:r>
    <w:r>
      <w:rPr>
        <w:color w:val="000000"/>
      </w:rPr>
      <w:fldChar w:fldCharType="end"/>
    </w:r>
  </w:p>
  <w:p w14:paraId="000001E9" w14:textId="77777777" w:rsidR="00D6199F" w:rsidRDefault="00D6199F">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7" w14:textId="77777777" w:rsidR="00D6199F" w:rsidRDefault="00D6199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3A8F" w14:textId="77777777" w:rsidR="00902925" w:rsidRDefault="00902925">
      <w:pPr>
        <w:spacing w:after="0" w:line="240" w:lineRule="auto"/>
      </w:pPr>
      <w:r>
        <w:separator/>
      </w:r>
    </w:p>
  </w:footnote>
  <w:footnote w:type="continuationSeparator" w:id="0">
    <w:p w14:paraId="49BF8C2F" w14:textId="77777777" w:rsidR="00902925" w:rsidRDefault="00902925">
      <w:pPr>
        <w:spacing w:after="0" w:line="240" w:lineRule="auto"/>
      </w:pPr>
      <w:r>
        <w:continuationSeparator/>
      </w:r>
    </w:p>
  </w:footnote>
  <w:footnote w:id="1">
    <w:p w14:paraId="000001D8" w14:textId="77777777" w:rsidR="00D6199F" w:rsidRDefault="00D6199F">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David Ramsay, </w:t>
      </w:r>
      <w:r>
        <w:rPr>
          <w:rFonts w:ascii="Times New Roman" w:eastAsia="Times New Roman" w:hAnsi="Times New Roman" w:cs="Times New Roman"/>
          <w:i/>
          <w:color w:val="000000"/>
          <w:sz w:val="20"/>
          <w:szCs w:val="20"/>
        </w:rPr>
        <w:t>The History of the American Revolution</w:t>
      </w:r>
      <w:r>
        <w:rPr>
          <w:rFonts w:ascii="Times New Roman" w:eastAsia="Times New Roman" w:hAnsi="Times New Roman" w:cs="Times New Roman"/>
          <w:color w:val="000000"/>
          <w:sz w:val="20"/>
          <w:szCs w:val="20"/>
        </w:rPr>
        <w:t xml:space="preserve"> (Philadelphia: R. Aitken &amp; Son, 1789); Mercy Otis Warren, </w:t>
      </w:r>
      <w:r>
        <w:rPr>
          <w:rFonts w:ascii="Times New Roman" w:eastAsia="Times New Roman" w:hAnsi="Times New Roman" w:cs="Times New Roman"/>
          <w:i/>
          <w:color w:val="000000"/>
          <w:sz w:val="20"/>
          <w:szCs w:val="20"/>
        </w:rPr>
        <w:t xml:space="preserve">History of the Rise, Progress, and Termination of the American Revolution </w:t>
      </w:r>
      <w:r>
        <w:rPr>
          <w:rFonts w:ascii="Times New Roman" w:eastAsia="Times New Roman" w:hAnsi="Times New Roman" w:cs="Times New Roman"/>
          <w:color w:val="000000"/>
          <w:sz w:val="20"/>
          <w:szCs w:val="20"/>
        </w:rPr>
        <w:t xml:space="preserve">(Boston: Manning and Loring, 1805). </w:t>
      </w:r>
    </w:p>
  </w:footnote>
  <w:footnote w:id="2">
    <w:p w14:paraId="000001D9" w14:textId="77777777" w:rsidR="00D6199F" w:rsidRDefault="00D6199F">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Joyce Appleby, “A Different Kind of Independence: the Postwar Reconstructing of the Historical Study of Early America,” </w:t>
      </w:r>
      <w:r>
        <w:rPr>
          <w:rFonts w:ascii="Times New Roman" w:eastAsia="Times New Roman" w:hAnsi="Times New Roman" w:cs="Times New Roman"/>
          <w:i/>
          <w:color w:val="000000"/>
          <w:sz w:val="20"/>
          <w:szCs w:val="20"/>
        </w:rPr>
        <w:t>The William and Mary Quarterly</w:t>
      </w:r>
      <w:r>
        <w:rPr>
          <w:rFonts w:ascii="Times New Roman" w:eastAsia="Times New Roman" w:hAnsi="Times New Roman" w:cs="Times New Roman"/>
          <w:color w:val="000000"/>
          <w:sz w:val="20"/>
          <w:szCs w:val="20"/>
        </w:rPr>
        <w:t xml:space="preserve"> 50, no. 2 (1993): 245-67; Robin L. Einhorn, “The Nation is Already There,” </w:t>
      </w:r>
      <w:r>
        <w:rPr>
          <w:rFonts w:ascii="Times New Roman" w:eastAsia="Times New Roman" w:hAnsi="Times New Roman" w:cs="Times New Roman"/>
          <w:i/>
          <w:color w:val="000000"/>
          <w:sz w:val="20"/>
          <w:szCs w:val="20"/>
        </w:rPr>
        <w:t>The William and Mary Quarterly</w:t>
      </w:r>
      <w:r>
        <w:rPr>
          <w:rFonts w:ascii="Times New Roman" w:eastAsia="Times New Roman" w:hAnsi="Times New Roman" w:cs="Times New Roman"/>
          <w:color w:val="000000"/>
          <w:sz w:val="20"/>
          <w:szCs w:val="20"/>
        </w:rPr>
        <w:t xml:space="preserve"> 64, no. 2 (2007): 275-80.  </w:t>
      </w:r>
    </w:p>
  </w:footnote>
  <w:footnote w:id="3">
    <w:p w14:paraId="000001DA" w14:textId="77777777" w:rsidR="00D6199F" w:rsidRDefault="00D6199F">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Russell R. Menard, “Reckoning with Williams: ‘Capitalism and Slavery’ and the Reconstruction of Early American History,” </w:t>
      </w:r>
      <w:r>
        <w:rPr>
          <w:rFonts w:ascii="Times New Roman" w:eastAsia="Times New Roman" w:hAnsi="Times New Roman" w:cs="Times New Roman"/>
          <w:i/>
          <w:color w:val="000000"/>
          <w:sz w:val="20"/>
          <w:szCs w:val="20"/>
        </w:rPr>
        <w:t>Callaloo</w:t>
      </w:r>
      <w:r>
        <w:rPr>
          <w:rFonts w:ascii="Times New Roman" w:eastAsia="Times New Roman" w:hAnsi="Times New Roman" w:cs="Times New Roman"/>
          <w:color w:val="000000"/>
          <w:sz w:val="20"/>
          <w:szCs w:val="20"/>
        </w:rPr>
        <w:t xml:space="preserve">, 20, no. 4 (Autumn 1997): 791; Gordon S. Wood, “A Century of Writing Early American History: Then and Now Compared; Or How Henry Adams Got It Wrong”, </w:t>
      </w:r>
      <w:r>
        <w:rPr>
          <w:rFonts w:ascii="Times New Roman" w:eastAsia="Times New Roman" w:hAnsi="Times New Roman" w:cs="Times New Roman"/>
          <w:i/>
          <w:color w:val="000000"/>
          <w:sz w:val="20"/>
          <w:szCs w:val="20"/>
        </w:rPr>
        <w:t>American Historical Review</w:t>
      </w:r>
      <w:r>
        <w:rPr>
          <w:rFonts w:ascii="Times New Roman" w:eastAsia="Times New Roman" w:hAnsi="Times New Roman" w:cs="Times New Roman"/>
          <w:color w:val="000000"/>
          <w:sz w:val="20"/>
          <w:szCs w:val="20"/>
        </w:rPr>
        <w:t>, 100, no. 3 (June 1995): 693.</w:t>
      </w:r>
    </w:p>
  </w:footnote>
  <w:footnote w:id="4">
    <w:p w14:paraId="000001DB" w14:textId="77777777" w:rsidR="00D6199F" w:rsidRDefault="00D6199F">
      <w:pPr>
        <w:spacing w:after="0" w:line="36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Judith Van Buskirk, </w:t>
      </w:r>
      <w:r>
        <w:rPr>
          <w:rFonts w:ascii="Times New Roman" w:eastAsia="Times New Roman" w:hAnsi="Times New Roman" w:cs="Times New Roman"/>
          <w:i/>
          <w:sz w:val="20"/>
          <w:szCs w:val="20"/>
        </w:rPr>
        <w:t xml:space="preserve">Generous Enemies: Patriots and Loyalists in Revolutionary New York </w:t>
      </w:r>
      <w:r>
        <w:rPr>
          <w:rFonts w:ascii="Times New Roman" w:eastAsia="Times New Roman" w:hAnsi="Times New Roman" w:cs="Times New Roman"/>
          <w:sz w:val="20"/>
          <w:szCs w:val="20"/>
        </w:rPr>
        <w:t xml:space="preserve">(Philadelphia: University of Pennsylvania Press, 2002); Joseph S. Tiedemann, Eugene R. </w:t>
      </w:r>
      <w:proofErr w:type="gramStart"/>
      <w:r>
        <w:rPr>
          <w:rFonts w:ascii="Times New Roman" w:eastAsia="Times New Roman" w:hAnsi="Times New Roman" w:cs="Times New Roman"/>
          <w:sz w:val="20"/>
          <w:szCs w:val="20"/>
        </w:rPr>
        <w:t>Fingerhut</w:t>
      </w:r>
      <w:proofErr w:type="gramEnd"/>
      <w:r>
        <w:rPr>
          <w:rFonts w:ascii="Times New Roman" w:eastAsia="Times New Roman" w:hAnsi="Times New Roman" w:cs="Times New Roman"/>
          <w:sz w:val="20"/>
          <w:szCs w:val="20"/>
        </w:rPr>
        <w:t xml:space="preserve"> and Robert W. Venables, eds., </w:t>
      </w:r>
      <w:r>
        <w:rPr>
          <w:rFonts w:ascii="Times New Roman" w:eastAsia="Times New Roman" w:hAnsi="Times New Roman" w:cs="Times New Roman"/>
          <w:i/>
          <w:sz w:val="20"/>
          <w:szCs w:val="20"/>
        </w:rPr>
        <w:t>The Other Loyalists: Ordinary People, Royalism and Revolution in the Middle Colonies</w:t>
      </w:r>
      <w:r>
        <w:rPr>
          <w:rFonts w:ascii="Times New Roman" w:eastAsia="Times New Roman" w:hAnsi="Times New Roman" w:cs="Times New Roman"/>
          <w:sz w:val="20"/>
          <w:szCs w:val="20"/>
        </w:rPr>
        <w:t xml:space="preserve"> (Albany: State University of New York Press, 2009).</w:t>
      </w:r>
    </w:p>
  </w:footnote>
  <w:footnote w:id="5">
    <w:p w14:paraId="000001DC" w14:textId="77777777" w:rsidR="00D6199F" w:rsidRDefault="00D6199F">
      <w:pPr>
        <w:spacing w:after="0" w:line="360" w:lineRule="auto"/>
        <w:rPr>
          <w:sz w:val="20"/>
          <w:szCs w:val="20"/>
        </w:rPr>
      </w:pPr>
      <w:r>
        <w:rPr>
          <w:rStyle w:val="FootnoteReference"/>
        </w:rPr>
        <w:footnoteRef/>
      </w:r>
      <w:r>
        <w:rPr>
          <w:rFonts w:ascii="Times New Roman" w:eastAsia="Times New Roman" w:hAnsi="Times New Roman" w:cs="Times New Roman"/>
          <w:sz w:val="20"/>
          <w:szCs w:val="20"/>
        </w:rPr>
        <w:t xml:space="preserve"> See, for instance, “Resolves of the New York Sons of Liberty, December 15, 1773”, digitized at </w:t>
      </w:r>
      <w:hyperlink r:id="rId1">
        <w:r>
          <w:rPr>
            <w:rFonts w:ascii="Times New Roman" w:eastAsia="Times New Roman" w:hAnsi="Times New Roman" w:cs="Times New Roman"/>
            <w:color w:val="0000FF"/>
            <w:sz w:val="20"/>
            <w:szCs w:val="20"/>
            <w:u w:val="single"/>
          </w:rPr>
          <w:t>http://teachingamericanhistory.org/library/document/resolves-of-the-new-york-sons-of-liberty/</w:t>
        </w:r>
      </w:hyperlink>
    </w:p>
  </w:footnote>
  <w:footnote w:id="6">
    <w:p w14:paraId="000001DD" w14:textId="77777777" w:rsidR="00D6199F" w:rsidRDefault="00D6199F">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Thomas Paine, </w:t>
      </w:r>
      <w:r>
        <w:rPr>
          <w:rFonts w:ascii="Times New Roman" w:eastAsia="Times New Roman" w:hAnsi="Times New Roman" w:cs="Times New Roman"/>
          <w:i/>
          <w:color w:val="000000"/>
          <w:sz w:val="20"/>
          <w:szCs w:val="20"/>
        </w:rPr>
        <w:t>Common Sense, addressed to the inhabitants of America</w:t>
      </w:r>
      <w:r>
        <w:rPr>
          <w:rFonts w:ascii="Times New Roman" w:eastAsia="Times New Roman" w:hAnsi="Times New Roman" w:cs="Times New Roman"/>
          <w:color w:val="000000"/>
          <w:sz w:val="20"/>
          <w:szCs w:val="20"/>
        </w:rPr>
        <w:t xml:space="preserve"> … (Philadelphia: R. Bell, 1776).</w:t>
      </w:r>
    </w:p>
  </w:footnote>
  <w:footnote w:id="7">
    <w:p w14:paraId="000001DE" w14:textId="77777777" w:rsidR="00D6199F" w:rsidRDefault="00D6199F">
      <w:pPr>
        <w:pBdr>
          <w:top w:val="nil"/>
          <w:left w:val="nil"/>
          <w:bottom w:val="nil"/>
          <w:right w:val="nil"/>
          <w:between w:val="nil"/>
        </w:pBdr>
        <w:spacing w:after="0" w:line="36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Bernard </w:t>
      </w:r>
      <w:proofErr w:type="spellStart"/>
      <w:r>
        <w:rPr>
          <w:rFonts w:ascii="Times New Roman" w:eastAsia="Times New Roman" w:hAnsi="Times New Roman" w:cs="Times New Roman"/>
          <w:color w:val="000000"/>
          <w:sz w:val="20"/>
          <w:szCs w:val="20"/>
        </w:rPr>
        <w:t>Bailyn</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The Ideological Origins of the American Revolution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Cambridge, MA: </w:t>
      </w:r>
      <w:proofErr w:type="spellStart"/>
      <w:r>
        <w:rPr>
          <w:rFonts w:ascii="Times New Roman" w:eastAsia="Times New Roman" w:hAnsi="Times New Roman" w:cs="Times New Roman"/>
          <w:color w:val="000000"/>
          <w:sz w:val="20"/>
          <w:szCs w:val="20"/>
          <w:highlight w:val="white"/>
        </w:rPr>
        <w:t>Belknap</w:t>
      </w:r>
      <w:proofErr w:type="spellEnd"/>
      <w:r>
        <w:rPr>
          <w:rFonts w:ascii="Times New Roman" w:eastAsia="Times New Roman" w:hAnsi="Times New Roman" w:cs="Times New Roman"/>
          <w:color w:val="000000"/>
          <w:sz w:val="20"/>
          <w:szCs w:val="20"/>
          <w:highlight w:val="white"/>
        </w:rPr>
        <w:t xml:space="preserve"> Press, 2017), 50</w:t>
      </w:r>
      <w:r>
        <w:rPr>
          <w:rFonts w:ascii="Times New Roman" w:eastAsia="Times New Roman" w:hAnsi="Times New Roman" w:cs="Times New Roman"/>
          <w:color w:val="000000"/>
          <w:sz w:val="20"/>
          <w:szCs w:val="20"/>
          <w:highlight w:val="white"/>
          <w:vertAlign w:val="superscript"/>
        </w:rPr>
        <w:t>th</w:t>
      </w:r>
      <w:r>
        <w:rPr>
          <w:rFonts w:ascii="Times New Roman" w:eastAsia="Times New Roman" w:hAnsi="Times New Roman" w:cs="Times New Roman"/>
          <w:color w:val="000000"/>
          <w:sz w:val="20"/>
          <w:szCs w:val="20"/>
          <w:highlight w:val="white"/>
        </w:rPr>
        <w:t xml:space="preserve"> Anniversary edition.</w:t>
      </w:r>
    </w:p>
  </w:footnote>
  <w:footnote w:id="8">
    <w:p w14:paraId="000001DF" w14:textId="77777777" w:rsidR="00D6199F" w:rsidRDefault="00D6199F">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Timothy H. Breen, “‘Baubles of Britain’: The American and Consumer Revolutions of the Eighteenth Century”, </w:t>
      </w:r>
      <w:r>
        <w:rPr>
          <w:rFonts w:ascii="Times New Roman" w:eastAsia="Times New Roman" w:hAnsi="Times New Roman" w:cs="Times New Roman"/>
          <w:i/>
          <w:color w:val="000000"/>
          <w:sz w:val="20"/>
          <w:szCs w:val="20"/>
        </w:rPr>
        <w:t>Past and Present</w:t>
      </w:r>
      <w:r>
        <w:rPr>
          <w:rFonts w:ascii="Times New Roman" w:eastAsia="Times New Roman" w:hAnsi="Times New Roman" w:cs="Times New Roman"/>
          <w:color w:val="000000"/>
          <w:sz w:val="20"/>
          <w:szCs w:val="20"/>
        </w:rPr>
        <w:t xml:space="preserve">, 119 (1988): 73-104; Brendan McConville, </w:t>
      </w:r>
      <w:r>
        <w:rPr>
          <w:rFonts w:ascii="Times New Roman" w:eastAsia="Times New Roman" w:hAnsi="Times New Roman" w:cs="Times New Roman"/>
          <w:i/>
          <w:color w:val="000000"/>
          <w:sz w:val="20"/>
          <w:szCs w:val="20"/>
        </w:rPr>
        <w:t>The King's Three Faces: The Rise and Fall of Royal America, 1688-1776</w:t>
      </w:r>
      <w:r>
        <w:rPr>
          <w:rFonts w:ascii="Times New Roman" w:eastAsia="Times New Roman" w:hAnsi="Times New Roman" w:cs="Times New Roman"/>
          <w:color w:val="000000"/>
          <w:sz w:val="20"/>
          <w:szCs w:val="20"/>
        </w:rPr>
        <w:t xml:space="preserve"> (Chapel Hill: University of North Carolina Press, 2006).</w:t>
      </w:r>
    </w:p>
  </w:footnote>
  <w:footnote w:id="9">
    <w:p w14:paraId="000001E0" w14:textId="77777777" w:rsidR="00D6199F" w:rsidRDefault="00D6199F">
      <w:pPr>
        <w:spacing w:after="0" w:line="36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Wallace Brown, </w:t>
      </w:r>
      <w:r>
        <w:rPr>
          <w:rFonts w:ascii="Times New Roman" w:eastAsia="Times New Roman" w:hAnsi="Times New Roman" w:cs="Times New Roman"/>
          <w:i/>
          <w:sz w:val="20"/>
          <w:szCs w:val="20"/>
        </w:rPr>
        <w:t>The King's Friends: The Composition and Motives of the American Loyalist Claimants</w:t>
      </w:r>
      <w:r>
        <w:rPr>
          <w:rFonts w:ascii="Times New Roman" w:eastAsia="Times New Roman" w:hAnsi="Times New Roman" w:cs="Times New Roman"/>
          <w:sz w:val="20"/>
          <w:szCs w:val="20"/>
        </w:rPr>
        <w:t xml:space="preserve"> (Providence, RI: Brown University Press, 1966)</w:t>
      </w:r>
    </w:p>
  </w:footnote>
  <w:footnote w:id="10">
    <w:p w14:paraId="000001E1" w14:textId="77777777" w:rsidR="00D6199F" w:rsidRDefault="00D6199F">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American Loyalists Claims, Series I. The National Archives: AO 12. </w:t>
      </w:r>
    </w:p>
  </w:footnote>
  <w:footnote w:id="11">
    <w:p w14:paraId="000001E2" w14:textId="77777777" w:rsidR="00D6199F" w:rsidRDefault="00D6199F">
      <w:pPr>
        <w:pBdr>
          <w:top w:val="nil"/>
          <w:left w:val="nil"/>
          <w:bottom w:val="nil"/>
          <w:right w:val="nil"/>
          <w:between w:val="nil"/>
        </w:pBdr>
        <w:spacing w:after="0" w:line="36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sz w:val="20"/>
          <w:szCs w:val="20"/>
        </w:rPr>
        <w:t xml:space="preserve"> Ruma Chopra, </w:t>
      </w:r>
      <w:r>
        <w:rPr>
          <w:rFonts w:ascii="Times New Roman" w:eastAsia="Times New Roman" w:hAnsi="Times New Roman" w:cs="Times New Roman"/>
          <w:i/>
          <w:color w:val="000000"/>
          <w:sz w:val="20"/>
          <w:szCs w:val="20"/>
        </w:rPr>
        <w:t xml:space="preserve">Choosing Sides: Loyalists in Revolutionary America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highlight w:val="white"/>
        </w:rPr>
        <w:t>Lanham: Rowman &amp; Littlefield, Publishers,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4" w14:textId="77777777" w:rsidR="00D6199F" w:rsidRDefault="00D6199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3" w14:textId="77777777" w:rsidR="00D6199F" w:rsidRDefault="00D6199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5" w14:textId="77777777" w:rsidR="00D6199F" w:rsidRDefault="00D6199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647A"/>
    <w:multiLevelType w:val="multilevel"/>
    <w:tmpl w:val="BD8A086C"/>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05C23C4"/>
    <w:multiLevelType w:val="multilevel"/>
    <w:tmpl w:val="982E9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7338B1"/>
    <w:multiLevelType w:val="multilevel"/>
    <w:tmpl w:val="3C18D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0B47BD"/>
    <w:multiLevelType w:val="multilevel"/>
    <w:tmpl w:val="ACF24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103B93"/>
    <w:multiLevelType w:val="multilevel"/>
    <w:tmpl w:val="8B98D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C351DC"/>
    <w:multiLevelType w:val="multilevel"/>
    <w:tmpl w:val="7B68B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557022"/>
    <w:multiLevelType w:val="multilevel"/>
    <w:tmpl w:val="2E68BD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ED0767"/>
    <w:multiLevelType w:val="multilevel"/>
    <w:tmpl w:val="64ACB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F9698B"/>
    <w:multiLevelType w:val="multilevel"/>
    <w:tmpl w:val="98102D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424624"/>
    <w:multiLevelType w:val="multilevel"/>
    <w:tmpl w:val="529203CA"/>
    <w:lvl w:ilvl="0">
      <w:start w:val="5"/>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37405967">
    <w:abstractNumId w:val="6"/>
  </w:num>
  <w:num w:numId="2" w16cid:durableId="1236012899">
    <w:abstractNumId w:val="7"/>
  </w:num>
  <w:num w:numId="3" w16cid:durableId="1697849145">
    <w:abstractNumId w:val="0"/>
  </w:num>
  <w:num w:numId="4" w16cid:durableId="1093819460">
    <w:abstractNumId w:val="2"/>
  </w:num>
  <w:num w:numId="5" w16cid:durableId="1492599104">
    <w:abstractNumId w:val="5"/>
  </w:num>
  <w:num w:numId="6" w16cid:durableId="933434965">
    <w:abstractNumId w:val="8"/>
  </w:num>
  <w:num w:numId="7" w16cid:durableId="143930767">
    <w:abstractNumId w:val="3"/>
  </w:num>
  <w:num w:numId="8" w16cid:durableId="1480534777">
    <w:abstractNumId w:val="1"/>
  </w:num>
  <w:num w:numId="9" w16cid:durableId="1769042740">
    <w:abstractNumId w:val="9"/>
  </w:num>
  <w:num w:numId="10" w16cid:durableId="1887641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26"/>
    <w:rsid w:val="000842C3"/>
    <w:rsid w:val="00287AAA"/>
    <w:rsid w:val="00504C7D"/>
    <w:rsid w:val="00550B30"/>
    <w:rsid w:val="005E3640"/>
    <w:rsid w:val="006C1F6E"/>
    <w:rsid w:val="00763383"/>
    <w:rsid w:val="0087516E"/>
    <w:rsid w:val="00885A14"/>
    <w:rsid w:val="00902925"/>
    <w:rsid w:val="00A07ACB"/>
    <w:rsid w:val="00B34926"/>
    <w:rsid w:val="00D6199F"/>
    <w:rsid w:val="00F02094"/>
    <w:rsid w:val="00F5282B"/>
    <w:rsid w:val="00F63944"/>
    <w:rsid w:val="00FB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29FA"/>
  <w15:docId w15:val="{A63834A2-BF30-42B8-9F72-14F14282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35"/>
  </w:style>
  <w:style w:type="paragraph" w:styleId="Heading1">
    <w:name w:val="heading 1"/>
    <w:basedOn w:val="Normal"/>
    <w:next w:val="Normal"/>
    <w:link w:val="Heading1Char"/>
    <w:uiPriority w:val="9"/>
    <w:qFormat/>
    <w:rsid w:val="00251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1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1135"/>
    <w:pPr>
      <w:spacing w:after="0" w:line="240" w:lineRule="auto"/>
      <w:contextualSpacing/>
    </w:pPr>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51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35"/>
    <w:rPr>
      <w:rFonts w:ascii="Segoe UI" w:hAnsi="Segoe UI" w:cs="Segoe UI"/>
      <w:sz w:val="18"/>
      <w:szCs w:val="18"/>
    </w:rPr>
  </w:style>
  <w:style w:type="character" w:customStyle="1" w:styleId="Heading1Char">
    <w:name w:val="Heading 1 Char"/>
    <w:basedOn w:val="DefaultParagraphFont"/>
    <w:link w:val="Heading1"/>
    <w:uiPriority w:val="9"/>
    <w:rsid w:val="002511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51135"/>
    <w:pPr>
      <w:ind w:left="720"/>
      <w:contextualSpacing/>
    </w:pPr>
  </w:style>
  <w:style w:type="character" w:styleId="CommentReference">
    <w:name w:val="annotation reference"/>
    <w:basedOn w:val="DefaultParagraphFont"/>
    <w:uiPriority w:val="99"/>
    <w:semiHidden/>
    <w:unhideWhenUsed/>
    <w:rsid w:val="00251135"/>
    <w:rPr>
      <w:sz w:val="16"/>
      <w:szCs w:val="16"/>
    </w:rPr>
  </w:style>
  <w:style w:type="paragraph" w:styleId="CommentText">
    <w:name w:val="annotation text"/>
    <w:basedOn w:val="Normal"/>
    <w:link w:val="CommentTextChar"/>
    <w:uiPriority w:val="99"/>
    <w:semiHidden/>
    <w:unhideWhenUsed/>
    <w:rsid w:val="00251135"/>
    <w:pPr>
      <w:spacing w:line="240" w:lineRule="auto"/>
    </w:pPr>
    <w:rPr>
      <w:sz w:val="20"/>
      <w:szCs w:val="20"/>
    </w:rPr>
  </w:style>
  <w:style w:type="character" w:customStyle="1" w:styleId="CommentTextChar">
    <w:name w:val="Comment Text Char"/>
    <w:basedOn w:val="DefaultParagraphFont"/>
    <w:link w:val="CommentText"/>
    <w:uiPriority w:val="99"/>
    <w:semiHidden/>
    <w:rsid w:val="00251135"/>
    <w:rPr>
      <w:sz w:val="20"/>
      <w:szCs w:val="20"/>
    </w:rPr>
  </w:style>
  <w:style w:type="character" w:customStyle="1" w:styleId="TitleChar">
    <w:name w:val="Title Char"/>
    <w:basedOn w:val="DefaultParagraphFont"/>
    <w:link w:val="Title"/>
    <w:uiPriority w:val="10"/>
    <w:rsid w:val="0025113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51135"/>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List">
    <w:name w:val="Unnumbered List"/>
    <w:basedOn w:val="Normal"/>
    <w:rsid w:val="00251135"/>
    <w:pPr>
      <w:widowControl w:val="0"/>
      <w:spacing w:before="120" w:after="0" w:line="240" w:lineRule="auto"/>
      <w:ind w:left="1296" w:hanging="576"/>
      <w:jc w:val="both"/>
    </w:pPr>
    <w:rPr>
      <w:rFonts w:ascii="Arial" w:eastAsia="Times New Roman" w:hAnsi="Arial" w:cs="Times New Roman"/>
      <w:szCs w:val="24"/>
      <w:lang w:val="en-US"/>
    </w:rPr>
  </w:style>
  <w:style w:type="paragraph" w:styleId="Footer">
    <w:name w:val="footer"/>
    <w:basedOn w:val="Normal"/>
    <w:link w:val="FooterChar"/>
    <w:uiPriority w:val="99"/>
    <w:unhideWhenUsed/>
    <w:rsid w:val="00251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135"/>
  </w:style>
  <w:style w:type="paragraph" w:styleId="CommentSubject">
    <w:name w:val="annotation subject"/>
    <w:basedOn w:val="CommentText"/>
    <w:next w:val="CommentText"/>
    <w:link w:val="CommentSubjectChar"/>
    <w:uiPriority w:val="99"/>
    <w:semiHidden/>
    <w:unhideWhenUsed/>
    <w:rsid w:val="00B41BF5"/>
    <w:rPr>
      <w:b/>
      <w:bCs/>
    </w:rPr>
  </w:style>
  <w:style w:type="character" w:customStyle="1" w:styleId="CommentSubjectChar">
    <w:name w:val="Comment Subject Char"/>
    <w:basedOn w:val="CommentTextChar"/>
    <w:link w:val="CommentSubject"/>
    <w:uiPriority w:val="99"/>
    <w:semiHidden/>
    <w:rsid w:val="00B41BF5"/>
    <w:rPr>
      <w:b/>
      <w:bCs/>
      <w:sz w:val="20"/>
      <w:szCs w:val="20"/>
    </w:rPr>
  </w:style>
  <w:style w:type="character" w:styleId="Hyperlink">
    <w:name w:val="Hyperlink"/>
    <w:uiPriority w:val="99"/>
    <w:unhideWhenUsed/>
    <w:rsid w:val="002224D2"/>
    <w:rPr>
      <w:color w:val="0000FF"/>
      <w:u w:val="single"/>
    </w:rPr>
  </w:style>
  <w:style w:type="character" w:styleId="FollowedHyperlink">
    <w:name w:val="FollowedHyperlink"/>
    <w:basedOn w:val="DefaultParagraphFont"/>
    <w:uiPriority w:val="99"/>
    <w:semiHidden/>
    <w:unhideWhenUsed/>
    <w:rsid w:val="006765E8"/>
    <w:rPr>
      <w:color w:val="954F72" w:themeColor="followedHyperlink"/>
      <w:u w:val="single"/>
    </w:rPr>
  </w:style>
  <w:style w:type="character" w:customStyle="1" w:styleId="UnresolvedMention1">
    <w:name w:val="Unresolved Mention1"/>
    <w:basedOn w:val="DefaultParagraphFont"/>
    <w:uiPriority w:val="99"/>
    <w:semiHidden/>
    <w:unhideWhenUsed/>
    <w:rsid w:val="006D1AAE"/>
    <w:rPr>
      <w:color w:val="605E5C"/>
      <w:shd w:val="clear" w:color="auto" w:fill="E1DFDD"/>
    </w:rPr>
  </w:style>
  <w:style w:type="paragraph" w:styleId="Header">
    <w:name w:val="header"/>
    <w:basedOn w:val="Normal"/>
    <w:link w:val="HeaderChar"/>
    <w:uiPriority w:val="99"/>
    <w:unhideWhenUsed/>
    <w:rsid w:val="004C6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E16"/>
  </w:style>
  <w:style w:type="character" w:customStyle="1" w:styleId="UnresolvedMention2">
    <w:name w:val="Unresolved Mention2"/>
    <w:basedOn w:val="DefaultParagraphFont"/>
    <w:uiPriority w:val="99"/>
    <w:semiHidden/>
    <w:unhideWhenUsed/>
    <w:rsid w:val="008525F4"/>
    <w:rPr>
      <w:color w:val="605E5C"/>
      <w:shd w:val="clear" w:color="auto" w:fill="E1DFDD"/>
    </w:rPr>
  </w:style>
  <w:style w:type="paragraph" w:styleId="EndnoteText">
    <w:name w:val="endnote text"/>
    <w:basedOn w:val="Normal"/>
    <w:link w:val="EndnoteTextChar"/>
    <w:uiPriority w:val="99"/>
    <w:semiHidden/>
    <w:unhideWhenUsed/>
    <w:rsid w:val="00392D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DFF"/>
    <w:rPr>
      <w:sz w:val="20"/>
      <w:szCs w:val="20"/>
    </w:rPr>
  </w:style>
  <w:style w:type="character" w:styleId="EndnoteReference">
    <w:name w:val="endnote reference"/>
    <w:basedOn w:val="DefaultParagraphFont"/>
    <w:uiPriority w:val="99"/>
    <w:semiHidden/>
    <w:unhideWhenUsed/>
    <w:rsid w:val="00392DFF"/>
    <w:rPr>
      <w:vertAlign w:val="superscript"/>
    </w:rPr>
  </w:style>
  <w:style w:type="character" w:customStyle="1" w:styleId="Heading2Char">
    <w:name w:val="Heading 2 Char"/>
    <w:basedOn w:val="DefaultParagraphFont"/>
    <w:link w:val="Heading2"/>
    <w:uiPriority w:val="9"/>
    <w:semiHidden/>
    <w:rsid w:val="00731A13"/>
    <w:rPr>
      <w:rFonts w:asciiTheme="majorHAnsi" w:eastAsiaTheme="majorEastAsia" w:hAnsiTheme="majorHAnsi" w:cstheme="majorBidi"/>
      <w:color w:val="2F5496" w:themeColor="accent1" w:themeShade="BF"/>
      <w:sz w:val="26"/>
      <w:szCs w:val="26"/>
    </w:rPr>
  </w:style>
  <w:style w:type="paragraph" w:customStyle="1" w:styleId="Default">
    <w:name w:val="Default"/>
    <w:rsid w:val="00AF37CD"/>
    <w:pPr>
      <w:autoSpaceDE w:val="0"/>
      <w:autoSpaceDN w:val="0"/>
      <w:adjustRightInd w:val="0"/>
      <w:spacing w:after="0" w:line="240" w:lineRule="auto"/>
    </w:pPr>
    <w:rPr>
      <w:color w:val="000000"/>
      <w:sz w:val="24"/>
      <w:szCs w:val="24"/>
    </w:rPr>
  </w:style>
  <w:style w:type="character" w:customStyle="1" w:styleId="UnresolvedMention3">
    <w:name w:val="Unresolved Mention3"/>
    <w:basedOn w:val="DefaultParagraphFont"/>
    <w:uiPriority w:val="99"/>
    <w:semiHidden/>
    <w:unhideWhenUsed/>
    <w:rsid w:val="002A2971"/>
    <w:rPr>
      <w:color w:val="605E5C"/>
      <w:shd w:val="clear" w:color="auto" w:fill="E1DFDD"/>
    </w:rPr>
  </w:style>
  <w:style w:type="character" w:styleId="FootnoteReference">
    <w:name w:val="footnote reference"/>
    <w:basedOn w:val="DefaultParagraphFont"/>
    <w:uiPriority w:val="99"/>
    <w:unhideWhenUsed/>
    <w:rsid w:val="000E6469"/>
    <w:rPr>
      <w:vertAlign w:val="superscript"/>
    </w:rPr>
  </w:style>
  <w:style w:type="paragraph" w:styleId="FootnoteText">
    <w:name w:val="footnote text"/>
    <w:basedOn w:val="Normal"/>
    <w:link w:val="FootnoteTextChar"/>
    <w:unhideWhenUsed/>
    <w:rsid w:val="000E6469"/>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0E6469"/>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Revision">
    <w:name w:val="Revision"/>
    <w:hidden/>
    <w:uiPriority w:val="99"/>
    <w:semiHidden/>
    <w:rsid w:val="00763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americanhistory.org/library/document/resolves-of-the-new-york-sons-of-liber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achingamericanhistory.org/library/document/resolves-of-the-new-york-sons-of-liberty/"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teachingamericanhistory.org/library/document/resolves-of-the-new-york-sons-of-lib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K8LRSi7eN2vMPDpx2xMvXc7VQ==">AMUW2mULW1PSFuSQWW9TyPzmyAiwjzVKzCRXFhYpc5W4mCrqEV3n0pf/GcAMAX3k4kWTuAjatSYQryvjE88bC308UH2II+YSJ8zu0oKc7FmrL8bxDMzZWTWbscdzF0ebIYORSEVGgARr7338RAJZAi5AJSuh2REwW3KvJXUnnJU4DxiE9dW1CCKbsNJxkDZIqEpaatelbpBsBdNvqtxOloZ0p0NpuMu6o0xRWEOd3uzmQ5zw31CSOEvPVSg4dFCB5f2XOaNRGwCnfqRX96kUJB4/ILF6bWSkfhYT4JtN23q3m58Zwk1tRQvRyohVwJwdLYetiNE4Z9xfb7zaEdEXpqfdhET36ma0UQkXqMWbwUMZg7gLJneTTiYNymIxNCX9NGJKnlB3t28HEMk0gLoMaVLhsxUdAvwgGEagtAue7ANJ7kx9fuiHF8dGCOr57+wyg9dbay4WEnsAzbFe7mnOW0H8fSW6CtLbjECm/YodJqRFXIWpinvpyKpSYQApEatblgdJ8jsZ5KD9a76Fr+5LZQS0q8cdB+QAQDKOT4CRddAYyxh6lCE4AVHTRrKyaUm8m01GxNzykL/BMd6IFRPBVvlpD4mbZO8X4tvOmZttvYjC69+uqKfXAU1oM/fCOTl32FkIsVhMhQFzcO/3RWvZS/OD1KYF40W1jZWVgWOHA1SP/A16RX9h1If9Dragd5Fv2wKoQi493tqFTrGnFrceiIHhnVfg2wusliunx2LfFXvBd9+4d1oeUjZ6cG3aOBZP8h2wnT11qAGuR373+xYVr87dU2g9lgxYgB1AkX/dYVa0uDJXCHRHjKLRHeoJ0o7vteCZO06ad+Pu13XlfokJx3DESAAQzKXp1t17QDROsc0gGvTl5+d6b0MdebP5na0UvU6t6tgd3BrZvpMZPHLwNHikbMEb92BP98FNrtbxYWe8WXz+90n5DbS63moibfcZsX9w0al2V+vA/RquV/1CcK1/QXGb/gKTgPOuhDcR3Rue7dr+o3rJnLMIUG+luyj9QFKM2e66+DhqLSOVHKA+vbXcVQ/5qGvge/kUchKhZk2LU4WR2TZUBzGkKlU+XEB6Qdhm48FtTojkMPVXM0975ga/yDXpQ0J4DSMl+CIAvicDV1x2eaHFgBvxkx6uvXjGbTzvqbyCTsrPbgBCE9WrLvZkJhwB9fn1xNj64VJErG+XO2/Q4dDaZAhKRVYp5CBTeN0lMsXfVXJSB+7PzVxP9kwBbbSKzoNSHLaxkGtpuRhlWD5hHZdUZRXJ/zOzL9VwmHuM3HVyDCnyg8EPZUv/cEHQCGeVX6EaNvrqr/ID6T3jLYQjYXDOzq8hnqcTN1OVg/PLSNTV4SQtp/ojNTXCLhHzxQnu1byIn7FZQgfz8N2dWPDG1Ccl3IZxqmu/ZKX+r4j4aS7pwTRgE0uEkZ5RfjpL3uhgaVJpXPKDre9M9kjt7pX72zjTBgo+3kbcSuqJppsnuxEhZNrg0KpKsSKK2c4QGj0xrfZZvSKl3fJ8k7dezmvyThQVySeMZD2OsYztgpvPmKxwyH/6FweuttwMtAplRyU+iqQWkGdsXXJopxc/0edwBFS9c79C0ZQ62s/q7xIVANE/GXjAVUk/aVELNOhrcOSK37zbYHWf6SeTO9+ay585/i+m4tpcqzE5w6wE7unx8aZyDI7pFsQ/7WmTnPjEAnn7Wagt4d3AJ8dT0/vpUSocOoA9bKlXy4MZkFTrvk0SpX57JnTT6Ft7VRq2D9Xaq7fzPXJp2BtjxoPmx7CCIBhHy0o2StMAvMEO1pj9y3vyBd4P4wLueQKJtPZwq0QHUV8amxD0tc9qmuvtPA1IUaAwiPwtGWKLrp3qwnV5kSQHw7h+vU2LmC/T2FdZKkoLox1a0zHn7MVpPY1wgODo+TAEVAp3wt1lV7adCoB0U69wI0JzJtmtLq4f3MJ1UWjCPYI/Egynb+zxIrEWCOGRIxZhVz917MUkruTG9FZn0Y6B5Nq2iJl6vx4hsxizFtx7ahjmybK/7YRk/g7Ba+8F+zxP+317Riw+KQsP3QzoBcftu2wIZKSCEk+4i7jxvbwksChhO0GzAVVys5bry8mL7ztQCq5uXUDCMcOxoP2+7VMAdBE5wHXQ1AIrokuKtPt4pyYxzzutQtRZxPRH+NRiNdcvKWc0se37uj51uNPvc5gO5ivbIGfhEyA6N5OvpqqBs30iaLctBmUftUu+0lE8ede6Bfeaf6dFiPs+9JehxIwQIUybdv3HGLIOSk2e04l2H2SERKyxULJe030MhRQf4lsQU3gdr944p/2VUPjbod3VSgG2LxOWoOY5vJVfRi2+G3fPHNlPRbztswUYUgY2ZNyOwLEqeJ3uIRHU+GwBdV33c9dbAMp2C/k4cK1tWv72u3Y+5CIQV32RqzINUgj3kdwiktt6M+O10lEcgPIe1ddvC9JsAjmkt6i3Rb3n76BWgkKsNZYpJQBu5nkhg0E6877/+ZukiifqFj9/L41rxzM3vVXg23RVCxHQrQ6cD/U8wO0Fr3rQU7BhjUijzOQb7sa9hvf/bH4GuXvrGkNw5G0k3BeTrKF63fErZUzOI/dj2EpE0cM7Ejkrm0S92Xqpcoe96uiNvhTqcYORUtjOWoKgfXbwGFOrZ53itO5EOrrOk4z0X0BSa2JZBkbyX9z/J9fHsVSLlYoKtQPxUtWjSBh9Ntdx7cGEiee/A5chUT9oPaJsX6578h38nrTA8fZK0+YKt1rCj7Bkb09rY1lWtIK6idB0qBcz2FxESkT5Ki1Fq2MlNS5Haa7pRq8Vsf9bOxtE2+9SQ6NSQB67zptBEK8k3Ytc9RDfNAJk5jriK4fiVpghtrX367gc5ZI5U9BHMSBx+6pA7AC5zKsbTiJcMdefwOvhK0RH33XBiwtv2LodqCqYWua8m1fHyRsF7eDvfRl+sjyVhV3L7JzCw0AeZiUULkJ7Upz5dPVwJ4mqc3F6rhmiib/mmJEYzq58CSt4uO/4uZDyzwrQ3qKXw13Y0NL1GbfBlRqKwgjqy0lbNaCqM3sqXP78Ui6RD4YHivazVO15mxbSQpOQzLdndjqBJ4r3CpUuxgsnqkWrrWfAQ86Ss5MzZ5xCsVrGjTxV/YX5AxL3rdsHF3EXeKR4URXwUBXCi5sxHpTDgsPaVbKwqt4Za4pGT+M9fjvtqIH1GMSwVz5NCZu1+5FJkXh97Js3a3Ln5xdUdOg4lvOzydqnnxU+o1neX5nuPGXFaM4mAZMAe0voTewT0jrx6++1LaiAvj8yRuqCkGKDDWkQyHEgxiW9R6kfndBkzvQFbuqeP4LAFgVdcgZeX0pEXMcV5Q2k45QPcOnukXigdNwAUeS4BJXXa7nkvnneDQx8jO0K5G+Rqfr83pScVIwS6oa0RaC1Eqc2CO2R0fa/ha2rsSX2GkXl2xMHyS1nJJArvBKDWCOdEr2QP3Cu8BAp6SdzD9BH4ifqEJbT20IjiM4msllNmyMV1v2oMuC8W/OwcmQONkOwQJ6BTpk5p97NVHTI5O+BZwh6k+ZGDGFlqV+O3YFMh1lbZL53kNl2b9QdpMRs/6gJ6PjO+cQctIsYlxGoaD75rNvQv1mooE3pUj1hwmUXfRla27EWGEiosksBy2JFHh+5t4Z3eKdBw28t7jzhGEbsGUbso7Bug4h6V914Iw3fq7sql8gaQ3tmXvVKLT1wRiZ/tF9byX0D/2ubE5vYup2YDr+jR2d6mHr7tQbmYb333OHJjhVEi8wOkmtbH3NnFyqLlfL/miUUfcq9DBhEwjw8txUTv1v4YpUMxMz2vk9wVcS+I165kRarh6eFVonMQ3z3Lg0FugGB3LT0QyHASxcstKxcNhQFIAmaUdwILjsJ2QaA4Sp9+RKVHPss6jpNEJlchB0Kb+V2SphvLfqUX1KJ+I+53HD36TxjRCnX3gCo5z3dW2P0O5VzBpbPnYncUS8ZW7PJSBiWNecklsyJWKUoRCeLHQXCugbH1FP7RrPMm/SvXW151g6xeXKNoPEahLz+/gFm0vGF/rTpWKaJlhm3QiNOjroTXsmVzI8tYbkQNrhpBr/vpAwgelNq9XfwPapZogmehksmJAeuUiwbKpsY4se0I0qvKqhqESRdV5QmCV48e1v5Dw1B4bh0rOv6mO5LgfCIuFe8tbSCgqY+bWfgnB9wgAq6YXUfHkr5XXjYnhwGsoMLQ+uTu08K37BnmsIPJmoBR1e5sxI9u8MuOcNpeLUxxwDMPOGyVeIS+IZdksjs8F0tTvCL3Ee9yi1LXF+LhlZ2s5edHPDdjHCMAAcbAqZrxmYQpfsSz4IOP18sgooxAcRcjDG7stIbaWx77DpvkIhbcU5CZZAafu+JIVs7SB/AodspJxq6xGVigOa8Sd+wVGsgiu5sW9FowrsOUClKM4RofkJlvDzJCW3SkZjEqt1WlfSvq4d0NUDmTnIw8asMEKTbGReShseMinK+EmOeJ5y50GAfdvc9aRSrEbLMiYAHuVVOnk/ZS754a42uVztRtMQ9/FqJQx2hXPwR9jtoaI+nwskz1F/quhJrloV1uBUMeo2kKBxe6j75JusHuoiMVYkPY2fomRHINxluUr8uuokvtgIQuIu6TqwUWzb2m05PwodbKVX0Q+ZjE7XxKA9kYPGh4TnDEONuFH/Sl/Xwe6BNIfXO8KOLodVC1tppR5qXQpT+8rDCNtJiSe5/QBiXgi7s8y8q5zWzjCSVtQd1zcCo7erKRQZNhv9SJ3rp0BNFCREw6Z3F7/QAlxMj7wWGTiLIs6LcKEejfR/eJGjJnE4p+SZc+C4keEJxNBhTDNHTfML4oGIyF5sidxJNrriB4r10rV5nS80TOd3RsYBK20FJq5bhv6BstHo3XgtMnXtW3yBTKgJGETVgCkGXnQFNifcpHvpgKw1ZDLmDMbiiebfZVde6EgxdZpU8yRqVh2YvYD0BWRP6tNJJ60frANXDrcXvMZCnlWzdDRpGoIhQ6teKSLF9MQcEYlHwF7lCiGa61sLh3KkH0fwBLbPEfpGr1rmnF64VVitvENwjoOrE+rIjC462khFCWKvoL002QIpdQxEGSlvXUAtJVdY8h1HJYEBYU/IeQX1dvPu9RcTz3V0J1PHT7/vQeK3Hat0L7sND7vKw6hAFdbxXXANFLkH6pVs3iq086FQUtkKiSLehpOFdjAo9qYY22fSOjFZfWpe0YdJRxrBbwJYdsZzqd4u7TFC8uv6Qv6VuI8r1mZ5aqG7ewuBlI3Q8U7OqSLVn7rnsynn/P/OxWjxtwWFTICNhgz8CsuQAy3SJHEv+dwtLBLd4x0RzDJjQVmsDVWqg6ormS4UndADnDhBDcgyVSsk7VYW+rxMqiBZzTqnVpCZiFgqBKezR2Y1aA9jmfv1m6dNoemHApz5VdBYDSvPNDv9Pl6YpUze2/aSboeEPOIBisZiPPwaUce7LGIcjRjX+e6g8Mdl73wKzTMOQzFpFefsS7L25ZhJ+36d/AR4s/8j5sIbtT/k37daWZJIQJxJNoP8yKlA0CKGoIae1TlHASOoydC+oQyPPmhSwckSgNc0m4A1nOsw9Yyrk5bBlOSIrkSmL0F8y7t2m2DLge8ZX24lyER4kUdTP+1toCEDRWhYtGszzZKnLMZqJ9SuWfa8+vrtsAPeWikR6+zPTDal4Vo3dReq5WbXNocPn//f5BWI7dcZyEwmMB5es4ag49V6O/+J6oXFQ0l+heMDz96etcEysR46KodufjCwVojpixbUF19RSQ/XMP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5531</Words>
  <Characters>31530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Perchard</dc:creator>
  <cp:lastModifiedBy>Jones, Sophie [shjones]</cp:lastModifiedBy>
  <cp:revision>5</cp:revision>
  <dcterms:created xsi:type="dcterms:W3CDTF">2023-08-24T12:08:00Z</dcterms:created>
  <dcterms:modified xsi:type="dcterms:W3CDTF">2023-08-24T12:17:00Z</dcterms:modified>
</cp:coreProperties>
</file>