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C827" w14:textId="72F355D9" w:rsidR="0067673F" w:rsidRPr="001A7C02" w:rsidRDefault="001A7C02" w:rsidP="001A7C02">
      <w:pPr>
        <w:spacing w:line="240" w:lineRule="auto"/>
        <w:jc w:val="center"/>
        <w:rPr>
          <w:rFonts w:ascii="Times New Roman" w:hAnsi="Times New Roman" w:cs="Times New Roman"/>
          <w:b/>
          <w:bCs/>
          <w:sz w:val="24"/>
          <w:szCs w:val="24"/>
          <w:lang w:val="en-US"/>
        </w:rPr>
      </w:pPr>
      <w:r w:rsidRPr="001A7C02">
        <w:rPr>
          <w:rFonts w:ascii="Times New Roman" w:hAnsi="Times New Roman" w:cs="Times New Roman"/>
          <w:b/>
          <w:bCs/>
          <w:sz w:val="24"/>
          <w:szCs w:val="24"/>
          <w:lang w:val="en-US"/>
        </w:rPr>
        <w:t>Reconsidering Consumer Access to Healthcare</w:t>
      </w:r>
    </w:p>
    <w:p w14:paraId="26873286" w14:textId="77777777" w:rsidR="001A7C02" w:rsidRDefault="001A7C02" w:rsidP="0067673F">
      <w:pPr>
        <w:spacing w:after="0" w:line="240" w:lineRule="auto"/>
        <w:rPr>
          <w:rFonts w:ascii="Times New Roman" w:hAnsi="Times New Roman" w:cs="Times New Roman"/>
          <w:sz w:val="24"/>
          <w:szCs w:val="24"/>
          <w:lang w:val="en-US"/>
        </w:rPr>
      </w:pPr>
    </w:p>
    <w:p w14:paraId="32FACBD9" w14:textId="24BCCD5D" w:rsidR="001A7C02" w:rsidRDefault="001A7C02" w:rsidP="00676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Lynn Sudbury-Riley</w:t>
      </w:r>
      <w:r w:rsidR="008009B4">
        <w:rPr>
          <w:rFonts w:ascii="Times New Roman" w:hAnsi="Times New Roman" w:cs="Times New Roman"/>
          <w:sz w:val="24"/>
          <w:szCs w:val="24"/>
          <w:lang w:val="en-US"/>
        </w:rPr>
        <w:t xml:space="preserve">, </w:t>
      </w:r>
      <w:bookmarkStart w:id="0" w:name="_Hlk137037667"/>
      <w:r w:rsidR="008009B4">
        <w:rPr>
          <w:rFonts w:ascii="Times New Roman" w:hAnsi="Times New Roman" w:cs="Times New Roman"/>
          <w:sz w:val="24"/>
          <w:szCs w:val="24"/>
          <w:lang w:val="en-US"/>
        </w:rPr>
        <w:t>University of Liverpool, UK</w:t>
      </w:r>
    </w:p>
    <w:bookmarkEnd w:id="0"/>
    <w:p w14:paraId="0C31F960" w14:textId="1335915B" w:rsidR="001A7C02" w:rsidRDefault="001A7C02" w:rsidP="00676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Philippa Hunter-Jones</w:t>
      </w:r>
      <w:r w:rsidR="008009B4">
        <w:rPr>
          <w:rFonts w:ascii="Times New Roman" w:hAnsi="Times New Roman" w:cs="Times New Roman"/>
          <w:sz w:val="24"/>
          <w:szCs w:val="24"/>
          <w:lang w:val="en-US"/>
        </w:rPr>
        <w:t xml:space="preserve">, </w:t>
      </w:r>
      <w:r w:rsidR="008009B4" w:rsidRPr="008009B4">
        <w:rPr>
          <w:rFonts w:ascii="Times New Roman" w:hAnsi="Times New Roman" w:cs="Times New Roman"/>
          <w:sz w:val="24"/>
          <w:szCs w:val="24"/>
          <w:lang w:val="en-US"/>
        </w:rPr>
        <w:t>University of Liverpool, UK</w:t>
      </w:r>
    </w:p>
    <w:p w14:paraId="25C764C1" w14:textId="78C0DEC5" w:rsidR="001A7C02" w:rsidRDefault="001A7C02" w:rsidP="0067673F">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Ahmen</w:t>
      </w:r>
      <w:proofErr w:type="spellEnd"/>
      <w:r>
        <w:rPr>
          <w:rFonts w:ascii="Times New Roman" w:hAnsi="Times New Roman" w:cs="Times New Roman"/>
          <w:sz w:val="24"/>
          <w:szCs w:val="24"/>
          <w:lang w:val="en-US"/>
        </w:rPr>
        <w:t xml:space="preserve"> Al-Abdin</w:t>
      </w:r>
      <w:r w:rsidR="008009B4">
        <w:rPr>
          <w:rFonts w:ascii="Times New Roman" w:hAnsi="Times New Roman" w:cs="Times New Roman"/>
          <w:sz w:val="24"/>
          <w:szCs w:val="24"/>
          <w:lang w:val="en-US"/>
        </w:rPr>
        <w:t xml:space="preserve">, </w:t>
      </w:r>
      <w:r w:rsidR="008009B4" w:rsidRPr="008009B4">
        <w:rPr>
          <w:rFonts w:ascii="Times New Roman" w:hAnsi="Times New Roman" w:cs="Times New Roman"/>
          <w:sz w:val="24"/>
          <w:szCs w:val="24"/>
          <w:lang w:val="en-US"/>
        </w:rPr>
        <w:t>University of Liverpool, UK</w:t>
      </w:r>
    </w:p>
    <w:p w14:paraId="5ABCFCE3" w14:textId="77777777" w:rsidR="001A7C02" w:rsidRDefault="001A7C02" w:rsidP="0067673F">
      <w:pPr>
        <w:spacing w:after="0" w:line="240" w:lineRule="auto"/>
        <w:rPr>
          <w:rFonts w:ascii="Times New Roman" w:hAnsi="Times New Roman" w:cs="Times New Roman"/>
          <w:sz w:val="24"/>
          <w:szCs w:val="24"/>
          <w:lang w:val="en-US"/>
        </w:rPr>
      </w:pPr>
    </w:p>
    <w:p w14:paraId="1E58BA32" w14:textId="77777777" w:rsidR="008009B4" w:rsidRDefault="008009B4" w:rsidP="0067673F">
      <w:pPr>
        <w:spacing w:after="0" w:line="240" w:lineRule="auto"/>
        <w:rPr>
          <w:rFonts w:ascii="Times New Roman" w:hAnsi="Times New Roman" w:cs="Times New Roman"/>
          <w:sz w:val="24"/>
          <w:szCs w:val="24"/>
          <w:lang w:val="en-US"/>
        </w:rPr>
      </w:pPr>
    </w:p>
    <w:p w14:paraId="0DFF0242" w14:textId="79DEB44B" w:rsidR="008009B4" w:rsidRPr="008009B4" w:rsidRDefault="008009B4" w:rsidP="0067673F">
      <w:pPr>
        <w:spacing w:after="0" w:line="240" w:lineRule="auto"/>
        <w:rPr>
          <w:rFonts w:ascii="Times New Roman" w:hAnsi="Times New Roman" w:cs="Times New Roman"/>
          <w:b/>
          <w:bCs/>
          <w:sz w:val="24"/>
          <w:szCs w:val="24"/>
          <w:lang w:val="en-US"/>
        </w:rPr>
      </w:pPr>
      <w:r w:rsidRPr="008009B4">
        <w:rPr>
          <w:rFonts w:ascii="Times New Roman" w:hAnsi="Times New Roman" w:cs="Times New Roman"/>
          <w:b/>
          <w:bCs/>
          <w:sz w:val="24"/>
          <w:szCs w:val="24"/>
          <w:lang w:val="en-US"/>
        </w:rPr>
        <w:t>EXTENDED ABSTRACT</w:t>
      </w:r>
    </w:p>
    <w:p w14:paraId="67D33990" w14:textId="4CEBD2B3" w:rsidR="002B545E" w:rsidRPr="002D1EAF" w:rsidRDefault="0067673F" w:rsidP="0067673F">
      <w:pPr>
        <w:spacing w:after="0" w:line="240" w:lineRule="auto"/>
        <w:rPr>
          <w:rFonts w:ascii="Times New Roman" w:hAnsi="Times New Roman" w:cs="Times New Roman"/>
          <w:sz w:val="24"/>
          <w:szCs w:val="24"/>
          <w:lang w:val="en-US"/>
        </w:rPr>
      </w:pPr>
      <w:r w:rsidRPr="002D1EAF">
        <w:rPr>
          <w:rFonts w:ascii="Times New Roman" w:hAnsi="Times New Roman" w:cs="Times New Roman"/>
          <w:sz w:val="24"/>
          <w:szCs w:val="24"/>
          <w:lang w:val="en-US"/>
        </w:rPr>
        <w:t xml:space="preserve">The importance of access to quality healthcare services for physical, mental, and social wellbeing is undisputed. Yet, </w:t>
      </w:r>
      <w:r w:rsidR="002B545E" w:rsidRPr="002D1EAF">
        <w:rPr>
          <w:rFonts w:ascii="Times New Roman" w:hAnsi="Times New Roman" w:cs="Times New Roman"/>
          <w:sz w:val="24"/>
          <w:szCs w:val="24"/>
          <w:lang w:val="en-US"/>
        </w:rPr>
        <w:t>h</w:t>
      </w:r>
      <w:r w:rsidR="00151C13" w:rsidRPr="002D1EAF">
        <w:rPr>
          <w:rFonts w:ascii="Times New Roman" w:hAnsi="Times New Roman" w:cs="Times New Roman"/>
          <w:sz w:val="24"/>
          <w:szCs w:val="24"/>
          <w:lang w:val="en-US"/>
        </w:rPr>
        <w:t>ealthcare access barriers are numerous, spatial inequities are long-standing (</w:t>
      </w:r>
      <w:bookmarkStart w:id="1" w:name="_Hlk137037731"/>
      <w:r w:rsidR="00151C13" w:rsidRPr="002D1EAF">
        <w:rPr>
          <w:rFonts w:ascii="Times New Roman" w:hAnsi="Times New Roman" w:cs="Times New Roman"/>
          <w:sz w:val="24"/>
          <w:szCs w:val="24"/>
          <w:lang w:val="en-US"/>
        </w:rPr>
        <w:t>Bradshaw, Bloor, and Doran 2018</w:t>
      </w:r>
      <w:bookmarkEnd w:id="1"/>
      <w:r w:rsidR="00151C13" w:rsidRPr="002D1EAF">
        <w:rPr>
          <w:rFonts w:ascii="Times New Roman" w:hAnsi="Times New Roman" w:cs="Times New Roman"/>
          <w:sz w:val="24"/>
          <w:szCs w:val="24"/>
          <w:lang w:val="en-US"/>
        </w:rPr>
        <w:t xml:space="preserve">), </w:t>
      </w:r>
      <w:r w:rsidRPr="002D1EAF">
        <w:rPr>
          <w:rFonts w:ascii="Times New Roman" w:hAnsi="Times New Roman" w:cs="Times New Roman"/>
          <w:sz w:val="24"/>
          <w:szCs w:val="24"/>
          <w:lang w:val="en-US"/>
        </w:rPr>
        <w:t>and many healthcare services are</w:t>
      </w:r>
      <w:r w:rsidR="002B545E" w:rsidRPr="002D1EAF">
        <w:rPr>
          <w:rFonts w:ascii="Times New Roman" w:hAnsi="Times New Roman" w:cs="Times New Roman"/>
          <w:sz w:val="24"/>
          <w:szCs w:val="24"/>
          <w:lang w:val="en-US"/>
        </w:rPr>
        <w:t xml:space="preserve"> </w:t>
      </w:r>
      <w:r w:rsidRPr="002D1EAF">
        <w:rPr>
          <w:rFonts w:ascii="Times New Roman" w:hAnsi="Times New Roman" w:cs="Times New Roman"/>
          <w:sz w:val="24"/>
          <w:szCs w:val="24"/>
          <w:lang w:val="en-US"/>
        </w:rPr>
        <w:t>confusing and disconcerting for consumers.</w:t>
      </w:r>
      <w:r w:rsidR="00C07A01" w:rsidRPr="002D1EAF">
        <w:rPr>
          <w:rFonts w:ascii="Times New Roman" w:hAnsi="Times New Roman" w:cs="Times New Roman"/>
          <w:sz w:val="24"/>
          <w:szCs w:val="24"/>
          <w:lang w:val="en-US"/>
        </w:rPr>
        <w:t xml:space="preserve"> </w:t>
      </w:r>
      <w:r w:rsidR="00AA388E" w:rsidRPr="002D1EAF">
        <w:rPr>
          <w:rFonts w:ascii="Times New Roman" w:hAnsi="Times New Roman" w:cs="Times New Roman"/>
          <w:sz w:val="24"/>
          <w:szCs w:val="24"/>
          <w:lang w:val="en-US"/>
        </w:rPr>
        <w:t xml:space="preserve">Well-known access frameworks assess </w:t>
      </w:r>
      <w:r w:rsidRPr="002D1EAF">
        <w:rPr>
          <w:rFonts w:ascii="Times New Roman" w:hAnsi="Times New Roman" w:cs="Times New Roman"/>
          <w:sz w:val="24"/>
          <w:szCs w:val="24"/>
          <w:lang w:val="en-US"/>
        </w:rPr>
        <w:t>dimensions such as availability, acceptability, adequacy, and geographic accessibility (</w:t>
      </w:r>
      <w:bookmarkStart w:id="2" w:name="_Hlk137037740"/>
      <w:proofErr w:type="spellStart"/>
      <w:r w:rsidRPr="002D1EAF">
        <w:rPr>
          <w:rFonts w:ascii="Times New Roman" w:hAnsi="Times New Roman" w:cs="Times New Roman"/>
          <w:sz w:val="24"/>
          <w:szCs w:val="24"/>
          <w:lang w:val="en-US"/>
        </w:rPr>
        <w:t>Saurman</w:t>
      </w:r>
      <w:proofErr w:type="spellEnd"/>
      <w:r w:rsidRPr="002D1EAF">
        <w:rPr>
          <w:rFonts w:ascii="Times New Roman" w:hAnsi="Times New Roman" w:cs="Times New Roman"/>
          <w:sz w:val="24"/>
          <w:szCs w:val="24"/>
          <w:lang w:val="en-US"/>
        </w:rPr>
        <w:t xml:space="preserve"> 2016</w:t>
      </w:r>
      <w:bookmarkEnd w:id="2"/>
      <w:r w:rsidRPr="002D1EAF">
        <w:rPr>
          <w:rFonts w:ascii="Times New Roman" w:hAnsi="Times New Roman" w:cs="Times New Roman"/>
          <w:sz w:val="24"/>
          <w:szCs w:val="24"/>
          <w:lang w:val="en-US"/>
        </w:rPr>
        <w:t>). These conceptualize access as relating to consumers’ ability or willingness to enter a healthcare system (</w:t>
      </w:r>
      <w:bookmarkStart w:id="3" w:name="_Hlk137037750"/>
      <w:proofErr w:type="spellStart"/>
      <w:r w:rsidRPr="002D1EAF">
        <w:rPr>
          <w:rFonts w:ascii="Times New Roman" w:hAnsi="Times New Roman" w:cs="Times New Roman"/>
          <w:sz w:val="24"/>
          <w:szCs w:val="24"/>
          <w:lang w:val="en-US"/>
        </w:rPr>
        <w:t>Penchansky</w:t>
      </w:r>
      <w:proofErr w:type="spellEnd"/>
      <w:r w:rsidRPr="002D1EAF">
        <w:rPr>
          <w:rFonts w:ascii="Times New Roman" w:hAnsi="Times New Roman" w:cs="Times New Roman"/>
          <w:sz w:val="24"/>
          <w:szCs w:val="24"/>
          <w:lang w:val="en-US"/>
        </w:rPr>
        <w:t xml:space="preserve"> and Thomas 1981</w:t>
      </w:r>
      <w:bookmarkEnd w:id="3"/>
      <w:r w:rsidRPr="002D1EAF">
        <w:rPr>
          <w:rFonts w:ascii="Times New Roman" w:hAnsi="Times New Roman" w:cs="Times New Roman"/>
          <w:sz w:val="24"/>
          <w:szCs w:val="24"/>
          <w:lang w:val="en-US"/>
        </w:rPr>
        <w:t>) dependent upon properties of the system (availability of clinical appointments) and/or the individual (ability to afford).</w:t>
      </w:r>
    </w:p>
    <w:p w14:paraId="5584AC46" w14:textId="6A749260" w:rsidR="0067673F" w:rsidRPr="002D1EAF" w:rsidRDefault="002B545E" w:rsidP="002B545E">
      <w:pPr>
        <w:spacing w:after="0" w:line="240" w:lineRule="auto"/>
        <w:rPr>
          <w:rFonts w:ascii="Times New Roman" w:hAnsi="Times New Roman" w:cs="Times New Roman"/>
          <w:sz w:val="24"/>
          <w:szCs w:val="24"/>
          <w:lang w:val="en-US"/>
        </w:rPr>
      </w:pPr>
      <w:r w:rsidRPr="002D1EAF">
        <w:rPr>
          <w:rFonts w:ascii="Times New Roman" w:hAnsi="Times New Roman" w:cs="Times New Roman"/>
          <w:sz w:val="24"/>
          <w:szCs w:val="24"/>
          <w:lang w:val="en-US"/>
        </w:rPr>
        <w:t xml:space="preserve">     </w:t>
      </w:r>
      <w:r w:rsidR="0067673F" w:rsidRPr="002D1EAF">
        <w:rPr>
          <w:rFonts w:ascii="Times New Roman" w:hAnsi="Times New Roman" w:cs="Times New Roman"/>
          <w:sz w:val="24"/>
          <w:szCs w:val="24"/>
          <w:lang w:val="en-US"/>
        </w:rPr>
        <w:t xml:space="preserve">We argue that continuing to accept this view confines our appreciation of what access </w:t>
      </w:r>
    </w:p>
    <w:p w14:paraId="5AFF7A2C" w14:textId="5D44AF5C" w:rsidR="0067673F" w:rsidRPr="002D1EAF" w:rsidRDefault="0067673F" w:rsidP="0067673F">
      <w:pPr>
        <w:spacing w:after="0" w:line="240" w:lineRule="auto"/>
        <w:rPr>
          <w:rFonts w:ascii="Times New Roman" w:hAnsi="Times New Roman" w:cs="Times New Roman"/>
          <w:sz w:val="24"/>
          <w:szCs w:val="24"/>
          <w:lang w:val="en-US"/>
        </w:rPr>
      </w:pPr>
      <w:r w:rsidRPr="002D1EAF">
        <w:rPr>
          <w:rFonts w:ascii="Times New Roman" w:hAnsi="Times New Roman" w:cs="Times New Roman"/>
          <w:sz w:val="24"/>
          <w:szCs w:val="24"/>
          <w:lang w:val="en-US"/>
        </w:rPr>
        <w:t xml:space="preserve">involves and restricts our understanding of what is required from marketing to tackle barriers currently hindering the realization of health benefits for many consumers. Drawing on </w:t>
      </w:r>
      <w:bookmarkStart w:id="4" w:name="_Hlk137037769"/>
      <w:proofErr w:type="spellStart"/>
      <w:r w:rsidRPr="002D1EAF">
        <w:rPr>
          <w:rFonts w:ascii="Times New Roman" w:hAnsi="Times New Roman" w:cs="Times New Roman"/>
          <w:sz w:val="24"/>
          <w:szCs w:val="24"/>
          <w:lang w:val="en-US"/>
        </w:rPr>
        <w:t>Ribot</w:t>
      </w:r>
      <w:proofErr w:type="spellEnd"/>
      <w:r w:rsidRPr="002D1EAF">
        <w:rPr>
          <w:rFonts w:ascii="Times New Roman" w:hAnsi="Times New Roman" w:cs="Times New Roman"/>
          <w:sz w:val="24"/>
          <w:szCs w:val="24"/>
          <w:lang w:val="en-US"/>
        </w:rPr>
        <w:t xml:space="preserve"> and Peluso’s (2003)</w:t>
      </w:r>
      <w:bookmarkEnd w:id="4"/>
      <w:r w:rsidRPr="002D1EAF">
        <w:rPr>
          <w:rFonts w:ascii="Times New Roman" w:hAnsi="Times New Roman" w:cs="Times New Roman"/>
          <w:sz w:val="24"/>
          <w:szCs w:val="24"/>
          <w:lang w:val="en-US"/>
        </w:rPr>
        <w:t xml:space="preserve"> </w:t>
      </w:r>
      <w:r w:rsidR="007A6437" w:rsidRPr="002D1EAF">
        <w:rPr>
          <w:rFonts w:ascii="Times New Roman" w:hAnsi="Times New Roman" w:cs="Times New Roman"/>
          <w:sz w:val="24"/>
          <w:szCs w:val="24"/>
          <w:lang w:val="en-US"/>
        </w:rPr>
        <w:t>theory of access for property and natural resource</w:t>
      </w:r>
      <w:r w:rsidR="002B545E" w:rsidRPr="002D1EAF">
        <w:rPr>
          <w:rFonts w:ascii="Times New Roman" w:hAnsi="Times New Roman" w:cs="Times New Roman"/>
          <w:sz w:val="24"/>
          <w:szCs w:val="24"/>
          <w:lang w:val="en-US"/>
        </w:rPr>
        <w:t>s</w:t>
      </w:r>
      <w:r w:rsidR="007A6437" w:rsidRPr="002D1EAF">
        <w:rPr>
          <w:rFonts w:ascii="Times New Roman" w:hAnsi="Times New Roman" w:cs="Times New Roman"/>
          <w:sz w:val="24"/>
          <w:szCs w:val="24"/>
          <w:lang w:val="en-US"/>
        </w:rPr>
        <w:t xml:space="preserve">, </w:t>
      </w:r>
      <w:r w:rsidRPr="002D1EAF">
        <w:rPr>
          <w:rFonts w:ascii="Times New Roman" w:hAnsi="Times New Roman" w:cs="Times New Roman"/>
          <w:sz w:val="24"/>
          <w:szCs w:val="24"/>
          <w:lang w:val="en-US"/>
        </w:rPr>
        <w:t xml:space="preserve">we proffer an alternative conceptualization of healthcare access which identifies individual and systemic barriers and broadens our understanding of what access means. </w:t>
      </w:r>
      <w:r w:rsidR="008D45B6" w:rsidRPr="002D1EAF">
        <w:rPr>
          <w:rFonts w:ascii="Times New Roman" w:hAnsi="Times New Roman" w:cs="Times New Roman"/>
          <w:sz w:val="24"/>
          <w:szCs w:val="24"/>
          <w:lang w:val="en-US"/>
        </w:rPr>
        <w:t xml:space="preserve">Consequently, </w:t>
      </w:r>
      <w:r w:rsidRPr="002D1EAF">
        <w:rPr>
          <w:rFonts w:ascii="Times New Roman" w:hAnsi="Times New Roman" w:cs="Times New Roman"/>
          <w:sz w:val="24"/>
          <w:szCs w:val="24"/>
          <w:lang w:val="en-US"/>
        </w:rPr>
        <w:t xml:space="preserve">we reconceptualize healthcare access as </w:t>
      </w:r>
      <w:r w:rsidRPr="002D1EAF">
        <w:rPr>
          <w:rFonts w:ascii="Times New Roman" w:hAnsi="Times New Roman" w:cs="Times New Roman"/>
          <w:i/>
          <w:sz w:val="24"/>
          <w:szCs w:val="24"/>
          <w:lang w:val="en-US"/>
        </w:rPr>
        <w:t xml:space="preserve">the ability to realize value. </w:t>
      </w:r>
      <w:r w:rsidRPr="002D1EAF">
        <w:rPr>
          <w:rFonts w:ascii="Times New Roman" w:hAnsi="Times New Roman" w:cs="Times New Roman"/>
          <w:sz w:val="24"/>
          <w:szCs w:val="24"/>
          <w:lang w:val="en-US"/>
        </w:rPr>
        <w:t>This reconceptualization expands our attention from solely gaining entry to a focus on how, even when a consumer gains admission to a healthcare system, myriad barriers to gaining value still exist.</w:t>
      </w:r>
    </w:p>
    <w:p w14:paraId="52925651" w14:textId="77777777" w:rsidR="00237BDD" w:rsidRPr="002D1EAF" w:rsidRDefault="002B545E" w:rsidP="00237BDD">
      <w:pPr>
        <w:spacing w:after="0" w:line="240" w:lineRule="auto"/>
        <w:rPr>
          <w:rFonts w:ascii="Times New Roman" w:hAnsi="Times New Roman" w:cs="Times New Roman"/>
          <w:sz w:val="24"/>
          <w:szCs w:val="24"/>
          <w:lang w:val="en-US"/>
        </w:rPr>
      </w:pPr>
      <w:r w:rsidRPr="002D1EAF">
        <w:rPr>
          <w:rFonts w:ascii="Times New Roman" w:hAnsi="Times New Roman" w:cs="Times New Roman"/>
          <w:sz w:val="24"/>
          <w:szCs w:val="24"/>
          <w:lang w:val="en-US"/>
        </w:rPr>
        <w:t xml:space="preserve">     </w:t>
      </w:r>
      <w:r w:rsidR="00AA388E" w:rsidRPr="002D1EAF">
        <w:rPr>
          <w:rFonts w:ascii="Times New Roman" w:hAnsi="Times New Roman" w:cs="Times New Roman"/>
          <w:sz w:val="24"/>
          <w:szCs w:val="24"/>
          <w:lang w:val="en-US"/>
        </w:rPr>
        <w:t>We build our new healthcare access framework in hospice and end of life care (EOLC)</w:t>
      </w:r>
      <w:r w:rsidR="00896C2F" w:rsidRPr="002D1EAF">
        <w:rPr>
          <w:rFonts w:ascii="Times New Roman" w:hAnsi="Times New Roman" w:cs="Times New Roman"/>
          <w:sz w:val="24"/>
          <w:szCs w:val="24"/>
          <w:lang w:val="en-US"/>
        </w:rPr>
        <w:t xml:space="preserve">. </w:t>
      </w:r>
      <w:r w:rsidRPr="002D1EAF">
        <w:rPr>
          <w:rFonts w:ascii="Times New Roman" w:hAnsi="Times New Roman" w:cs="Times New Roman"/>
          <w:sz w:val="24"/>
          <w:szCs w:val="24"/>
          <w:lang w:val="en-US"/>
        </w:rPr>
        <w:t xml:space="preserve">We collected data </w:t>
      </w:r>
      <w:r w:rsidR="00FB478E" w:rsidRPr="002D1EAF">
        <w:rPr>
          <w:rFonts w:ascii="Times New Roman" w:hAnsi="Times New Roman" w:cs="Times New Roman"/>
          <w:sz w:val="24"/>
          <w:szCs w:val="24"/>
          <w:lang w:val="en-US"/>
        </w:rPr>
        <w:t>from 245 consumers who were receiving care from 9 different EOLC units</w:t>
      </w:r>
      <w:r w:rsidR="00896C2F" w:rsidRPr="002D1EAF">
        <w:rPr>
          <w:rFonts w:ascii="Times New Roman" w:hAnsi="Times New Roman" w:cs="Times New Roman"/>
          <w:sz w:val="24"/>
          <w:szCs w:val="24"/>
          <w:lang w:val="en-US"/>
        </w:rPr>
        <w:t>. W</w:t>
      </w:r>
      <w:r w:rsidR="00FB478E" w:rsidRPr="002D1EAF">
        <w:rPr>
          <w:rFonts w:ascii="Times New Roman" w:hAnsi="Times New Roman" w:cs="Times New Roman"/>
          <w:sz w:val="24"/>
          <w:szCs w:val="24"/>
          <w:lang w:val="en-US"/>
        </w:rPr>
        <w:t xml:space="preserve">e </w:t>
      </w:r>
      <w:r w:rsidR="00896C2F" w:rsidRPr="002D1EAF">
        <w:rPr>
          <w:rFonts w:ascii="Times New Roman" w:hAnsi="Times New Roman" w:cs="Times New Roman"/>
          <w:sz w:val="24"/>
          <w:szCs w:val="24"/>
          <w:lang w:val="en-US"/>
        </w:rPr>
        <w:t xml:space="preserve">used pathographies, which </w:t>
      </w:r>
      <w:r w:rsidR="00FB478E" w:rsidRPr="002D1EAF">
        <w:rPr>
          <w:rFonts w:ascii="Times New Roman" w:hAnsi="Times New Roman" w:cs="Times New Roman"/>
          <w:sz w:val="24"/>
          <w:szCs w:val="24"/>
          <w:lang w:val="en-US"/>
        </w:rPr>
        <w:t>are stories of illness experiences; experiential narratives that put the patient at the center (</w:t>
      </w:r>
      <w:bookmarkStart w:id="5" w:name="_Hlk137037793"/>
      <w:r w:rsidR="00FB478E" w:rsidRPr="002D1EAF">
        <w:rPr>
          <w:rFonts w:ascii="Times New Roman" w:hAnsi="Times New Roman" w:cs="Times New Roman"/>
          <w:sz w:val="24"/>
          <w:szCs w:val="24"/>
          <w:lang w:val="en-US"/>
        </w:rPr>
        <w:t>Hunsaker Hawkins, 1999</w:t>
      </w:r>
      <w:bookmarkEnd w:id="5"/>
      <w:r w:rsidR="00FB478E" w:rsidRPr="002D1EAF">
        <w:rPr>
          <w:rFonts w:ascii="Times New Roman" w:hAnsi="Times New Roman" w:cs="Times New Roman"/>
          <w:sz w:val="24"/>
          <w:szCs w:val="24"/>
          <w:lang w:val="en-US"/>
        </w:rPr>
        <w:t xml:space="preserve">). Pathographies were audio recorded and then transcribed verbatim. Taking our new definition of access as ‘ability to derive value’ as our starting point, we manually thematized the data utilizing the procedures suggested by </w:t>
      </w:r>
      <w:bookmarkStart w:id="6" w:name="_Hlk137037818"/>
      <w:proofErr w:type="spellStart"/>
      <w:r w:rsidR="00FB478E" w:rsidRPr="002D1EAF">
        <w:rPr>
          <w:rFonts w:ascii="Times New Roman" w:hAnsi="Times New Roman" w:cs="Times New Roman"/>
          <w:sz w:val="24"/>
          <w:szCs w:val="24"/>
          <w:lang w:val="en-US"/>
        </w:rPr>
        <w:t>Spiggle</w:t>
      </w:r>
      <w:proofErr w:type="spellEnd"/>
      <w:r w:rsidR="00FB478E" w:rsidRPr="002D1EAF">
        <w:rPr>
          <w:rFonts w:ascii="Times New Roman" w:hAnsi="Times New Roman" w:cs="Times New Roman"/>
          <w:sz w:val="24"/>
          <w:szCs w:val="24"/>
          <w:lang w:val="en-US"/>
        </w:rPr>
        <w:t xml:space="preserve"> (1994)</w:t>
      </w:r>
      <w:bookmarkEnd w:id="6"/>
      <w:r w:rsidR="00FB478E" w:rsidRPr="002D1EAF">
        <w:rPr>
          <w:rFonts w:ascii="Times New Roman" w:hAnsi="Times New Roman" w:cs="Times New Roman"/>
          <w:sz w:val="24"/>
          <w:szCs w:val="24"/>
          <w:lang w:val="en-US"/>
        </w:rPr>
        <w:t>, and for this paper we searched for themes that constricted people’s ability to realize value.</w:t>
      </w:r>
    </w:p>
    <w:p w14:paraId="09B09DAF" w14:textId="03E6B894" w:rsidR="00C07A01" w:rsidRPr="002D1EAF" w:rsidRDefault="00237BDD" w:rsidP="00873766">
      <w:pPr>
        <w:spacing w:after="0" w:line="240" w:lineRule="auto"/>
        <w:rPr>
          <w:rFonts w:ascii="Times New Roman" w:hAnsi="Times New Roman" w:cs="Times New Roman"/>
          <w:sz w:val="24"/>
          <w:szCs w:val="24"/>
          <w:lang w:val="en-US"/>
        </w:rPr>
      </w:pPr>
      <w:r w:rsidRPr="002D1EAF">
        <w:rPr>
          <w:rFonts w:ascii="Times New Roman" w:hAnsi="Times New Roman" w:cs="Times New Roman"/>
          <w:sz w:val="24"/>
          <w:szCs w:val="24"/>
          <w:lang w:val="en-US"/>
        </w:rPr>
        <w:t xml:space="preserve">     </w:t>
      </w:r>
      <w:r w:rsidR="00A22D40" w:rsidRPr="002D1EAF">
        <w:rPr>
          <w:rFonts w:ascii="Times New Roman" w:hAnsi="Times New Roman" w:cs="Times New Roman"/>
          <w:sz w:val="24"/>
          <w:szCs w:val="24"/>
        </w:rPr>
        <w:t>Numerous and varied factors hampering value realization emerged. We classified these into three interrelated sets of contrivances</w:t>
      </w:r>
      <w:r w:rsidR="007F7858" w:rsidRPr="002D1EAF">
        <w:rPr>
          <w:rFonts w:ascii="Times New Roman" w:hAnsi="Times New Roman" w:cs="Times New Roman"/>
          <w:sz w:val="24"/>
          <w:szCs w:val="24"/>
        </w:rPr>
        <w:t xml:space="preserve">: </w:t>
      </w:r>
      <w:r w:rsidR="00A22D40" w:rsidRPr="002D1EAF">
        <w:rPr>
          <w:rFonts w:ascii="Times New Roman" w:hAnsi="Times New Roman" w:cs="Times New Roman"/>
          <w:sz w:val="24"/>
          <w:szCs w:val="24"/>
        </w:rPr>
        <w:t xml:space="preserve">value communications, value constellation, and value density. </w:t>
      </w:r>
      <w:r w:rsidR="00A22D40" w:rsidRPr="002D1EAF">
        <w:rPr>
          <w:rFonts w:ascii="Times New Roman" w:hAnsi="Times New Roman" w:cs="Times New Roman"/>
          <w:bCs/>
          <w:i/>
          <w:iCs/>
          <w:sz w:val="24"/>
          <w:szCs w:val="24"/>
        </w:rPr>
        <w:t>Value communications</w:t>
      </w:r>
      <w:r w:rsidR="007F7858" w:rsidRPr="002D1EAF">
        <w:rPr>
          <w:rFonts w:ascii="Times New Roman" w:hAnsi="Times New Roman" w:cs="Times New Roman"/>
          <w:b/>
          <w:sz w:val="24"/>
          <w:szCs w:val="24"/>
        </w:rPr>
        <w:t xml:space="preserve"> </w:t>
      </w:r>
      <w:r w:rsidR="007F7858" w:rsidRPr="002D1EAF">
        <w:rPr>
          <w:rFonts w:ascii="Times New Roman" w:hAnsi="Times New Roman" w:cs="Times New Roman"/>
          <w:sz w:val="24"/>
          <w:szCs w:val="24"/>
        </w:rPr>
        <w:t xml:space="preserve">pertains to the value-related dialogue and understanding of the benefits of the healthcare service. </w:t>
      </w:r>
      <w:r w:rsidR="00A22D40" w:rsidRPr="002D1EAF">
        <w:rPr>
          <w:rFonts w:ascii="Times New Roman" w:hAnsi="Times New Roman" w:cs="Times New Roman"/>
          <w:sz w:val="24"/>
          <w:szCs w:val="24"/>
        </w:rPr>
        <w:t xml:space="preserve">We identified </w:t>
      </w:r>
      <w:r w:rsidRPr="002D1EAF">
        <w:rPr>
          <w:rFonts w:ascii="Times New Roman" w:hAnsi="Times New Roman" w:cs="Times New Roman"/>
          <w:sz w:val="24"/>
          <w:szCs w:val="24"/>
        </w:rPr>
        <w:t>several</w:t>
      </w:r>
      <w:r w:rsidR="00873766" w:rsidRPr="002D1EAF">
        <w:rPr>
          <w:rFonts w:ascii="Times New Roman" w:hAnsi="Times New Roman" w:cs="Times New Roman"/>
          <w:sz w:val="24"/>
          <w:szCs w:val="24"/>
        </w:rPr>
        <w:t xml:space="preserve"> </w:t>
      </w:r>
      <w:r w:rsidR="00A22D40" w:rsidRPr="002D1EAF">
        <w:rPr>
          <w:rFonts w:ascii="Times New Roman" w:hAnsi="Times New Roman" w:cs="Times New Roman"/>
          <w:sz w:val="24"/>
          <w:szCs w:val="24"/>
        </w:rPr>
        <w:t>communications barriers. Myths surrounding hospice and death taboos (</w:t>
      </w:r>
      <w:bookmarkStart w:id="7" w:name="_Hlk137037895"/>
      <w:r w:rsidR="00A22D40" w:rsidRPr="002D1EAF">
        <w:rPr>
          <w:rFonts w:ascii="Times New Roman" w:hAnsi="Times New Roman" w:cs="Times New Roman"/>
          <w:sz w:val="24"/>
          <w:szCs w:val="24"/>
        </w:rPr>
        <w:t>EIU 2015</w:t>
      </w:r>
      <w:bookmarkEnd w:id="7"/>
      <w:r w:rsidR="00A22D40" w:rsidRPr="002D1EAF">
        <w:rPr>
          <w:rFonts w:ascii="Times New Roman" w:hAnsi="Times New Roman" w:cs="Times New Roman"/>
          <w:sz w:val="24"/>
          <w:szCs w:val="24"/>
        </w:rPr>
        <w:t xml:space="preserve">) abounded. Current communication channels were ineffective in breaking down these barriers, while gatekeepers often hindered consumer’s access attempts. </w:t>
      </w:r>
      <w:r w:rsidR="00A22D40" w:rsidRPr="002D1EAF">
        <w:rPr>
          <w:rFonts w:ascii="Times New Roman" w:hAnsi="Times New Roman" w:cs="Times New Roman"/>
          <w:bCs/>
          <w:i/>
          <w:iCs/>
          <w:sz w:val="24"/>
          <w:szCs w:val="24"/>
        </w:rPr>
        <w:t>Value constellation</w:t>
      </w:r>
      <w:r w:rsidR="007F7858" w:rsidRPr="002D1EAF">
        <w:rPr>
          <w:rFonts w:ascii="Times New Roman" w:hAnsi="Times New Roman" w:cs="Times New Roman"/>
          <w:b/>
          <w:sz w:val="24"/>
          <w:szCs w:val="24"/>
        </w:rPr>
        <w:t xml:space="preserve"> </w:t>
      </w:r>
      <w:r w:rsidR="007F7858" w:rsidRPr="002D1EAF">
        <w:rPr>
          <w:rFonts w:ascii="Times New Roman" w:hAnsi="Times New Roman" w:cs="Times New Roman"/>
          <w:sz w:val="24"/>
          <w:szCs w:val="24"/>
        </w:rPr>
        <w:t xml:space="preserve">incorporates the complex service system that consumers need to navigate. </w:t>
      </w:r>
      <w:r w:rsidR="00A22D40" w:rsidRPr="002D1EAF">
        <w:rPr>
          <w:rFonts w:ascii="Times New Roman" w:hAnsi="Times New Roman" w:cs="Times New Roman"/>
          <w:sz w:val="24"/>
          <w:szCs w:val="24"/>
        </w:rPr>
        <w:t>Collaboration within the value constellation was highly problematic</w:t>
      </w:r>
      <w:r w:rsidR="002B25F7" w:rsidRPr="002D1EAF">
        <w:rPr>
          <w:rFonts w:ascii="Times New Roman" w:hAnsi="Times New Roman" w:cs="Times New Roman"/>
          <w:sz w:val="24"/>
          <w:szCs w:val="24"/>
        </w:rPr>
        <w:t>.</w:t>
      </w:r>
      <w:r w:rsidR="00A22D40" w:rsidRPr="002D1EAF">
        <w:rPr>
          <w:rFonts w:ascii="Times New Roman" w:hAnsi="Times New Roman" w:cs="Times New Roman"/>
          <w:sz w:val="24"/>
          <w:szCs w:val="24"/>
        </w:rPr>
        <w:t xml:space="preserve"> </w:t>
      </w:r>
      <w:r w:rsidR="002B25F7" w:rsidRPr="002D1EAF">
        <w:rPr>
          <w:rFonts w:ascii="Times New Roman" w:hAnsi="Times New Roman" w:cs="Times New Roman"/>
          <w:sz w:val="24"/>
          <w:szCs w:val="24"/>
        </w:rPr>
        <w:t>I</w:t>
      </w:r>
      <w:r w:rsidR="00A22D40" w:rsidRPr="002D1EAF">
        <w:rPr>
          <w:rFonts w:ascii="Times New Roman" w:hAnsi="Times New Roman" w:cs="Times New Roman"/>
          <w:sz w:val="24"/>
          <w:szCs w:val="24"/>
        </w:rPr>
        <w:t>nstitutional arrangements between parts of the system le</w:t>
      </w:r>
      <w:r w:rsidR="002B25F7" w:rsidRPr="002D1EAF">
        <w:rPr>
          <w:rFonts w:ascii="Times New Roman" w:hAnsi="Times New Roman" w:cs="Times New Roman"/>
          <w:sz w:val="24"/>
          <w:szCs w:val="24"/>
        </w:rPr>
        <w:t>d</w:t>
      </w:r>
      <w:r w:rsidR="00A22D40" w:rsidRPr="002D1EAF">
        <w:rPr>
          <w:rFonts w:ascii="Times New Roman" w:hAnsi="Times New Roman" w:cs="Times New Roman"/>
          <w:sz w:val="24"/>
          <w:szCs w:val="24"/>
        </w:rPr>
        <w:t xml:space="preserve"> to perceptions among consumers of a disjointed service. </w:t>
      </w:r>
      <w:r w:rsidR="002B545E" w:rsidRPr="002D1EAF">
        <w:rPr>
          <w:rFonts w:ascii="Times New Roman" w:hAnsi="Times New Roman" w:cs="Times New Roman"/>
          <w:sz w:val="24"/>
          <w:szCs w:val="24"/>
        </w:rPr>
        <w:t>As a result, c</w:t>
      </w:r>
      <w:r w:rsidR="002B25F7" w:rsidRPr="002D1EAF">
        <w:rPr>
          <w:rFonts w:ascii="Times New Roman" w:hAnsi="Times New Roman" w:cs="Times New Roman"/>
          <w:sz w:val="24"/>
          <w:szCs w:val="24"/>
        </w:rPr>
        <w:t xml:space="preserve">onsumers were </w:t>
      </w:r>
      <w:r w:rsidR="002B545E" w:rsidRPr="002D1EAF">
        <w:rPr>
          <w:rFonts w:ascii="Times New Roman" w:hAnsi="Times New Roman" w:cs="Times New Roman"/>
          <w:sz w:val="24"/>
          <w:szCs w:val="24"/>
        </w:rPr>
        <w:t>confused,</w:t>
      </w:r>
      <w:r w:rsidR="002B25F7" w:rsidRPr="002D1EAF">
        <w:rPr>
          <w:rFonts w:ascii="Times New Roman" w:hAnsi="Times New Roman" w:cs="Times New Roman"/>
          <w:sz w:val="24"/>
          <w:szCs w:val="24"/>
        </w:rPr>
        <w:t xml:space="preserve"> and access was delayed.</w:t>
      </w:r>
      <w:r w:rsidR="002B545E" w:rsidRPr="002D1EAF">
        <w:rPr>
          <w:rFonts w:ascii="Times New Roman" w:hAnsi="Times New Roman" w:cs="Times New Roman"/>
          <w:sz w:val="24"/>
          <w:szCs w:val="24"/>
        </w:rPr>
        <w:t xml:space="preserve"> </w:t>
      </w:r>
      <w:r w:rsidR="00A22D40" w:rsidRPr="002D1EAF">
        <w:rPr>
          <w:rFonts w:ascii="Times New Roman" w:hAnsi="Times New Roman" w:cs="Times New Roman"/>
          <w:bCs/>
          <w:i/>
          <w:iCs/>
          <w:sz w:val="24"/>
          <w:szCs w:val="24"/>
        </w:rPr>
        <w:t>Value density</w:t>
      </w:r>
      <w:r w:rsidR="007F7858" w:rsidRPr="002D1EAF">
        <w:rPr>
          <w:rFonts w:ascii="Times New Roman" w:hAnsi="Times New Roman" w:cs="Times New Roman"/>
          <w:sz w:val="24"/>
          <w:szCs w:val="24"/>
        </w:rPr>
        <w:t xml:space="preserve"> refers to the consumer’s resources that, when leveraged, can aid value realization.</w:t>
      </w:r>
      <w:r w:rsidR="001E7B9F" w:rsidRPr="002D1EAF">
        <w:rPr>
          <w:rFonts w:ascii="Times New Roman" w:hAnsi="Times New Roman" w:cs="Times New Roman"/>
          <w:sz w:val="24"/>
          <w:szCs w:val="24"/>
        </w:rPr>
        <w:t xml:space="preserve"> W</w:t>
      </w:r>
      <w:r w:rsidR="00A22D40" w:rsidRPr="002D1EAF">
        <w:rPr>
          <w:rFonts w:ascii="Times New Roman" w:hAnsi="Times New Roman" w:cs="Times New Roman"/>
          <w:sz w:val="24"/>
          <w:szCs w:val="24"/>
        </w:rPr>
        <w:t>e identified an absence of priming and subsequent confusion after diagnosis, all of which contributed to a lack of agency for patients and their families. Differing levels of health literacy made many encounters difficult</w:t>
      </w:r>
      <w:r w:rsidR="002B25F7" w:rsidRPr="002D1EAF">
        <w:rPr>
          <w:rFonts w:ascii="Times New Roman" w:hAnsi="Times New Roman" w:cs="Times New Roman"/>
          <w:sz w:val="24"/>
          <w:szCs w:val="24"/>
        </w:rPr>
        <w:t xml:space="preserve">, and </w:t>
      </w:r>
      <w:r w:rsidR="00A22D40" w:rsidRPr="002D1EAF">
        <w:rPr>
          <w:rFonts w:ascii="Times New Roman" w:hAnsi="Times New Roman" w:cs="Times New Roman"/>
          <w:sz w:val="24"/>
          <w:szCs w:val="24"/>
        </w:rPr>
        <w:t xml:space="preserve">we identified a great deal of power imbalance between clinician and patient, perpetuating feelings of </w:t>
      </w:r>
      <w:r w:rsidR="00A22D40" w:rsidRPr="002D1EAF">
        <w:rPr>
          <w:rFonts w:ascii="Times New Roman" w:hAnsi="Times New Roman" w:cs="Times New Roman"/>
          <w:sz w:val="24"/>
          <w:szCs w:val="24"/>
        </w:rPr>
        <w:lastRenderedPageBreak/>
        <w:t xml:space="preserve">helplessness among consumers. For some, such experiences led to a lack of faith in healthcare systems. </w:t>
      </w:r>
    </w:p>
    <w:p w14:paraId="720421AC" w14:textId="77777777" w:rsidR="00873766" w:rsidRPr="002D1EAF" w:rsidRDefault="00873766" w:rsidP="00873766">
      <w:pPr>
        <w:spacing w:after="0" w:line="240" w:lineRule="auto"/>
        <w:rPr>
          <w:rFonts w:ascii="Times New Roman" w:hAnsi="Times New Roman" w:cs="Times New Roman"/>
          <w:sz w:val="24"/>
          <w:szCs w:val="24"/>
        </w:rPr>
      </w:pPr>
      <w:r w:rsidRPr="002D1EAF">
        <w:rPr>
          <w:rFonts w:ascii="Times New Roman" w:hAnsi="Times New Roman" w:cs="Times New Roman"/>
          <w:sz w:val="24"/>
          <w:szCs w:val="24"/>
        </w:rPr>
        <w:t xml:space="preserve">     </w:t>
      </w:r>
      <w:r w:rsidR="00F80AF1" w:rsidRPr="002D1EAF">
        <w:rPr>
          <w:rFonts w:ascii="Times New Roman" w:hAnsi="Times New Roman" w:cs="Times New Roman"/>
          <w:sz w:val="24"/>
          <w:szCs w:val="24"/>
        </w:rPr>
        <w:t>Long recognized as an aspect of healthcare that has myriad barriers to access (</w:t>
      </w:r>
      <w:bookmarkStart w:id="8" w:name="_Hlk137037909"/>
      <w:r w:rsidR="00F80AF1" w:rsidRPr="002D1EAF">
        <w:rPr>
          <w:rFonts w:ascii="Times New Roman" w:hAnsi="Times New Roman" w:cs="Times New Roman"/>
          <w:sz w:val="24"/>
          <w:szCs w:val="24"/>
        </w:rPr>
        <w:t>Parajuli et al. 2020)</w:t>
      </w:r>
      <w:bookmarkEnd w:id="8"/>
      <w:r w:rsidR="00F80AF1" w:rsidRPr="002D1EAF">
        <w:rPr>
          <w:rFonts w:ascii="Times New Roman" w:hAnsi="Times New Roman" w:cs="Times New Roman"/>
          <w:sz w:val="24"/>
          <w:szCs w:val="24"/>
        </w:rPr>
        <w:t xml:space="preserve">, </w:t>
      </w:r>
      <w:r w:rsidR="00200DD0" w:rsidRPr="002D1EAF">
        <w:rPr>
          <w:rFonts w:ascii="Times New Roman" w:hAnsi="Times New Roman" w:cs="Times New Roman"/>
          <w:sz w:val="24"/>
          <w:szCs w:val="24"/>
        </w:rPr>
        <w:t xml:space="preserve">even those </w:t>
      </w:r>
      <w:r w:rsidR="00F80AF1" w:rsidRPr="002D1EAF">
        <w:rPr>
          <w:rFonts w:ascii="Times New Roman" w:hAnsi="Times New Roman" w:cs="Times New Roman"/>
          <w:sz w:val="24"/>
          <w:szCs w:val="24"/>
        </w:rPr>
        <w:t>who had managed to gain entry to EOLC services had endured delays, frustrations, and obstructions at every stage. We heard from bereaved families how, for some, entry to the system had come too late. Yet, from a policy perspective, they had gained access because they had gone through the referral process. We therefore suggest there is a need to transform standard definitions of healthcare access.</w:t>
      </w:r>
    </w:p>
    <w:p w14:paraId="5C84B951" w14:textId="4C4F72CB" w:rsidR="00470659" w:rsidRDefault="00873766" w:rsidP="00873766">
      <w:pPr>
        <w:spacing w:after="0" w:line="240" w:lineRule="auto"/>
        <w:rPr>
          <w:rFonts w:ascii="Times New Roman" w:hAnsi="Times New Roman" w:cs="Times New Roman"/>
          <w:sz w:val="24"/>
          <w:szCs w:val="24"/>
        </w:rPr>
      </w:pPr>
      <w:r w:rsidRPr="002D1EAF">
        <w:rPr>
          <w:rFonts w:ascii="Times New Roman" w:hAnsi="Times New Roman" w:cs="Times New Roman"/>
          <w:sz w:val="24"/>
          <w:szCs w:val="24"/>
        </w:rPr>
        <w:t xml:space="preserve">     </w:t>
      </w:r>
      <w:r w:rsidR="00F80AF1" w:rsidRPr="002D1EAF">
        <w:rPr>
          <w:rFonts w:ascii="Times New Roman" w:hAnsi="Times New Roman" w:cs="Times New Roman"/>
          <w:sz w:val="24"/>
          <w:szCs w:val="24"/>
        </w:rPr>
        <w:t xml:space="preserve">Our </w:t>
      </w:r>
      <w:r w:rsidR="00200DD0" w:rsidRPr="002D1EAF">
        <w:rPr>
          <w:rFonts w:ascii="Times New Roman" w:hAnsi="Times New Roman" w:cs="Times New Roman"/>
          <w:sz w:val="24"/>
          <w:szCs w:val="24"/>
        </w:rPr>
        <w:t>r</w:t>
      </w:r>
      <w:r w:rsidR="00F80AF1" w:rsidRPr="002D1EAF">
        <w:rPr>
          <w:rFonts w:ascii="Times New Roman" w:hAnsi="Times New Roman" w:cs="Times New Roman"/>
          <w:sz w:val="24"/>
          <w:szCs w:val="24"/>
        </w:rPr>
        <w:t>econceptualiz</w:t>
      </w:r>
      <w:r w:rsidR="00200DD0" w:rsidRPr="002D1EAF">
        <w:rPr>
          <w:rFonts w:ascii="Times New Roman" w:hAnsi="Times New Roman" w:cs="Times New Roman"/>
          <w:sz w:val="24"/>
          <w:szCs w:val="24"/>
        </w:rPr>
        <w:t xml:space="preserve">ation </w:t>
      </w:r>
      <w:r w:rsidR="00F80AF1" w:rsidRPr="002D1EAF">
        <w:rPr>
          <w:rFonts w:ascii="Times New Roman" w:hAnsi="Times New Roman" w:cs="Times New Roman"/>
          <w:sz w:val="24"/>
          <w:szCs w:val="24"/>
        </w:rPr>
        <w:t>has several advantages over previous definitions. First, it overcomes conceptual and methodological limitations inherent in earlier definitions that confine our understanding to availability and utilization. These are inadequate because availability does not always equate to levels of need, while measures of utilization do not consider benefits (</w:t>
      </w:r>
      <w:bookmarkStart w:id="9" w:name="_Hlk137037925"/>
      <w:r w:rsidR="00F80AF1" w:rsidRPr="002D1EAF">
        <w:rPr>
          <w:rFonts w:ascii="Times New Roman" w:hAnsi="Times New Roman" w:cs="Times New Roman"/>
          <w:sz w:val="24"/>
          <w:szCs w:val="24"/>
        </w:rPr>
        <w:t>Allin et al. 2007</w:t>
      </w:r>
      <w:bookmarkEnd w:id="9"/>
      <w:r w:rsidR="00F80AF1" w:rsidRPr="002D1EAF">
        <w:rPr>
          <w:rFonts w:ascii="Times New Roman" w:hAnsi="Times New Roman" w:cs="Times New Roman"/>
          <w:sz w:val="24"/>
          <w:szCs w:val="24"/>
        </w:rPr>
        <w:t xml:space="preserve">). A focus on realized value includes availability and utilization, while extending our understanding of what healthcare access means. </w:t>
      </w:r>
      <w:r w:rsidR="00470659" w:rsidRPr="002D1EAF">
        <w:rPr>
          <w:rFonts w:ascii="Times New Roman" w:hAnsi="Times New Roman" w:cs="Times New Roman"/>
          <w:sz w:val="24"/>
          <w:szCs w:val="24"/>
        </w:rPr>
        <w:t xml:space="preserve">Hence, conceptualizing access from one of infrastructure and entry to one mediated by myriad and diverse contrivances that enable or hinder a person’s ability to derive value immediately shifts our thinking from organizational factors to a focus on the consumer. Healthcare has a long way to go before the paradigm of </w:t>
      </w:r>
      <w:r w:rsidR="00237BDD" w:rsidRPr="002D1EAF">
        <w:rPr>
          <w:rFonts w:ascii="Times New Roman" w:hAnsi="Times New Roman" w:cs="Times New Roman"/>
          <w:sz w:val="24"/>
          <w:szCs w:val="24"/>
        </w:rPr>
        <w:t>person-centred care</w:t>
      </w:r>
      <w:r w:rsidR="00470659" w:rsidRPr="002D1EAF">
        <w:rPr>
          <w:rFonts w:ascii="Times New Roman" w:hAnsi="Times New Roman" w:cs="Times New Roman"/>
          <w:sz w:val="24"/>
          <w:szCs w:val="24"/>
        </w:rPr>
        <w:t xml:space="preserve">, reflective of the transition from disease focused to individual patient need, </w:t>
      </w:r>
      <w:r w:rsidR="00237BDD" w:rsidRPr="002D1EAF">
        <w:rPr>
          <w:rFonts w:ascii="Times New Roman" w:hAnsi="Times New Roman" w:cs="Times New Roman"/>
          <w:sz w:val="24"/>
          <w:szCs w:val="24"/>
        </w:rPr>
        <w:t xml:space="preserve">is achieved. </w:t>
      </w:r>
      <w:r w:rsidR="00470659" w:rsidRPr="002D1EAF">
        <w:rPr>
          <w:rFonts w:ascii="Times New Roman" w:hAnsi="Times New Roman" w:cs="Times New Roman"/>
          <w:sz w:val="24"/>
          <w:szCs w:val="24"/>
        </w:rPr>
        <w:t>We suggest that a change to the way we define access to one that focuses on ability to derive value has the potential to be significant in helping to drive this profound philosophical shift.</w:t>
      </w:r>
    </w:p>
    <w:p w14:paraId="52193E90" w14:textId="77777777" w:rsidR="008172F5" w:rsidRDefault="008172F5" w:rsidP="00873766">
      <w:pPr>
        <w:spacing w:after="0" w:line="240" w:lineRule="auto"/>
        <w:rPr>
          <w:rFonts w:ascii="Times New Roman" w:hAnsi="Times New Roman" w:cs="Times New Roman"/>
          <w:sz w:val="24"/>
          <w:szCs w:val="24"/>
        </w:rPr>
      </w:pPr>
    </w:p>
    <w:p w14:paraId="7009F09C" w14:textId="77777777" w:rsidR="008172F5" w:rsidRDefault="008172F5" w:rsidP="00873766">
      <w:pPr>
        <w:spacing w:after="0" w:line="240" w:lineRule="auto"/>
        <w:rPr>
          <w:rFonts w:ascii="Times New Roman" w:hAnsi="Times New Roman" w:cs="Times New Roman"/>
          <w:sz w:val="24"/>
          <w:szCs w:val="24"/>
        </w:rPr>
      </w:pPr>
    </w:p>
    <w:p w14:paraId="693698EC" w14:textId="4AE50115" w:rsidR="00E4711A" w:rsidRPr="00E4711A" w:rsidRDefault="00E4711A" w:rsidP="00E4711A">
      <w:pPr>
        <w:spacing w:after="0" w:line="240" w:lineRule="auto"/>
        <w:jc w:val="center"/>
        <w:rPr>
          <w:rFonts w:ascii="Times New Roman" w:hAnsi="Times New Roman" w:cs="Times New Roman"/>
          <w:b/>
          <w:bCs/>
          <w:sz w:val="24"/>
          <w:szCs w:val="24"/>
        </w:rPr>
      </w:pPr>
      <w:r w:rsidRPr="00E4711A">
        <w:rPr>
          <w:rFonts w:ascii="Times New Roman" w:hAnsi="Times New Roman" w:cs="Times New Roman"/>
          <w:b/>
          <w:bCs/>
          <w:sz w:val="24"/>
          <w:szCs w:val="24"/>
        </w:rPr>
        <w:t>REFERENCES</w:t>
      </w:r>
    </w:p>
    <w:p w14:paraId="4BC4832A"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r w:rsidRPr="008172F5">
        <w:rPr>
          <w:rFonts w:ascii="Times New Roman" w:hAnsi="Times New Roman" w:cs="Times New Roman"/>
          <w:kern w:val="2"/>
          <w:sz w:val="24"/>
          <w:szCs w:val="24"/>
          <w14:ligatures w14:val="standardContextual"/>
        </w:rPr>
        <w:t xml:space="preserve">Allin, Sara, Cristina </w:t>
      </w:r>
      <w:proofErr w:type="spellStart"/>
      <w:r w:rsidRPr="008172F5">
        <w:rPr>
          <w:rFonts w:ascii="Times New Roman" w:hAnsi="Times New Roman" w:cs="Times New Roman"/>
          <w:kern w:val="2"/>
          <w:sz w:val="24"/>
          <w:szCs w:val="24"/>
          <w14:ligatures w14:val="standardContextual"/>
        </w:rPr>
        <w:t>Masseria</w:t>
      </w:r>
      <w:proofErr w:type="spellEnd"/>
      <w:r w:rsidRPr="008172F5">
        <w:rPr>
          <w:rFonts w:ascii="Times New Roman" w:hAnsi="Times New Roman" w:cs="Times New Roman"/>
          <w:kern w:val="2"/>
          <w:sz w:val="24"/>
          <w:szCs w:val="24"/>
          <w14:ligatures w14:val="standardContextual"/>
        </w:rPr>
        <w:t xml:space="preserve">, Corinna Sorenson, Irene </w:t>
      </w:r>
      <w:proofErr w:type="spellStart"/>
      <w:r w:rsidRPr="008172F5">
        <w:rPr>
          <w:rFonts w:ascii="Times New Roman" w:hAnsi="Times New Roman" w:cs="Times New Roman"/>
          <w:kern w:val="2"/>
          <w:sz w:val="24"/>
          <w:szCs w:val="24"/>
          <w14:ligatures w14:val="standardContextual"/>
        </w:rPr>
        <w:t>Papanicolas</w:t>
      </w:r>
      <w:proofErr w:type="spellEnd"/>
      <w:r w:rsidRPr="008172F5">
        <w:rPr>
          <w:rFonts w:ascii="Times New Roman" w:hAnsi="Times New Roman" w:cs="Times New Roman"/>
          <w:kern w:val="2"/>
          <w:sz w:val="24"/>
          <w:szCs w:val="24"/>
          <w14:ligatures w14:val="standardContextual"/>
        </w:rPr>
        <w:t xml:space="preserve">, and Elias </w:t>
      </w:r>
      <w:proofErr w:type="spellStart"/>
      <w:r w:rsidRPr="008172F5">
        <w:rPr>
          <w:rFonts w:ascii="Times New Roman" w:hAnsi="Times New Roman" w:cs="Times New Roman"/>
          <w:kern w:val="2"/>
          <w:sz w:val="24"/>
          <w:szCs w:val="24"/>
          <w14:ligatures w14:val="standardContextual"/>
        </w:rPr>
        <w:t>Mossialos</w:t>
      </w:r>
      <w:proofErr w:type="spellEnd"/>
      <w:r w:rsidRPr="008172F5">
        <w:rPr>
          <w:rFonts w:ascii="Times New Roman" w:hAnsi="Times New Roman" w:cs="Times New Roman"/>
          <w:kern w:val="2"/>
          <w:sz w:val="24"/>
          <w:szCs w:val="24"/>
          <w14:ligatures w14:val="standardContextual"/>
        </w:rPr>
        <w:t xml:space="preserve"> (2007), “</w:t>
      </w:r>
      <w:r w:rsidRPr="008172F5">
        <w:rPr>
          <w:rFonts w:ascii="Times New Roman" w:hAnsi="Times New Roman" w:cs="Times New Roman"/>
          <w:i/>
          <w:iCs/>
          <w:kern w:val="2"/>
          <w:sz w:val="24"/>
          <w:szCs w:val="24"/>
          <w14:ligatures w14:val="standardContextual"/>
        </w:rPr>
        <w:t>Measuring Inequalities in Access to Healthcare: A Review of the Indices</w:t>
      </w:r>
      <w:r w:rsidRPr="008172F5">
        <w:rPr>
          <w:rFonts w:ascii="Times New Roman" w:hAnsi="Times New Roman" w:cs="Times New Roman"/>
          <w:kern w:val="2"/>
          <w:sz w:val="24"/>
          <w:szCs w:val="24"/>
          <w14:ligatures w14:val="standardContextual"/>
        </w:rPr>
        <w:t xml:space="preserve">,” Belgium: European Commission. </w:t>
      </w:r>
    </w:p>
    <w:p w14:paraId="4CE8BD98"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r w:rsidRPr="008172F5">
        <w:rPr>
          <w:rFonts w:ascii="Times New Roman" w:hAnsi="Times New Roman" w:cs="Times New Roman"/>
          <w:kern w:val="2"/>
          <w:sz w:val="24"/>
          <w:szCs w:val="24"/>
          <w14:ligatures w14:val="standardContextual"/>
        </w:rPr>
        <w:t xml:space="preserve">Bradshaw, Jonathan, Karen Bloor, and Tim Doran (2018), </w:t>
      </w:r>
      <w:r w:rsidRPr="008172F5">
        <w:rPr>
          <w:rFonts w:ascii="Times New Roman" w:hAnsi="Times New Roman" w:cs="Times New Roman"/>
          <w:i/>
          <w:iCs/>
          <w:kern w:val="2"/>
          <w:sz w:val="24"/>
          <w:szCs w:val="24"/>
          <w14:ligatures w14:val="standardContextual"/>
        </w:rPr>
        <w:t>“ESPN Thematic Report on Inequalities in access to healthcare UK</w:t>
      </w:r>
      <w:r w:rsidRPr="008172F5">
        <w:rPr>
          <w:rFonts w:ascii="Times New Roman" w:hAnsi="Times New Roman" w:cs="Times New Roman"/>
          <w:kern w:val="2"/>
          <w:sz w:val="24"/>
          <w:szCs w:val="24"/>
          <w14:ligatures w14:val="standardContextual"/>
        </w:rPr>
        <w:t xml:space="preserve">,” Brussels: European Commission. </w:t>
      </w:r>
    </w:p>
    <w:p w14:paraId="17BE5A2C"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r w:rsidRPr="008172F5">
        <w:rPr>
          <w:rFonts w:ascii="Times New Roman" w:hAnsi="Times New Roman" w:cs="Times New Roman"/>
          <w:kern w:val="2"/>
          <w:sz w:val="24"/>
          <w:szCs w:val="24"/>
          <w14:ligatures w14:val="standardContextual"/>
        </w:rPr>
        <w:t xml:space="preserve">EIU (2015), </w:t>
      </w:r>
      <w:r w:rsidRPr="008172F5">
        <w:rPr>
          <w:rFonts w:ascii="Times New Roman" w:hAnsi="Times New Roman" w:cs="Times New Roman"/>
          <w:i/>
          <w:kern w:val="2"/>
          <w:sz w:val="24"/>
          <w:szCs w:val="24"/>
          <w14:ligatures w14:val="standardContextual"/>
        </w:rPr>
        <w:t>Quality of Death Index</w:t>
      </w:r>
      <w:r w:rsidRPr="008172F5">
        <w:rPr>
          <w:rFonts w:ascii="Times New Roman" w:hAnsi="Times New Roman" w:cs="Times New Roman"/>
          <w:kern w:val="2"/>
          <w:sz w:val="24"/>
          <w:szCs w:val="24"/>
          <w14:ligatures w14:val="standardContextual"/>
        </w:rPr>
        <w:t>. London: Economist Intelligence Unit.</w:t>
      </w:r>
    </w:p>
    <w:p w14:paraId="7C95F750"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r w:rsidRPr="008172F5">
        <w:rPr>
          <w:rFonts w:ascii="Times New Roman" w:hAnsi="Times New Roman" w:cs="Times New Roman"/>
          <w:kern w:val="2"/>
          <w:sz w:val="24"/>
          <w:szCs w:val="24"/>
          <w14:ligatures w14:val="standardContextual"/>
        </w:rPr>
        <w:t xml:space="preserve">Hunsaker Hawkins, Anne (1999), “Pathography: Patient Narratives of Illness,” </w:t>
      </w:r>
      <w:r w:rsidRPr="008172F5">
        <w:rPr>
          <w:rFonts w:ascii="Times New Roman" w:hAnsi="Times New Roman" w:cs="Times New Roman"/>
          <w:i/>
          <w:kern w:val="2"/>
          <w:sz w:val="24"/>
          <w:szCs w:val="24"/>
          <w14:ligatures w14:val="standardContextual"/>
        </w:rPr>
        <w:t xml:space="preserve">Culture and Medicine, </w:t>
      </w:r>
      <w:r w:rsidRPr="008172F5">
        <w:rPr>
          <w:rFonts w:ascii="Times New Roman" w:hAnsi="Times New Roman" w:cs="Times New Roman"/>
          <w:kern w:val="2"/>
          <w:sz w:val="24"/>
          <w:szCs w:val="24"/>
          <w14:ligatures w14:val="standardContextual"/>
        </w:rPr>
        <w:t>171, 127-129.</w:t>
      </w:r>
    </w:p>
    <w:p w14:paraId="203DB425"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r w:rsidRPr="008172F5">
        <w:rPr>
          <w:rFonts w:ascii="Times New Roman" w:hAnsi="Times New Roman" w:cs="Times New Roman"/>
          <w:kern w:val="2"/>
          <w:sz w:val="24"/>
          <w:szCs w:val="24"/>
          <w14:ligatures w14:val="standardContextual"/>
        </w:rPr>
        <w:t xml:space="preserve">Parajuli, Jyotsana, </w:t>
      </w:r>
      <w:proofErr w:type="spellStart"/>
      <w:r w:rsidRPr="008172F5">
        <w:rPr>
          <w:rFonts w:ascii="Times New Roman" w:hAnsi="Times New Roman" w:cs="Times New Roman"/>
          <w:kern w:val="2"/>
          <w:sz w:val="24"/>
          <w:szCs w:val="24"/>
          <w14:ligatures w14:val="standardContextual"/>
        </w:rPr>
        <w:t>Aluem</w:t>
      </w:r>
      <w:proofErr w:type="spellEnd"/>
      <w:r w:rsidRPr="008172F5">
        <w:rPr>
          <w:rFonts w:ascii="Times New Roman" w:hAnsi="Times New Roman" w:cs="Times New Roman"/>
          <w:kern w:val="2"/>
          <w:sz w:val="24"/>
          <w:szCs w:val="24"/>
          <w14:ligatures w14:val="standardContextual"/>
        </w:rPr>
        <w:t xml:space="preserve"> Tark, Ying-Ling Jao, and Judith </w:t>
      </w:r>
      <w:proofErr w:type="spellStart"/>
      <w:r w:rsidRPr="008172F5">
        <w:rPr>
          <w:rFonts w:ascii="Times New Roman" w:hAnsi="Times New Roman" w:cs="Times New Roman"/>
          <w:kern w:val="2"/>
          <w:sz w:val="24"/>
          <w:szCs w:val="24"/>
          <w14:ligatures w14:val="standardContextual"/>
        </w:rPr>
        <w:t>Hupcey</w:t>
      </w:r>
      <w:proofErr w:type="spellEnd"/>
      <w:r w:rsidRPr="008172F5">
        <w:rPr>
          <w:rFonts w:ascii="Times New Roman" w:hAnsi="Times New Roman" w:cs="Times New Roman"/>
          <w:kern w:val="2"/>
          <w:sz w:val="24"/>
          <w:szCs w:val="24"/>
          <w14:ligatures w14:val="standardContextual"/>
        </w:rPr>
        <w:t xml:space="preserve"> (2020), “Barriers to Palliative and Hospice Care Utilization in Older Adults with Cancer: A Systematic Review,” </w:t>
      </w:r>
      <w:r w:rsidRPr="008172F5">
        <w:rPr>
          <w:rFonts w:ascii="Times New Roman" w:hAnsi="Times New Roman" w:cs="Times New Roman"/>
          <w:i/>
          <w:kern w:val="2"/>
          <w:sz w:val="24"/>
          <w:szCs w:val="24"/>
          <w14:ligatures w14:val="standardContextual"/>
        </w:rPr>
        <w:t>Journal of Geriatric Oncology</w:t>
      </w:r>
      <w:r w:rsidRPr="008172F5">
        <w:rPr>
          <w:rFonts w:ascii="Times New Roman" w:hAnsi="Times New Roman" w:cs="Times New Roman"/>
          <w:kern w:val="2"/>
          <w:sz w:val="24"/>
          <w:szCs w:val="24"/>
          <w14:ligatures w14:val="standardContextual"/>
        </w:rPr>
        <w:t>, 11, 8-16.</w:t>
      </w:r>
    </w:p>
    <w:p w14:paraId="7A34C17C"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proofErr w:type="spellStart"/>
      <w:r w:rsidRPr="008172F5">
        <w:rPr>
          <w:rFonts w:ascii="Times New Roman" w:hAnsi="Times New Roman" w:cs="Times New Roman"/>
          <w:kern w:val="2"/>
          <w:sz w:val="24"/>
          <w:szCs w:val="24"/>
          <w14:ligatures w14:val="standardContextual"/>
        </w:rPr>
        <w:t>Penchansky</w:t>
      </w:r>
      <w:proofErr w:type="spellEnd"/>
      <w:r w:rsidRPr="008172F5">
        <w:rPr>
          <w:rFonts w:ascii="Times New Roman" w:hAnsi="Times New Roman" w:cs="Times New Roman"/>
          <w:kern w:val="2"/>
          <w:sz w:val="24"/>
          <w:szCs w:val="24"/>
          <w14:ligatures w14:val="standardContextual"/>
        </w:rPr>
        <w:t xml:space="preserve">, Roy, and J. William Thomas (1981), “The Concept of Access: Definition and Relationship to Consumer Satisfaction,” </w:t>
      </w:r>
      <w:r w:rsidRPr="008172F5">
        <w:rPr>
          <w:rFonts w:ascii="Times New Roman" w:hAnsi="Times New Roman" w:cs="Times New Roman"/>
          <w:i/>
          <w:kern w:val="2"/>
          <w:sz w:val="24"/>
          <w:szCs w:val="24"/>
          <w14:ligatures w14:val="standardContextual"/>
        </w:rPr>
        <w:t xml:space="preserve">Medical Care, </w:t>
      </w:r>
      <w:r w:rsidRPr="008172F5">
        <w:rPr>
          <w:rFonts w:ascii="Times New Roman" w:hAnsi="Times New Roman" w:cs="Times New Roman"/>
          <w:kern w:val="2"/>
          <w:sz w:val="24"/>
          <w:szCs w:val="24"/>
          <w14:ligatures w14:val="standardContextual"/>
        </w:rPr>
        <w:t>9 (2), 127-140.</w:t>
      </w:r>
    </w:p>
    <w:p w14:paraId="54EFAE47"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proofErr w:type="spellStart"/>
      <w:r w:rsidRPr="008172F5">
        <w:rPr>
          <w:rFonts w:ascii="Times New Roman" w:hAnsi="Times New Roman" w:cs="Times New Roman"/>
          <w:kern w:val="2"/>
          <w:sz w:val="24"/>
          <w:szCs w:val="24"/>
          <w14:ligatures w14:val="standardContextual"/>
        </w:rPr>
        <w:t>Ribot</w:t>
      </w:r>
      <w:proofErr w:type="spellEnd"/>
      <w:r w:rsidRPr="008172F5">
        <w:rPr>
          <w:rFonts w:ascii="Times New Roman" w:hAnsi="Times New Roman" w:cs="Times New Roman"/>
          <w:kern w:val="2"/>
          <w:sz w:val="24"/>
          <w:szCs w:val="24"/>
          <w14:ligatures w14:val="standardContextual"/>
        </w:rPr>
        <w:t xml:space="preserve">, Jesse C. and Nancy Lee Peluso (2003), “A Theory of Access,” </w:t>
      </w:r>
      <w:r w:rsidRPr="008172F5">
        <w:rPr>
          <w:rFonts w:ascii="Times New Roman" w:hAnsi="Times New Roman" w:cs="Times New Roman"/>
          <w:i/>
          <w:kern w:val="2"/>
          <w:sz w:val="24"/>
          <w:szCs w:val="24"/>
          <w14:ligatures w14:val="standardContextual"/>
        </w:rPr>
        <w:t>Rural Sociology</w:t>
      </w:r>
      <w:r w:rsidRPr="008172F5">
        <w:rPr>
          <w:rFonts w:ascii="Times New Roman" w:hAnsi="Times New Roman" w:cs="Times New Roman"/>
          <w:kern w:val="2"/>
          <w:sz w:val="24"/>
          <w:szCs w:val="24"/>
          <w14:ligatures w14:val="standardContextual"/>
        </w:rPr>
        <w:t xml:space="preserve"> 68 (2), 2003, 153–181.</w:t>
      </w:r>
    </w:p>
    <w:p w14:paraId="09FDB9EE"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14:ligatures w14:val="standardContextual"/>
        </w:rPr>
      </w:pPr>
      <w:proofErr w:type="spellStart"/>
      <w:r w:rsidRPr="008172F5">
        <w:rPr>
          <w:rFonts w:ascii="Times New Roman" w:hAnsi="Times New Roman" w:cs="Times New Roman"/>
          <w:kern w:val="2"/>
          <w:sz w:val="24"/>
          <w:szCs w:val="24"/>
          <w14:ligatures w14:val="standardContextual"/>
        </w:rPr>
        <w:t>Saurman</w:t>
      </w:r>
      <w:proofErr w:type="spellEnd"/>
      <w:r w:rsidRPr="008172F5">
        <w:rPr>
          <w:rFonts w:ascii="Times New Roman" w:hAnsi="Times New Roman" w:cs="Times New Roman"/>
          <w:kern w:val="2"/>
          <w:sz w:val="24"/>
          <w:szCs w:val="24"/>
          <w14:ligatures w14:val="standardContextual"/>
        </w:rPr>
        <w:t xml:space="preserve">, Emily (2016), “Improving Access: Modifying </w:t>
      </w:r>
      <w:proofErr w:type="spellStart"/>
      <w:r w:rsidRPr="008172F5">
        <w:rPr>
          <w:rFonts w:ascii="Times New Roman" w:hAnsi="Times New Roman" w:cs="Times New Roman"/>
          <w:kern w:val="2"/>
          <w:sz w:val="24"/>
          <w:szCs w:val="24"/>
          <w14:ligatures w14:val="standardContextual"/>
        </w:rPr>
        <w:t>Penchansky</w:t>
      </w:r>
      <w:proofErr w:type="spellEnd"/>
      <w:r w:rsidRPr="008172F5">
        <w:rPr>
          <w:rFonts w:ascii="Times New Roman" w:hAnsi="Times New Roman" w:cs="Times New Roman"/>
          <w:kern w:val="2"/>
          <w:sz w:val="24"/>
          <w:szCs w:val="24"/>
          <w14:ligatures w14:val="standardContextual"/>
        </w:rPr>
        <w:t xml:space="preserve"> and Thomas’s Theory of Access,” </w:t>
      </w:r>
      <w:r w:rsidRPr="008172F5">
        <w:rPr>
          <w:rFonts w:ascii="Times New Roman" w:hAnsi="Times New Roman" w:cs="Times New Roman"/>
          <w:i/>
          <w:kern w:val="2"/>
          <w:sz w:val="24"/>
          <w:szCs w:val="24"/>
          <w14:ligatures w14:val="standardContextual"/>
        </w:rPr>
        <w:t>Journal of Health Services Research &amp; Policy,</w:t>
      </w:r>
      <w:r w:rsidRPr="008172F5">
        <w:rPr>
          <w:rFonts w:ascii="Times New Roman" w:hAnsi="Times New Roman" w:cs="Times New Roman"/>
          <w:kern w:val="2"/>
          <w:sz w:val="24"/>
          <w:szCs w:val="24"/>
          <w14:ligatures w14:val="standardContextual"/>
        </w:rPr>
        <w:t xml:space="preserve"> 21 (1), 36–39.</w:t>
      </w:r>
    </w:p>
    <w:p w14:paraId="65D294A8" w14:textId="77777777" w:rsidR="008172F5" w:rsidRPr="008172F5" w:rsidRDefault="008172F5" w:rsidP="008172F5">
      <w:pPr>
        <w:spacing w:after="0" w:line="240" w:lineRule="auto"/>
        <w:ind w:left="720" w:hanging="720"/>
        <w:jc w:val="both"/>
        <w:rPr>
          <w:rFonts w:ascii="Times New Roman" w:hAnsi="Times New Roman" w:cs="Times New Roman"/>
          <w:kern w:val="2"/>
          <w:sz w:val="24"/>
          <w:szCs w:val="24"/>
          <w:lang w:val="en-US"/>
          <w14:ligatures w14:val="standardContextual"/>
        </w:rPr>
      </w:pPr>
      <w:proofErr w:type="spellStart"/>
      <w:r w:rsidRPr="008172F5">
        <w:rPr>
          <w:rFonts w:ascii="Times New Roman" w:hAnsi="Times New Roman" w:cs="Times New Roman"/>
          <w:kern w:val="2"/>
          <w:sz w:val="24"/>
          <w:szCs w:val="24"/>
          <w:lang w:val="en-US"/>
          <w14:ligatures w14:val="standardContextual"/>
        </w:rPr>
        <w:t>Spiggle</w:t>
      </w:r>
      <w:proofErr w:type="spellEnd"/>
      <w:r w:rsidRPr="008172F5">
        <w:rPr>
          <w:rFonts w:ascii="Times New Roman" w:hAnsi="Times New Roman" w:cs="Times New Roman"/>
          <w:kern w:val="2"/>
          <w:sz w:val="24"/>
          <w:szCs w:val="24"/>
          <w:lang w:val="en-US"/>
          <w14:ligatures w14:val="standardContextual"/>
        </w:rPr>
        <w:t xml:space="preserve">, Susan (1994), “Analysis and Interpretation of Qualitative Data in Consumer Research,” </w:t>
      </w:r>
      <w:r w:rsidRPr="008172F5">
        <w:rPr>
          <w:rFonts w:ascii="Times New Roman" w:hAnsi="Times New Roman" w:cs="Times New Roman"/>
          <w:i/>
          <w:iCs/>
          <w:kern w:val="2"/>
          <w:sz w:val="24"/>
          <w:szCs w:val="24"/>
          <w:lang w:val="en-US"/>
          <w14:ligatures w14:val="standardContextual"/>
        </w:rPr>
        <w:t>Journal of Consumer Research</w:t>
      </w:r>
      <w:r w:rsidRPr="008172F5">
        <w:rPr>
          <w:rFonts w:ascii="Times New Roman" w:hAnsi="Times New Roman" w:cs="Times New Roman"/>
          <w:kern w:val="2"/>
          <w:sz w:val="24"/>
          <w:szCs w:val="24"/>
          <w:lang w:val="en-US"/>
          <w14:ligatures w14:val="standardContextual"/>
        </w:rPr>
        <w:t>, 21, 491-503.</w:t>
      </w:r>
    </w:p>
    <w:p w14:paraId="5A9DEFE2" w14:textId="77777777" w:rsidR="008172F5" w:rsidRPr="008172F5" w:rsidRDefault="008172F5" w:rsidP="008172F5">
      <w:pPr>
        <w:rPr>
          <w:kern w:val="2"/>
          <w14:ligatures w14:val="standardContextual"/>
        </w:rPr>
      </w:pPr>
    </w:p>
    <w:p w14:paraId="78089ECB" w14:textId="77777777" w:rsidR="008172F5" w:rsidRPr="008172F5" w:rsidRDefault="008172F5" w:rsidP="008172F5">
      <w:pPr>
        <w:rPr>
          <w:kern w:val="2"/>
          <w14:ligatures w14:val="standardContextual"/>
        </w:rPr>
      </w:pPr>
    </w:p>
    <w:p w14:paraId="733804D5" w14:textId="77777777" w:rsidR="008009B4" w:rsidRDefault="008009B4" w:rsidP="00873766">
      <w:pPr>
        <w:spacing w:after="0" w:line="240" w:lineRule="auto"/>
        <w:rPr>
          <w:rFonts w:ascii="Times New Roman" w:hAnsi="Times New Roman" w:cs="Times New Roman"/>
          <w:sz w:val="24"/>
          <w:szCs w:val="24"/>
        </w:rPr>
      </w:pPr>
    </w:p>
    <w:p w14:paraId="70154D9A" w14:textId="77777777" w:rsidR="008009B4" w:rsidRPr="002D1EAF" w:rsidRDefault="008009B4" w:rsidP="00873766">
      <w:pPr>
        <w:spacing w:after="0" w:line="240" w:lineRule="auto"/>
        <w:rPr>
          <w:rFonts w:ascii="Times New Roman" w:hAnsi="Times New Roman" w:cs="Times New Roman"/>
          <w:sz w:val="24"/>
          <w:szCs w:val="24"/>
        </w:rPr>
      </w:pPr>
    </w:p>
    <w:sectPr w:rsidR="008009B4" w:rsidRPr="002D1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A3B15"/>
    <w:multiLevelType w:val="multilevel"/>
    <w:tmpl w:val="8870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26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55"/>
    <w:rsid w:val="000C2414"/>
    <w:rsid w:val="00131C43"/>
    <w:rsid w:val="00151C13"/>
    <w:rsid w:val="001A7C02"/>
    <w:rsid w:val="001E7B9F"/>
    <w:rsid w:val="00200DD0"/>
    <w:rsid w:val="00237BDD"/>
    <w:rsid w:val="002B25F7"/>
    <w:rsid w:val="002B545E"/>
    <w:rsid w:val="002D1EAF"/>
    <w:rsid w:val="003F6951"/>
    <w:rsid w:val="00470659"/>
    <w:rsid w:val="00513E26"/>
    <w:rsid w:val="005B5310"/>
    <w:rsid w:val="0067673F"/>
    <w:rsid w:val="00777FDD"/>
    <w:rsid w:val="007A6437"/>
    <w:rsid w:val="007F7858"/>
    <w:rsid w:val="008009B4"/>
    <w:rsid w:val="008172F5"/>
    <w:rsid w:val="00873766"/>
    <w:rsid w:val="00896C2F"/>
    <w:rsid w:val="008D45B6"/>
    <w:rsid w:val="009D2F97"/>
    <w:rsid w:val="00A22D40"/>
    <w:rsid w:val="00AA388E"/>
    <w:rsid w:val="00C07A01"/>
    <w:rsid w:val="00C67E3E"/>
    <w:rsid w:val="00D252F6"/>
    <w:rsid w:val="00D56C28"/>
    <w:rsid w:val="00E4711A"/>
    <w:rsid w:val="00F35A55"/>
    <w:rsid w:val="00F80AF1"/>
    <w:rsid w:val="00FB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D980"/>
  <w15:chartTrackingRefBased/>
  <w15:docId w15:val="{7E556F48-0DB7-4B6F-8171-2CCE029B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A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Sudbury-Riley, Lynn</dc:creator>
  <cp:keywords/>
  <dc:description/>
  <cp:lastModifiedBy>Sudbury-Riley, Lynn</cp:lastModifiedBy>
  <cp:revision>14</cp:revision>
  <dcterms:created xsi:type="dcterms:W3CDTF">2023-06-06T16:28:00Z</dcterms:created>
  <dcterms:modified xsi:type="dcterms:W3CDTF">2023-06-07T13:00:00Z</dcterms:modified>
</cp:coreProperties>
</file>