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BFA" w14:textId="0C46B3D8" w:rsidR="00CE7593" w:rsidRPr="00245485" w:rsidRDefault="00CE7593" w:rsidP="00245485">
      <w:pPr>
        <w:jc w:val="both"/>
        <w:rPr>
          <w:b/>
          <w:bCs/>
          <w:color w:val="000000" w:themeColor="text1"/>
        </w:rPr>
      </w:pPr>
      <w:r w:rsidRPr="00245485">
        <w:rPr>
          <w:b/>
          <w:bCs/>
          <w:color w:val="000000" w:themeColor="text1"/>
        </w:rPr>
        <w:t>EU COMPETENCES IN AN AGE OF COMPLEXITY</w:t>
      </w:r>
      <w:r w:rsidR="00EA37A8" w:rsidRPr="00245485">
        <w:rPr>
          <w:b/>
          <w:bCs/>
          <w:color w:val="000000" w:themeColor="text1"/>
        </w:rPr>
        <w:t xml:space="preserve"> AND CRISIS</w:t>
      </w:r>
      <w:r w:rsidRPr="00245485">
        <w:rPr>
          <w:b/>
          <w:bCs/>
          <w:color w:val="000000" w:themeColor="text1"/>
        </w:rPr>
        <w:t>: CHALLENGES AND TENSIONS IN THE SYSTEM OF ATTRIBUTED POWERS</w:t>
      </w:r>
    </w:p>
    <w:p w14:paraId="08DFCB8B" w14:textId="22CA099D" w:rsidR="00CE7593" w:rsidRPr="00245485" w:rsidRDefault="00CE7593" w:rsidP="00245485">
      <w:pPr>
        <w:jc w:val="both"/>
        <w:rPr>
          <w:b/>
          <w:bCs/>
          <w:color w:val="000000" w:themeColor="text1"/>
        </w:rPr>
      </w:pPr>
    </w:p>
    <w:p w14:paraId="3BDF97F0" w14:textId="482B5CF3" w:rsidR="00FF5C3A" w:rsidRPr="00245485" w:rsidRDefault="00F823B7" w:rsidP="00245485">
      <w:pPr>
        <w:jc w:val="both"/>
        <w:rPr>
          <w:i/>
          <w:iCs/>
          <w:color w:val="000000" w:themeColor="text1"/>
        </w:rPr>
      </w:pPr>
      <w:r w:rsidRPr="00245485">
        <w:rPr>
          <w:i/>
          <w:iCs/>
          <w:color w:val="000000" w:themeColor="text1"/>
        </w:rPr>
        <w:t>Michael Dougan</w:t>
      </w:r>
      <w:r w:rsidR="006F4143" w:rsidRPr="00245485">
        <w:rPr>
          <w:i/>
          <w:iCs/>
          <w:color w:val="000000" w:themeColor="text1"/>
        </w:rPr>
        <w:t>*</w:t>
      </w:r>
    </w:p>
    <w:p w14:paraId="1BCB8C75" w14:textId="572F198A" w:rsidR="00F823B7" w:rsidRDefault="00F823B7" w:rsidP="00245485">
      <w:pPr>
        <w:jc w:val="both"/>
        <w:rPr>
          <w:b/>
          <w:bCs/>
          <w:color w:val="000000" w:themeColor="text1"/>
        </w:rPr>
      </w:pPr>
    </w:p>
    <w:p w14:paraId="44F3B4F3" w14:textId="5471A4BE" w:rsidR="00BA4867" w:rsidRDefault="00BA4867" w:rsidP="00245485">
      <w:pPr>
        <w:jc w:val="both"/>
        <w:rPr>
          <w:b/>
          <w:bCs/>
          <w:color w:val="000000" w:themeColor="text1"/>
        </w:rPr>
      </w:pPr>
    </w:p>
    <w:p w14:paraId="46E66780" w14:textId="77777777" w:rsidR="00BA4867" w:rsidRPr="00BA4867" w:rsidRDefault="00BA4867" w:rsidP="00BA4867">
      <w:pPr>
        <w:jc w:val="both"/>
        <w:rPr>
          <w:b/>
          <w:bCs/>
          <w:color w:val="000000" w:themeColor="text1"/>
        </w:rPr>
      </w:pPr>
      <w:r w:rsidRPr="00BA4867">
        <w:rPr>
          <w:b/>
          <w:bCs/>
          <w:color w:val="000000" w:themeColor="text1"/>
        </w:rPr>
        <w:t>Abstract</w:t>
      </w:r>
    </w:p>
    <w:p w14:paraId="53D06E6F" w14:textId="77777777" w:rsidR="00BA4867" w:rsidRDefault="00BA4867" w:rsidP="00BA4867">
      <w:pPr>
        <w:jc w:val="both"/>
        <w:rPr>
          <w:i/>
          <w:iCs/>
          <w:color w:val="000000" w:themeColor="text1"/>
        </w:rPr>
      </w:pPr>
    </w:p>
    <w:p w14:paraId="73CC05E9" w14:textId="20C72077" w:rsidR="00BA4867" w:rsidRDefault="00BA4867" w:rsidP="00BA4867">
      <w:pPr>
        <w:jc w:val="both"/>
        <w:rPr>
          <w:rFonts w:asciiTheme="minorHAnsi" w:eastAsiaTheme="minorHAnsi" w:hAnsiTheme="minorHAnsi" w:cstheme="minorBidi"/>
          <w:i/>
          <w:iCs/>
          <w:sz w:val="22"/>
          <w:szCs w:val="22"/>
          <w:lang w:eastAsia="en-US"/>
        </w:rPr>
      </w:pPr>
      <w:r>
        <w:rPr>
          <w:i/>
          <w:iCs/>
          <w:color w:val="000000" w:themeColor="text1"/>
        </w:rPr>
        <w:t xml:space="preserve">This article argues that the Union’s experience of tackling increasingly complex socio-economic and geo-political problems has revealed certain limitations in our well-established legal understanding of the principle of conferral.  Our current legal approach to verifying the existence of Union competence focuses almost entirely on the relationship between </w:t>
      </w:r>
      <w:proofErr w:type="gramStart"/>
      <w:r>
        <w:rPr>
          <w:i/>
          <w:iCs/>
          <w:color w:val="000000" w:themeColor="text1"/>
        </w:rPr>
        <w:t>each and every</w:t>
      </w:r>
      <w:proofErr w:type="gramEnd"/>
      <w:r>
        <w:rPr>
          <w:i/>
          <w:iCs/>
          <w:color w:val="000000" w:themeColor="text1"/>
        </w:rPr>
        <w:t xml:space="preserve"> discrete and individual Union measure </w:t>
      </w:r>
      <w:r>
        <w:rPr>
          <w:i/>
          <w:iCs/>
          <w:color w:val="000000" w:themeColor="text1"/>
        </w:rPr>
        <w:t xml:space="preserve">(on the one hand) </w:t>
      </w:r>
      <w:r>
        <w:rPr>
          <w:i/>
          <w:iCs/>
          <w:color w:val="000000" w:themeColor="text1"/>
        </w:rPr>
        <w:t>and its purported legal basis or bases under the Treaties</w:t>
      </w:r>
      <w:r>
        <w:rPr>
          <w:i/>
          <w:iCs/>
          <w:color w:val="000000" w:themeColor="text1"/>
        </w:rPr>
        <w:t xml:space="preserve"> (on the other hand)</w:t>
      </w:r>
      <w:r>
        <w:rPr>
          <w:i/>
          <w:iCs/>
          <w:color w:val="000000" w:themeColor="text1"/>
        </w:rPr>
        <w:t xml:space="preserve">.  That approach offers only limited recognition to the </w:t>
      </w:r>
      <w:proofErr w:type="gramStart"/>
      <w:r>
        <w:rPr>
          <w:i/>
          <w:iCs/>
          <w:color w:val="000000" w:themeColor="text1"/>
        </w:rPr>
        <w:t>particular demands</w:t>
      </w:r>
      <w:proofErr w:type="gramEnd"/>
      <w:r>
        <w:rPr>
          <w:i/>
          <w:iCs/>
          <w:color w:val="000000" w:themeColor="text1"/>
        </w:rPr>
        <w:t xml:space="preserve"> imposed upon Union policymaking by challenges of formidable scale, complexity and often urgency – demanding solutions based on multi-faceted, multi-component, highly integrated regulatory packages.  Such legal diffidence can generate a range of tensions: further complicating an already difficult negotiating process; interfering in or even altogether unpicking delicate political compromises; forcing the Union institutions towards sub-optimal policy responses or exposing them to allegations of “competence creep”; and raising difficult questions about the estranged legitimacy claims of robust constitutional law versus effective public governance.  That analysis invites us to reflect critically upon the performance, merits and limits of the current Treaty framework governing attributed Union powers, not least by suggesting some potential adaptations and reforms that might help ameliorate such tensions.  </w:t>
      </w:r>
    </w:p>
    <w:p w14:paraId="26C9FE64" w14:textId="2E31155A" w:rsidR="00BA4867" w:rsidRDefault="00BA4867" w:rsidP="00245485">
      <w:pPr>
        <w:jc w:val="both"/>
        <w:rPr>
          <w:b/>
          <w:bCs/>
          <w:color w:val="000000" w:themeColor="text1"/>
        </w:rPr>
      </w:pPr>
    </w:p>
    <w:p w14:paraId="2A74DDFD" w14:textId="77777777" w:rsidR="00BA4867" w:rsidRPr="00245485" w:rsidRDefault="00BA4867" w:rsidP="00245485">
      <w:pPr>
        <w:jc w:val="both"/>
        <w:rPr>
          <w:b/>
          <w:bCs/>
          <w:color w:val="000000" w:themeColor="text1"/>
        </w:rPr>
      </w:pPr>
    </w:p>
    <w:p w14:paraId="6BFCBAE5" w14:textId="77777777" w:rsidR="00F823B7" w:rsidRPr="00245485" w:rsidRDefault="00F823B7" w:rsidP="00245485">
      <w:pPr>
        <w:jc w:val="both"/>
        <w:rPr>
          <w:b/>
          <w:bCs/>
          <w:color w:val="000000" w:themeColor="text1"/>
        </w:rPr>
      </w:pPr>
    </w:p>
    <w:p w14:paraId="332C3E97" w14:textId="01619B65" w:rsidR="00FF5C3A" w:rsidRPr="00245485" w:rsidRDefault="002F5487" w:rsidP="00245485">
      <w:pPr>
        <w:jc w:val="both"/>
        <w:rPr>
          <w:b/>
          <w:bCs/>
          <w:color w:val="000000" w:themeColor="text1"/>
        </w:rPr>
      </w:pPr>
      <w:r w:rsidRPr="00245485">
        <w:rPr>
          <w:b/>
          <w:bCs/>
          <w:color w:val="000000" w:themeColor="text1"/>
        </w:rPr>
        <w:t xml:space="preserve">1. </w:t>
      </w:r>
      <w:r w:rsidR="00FF5C3A" w:rsidRPr="00245485">
        <w:rPr>
          <w:b/>
          <w:bCs/>
          <w:color w:val="000000" w:themeColor="text1"/>
        </w:rPr>
        <w:t>Introduction</w:t>
      </w:r>
    </w:p>
    <w:p w14:paraId="53A10A3C" w14:textId="0BD4AC1B" w:rsidR="00FF5C3A" w:rsidRPr="00245485" w:rsidRDefault="00FF5C3A" w:rsidP="00245485">
      <w:pPr>
        <w:jc w:val="both"/>
        <w:rPr>
          <w:b/>
          <w:bCs/>
          <w:color w:val="000000" w:themeColor="text1"/>
        </w:rPr>
      </w:pPr>
    </w:p>
    <w:p w14:paraId="409EAFEF" w14:textId="3B864FB4" w:rsidR="00245485" w:rsidRDefault="002A1A6B" w:rsidP="00245485">
      <w:pPr>
        <w:jc w:val="both"/>
        <w:rPr>
          <w:color w:val="000000" w:themeColor="text1"/>
        </w:rPr>
      </w:pPr>
      <w:r w:rsidRPr="00245485">
        <w:rPr>
          <w:color w:val="000000" w:themeColor="text1"/>
        </w:rPr>
        <w:t xml:space="preserve">Codifying the system of Union competences was </w:t>
      </w:r>
      <w:r w:rsidR="00D159F5" w:rsidRPr="00245485">
        <w:rPr>
          <w:color w:val="000000" w:themeColor="text1"/>
        </w:rPr>
        <w:t>hailed as</w:t>
      </w:r>
      <w:r w:rsidRPr="00245485">
        <w:rPr>
          <w:color w:val="000000" w:themeColor="text1"/>
        </w:rPr>
        <w:t xml:space="preserve"> among the chief achievements of the Lisbon Treaty reforms.</w:t>
      </w:r>
      <w:r w:rsidR="000C4AF8" w:rsidRPr="00245485">
        <w:rPr>
          <w:rStyle w:val="FootnoteReference"/>
          <w:color w:val="000000" w:themeColor="text1"/>
        </w:rPr>
        <w:footnoteReference w:id="1"/>
      </w:r>
      <w:r w:rsidRPr="00245485">
        <w:rPr>
          <w:color w:val="000000" w:themeColor="text1"/>
        </w:rPr>
        <w:t xml:space="preserve">  </w:t>
      </w:r>
      <w:r w:rsidR="00086A40" w:rsidRPr="00245485">
        <w:rPr>
          <w:color w:val="000000" w:themeColor="text1"/>
        </w:rPr>
        <w:t>Y</w:t>
      </w:r>
      <w:r w:rsidRPr="00245485">
        <w:rPr>
          <w:color w:val="000000" w:themeColor="text1"/>
        </w:rPr>
        <w:t xml:space="preserve">et nearly 15 years on, we continue to debate whether that system has truly proven itself fit for purpose.  Even in </w:t>
      </w:r>
      <w:r w:rsidR="000C4AF8" w:rsidRPr="00245485">
        <w:rPr>
          <w:color w:val="000000" w:themeColor="text1"/>
        </w:rPr>
        <w:t xml:space="preserve">the </w:t>
      </w:r>
      <w:r w:rsidRPr="00245485">
        <w:rPr>
          <w:color w:val="000000" w:themeColor="text1"/>
        </w:rPr>
        <w:t xml:space="preserve">past </w:t>
      </w:r>
      <w:r w:rsidR="000C4AF8" w:rsidRPr="00245485">
        <w:rPr>
          <w:color w:val="000000" w:themeColor="text1"/>
        </w:rPr>
        <w:t>year</w:t>
      </w:r>
      <w:r w:rsidR="002051FE">
        <w:rPr>
          <w:color w:val="000000" w:themeColor="text1"/>
        </w:rPr>
        <w:t xml:space="preserve"> or so</w:t>
      </w:r>
      <w:r w:rsidRPr="00245485">
        <w:rPr>
          <w:color w:val="000000" w:themeColor="text1"/>
        </w:rPr>
        <w:t xml:space="preserve">, the Conference on the Future of Europe, the European Parliament and the Commission have all expressed their support for </w:t>
      </w:r>
      <w:r w:rsidR="00D159F5" w:rsidRPr="00245485">
        <w:rPr>
          <w:color w:val="000000" w:themeColor="text1"/>
        </w:rPr>
        <w:t xml:space="preserve">amending </w:t>
      </w:r>
      <w:r w:rsidRPr="00245485">
        <w:rPr>
          <w:color w:val="000000" w:themeColor="text1"/>
        </w:rPr>
        <w:t>the Treaty rules on the attribution of Union power –</w:t>
      </w:r>
      <w:r w:rsidR="006F4143" w:rsidRPr="00245485">
        <w:rPr>
          <w:color w:val="000000" w:themeColor="text1"/>
        </w:rPr>
        <w:t xml:space="preserve"> </w:t>
      </w:r>
      <w:r w:rsidRPr="00245485">
        <w:rPr>
          <w:color w:val="000000" w:themeColor="text1"/>
        </w:rPr>
        <w:t xml:space="preserve">largely in the form of specific changes to the existing </w:t>
      </w:r>
      <w:r w:rsidR="00D159F5" w:rsidRPr="00245485">
        <w:rPr>
          <w:color w:val="000000" w:themeColor="text1"/>
        </w:rPr>
        <w:t>platter</w:t>
      </w:r>
      <w:r w:rsidRPr="00245485">
        <w:rPr>
          <w:color w:val="000000" w:themeColor="text1"/>
        </w:rPr>
        <w:t xml:space="preserve"> of legal bases, </w:t>
      </w:r>
      <w:r w:rsidR="00D159F5" w:rsidRPr="00245485">
        <w:rPr>
          <w:color w:val="000000" w:themeColor="text1"/>
        </w:rPr>
        <w:t xml:space="preserve">so as to </w:t>
      </w:r>
      <w:r w:rsidRPr="00245485">
        <w:rPr>
          <w:color w:val="000000" w:themeColor="text1"/>
        </w:rPr>
        <w:t xml:space="preserve">widen or deepen the Union’s ability to adopt measures in particular fields, </w:t>
      </w:r>
      <w:r w:rsidR="00D159F5" w:rsidRPr="00245485">
        <w:rPr>
          <w:color w:val="000000" w:themeColor="text1"/>
        </w:rPr>
        <w:t xml:space="preserve">and </w:t>
      </w:r>
      <w:r w:rsidRPr="00245485">
        <w:rPr>
          <w:color w:val="000000" w:themeColor="text1"/>
        </w:rPr>
        <w:t>mostly in response to the perceived shortcomings revealed by the challenges and traumas of our recent past.</w:t>
      </w:r>
      <w:r w:rsidR="000C4AF8" w:rsidRPr="00245485">
        <w:rPr>
          <w:rStyle w:val="FootnoteReference"/>
          <w:color w:val="000000" w:themeColor="text1"/>
        </w:rPr>
        <w:footnoteReference w:id="2"/>
      </w:r>
    </w:p>
    <w:p w14:paraId="6E96AFA9" w14:textId="0A353896" w:rsidR="00245485" w:rsidRDefault="002A1A6B" w:rsidP="00245485">
      <w:pPr>
        <w:ind w:firstLine="720"/>
        <w:jc w:val="both"/>
        <w:rPr>
          <w:color w:val="000000" w:themeColor="text1"/>
        </w:rPr>
      </w:pPr>
      <w:r w:rsidRPr="00245485">
        <w:rPr>
          <w:color w:val="000000" w:themeColor="text1"/>
        </w:rPr>
        <w:t xml:space="preserve">This paper also seeks to contribute to that important debate, albeit by examining the issue from a different perspective.  </w:t>
      </w:r>
      <w:r w:rsidR="0006483F" w:rsidRPr="00245485">
        <w:rPr>
          <w:color w:val="000000" w:themeColor="text1"/>
        </w:rPr>
        <w:t xml:space="preserve">Instead of asking which particular fields would benefit from an expansion in the Union’s existing powers, we will investigate a more horizontal phenomenon, capable of emerging right across the </w:t>
      </w:r>
      <w:r w:rsidR="00D159F5" w:rsidRPr="00245485">
        <w:rPr>
          <w:color w:val="000000" w:themeColor="text1"/>
        </w:rPr>
        <w:t>Treaties’</w:t>
      </w:r>
      <w:r w:rsidR="0006483F" w:rsidRPr="00245485">
        <w:rPr>
          <w:color w:val="000000" w:themeColor="text1"/>
        </w:rPr>
        <w:t xml:space="preserve"> </w:t>
      </w:r>
      <w:r w:rsidR="000C4AF8" w:rsidRPr="00245485">
        <w:rPr>
          <w:color w:val="000000" w:themeColor="text1"/>
        </w:rPr>
        <w:t>framework</w:t>
      </w:r>
      <w:r w:rsidR="0006483F" w:rsidRPr="00245485">
        <w:rPr>
          <w:color w:val="000000" w:themeColor="text1"/>
        </w:rPr>
        <w:t xml:space="preserve"> of competences –</w:t>
      </w:r>
      <w:r w:rsidR="00D159F5" w:rsidRPr="00245485">
        <w:rPr>
          <w:color w:val="000000" w:themeColor="text1"/>
        </w:rPr>
        <w:t xml:space="preserve"> </w:t>
      </w:r>
      <w:r w:rsidR="0006483F" w:rsidRPr="00245485">
        <w:rPr>
          <w:color w:val="000000" w:themeColor="text1"/>
        </w:rPr>
        <w:lastRenderedPageBreak/>
        <w:t xml:space="preserve">suggesting that some of our struggles with the system of attribution may </w:t>
      </w:r>
      <w:r w:rsidR="008666E5" w:rsidRPr="00245485">
        <w:rPr>
          <w:color w:val="000000" w:themeColor="text1"/>
        </w:rPr>
        <w:t xml:space="preserve">not be limited to </w:t>
      </w:r>
      <w:r w:rsidR="0006483F" w:rsidRPr="00245485">
        <w:rPr>
          <w:color w:val="000000" w:themeColor="text1"/>
        </w:rPr>
        <w:t xml:space="preserve">specific gaps or weaknesses, </w:t>
      </w:r>
      <w:r w:rsidR="008666E5" w:rsidRPr="00245485">
        <w:rPr>
          <w:color w:val="000000" w:themeColor="text1"/>
        </w:rPr>
        <w:t xml:space="preserve">but extend also to </w:t>
      </w:r>
      <w:r w:rsidR="0006483F" w:rsidRPr="00245485">
        <w:rPr>
          <w:color w:val="000000" w:themeColor="text1"/>
        </w:rPr>
        <w:t xml:space="preserve">how our traditional legal </w:t>
      </w:r>
      <w:r w:rsidR="004A79AF" w:rsidRPr="00245485">
        <w:rPr>
          <w:color w:val="000000" w:themeColor="text1"/>
        </w:rPr>
        <w:t>approach to</w:t>
      </w:r>
      <w:r w:rsidR="0006483F" w:rsidRPr="00245485">
        <w:rPr>
          <w:color w:val="000000" w:themeColor="text1"/>
        </w:rPr>
        <w:t xml:space="preserve"> conferral interacts </w:t>
      </w:r>
      <w:r w:rsidR="003211FE" w:rsidRPr="00245485">
        <w:rPr>
          <w:color w:val="000000" w:themeColor="text1"/>
        </w:rPr>
        <w:t xml:space="preserve">with </w:t>
      </w:r>
      <w:r w:rsidR="0006483F" w:rsidRPr="00245485">
        <w:rPr>
          <w:color w:val="000000" w:themeColor="text1"/>
        </w:rPr>
        <w:t xml:space="preserve">the political demands of Union policymaking in the face of complex socio-economic </w:t>
      </w:r>
      <w:r w:rsidR="00C877A4">
        <w:rPr>
          <w:color w:val="000000" w:themeColor="text1"/>
        </w:rPr>
        <w:t xml:space="preserve">and / or geo-political </w:t>
      </w:r>
      <w:r w:rsidR="0006483F" w:rsidRPr="00245485">
        <w:rPr>
          <w:color w:val="000000" w:themeColor="text1"/>
        </w:rPr>
        <w:t>challenges.</w:t>
      </w:r>
      <w:r w:rsidR="000C4AF8" w:rsidRPr="00245485">
        <w:rPr>
          <w:rStyle w:val="FootnoteReference"/>
          <w:color w:val="000000" w:themeColor="text1"/>
        </w:rPr>
        <w:footnoteReference w:id="3"/>
      </w:r>
      <w:r w:rsidR="0006483F" w:rsidRPr="00245485">
        <w:rPr>
          <w:color w:val="000000" w:themeColor="text1"/>
        </w:rPr>
        <w:t xml:space="preserve">  </w:t>
      </w:r>
    </w:p>
    <w:p w14:paraId="584D68F5" w14:textId="77777777" w:rsidR="00245485" w:rsidRDefault="0006483F" w:rsidP="00245485">
      <w:pPr>
        <w:ind w:firstLine="720"/>
        <w:jc w:val="both"/>
        <w:rPr>
          <w:color w:val="000000" w:themeColor="text1"/>
        </w:rPr>
      </w:pPr>
      <w:proofErr w:type="gramStart"/>
      <w:r w:rsidRPr="00245485">
        <w:rPr>
          <w:color w:val="000000" w:themeColor="text1"/>
        </w:rPr>
        <w:t xml:space="preserve">In particular, </w:t>
      </w:r>
      <w:r w:rsidR="000C4AF8" w:rsidRPr="00245485">
        <w:rPr>
          <w:color w:val="000000" w:themeColor="text1"/>
        </w:rPr>
        <w:t>Section</w:t>
      </w:r>
      <w:proofErr w:type="gramEnd"/>
      <w:r w:rsidR="000C4AF8" w:rsidRPr="00245485">
        <w:rPr>
          <w:color w:val="000000" w:themeColor="text1"/>
        </w:rPr>
        <w:t xml:space="preserve"> 2 explains how </w:t>
      </w:r>
      <w:r w:rsidRPr="00245485">
        <w:rPr>
          <w:color w:val="000000" w:themeColor="text1"/>
        </w:rPr>
        <w:t xml:space="preserve">the </w:t>
      </w:r>
      <w:r w:rsidR="000C4AF8" w:rsidRPr="00245485">
        <w:rPr>
          <w:color w:val="000000" w:themeColor="text1"/>
        </w:rPr>
        <w:t xml:space="preserve">established </w:t>
      </w:r>
      <w:r w:rsidRPr="00245485">
        <w:rPr>
          <w:color w:val="000000" w:themeColor="text1"/>
        </w:rPr>
        <w:t xml:space="preserve">legal </w:t>
      </w:r>
      <w:r w:rsidR="005A68CF" w:rsidRPr="00245485">
        <w:rPr>
          <w:color w:val="000000" w:themeColor="text1"/>
        </w:rPr>
        <w:t xml:space="preserve">principles governing conferred powers are predicated upon </w:t>
      </w:r>
      <w:r w:rsidRPr="00245485">
        <w:rPr>
          <w:color w:val="000000" w:themeColor="text1"/>
        </w:rPr>
        <w:t xml:space="preserve">the construction of a </w:t>
      </w:r>
      <w:r w:rsidR="005A68CF" w:rsidRPr="00245485">
        <w:rPr>
          <w:color w:val="000000" w:themeColor="text1"/>
        </w:rPr>
        <w:t>bounded world</w:t>
      </w:r>
      <w:r w:rsidR="00D159F5" w:rsidRPr="00245485">
        <w:rPr>
          <w:color w:val="000000" w:themeColor="text1"/>
        </w:rPr>
        <w:t xml:space="preserve"> – </w:t>
      </w:r>
      <w:r w:rsidRPr="00245485">
        <w:rPr>
          <w:color w:val="000000" w:themeColor="text1"/>
        </w:rPr>
        <w:t xml:space="preserve">occupied almost exclusively by </w:t>
      </w:r>
      <w:r w:rsidR="005A68CF" w:rsidRPr="00245485">
        <w:rPr>
          <w:color w:val="000000" w:themeColor="text1"/>
        </w:rPr>
        <w:t>an individual and discrete Union measure</w:t>
      </w:r>
      <w:r w:rsidRPr="00245485">
        <w:rPr>
          <w:color w:val="000000" w:themeColor="text1"/>
        </w:rPr>
        <w:t xml:space="preserve"> </w:t>
      </w:r>
      <w:r w:rsidR="005C774D" w:rsidRPr="00245485">
        <w:rPr>
          <w:color w:val="000000" w:themeColor="text1"/>
        </w:rPr>
        <w:t>plus</w:t>
      </w:r>
      <w:r w:rsidRPr="00245485">
        <w:rPr>
          <w:color w:val="000000" w:themeColor="text1"/>
        </w:rPr>
        <w:t xml:space="preserve"> its purported legal basis or bases under the Treaties.  The lawfulness of </w:t>
      </w:r>
      <w:r w:rsidR="00351108" w:rsidRPr="00245485">
        <w:rPr>
          <w:color w:val="000000" w:themeColor="text1"/>
        </w:rPr>
        <w:t xml:space="preserve">each </w:t>
      </w:r>
      <w:r w:rsidR="00841622" w:rsidRPr="00245485">
        <w:rPr>
          <w:color w:val="000000" w:themeColor="text1"/>
        </w:rPr>
        <w:t xml:space="preserve">Union </w:t>
      </w:r>
      <w:r w:rsidRPr="00245485">
        <w:rPr>
          <w:color w:val="000000" w:themeColor="text1"/>
        </w:rPr>
        <w:t xml:space="preserve">measure is to </w:t>
      </w:r>
      <w:r w:rsidR="005A68CF" w:rsidRPr="00245485">
        <w:rPr>
          <w:color w:val="000000" w:themeColor="text1"/>
        </w:rPr>
        <w:t>be tested</w:t>
      </w:r>
      <w:r w:rsidRPr="00245485">
        <w:rPr>
          <w:color w:val="000000" w:themeColor="text1"/>
        </w:rPr>
        <w:t>,</w:t>
      </w:r>
      <w:r w:rsidR="005A68CF" w:rsidRPr="00245485">
        <w:rPr>
          <w:color w:val="000000" w:themeColor="text1"/>
        </w:rPr>
        <w:t xml:space="preserve"> on its own </w:t>
      </w:r>
      <w:r w:rsidRPr="00245485">
        <w:rPr>
          <w:color w:val="000000" w:themeColor="text1"/>
        </w:rPr>
        <w:t xml:space="preserve">distinct </w:t>
      </w:r>
      <w:r w:rsidR="005A68CF" w:rsidRPr="00245485">
        <w:rPr>
          <w:color w:val="000000" w:themeColor="text1"/>
        </w:rPr>
        <w:t>terms</w:t>
      </w:r>
      <w:r w:rsidRPr="00245485">
        <w:rPr>
          <w:color w:val="000000" w:themeColor="text1"/>
        </w:rPr>
        <w:t>,</w:t>
      </w:r>
      <w:r w:rsidR="005A68CF" w:rsidRPr="00245485">
        <w:rPr>
          <w:color w:val="000000" w:themeColor="text1"/>
        </w:rPr>
        <w:t xml:space="preserve"> against a competence framework that offers only limited recognition to factors or considerations drawn from outside that </w:t>
      </w:r>
      <w:r w:rsidR="001B1535" w:rsidRPr="00245485">
        <w:rPr>
          <w:color w:val="000000" w:themeColor="text1"/>
        </w:rPr>
        <w:t>strictly defined</w:t>
      </w:r>
      <w:r w:rsidR="005A68CF" w:rsidRPr="00245485">
        <w:rPr>
          <w:color w:val="000000" w:themeColor="text1"/>
        </w:rPr>
        <w:t xml:space="preserve"> world.  Insofar as that constructed legal framework is superimposed onto a policy reality that is comparably bounded, in </w:t>
      </w:r>
      <w:r w:rsidR="001B1535" w:rsidRPr="00245485">
        <w:rPr>
          <w:color w:val="000000" w:themeColor="text1"/>
        </w:rPr>
        <w:t xml:space="preserve">the sense </w:t>
      </w:r>
      <w:r w:rsidR="005A68CF" w:rsidRPr="00245485">
        <w:rPr>
          <w:color w:val="000000" w:themeColor="text1"/>
        </w:rPr>
        <w:t xml:space="preserve">of </w:t>
      </w:r>
      <w:r w:rsidR="001B1535" w:rsidRPr="00245485">
        <w:rPr>
          <w:color w:val="000000" w:themeColor="text1"/>
        </w:rPr>
        <w:t xml:space="preserve">pursuing </w:t>
      </w:r>
      <w:r w:rsidR="00D159F5" w:rsidRPr="00245485">
        <w:rPr>
          <w:color w:val="000000" w:themeColor="text1"/>
        </w:rPr>
        <w:t xml:space="preserve">an equally focused problem-solving </w:t>
      </w:r>
      <w:r w:rsidR="00841622" w:rsidRPr="00245485">
        <w:rPr>
          <w:color w:val="000000" w:themeColor="text1"/>
        </w:rPr>
        <w:t xml:space="preserve">ambition and </w:t>
      </w:r>
      <w:r w:rsidR="001B1535" w:rsidRPr="00245485">
        <w:rPr>
          <w:color w:val="000000" w:themeColor="text1"/>
        </w:rPr>
        <w:t xml:space="preserve">debating </w:t>
      </w:r>
      <w:r w:rsidR="00D159F5" w:rsidRPr="00245485">
        <w:rPr>
          <w:color w:val="000000" w:themeColor="text1"/>
        </w:rPr>
        <w:t xml:space="preserve">a similarly defined </w:t>
      </w:r>
      <w:r w:rsidR="005A68CF" w:rsidRPr="00245485">
        <w:rPr>
          <w:color w:val="000000" w:themeColor="text1"/>
        </w:rPr>
        <w:t>subject matter</w:t>
      </w:r>
      <w:r w:rsidR="00D159F5" w:rsidRPr="00245485">
        <w:rPr>
          <w:color w:val="000000" w:themeColor="text1"/>
        </w:rPr>
        <w:t xml:space="preserve"> for regulation</w:t>
      </w:r>
      <w:r w:rsidR="005A68CF" w:rsidRPr="00245485">
        <w:rPr>
          <w:color w:val="000000" w:themeColor="text1"/>
        </w:rPr>
        <w:t xml:space="preserve">, the two systems </w:t>
      </w:r>
      <w:r w:rsidR="000C4AF8" w:rsidRPr="00245485">
        <w:rPr>
          <w:color w:val="000000" w:themeColor="text1"/>
        </w:rPr>
        <w:t xml:space="preserve">manage to interact together in largely sympathetic movement </w:t>
      </w:r>
      <w:r w:rsidR="003211FE" w:rsidRPr="00245485">
        <w:rPr>
          <w:color w:val="000000" w:themeColor="text1"/>
        </w:rPr>
        <w:t>– and that is arguably the paradigm with which many of us are comfortably familiar</w:t>
      </w:r>
      <w:r w:rsidR="005A68CF" w:rsidRPr="00245485">
        <w:rPr>
          <w:color w:val="000000" w:themeColor="text1"/>
        </w:rPr>
        <w:t xml:space="preserve">.  But what happens when the bounded legal world of conferred powers </w:t>
      </w:r>
      <w:proofErr w:type="gramStart"/>
      <w:r w:rsidR="005A68CF" w:rsidRPr="00245485">
        <w:rPr>
          <w:color w:val="000000" w:themeColor="text1"/>
        </w:rPr>
        <w:t>has to</w:t>
      </w:r>
      <w:proofErr w:type="gramEnd"/>
      <w:r w:rsidR="005A68CF" w:rsidRPr="00245485">
        <w:rPr>
          <w:color w:val="000000" w:themeColor="text1"/>
        </w:rPr>
        <w:t xml:space="preserve"> interact with a much more complex</w:t>
      </w:r>
      <w:r w:rsidR="00841622" w:rsidRPr="00245485">
        <w:rPr>
          <w:color w:val="000000" w:themeColor="text1"/>
        </w:rPr>
        <w:t xml:space="preserve"> </w:t>
      </w:r>
      <w:r w:rsidR="005A68CF" w:rsidRPr="00245485">
        <w:rPr>
          <w:color w:val="000000" w:themeColor="text1"/>
        </w:rPr>
        <w:t>policy context</w:t>
      </w:r>
      <w:r w:rsidR="001B1535" w:rsidRPr="00245485">
        <w:rPr>
          <w:color w:val="000000" w:themeColor="text1"/>
        </w:rPr>
        <w:t>?</w:t>
      </w:r>
      <w:r w:rsidR="00C73212" w:rsidRPr="00245485">
        <w:rPr>
          <w:color w:val="000000" w:themeColor="text1"/>
        </w:rPr>
        <w:t xml:space="preserve">  </w:t>
      </w:r>
    </w:p>
    <w:p w14:paraId="42801EE8" w14:textId="36C89075" w:rsidR="00245485" w:rsidRDefault="001B1535" w:rsidP="00245485">
      <w:pPr>
        <w:ind w:firstLine="720"/>
        <w:jc w:val="both"/>
        <w:rPr>
          <w:color w:val="000000" w:themeColor="text1"/>
        </w:rPr>
      </w:pPr>
      <w:r w:rsidRPr="00245485">
        <w:rPr>
          <w:color w:val="000000" w:themeColor="text1"/>
        </w:rPr>
        <w:t>This paper proceeds on the basis of an important hypothesis: that the scale and complexity</w:t>
      </w:r>
      <w:r w:rsidR="00BA28E8" w:rsidRPr="00245485">
        <w:rPr>
          <w:color w:val="000000" w:themeColor="text1"/>
        </w:rPr>
        <w:t xml:space="preserve"> </w:t>
      </w:r>
      <w:r w:rsidRPr="00245485">
        <w:rPr>
          <w:color w:val="000000" w:themeColor="text1"/>
        </w:rPr>
        <w:t xml:space="preserve">of certain challenges facing the Union demand solutions that go </w:t>
      </w:r>
      <w:r w:rsidR="00FD1D74" w:rsidRPr="00245485">
        <w:rPr>
          <w:color w:val="000000" w:themeColor="text1"/>
        </w:rPr>
        <w:t xml:space="preserve">far </w:t>
      </w:r>
      <w:r w:rsidRPr="00245485">
        <w:rPr>
          <w:color w:val="000000" w:themeColor="text1"/>
        </w:rPr>
        <w:t>beyond single initiatives or distinct measures; and instead call for a programme of interconnected regulatory responses – leading to a process of cross-cutting negotiations and mutually dependent political compromises, all culminating in the adoption of an integrated package of multiple acts that may well be “individual” but in reality are far from “discrete”.</w:t>
      </w:r>
      <w:r w:rsidR="009946A1" w:rsidRPr="00245485">
        <w:rPr>
          <w:color w:val="000000" w:themeColor="text1"/>
        </w:rPr>
        <w:t xml:space="preserve">  </w:t>
      </w:r>
      <w:r w:rsidR="00771295" w:rsidRPr="00245485">
        <w:rPr>
          <w:color w:val="000000" w:themeColor="text1"/>
        </w:rPr>
        <w:t xml:space="preserve">Section 3 describes in more detail the common characteristics that we will associate with such policy packages.  However, </w:t>
      </w:r>
      <w:r w:rsidR="009946A1" w:rsidRPr="00245485">
        <w:rPr>
          <w:color w:val="000000" w:themeColor="text1"/>
        </w:rPr>
        <w:t xml:space="preserve">is not the role or responsibility of a doctrinal lawyer to substantiate that hypothesis in any more empirical sense.  Instead, our task is to proceed from that hypothesis on its own terms and for our own purposes – of thinking more critically about the underlying nature and potential limits of our distinctively legal approach to the </w:t>
      </w:r>
      <w:r w:rsidR="00771295" w:rsidRPr="00245485">
        <w:rPr>
          <w:color w:val="000000" w:themeColor="text1"/>
        </w:rPr>
        <w:t xml:space="preserve">constitutional </w:t>
      </w:r>
      <w:r w:rsidR="009946A1" w:rsidRPr="00245485">
        <w:rPr>
          <w:color w:val="000000" w:themeColor="text1"/>
        </w:rPr>
        <w:t>system of conferral.</w:t>
      </w:r>
      <w:r w:rsidR="003F5434" w:rsidRPr="00245485">
        <w:rPr>
          <w:rStyle w:val="FootnoteReference"/>
          <w:color w:val="000000" w:themeColor="text1"/>
        </w:rPr>
        <w:footnoteReference w:id="4"/>
      </w:r>
      <w:r w:rsidR="009946A1" w:rsidRPr="00245485">
        <w:rPr>
          <w:color w:val="000000" w:themeColor="text1"/>
        </w:rPr>
        <w:t xml:space="preserve">  </w:t>
      </w:r>
    </w:p>
    <w:p w14:paraId="43D460AA" w14:textId="52DEEF3E" w:rsidR="00365A1F" w:rsidRPr="00245485" w:rsidRDefault="00771295" w:rsidP="00245485">
      <w:pPr>
        <w:ind w:firstLine="720"/>
        <w:jc w:val="both"/>
        <w:rPr>
          <w:color w:val="000000" w:themeColor="text1"/>
        </w:rPr>
      </w:pPr>
      <w:r w:rsidRPr="00245485">
        <w:rPr>
          <w:color w:val="000000" w:themeColor="text1"/>
        </w:rPr>
        <w:t xml:space="preserve">To that end, </w:t>
      </w:r>
      <w:r w:rsidR="00C73212" w:rsidRPr="00245485">
        <w:rPr>
          <w:color w:val="000000" w:themeColor="text1"/>
        </w:rPr>
        <w:t>Section</w:t>
      </w:r>
      <w:r w:rsidR="002F5487" w:rsidRPr="00245485">
        <w:rPr>
          <w:color w:val="000000" w:themeColor="text1"/>
        </w:rPr>
        <w:t>s</w:t>
      </w:r>
      <w:r w:rsidR="00C73212" w:rsidRPr="00245485">
        <w:rPr>
          <w:color w:val="000000" w:themeColor="text1"/>
        </w:rPr>
        <w:t xml:space="preserve"> </w:t>
      </w:r>
      <w:r w:rsidR="00110E62" w:rsidRPr="00245485">
        <w:rPr>
          <w:color w:val="000000" w:themeColor="text1"/>
        </w:rPr>
        <w:t>4</w:t>
      </w:r>
      <w:r w:rsidR="00C73212" w:rsidRPr="00245485">
        <w:rPr>
          <w:color w:val="000000" w:themeColor="text1"/>
        </w:rPr>
        <w:t xml:space="preserve"> </w:t>
      </w:r>
      <w:r w:rsidR="002F5487" w:rsidRPr="00245485">
        <w:rPr>
          <w:color w:val="000000" w:themeColor="text1"/>
        </w:rPr>
        <w:t xml:space="preserve">and 5 </w:t>
      </w:r>
      <w:r w:rsidRPr="00245485">
        <w:rPr>
          <w:color w:val="000000" w:themeColor="text1"/>
        </w:rPr>
        <w:t xml:space="preserve">argue that </w:t>
      </w:r>
      <w:r w:rsidR="009946A1" w:rsidRPr="00245485">
        <w:rPr>
          <w:color w:val="000000" w:themeColor="text1"/>
        </w:rPr>
        <w:t xml:space="preserve">the bounded legal world of conferred powers </w:t>
      </w:r>
      <w:r w:rsidR="00D6282C" w:rsidRPr="00245485">
        <w:rPr>
          <w:color w:val="000000" w:themeColor="text1"/>
        </w:rPr>
        <w:t xml:space="preserve">struggles to </w:t>
      </w:r>
      <w:r w:rsidR="00487E09" w:rsidRPr="00245485">
        <w:rPr>
          <w:color w:val="000000" w:themeColor="text1"/>
        </w:rPr>
        <w:t xml:space="preserve">acknowledge the role and place of a given Union </w:t>
      </w:r>
      <w:r w:rsidR="009946A1" w:rsidRPr="00245485">
        <w:rPr>
          <w:color w:val="000000" w:themeColor="text1"/>
        </w:rPr>
        <w:t xml:space="preserve">instrument </w:t>
      </w:r>
      <w:r w:rsidR="00487E09" w:rsidRPr="00245485">
        <w:rPr>
          <w:color w:val="000000" w:themeColor="text1"/>
        </w:rPr>
        <w:t xml:space="preserve">within its </w:t>
      </w:r>
      <w:r w:rsidR="009946A1" w:rsidRPr="00245485">
        <w:rPr>
          <w:color w:val="000000" w:themeColor="text1"/>
        </w:rPr>
        <w:t xml:space="preserve">wider policy </w:t>
      </w:r>
      <w:r w:rsidR="00487E09" w:rsidRPr="00245485">
        <w:rPr>
          <w:color w:val="000000" w:themeColor="text1"/>
        </w:rPr>
        <w:t>settlement</w:t>
      </w:r>
      <w:r w:rsidR="00EC2BDC" w:rsidRPr="00245485">
        <w:rPr>
          <w:color w:val="000000" w:themeColor="text1"/>
        </w:rPr>
        <w:t xml:space="preserve">; and suggests that that dislocation between </w:t>
      </w:r>
      <w:r w:rsidR="00365A1F" w:rsidRPr="00245485">
        <w:rPr>
          <w:color w:val="000000" w:themeColor="text1"/>
        </w:rPr>
        <w:t xml:space="preserve">traditional </w:t>
      </w:r>
      <w:r w:rsidR="00EC2BDC" w:rsidRPr="00245485">
        <w:rPr>
          <w:color w:val="000000" w:themeColor="text1"/>
        </w:rPr>
        <w:t xml:space="preserve">competence </w:t>
      </w:r>
      <w:r w:rsidR="00365A1F" w:rsidRPr="00245485">
        <w:rPr>
          <w:color w:val="000000" w:themeColor="text1"/>
        </w:rPr>
        <w:t>analysis</w:t>
      </w:r>
      <w:r w:rsidR="00C73212" w:rsidRPr="00245485">
        <w:rPr>
          <w:color w:val="000000" w:themeColor="text1"/>
        </w:rPr>
        <w:t xml:space="preserve"> </w:t>
      </w:r>
      <w:r w:rsidR="00EC2BDC" w:rsidRPr="00245485">
        <w:rPr>
          <w:color w:val="000000" w:themeColor="text1"/>
        </w:rPr>
        <w:t xml:space="preserve">and the needs of </w:t>
      </w:r>
      <w:r w:rsidR="00C73212" w:rsidRPr="00245485">
        <w:rPr>
          <w:color w:val="000000" w:themeColor="text1"/>
        </w:rPr>
        <w:t>more complex policymaking</w:t>
      </w:r>
      <w:r w:rsidR="00EC2BDC" w:rsidRPr="00245485">
        <w:rPr>
          <w:color w:val="000000" w:themeColor="text1"/>
        </w:rPr>
        <w:t xml:space="preserve"> </w:t>
      </w:r>
      <w:r w:rsidR="004C51E6" w:rsidRPr="00245485">
        <w:rPr>
          <w:color w:val="000000" w:themeColor="text1"/>
        </w:rPr>
        <w:t>could</w:t>
      </w:r>
      <w:r w:rsidR="00EC2BDC" w:rsidRPr="00245485">
        <w:rPr>
          <w:color w:val="000000" w:themeColor="text1"/>
        </w:rPr>
        <w:t xml:space="preserve"> give rise to certain tensions – sometimes leaving ad hoc “competence creep” as the only effective yet deeply controversial </w:t>
      </w:r>
      <w:r w:rsidRPr="00245485">
        <w:rPr>
          <w:color w:val="000000" w:themeColor="text1"/>
        </w:rPr>
        <w:t xml:space="preserve">means of </w:t>
      </w:r>
      <w:r w:rsidR="00EC2BDC" w:rsidRPr="00245485">
        <w:rPr>
          <w:color w:val="000000" w:themeColor="text1"/>
        </w:rPr>
        <w:t>resolution</w:t>
      </w:r>
      <w:r w:rsidR="00C73212" w:rsidRPr="00245485">
        <w:rPr>
          <w:color w:val="000000" w:themeColor="text1"/>
        </w:rPr>
        <w:t xml:space="preserve">.  </w:t>
      </w:r>
      <w:r w:rsidR="005C774D" w:rsidRPr="00245485">
        <w:rPr>
          <w:color w:val="000000" w:themeColor="text1"/>
        </w:rPr>
        <w:t xml:space="preserve">But </w:t>
      </w:r>
      <w:r w:rsidR="00C73212" w:rsidRPr="00245485">
        <w:rPr>
          <w:color w:val="000000" w:themeColor="text1"/>
        </w:rPr>
        <w:t xml:space="preserve">Section </w:t>
      </w:r>
      <w:r w:rsidR="002F5487" w:rsidRPr="00245485">
        <w:rPr>
          <w:color w:val="000000" w:themeColor="text1"/>
        </w:rPr>
        <w:t>6</w:t>
      </w:r>
      <w:r w:rsidR="00C73212" w:rsidRPr="00245485">
        <w:rPr>
          <w:color w:val="000000" w:themeColor="text1"/>
        </w:rPr>
        <w:t xml:space="preserve"> </w:t>
      </w:r>
      <w:r w:rsidR="008508C5" w:rsidRPr="00245485">
        <w:rPr>
          <w:color w:val="000000" w:themeColor="text1"/>
        </w:rPr>
        <w:t xml:space="preserve">acknowledges that our response to that analysis may be decisively coloured by certain normative assumptions about the very nature of the Union legal order.  After all, some readers will </w:t>
      </w:r>
      <w:r w:rsidR="002F5487" w:rsidRPr="00245485">
        <w:rPr>
          <w:color w:val="000000" w:themeColor="text1"/>
        </w:rPr>
        <w:t xml:space="preserve">simply </w:t>
      </w:r>
      <w:r w:rsidR="008508C5" w:rsidRPr="00245485">
        <w:rPr>
          <w:color w:val="000000" w:themeColor="text1"/>
        </w:rPr>
        <w:t xml:space="preserve">regard such tensions as </w:t>
      </w:r>
      <w:r w:rsidR="00EC2BDC" w:rsidRPr="00245485">
        <w:rPr>
          <w:color w:val="000000" w:themeColor="text1"/>
        </w:rPr>
        <w:t xml:space="preserve">among the inevitable constraints imposed by the Treaties </w:t>
      </w:r>
      <w:proofErr w:type="gramStart"/>
      <w:r w:rsidR="00110E62" w:rsidRPr="00245485">
        <w:rPr>
          <w:color w:val="000000" w:themeColor="text1"/>
        </w:rPr>
        <w:t>so as to</w:t>
      </w:r>
      <w:proofErr w:type="gramEnd"/>
      <w:r w:rsidR="00110E62" w:rsidRPr="00245485">
        <w:rPr>
          <w:color w:val="000000" w:themeColor="text1"/>
        </w:rPr>
        <w:t xml:space="preserve"> discipline the </w:t>
      </w:r>
      <w:r w:rsidR="00EC2BDC" w:rsidRPr="00245485">
        <w:rPr>
          <w:color w:val="000000" w:themeColor="text1"/>
        </w:rPr>
        <w:t>will of the Union’s political institutions</w:t>
      </w:r>
      <w:r w:rsidR="008508C5" w:rsidRPr="00245485">
        <w:rPr>
          <w:color w:val="000000" w:themeColor="text1"/>
        </w:rPr>
        <w:t xml:space="preserve">.  </w:t>
      </w:r>
      <w:r w:rsidR="002F5487" w:rsidRPr="00245485">
        <w:rPr>
          <w:color w:val="000000" w:themeColor="text1"/>
        </w:rPr>
        <w:t xml:space="preserve">However, on </w:t>
      </w:r>
      <w:r w:rsidR="00365A1F" w:rsidRPr="00245485">
        <w:rPr>
          <w:color w:val="000000" w:themeColor="text1"/>
        </w:rPr>
        <w:t xml:space="preserve">the assumption that </w:t>
      </w:r>
      <w:r w:rsidR="00110E62" w:rsidRPr="00245485">
        <w:rPr>
          <w:color w:val="000000" w:themeColor="text1"/>
        </w:rPr>
        <w:t xml:space="preserve">we </w:t>
      </w:r>
      <w:r w:rsidR="002F5487" w:rsidRPr="00245485">
        <w:rPr>
          <w:color w:val="000000" w:themeColor="text1"/>
        </w:rPr>
        <w:t xml:space="preserve">should </w:t>
      </w:r>
      <w:r w:rsidR="00110E62" w:rsidRPr="00245485">
        <w:rPr>
          <w:color w:val="000000" w:themeColor="text1"/>
        </w:rPr>
        <w:t xml:space="preserve">feel motivated </w:t>
      </w:r>
      <w:r w:rsidR="00D177BD" w:rsidRPr="00245485">
        <w:rPr>
          <w:color w:val="000000" w:themeColor="text1"/>
        </w:rPr>
        <w:t xml:space="preserve">better </w:t>
      </w:r>
      <w:r w:rsidR="00110E62" w:rsidRPr="00245485">
        <w:rPr>
          <w:color w:val="000000" w:themeColor="text1"/>
        </w:rPr>
        <w:t>to accommodate the needs of complex policymaking</w:t>
      </w:r>
      <w:r w:rsidR="00C73212" w:rsidRPr="00245485">
        <w:rPr>
          <w:color w:val="000000" w:themeColor="text1"/>
        </w:rPr>
        <w:t xml:space="preserve">, </w:t>
      </w:r>
      <w:r w:rsidR="00D713B8">
        <w:rPr>
          <w:color w:val="000000" w:themeColor="text1"/>
        </w:rPr>
        <w:t xml:space="preserve">and in the spirit of stimulating further reflection and perhaps even the hope of prompting further debate, </w:t>
      </w:r>
      <w:r w:rsidR="00C73212" w:rsidRPr="00245485">
        <w:rPr>
          <w:color w:val="000000" w:themeColor="text1"/>
        </w:rPr>
        <w:t xml:space="preserve">Section </w:t>
      </w:r>
      <w:r w:rsidR="002F5487" w:rsidRPr="00245485">
        <w:rPr>
          <w:color w:val="000000" w:themeColor="text1"/>
        </w:rPr>
        <w:t>7</w:t>
      </w:r>
      <w:r w:rsidR="00C73212" w:rsidRPr="00245485">
        <w:rPr>
          <w:color w:val="000000" w:themeColor="text1"/>
        </w:rPr>
        <w:t xml:space="preserve"> </w:t>
      </w:r>
      <w:r w:rsidR="00365A1F" w:rsidRPr="00245485">
        <w:rPr>
          <w:color w:val="000000" w:themeColor="text1"/>
        </w:rPr>
        <w:t>outlin</w:t>
      </w:r>
      <w:r w:rsidR="00C73212" w:rsidRPr="00245485">
        <w:rPr>
          <w:color w:val="000000" w:themeColor="text1"/>
        </w:rPr>
        <w:t>es</w:t>
      </w:r>
      <w:r w:rsidR="00365A1F" w:rsidRPr="00245485">
        <w:rPr>
          <w:color w:val="000000" w:themeColor="text1"/>
        </w:rPr>
        <w:t xml:space="preserve"> some of the flexibilities or adaptations that might be on offer</w:t>
      </w:r>
      <w:r w:rsidR="00C85C43" w:rsidRPr="00245485">
        <w:rPr>
          <w:color w:val="000000" w:themeColor="text1"/>
        </w:rPr>
        <w:t xml:space="preserve"> with a view (at least) to promoting greater cross-transparency in the relationship between political practice and legal analysis; or (going further) to overcoming certain substantive competence objections that might otherwise inhibit the Union’s capacity to provide effective solutions to </w:t>
      </w:r>
      <w:r w:rsidR="00127081" w:rsidRPr="00245485">
        <w:rPr>
          <w:color w:val="000000" w:themeColor="text1"/>
        </w:rPr>
        <w:t>major</w:t>
      </w:r>
      <w:r w:rsidR="00C85C43" w:rsidRPr="00245485">
        <w:rPr>
          <w:color w:val="000000" w:themeColor="text1"/>
        </w:rPr>
        <w:t xml:space="preserve"> </w:t>
      </w:r>
      <w:r w:rsidR="00C877A4">
        <w:rPr>
          <w:color w:val="000000" w:themeColor="text1"/>
        </w:rPr>
        <w:t xml:space="preserve">policy </w:t>
      </w:r>
      <w:r w:rsidR="00C85C43" w:rsidRPr="00245485">
        <w:rPr>
          <w:color w:val="000000" w:themeColor="text1"/>
        </w:rPr>
        <w:t>challenges</w:t>
      </w:r>
      <w:r w:rsidR="00C73212" w:rsidRPr="00245485">
        <w:rPr>
          <w:color w:val="000000" w:themeColor="text1"/>
        </w:rPr>
        <w:t>.</w:t>
      </w:r>
      <w:r w:rsidR="00D713B8">
        <w:rPr>
          <w:color w:val="000000" w:themeColor="text1"/>
        </w:rPr>
        <w:t xml:space="preserve">  </w:t>
      </w:r>
    </w:p>
    <w:p w14:paraId="58CB6017" w14:textId="77777777" w:rsidR="00FF5C3A" w:rsidRPr="00245485" w:rsidRDefault="00FF5C3A" w:rsidP="00245485">
      <w:pPr>
        <w:jc w:val="both"/>
        <w:rPr>
          <w:b/>
          <w:bCs/>
          <w:color w:val="000000" w:themeColor="text1"/>
        </w:rPr>
      </w:pPr>
    </w:p>
    <w:p w14:paraId="676D2437" w14:textId="7F7FD176" w:rsidR="007D370C" w:rsidRPr="00245485" w:rsidRDefault="002F5487" w:rsidP="00245485">
      <w:pPr>
        <w:jc w:val="both"/>
        <w:rPr>
          <w:b/>
          <w:bCs/>
          <w:color w:val="000000" w:themeColor="text1"/>
        </w:rPr>
      </w:pPr>
      <w:r w:rsidRPr="00245485">
        <w:rPr>
          <w:b/>
          <w:bCs/>
          <w:color w:val="000000" w:themeColor="text1"/>
        </w:rPr>
        <w:t xml:space="preserve">2. </w:t>
      </w:r>
      <w:r w:rsidR="00CE7593" w:rsidRPr="00245485">
        <w:rPr>
          <w:b/>
          <w:bCs/>
          <w:color w:val="000000" w:themeColor="text1"/>
        </w:rPr>
        <w:t>Attributed Powers</w:t>
      </w:r>
      <w:r w:rsidR="00EB6390" w:rsidRPr="00245485">
        <w:rPr>
          <w:b/>
          <w:bCs/>
          <w:color w:val="000000" w:themeColor="text1"/>
        </w:rPr>
        <w:t xml:space="preserve"> and the </w:t>
      </w:r>
      <w:r w:rsidR="007D370C" w:rsidRPr="00245485">
        <w:rPr>
          <w:b/>
          <w:bCs/>
          <w:color w:val="000000" w:themeColor="text1"/>
        </w:rPr>
        <w:t>Bounded World of Each Individual and Discrete Union Act</w:t>
      </w:r>
    </w:p>
    <w:p w14:paraId="770073F3" w14:textId="492B3386" w:rsidR="007D370C" w:rsidRDefault="007D370C" w:rsidP="00245485">
      <w:pPr>
        <w:jc w:val="both"/>
        <w:rPr>
          <w:color w:val="000000" w:themeColor="text1"/>
        </w:rPr>
      </w:pPr>
    </w:p>
    <w:p w14:paraId="196474B2" w14:textId="66D86337" w:rsidR="00E308BC" w:rsidRPr="00E308BC" w:rsidRDefault="00E308BC" w:rsidP="00245485">
      <w:pPr>
        <w:jc w:val="both"/>
        <w:rPr>
          <w:i/>
          <w:iCs/>
          <w:color w:val="000000" w:themeColor="text1"/>
        </w:rPr>
      </w:pPr>
      <w:r w:rsidRPr="00E308BC">
        <w:rPr>
          <w:i/>
          <w:iCs/>
          <w:color w:val="000000" w:themeColor="text1"/>
        </w:rPr>
        <w:t>2.1 The individual and discrete Union act</w:t>
      </w:r>
    </w:p>
    <w:p w14:paraId="7AAC7680" w14:textId="77777777" w:rsidR="00E308BC" w:rsidRPr="00245485" w:rsidRDefault="00E308BC" w:rsidP="00245485">
      <w:pPr>
        <w:jc w:val="both"/>
        <w:rPr>
          <w:color w:val="000000" w:themeColor="text1"/>
        </w:rPr>
      </w:pPr>
    </w:p>
    <w:p w14:paraId="25E3C959" w14:textId="77777777" w:rsidR="00245485" w:rsidRDefault="00E02139" w:rsidP="00245485">
      <w:pPr>
        <w:jc w:val="both"/>
        <w:rPr>
          <w:color w:val="000000" w:themeColor="text1"/>
        </w:rPr>
      </w:pPr>
      <w:r w:rsidRPr="00245485">
        <w:rPr>
          <w:color w:val="000000" w:themeColor="text1"/>
        </w:rPr>
        <w:t xml:space="preserve">Under the </w:t>
      </w:r>
      <w:r w:rsidR="0044054C" w:rsidRPr="00245485">
        <w:rPr>
          <w:color w:val="000000" w:themeColor="text1"/>
        </w:rPr>
        <w:t>p</w:t>
      </w:r>
      <w:r w:rsidR="000233E7" w:rsidRPr="00245485">
        <w:rPr>
          <w:color w:val="000000" w:themeColor="text1"/>
        </w:rPr>
        <w:t>rinciple</w:t>
      </w:r>
      <w:r w:rsidR="0044054C" w:rsidRPr="00245485">
        <w:rPr>
          <w:color w:val="000000" w:themeColor="text1"/>
        </w:rPr>
        <w:t xml:space="preserve"> of conferral, </w:t>
      </w:r>
      <w:r w:rsidRPr="00245485">
        <w:rPr>
          <w:color w:val="000000" w:themeColor="text1"/>
        </w:rPr>
        <w:t>the Union shall act only within the limits of the competences conferred upon it by the Member States in the Treaties to attain the objectives set out therein.</w:t>
      </w:r>
      <w:r w:rsidR="00771295" w:rsidRPr="00245485">
        <w:rPr>
          <w:rStyle w:val="FootnoteReference"/>
          <w:color w:val="000000" w:themeColor="text1"/>
        </w:rPr>
        <w:footnoteReference w:id="5"/>
      </w:r>
      <w:r w:rsidRPr="00245485">
        <w:rPr>
          <w:color w:val="000000" w:themeColor="text1"/>
        </w:rPr>
        <w:t xml:space="preserve">  </w:t>
      </w:r>
      <w:r w:rsidR="006832CD" w:rsidRPr="00245485">
        <w:rPr>
          <w:color w:val="000000" w:themeColor="text1"/>
        </w:rPr>
        <w:t xml:space="preserve">To operationalise </w:t>
      </w:r>
      <w:r w:rsidR="009F4C96" w:rsidRPr="00245485">
        <w:rPr>
          <w:color w:val="000000" w:themeColor="text1"/>
        </w:rPr>
        <w:t xml:space="preserve">that </w:t>
      </w:r>
      <w:r w:rsidRPr="00245485">
        <w:rPr>
          <w:color w:val="000000" w:themeColor="text1"/>
        </w:rPr>
        <w:t>overarching principle</w:t>
      </w:r>
      <w:r w:rsidR="009F4C96" w:rsidRPr="00245485">
        <w:rPr>
          <w:color w:val="000000" w:themeColor="text1"/>
        </w:rPr>
        <w:t>,</w:t>
      </w:r>
      <w:r w:rsidRPr="00245485">
        <w:rPr>
          <w:color w:val="000000" w:themeColor="text1"/>
        </w:rPr>
        <w:t xml:space="preserve"> </w:t>
      </w:r>
      <w:r w:rsidR="009F4C96" w:rsidRPr="00245485">
        <w:rPr>
          <w:color w:val="000000" w:themeColor="text1"/>
        </w:rPr>
        <w:t xml:space="preserve">a more detailed body of rules has developed – following the cue of the Treaty texts, based on the practice of the Union institutions, and </w:t>
      </w:r>
      <w:r w:rsidR="00976196" w:rsidRPr="00245485">
        <w:rPr>
          <w:color w:val="000000" w:themeColor="text1"/>
        </w:rPr>
        <w:t>governed by</w:t>
      </w:r>
      <w:r w:rsidR="009F4C96" w:rsidRPr="00245485">
        <w:rPr>
          <w:color w:val="000000" w:themeColor="text1"/>
        </w:rPr>
        <w:t xml:space="preserve"> the jurisprudence of the CJEU – to </w:t>
      </w:r>
      <w:r w:rsidR="00976196" w:rsidRPr="00245485">
        <w:rPr>
          <w:color w:val="000000" w:themeColor="text1"/>
        </w:rPr>
        <w:t>determine</w:t>
      </w:r>
      <w:r w:rsidR="009F4C96" w:rsidRPr="00245485">
        <w:rPr>
          <w:color w:val="000000" w:themeColor="text1"/>
        </w:rPr>
        <w:t xml:space="preserve"> the attribution of powers to the Union.</w:t>
      </w:r>
      <w:r w:rsidR="00B636DA" w:rsidRPr="00245485">
        <w:rPr>
          <w:rStyle w:val="FootnoteReference"/>
          <w:color w:val="000000" w:themeColor="text1"/>
        </w:rPr>
        <w:footnoteReference w:id="6"/>
      </w:r>
      <w:r w:rsidR="009F4C96" w:rsidRPr="00245485">
        <w:rPr>
          <w:color w:val="000000" w:themeColor="text1"/>
        </w:rPr>
        <w:t xml:space="preserve">  </w:t>
      </w:r>
      <w:r w:rsidR="007E66F1" w:rsidRPr="00245485">
        <w:rPr>
          <w:color w:val="000000" w:themeColor="text1"/>
        </w:rPr>
        <w:t>C</w:t>
      </w:r>
      <w:r w:rsidR="009F4C96" w:rsidRPr="00245485">
        <w:rPr>
          <w:color w:val="000000" w:themeColor="text1"/>
        </w:rPr>
        <w:t>rucially, the logic of the entire system is focused on verifying the competence basis of any given</w:t>
      </w:r>
      <w:r w:rsidR="002C5663" w:rsidRPr="00245485">
        <w:rPr>
          <w:color w:val="000000" w:themeColor="text1"/>
        </w:rPr>
        <w:t xml:space="preserve">, </w:t>
      </w:r>
      <w:r w:rsidR="000233E7" w:rsidRPr="00245485">
        <w:rPr>
          <w:color w:val="000000" w:themeColor="text1"/>
        </w:rPr>
        <w:t xml:space="preserve">individual </w:t>
      </w:r>
      <w:r w:rsidR="009F4C96" w:rsidRPr="00245485">
        <w:rPr>
          <w:color w:val="000000" w:themeColor="text1"/>
        </w:rPr>
        <w:t>and discrete</w:t>
      </w:r>
      <w:r w:rsidR="002C5663" w:rsidRPr="00245485">
        <w:rPr>
          <w:color w:val="000000" w:themeColor="text1"/>
        </w:rPr>
        <w:t xml:space="preserve">, </w:t>
      </w:r>
      <w:r w:rsidR="000233E7" w:rsidRPr="00245485">
        <w:rPr>
          <w:color w:val="000000" w:themeColor="text1"/>
        </w:rPr>
        <w:t>Union act.</w:t>
      </w:r>
      <w:r w:rsidR="002C5663" w:rsidRPr="00245485">
        <w:rPr>
          <w:color w:val="000000" w:themeColor="text1"/>
        </w:rPr>
        <w:t xml:space="preserve">  </w:t>
      </w:r>
      <w:r w:rsidR="007E66F1" w:rsidRPr="00245485">
        <w:rPr>
          <w:color w:val="000000" w:themeColor="text1"/>
        </w:rPr>
        <w:t>Indeed, t</w:t>
      </w:r>
      <w:r w:rsidR="005A68CF" w:rsidRPr="00245485">
        <w:rPr>
          <w:color w:val="000000" w:themeColor="text1"/>
        </w:rPr>
        <w:t xml:space="preserve">he legal </w:t>
      </w:r>
      <w:r w:rsidR="007E66F1" w:rsidRPr="00245485">
        <w:rPr>
          <w:color w:val="000000" w:themeColor="text1"/>
        </w:rPr>
        <w:t xml:space="preserve">framework of conferral </w:t>
      </w:r>
      <w:r w:rsidR="005A68CF" w:rsidRPr="00245485">
        <w:rPr>
          <w:color w:val="000000" w:themeColor="text1"/>
        </w:rPr>
        <w:t xml:space="preserve">is </w:t>
      </w:r>
      <w:r w:rsidR="00567812" w:rsidRPr="00245485">
        <w:rPr>
          <w:color w:val="000000" w:themeColor="text1"/>
        </w:rPr>
        <w:t xml:space="preserve">fundamentally </w:t>
      </w:r>
      <w:r w:rsidR="005A68CF" w:rsidRPr="00245485">
        <w:rPr>
          <w:color w:val="000000" w:themeColor="text1"/>
        </w:rPr>
        <w:t>predicated upon the construction of a bounded world</w:t>
      </w:r>
      <w:r w:rsidR="007E66F1" w:rsidRPr="00245485">
        <w:rPr>
          <w:color w:val="000000" w:themeColor="text1"/>
        </w:rPr>
        <w:t xml:space="preserve"> – in fact, of an infinite number of bounded worlds – in which the lawfulness of </w:t>
      </w:r>
      <w:proofErr w:type="gramStart"/>
      <w:r w:rsidR="007E66F1" w:rsidRPr="00245485">
        <w:rPr>
          <w:color w:val="000000" w:themeColor="text1"/>
        </w:rPr>
        <w:t>each and every</w:t>
      </w:r>
      <w:proofErr w:type="gramEnd"/>
      <w:r w:rsidR="007E66F1" w:rsidRPr="00245485">
        <w:rPr>
          <w:color w:val="000000" w:themeColor="text1"/>
        </w:rPr>
        <w:t xml:space="preserve"> Union measure is to be assessed as such and on its own terms.</w:t>
      </w:r>
      <w:r w:rsidR="004436DF" w:rsidRPr="00245485">
        <w:rPr>
          <w:rStyle w:val="FootnoteReference"/>
          <w:color w:val="000000" w:themeColor="text1"/>
        </w:rPr>
        <w:footnoteReference w:id="7"/>
      </w:r>
    </w:p>
    <w:p w14:paraId="38A2C43E" w14:textId="77777777" w:rsidR="00245485" w:rsidRDefault="006832CD" w:rsidP="00245485">
      <w:pPr>
        <w:ind w:firstLine="720"/>
        <w:jc w:val="both"/>
        <w:rPr>
          <w:color w:val="000000" w:themeColor="text1"/>
        </w:rPr>
      </w:pPr>
      <w:r w:rsidRPr="00245485">
        <w:rPr>
          <w:color w:val="000000" w:themeColor="text1"/>
        </w:rPr>
        <w:t xml:space="preserve">In order to </w:t>
      </w:r>
      <w:r w:rsidR="00BC24A2" w:rsidRPr="00245485">
        <w:rPr>
          <w:color w:val="000000" w:themeColor="text1"/>
        </w:rPr>
        <w:t xml:space="preserve">satisfy </w:t>
      </w:r>
      <w:r w:rsidRPr="00245485">
        <w:rPr>
          <w:color w:val="000000" w:themeColor="text1"/>
        </w:rPr>
        <w:t xml:space="preserve">the </w:t>
      </w:r>
      <w:r w:rsidR="00BC24A2" w:rsidRPr="00245485">
        <w:rPr>
          <w:color w:val="000000" w:themeColor="text1"/>
        </w:rPr>
        <w:t xml:space="preserve">principle </w:t>
      </w:r>
      <w:r w:rsidRPr="00245485">
        <w:rPr>
          <w:color w:val="000000" w:themeColor="text1"/>
        </w:rPr>
        <w:t xml:space="preserve">of conferral, </w:t>
      </w:r>
      <w:r w:rsidR="00BC24A2" w:rsidRPr="00245485">
        <w:rPr>
          <w:color w:val="000000" w:themeColor="text1"/>
        </w:rPr>
        <w:t xml:space="preserve">any given </w:t>
      </w:r>
      <w:r w:rsidR="003B3FAF" w:rsidRPr="00245485">
        <w:rPr>
          <w:color w:val="000000" w:themeColor="text1"/>
        </w:rPr>
        <w:t xml:space="preserve">Union act </w:t>
      </w:r>
      <w:r w:rsidRPr="00245485">
        <w:rPr>
          <w:color w:val="000000" w:themeColor="text1"/>
        </w:rPr>
        <w:t xml:space="preserve">must identify an appropriate legal basis for its </w:t>
      </w:r>
      <w:r w:rsidR="00BC24A2" w:rsidRPr="00245485">
        <w:rPr>
          <w:color w:val="000000" w:themeColor="text1"/>
        </w:rPr>
        <w:t xml:space="preserve">own </w:t>
      </w:r>
      <w:r w:rsidRPr="00245485">
        <w:rPr>
          <w:color w:val="000000" w:themeColor="text1"/>
        </w:rPr>
        <w:t xml:space="preserve">adoption </w:t>
      </w:r>
      <w:r w:rsidR="003B3FAF" w:rsidRPr="00245485">
        <w:rPr>
          <w:color w:val="000000" w:themeColor="text1"/>
        </w:rPr>
        <w:t>under or pursuant to the Treaties.</w:t>
      </w:r>
      <w:r w:rsidR="00771295" w:rsidRPr="00245485">
        <w:rPr>
          <w:rStyle w:val="FootnoteReference"/>
          <w:color w:val="000000" w:themeColor="text1"/>
        </w:rPr>
        <w:footnoteReference w:id="8"/>
      </w:r>
      <w:r w:rsidR="003B3FAF" w:rsidRPr="00245485">
        <w:rPr>
          <w:color w:val="000000" w:themeColor="text1"/>
        </w:rPr>
        <w:t xml:space="preserve">  </w:t>
      </w:r>
      <w:r w:rsidR="001E1BD2" w:rsidRPr="00245485">
        <w:rPr>
          <w:color w:val="000000" w:themeColor="text1"/>
        </w:rPr>
        <w:t xml:space="preserve">According to the Court, that is </w:t>
      </w:r>
      <w:r w:rsidR="00BC24A2" w:rsidRPr="00245485">
        <w:rPr>
          <w:color w:val="000000" w:themeColor="text1"/>
        </w:rPr>
        <w:t>a requirement and a</w:t>
      </w:r>
      <w:r w:rsidR="001E1BD2" w:rsidRPr="00245485">
        <w:rPr>
          <w:color w:val="000000" w:themeColor="text1"/>
        </w:rPr>
        <w:t xml:space="preserve"> choice of constitutional significance.</w:t>
      </w:r>
      <w:r w:rsidR="00771295" w:rsidRPr="00245485">
        <w:rPr>
          <w:rStyle w:val="FootnoteReference"/>
          <w:color w:val="000000" w:themeColor="text1"/>
        </w:rPr>
        <w:footnoteReference w:id="9"/>
      </w:r>
      <w:r w:rsidR="001E1BD2" w:rsidRPr="00245485">
        <w:rPr>
          <w:color w:val="000000" w:themeColor="text1"/>
        </w:rPr>
        <w:t xml:space="preserve">  </w:t>
      </w:r>
      <w:r w:rsidR="000439EA" w:rsidRPr="00245485">
        <w:rPr>
          <w:color w:val="000000" w:themeColor="text1"/>
        </w:rPr>
        <w:t>After all, when r</w:t>
      </w:r>
      <w:r w:rsidR="003B3FAF" w:rsidRPr="00245485">
        <w:rPr>
          <w:color w:val="000000" w:themeColor="text1"/>
        </w:rPr>
        <w:t xml:space="preserve">ead in the light of the general competence principles contained in Part One TFEU, each legal basis will define the substantive aspects of Union competence: for example, the purpose, scope and form of permissible action; any specific limitations on the </w:t>
      </w:r>
      <w:r w:rsidR="000439EA" w:rsidRPr="00245485">
        <w:rPr>
          <w:color w:val="000000" w:themeColor="text1"/>
        </w:rPr>
        <w:t xml:space="preserve">Union’s </w:t>
      </w:r>
      <w:r w:rsidR="003B3FAF" w:rsidRPr="00245485">
        <w:rPr>
          <w:color w:val="000000" w:themeColor="text1"/>
        </w:rPr>
        <w:t xml:space="preserve">proper room for manoeuvre; and the impact of Union action upon the exercise of national competence – whether through the categorisation of Union power as exclusive, shared or complementary etc, or through the applicability of flexibility provisions both specific (primary law opt-outs) and general (enhanced cooperation).  </w:t>
      </w:r>
      <w:r w:rsidR="000439EA" w:rsidRPr="00245485">
        <w:rPr>
          <w:color w:val="000000" w:themeColor="text1"/>
        </w:rPr>
        <w:t>Moreover, when r</w:t>
      </w:r>
      <w:r w:rsidR="003B3FAF" w:rsidRPr="00245485">
        <w:rPr>
          <w:color w:val="000000" w:themeColor="text1"/>
        </w:rPr>
        <w:t>ead in the light of the horizontal institutional provisions contained elsewhere in the Treaties, each legal basis will also prescribe the procedural aspects of the relevant Union competence: for example, the legislative or non-legislative character of the relevant act; the degree of decision-making involvement enjoyed by the European Parliament; the voting thresholds that should apply within the Council; the scope for participation by other Union institutions</w:t>
      </w:r>
      <w:r w:rsidR="006F4143" w:rsidRPr="00245485">
        <w:rPr>
          <w:color w:val="000000" w:themeColor="text1"/>
        </w:rPr>
        <w:t xml:space="preserve"> or </w:t>
      </w:r>
      <w:r w:rsidR="003B3FAF" w:rsidRPr="00245485">
        <w:rPr>
          <w:color w:val="000000" w:themeColor="text1"/>
        </w:rPr>
        <w:t>bodies etc.</w:t>
      </w:r>
      <w:r w:rsidR="005D712E" w:rsidRPr="00245485">
        <w:rPr>
          <w:rStyle w:val="FootnoteReference"/>
          <w:color w:val="000000" w:themeColor="text1"/>
        </w:rPr>
        <w:footnoteReference w:id="10"/>
      </w:r>
      <w:r w:rsidR="003B3FAF" w:rsidRPr="00245485">
        <w:rPr>
          <w:color w:val="000000" w:themeColor="text1"/>
        </w:rPr>
        <w:t xml:space="preserve">    </w:t>
      </w:r>
    </w:p>
    <w:p w14:paraId="339B789E" w14:textId="77777777" w:rsidR="00245485" w:rsidRDefault="00567812" w:rsidP="00245485">
      <w:pPr>
        <w:ind w:firstLine="720"/>
        <w:jc w:val="both"/>
        <w:rPr>
          <w:color w:val="000000" w:themeColor="text1"/>
        </w:rPr>
      </w:pPr>
      <w:r w:rsidRPr="00245485">
        <w:rPr>
          <w:color w:val="000000" w:themeColor="text1"/>
        </w:rPr>
        <w:t xml:space="preserve">However, the Court insists that the choice of legal basis is not to be determined through backwards reasoning: we are not to be swayed by certain specific substantive or procedural consequences that might flow from </w:t>
      </w:r>
      <w:r w:rsidR="006832CD" w:rsidRPr="00245485">
        <w:rPr>
          <w:color w:val="000000" w:themeColor="text1"/>
        </w:rPr>
        <w:t>opting for</w:t>
      </w:r>
      <w:r w:rsidRPr="00245485">
        <w:rPr>
          <w:color w:val="000000" w:themeColor="text1"/>
        </w:rPr>
        <w:t xml:space="preserve"> one Treaty provision rather than another</w:t>
      </w:r>
      <w:r w:rsidR="006832CD" w:rsidRPr="00245485">
        <w:rPr>
          <w:color w:val="000000" w:themeColor="text1"/>
        </w:rPr>
        <w:t>; merely because Article X will increase the democratic participation of the European Parliament, or Article Y will allow Ireland to opt-out of an AFSJ initiative, is not in itself relevant to the prior question of whether those provisions furnish an appropriate legal basis for the proposed measure</w:t>
      </w:r>
      <w:r w:rsidRPr="00245485">
        <w:rPr>
          <w:color w:val="000000" w:themeColor="text1"/>
        </w:rPr>
        <w:t>.</w:t>
      </w:r>
      <w:r w:rsidR="00771295" w:rsidRPr="00245485">
        <w:rPr>
          <w:rStyle w:val="FootnoteReference"/>
          <w:color w:val="000000" w:themeColor="text1"/>
        </w:rPr>
        <w:footnoteReference w:id="11"/>
      </w:r>
      <w:r w:rsidRPr="00245485">
        <w:rPr>
          <w:color w:val="000000" w:themeColor="text1"/>
        </w:rPr>
        <w:t xml:space="preserve">  Instead, the choice of legal basis must be determined in accordance with objective factors amenable to judicial review, in particular, concerning the aim and content of the </w:t>
      </w:r>
      <w:r w:rsidRPr="00245485">
        <w:rPr>
          <w:color w:val="000000" w:themeColor="text1"/>
        </w:rPr>
        <w:lastRenderedPageBreak/>
        <w:t>relevant act.</w:t>
      </w:r>
      <w:r w:rsidR="001E1BD2" w:rsidRPr="00245485">
        <w:rPr>
          <w:rStyle w:val="FootnoteReference"/>
          <w:color w:val="000000" w:themeColor="text1"/>
        </w:rPr>
        <w:footnoteReference w:id="12"/>
      </w:r>
      <w:r w:rsidRPr="00245485">
        <w:rPr>
          <w:color w:val="000000" w:themeColor="text1"/>
        </w:rPr>
        <w:t xml:space="preserve">  </w:t>
      </w:r>
      <w:r w:rsidR="006832CD" w:rsidRPr="00245485">
        <w:rPr>
          <w:color w:val="000000" w:themeColor="text1"/>
        </w:rPr>
        <w:t>And the</w:t>
      </w:r>
      <w:r w:rsidRPr="00245485">
        <w:rPr>
          <w:color w:val="000000" w:themeColor="text1"/>
        </w:rPr>
        <w:t xml:space="preserve"> </w:t>
      </w:r>
      <w:r w:rsidR="006832CD" w:rsidRPr="00245485">
        <w:rPr>
          <w:color w:val="000000" w:themeColor="text1"/>
        </w:rPr>
        <w:t xml:space="preserve">desired </w:t>
      </w:r>
      <w:r w:rsidRPr="00245485">
        <w:rPr>
          <w:color w:val="000000" w:themeColor="text1"/>
        </w:rPr>
        <w:t xml:space="preserve">legal basis must furnish sufficient competence for </w:t>
      </w:r>
      <w:r w:rsidR="00310CD7" w:rsidRPr="00245485">
        <w:rPr>
          <w:color w:val="000000" w:themeColor="text1"/>
        </w:rPr>
        <w:t xml:space="preserve">that act’s </w:t>
      </w:r>
      <w:r w:rsidR="006832CD" w:rsidRPr="00245485">
        <w:rPr>
          <w:color w:val="000000" w:themeColor="text1"/>
        </w:rPr>
        <w:t xml:space="preserve">valid </w:t>
      </w:r>
      <w:r w:rsidRPr="00245485">
        <w:rPr>
          <w:color w:val="000000" w:themeColor="text1"/>
        </w:rPr>
        <w:t>adoption</w:t>
      </w:r>
      <w:r w:rsidR="005D206D" w:rsidRPr="00245485">
        <w:rPr>
          <w:color w:val="000000" w:themeColor="text1"/>
        </w:rPr>
        <w:t>,</w:t>
      </w:r>
      <w:r w:rsidR="00DB0014" w:rsidRPr="00245485">
        <w:rPr>
          <w:rStyle w:val="FootnoteReference"/>
          <w:color w:val="000000" w:themeColor="text1"/>
        </w:rPr>
        <w:footnoteReference w:id="13"/>
      </w:r>
      <w:r w:rsidR="005D206D" w:rsidRPr="00245485">
        <w:rPr>
          <w:color w:val="000000" w:themeColor="text1"/>
        </w:rPr>
        <w:t xml:space="preserve"> with certain particularly important Treaty provisions giving rise to an extensive jurisprudence concerning their proper interpretation, scope and limitations.</w:t>
      </w:r>
      <w:r w:rsidR="005D206D" w:rsidRPr="00245485">
        <w:rPr>
          <w:rStyle w:val="FootnoteReference"/>
          <w:color w:val="000000" w:themeColor="text1"/>
        </w:rPr>
        <w:footnoteReference w:id="14"/>
      </w:r>
      <w:r w:rsidRPr="00245485">
        <w:rPr>
          <w:color w:val="000000" w:themeColor="text1"/>
        </w:rPr>
        <w:t xml:space="preserve">  </w:t>
      </w:r>
    </w:p>
    <w:p w14:paraId="3877A062" w14:textId="75023481" w:rsidR="00245485" w:rsidRDefault="00567812" w:rsidP="00245485">
      <w:pPr>
        <w:ind w:firstLine="720"/>
        <w:jc w:val="both"/>
        <w:rPr>
          <w:color w:val="000000" w:themeColor="text1"/>
        </w:rPr>
      </w:pPr>
      <w:r w:rsidRPr="00245485">
        <w:rPr>
          <w:color w:val="000000" w:themeColor="text1"/>
        </w:rPr>
        <w:t xml:space="preserve">In the event that the relevant measure might potentially be based upon two or more legal bases, the institutions must choose the single provision </w:t>
      </w:r>
      <w:r w:rsidR="000D5B93" w:rsidRPr="00245485">
        <w:rPr>
          <w:color w:val="000000" w:themeColor="text1"/>
        </w:rPr>
        <w:t xml:space="preserve">that </w:t>
      </w:r>
      <w:r w:rsidRPr="00245485">
        <w:rPr>
          <w:color w:val="000000" w:themeColor="text1"/>
        </w:rPr>
        <w:t>reflect</w:t>
      </w:r>
      <w:r w:rsidR="000D5B93" w:rsidRPr="00245485">
        <w:rPr>
          <w:color w:val="000000" w:themeColor="text1"/>
        </w:rPr>
        <w:t>s</w:t>
      </w:r>
      <w:r w:rsidRPr="00245485">
        <w:rPr>
          <w:color w:val="000000" w:themeColor="text1"/>
        </w:rPr>
        <w:t xml:space="preserve"> the act’s predominant purpose</w:t>
      </w:r>
      <w:r w:rsidR="006F4143" w:rsidRPr="00245485">
        <w:rPr>
          <w:color w:val="000000" w:themeColor="text1"/>
        </w:rPr>
        <w:t xml:space="preserve"> / content</w:t>
      </w:r>
      <w:r w:rsidR="001E1BD2" w:rsidRPr="00245485">
        <w:rPr>
          <w:color w:val="000000" w:themeColor="text1"/>
        </w:rPr>
        <w:t>, rather than its ancillary or incidental objectives / components</w:t>
      </w:r>
      <w:r w:rsidRPr="00245485">
        <w:rPr>
          <w:color w:val="000000" w:themeColor="text1"/>
        </w:rPr>
        <w:t>.</w:t>
      </w:r>
      <w:r w:rsidR="001E1BD2" w:rsidRPr="00245485">
        <w:rPr>
          <w:rStyle w:val="FootnoteReference"/>
          <w:color w:val="000000" w:themeColor="text1"/>
        </w:rPr>
        <w:footnoteReference w:id="15"/>
      </w:r>
      <w:r w:rsidRPr="00245485">
        <w:rPr>
          <w:color w:val="000000" w:themeColor="text1"/>
        </w:rPr>
        <w:t xml:space="preserve">  </w:t>
      </w:r>
      <w:r w:rsidR="00D93C29" w:rsidRPr="00245485">
        <w:rPr>
          <w:color w:val="000000" w:themeColor="text1"/>
        </w:rPr>
        <w:t xml:space="preserve">Mere </w:t>
      </w:r>
      <w:r w:rsidR="001E1BD2" w:rsidRPr="00245485">
        <w:rPr>
          <w:color w:val="000000" w:themeColor="text1"/>
        </w:rPr>
        <w:t>institutional practice, preferring one legal basis over another, even for similar acts or indeed for instruments intrinsically linked to the disputed measure, is not to be considered at all decisive.</w:t>
      </w:r>
      <w:r w:rsidR="001E1BD2" w:rsidRPr="00245485">
        <w:rPr>
          <w:rStyle w:val="FootnoteReference"/>
          <w:color w:val="000000" w:themeColor="text1"/>
        </w:rPr>
        <w:footnoteReference w:id="16"/>
      </w:r>
      <w:r w:rsidR="001E1BD2" w:rsidRPr="00245485">
        <w:rPr>
          <w:color w:val="000000" w:themeColor="text1"/>
        </w:rPr>
        <w:t xml:space="preserve">  The Court admits that, w</w:t>
      </w:r>
      <w:r w:rsidRPr="00245485">
        <w:rPr>
          <w:color w:val="000000" w:themeColor="text1"/>
        </w:rPr>
        <w:t xml:space="preserve">here the act’s various purposes must be considered genuinely equal in significance, it may exceptionally be adopted using </w:t>
      </w:r>
      <w:r w:rsidR="001E1BD2" w:rsidRPr="00245485">
        <w:rPr>
          <w:color w:val="000000" w:themeColor="text1"/>
        </w:rPr>
        <w:t xml:space="preserve">a </w:t>
      </w:r>
      <w:r w:rsidRPr="00245485">
        <w:rPr>
          <w:color w:val="000000" w:themeColor="text1"/>
        </w:rPr>
        <w:t>joint legal bas</w:t>
      </w:r>
      <w:r w:rsidR="001E1BD2" w:rsidRPr="00245485">
        <w:rPr>
          <w:color w:val="000000" w:themeColor="text1"/>
        </w:rPr>
        <w:t>i</w:t>
      </w:r>
      <w:r w:rsidRPr="00245485">
        <w:rPr>
          <w:color w:val="000000" w:themeColor="text1"/>
        </w:rPr>
        <w:t>s</w:t>
      </w:r>
      <w:r w:rsidR="000D5B93" w:rsidRPr="00245485">
        <w:rPr>
          <w:color w:val="000000" w:themeColor="text1"/>
        </w:rPr>
        <w:t>.</w:t>
      </w:r>
      <w:r w:rsidR="00771295" w:rsidRPr="00245485">
        <w:rPr>
          <w:rStyle w:val="FootnoteReference"/>
          <w:color w:val="000000" w:themeColor="text1"/>
        </w:rPr>
        <w:footnoteReference w:id="17"/>
      </w:r>
      <w:r w:rsidR="000D5B93" w:rsidRPr="00245485">
        <w:rPr>
          <w:color w:val="000000" w:themeColor="text1"/>
        </w:rPr>
        <w:t xml:space="preserve">  However, recourse to joint legal bases is not possible if the latter’s </w:t>
      </w:r>
      <w:r w:rsidRPr="00245485">
        <w:rPr>
          <w:color w:val="000000" w:themeColor="text1"/>
        </w:rPr>
        <w:t>respective decision-making procedures are effectively incompatible with each other.</w:t>
      </w:r>
      <w:r w:rsidR="00771295" w:rsidRPr="00245485">
        <w:rPr>
          <w:rStyle w:val="FootnoteReference"/>
          <w:color w:val="000000" w:themeColor="text1"/>
        </w:rPr>
        <w:footnoteReference w:id="18"/>
      </w:r>
      <w:r w:rsidRPr="00245485">
        <w:rPr>
          <w:color w:val="000000" w:themeColor="text1"/>
        </w:rPr>
        <w:t xml:space="preserve">  </w:t>
      </w:r>
      <w:r w:rsidR="00DB0014" w:rsidRPr="00245485">
        <w:rPr>
          <w:color w:val="000000" w:themeColor="text1"/>
        </w:rPr>
        <w:t xml:space="preserve">Moreover, the relationship between certain legal bases is governed by more detailed rules </w:t>
      </w:r>
      <w:r w:rsidR="00BC24A2" w:rsidRPr="00245485">
        <w:rPr>
          <w:color w:val="000000" w:themeColor="text1"/>
        </w:rPr>
        <w:t>establishing</w:t>
      </w:r>
      <w:r w:rsidR="00DB0014" w:rsidRPr="00245485">
        <w:rPr>
          <w:color w:val="000000" w:themeColor="text1"/>
        </w:rPr>
        <w:t xml:space="preserve"> hierarch</w:t>
      </w:r>
      <w:r w:rsidR="00BC24A2" w:rsidRPr="00245485">
        <w:rPr>
          <w:color w:val="000000" w:themeColor="text1"/>
        </w:rPr>
        <w:t>ies</w:t>
      </w:r>
      <w:r w:rsidR="00D6282C" w:rsidRPr="00245485">
        <w:rPr>
          <w:color w:val="000000" w:themeColor="text1"/>
        </w:rPr>
        <w:t xml:space="preserve"> and </w:t>
      </w:r>
      <w:r w:rsidR="00BC24A2" w:rsidRPr="00245485">
        <w:rPr>
          <w:color w:val="000000" w:themeColor="text1"/>
        </w:rPr>
        <w:t xml:space="preserve">according </w:t>
      </w:r>
      <w:r w:rsidR="00D6282C" w:rsidRPr="00245485">
        <w:rPr>
          <w:color w:val="000000" w:themeColor="text1"/>
        </w:rPr>
        <w:t>priority</w:t>
      </w:r>
      <w:r w:rsidR="00DB0014" w:rsidRPr="00245485">
        <w:rPr>
          <w:color w:val="000000" w:themeColor="text1"/>
        </w:rPr>
        <w:t>: for example, the principle that more specific powers should be used in preference to more general competences;</w:t>
      </w:r>
      <w:r w:rsidR="00771295" w:rsidRPr="00245485">
        <w:rPr>
          <w:rStyle w:val="FootnoteReference"/>
          <w:color w:val="000000" w:themeColor="text1"/>
        </w:rPr>
        <w:footnoteReference w:id="19"/>
      </w:r>
      <w:r w:rsidR="00DB0014" w:rsidRPr="00245485">
        <w:rPr>
          <w:color w:val="000000" w:themeColor="text1"/>
        </w:rPr>
        <w:t xml:space="preserve"> and the fact that certain Treaty provisions</w:t>
      </w:r>
      <w:r w:rsidR="00D93C29" w:rsidRPr="00245485">
        <w:rPr>
          <w:color w:val="000000" w:themeColor="text1"/>
        </w:rPr>
        <w:t xml:space="preserve">, </w:t>
      </w:r>
      <w:r w:rsidR="00DB0014" w:rsidRPr="00245485">
        <w:rPr>
          <w:color w:val="000000" w:themeColor="text1"/>
        </w:rPr>
        <w:t>such as Article 352 TFEU</w:t>
      </w:r>
      <w:r w:rsidR="00D93C29" w:rsidRPr="00245485">
        <w:rPr>
          <w:color w:val="000000" w:themeColor="text1"/>
        </w:rPr>
        <w:t>,</w:t>
      </w:r>
      <w:r w:rsidR="00DB0014" w:rsidRPr="00245485">
        <w:rPr>
          <w:color w:val="000000" w:themeColor="text1"/>
        </w:rPr>
        <w:t xml:space="preserve"> are only </w:t>
      </w:r>
      <w:r w:rsidR="00D93C29" w:rsidRPr="00245485">
        <w:rPr>
          <w:color w:val="000000" w:themeColor="text1"/>
        </w:rPr>
        <w:t xml:space="preserve">permitted by </w:t>
      </w:r>
      <w:r w:rsidR="00DB0014" w:rsidRPr="00245485">
        <w:rPr>
          <w:color w:val="000000" w:themeColor="text1"/>
        </w:rPr>
        <w:t xml:space="preserve">default when no other </w:t>
      </w:r>
      <w:r w:rsidR="00D93C29" w:rsidRPr="00245485">
        <w:rPr>
          <w:color w:val="000000" w:themeColor="text1"/>
        </w:rPr>
        <w:t xml:space="preserve">(sufficient) </w:t>
      </w:r>
      <w:r w:rsidR="00DB0014" w:rsidRPr="00245485">
        <w:rPr>
          <w:color w:val="000000" w:themeColor="text1"/>
        </w:rPr>
        <w:t>legal bases are available.</w:t>
      </w:r>
      <w:r w:rsidR="00771295" w:rsidRPr="00245485">
        <w:rPr>
          <w:rStyle w:val="FootnoteReference"/>
          <w:color w:val="000000" w:themeColor="text1"/>
        </w:rPr>
        <w:footnoteReference w:id="20"/>
      </w:r>
      <w:r w:rsidR="00DB0014" w:rsidRPr="00245485">
        <w:rPr>
          <w:color w:val="000000" w:themeColor="text1"/>
        </w:rPr>
        <w:t xml:space="preserve">  </w:t>
      </w:r>
    </w:p>
    <w:p w14:paraId="70A53504" w14:textId="0CEFD9E9" w:rsidR="00E308BC" w:rsidRDefault="00E308BC" w:rsidP="00E308BC">
      <w:pPr>
        <w:jc w:val="both"/>
        <w:rPr>
          <w:color w:val="000000" w:themeColor="text1"/>
        </w:rPr>
      </w:pPr>
    </w:p>
    <w:p w14:paraId="68877212" w14:textId="1B6D13DC" w:rsidR="00E308BC" w:rsidRPr="00E308BC" w:rsidRDefault="00E308BC" w:rsidP="00E308BC">
      <w:pPr>
        <w:jc w:val="both"/>
        <w:rPr>
          <w:i/>
          <w:iCs/>
          <w:color w:val="000000" w:themeColor="text1"/>
        </w:rPr>
      </w:pPr>
      <w:r w:rsidRPr="00E308BC">
        <w:rPr>
          <w:i/>
          <w:iCs/>
          <w:color w:val="000000" w:themeColor="text1"/>
        </w:rPr>
        <w:t>2.</w:t>
      </w:r>
      <w:r>
        <w:rPr>
          <w:i/>
          <w:iCs/>
          <w:color w:val="000000" w:themeColor="text1"/>
        </w:rPr>
        <w:t>2</w:t>
      </w:r>
      <w:r w:rsidRPr="00E308BC">
        <w:rPr>
          <w:i/>
          <w:iCs/>
          <w:color w:val="000000" w:themeColor="text1"/>
        </w:rPr>
        <w:t xml:space="preserve"> </w:t>
      </w:r>
      <w:r>
        <w:rPr>
          <w:i/>
          <w:iCs/>
          <w:color w:val="000000" w:themeColor="text1"/>
        </w:rPr>
        <w:t>Relevance of the broader legal and policy context</w:t>
      </w:r>
    </w:p>
    <w:p w14:paraId="5F7308BE" w14:textId="77777777" w:rsidR="00E308BC" w:rsidRDefault="00E308BC" w:rsidP="00E308BC">
      <w:pPr>
        <w:jc w:val="both"/>
        <w:rPr>
          <w:color w:val="000000" w:themeColor="text1"/>
        </w:rPr>
      </w:pPr>
    </w:p>
    <w:p w14:paraId="3A3D801D" w14:textId="77777777" w:rsidR="00245485" w:rsidRDefault="00487E09" w:rsidP="00E308BC">
      <w:pPr>
        <w:jc w:val="both"/>
        <w:rPr>
          <w:color w:val="000000" w:themeColor="text1"/>
        </w:rPr>
      </w:pPr>
      <w:r w:rsidRPr="00245485">
        <w:rPr>
          <w:color w:val="000000" w:themeColor="text1"/>
        </w:rPr>
        <w:t xml:space="preserve">It is important </w:t>
      </w:r>
      <w:r w:rsidR="00D91B11" w:rsidRPr="00245485">
        <w:rPr>
          <w:color w:val="000000" w:themeColor="text1"/>
        </w:rPr>
        <w:t xml:space="preserve">for us </w:t>
      </w:r>
      <w:r w:rsidRPr="00245485">
        <w:rPr>
          <w:color w:val="000000" w:themeColor="text1"/>
        </w:rPr>
        <w:t xml:space="preserve">to note that, in </w:t>
      </w:r>
      <w:r w:rsidR="00567812" w:rsidRPr="00245485">
        <w:rPr>
          <w:color w:val="000000" w:themeColor="text1"/>
        </w:rPr>
        <w:t xml:space="preserve">conducting judicial review for compliance with the principle of conferral, the Court is willing to </w:t>
      </w:r>
      <w:proofErr w:type="gramStart"/>
      <w:r w:rsidR="00567812" w:rsidRPr="00245485">
        <w:rPr>
          <w:color w:val="000000" w:themeColor="text1"/>
        </w:rPr>
        <w:t>take into account</w:t>
      </w:r>
      <w:proofErr w:type="gramEnd"/>
      <w:r w:rsidR="00567812" w:rsidRPr="00245485">
        <w:rPr>
          <w:color w:val="000000" w:themeColor="text1"/>
        </w:rPr>
        <w:t xml:space="preserve"> certain considerations relating to the broader legal and policy context in which the relevant measure was adopted</w:t>
      </w:r>
      <w:r w:rsidR="006832CD" w:rsidRPr="00245485">
        <w:rPr>
          <w:color w:val="000000" w:themeColor="text1"/>
        </w:rPr>
        <w:t>.</w:t>
      </w:r>
      <w:r w:rsidR="00567812" w:rsidRPr="00245485">
        <w:rPr>
          <w:color w:val="000000" w:themeColor="text1"/>
        </w:rPr>
        <w:t xml:space="preserve"> </w:t>
      </w:r>
      <w:r w:rsidR="006832CD" w:rsidRPr="00245485">
        <w:rPr>
          <w:color w:val="000000" w:themeColor="text1"/>
        </w:rPr>
        <w:t xml:space="preserve"> </w:t>
      </w:r>
      <w:r w:rsidRPr="00245485">
        <w:rPr>
          <w:color w:val="000000" w:themeColor="text1"/>
        </w:rPr>
        <w:t xml:space="preserve">That is quite naturally the case where the disputed act makes direct or indirect cross-reference to other Union instruments (for example) </w:t>
      </w:r>
      <w:proofErr w:type="gramStart"/>
      <w:r w:rsidRPr="00245485">
        <w:rPr>
          <w:color w:val="000000" w:themeColor="text1"/>
        </w:rPr>
        <w:t>in order to</w:t>
      </w:r>
      <w:proofErr w:type="gramEnd"/>
      <w:r w:rsidRPr="00245485">
        <w:rPr>
          <w:color w:val="000000" w:themeColor="text1"/>
        </w:rPr>
        <w:t xml:space="preserve"> define key concepts, thresholds or conditions.</w:t>
      </w:r>
      <w:r w:rsidR="004520E9" w:rsidRPr="00245485">
        <w:rPr>
          <w:rStyle w:val="FootnoteReference"/>
          <w:color w:val="000000" w:themeColor="text1"/>
        </w:rPr>
        <w:footnoteReference w:id="21"/>
      </w:r>
      <w:r w:rsidRPr="00245485">
        <w:rPr>
          <w:color w:val="000000" w:themeColor="text1"/>
        </w:rPr>
        <w:t xml:space="preserve">  But the Court </w:t>
      </w:r>
      <w:r w:rsidR="009E1D5A" w:rsidRPr="00245485">
        <w:rPr>
          <w:color w:val="000000" w:themeColor="text1"/>
        </w:rPr>
        <w:t xml:space="preserve">will </w:t>
      </w:r>
      <w:r w:rsidRPr="00245485">
        <w:rPr>
          <w:color w:val="000000" w:themeColor="text1"/>
        </w:rPr>
        <w:t>also look at other</w:t>
      </w:r>
      <w:r w:rsidR="009E1D5A" w:rsidRPr="00245485">
        <w:rPr>
          <w:color w:val="000000" w:themeColor="text1"/>
        </w:rPr>
        <w:t xml:space="preserve"> contextual </w:t>
      </w:r>
      <w:r w:rsidRPr="00245485">
        <w:rPr>
          <w:color w:val="000000" w:themeColor="text1"/>
        </w:rPr>
        <w:t>factors</w:t>
      </w:r>
      <w:r w:rsidR="009E1D5A" w:rsidRPr="00245485">
        <w:rPr>
          <w:color w:val="000000" w:themeColor="text1"/>
        </w:rPr>
        <w:t>.  For example,</w:t>
      </w:r>
      <w:r w:rsidR="00567812" w:rsidRPr="00245485">
        <w:rPr>
          <w:color w:val="000000" w:themeColor="text1"/>
        </w:rPr>
        <w:t xml:space="preserve"> </w:t>
      </w:r>
      <w:r w:rsidR="009E1D5A" w:rsidRPr="00245485">
        <w:rPr>
          <w:color w:val="000000" w:themeColor="text1"/>
        </w:rPr>
        <w:t xml:space="preserve">it will often be necessary to highlight the existing legislative framework, of which the disputed act is </w:t>
      </w:r>
      <w:r w:rsidR="00A97689" w:rsidRPr="00245485">
        <w:rPr>
          <w:color w:val="000000" w:themeColor="text1"/>
        </w:rPr>
        <w:t xml:space="preserve">essentially </w:t>
      </w:r>
      <w:r w:rsidR="009E1D5A" w:rsidRPr="00245485">
        <w:rPr>
          <w:color w:val="000000" w:themeColor="text1"/>
        </w:rPr>
        <w:t>an incremental development</w:t>
      </w:r>
      <w:r w:rsidR="00A97689" w:rsidRPr="00245485">
        <w:rPr>
          <w:color w:val="000000" w:themeColor="text1"/>
        </w:rPr>
        <w:t>,</w:t>
      </w:r>
      <w:r w:rsidR="009E1D5A" w:rsidRPr="00245485">
        <w:rPr>
          <w:color w:val="000000" w:themeColor="text1"/>
        </w:rPr>
        <w:t xml:space="preserve"> or </w:t>
      </w:r>
      <w:r w:rsidR="00A97689" w:rsidRPr="00245485">
        <w:rPr>
          <w:color w:val="000000" w:themeColor="text1"/>
        </w:rPr>
        <w:t xml:space="preserve">to which it makes some fresh </w:t>
      </w:r>
      <w:r w:rsidR="009E1D5A" w:rsidRPr="00245485">
        <w:rPr>
          <w:color w:val="000000" w:themeColor="text1"/>
        </w:rPr>
        <w:t>contribution.</w:t>
      </w:r>
      <w:r w:rsidR="004520E9" w:rsidRPr="00245485">
        <w:rPr>
          <w:rStyle w:val="FootnoteReference"/>
          <w:color w:val="000000" w:themeColor="text1"/>
        </w:rPr>
        <w:footnoteReference w:id="22"/>
      </w:r>
      <w:r w:rsidR="009E1D5A" w:rsidRPr="00245485">
        <w:rPr>
          <w:color w:val="000000" w:themeColor="text1"/>
        </w:rPr>
        <w:t xml:space="preserve">  Similarly, it is </w:t>
      </w:r>
      <w:r w:rsidR="00567812" w:rsidRPr="00245485">
        <w:rPr>
          <w:color w:val="000000" w:themeColor="text1"/>
        </w:rPr>
        <w:lastRenderedPageBreak/>
        <w:t xml:space="preserve">appropriate to consider whether the disputed act is designed to </w:t>
      </w:r>
      <w:r w:rsidR="00BA28E8" w:rsidRPr="00245485">
        <w:rPr>
          <w:color w:val="000000" w:themeColor="text1"/>
        </w:rPr>
        <w:t xml:space="preserve">amend or </w:t>
      </w:r>
      <w:r w:rsidR="00567812" w:rsidRPr="00245485">
        <w:rPr>
          <w:color w:val="000000" w:themeColor="text1"/>
        </w:rPr>
        <w:t>replace an existing Union measure</w:t>
      </w:r>
      <w:r w:rsidR="00310CD7" w:rsidRPr="00245485">
        <w:rPr>
          <w:color w:val="000000" w:themeColor="text1"/>
        </w:rPr>
        <w:t xml:space="preserve">, </w:t>
      </w:r>
      <w:r w:rsidR="009E1D5A" w:rsidRPr="00245485">
        <w:rPr>
          <w:color w:val="000000" w:themeColor="text1"/>
        </w:rPr>
        <w:t xml:space="preserve">particularly where the latter </w:t>
      </w:r>
      <w:r w:rsidR="00310CD7" w:rsidRPr="00245485">
        <w:rPr>
          <w:color w:val="000000" w:themeColor="text1"/>
        </w:rPr>
        <w:t>had itself</w:t>
      </w:r>
      <w:r w:rsidR="00567812" w:rsidRPr="00245485">
        <w:rPr>
          <w:color w:val="000000" w:themeColor="text1"/>
        </w:rPr>
        <w:t xml:space="preserve"> previously </w:t>
      </w:r>
      <w:r w:rsidR="00310CD7" w:rsidRPr="00245485">
        <w:rPr>
          <w:color w:val="000000" w:themeColor="text1"/>
        </w:rPr>
        <w:t xml:space="preserve">been </w:t>
      </w:r>
      <w:r w:rsidR="00567812" w:rsidRPr="00245485">
        <w:rPr>
          <w:color w:val="000000" w:themeColor="text1"/>
        </w:rPr>
        <w:t>adopted on the same legal basis</w:t>
      </w:r>
      <w:r w:rsidR="006832CD" w:rsidRPr="00245485">
        <w:rPr>
          <w:color w:val="000000" w:themeColor="text1"/>
        </w:rPr>
        <w:t>.</w:t>
      </w:r>
      <w:r w:rsidR="004520E9" w:rsidRPr="00245485">
        <w:rPr>
          <w:rStyle w:val="FootnoteReference"/>
          <w:color w:val="000000" w:themeColor="text1"/>
        </w:rPr>
        <w:footnoteReference w:id="23"/>
      </w:r>
      <w:r w:rsidR="006832CD" w:rsidRPr="00245485">
        <w:rPr>
          <w:color w:val="000000" w:themeColor="text1"/>
        </w:rPr>
        <w:t xml:space="preserve">  Or again, it may be useful to </w:t>
      </w:r>
      <w:r w:rsidR="00567812" w:rsidRPr="00245485">
        <w:rPr>
          <w:color w:val="000000" w:themeColor="text1"/>
        </w:rPr>
        <w:t xml:space="preserve">refer to the aim and content of an international agreement </w:t>
      </w:r>
      <w:r w:rsidR="00B1059E" w:rsidRPr="00245485">
        <w:rPr>
          <w:color w:val="000000" w:themeColor="text1"/>
        </w:rPr>
        <w:t xml:space="preserve">where </w:t>
      </w:r>
      <w:r w:rsidR="00567812" w:rsidRPr="00245485">
        <w:rPr>
          <w:color w:val="000000" w:themeColor="text1"/>
        </w:rPr>
        <w:t xml:space="preserve">the disputed act </w:t>
      </w:r>
      <w:r w:rsidR="00C65FE5" w:rsidRPr="00245485">
        <w:rPr>
          <w:color w:val="000000" w:themeColor="text1"/>
        </w:rPr>
        <w:t xml:space="preserve">concerns the signature, conclusion or </w:t>
      </w:r>
      <w:r w:rsidR="00567812" w:rsidRPr="00245485">
        <w:rPr>
          <w:color w:val="000000" w:themeColor="text1"/>
        </w:rPr>
        <w:t>implement</w:t>
      </w:r>
      <w:r w:rsidR="00C65FE5" w:rsidRPr="00245485">
        <w:rPr>
          <w:color w:val="000000" w:themeColor="text1"/>
        </w:rPr>
        <w:t>ation</w:t>
      </w:r>
      <w:r w:rsidR="00567812" w:rsidRPr="00245485">
        <w:rPr>
          <w:color w:val="000000" w:themeColor="text1"/>
        </w:rPr>
        <w:t xml:space="preserve"> </w:t>
      </w:r>
      <w:r w:rsidR="00B1059E" w:rsidRPr="00245485">
        <w:rPr>
          <w:color w:val="000000" w:themeColor="text1"/>
        </w:rPr>
        <w:t xml:space="preserve">of that agreement </w:t>
      </w:r>
      <w:r w:rsidR="00C65FE5" w:rsidRPr="00245485">
        <w:rPr>
          <w:color w:val="000000" w:themeColor="text1"/>
        </w:rPr>
        <w:t xml:space="preserve">for the purposes of the Union </w:t>
      </w:r>
      <w:r w:rsidR="00567812" w:rsidRPr="00245485">
        <w:rPr>
          <w:color w:val="000000" w:themeColor="text1"/>
        </w:rPr>
        <w:t>legal order</w:t>
      </w:r>
      <w:r w:rsidR="00D6282C" w:rsidRPr="00245485">
        <w:rPr>
          <w:color w:val="000000" w:themeColor="text1"/>
        </w:rPr>
        <w:t>;</w:t>
      </w:r>
      <w:r w:rsidR="00B1059E" w:rsidRPr="00245485">
        <w:rPr>
          <w:rStyle w:val="FootnoteReference"/>
          <w:color w:val="000000" w:themeColor="text1"/>
        </w:rPr>
        <w:footnoteReference w:id="24"/>
      </w:r>
      <w:r w:rsidR="00D6282C" w:rsidRPr="00245485">
        <w:rPr>
          <w:color w:val="000000" w:themeColor="text1"/>
        </w:rPr>
        <w:t xml:space="preserve"> or establishes the position to be adopted by the Union within the context of an existing international organisation.</w:t>
      </w:r>
      <w:r w:rsidR="004520E9" w:rsidRPr="00245485">
        <w:rPr>
          <w:rStyle w:val="FootnoteReference"/>
          <w:color w:val="000000" w:themeColor="text1"/>
        </w:rPr>
        <w:footnoteReference w:id="25"/>
      </w:r>
      <w:r w:rsidR="00B1059E" w:rsidRPr="00245485">
        <w:rPr>
          <w:color w:val="000000" w:themeColor="text1"/>
        </w:rPr>
        <w:t xml:space="preserve"> </w:t>
      </w:r>
    </w:p>
    <w:p w14:paraId="1F15CBC6" w14:textId="77777777" w:rsidR="00245485" w:rsidRDefault="009E1D5A" w:rsidP="00245485">
      <w:pPr>
        <w:ind w:firstLine="720"/>
        <w:jc w:val="both"/>
        <w:rPr>
          <w:color w:val="000000" w:themeColor="text1"/>
        </w:rPr>
      </w:pPr>
      <w:r w:rsidRPr="00245485">
        <w:rPr>
          <w:color w:val="000000" w:themeColor="text1"/>
        </w:rPr>
        <w:t xml:space="preserve">In such situations, </w:t>
      </w:r>
      <w:r w:rsidR="00D91B11" w:rsidRPr="00245485">
        <w:rPr>
          <w:color w:val="000000" w:themeColor="text1"/>
        </w:rPr>
        <w:t xml:space="preserve">it is particularly pertinent for us to add that </w:t>
      </w:r>
      <w:r w:rsidRPr="00245485">
        <w:rPr>
          <w:color w:val="000000" w:themeColor="text1"/>
        </w:rPr>
        <w:t xml:space="preserve">the Court is prepared not only to examine the detailed relationship between the disputed act and its prevailing Union framework or legislative predecessor etc; but also to take into account certain broader legal and indeed political </w:t>
      </w:r>
      <w:r w:rsidR="00C43795" w:rsidRPr="00245485">
        <w:rPr>
          <w:color w:val="000000" w:themeColor="text1"/>
        </w:rPr>
        <w:t>factors that characterised, or have occurred since, the establishment or adoption of that original framework or predecessor etc</w:t>
      </w:r>
      <w:r w:rsidRPr="00245485">
        <w:rPr>
          <w:color w:val="000000" w:themeColor="text1"/>
        </w:rPr>
        <w:t>.</w:t>
      </w:r>
      <w:r w:rsidR="004520E9" w:rsidRPr="00245485">
        <w:rPr>
          <w:rStyle w:val="FootnoteReference"/>
          <w:color w:val="000000" w:themeColor="text1"/>
        </w:rPr>
        <w:footnoteReference w:id="26"/>
      </w:r>
      <w:r w:rsidRPr="00245485">
        <w:rPr>
          <w:color w:val="000000" w:themeColor="text1"/>
        </w:rPr>
        <w:t xml:space="preserve">  </w:t>
      </w:r>
      <w:r w:rsidR="00A97689" w:rsidRPr="00245485">
        <w:rPr>
          <w:color w:val="000000" w:themeColor="text1"/>
        </w:rPr>
        <w:t>Indeed</w:t>
      </w:r>
      <w:r w:rsidRPr="00245485">
        <w:rPr>
          <w:color w:val="000000" w:themeColor="text1"/>
        </w:rPr>
        <w:t xml:space="preserve">, </w:t>
      </w:r>
      <w:r w:rsidR="00A64B1B" w:rsidRPr="00245485">
        <w:rPr>
          <w:color w:val="000000" w:themeColor="text1"/>
        </w:rPr>
        <w:t xml:space="preserve">those </w:t>
      </w:r>
      <w:r w:rsidR="00C43795" w:rsidRPr="00245485">
        <w:rPr>
          <w:color w:val="000000" w:themeColor="text1"/>
        </w:rPr>
        <w:t xml:space="preserve">characteristics of </w:t>
      </w:r>
      <w:r w:rsidR="00A97689" w:rsidRPr="00245485">
        <w:rPr>
          <w:color w:val="000000" w:themeColor="text1"/>
        </w:rPr>
        <w:t xml:space="preserve">/ </w:t>
      </w:r>
      <w:r w:rsidR="00A64B1B" w:rsidRPr="00245485">
        <w:rPr>
          <w:color w:val="000000" w:themeColor="text1"/>
        </w:rPr>
        <w:t xml:space="preserve">developments in the </w:t>
      </w:r>
      <w:r w:rsidR="00BA28E8" w:rsidRPr="00245485">
        <w:rPr>
          <w:color w:val="000000" w:themeColor="text1"/>
        </w:rPr>
        <w:t xml:space="preserve">wider </w:t>
      </w:r>
      <w:r w:rsidRPr="00245485">
        <w:rPr>
          <w:color w:val="000000" w:themeColor="text1"/>
        </w:rPr>
        <w:t xml:space="preserve">legal and policy </w:t>
      </w:r>
      <w:r w:rsidR="00C43795" w:rsidRPr="00245485">
        <w:rPr>
          <w:color w:val="000000" w:themeColor="text1"/>
        </w:rPr>
        <w:t xml:space="preserve">backdrop to </w:t>
      </w:r>
      <w:r w:rsidR="00A64B1B" w:rsidRPr="00245485">
        <w:rPr>
          <w:color w:val="000000" w:themeColor="text1"/>
        </w:rPr>
        <w:t xml:space="preserve">the </w:t>
      </w:r>
      <w:r w:rsidRPr="00245485">
        <w:rPr>
          <w:color w:val="000000" w:themeColor="text1"/>
        </w:rPr>
        <w:t xml:space="preserve">disputed act may prove </w:t>
      </w:r>
      <w:r w:rsidR="00A97689" w:rsidRPr="00245485">
        <w:rPr>
          <w:color w:val="000000" w:themeColor="text1"/>
        </w:rPr>
        <w:t xml:space="preserve">directly </w:t>
      </w:r>
      <w:r w:rsidRPr="00245485">
        <w:rPr>
          <w:color w:val="000000" w:themeColor="text1"/>
        </w:rPr>
        <w:t>significant</w:t>
      </w:r>
      <w:r w:rsidR="009B5136" w:rsidRPr="00245485">
        <w:rPr>
          <w:color w:val="000000" w:themeColor="text1"/>
        </w:rPr>
        <w:t xml:space="preserve"> </w:t>
      </w:r>
      <w:r w:rsidR="00A97689" w:rsidRPr="00245485">
        <w:rPr>
          <w:color w:val="000000" w:themeColor="text1"/>
        </w:rPr>
        <w:t xml:space="preserve">for </w:t>
      </w:r>
      <w:r w:rsidRPr="00245485">
        <w:rPr>
          <w:color w:val="000000" w:themeColor="text1"/>
        </w:rPr>
        <w:t xml:space="preserve">the latter’s evaluation under the principle of conferral.  For example, </w:t>
      </w:r>
      <w:r w:rsidR="003210CA" w:rsidRPr="00245485">
        <w:rPr>
          <w:color w:val="000000" w:themeColor="text1"/>
        </w:rPr>
        <w:t xml:space="preserve">the Court’s appreciation of the different political objectives and distinctive legal frameworks underpinning the European Economic Area, the Union’s relationship with Switzerland, and the EU-Turkey Association Agreement (respectively) directly informed its analysis of the appropriate legal basis, in each of those three situations, under which the Union could update the existing provisions governing external cross-border social security coordination, </w:t>
      </w:r>
      <w:r w:rsidR="009B5136" w:rsidRPr="00245485">
        <w:rPr>
          <w:color w:val="000000" w:themeColor="text1"/>
        </w:rPr>
        <w:t xml:space="preserve">with each of those international partners, </w:t>
      </w:r>
      <w:r w:rsidR="003210CA" w:rsidRPr="00245485">
        <w:rPr>
          <w:color w:val="000000" w:themeColor="text1"/>
        </w:rPr>
        <w:t>in line with the revised regulations applicable to internal relations between the Member States.</w:t>
      </w:r>
      <w:r w:rsidR="004520E9" w:rsidRPr="00245485">
        <w:rPr>
          <w:rStyle w:val="FootnoteReference"/>
          <w:color w:val="000000" w:themeColor="text1"/>
        </w:rPr>
        <w:footnoteReference w:id="27"/>
      </w:r>
    </w:p>
    <w:p w14:paraId="76AD0723" w14:textId="77777777" w:rsidR="00245485" w:rsidRDefault="003210CA" w:rsidP="00245485">
      <w:pPr>
        <w:ind w:firstLine="720"/>
        <w:jc w:val="both"/>
        <w:rPr>
          <w:color w:val="000000" w:themeColor="text1"/>
        </w:rPr>
      </w:pPr>
      <w:r w:rsidRPr="00245485">
        <w:rPr>
          <w:color w:val="000000" w:themeColor="text1"/>
        </w:rPr>
        <w:t xml:space="preserve">Notwithstanding the Court’s willingness to broaden its </w:t>
      </w:r>
      <w:r w:rsidR="00567812" w:rsidRPr="00245485">
        <w:rPr>
          <w:color w:val="000000" w:themeColor="text1"/>
        </w:rPr>
        <w:t>investigative horizon</w:t>
      </w:r>
      <w:r w:rsidRPr="00245485">
        <w:rPr>
          <w:color w:val="000000" w:themeColor="text1"/>
        </w:rPr>
        <w:t xml:space="preserve"> </w:t>
      </w:r>
      <w:proofErr w:type="gramStart"/>
      <w:r w:rsidRPr="00245485">
        <w:rPr>
          <w:color w:val="000000" w:themeColor="text1"/>
        </w:rPr>
        <w:t>so as to</w:t>
      </w:r>
      <w:proofErr w:type="gramEnd"/>
      <w:r w:rsidRPr="00245485">
        <w:rPr>
          <w:color w:val="000000" w:themeColor="text1"/>
        </w:rPr>
        <w:t xml:space="preserve"> cover certain contextual factors, the </w:t>
      </w:r>
      <w:r w:rsidR="00567812" w:rsidRPr="00245485">
        <w:rPr>
          <w:color w:val="000000" w:themeColor="text1"/>
        </w:rPr>
        <w:t xml:space="preserve">core conferral question </w:t>
      </w:r>
      <w:r w:rsidR="009B5136" w:rsidRPr="00245485">
        <w:rPr>
          <w:color w:val="000000" w:themeColor="text1"/>
        </w:rPr>
        <w:t xml:space="preserve">posed by Union constitutional law </w:t>
      </w:r>
      <w:r w:rsidR="00567812" w:rsidRPr="00245485">
        <w:rPr>
          <w:color w:val="000000" w:themeColor="text1"/>
        </w:rPr>
        <w:t>remains</w:t>
      </w:r>
      <w:r w:rsidR="009B5136" w:rsidRPr="00245485">
        <w:rPr>
          <w:color w:val="000000" w:themeColor="text1"/>
        </w:rPr>
        <w:t xml:space="preserve"> the same</w:t>
      </w:r>
      <w:r w:rsidR="000D5B93" w:rsidRPr="00245485">
        <w:rPr>
          <w:color w:val="000000" w:themeColor="text1"/>
        </w:rPr>
        <w:t>:</w:t>
      </w:r>
      <w:r w:rsidR="00567812" w:rsidRPr="00245485">
        <w:rPr>
          <w:color w:val="000000" w:themeColor="text1"/>
        </w:rPr>
        <w:t xml:space="preserve"> how far does this individual and discrete Union act marry up to the specific and detailed Treaty provision(s) by virtue of which its authors claim to derive a valid legal authorisation?</w:t>
      </w:r>
      <w:r w:rsidR="000D5B93" w:rsidRPr="00245485">
        <w:rPr>
          <w:color w:val="000000" w:themeColor="text1"/>
        </w:rPr>
        <w:t xml:space="preserve">  And if the rules on attributed powers are infringed and the purported legal basis is insufficient or otherwise incorrect then, in principle, the disputed measure will be annulled.</w:t>
      </w:r>
      <w:r w:rsidR="00DB0014" w:rsidRPr="00245485">
        <w:rPr>
          <w:rStyle w:val="FootnoteReference"/>
          <w:color w:val="000000" w:themeColor="text1"/>
        </w:rPr>
        <w:footnoteReference w:id="28"/>
      </w:r>
      <w:r w:rsidR="000D5B93" w:rsidRPr="00245485">
        <w:rPr>
          <w:color w:val="000000" w:themeColor="text1"/>
        </w:rPr>
        <w:t xml:space="preserve">  </w:t>
      </w:r>
    </w:p>
    <w:p w14:paraId="7DE5AE8D" w14:textId="77777777" w:rsidR="00E308BC" w:rsidRDefault="00E308BC" w:rsidP="00245485">
      <w:pPr>
        <w:ind w:firstLine="720"/>
        <w:jc w:val="both"/>
        <w:rPr>
          <w:color w:val="000000" w:themeColor="text1"/>
        </w:rPr>
      </w:pPr>
    </w:p>
    <w:p w14:paraId="12C2E290" w14:textId="46AC3543" w:rsidR="00E308BC" w:rsidRPr="00E308BC" w:rsidRDefault="00E308BC" w:rsidP="00E308BC">
      <w:pPr>
        <w:jc w:val="both"/>
        <w:rPr>
          <w:i/>
          <w:iCs/>
          <w:color w:val="000000" w:themeColor="text1"/>
        </w:rPr>
      </w:pPr>
      <w:r w:rsidRPr="00E308BC">
        <w:rPr>
          <w:i/>
          <w:iCs/>
          <w:color w:val="000000" w:themeColor="text1"/>
        </w:rPr>
        <w:t>2.</w:t>
      </w:r>
      <w:r>
        <w:rPr>
          <w:i/>
          <w:iCs/>
          <w:color w:val="000000" w:themeColor="text1"/>
        </w:rPr>
        <w:t>3</w:t>
      </w:r>
      <w:r w:rsidRPr="00E308BC">
        <w:rPr>
          <w:i/>
          <w:iCs/>
          <w:color w:val="000000" w:themeColor="text1"/>
        </w:rPr>
        <w:t xml:space="preserve"> </w:t>
      </w:r>
      <w:r>
        <w:rPr>
          <w:i/>
          <w:iCs/>
          <w:color w:val="000000" w:themeColor="text1"/>
        </w:rPr>
        <w:t>Two bounded worlds, moving largely in sympathy</w:t>
      </w:r>
    </w:p>
    <w:p w14:paraId="11DAD24F" w14:textId="77777777" w:rsidR="00E308BC" w:rsidRDefault="00E308BC" w:rsidP="00E308BC">
      <w:pPr>
        <w:jc w:val="both"/>
        <w:rPr>
          <w:color w:val="000000" w:themeColor="text1"/>
        </w:rPr>
      </w:pPr>
    </w:p>
    <w:p w14:paraId="5BCC7541" w14:textId="5084CDDF" w:rsidR="00245485" w:rsidRDefault="000D5B93" w:rsidP="00E308BC">
      <w:pPr>
        <w:jc w:val="both"/>
        <w:rPr>
          <w:color w:val="000000" w:themeColor="text1"/>
        </w:rPr>
      </w:pPr>
      <w:r w:rsidRPr="00245485">
        <w:rPr>
          <w:color w:val="000000" w:themeColor="text1"/>
        </w:rPr>
        <w:t xml:space="preserve">The fact that the legal framework governing conferral is fundamentally predicated upon the bounded world of an individual and discrete Union act does not mean that that legal framework is somehow entirely artificial or divorced from reality.  On the contrary: in a great many cases, the </w:t>
      </w:r>
      <w:r w:rsidR="00DE726D" w:rsidRPr="00245485">
        <w:rPr>
          <w:color w:val="000000" w:themeColor="text1"/>
        </w:rPr>
        <w:t xml:space="preserve">Union </w:t>
      </w:r>
      <w:r w:rsidRPr="00245485">
        <w:rPr>
          <w:color w:val="000000" w:themeColor="text1"/>
        </w:rPr>
        <w:t xml:space="preserve">lawyer’s analysis </w:t>
      </w:r>
      <w:r w:rsidR="00310CD7" w:rsidRPr="00245485">
        <w:rPr>
          <w:color w:val="000000" w:themeColor="text1"/>
        </w:rPr>
        <w:t xml:space="preserve">surely </w:t>
      </w:r>
      <w:r w:rsidRPr="00245485">
        <w:rPr>
          <w:color w:val="000000" w:themeColor="text1"/>
        </w:rPr>
        <w:t xml:space="preserve">finds a worthy parallel or counterpart in the comparably bounded world of </w:t>
      </w:r>
      <w:r w:rsidR="00DE726D" w:rsidRPr="00245485">
        <w:rPr>
          <w:color w:val="000000" w:themeColor="text1"/>
        </w:rPr>
        <w:t xml:space="preserve">Union </w:t>
      </w:r>
      <w:r w:rsidRPr="00245485">
        <w:rPr>
          <w:color w:val="000000" w:themeColor="text1"/>
        </w:rPr>
        <w:t>policy</w:t>
      </w:r>
      <w:r w:rsidR="00DE726D" w:rsidRPr="00245485">
        <w:rPr>
          <w:color w:val="000000" w:themeColor="text1"/>
        </w:rPr>
        <w:t>making</w:t>
      </w:r>
      <w:r w:rsidRPr="00245485">
        <w:rPr>
          <w:color w:val="000000" w:themeColor="text1"/>
        </w:rPr>
        <w:t xml:space="preserve"> </w:t>
      </w:r>
      <w:r w:rsidR="00E6662E" w:rsidRPr="00245485">
        <w:rPr>
          <w:color w:val="000000" w:themeColor="text1"/>
        </w:rPr>
        <w:t xml:space="preserve">itself </w:t>
      </w:r>
      <w:r w:rsidRPr="00245485">
        <w:rPr>
          <w:color w:val="000000" w:themeColor="text1"/>
        </w:rPr>
        <w:t>– where</w:t>
      </w:r>
      <w:r w:rsidR="00DE726D" w:rsidRPr="00245485">
        <w:rPr>
          <w:color w:val="000000" w:themeColor="text1"/>
        </w:rPr>
        <w:t>by</w:t>
      </w:r>
      <w:r w:rsidRPr="00245485">
        <w:rPr>
          <w:color w:val="000000" w:themeColor="text1"/>
        </w:rPr>
        <w:t xml:space="preserve"> a specific and targeted challenge gives rise to an equally focused </w:t>
      </w:r>
      <w:r w:rsidR="00DE726D" w:rsidRPr="00245485">
        <w:rPr>
          <w:color w:val="000000" w:themeColor="text1"/>
        </w:rPr>
        <w:t xml:space="preserve">political </w:t>
      </w:r>
      <w:r w:rsidRPr="00245485">
        <w:rPr>
          <w:color w:val="000000" w:themeColor="text1"/>
        </w:rPr>
        <w:t>initiative</w:t>
      </w:r>
      <w:r w:rsidR="00E6662E" w:rsidRPr="00245485">
        <w:rPr>
          <w:color w:val="000000" w:themeColor="text1"/>
        </w:rPr>
        <w:t xml:space="preserve">.  That initiative will prompt </w:t>
      </w:r>
      <w:r w:rsidR="00DE726D" w:rsidRPr="00245485">
        <w:rPr>
          <w:color w:val="000000" w:themeColor="text1"/>
        </w:rPr>
        <w:t xml:space="preserve">a dedicated </w:t>
      </w:r>
      <w:r w:rsidR="00E6662E" w:rsidRPr="00245485">
        <w:rPr>
          <w:color w:val="000000" w:themeColor="text1"/>
        </w:rPr>
        <w:t xml:space="preserve">process </w:t>
      </w:r>
      <w:r w:rsidRPr="00245485">
        <w:rPr>
          <w:color w:val="000000" w:themeColor="text1"/>
        </w:rPr>
        <w:t>of negotiations</w:t>
      </w:r>
      <w:r w:rsidR="00E6662E" w:rsidRPr="00245485">
        <w:rPr>
          <w:color w:val="000000" w:themeColor="text1"/>
        </w:rPr>
        <w:t xml:space="preserve"> about the proposed terms of action.  Those negotiations will generate a </w:t>
      </w:r>
      <w:r w:rsidR="00DE726D" w:rsidRPr="00245485">
        <w:rPr>
          <w:color w:val="000000" w:themeColor="text1"/>
        </w:rPr>
        <w:t xml:space="preserve">range of </w:t>
      </w:r>
      <w:r w:rsidRPr="00245485">
        <w:rPr>
          <w:color w:val="000000" w:themeColor="text1"/>
        </w:rPr>
        <w:t>compromises</w:t>
      </w:r>
      <w:r w:rsidR="00E6662E" w:rsidRPr="00245485">
        <w:rPr>
          <w:color w:val="000000" w:themeColor="text1"/>
        </w:rPr>
        <w:t xml:space="preserve"> relating to the draft measure.  The resulting bargain will be enshrined in the </w:t>
      </w:r>
      <w:r w:rsidR="00DE726D" w:rsidRPr="00245485">
        <w:rPr>
          <w:color w:val="000000" w:themeColor="text1"/>
        </w:rPr>
        <w:lastRenderedPageBreak/>
        <w:t>adoption of a definitive regulatory instrument</w:t>
      </w:r>
      <w:r w:rsidRPr="00245485">
        <w:rPr>
          <w:color w:val="000000" w:themeColor="text1"/>
        </w:rPr>
        <w:t>.</w:t>
      </w:r>
      <w:r w:rsidR="00DE726D" w:rsidRPr="00245485">
        <w:rPr>
          <w:color w:val="000000" w:themeColor="text1"/>
        </w:rPr>
        <w:t xml:space="preserve">  In both its framing and its subject matter, the Union lawyer’s </w:t>
      </w:r>
      <w:r w:rsidR="00310CD7" w:rsidRPr="00245485">
        <w:rPr>
          <w:color w:val="000000" w:themeColor="text1"/>
        </w:rPr>
        <w:t>“</w:t>
      </w:r>
      <w:r w:rsidR="00DE726D" w:rsidRPr="00245485">
        <w:rPr>
          <w:color w:val="000000" w:themeColor="text1"/>
        </w:rPr>
        <w:t>individual and discrete act</w:t>
      </w:r>
      <w:r w:rsidR="00310CD7" w:rsidRPr="00245485">
        <w:rPr>
          <w:color w:val="000000" w:themeColor="text1"/>
        </w:rPr>
        <w:t>”</w:t>
      </w:r>
      <w:r w:rsidR="00DE726D" w:rsidRPr="00245485">
        <w:rPr>
          <w:color w:val="000000" w:themeColor="text1"/>
        </w:rPr>
        <w:t xml:space="preserve"> </w:t>
      </w:r>
      <w:r w:rsidR="00E6662E" w:rsidRPr="00245485">
        <w:rPr>
          <w:color w:val="000000" w:themeColor="text1"/>
        </w:rPr>
        <w:t xml:space="preserve">will often </w:t>
      </w:r>
      <w:r w:rsidR="00DE726D" w:rsidRPr="00245485">
        <w:rPr>
          <w:color w:val="000000" w:themeColor="text1"/>
        </w:rPr>
        <w:t>fairly reflect the nature and outcome of the work done by the Union’s policymakers.</w:t>
      </w:r>
      <w:r w:rsidR="00D91B11" w:rsidRPr="00245485">
        <w:rPr>
          <w:rStyle w:val="FootnoteReference"/>
          <w:color w:val="000000" w:themeColor="text1"/>
        </w:rPr>
        <w:footnoteReference w:id="29"/>
      </w:r>
      <w:r w:rsidR="00DE726D" w:rsidRPr="00245485">
        <w:rPr>
          <w:color w:val="000000" w:themeColor="text1"/>
        </w:rPr>
        <w:t xml:space="preserve">  </w:t>
      </w:r>
    </w:p>
    <w:p w14:paraId="18654EEF" w14:textId="77777777" w:rsidR="00245485" w:rsidRDefault="00DE726D" w:rsidP="00245485">
      <w:pPr>
        <w:ind w:firstLine="720"/>
        <w:jc w:val="both"/>
        <w:rPr>
          <w:color w:val="000000" w:themeColor="text1"/>
        </w:rPr>
      </w:pPr>
      <w:r w:rsidRPr="00245485">
        <w:rPr>
          <w:color w:val="000000" w:themeColor="text1"/>
        </w:rPr>
        <w:t xml:space="preserve">And in such situations, </w:t>
      </w:r>
      <w:r w:rsidR="00E6662E" w:rsidRPr="00245485">
        <w:rPr>
          <w:color w:val="000000" w:themeColor="text1"/>
        </w:rPr>
        <w:t xml:space="preserve">where </w:t>
      </w:r>
      <w:r w:rsidRPr="00245485">
        <w:rPr>
          <w:color w:val="000000" w:themeColor="text1"/>
        </w:rPr>
        <w:t>the lawyer and the policymaker frame their efforts through the same lens</w:t>
      </w:r>
      <w:r w:rsidR="00AD5083" w:rsidRPr="00245485">
        <w:rPr>
          <w:color w:val="000000" w:themeColor="text1"/>
        </w:rPr>
        <w:t xml:space="preserve">, </w:t>
      </w:r>
      <w:r w:rsidRPr="00245485">
        <w:rPr>
          <w:color w:val="000000" w:themeColor="text1"/>
        </w:rPr>
        <w:t xml:space="preserve">the </w:t>
      </w:r>
      <w:r w:rsidR="002C5663" w:rsidRPr="00245485">
        <w:rPr>
          <w:color w:val="000000" w:themeColor="text1"/>
        </w:rPr>
        <w:t xml:space="preserve">system </w:t>
      </w:r>
      <w:r w:rsidRPr="00245485">
        <w:rPr>
          <w:color w:val="000000" w:themeColor="text1"/>
        </w:rPr>
        <w:t xml:space="preserve">of conferral surely functions </w:t>
      </w:r>
      <w:r w:rsidR="002C5663" w:rsidRPr="00245485">
        <w:rPr>
          <w:color w:val="000000" w:themeColor="text1"/>
        </w:rPr>
        <w:t>relatively well</w:t>
      </w:r>
      <w:r w:rsidRPr="00245485">
        <w:rPr>
          <w:color w:val="000000" w:themeColor="text1"/>
        </w:rPr>
        <w:t xml:space="preserve">.  </w:t>
      </w:r>
      <w:r w:rsidR="00E6662E" w:rsidRPr="00245485">
        <w:rPr>
          <w:color w:val="000000" w:themeColor="text1"/>
        </w:rPr>
        <w:t>After all</w:t>
      </w:r>
      <w:r w:rsidRPr="00245485">
        <w:rPr>
          <w:color w:val="000000" w:themeColor="text1"/>
        </w:rPr>
        <w:t xml:space="preserve">, </w:t>
      </w:r>
      <w:r w:rsidR="00E6662E" w:rsidRPr="00245485">
        <w:rPr>
          <w:color w:val="000000" w:themeColor="text1"/>
        </w:rPr>
        <w:t xml:space="preserve">the expectation that a distinct Union act will be adopted on a given legal basis in accordance with the latter’s </w:t>
      </w:r>
      <w:r w:rsidR="00310CD7" w:rsidRPr="00245485">
        <w:rPr>
          <w:color w:val="000000" w:themeColor="text1"/>
        </w:rPr>
        <w:t xml:space="preserve">detailed constitutional </w:t>
      </w:r>
      <w:r w:rsidR="003473DB" w:rsidRPr="00245485">
        <w:rPr>
          <w:color w:val="000000" w:themeColor="text1"/>
        </w:rPr>
        <w:t xml:space="preserve">prescriptions </w:t>
      </w:r>
      <w:r w:rsidR="00E6662E" w:rsidRPr="00245485">
        <w:rPr>
          <w:color w:val="000000" w:themeColor="text1"/>
        </w:rPr>
        <w:t>evidently provides</w:t>
      </w:r>
      <w:r w:rsidR="003473DB" w:rsidRPr="00245485">
        <w:rPr>
          <w:color w:val="000000" w:themeColor="text1"/>
        </w:rPr>
        <w:t>, ex ante,</w:t>
      </w:r>
      <w:r w:rsidR="00E6662E" w:rsidRPr="00245485">
        <w:rPr>
          <w:color w:val="000000" w:themeColor="text1"/>
        </w:rPr>
        <w:t xml:space="preserve"> </w:t>
      </w:r>
      <w:r w:rsidR="002C5663" w:rsidRPr="00245485">
        <w:rPr>
          <w:color w:val="000000" w:themeColor="text1"/>
        </w:rPr>
        <w:t xml:space="preserve">a reasonably clear </w:t>
      </w:r>
      <w:r w:rsidR="003473DB" w:rsidRPr="00245485">
        <w:rPr>
          <w:color w:val="000000" w:themeColor="text1"/>
        </w:rPr>
        <w:t xml:space="preserve">environment within which the relevant decision-making bodies can perform their policy-making functions: making proposals, conducting negotiations, bargaining over compromises, adopting definitive solutions.  Moreover, in the event of a dispute about the legality of any resulting Union act – whether </w:t>
      </w:r>
      <w:r w:rsidR="00047781" w:rsidRPr="00245485">
        <w:rPr>
          <w:color w:val="000000" w:themeColor="text1"/>
        </w:rPr>
        <w:t>motivated by concerns</w:t>
      </w:r>
      <w:r w:rsidR="003473DB" w:rsidRPr="00245485">
        <w:rPr>
          <w:color w:val="000000" w:themeColor="text1"/>
        </w:rPr>
        <w:t xml:space="preserve"> </w:t>
      </w:r>
      <w:r w:rsidR="00047781" w:rsidRPr="00245485">
        <w:rPr>
          <w:color w:val="000000" w:themeColor="text1"/>
        </w:rPr>
        <w:t xml:space="preserve">over </w:t>
      </w:r>
      <w:r w:rsidR="003473DB" w:rsidRPr="00245485">
        <w:rPr>
          <w:color w:val="000000" w:themeColor="text1"/>
        </w:rPr>
        <w:t xml:space="preserve">some substantive or instead procedural dimension to the existence and nature of the available Union competences – the same framework of conferral governs the CJEU’s ex post judicial assessment.  If the outcome of such judicial scrutiny is negative, and the disputed act is annulled, the relevant institutions must start the decision-making process again, this time respecting the detailed competence environment provided by the correct legal basis – undertaking fresh negotiations, which may entail hammering out alternative compromises, and lead eventually to the adoption of different solutions.  </w:t>
      </w:r>
    </w:p>
    <w:p w14:paraId="3501B624" w14:textId="77777777" w:rsidR="00245485" w:rsidRDefault="00C65FE5" w:rsidP="00245485">
      <w:pPr>
        <w:ind w:firstLine="720"/>
        <w:jc w:val="both"/>
        <w:rPr>
          <w:color w:val="000000" w:themeColor="text1"/>
        </w:rPr>
      </w:pPr>
      <w:r w:rsidRPr="00245485">
        <w:rPr>
          <w:color w:val="000000" w:themeColor="text1"/>
        </w:rPr>
        <w:t>It is true that some c</w:t>
      </w:r>
      <w:r w:rsidR="00E6662E" w:rsidRPr="00245485">
        <w:rPr>
          <w:color w:val="000000" w:themeColor="text1"/>
        </w:rPr>
        <w:t xml:space="preserve">onferral disputes, particularly those </w:t>
      </w:r>
      <w:r w:rsidR="00B85ED4" w:rsidRPr="00245485">
        <w:rPr>
          <w:color w:val="000000" w:themeColor="text1"/>
        </w:rPr>
        <w:t xml:space="preserve">brought by a Union institution and </w:t>
      </w:r>
      <w:r w:rsidR="00E6662E" w:rsidRPr="00245485">
        <w:rPr>
          <w:color w:val="000000" w:themeColor="text1"/>
        </w:rPr>
        <w:t xml:space="preserve">alleging an incorrect choice </w:t>
      </w:r>
      <w:r w:rsidR="00B85ED4" w:rsidRPr="00245485">
        <w:rPr>
          <w:color w:val="000000" w:themeColor="text1"/>
        </w:rPr>
        <w:t xml:space="preserve">between the various candidates for </w:t>
      </w:r>
      <w:r w:rsidR="00E6662E" w:rsidRPr="00245485">
        <w:rPr>
          <w:color w:val="000000" w:themeColor="text1"/>
        </w:rPr>
        <w:t>legal basis</w:t>
      </w:r>
      <w:r w:rsidR="00B85ED4" w:rsidRPr="00245485">
        <w:rPr>
          <w:color w:val="000000" w:themeColor="text1"/>
        </w:rPr>
        <w:t>, appear</w:t>
      </w:r>
      <w:r w:rsidR="00E6662E" w:rsidRPr="00245485">
        <w:rPr>
          <w:color w:val="000000" w:themeColor="text1"/>
        </w:rPr>
        <w:t xml:space="preserve"> motivated more by a concern to vindicate the principle of respect for </w:t>
      </w:r>
      <w:r w:rsidR="00B85ED4" w:rsidRPr="00245485">
        <w:rPr>
          <w:color w:val="000000" w:themeColor="text1"/>
        </w:rPr>
        <w:t xml:space="preserve">that </w:t>
      </w:r>
      <w:r w:rsidR="00E6662E" w:rsidRPr="00245485">
        <w:rPr>
          <w:color w:val="000000" w:themeColor="text1"/>
        </w:rPr>
        <w:t>disgruntled actor’s due position and proper prerogatives by its peers</w:t>
      </w:r>
      <w:r w:rsidR="00B85ED4" w:rsidRPr="00245485">
        <w:rPr>
          <w:color w:val="000000" w:themeColor="text1"/>
        </w:rPr>
        <w:t xml:space="preserve"> – </w:t>
      </w:r>
      <w:r w:rsidR="00E6662E" w:rsidRPr="00245485">
        <w:rPr>
          <w:color w:val="000000" w:themeColor="text1"/>
        </w:rPr>
        <w:t>rather than by any concrete desire to procure in practice a policy outcome substantially different from that already enshrined in the original act.</w:t>
      </w:r>
      <w:r w:rsidR="004520E9" w:rsidRPr="00245485">
        <w:rPr>
          <w:rStyle w:val="FootnoteReference"/>
          <w:color w:val="000000" w:themeColor="text1"/>
        </w:rPr>
        <w:footnoteReference w:id="30"/>
      </w:r>
      <w:r w:rsidR="00E6662E" w:rsidRPr="00245485">
        <w:rPr>
          <w:color w:val="000000" w:themeColor="text1"/>
        </w:rPr>
        <w:t xml:space="preserve">  </w:t>
      </w:r>
      <w:r w:rsidR="00B85ED4" w:rsidRPr="00245485">
        <w:rPr>
          <w:color w:val="000000" w:themeColor="text1"/>
        </w:rPr>
        <w:t xml:space="preserve">But </w:t>
      </w:r>
      <w:r w:rsidR="003473DB" w:rsidRPr="00245485">
        <w:rPr>
          <w:color w:val="000000" w:themeColor="text1"/>
        </w:rPr>
        <w:t xml:space="preserve">in </w:t>
      </w:r>
      <w:r w:rsidR="00B85ED4" w:rsidRPr="00245485">
        <w:rPr>
          <w:color w:val="000000" w:themeColor="text1"/>
        </w:rPr>
        <w:t xml:space="preserve">many </w:t>
      </w:r>
      <w:r w:rsidR="003473DB" w:rsidRPr="00245485">
        <w:rPr>
          <w:color w:val="000000" w:themeColor="text1"/>
        </w:rPr>
        <w:t>other situations</w:t>
      </w:r>
      <w:r w:rsidR="00047781" w:rsidRPr="00245485">
        <w:rPr>
          <w:color w:val="000000" w:themeColor="text1"/>
        </w:rPr>
        <w:t xml:space="preserve"> – not least those involving an aggrieved Member State, or brought by a natural or legal person, concerned about more than mere institutional niceties – </w:t>
      </w:r>
      <w:r w:rsidR="003473DB" w:rsidRPr="00245485">
        <w:rPr>
          <w:color w:val="000000" w:themeColor="text1"/>
        </w:rPr>
        <w:t xml:space="preserve">annulment under the principle of conferral can </w:t>
      </w:r>
      <w:r w:rsidR="00B85ED4" w:rsidRPr="00245485">
        <w:rPr>
          <w:color w:val="000000" w:themeColor="text1"/>
        </w:rPr>
        <w:t xml:space="preserve">indeed </w:t>
      </w:r>
      <w:r w:rsidR="003473DB" w:rsidRPr="00245485">
        <w:rPr>
          <w:color w:val="000000" w:themeColor="text1"/>
        </w:rPr>
        <w:t>radically change the competence framework within which any new instrument will then have to be renegotiated and readopted</w:t>
      </w:r>
      <w:r w:rsidR="00047781" w:rsidRPr="00245485">
        <w:rPr>
          <w:color w:val="000000" w:themeColor="text1"/>
        </w:rPr>
        <w:t xml:space="preserve">.  After all, annulment might </w:t>
      </w:r>
      <w:r w:rsidR="00A5295B" w:rsidRPr="00245485">
        <w:rPr>
          <w:color w:val="000000" w:themeColor="text1"/>
        </w:rPr>
        <w:t xml:space="preserve">entail a significant reconfiguration of institutional participation (particularly on an issue where there is no </w:t>
      </w:r>
      <w:r w:rsidR="006A2410" w:rsidRPr="00245485">
        <w:rPr>
          <w:color w:val="000000" w:themeColor="text1"/>
        </w:rPr>
        <w:t>settled</w:t>
      </w:r>
      <w:r w:rsidR="00A5295B" w:rsidRPr="00245485">
        <w:rPr>
          <w:color w:val="000000" w:themeColor="text1"/>
        </w:rPr>
        <w:t xml:space="preserve"> policy consensus); or lead to an important change in the relationship between Union and Member State regulatory power (e.g. flipping from exclusive to shared</w:t>
      </w:r>
      <w:r w:rsidR="00310CD7" w:rsidRPr="00245485">
        <w:rPr>
          <w:color w:val="000000" w:themeColor="text1"/>
        </w:rPr>
        <w:t xml:space="preserve"> competence</w:t>
      </w:r>
      <w:r w:rsidR="00A5295B" w:rsidRPr="00245485">
        <w:rPr>
          <w:color w:val="000000" w:themeColor="text1"/>
        </w:rPr>
        <w:t xml:space="preserve">, or vice versa); or create a specific exclusion from or limitation on the very scope of Union competence (ruling out certain policy options altogether); or indeed expand the potential fields of action available to the Union institutions (thereby introducing </w:t>
      </w:r>
      <w:r w:rsidR="00310CD7" w:rsidRPr="00245485">
        <w:rPr>
          <w:color w:val="000000" w:themeColor="text1"/>
        </w:rPr>
        <w:t xml:space="preserve">the possibility of </w:t>
      </w:r>
      <w:r w:rsidR="00A5295B" w:rsidRPr="00245485">
        <w:rPr>
          <w:color w:val="000000" w:themeColor="text1"/>
        </w:rPr>
        <w:t xml:space="preserve">solutions not previously </w:t>
      </w:r>
      <w:r w:rsidR="00310CD7" w:rsidRPr="00245485">
        <w:rPr>
          <w:color w:val="000000" w:themeColor="text1"/>
        </w:rPr>
        <w:t xml:space="preserve">believed to be </w:t>
      </w:r>
      <w:r w:rsidR="00A5295B" w:rsidRPr="00245485">
        <w:rPr>
          <w:color w:val="000000" w:themeColor="text1"/>
        </w:rPr>
        <w:t>in contention).</w:t>
      </w:r>
      <w:r w:rsidR="004520E9" w:rsidRPr="00245485">
        <w:rPr>
          <w:rStyle w:val="FootnoteReference"/>
          <w:color w:val="000000" w:themeColor="text1"/>
        </w:rPr>
        <w:footnoteReference w:id="31"/>
      </w:r>
      <w:r w:rsidR="00A5295B" w:rsidRPr="00245485">
        <w:rPr>
          <w:color w:val="000000" w:themeColor="text1"/>
        </w:rPr>
        <w:t xml:space="preserve">  </w:t>
      </w:r>
    </w:p>
    <w:p w14:paraId="5F576597" w14:textId="77777777" w:rsidR="00245485" w:rsidRDefault="00A5295B" w:rsidP="00245485">
      <w:pPr>
        <w:ind w:firstLine="720"/>
        <w:jc w:val="both"/>
        <w:rPr>
          <w:color w:val="000000" w:themeColor="text1"/>
        </w:rPr>
      </w:pPr>
      <w:r w:rsidRPr="00245485">
        <w:rPr>
          <w:color w:val="000000" w:themeColor="text1"/>
        </w:rPr>
        <w:t xml:space="preserve">In </w:t>
      </w:r>
      <w:r w:rsidR="00316D57" w:rsidRPr="00245485">
        <w:rPr>
          <w:color w:val="000000" w:themeColor="text1"/>
        </w:rPr>
        <w:t>any event</w:t>
      </w:r>
      <w:r w:rsidRPr="00245485">
        <w:rPr>
          <w:color w:val="000000" w:themeColor="text1"/>
        </w:rPr>
        <w:t xml:space="preserve">, the fact remains: </w:t>
      </w:r>
      <w:r w:rsidR="00E6662E" w:rsidRPr="00245485">
        <w:rPr>
          <w:color w:val="000000" w:themeColor="text1"/>
        </w:rPr>
        <w:t xml:space="preserve">in principle, breach of the rules on conferral entails annulment and </w:t>
      </w:r>
      <w:r w:rsidRPr="00245485">
        <w:rPr>
          <w:color w:val="000000" w:themeColor="text1"/>
        </w:rPr>
        <w:t xml:space="preserve">will </w:t>
      </w:r>
      <w:r w:rsidR="00E6662E" w:rsidRPr="00245485">
        <w:rPr>
          <w:color w:val="000000" w:themeColor="text1"/>
        </w:rPr>
        <w:t>oblige the competent institutions to reengage with each other, on the new terms settled by the Court, with a view to adopting a new policy settlement.</w:t>
      </w:r>
      <w:r w:rsidRPr="00245485">
        <w:rPr>
          <w:color w:val="000000" w:themeColor="text1"/>
        </w:rPr>
        <w:t xml:space="preserve">  </w:t>
      </w:r>
      <w:r w:rsidR="00AD5083" w:rsidRPr="00245485">
        <w:rPr>
          <w:color w:val="000000" w:themeColor="text1"/>
        </w:rPr>
        <w:t>E</w:t>
      </w:r>
      <w:r w:rsidR="00316D57" w:rsidRPr="00245485">
        <w:rPr>
          <w:color w:val="000000" w:themeColor="text1"/>
        </w:rPr>
        <w:t xml:space="preserve">ven </w:t>
      </w:r>
      <w:r w:rsidRPr="00245485">
        <w:rPr>
          <w:color w:val="000000" w:themeColor="text1"/>
        </w:rPr>
        <w:t xml:space="preserve">in those </w:t>
      </w:r>
      <w:r w:rsidR="00316D57" w:rsidRPr="00245485">
        <w:rPr>
          <w:color w:val="000000" w:themeColor="text1"/>
        </w:rPr>
        <w:lastRenderedPageBreak/>
        <w:t xml:space="preserve">situations </w:t>
      </w:r>
      <w:r w:rsidRPr="00245485">
        <w:rPr>
          <w:color w:val="000000" w:themeColor="text1"/>
        </w:rPr>
        <w:t xml:space="preserve">where the Court’s assessment radically changes the </w:t>
      </w:r>
      <w:r w:rsidR="00316D57" w:rsidRPr="00245485">
        <w:rPr>
          <w:color w:val="000000" w:themeColor="text1"/>
        </w:rPr>
        <w:t>constitutional framework governing the process of institutional reengagement</w:t>
      </w:r>
      <w:r w:rsidR="00AD5083" w:rsidRPr="00245485">
        <w:rPr>
          <w:color w:val="000000" w:themeColor="text1"/>
        </w:rPr>
        <w:t>,</w:t>
      </w:r>
      <w:r w:rsidR="00316D57" w:rsidRPr="00245485">
        <w:rPr>
          <w:color w:val="000000" w:themeColor="text1"/>
        </w:rPr>
        <w:t xml:space="preserve"> there is no reason why the </w:t>
      </w:r>
      <w:r w:rsidR="0058189C" w:rsidRPr="00245485">
        <w:rPr>
          <w:color w:val="000000" w:themeColor="text1"/>
        </w:rPr>
        <w:t xml:space="preserve">parallel </w:t>
      </w:r>
      <w:r w:rsidR="00316D57" w:rsidRPr="00245485">
        <w:rPr>
          <w:color w:val="000000" w:themeColor="text1"/>
        </w:rPr>
        <w:t>bounded worlds</w:t>
      </w:r>
      <w:r w:rsidR="0058189C" w:rsidRPr="00245485">
        <w:rPr>
          <w:color w:val="000000" w:themeColor="text1"/>
        </w:rPr>
        <w:t>,</w:t>
      </w:r>
      <w:r w:rsidR="00316D57" w:rsidRPr="00245485">
        <w:rPr>
          <w:color w:val="000000" w:themeColor="text1"/>
        </w:rPr>
        <w:t xml:space="preserve"> of legal competence and </w:t>
      </w:r>
      <w:r w:rsidR="0058189C" w:rsidRPr="00245485">
        <w:rPr>
          <w:color w:val="000000" w:themeColor="text1"/>
        </w:rPr>
        <w:t xml:space="preserve">of </w:t>
      </w:r>
      <w:r w:rsidR="00DB0BD0" w:rsidRPr="00245485">
        <w:rPr>
          <w:color w:val="000000" w:themeColor="text1"/>
        </w:rPr>
        <w:t xml:space="preserve">Union </w:t>
      </w:r>
      <w:r w:rsidR="00316D57" w:rsidRPr="00245485">
        <w:rPr>
          <w:color w:val="000000" w:themeColor="text1"/>
        </w:rPr>
        <w:t>policymaking</w:t>
      </w:r>
      <w:r w:rsidR="0058189C" w:rsidRPr="00245485">
        <w:rPr>
          <w:color w:val="000000" w:themeColor="text1"/>
        </w:rPr>
        <w:t>,</w:t>
      </w:r>
      <w:r w:rsidR="00316D57" w:rsidRPr="00245485">
        <w:rPr>
          <w:color w:val="000000" w:themeColor="text1"/>
        </w:rPr>
        <w:t xml:space="preserve"> need fall out of sympathetic movement with each other.  </w:t>
      </w:r>
      <w:r w:rsidR="00AD5083" w:rsidRPr="00245485">
        <w:rPr>
          <w:color w:val="000000" w:themeColor="text1"/>
        </w:rPr>
        <w:t>After all, j</w:t>
      </w:r>
      <w:r w:rsidR="00DB0BD0" w:rsidRPr="00245485">
        <w:rPr>
          <w:color w:val="000000" w:themeColor="text1"/>
        </w:rPr>
        <w:t xml:space="preserve">udicial review may have changed the precise terms of engagement from those that prevailed under the negotiation and adoption of the original measure, but </w:t>
      </w:r>
      <w:r w:rsidR="00100FEF" w:rsidRPr="00245485">
        <w:rPr>
          <w:color w:val="000000" w:themeColor="text1"/>
        </w:rPr>
        <w:t xml:space="preserve">it does not significantly alter the shared underlying </w:t>
      </w:r>
      <w:r w:rsidR="00DB0BD0" w:rsidRPr="00245485">
        <w:rPr>
          <w:color w:val="000000" w:themeColor="text1"/>
        </w:rPr>
        <w:t>frame of reference</w:t>
      </w:r>
      <w:r w:rsidR="00100FEF" w:rsidRPr="00245485">
        <w:rPr>
          <w:color w:val="000000" w:themeColor="text1"/>
        </w:rPr>
        <w:t>,</w:t>
      </w:r>
      <w:r w:rsidR="00DB0BD0" w:rsidRPr="00245485">
        <w:rPr>
          <w:color w:val="000000" w:themeColor="text1"/>
        </w:rPr>
        <w:t xml:space="preserve"> </w:t>
      </w:r>
      <w:r w:rsidR="00100FEF" w:rsidRPr="00245485">
        <w:rPr>
          <w:color w:val="000000" w:themeColor="text1"/>
        </w:rPr>
        <w:t xml:space="preserve">since </w:t>
      </w:r>
      <w:r w:rsidR="00AD5083" w:rsidRPr="00245485">
        <w:rPr>
          <w:color w:val="000000" w:themeColor="text1"/>
        </w:rPr>
        <w:t xml:space="preserve">the standard consequence of an act’s legal non-compliance is that the competent policymakers simply to start work again for </w:t>
      </w:r>
      <w:r w:rsidR="00DB0BD0" w:rsidRPr="00245485">
        <w:rPr>
          <w:color w:val="000000" w:themeColor="text1"/>
        </w:rPr>
        <w:t xml:space="preserve">the negotiation and adoption of an equally distinct replacement </w:t>
      </w:r>
      <w:r w:rsidR="00EE75E4" w:rsidRPr="00245485">
        <w:rPr>
          <w:color w:val="000000" w:themeColor="text1"/>
        </w:rPr>
        <w:t>instrument</w:t>
      </w:r>
      <w:r w:rsidR="00DB0BD0" w:rsidRPr="00245485">
        <w:rPr>
          <w:color w:val="000000" w:themeColor="text1"/>
        </w:rPr>
        <w:t xml:space="preserve">.  </w:t>
      </w:r>
    </w:p>
    <w:p w14:paraId="77F6229D" w14:textId="77777777" w:rsidR="00245485" w:rsidRDefault="003218CE" w:rsidP="00245485">
      <w:pPr>
        <w:ind w:firstLine="720"/>
        <w:jc w:val="both"/>
        <w:rPr>
          <w:color w:val="000000" w:themeColor="text1"/>
        </w:rPr>
      </w:pPr>
      <w:r w:rsidRPr="00245485">
        <w:rPr>
          <w:color w:val="000000" w:themeColor="text1"/>
        </w:rPr>
        <w:t>N</w:t>
      </w:r>
      <w:r w:rsidR="00E6662E" w:rsidRPr="00245485">
        <w:rPr>
          <w:color w:val="000000" w:themeColor="text1"/>
        </w:rPr>
        <w:t xml:space="preserve">on-compliance with the </w:t>
      </w:r>
      <w:r w:rsidR="00100FEF" w:rsidRPr="00245485">
        <w:rPr>
          <w:color w:val="000000" w:themeColor="text1"/>
        </w:rPr>
        <w:t xml:space="preserve">principle of conferral </w:t>
      </w:r>
      <w:r w:rsidR="00E6662E" w:rsidRPr="00245485">
        <w:rPr>
          <w:color w:val="000000" w:themeColor="text1"/>
        </w:rPr>
        <w:t xml:space="preserve">need not always lead to annulment of the disputed act immediately and / or in its entirety.  </w:t>
      </w:r>
      <w:r w:rsidR="00A97689" w:rsidRPr="00245485">
        <w:rPr>
          <w:color w:val="000000" w:themeColor="text1"/>
        </w:rPr>
        <w:t xml:space="preserve">For example, the Court will </w:t>
      </w:r>
      <w:r w:rsidR="006743ED" w:rsidRPr="00245485">
        <w:rPr>
          <w:color w:val="000000" w:themeColor="text1"/>
        </w:rPr>
        <w:t xml:space="preserve">not </w:t>
      </w:r>
      <w:r w:rsidR="00A97689" w:rsidRPr="00245485">
        <w:rPr>
          <w:color w:val="000000" w:themeColor="text1"/>
        </w:rPr>
        <w:t xml:space="preserve">order annulment </w:t>
      </w:r>
      <w:r w:rsidR="006743ED" w:rsidRPr="00245485">
        <w:rPr>
          <w:color w:val="000000" w:themeColor="text1"/>
        </w:rPr>
        <w:t>where infringement of the rules on attributed powers is to be considered purely formal, lacking in any appreciable procedural or substantive consequences;</w:t>
      </w:r>
      <w:r w:rsidR="006743ED" w:rsidRPr="00245485">
        <w:rPr>
          <w:rStyle w:val="FootnoteReference"/>
          <w:color w:val="000000" w:themeColor="text1"/>
        </w:rPr>
        <w:footnoteReference w:id="32"/>
      </w:r>
      <w:r w:rsidR="006743ED" w:rsidRPr="00245485">
        <w:rPr>
          <w:color w:val="000000" w:themeColor="text1"/>
        </w:rPr>
        <w:t xml:space="preserve"> while the </w:t>
      </w:r>
      <w:r w:rsidR="00E6662E" w:rsidRPr="00245485">
        <w:rPr>
          <w:color w:val="000000" w:themeColor="text1"/>
        </w:rPr>
        <w:t xml:space="preserve">Court </w:t>
      </w:r>
      <w:r w:rsidR="00D91B11" w:rsidRPr="00245485">
        <w:rPr>
          <w:color w:val="000000" w:themeColor="text1"/>
        </w:rPr>
        <w:t xml:space="preserve">regularly </w:t>
      </w:r>
      <w:r w:rsidR="00E6662E" w:rsidRPr="00245485">
        <w:rPr>
          <w:color w:val="000000" w:themeColor="text1"/>
        </w:rPr>
        <w:t xml:space="preserve">exercises </w:t>
      </w:r>
      <w:r w:rsidR="00D91B11" w:rsidRPr="00245485">
        <w:rPr>
          <w:color w:val="000000" w:themeColor="text1"/>
        </w:rPr>
        <w:t xml:space="preserve">its </w:t>
      </w:r>
      <w:r w:rsidR="00E6662E" w:rsidRPr="00245485">
        <w:rPr>
          <w:color w:val="000000" w:themeColor="text1"/>
        </w:rPr>
        <w:t xml:space="preserve">jurisdiction to maintain the application </w:t>
      </w:r>
      <w:r w:rsidR="00AD5083" w:rsidRPr="00245485">
        <w:rPr>
          <w:color w:val="000000" w:themeColor="text1"/>
        </w:rPr>
        <w:t xml:space="preserve">or effects </w:t>
      </w:r>
      <w:r w:rsidR="00E6662E" w:rsidRPr="00245485">
        <w:rPr>
          <w:color w:val="000000" w:themeColor="text1"/>
        </w:rPr>
        <w:t>even of an annulled act</w:t>
      </w:r>
      <w:r w:rsidR="006A54EA" w:rsidRPr="00245485">
        <w:rPr>
          <w:color w:val="000000" w:themeColor="text1"/>
        </w:rPr>
        <w:t xml:space="preserve"> </w:t>
      </w:r>
      <w:r w:rsidR="00C75C0B" w:rsidRPr="00245485">
        <w:rPr>
          <w:color w:val="000000" w:themeColor="text1"/>
        </w:rPr>
        <w:t xml:space="preserve">on </w:t>
      </w:r>
      <w:r w:rsidR="00D91B11" w:rsidRPr="00245485">
        <w:rPr>
          <w:color w:val="000000" w:themeColor="text1"/>
        </w:rPr>
        <w:t xml:space="preserve">compelling </w:t>
      </w:r>
      <w:r w:rsidR="00C75C0B" w:rsidRPr="00245485">
        <w:rPr>
          <w:color w:val="000000" w:themeColor="text1"/>
        </w:rPr>
        <w:t xml:space="preserve">grounds </w:t>
      </w:r>
      <w:r w:rsidR="006A54EA" w:rsidRPr="00245485">
        <w:rPr>
          <w:color w:val="000000" w:themeColor="text1"/>
        </w:rPr>
        <w:t xml:space="preserve">of legal certainty </w:t>
      </w:r>
      <w:r w:rsidR="00AD5083" w:rsidRPr="00245485">
        <w:rPr>
          <w:color w:val="000000" w:themeColor="text1"/>
        </w:rPr>
        <w:t xml:space="preserve">(for example) on a temporary basis, </w:t>
      </w:r>
      <w:r w:rsidR="00E6662E" w:rsidRPr="00245485">
        <w:rPr>
          <w:color w:val="000000" w:themeColor="text1"/>
        </w:rPr>
        <w:t xml:space="preserve">while the competent institutions seek to rectify their errors </w:t>
      </w:r>
      <w:r w:rsidR="00C43795" w:rsidRPr="00245485">
        <w:rPr>
          <w:color w:val="000000" w:themeColor="text1"/>
        </w:rPr>
        <w:t>by</w:t>
      </w:r>
      <w:r w:rsidR="00E6662E" w:rsidRPr="00245485">
        <w:rPr>
          <w:color w:val="000000" w:themeColor="text1"/>
        </w:rPr>
        <w:t xml:space="preserve"> adopt</w:t>
      </w:r>
      <w:r w:rsidR="00C43795" w:rsidRPr="00245485">
        <w:rPr>
          <w:color w:val="000000" w:themeColor="text1"/>
        </w:rPr>
        <w:t>ing</w:t>
      </w:r>
      <w:r w:rsidR="00E6662E" w:rsidRPr="00245485">
        <w:rPr>
          <w:color w:val="000000" w:themeColor="text1"/>
        </w:rPr>
        <w:t xml:space="preserve"> an alternative measure.</w:t>
      </w:r>
      <w:r w:rsidR="004520E9" w:rsidRPr="00245485">
        <w:rPr>
          <w:rStyle w:val="FootnoteReference"/>
          <w:color w:val="000000" w:themeColor="text1"/>
        </w:rPr>
        <w:footnoteReference w:id="33"/>
      </w:r>
      <w:r w:rsidR="00E6662E" w:rsidRPr="00245485">
        <w:rPr>
          <w:color w:val="000000" w:themeColor="text1"/>
        </w:rPr>
        <w:t xml:space="preserve">  </w:t>
      </w:r>
    </w:p>
    <w:p w14:paraId="76F1CC52" w14:textId="77777777" w:rsidR="00245485" w:rsidRDefault="00100FEF" w:rsidP="00245485">
      <w:pPr>
        <w:ind w:firstLine="720"/>
        <w:jc w:val="both"/>
        <w:rPr>
          <w:color w:val="000000" w:themeColor="text1"/>
        </w:rPr>
      </w:pPr>
      <w:r w:rsidRPr="00245485">
        <w:rPr>
          <w:color w:val="000000" w:themeColor="text1"/>
        </w:rPr>
        <w:t xml:space="preserve">But in </w:t>
      </w:r>
      <w:r w:rsidR="00E6662E" w:rsidRPr="00245485">
        <w:rPr>
          <w:color w:val="000000" w:themeColor="text1"/>
        </w:rPr>
        <w:t xml:space="preserve">addition, the Court recognises the possibility that those individual components of an act </w:t>
      </w:r>
      <w:r w:rsidR="00D91B11" w:rsidRPr="00245485">
        <w:rPr>
          <w:color w:val="000000" w:themeColor="text1"/>
        </w:rPr>
        <w:t>which</w:t>
      </w:r>
      <w:r w:rsidR="00E6662E" w:rsidRPr="00245485">
        <w:rPr>
          <w:color w:val="000000" w:themeColor="text1"/>
        </w:rPr>
        <w:t xml:space="preserve"> fail</w:t>
      </w:r>
      <w:r w:rsidR="00D91B11" w:rsidRPr="00245485">
        <w:rPr>
          <w:color w:val="000000" w:themeColor="text1"/>
        </w:rPr>
        <w:t>s</w:t>
      </w:r>
      <w:r w:rsidR="00E6662E" w:rsidRPr="00245485">
        <w:rPr>
          <w:color w:val="000000" w:themeColor="text1"/>
        </w:rPr>
        <w:t xml:space="preserve"> to comply with the requirements of attributed powers, might be severed from the remainder of the measure, so that only the bad parts are annulled, while the rest of the regime remains legally valid and in force.</w:t>
      </w:r>
      <w:r w:rsidR="00C735B7" w:rsidRPr="00245485">
        <w:rPr>
          <w:rStyle w:val="FootnoteReference"/>
          <w:color w:val="000000" w:themeColor="text1"/>
        </w:rPr>
        <w:footnoteReference w:id="34"/>
      </w:r>
      <w:r w:rsidR="00E6662E" w:rsidRPr="00245485">
        <w:rPr>
          <w:color w:val="000000" w:themeColor="text1"/>
        </w:rPr>
        <w:t xml:space="preserve">  </w:t>
      </w:r>
      <w:r w:rsidRPr="00245485">
        <w:rPr>
          <w:color w:val="000000" w:themeColor="text1"/>
        </w:rPr>
        <w:t xml:space="preserve">That </w:t>
      </w:r>
      <w:r w:rsidR="00E6662E" w:rsidRPr="00245485">
        <w:rPr>
          <w:color w:val="000000" w:themeColor="text1"/>
        </w:rPr>
        <w:t xml:space="preserve">power of partial annulment must </w:t>
      </w:r>
      <w:r w:rsidRPr="00245485">
        <w:rPr>
          <w:color w:val="000000" w:themeColor="text1"/>
        </w:rPr>
        <w:t xml:space="preserve">(like the </w:t>
      </w:r>
      <w:r w:rsidR="006743ED" w:rsidRPr="00245485">
        <w:rPr>
          <w:color w:val="000000" w:themeColor="text1"/>
        </w:rPr>
        <w:t xml:space="preserve">Court’s </w:t>
      </w:r>
      <w:r w:rsidRPr="00245485">
        <w:rPr>
          <w:color w:val="000000" w:themeColor="text1"/>
        </w:rPr>
        <w:t xml:space="preserve">prior investigation into </w:t>
      </w:r>
      <w:r w:rsidR="00EE75E4" w:rsidRPr="00245485">
        <w:rPr>
          <w:color w:val="000000" w:themeColor="text1"/>
        </w:rPr>
        <w:t xml:space="preserve">the very existence of </w:t>
      </w:r>
      <w:r w:rsidRPr="00245485">
        <w:rPr>
          <w:color w:val="000000" w:themeColor="text1"/>
        </w:rPr>
        <w:t xml:space="preserve">a valid legal basis) </w:t>
      </w:r>
      <w:r w:rsidR="00E6662E" w:rsidRPr="00245485">
        <w:rPr>
          <w:color w:val="000000" w:themeColor="text1"/>
        </w:rPr>
        <w:t>be exercised according to a</w:t>
      </w:r>
      <w:r w:rsidR="0058189C" w:rsidRPr="00245485">
        <w:rPr>
          <w:color w:val="000000" w:themeColor="text1"/>
        </w:rPr>
        <w:t>n independent</w:t>
      </w:r>
      <w:r w:rsidR="00E6662E" w:rsidRPr="00245485">
        <w:rPr>
          <w:color w:val="000000" w:themeColor="text1"/>
        </w:rPr>
        <w:t xml:space="preserve"> judicial assessment based on objective criteria.  </w:t>
      </w:r>
      <w:proofErr w:type="gramStart"/>
      <w:r w:rsidR="002627FD" w:rsidRPr="00245485">
        <w:rPr>
          <w:color w:val="000000" w:themeColor="text1"/>
        </w:rPr>
        <w:t>In particular, partial</w:t>
      </w:r>
      <w:proofErr w:type="gramEnd"/>
      <w:r w:rsidR="002627FD" w:rsidRPr="00245485">
        <w:rPr>
          <w:color w:val="000000" w:themeColor="text1"/>
        </w:rPr>
        <w:t xml:space="preserve"> annulment is possible only if the disputed elements can be severed from the remainder of the measure and without causing the latter’s substance to be altered.  </w:t>
      </w:r>
      <w:r w:rsidR="00E6662E" w:rsidRPr="00245485">
        <w:rPr>
          <w:color w:val="000000" w:themeColor="text1"/>
        </w:rPr>
        <w:t>Severability is not determined according to mere political preferences</w:t>
      </w:r>
      <w:r w:rsidR="0058189C" w:rsidRPr="00245485">
        <w:rPr>
          <w:color w:val="000000" w:themeColor="text1"/>
        </w:rPr>
        <w:t>,</w:t>
      </w:r>
      <w:r w:rsidR="00E6662E" w:rsidRPr="00245485">
        <w:rPr>
          <w:color w:val="000000" w:themeColor="text1"/>
        </w:rPr>
        <w:t xml:space="preserve"> as expressed by the relevant Union institutions</w:t>
      </w:r>
      <w:r w:rsidR="0058189C" w:rsidRPr="00245485">
        <w:rPr>
          <w:color w:val="000000" w:themeColor="text1"/>
        </w:rPr>
        <w:t>.</w:t>
      </w:r>
      <w:r w:rsidR="004520E9" w:rsidRPr="00245485">
        <w:rPr>
          <w:rStyle w:val="FootnoteReference"/>
          <w:color w:val="000000" w:themeColor="text1"/>
        </w:rPr>
        <w:footnoteReference w:id="35"/>
      </w:r>
      <w:r w:rsidR="0058189C" w:rsidRPr="00245485">
        <w:rPr>
          <w:color w:val="000000" w:themeColor="text1"/>
        </w:rPr>
        <w:t xml:space="preserve">  It is therefore possible that, in particular circumstances, the Court might identify a partial failure to comply with the rules on competence, but then decide for itself on the severability of an act, and do so contrary to the preferences of </w:t>
      </w:r>
      <w:r w:rsidR="00061DD1" w:rsidRPr="00245485">
        <w:rPr>
          <w:color w:val="000000" w:themeColor="text1"/>
        </w:rPr>
        <w:t xml:space="preserve">(some or even all of) </w:t>
      </w:r>
      <w:r w:rsidR="0058189C" w:rsidRPr="00245485">
        <w:rPr>
          <w:color w:val="000000" w:themeColor="text1"/>
        </w:rPr>
        <w:t xml:space="preserve">the institutions that </w:t>
      </w:r>
      <w:r w:rsidR="0040670A" w:rsidRPr="00245485">
        <w:rPr>
          <w:color w:val="000000" w:themeColor="text1"/>
        </w:rPr>
        <w:t xml:space="preserve">have (or </w:t>
      </w:r>
      <w:r w:rsidR="0058189C" w:rsidRPr="00245485">
        <w:rPr>
          <w:color w:val="000000" w:themeColor="text1"/>
        </w:rPr>
        <w:t xml:space="preserve">should </w:t>
      </w:r>
      <w:r w:rsidR="0040670A" w:rsidRPr="00245485">
        <w:rPr>
          <w:color w:val="000000" w:themeColor="text1"/>
        </w:rPr>
        <w:t xml:space="preserve">have) </w:t>
      </w:r>
      <w:r w:rsidR="0058189C" w:rsidRPr="00245485">
        <w:rPr>
          <w:color w:val="000000" w:themeColor="text1"/>
        </w:rPr>
        <w:t xml:space="preserve">rightfully participated in its adoption.  </w:t>
      </w:r>
      <w:r w:rsidR="00061DD1" w:rsidRPr="00245485">
        <w:rPr>
          <w:color w:val="000000" w:themeColor="text1"/>
        </w:rPr>
        <w:t xml:space="preserve">In such cases, there would be a greater risk of </w:t>
      </w:r>
      <w:r w:rsidR="0058189C" w:rsidRPr="00245485">
        <w:rPr>
          <w:color w:val="000000" w:themeColor="text1"/>
        </w:rPr>
        <w:t>judicial review intrud</w:t>
      </w:r>
      <w:r w:rsidR="00061DD1" w:rsidRPr="00245485">
        <w:rPr>
          <w:color w:val="000000" w:themeColor="text1"/>
        </w:rPr>
        <w:t>ing</w:t>
      </w:r>
      <w:r w:rsidR="0058189C" w:rsidRPr="00245485">
        <w:rPr>
          <w:color w:val="000000" w:themeColor="text1"/>
        </w:rPr>
        <w:t xml:space="preserve"> more </w:t>
      </w:r>
      <w:r w:rsidR="00061DD1" w:rsidRPr="00245485">
        <w:rPr>
          <w:color w:val="000000" w:themeColor="text1"/>
        </w:rPr>
        <w:t xml:space="preserve">deeply </w:t>
      </w:r>
      <w:r w:rsidR="0058189C" w:rsidRPr="00245485">
        <w:rPr>
          <w:color w:val="000000" w:themeColor="text1"/>
        </w:rPr>
        <w:t>into the political process –</w:t>
      </w:r>
      <w:r w:rsidR="00061DD1" w:rsidRPr="00245485">
        <w:rPr>
          <w:color w:val="000000" w:themeColor="text1"/>
        </w:rPr>
        <w:t xml:space="preserve"> </w:t>
      </w:r>
      <w:r w:rsidR="0058189C" w:rsidRPr="00245485">
        <w:rPr>
          <w:color w:val="000000" w:themeColor="text1"/>
        </w:rPr>
        <w:t xml:space="preserve">denying the competent institutions </w:t>
      </w:r>
      <w:r w:rsidR="00061DD1" w:rsidRPr="00245485">
        <w:rPr>
          <w:color w:val="000000" w:themeColor="text1"/>
        </w:rPr>
        <w:t xml:space="preserve">their </w:t>
      </w:r>
      <w:r w:rsidR="0058189C" w:rsidRPr="00245485">
        <w:rPr>
          <w:color w:val="000000" w:themeColor="text1"/>
        </w:rPr>
        <w:t xml:space="preserve">full opportunity to engage in </w:t>
      </w:r>
      <w:r w:rsidR="00061DD1" w:rsidRPr="00245485">
        <w:rPr>
          <w:color w:val="000000" w:themeColor="text1"/>
        </w:rPr>
        <w:t xml:space="preserve">a </w:t>
      </w:r>
      <w:r w:rsidR="0058189C" w:rsidRPr="00245485">
        <w:rPr>
          <w:color w:val="000000" w:themeColor="text1"/>
        </w:rPr>
        <w:t>disputed measure’s renegotiation</w:t>
      </w:r>
      <w:r w:rsidR="00061DD1" w:rsidRPr="00245485">
        <w:rPr>
          <w:color w:val="000000" w:themeColor="text1"/>
        </w:rPr>
        <w:t>,</w:t>
      </w:r>
      <w:r w:rsidR="0058189C" w:rsidRPr="00245485">
        <w:rPr>
          <w:color w:val="000000" w:themeColor="text1"/>
        </w:rPr>
        <w:t xml:space="preserve"> based on their own </w:t>
      </w:r>
      <w:r w:rsidR="00061DD1" w:rsidRPr="00245485">
        <w:rPr>
          <w:color w:val="000000" w:themeColor="text1"/>
        </w:rPr>
        <w:t xml:space="preserve">(potentially different) </w:t>
      </w:r>
      <w:r w:rsidR="0058189C" w:rsidRPr="00245485">
        <w:rPr>
          <w:color w:val="000000" w:themeColor="text1"/>
        </w:rPr>
        <w:t xml:space="preserve">appreciation of the available room for and appropriate nature of </w:t>
      </w:r>
      <w:r w:rsidR="00061DD1" w:rsidRPr="00245485">
        <w:rPr>
          <w:color w:val="000000" w:themeColor="text1"/>
        </w:rPr>
        <w:t xml:space="preserve">whatever </w:t>
      </w:r>
      <w:r w:rsidR="0058189C" w:rsidRPr="00245485">
        <w:rPr>
          <w:color w:val="000000" w:themeColor="text1"/>
        </w:rPr>
        <w:t>policy compromises</w:t>
      </w:r>
      <w:r w:rsidR="00061DD1" w:rsidRPr="00245485">
        <w:rPr>
          <w:color w:val="000000" w:themeColor="text1"/>
        </w:rPr>
        <w:t xml:space="preserve"> and final outcomes should be agreed</w:t>
      </w:r>
      <w:r w:rsidR="0058189C" w:rsidRPr="00245485">
        <w:rPr>
          <w:color w:val="000000" w:themeColor="text1"/>
        </w:rPr>
        <w:t xml:space="preserve">.  </w:t>
      </w:r>
    </w:p>
    <w:p w14:paraId="27D794A1" w14:textId="2818A78B" w:rsidR="00310D5C" w:rsidRPr="00245485" w:rsidRDefault="0040670A" w:rsidP="00245485">
      <w:pPr>
        <w:ind w:firstLine="720"/>
        <w:jc w:val="both"/>
        <w:rPr>
          <w:color w:val="000000" w:themeColor="text1"/>
        </w:rPr>
      </w:pPr>
      <w:r w:rsidRPr="00245485">
        <w:rPr>
          <w:color w:val="000000" w:themeColor="text1"/>
        </w:rPr>
        <w:t xml:space="preserve">Yet </w:t>
      </w:r>
      <w:r w:rsidR="00061DD1" w:rsidRPr="00245485">
        <w:rPr>
          <w:color w:val="000000" w:themeColor="text1"/>
        </w:rPr>
        <w:t>such a scenario is surely exceptional in nature.  I</w:t>
      </w:r>
      <w:r w:rsidR="00E6662E" w:rsidRPr="00245485">
        <w:rPr>
          <w:color w:val="000000" w:themeColor="text1"/>
        </w:rPr>
        <w:t xml:space="preserve">n most situations, </w:t>
      </w:r>
      <w:r w:rsidRPr="00245485">
        <w:rPr>
          <w:color w:val="000000" w:themeColor="text1"/>
        </w:rPr>
        <w:t xml:space="preserve">we can fairly assume that – when it comes to the negotiation, </w:t>
      </w:r>
      <w:proofErr w:type="gramStart"/>
      <w:r w:rsidRPr="00245485">
        <w:rPr>
          <w:color w:val="000000" w:themeColor="text1"/>
        </w:rPr>
        <w:t>adoption</w:t>
      </w:r>
      <w:proofErr w:type="gramEnd"/>
      <w:r w:rsidRPr="00245485">
        <w:rPr>
          <w:color w:val="000000" w:themeColor="text1"/>
        </w:rPr>
        <w:t xml:space="preserve"> and scrutiny of individual and discrete Union measures – the framework for reaching a political settlement on any given Union initiative, and the principles governing the constitutional basis of the final legal act, stand and operate in relatively close relationship to each other</w:t>
      </w:r>
      <w:r w:rsidR="0094657F" w:rsidRPr="00245485">
        <w:rPr>
          <w:color w:val="000000" w:themeColor="text1"/>
        </w:rPr>
        <w:t>.</w:t>
      </w:r>
      <w:r w:rsidRPr="00245485">
        <w:rPr>
          <w:color w:val="000000" w:themeColor="text1"/>
        </w:rPr>
        <w:t xml:space="preserve"> </w:t>
      </w:r>
      <w:r w:rsidR="0094657F" w:rsidRPr="00245485">
        <w:rPr>
          <w:color w:val="000000" w:themeColor="text1"/>
        </w:rPr>
        <w:t xml:space="preserve"> E</w:t>
      </w:r>
      <w:r w:rsidRPr="00245485">
        <w:rPr>
          <w:color w:val="000000" w:themeColor="text1"/>
        </w:rPr>
        <w:t xml:space="preserve">ven a successful </w:t>
      </w:r>
      <w:r w:rsidR="00E6662E" w:rsidRPr="00245485">
        <w:rPr>
          <w:color w:val="000000" w:themeColor="text1"/>
        </w:rPr>
        <w:t xml:space="preserve">judicial review </w:t>
      </w:r>
      <w:r w:rsidRPr="00245485">
        <w:rPr>
          <w:color w:val="000000" w:themeColor="text1"/>
        </w:rPr>
        <w:t xml:space="preserve">on grounds of conferral should </w:t>
      </w:r>
      <w:r w:rsidR="00E6662E" w:rsidRPr="00245485">
        <w:rPr>
          <w:color w:val="000000" w:themeColor="text1"/>
        </w:rPr>
        <w:t xml:space="preserve">not unduly interfere with the scope for </w:t>
      </w:r>
      <w:r w:rsidR="00061DD1" w:rsidRPr="00245485">
        <w:rPr>
          <w:color w:val="000000" w:themeColor="text1"/>
        </w:rPr>
        <w:t xml:space="preserve">reaching an equally distinct </w:t>
      </w:r>
      <w:r w:rsidR="00E6662E" w:rsidRPr="00245485">
        <w:rPr>
          <w:color w:val="000000" w:themeColor="text1"/>
        </w:rPr>
        <w:t>political (re)settlement by the competent Union institutions</w:t>
      </w:r>
      <w:r w:rsidR="00C43795" w:rsidRPr="00245485">
        <w:rPr>
          <w:color w:val="000000" w:themeColor="text1"/>
        </w:rPr>
        <w:t xml:space="preserve"> – beyond the restrictions that are simply inherent to any system of attributed powers</w:t>
      </w:r>
      <w:r w:rsidR="00E6662E" w:rsidRPr="00245485">
        <w:rPr>
          <w:color w:val="000000" w:themeColor="text1"/>
        </w:rPr>
        <w:t>.</w:t>
      </w:r>
      <w:r w:rsidR="00061DD1" w:rsidRPr="00245485">
        <w:rPr>
          <w:color w:val="000000" w:themeColor="text1"/>
        </w:rPr>
        <w:t xml:space="preserve">  </w:t>
      </w:r>
      <w:r w:rsidRPr="00245485">
        <w:rPr>
          <w:color w:val="000000" w:themeColor="text1"/>
        </w:rPr>
        <w:t xml:space="preserve">But </w:t>
      </w:r>
      <w:r w:rsidR="00310D5C" w:rsidRPr="00245485">
        <w:rPr>
          <w:color w:val="000000" w:themeColor="text1"/>
        </w:rPr>
        <w:t xml:space="preserve">what happens if </w:t>
      </w:r>
      <w:r w:rsidR="00061DD1" w:rsidRPr="00245485">
        <w:rPr>
          <w:color w:val="000000" w:themeColor="text1"/>
        </w:rPr>
        <w:t xml:space="preserve">and when the lawyer’s </w:t>
      </w:r>
      <w:r w:rsidR="00310D5C" w:rsidRPr="00245485">
        <w:rPr>
          <w:color w:val="000000" w:themeColor="text1"/>
        </w:rPr>
        <w:t xml:space="preserve">bounded </w:t>
      </w:r>
      <w:r w:rsidR="00061DD1" w:rsidRPr="00245485">
        <w:rPr>
          <w:color w:val="000000" w:themeColor="text1"/>
        </w:rPr>
        <w:t xml:space="preserve">approach to understanding and assessing the competence-compatibility </w:t>
      </w:r>
      <w:r w:rsidR="00310D5C" w:rsidRPr="00245485">
        <w:rPr>
          <w:color w:val="000000" w:themeColor="text1"/>
        </w:rPr>
        <w:t xml:space="preserve">of </w:t>
      </w:r>
      <w:r w:rsidR="00061DD1" w:rsidRPr="00245485">
        <w:rPr>
          <w:color w:val="000000" w:themeColor="text1"/>
        </w:rPr>
        <w:t xml:space="preserve">any and </w:t>
      </w:r>
      <w:r w:rsidR="00061DD1" w:rsidRPr="00245485">
        <w:rPr>
          <w:color w:val="000000" w:themeColor="text1"/>
        </w:rPr>
        <w:lastRenderedPageBreak/>
        <w:t xml:space="preserve">every </w:t>
      </w:r>
      <w:r w:rsidR="00310D5C" w:rsidRPr="00245485">
        <w:rPr>
          <w:color w:val="000000" w:themeColor="text1"/>
        </w:rPr>
        <w:t xml:space="preserve">individual and discrete Union act, is </w:t>
      </w:r>
      <w:r w:rsidR="00777C18" w:rsidRPr="00245485">
        <w:rPr>
          <w:color w:val="000000" w:themeColor="text1"/>
        </w:rPr>
        <w:t xml:space="preserve">not mirrored by an equally bounded policy perspective shared by the relevant policymakers, but must instead interact with a much more </w:t>
      </w:r>
      <w:r w:rsidR="00310D5C" w:rsidRPr="00245485">
        <w:rPr>
          <w:color w:val="000000" w:themeColor="text1"/>
        </w:rPr>
        <w:t xml:space="preserve">complex reality </w:t>
      </w:r>
      <w:r w:rsidR="00777C18" w:rsidRPr="00245485">
        <w:rPr>
          <w:color w:val="000000" w:themeColor="text1"/>
        </w:rPr>
        <w:t xml:space="preserve">– one characterised by multifaceted socio-economic </w:t>
      </w:r>
      <w:r w:rsidR="00C877A4">
        <w:rPr>
          <w:color w:val="000000" w:themeColor="text1"/>
        </w:rPr>
        <w:t xml:space="preserve">and / or geo-political </w:t>
      </w:r>
      <w:r w:rsidR="00310D5C" w:rsidRPr="00245485">
        <w:rPr>
          <w:color w:val="000000" w:themeColor="text1"/>
        </w:rPr>
        <w:t>challenges</w:t>
      </w:r>
      <w:r w:rsidR="00777C18" w:rsidRPr="00245485">
        <w:rPr>
          <w:color w:val="000000" w:themeColor="text1"/>
        </w:rPr>
        <w:t>,</w:t>
      </w:r>
      <w:r w:rsidR="00310D5C" w:rsidRPr="00245485">
        <w:rPr>
          <w:color w:val="000000" w:themeColor="text1"/>
        </w:rPr>
        <w:t xml:space="preserve"> </w:t>
      </w:r>
      <w:r w:rsidR="00777C18" w:rsidRPr="00245485">
        <w:rPr>
          <w:color w:val="000000" w:themeColor="text1"/>
        </w:rPr>
        <w:t xml:space="preserve">calling for multiple regulatory </w:t>
      </w:r>
      <w:r w:rsidR="00310D5C" w:rsidRPr="00245485">
        <w:rPr>
          <w:color w:val="000000" w:themeColor="text1"/>
        </w:rPr>
        <w:t>initiatives</w:t>
      </w:r>
      <w:r w:rsidR="00777C18" w:rsidRPr="00245485">
        <w:rPr>
          <w:color w:val="000000" w:themeColor="text1"/>
        </w:rPr>
        <w:t xml:space="preserve">, generating overlapping sets of </w:t>
      </w:r>
      <w:r w:rsidR="00310D5C" w:rsidRPr="00245485">
        <w:rPr>
          <w:color w:val="000000" w:themeColor="text1"/>
        </w:rPr>
        <w:t>negotiations</w:t>
      </w:r>
      <w:r w:rsidR="00777C18" w:rsidRPr="00245485">
        <w:rPr>
          <w:color w:val="000000" w:themeColor="text1"/>
        </w:rPr>
        <w:t xml:space="preserve">, entailing mutually intertwined </w:t>
      </w:r>
      <w:r w:rsidR="00310D5C" w:rsidRPr="00245485">
        <w:rPr>
          <w:color w:val="000000" w:themeColor="text1"/>
        </w:rPr>
        <w:t>compromises</w:t>
      </w:r>
      <w:r w:rsidR="00777C18" w:rsidRPr="00245485">
        <w:rPr>
          <w:color w:val="000000" w:themeColor="text1"/>
        </w:rPr>
        <w:t>,</w:t>
      </w:r>
      <w:r w:rsidR="00310D5C" w:rsidRPr="00245485">
        <w:rPr>
          <w:color w:val="000000" w:themeColor="text1"/>
        </w:rPr>
        <w:t xml:space="preserve"> </w:t>
      </w:r>
      <w:r w:rsidR="00777C18" w:rsidRPr="00245485">
        <w:rPr>
          <w:color w:val="000000" w:themeColor="text1"/>
        </w:rPr>
        <w:t xml:space="preserve">and resulting in a diverse package of individual and yet far from discrete regulatory </w:t>
      </w:r>
      <w:r w:rsidR="00310D5C" w:rsidRPr="00245485">
        <w:rPr>
          <w:color w:val="000000" w:themeColor="text1"/>
        </w:rPr>
        <w:t>solutions?</w:t>
      </w:r>
    </w:p>
    <w:p w14:paraId="0339D9BE" w14:textId="77777777" w:rsidR="0040670A" w:rsidRPr="00245485" w:rsidRDefault="0040670A" w:rsidP="00245485">
      <w:pPr>
        <w:jc w:val="both"/>
        <w:rPr>
          <w:b/>
          <w:bCs/>
          <w:color w:val="000000" w:themeColor="text1"/>
        </w:rPr>
      </w:pPr>
    </w:p>
    <w:p w14:paraId="3C39B396" w14:textId="03D023A2" w:rsidR="00FF5C3A" w:rsidRPr="00245485" w:rsidRDefault="002F5487" w:rsidP="00245485">
      <w:pPr>
        <w:jc w:val="both"/>
        <w:rPr>
          <w:b/>
          <w:bCs/>
          <w:color w:val="000000" w:themeColor="text1"/>
        </w:rPr>
      </w:pPr>
      <w:r w:rsidRPr="00245485">
        <w:rPr>
          <w:b/>
          <w:bCs/>
          <w:color w:val="000000" w:themeColor="text1"/>
        </w:rPr>
        <w:t xml:space="preserve">3. </w:t>
      </w:r>
      <w:r w:rsidR="00FF5C3A" w:rsidRPr="00245485">
        <w:rPr>
          <w:b/>
          <w:bCs/>
          <w:color w:val="000000" w:themeColor="text1"/>
        </w:rPr>
        <w:t>Growth and Significance of Policy Packages</w:t>
      </w:r>
    </w:p>
    <w:p w14:paraId="227BA725" w14:textId="77777777" w:rsidR="004746E0" w:rsidRPr="00245485" w:rsidRDefault="004746E0" w:rsidP="00245485">
      <w:pPr>
        <w:jc w:val="both"/>
        <w:rPr>
          <w:b/>
          <w:bCs/>
          <w:color w:val="000000" w:themeColor="text1"/>
        </w:rPr>
      </w:pPr>
    </w:p>
    <w:p w14:paraId="611B3BF7" w14:textId="77777777" w:rsidR="00245485" w:rsidRDefault="00507B2A" w:rsidP="00245485">
      <w:pPr>
        <w:jc w:val="both"/>
        <w:rPr>
          <w:color w:val="000000" w:themeColor="text1"/>
        </w:rPr>
      </w:pPr>
      <w:r w:rsidRPr="00245485">
        <w:rPr>
          <w:color w:val="000000" w:themeColor="text1"/>
        </w:rPr>
        <w:t xml:space="preserve">The hypothesis underpinning this paper is that such </w:t>
      </w:r>
      <w:r w:rsidR="000173F6" w:rsidRPr="00245485">
        <w:rPr>
          <w:color w:val="000000" w:themeColor="text1"/>
        </w:rPr>
        <w:t xml:space="preserve">complex policy packages </w:t>
      </w:r>
      <w:r w:rsidRPr="00245485">
        <w:rPr>
          <w:color w:val="000000" w:themeColor="text1"/>
        </w:rPr>
        <w:t xml:space="preserve">have become and will remain </w:t>
      </w:r>
      <w:r w:rsidR="000173F6" w:rsidRPr="00245485">
        <w:rPr>
          <w:color w:val="000000" w:themeColor="text1"/>
        </w:rPr>
        <w:t xml:space="preserve">an </w:t>
      </w:r>
      <w:r w:rsidR="0090205B" w:rsidRPr="00245485">
        <w:rPr>
          <w:color w:val="000000" w:themeColor="text1"/>
        </w:rPr>
        <w:t>important feature of EU legislative and regulatory activity.</w:t>
      </w:r>
      <w:r w:rsidR="00703DC4" w:rsidRPr="00245485">
        <w:rPr>
          <w:color w:val="000000" w:themeColor="text1"/>
        </w:rPr>
        <w:t xml:space="preserve">  </w:t>
      </w:r>
      <w:r w:rsidR="000173F6" w:rsidRPr="00245485">
        <w:rPr>
          <w:color w:val="000000" w:themeColor="text1"/>
        </w:rPr>
        <w:t xml:space="preserve">Suffice to recall the composite nature of the Union’s response to a variety of </w:t>
      </w:r>
      <w:r w:rsidR="006A54EA" w:rsidRPr="00245485">
        <w:rPr>
          <w:color w:val="000000" w:themeColor="text1"/>
        </w:rPr>
        <w:t>high-profile</w:t>
      </w:r>
      <w:r w:rsidR="000173F6" w:rsidRPr="00245485">
        <w:rPr>
          <w:color w:val="000000" w:themeColor="text1"/>
        </w:rPr>
        <w:t xml:space="preserve"> challenges</w:t>
      </w:r>
      <w:r w:rsidR="00465066" w:rsidRPr="00245485">
        <w:rPr>
          <w:color w:val="000000" w:themeColor="text1"/>
        </w:rPr>
        <w:t>,</w:t>
      </w:r>
      <w:r w:rsidR="000173F6" w:rsidRPr="00245485">
        <w:rPr>
          <w:color w:val="000000" w:themeColor="text1"/>
        </w:rPr>
        <w:t xml:space="preserve"> each characterised by their </w:t>
      </w:r>
      <w:r w:rsidR="003360B5" w:rsidRPr="00245485">
        <w:rPr>
          <w:color w:val="000000" w:themeColor="text1"/>
        </w:rPr>
        <w:t xml:space="preserve">intimidating </w:t>
      </w:r>
      <w:r w:rsidR="000173F6" w:rsidRPr="00245485">
        <w:rPr>
          <w:color w:val="000000" w:themeColor="text1"/>
        </w:rPr>
        <w:t xml:space="preserve">scale and </w:t>
      </w:r>
      <w:r w:rsidR="003360B5" w:rsidRPr="00245485">
        <w:rPr>
          <w:color w:val="000000" w:themeColor="text1"/>
        </w:rPr>
        <w:t xml:space="preserve">formidable </w:t>
      </w:r>
      <w:r w:rsidR="000173F6" w:rsidRPr="00245485">
        <w:rPr>
          <w:color w:val="000000" w:themeColor="text1"/>
        </w:rPr>
        <w:t xml:space="preserve">complexity: </w:t>
      </w:r>
      <w:r w:rsidR="00604199" w:rsidRPr="00245485">
        <w:rPr>
          <w:color w:val="000000" w:themeColor="text1"/>
        </w:rPr>
        <w:t xml:space="preserve">for example, </w:t>
      </w:r>
      <w:r w:rsidR="00465066" w:rsidRPr="00245485">
        <w:rPr>
          <w:color w:val="000000" w:themeColor="text1"/>
        </w:rPr>
        <w:t>the 2008 financial crisis</w:t>
      </w:r>
      <w:r w:rsidR="00604199" w:rsidRPr="00245485">
        <w:rPr>
          <w:color w:val="000000" w:themeColor="text1"/>
        </w:rPr>
        <w:t xml:space="preserve"> and </w:t>
      </w:r>
      <w:r w:rsidR="00465066" w:rsidRPr="00245485">
        <w:rPr>
          <w:color w:val="000000" w:themeColor="text1"/>
        </w:rPr>
        <w:t>subsequent sovereign debt problems that shook the Eurozone;</w:t>
      </w:r>
      <w:r w:rsidR="004520E9" w:rsidRPr="00245485">
        <w:rPr>
          <w:rStyle w:val="FootnoteReference"/>
          <w:color w:val="000000" w:themeColor="text1"/>
        </w:rPr>
        <w:footnoteReference w:id="36"/>
      </w:r>
      <w:r w:rsidR="00465066" w:rsidRPr="00245485">
        <w:rPr>
          <w:color w:val="000000" w:themeColor="text1"/>
        </w:rPr>
        <w:t xml:space="preserve"> the </w:t>
      </w:r>
      <w:r w:rsidR="007D5E75" w:rsidRPr="00245485">
        <w:rPr>
          <w:color w:val="000000" w:themeColor="text1"/>
        </w:rPr>
        <w:t xml:space="preserve">phenomenon of mass (irregular) migration that dominated </w:t>
      </w:r>
      <w:r w:rsidR="000A0936" w:rsidRPr="00245485">
        <w:rPr>
          <w:color w:val="000000" w:themeColor="text1"/>
        </w:rPr>
        <w:t>much of the Union’s</w:t>
      </w:r>
      <w:r w:rsidR="007D5E75" w:rsidRPr="00245485">
        <w:rPr>
          <w:color w:val="000000" w:themeColor="text1"/>
        </w:rPr>
        <w:t xml:space="preserve"> political </w:t>
      </w:r>
      <w:r w:rsidR="000A0936" w:rsidRPr="00245485">
        <w:rPr>
          <w:color w:val="000000" w:themeColor="text1"/>
        </w:rPr>
        <w:t xml:space="preserve">attention </w:t>
      </w:r>
      <w:r w:rsidR="007D5E75" w:rsidRPr="00245485">
        <w:rPr>
          <w:color w:val="000000" w:themeColor="text1"/>
        </w:rPr>
        <w:t xml:space="preserve">particularly </w:t>
      </w:r>
      <w:r w:rsidR="000A0936" w:rsidRPr="00245485">
        <w:rPr>
          <w:color w:val="000000" w:themeColor="text1"/>
        </w:rPr>
        <w:t xml:space="preserve">during and since </w:t>
      </w:r>
      <w:r w:rsidR="007D5E75" w:rsidRPr="00245485">
        <w:rPr>
          <w:color w:val="000000" w:themeColor="text1"/>
        </w:rPr>
        <w:t>2015;</w:t>
      </w:r>
      <w:r w:rsidR="004520E9" w:rsidRPr="00245485">
        <w:rPr>
          <w:rStyle w:val="FootnoteReference"/>
          <w:color w:val="000000" w:themeColor="text1"/>
        </w:rPr>
        <w:footnoteReference w:id="37"/>
      </w:r>
      <w:r w:rsidR="007D5E75" w:rsidRPr="00245485">
        <w:rPr>
          <w:color w:val="000000" w:themeColor="text1"/>
        </w:rPr>
        <w:t xml:space="preserve"> the unprecedented </w:t>
      </w:r>
      <w:r w:rsidR="00465066" w:rsidRPr="00245485">
        <w:rPr>
          <w:color w:val="000000" w:themeColor="text1"/>
        </w:rPr>
        <w:t xml:space="preserve">public health </w:t>
      </w:r>
      <w:r w:rsidR="005362E5" w:rsidRPr="00245485">
        <w:rPr>
          <w:color w:val="000000" w:themeColor="text1"/>
        </w:rPr>
        <w:t xml:space="preserve">disaster </w:t>
      </w:r>
      <w:r w:rsidR="00465066" w:rsidRPr="00245485">
        <w:rPr>
          <w:color w:val="000000" w:themeColor="text1"/>
        </w:rPr>
        <w:t xml:space="preserve">and economic </w:t>
      </w:r>
      <w:r w:rsidR="005362E5" w:rsidRPr="00245485">
        <w:rPr>
          <w:color w:val="000000" w:themeColor="text1"/>
        </w:rPr>
        <w:t xml:space="preserve">upheaval </w:t>
      </w:r>
      <w:r w:rsidR="00465066" w:rsidRPr="00245485">
        <w:rPr>
          <w:color w:val="000000" w:themeColor="text1"/>
        </w:rPr>
        <w:t>wrought by the Covid-19 pandemic</w:t>
      </w:r>
      <w:r w:rsidR="006A54EA" w:rsidRPr="00245485">
        <w:rPr>
          <w:color w:val="000000" w:themeColor="text1"/>
        </w:rPr>
        <w:t xml:space="preserve"> that erupted in 2020</w:t>
      </w:r>
      <w:r w:rsidR="007D5E75" w:rsidRPr="00245485">
        <w:rPr>
          <w:color w:val="000000" w:themeColor="text1"/>
        </w:rPr>
        <w:t>;</w:t>
      </w:r>
      <w:r w:rsidR="004520E9" w:rsidRPr="00245485">
        <w:rPr>
          <w:rStyle w:val="FootnoteReference"/>
          <w:color w:val="000000" w:themeColor="text1"/>
        </w:rPr>
        <w:footnoteReference w:id="38"/>
      </w:r>
      <w:r w:rsidR="007D5E75" w:rsidRPr="00245485">
        <w:rPr>
          <w:color w:val="000000" w:themeColor="text1"/>
        </w:rPr>
        <w:t xml:space="preserve"> or </w:t>
      </w:r>
      <w:r w:rsidR="006A54EA" w:rsidRPr="00245485">
        <w:rPr>
          <w:color w:val="000000" w:themeColor="text1"/>
        </w:rPr>
        <w:t>Russia’s</w:t>
      </w:r>
      <w:r w:rsidR="007D5E75" w:rsidRPr="00245485">
        <w:rPr>
          <w:color w:val="000000" w:themeColor="text1"/>
        </w:rPr>
        <w:t xml:space="preserve"> brutal </w:t>
      </w:r>
      <w:r w:rsidR="006A54EA" w:rsidRPr="00245485">
        <w:rPr>
          <w:color w:val="000000" w:themeColor="text1"/>
        </w:rPr>
        <w:t xml:space="preserve">full-scale </w:t>
      </w:r>
      <w:r w:rsidR="007D5E75" w:rsidRPr="00245485">
        <w:rPr>
          <w:color w:val="000000" w:themeColor="text1"/>
        </w:rPr>
        <w:t>invasion of Ukraine</w:t>
      </w:r>
      <w:r w:rsidR="006A54EA" w:rsidRPr="00245485">
        <w:rPr>
          <w:color w:val="000000" w:themeColor="text1"/>
        </w:rPr>
        <w:t xml:space="preserve"> in 2022</w:t>
      </w:r>
      <w:r w:rsidR="007D5E75" w:rsidRPr="00245485">
        <w:rPr>
          <w:color w:val="000000" w:themeColor="text1"/>
        </w:rPr>
        <w:t xml:space="preserve">, along with its many abrupt and destabilising wider implications, not least for energy security and </w:t>
      </w:r>
      <w:r w:rsidR="000A0936" w:rsidRPr="00245485">
        <w:rPr>
          <w:color w:val="000000" w:themeColor="text1"/>
        </w:rPr>
        <w:t>economic inflation</w:t>
      </w:r>
      <w:r w:rsidR="007D5E75" w:rsidRPr="00245485">
        <w:rPr>
          <w:color w:val="000000" w:themeColor="text1"/>
        </w:rPr>
        <w:t>.</w:t>
      </w:r>
      <w:r w:rsidR="004520E9" w:rsidRPr="00245485">
        <w:rPr>
          <w:rStyle w:val="FootnoteReference"/>
          <w:color w:val="000000" w:themeColor="text1"/>
        </w:rPr>
        <w:footnoteReference w:id="39"/>
      </w:r>
    </w:p>
    <w:p w14:paraId="0FF72786" w14:textId="54E05729" w:rsidR="00245485" w:rsidRDefault="000A0936" w:rsidP="00245485">
      <w:pPr>
        <w:ind w:firstLine="720"/>
        <w:jc w:val="both"/>
        <w:rPr>
          <w:color w:val="000000" w:themeColor="text1"/>
        </w:rPr>
      </w:pPr>
      <w:r w:rsidRPr="00245485">
        <w:rPr>
          <w:color w:val="000000" w:themeColor="text1"/>
        </w:rPr>
        <w:t xml:space="preserve">It is neither </w:t>
      </w:r>
      <w:r w:rsidR="00C65FE5" w:rsidRPr="00245485">
        <w:rPr>
          <w:color w:val="000000" w:themeColor="text1"/>
        </w:rPr>
        <w:t xml:space="preserve">possible </w:t>
      </w:r>
      <w:r w:rsidRPr="00245485">
        <w:rPr>
          <w:color w:val="000000" w:themeColor="text1"/>
        </w:rPr>
        <w:t>n</w:t>
      </w:r>
      <w:r w:rsidR="00C65FE5" w:rsidRPr="00245485">
        <w:rPr>
          <w:color w:val="000000" w:themeColor="text1"/>
        </w:rPr>
        <w:t xml:space="preserve">or </w:t>
      </w:r>
      <w:r w:rsidRPr="00245485">
        <w:rPr>
          <w:color w:val="000000" w:themeColor="text1"/>
        </w:rPr>
        <w:t xml:space="preserve">indeed </w:t>
      </w:r>
      <w:r w:rsidR="00C65FE5" w:rsidRPr="00245485">
        <w:rPr>
          <w:color w:val="000000" w:themeColor="text1"/>
        </w:rPr>
        <w:t>necessary</w:t>
      </w:r>
      <w:r w:rsidRPr="00245485">
        <w:rPr>
          <w:color w:val="000000" w:themeColor="text1"/>
        </w:rPr>
        <w:t>,</w:t>
      </w:r>
      <w:r w:rsidR="00C65FE5" w:rsidRPr="00245485">
        <w:rPr>
          <w:color w:val="000000" w:themeColor="text1"/>
        </w:rPr>
        <w:t xml:space="preserve"> </w:t>
      </w:r>
      <w:r w:rsidRPr="00245485">
        <w:rPr>
          <w:color w:val="000000" w:themeColor="text1"/>
        </w:rPr>
        <w:t xml:space="preserve">in the context of this </w:t>
      </w:r>
      <w:r w:rsidR="00C65FE5" w:rsidRPr="00245485">
        <w:rPr>
          <w:color w:val="000000" w:themeColor="text1"/>
        </w:rPr>
        <w:t>paper</w:t>
      </w:r>
      <w:r w:rsidRPr="00245485">
        <w:rPr>
          <w:color w:val="000000" w:themeColor="text1"/>
        </w:rPr>
        <w:t>,</w:t>
      </w:r>
      <w:r w:rsidR="00C65FE5" w:rsidRPr="00245485">
        <w:rPr>
          <w:color w:val="000000" w:themeColor="text1"/>
        </w:rPr>
        <w:t xml:space="preserve"> to recount in </w:t>
      </w:r>
      <w:r w:rsidRPr="00245485">
        <w:rPr>
          <w:color w:val="000000" w:themeColor="text1"/>
        </w:rPr>
        <w:t xml:space="preserve">any </w:t>
      </w:r>
      <w:r w:rsidR="00C65FE5" w:rsidRPr="00245485">
        <w:rPr>
          <w:color w:val="000000" w:themeColor="text1"/>
        </w:rPr>
        <w:t xml:space="preserve">detail the Union experience of </w:t>
      </w:r>
      <w:r w:rsidRPr="00245485">
        <w:rPr>
          <w:color w:val="000000" w:themeColor="text1"/>
        </w:rPr>
        <w:t xml:space="preserve">confronting </w:t>
      </w:r>
      <w:r w:rsidR="00C65FE5" w:rsidRPr="00245485">
        <w:rPr>
          <w:color w:val="000000" w:themeColor="text1"/>
        </w:rPr>
        <w:t xml:space="preserve">each of those major challenges.  </w:t>
      </w:r>
      <w:r w:rsidRPr="00245485">
        <w:rPr>
          <w:color w:val="000000" w:themeColor="text1"/>
        </w:rPr>
        <w:t xml:space="preserve">For present purposes, it will </w:t>
      </w:r>
      <w:r w:rsidR="00C65FE5" w:rsidRPr="00245485">
        <w:rPr>
          <w:color w:val="000000" w:themeColor="text1"/>
        </w:rPr>
        <w:t xml:space="preserve">suffice </w:t>
      </w:r>
      <w:r w:rsidRPr="00245485">
        <w:rPr>
          <w:color w:val="000000" w:themeColor="text1"/>
        </w:rPr>
        <w:t xml:space="preserve">instead for us </w:t>
      </w:r>
      <w:r w:rsidR="00C65FE5" w:rsidRPr="00245485">
        <w:rPr>
          <w:color w:val="000000" w:themeColor="text1"/>
        </w:rPr>
        <w:t xml:space="preserve">to </w:t>
      </w:r>
      <w:r w:rsidR="00507B2A" w:rsidRPr="00245485">
        <w:rPr>
          <w:color w:val="000000" w:themeColor="text1"/>
        </w:rPr>
        <w:t xml:space="preserve">reflect on the </w:t>
      </w:r>
      <w:r w:rsidRPr="00245485">
        <w:rPr>
          <w:color w:val="000000" w:themeColor="text1"/>
        </w:rPr>
        <w:t xml:space="preserve">more </w:t>
      </w:r>
      <w:r w:rsidR="00507B2A" w:rsidRPr="00245485">
        <w:rPr>
          <w:color w:val="000000" w:themeColor="text1"/>
        </w:rPr>
        <w:t xml:space="preserve">general nature of the Union’s responses </w:t>
      </w:r>
      <w:r w:rsidR="00C65FE5" w:rsidRPr="00245485">
        <w:rPr>
          <w:color w:val="000000" w:themeColor="text1"/>
        </w:rPr>
        <w:t xml:space="preserve">and thence </w:t>
      </w:r>
      <w:r w:rsidR="00507B2A" w:rsidRPr="00245485">
        <w:rPr>
          <w:color w:val="000000" w:themeColor="text1"/>
        </w:rPr>
        <w:t xml:space="preserve">identify certain common features that we will </w:t>
      </w:r>
      <w:r w:rsidRPr="00245485">
        <w:rPr>
          <w:color w:val="000000" w:themeColor="text1"/>
        </w:rPr>
        <w:t xml:space="preserve">treat as </w:t>
      </w:r>
      <w:r w:rsidR="00507B2A" w:rsidRPr="00245485">
        <w:rPr>
          <w:color w:val="000000" w:themeColor="text1"/>
        </w:rPr>
        <w:t xml:space="preserve">standard </w:t>
      </w:r>
      <w:r w:rsidRPr="00245485">
        <w:rPr>
          <w:color w:val="000000" w:themeColor="text1"/>
        </w:rPr>
        <w:t xml:space="preserve">or representative </w:t>
      </w:r>
      <w:r w:rsidR="00507B2A" w:rsidRPr="00245485">
        <w:rPr>
          <w:color w:val="000000" w:themeColor="text1"/>
        </w:rPr>
        <w:t>characteristics of a “policy package”.</w:t>
      </w:r>
      <w:r w:rsidR="002363F6" w:rsidRPr="00245485">
        <w:rPr>
          <w:rStyle w:val="FootnoteReference"/>
          <w:color w:val="000000" w:themeColor="text1"/>
        </w:rPr>
        <w:footnoteReference w:id="40"/>
      </w:r>
      <w:r w:rsidR="00507B2A" w:rsidRPr="00245485">
        <w:rPr>
          <w:color w:val="000000" w:themeColor="text1"/>
        </w:rPr>
        <w:t xml:space="preserve">  </w:t>
      </w:r>
      <w:r w:rsidRPr="00245485">
        <w:rPr>
          <w:color w:val="000000" w:themeColor="text1"/>
        </w:rPr>
        <w:t>We are c</w:t>
      </w:r>
      <w:r w:rsidR="00C65FE5" w:rsidRPr="00245485">
        <w:rPr>
          <w:color w:val="000000" w:themeColor="text1"/>
        </w:rPr>
        <w:t xml:space="preserve">ertainly not claiming </w:t>
      </w:r>
      <w:r w:rsidRPr="00245485">
        <w:rPr>
          <w:color w:val="000000" w:themeColor="text1"/>
        </w:rPr>
        <w:t xml:space="preserve">either </w:t>
      </w:r>
      <w:r w:rsidR="00C65FE5" w:rsidRPr="00245485">
        <w:rPr>
          <w:color w:val="000000" w:themeColor="text1"/>
        </w:rPr>
        <w:t xml:space="preserve">that </w:t>
      </w:r>
      <w:r w:rsidRPr="00245485">
        <w:rPr>
          <w:color w:val="000000" w:themeColor="text1"/>
        </w:rPr>
        <w:t>the Union</w:t>
      </w:r>
      <w:r w:rsidR="002363F6" w:rsidRPr="00245485">
        <w:rPr>
          <w:color w:val="000000" w:themeColor="text1"/>
        </w:rPr>
        <w:t>’s</w:t>
      </w:r>
      <w:r w:rsidRPr="00245485">
        <w:rPr>
          <w:color w:val="000000" w:themeColor="text1"/>
        </w:rPr>
        <w:t xml:space="preserve"> </w:t>
      </w:r>
      <w:r w:rsidR="00C65FE5" w:rsidRPr="00245485">
        <w:rPr>
          <w:color w:val="000000" w:themeColor="text1"/>
        </w:rPr>
        <w:t xml:space="preserve">experience </w:t>
      </w:r>
      <w:r w:rsidRPr="00245485">
        <w:rPr>
          <w:color w:val="000000" w:themeColor="text1"/>
        </w:rPr>
        <w:t xml:space="preserve">was </w:t>
      </w:r>
      <w:r w:rsidR="00C65FE5" w:rsidRPr="00245485">
        <w:rPr>
          <w:color w:val="000000" w:themeColor="text1"/>
        </w:rPr>
        <w:t>identical</w:t>
      </w:r>
      <w:r w:rsidRPr="00245485">
        <w:rPr>
          <w:color w:val="000000" w:themeColor="text1"/>
        </w:rPr>
        <w:t xml:space="preserve"> in addressing problems as different as the Eurozone sovereign debt crisis or</w:t>
      </w:r>
      <w:r w:rsidR="00D177BD" w:rsidRPr="00D177BD">
        <w:rPr>
          <w:color w:val="000000" w:themeColor="text1"/>
        </w:rPr>
        <w:t xml:space="preserve"> </w:t>
      </w:r>
      <w:r w:rsidR="00D177BD" w:rsidRPr="00245485">
        <w:rPr>
          <w:color w:val="000000" w:themeColor="text1"/>
        </w:rPr>
        <w:t>mass irregular migration</w:t>
      </w:r>
      <w:r w:rsidR="006743ED" w:rsidRPr="00245485">
        <w:rPr>
          <w:color w:val="000000" w:themeColor="text1"/>
        </w:rPr>
        <w:t>;</w:t>
      </w:r>
      <w:r w:rsidR="00C65FE5" w:rsidRPr="00245485">
        <w:rPr>
          <w:color w:val="000000" w:themeColor="text1"/>
        </w:rPr>
        <w:t xml:space="preserve"> or that </w:t>
      </w:r>
      <w:r w:rsidRPr="00245485">
        <w:rPr>
          <w:color w:val="000000" w:themeColor="text1"/>
        </w:rPr>
        <w:t xml:space="preserve">exactly the same </w:t>
      </w:r>
      <w:r w:rsidR="00830FC9" w:rsidRPr="00245485">
        <w:rPr>
          <w:color w:val="000000" w:themeColor="text1"/>
        </w:rPr>
        <w:t xml:space="preserve">general </w:t>
      </w:r>
      <w:r w:rsidR="006A54EA" w:rsidRPr="00245485">
        <w:rPr>
          <w:color w:val="000000" w:themeColor="text1"/>
        </w:rPr>
        <w:t>pressures</w:t>
      </w:r>
      <w:r w:rsidRPr="00245485">
        <w:rPr>
          <w:color w:val="000000" w:themeColor="text1"/>
        </w:rPr>
        <w:t xml:space="preserve"> </w:t>
      </w:r>
      <w:r w:rsidR="006743ED" w:rsidRPr="00245485">
        <w:rPr>
          <w:color w:val="000000" w:themeColor="text1"/>
        </w:rPr>
        <w:t xml:space="preserve">or practices </w:t>
      </w:r>
      <w:r w:rsidR="00830FC9" w:rsidRPr="00245485">
        <w:rPr>
          <w:color w:val="000000" w:themeColor="text1"/>
        </w:rPr>
        <w:t xml:space="preserve">shaped </w:t>
      </w:r>
      <w:r w:rsidRPr="00245485">
        <w:rPr>
          <w:color w:val="000000" w:themeColor="text1"/>
        </w:rPr>
        <w:t xml:space="preserve">the Union’s response to </w:t>
      </w:r>
      <w:r w:rsidR="00D177BD" w:rsidRPr="00245485">
        <w:rPr>
          <w:color w:val="000000" w:themeColor="text1"/>
        </w:rPr>
        <w:t xml:space="preserve">the Covid-19 pandemic </w:t>
      </w:r>
      <w:r w:rsidRPr="00245485">
        <w:rPr>
          <w:color w:val="000000" w:themeColor="text1"/>
        </w:rPr>
        <w:t xml:space="preserve">as </w:t>
      </w:r>
      <w:r w:rsidR="00830FC9" w:rsidRPr="00245485">
        <w:rPr>
          <w:color w:val="000000" w:themeColor="text1"/>
        </w:rPr>
        <w:t xml:space="preserve">its handling of the Russian </w:t>
      </w:r>
      <w:r w:rsidR="00830FC9" w:rsidRPr="00245485">
        <w:rPr>
          <w:color w:val="000000" w:themeColor="text1"/>
        </w:rPr>
        <w:lastRenderedPageBreak/>
        <w:t>war on Ukraine.</w:t>
      </w:r>
      <w:r w:rsidR="001C51B9" w:rsidRPr="00245485">
        <w:rPr>
          <w:rStyle w:val="FootnoteReference"/>
          <w:color w:val="000000" w:themeColor="text1"/>
        </w:rPr>
        <w:footnoteReference w:id="41"/>
      </w:r>
      <w:r w:rsidR="00830FC9" w:rsidRPr="00245485">
        <w:rPr>
          <w:color w:val="000000" w:themeColor="text1"/>
        </w:rPr>
        <w:t xml:space="preserve">  Our task is </w:t>
      </w:r>
      <w:r w:rsidR="006743ED" w:rsidRPr="00245485">
        <w:rPr>
          <w:color w:val="000000" w:themeColor="text1"/>
        </w:rPr>
        <w:t>rather</w:t>
      </w:r>
      <w:r w:rsidR="00830FC9" w:rsidRPr="00245485">
        <w:rPr>
          <w:color w:val="000000" w:themeColor="text1"/>
        </w:rPr>
        <w:t xml:space="preserve"> to </w:t>
      </w:r>
      <w:r w:rsidR="00C65FE5" w:rsidRPr="00245485">
        <w:rPr>
          <w:color w:val="000000" w:themeColor="text1"/>
        </w:rPr>
        <w:t>construct a</w:t>
      </w:r>
      <w:r w:rsidR="00830FC9" w:rsidRPr="00245485">
        <w:rPr>
          <w:color w:val="000000" w:themeColor="text1"/>
        </w:rPr>
        <w:t>n informed and</w:t>
      </w:r>
      <w:r w:rsidR="00C65FE5" w:rsidRPr="00245485">
        <w:rPr>
          <w:color w:val="000000" w:themeColor="text1"/>
        </w:rPr>
        <w:t xml:space="preserve"> workable hypothesis about </w:t>
      </w:r>
      <w:r w:rsidR="00830FC9" w:rsidRPr="00245485">
        <w:rPr>
          <w:color w:val="000000" w:themeColor="text1"/>
        </w:rPr>
        <w:t xml:space="preserve">both the particular </w:t>
      </w:r>
      <w:r w:rsidR="00C65FE5" w:rsidRPr="00245485">
        <w:rPr>
          <w:color w:val="000000" w:themeColor="text1"/>
        </w:rPr>
        <w:t xml:space="preserve">nature </w:t>
      </w:r>
      <w:r w:rsidR="00830FC9" w:rsidRPr="00245485">
        <w:rPr>
          <w:color w:val="000000" w:themeColor="text1"/>
        </w:rPr>
        <w:t xml:space="preserve">of certain major </w:t>
      </w:r>
      <w:r w:rsidR="00C65FE5" w:rsidRPr="00245485">
        <w:rPr>
          <w:color w:val="000000" w:themeColor="text1"/>
        </w:rPr>
        <w:t xml:space="preserve">challenges </w:t>
      </w:r>
      <w:r w:rsidR="00830FC9" w:rsidRPr="00245485">
        <w:rPr>
          <w:color w:val="000000" w:themeColor="text1"/>
        </w:rPr>
        <w:t xml:space="preserve">facing the Union, </w:t>
      </w:r>
      <w:r w:rsidR="00C65FE5" w:rsidRPr="00245485">
        <w:rPr>
          <w:color w:val="000000" w:themeColor="text1"/>
        </w:rPr>
        <w:t xml:space="preserve">and </w:t>
      </w:r>
      <w:r w:rsidR="00A335A3" w:rsidRPr="00245485">
        <w:rPr>
          <w:color w:val="000000" w:themeColor="text1"/>
        </w:rPr>
        <w:t>some</w:t>
      </w:r>
      <w:r w:rsidR="00830FC9" w:rsidRPr="00245485">
        <w:rPr>
          <w:color w:val="000000" w:themeColor="text1"/>
        </w:rPr>
        <w:t xml:space="preserve"> noteworthy features of the </w:t>
      </w:r>
      <w:r w:rsidR="00C65FE5" w:rsidRPr="00245485">
        <w:rPr>
          <w:color w:val="000000" w:themeColor="text1"/>
        </w:rPr>
        <w:t>Union</w:t>
      </w:r>
      <w:r w:rsidR="00830FC9" w:rsidRPr="00245485">
        <w:rPr>
          <w:color w:val="000000" w:themeColor="text1"/>
        </w:rPr>
        <w:t>’s</w:t>
      </w:r>
      <w:r w:rsidR="00C65FE5" w:rsidRPr="00245485">
        <w:rPr>
          <w:color w:val="000000" w:themeColor="text1"/>
        </w:rPr>
        <w:t xml:space="preserve"> </w:t>
      </w:r>
      <w:r w:rsidR="00830FC9" w:rsidRPr="00245485">
        <w:rPr>
          <w:color w:val="000000" w:themeColor="text1"/>
        </w:rPr>
        <w:t xml:space="preserve">attempts to resolve or manage those problems </w:t>
      </w:r>
      <w:r w:rsidR="00C65FE5" w:rsidRPr="00245485">
        <w:rPr>
          <w:color w:val="000000" w:themeColor="text1"/>
        </w:rPr>
        <w:t xml:space="preserve">– </w:t>
      </w:r>
      <w:r w:rsidR="00830FC9" w:rsidRPr="00245485">
        <w:rPr>
          <w:color w:val="000000" w:themeColor="text1"/>
        </w:rPr>
        <w:t xml:space="preserve">specifically for the purposes of </w:t>
      </w:r>
      <w:r w:rsidR="00C65FE5" w:rsidRPr="00245485">
        <w:rPr>
          <w:color w:val="000000" w:themeColor="text1"/>
        </w:rPr>
        <w:t>explor</w:t>
      </w:r>
      <w:r w:rsidR="00830FC9" w:rsidRPr="00245485">
        <w:rPr>
          <w:color w:val="000000" w:themeColor="text1"/>
        </w:rPr>
        <w:t xml:space="preserve">ing </w:t>
      </w:r>
      <w:r w:rsidR="00C65FE5" w:rsidRPr="00245485">
        <w:rPr>
          <w:color w:val="000000" w:themeColor="text1"/>
        </w:rPr>
        <w:t xml:space="preserve">how </w:t>
      </w:r>
      <w:r w:rsidR="006A54EA" w:rsidRPr="00245485">
        <w:rPr>
          <w:color w:val="000000" w:themeColor="text1"/>
        </w:rPr>
        <w:t xml:space="preserve">the </w:t>
      </w:r>
      <w:r w:rsidR="00C65FE5" w:rsidRPr="00245485">
        <w:rPr>
          <w:color w:val="000000" w:themeColor="text1"/>
        </w:rPr>
        <w:t xml:space="preserve">changing circumstances and demands </w:t>
      </w:r>
      <w:r w:rsidR="00830FC9" w:rsidRPr="00245485">
        <w:rPr>
          <w:color w:val="000000" w:themeColor="text1"/>
        </w:rPr>
        <w:t xml:space="preserve">of Union </w:t>
      </w:r>
      <w:r w:rsidR="00C65FE5" w:rsidRPr="00245485">
        <w:rPr>
          <w:color w:val="000000" w:themeColor="text1"/>
        </w:rPr>
        <w:t xml:space="preserve">policymaking </w:t>
      </w:r>
      <w:r w:rsidR="00830FC9" w:rsidRPr="00245485">
        <w:rPr>
          <w:color w:val="000000" w:themeColor="text1"/>
        </w:rPr>
        <w:t xml:space="preserve">might interact with, and place distinctive </w:t>
      </w:r>
      <w:r w:rsidR="00C65FE5" w:rsidRPr="00245485">
        <w:rPr>
          <w:color w:val="000000" w:themeColor="text1"/>
        </w:rPr>
        <w:t>pressure</w:t>
      </w:r>
      <w:r w:rsidR="00830FC9" w:rsidRPr="00245485">
        <w:rPr>
          <w:color w:val="000000" w:themeColor="text1"/>
        </w:rPr>
        <w:t>s</w:t>
      </w:r>
      <w:r w:rsidR="00C65FE5" w:rsidRPr="00245485">
        <w:rPr>
          <w:color w:val="000000" w:themeColor="text1"/>
        </w:rPr>
        <w:t xml:space="preserve"> </w:t>
      </w:r>
      <w:r w:rsidR="00830FC9" w:rsidRPr="00245485">
        <w:rPr>
          <w:color w:val="000000" w:themeColor="text1"/>
        </w:rPr>
        <w:t xml:space="preserve">upon, our </w:t>
      </w:r>
      <w:r w:rsidR="00C65FE5" w:rsidRPr="00245485">
        <w:rPr>
          <w:color w:val="000000" w:themeColor="text1"/>
        </w:rPr>
        <w:t>traditional legal analysis of conferral.</w:t>
      </w:r>
    </w:p>
    <w:p w14:paraId="1359B3AC" w14:textId="3D7CADAA" w:rsidR="00245485" w:rsidRDefault="00507B2A" w:rsidP="00245485">
      <w:pPr>
        <w:ind w:firstLine="720"/>
        <w:jc w:val="both"/>
        <w:rPr>
          <w:color w:val="000000" w:themeColor="text1"/>
        </w:rPr>
      </w:pPr>
      <w:r w:rsidRPr="00245485">
        <w:rPr>
          <w:color w:val="000000" w:themeColor="text1"/>
        </w:rPr>
        <w:t xml:space="preserve">To begin with, the sheer scale and complexity of the relevant problem </w:t>
      </w:r>
      <w:r w:rsidR="00D83157" w:rsidRPr="00245485">
        <w:rPr>
          <w:color w:val="000000" w:themeColor="text1"/>
        </w:rPr>
        <w:t xml:space="preserve">will </w:t>
      </w:r>
      <w:r w:rsidR="009B1B50" w:rsidRPr="00245485">
        <w:rPr>
          <w:color w:val="000000" w:themeColor="text1"/>
        </w:rPr>
        <w:t xml:space="preserve">far exceed our </w:t>
      </w:r>
      <w:r w:rsidR="00D83157" w:rsidRPr="00245485">
        <w:rPr>
          <w:color w:val="000000" w:themeColor="text1"/>
        </w:rPr>
        <w:t>“</w:t>
      </w:r>
      <w:r w:rsidR="009B1B50" w:rsidRPr="00245485">
        <w:rPr>
          <w:color w:val="000000" w:themeColor="text1"/>
        </w:rPr>
        <w:t>ordinary</w:t>
      </w:r>
      <w:r w:rsidR="00D83157" w:rsidRPr="00245485">
        <w:rPr>
          <w:color w:val="000000" w:themeColor="text1"/>
        </w:rPr>
        <w:t>”</w:t>
      </w:r>
      <w:r w:rsidR="009B1B50" w:rsidRPr="00245485">
        <w:rPr>
          <w:color w:val="000000" w:themeColor="text1"/>
        </w:rPr>
        <w:t xml:space="preserve"> expectation or understanding of the demands made by an “ordinary” regulatory task.  The problem – in terms of its underlying causes, its current effects, its knock-on or likely implications, its amenability to amelioration or resolution –might </w:t>
      </w:r>
      <w:r w:rsidR="00C64E99" w:rsidRPr="00245485">
        <w:rPr>
          <w:color w:val="000000" w:themeColor="text1"/>
        </w:rPr>
        <w:t xml:space="preserve">well </w:t>
      </w:r>
      <w:r w:rsidR="009B1B50" w:rsidRPr="00245485">
        <w:rPr>
          <w:color w:val="000000" w:themeColor="text1"/>
        </w:rPr>
        <w:t xml:space="preserve">straddle several of the fields that Union decisionmakers and Union lawyers are accustomed to conceptualising as </w:t>
      </w:r>
      <w:r w:rsidR="00D83157" w:rsidRPr="00245485">
        <w:rPr>
          <w:color w:val="000000" w:themeColor="text1"/>
        </w:rPr>
        <w:t xml:space="preserve">largely </w:t>
      </w:r>
      <w:r w:rsidR="009B1B50" w:rsidRPr="00245485">
        <w:rPr>
          <w:color w:val="000000" w:themeColor="text1"/>
        </w:rPr>
        <w:t>separate and distinctive policies or competences</w:t>
      </w:r>
      <w:r w:rsidR="006339C7" w:rsidRPr="00245485">
        <w:rPr>
          <w:color w:val="000000" w:themeColor="text1"/>
        </w:rPr>
        <w:t xml:space="preserve"> – defying </w:t>
      </w:r>
      <w:r w:rsidR="00D83157" w:rsidRPr="00245485">
        <w:rPr>
          <w:color w:val="000000" w:themeColor="text1"/>
        </w:rPr>
        <w:t xml:space="preserve">singular </w:t>
      </w:r>
      <w:r w:rsidR="009B1B50" w:rsidRPr="00245485">
        <w:rPr>
          <w:color w:val="000000" w:themeColor="text1"/>
        </w:rPr>
        <w:t xml:space="preserve">categorisation </w:t>
      </w:r>
      <w:r w:rsidR="00D83157" w:rsidRPr="00245485">
        <w:rPr>
          <w:color w:val="000000" w:themeColor="text1"/>
        </w:rPr>
        <w:t xml:space="preserve">within the </w:t>
      </w:r>
      <w:r w:rsidR="009B1B50" w:rsidRPr="00245485">
        <w:rPr>
          <w:color w:val="000000" w:themeColor="text1"/>
        </w:rPr>
        <w:t xml:space="preserve">pre-defined </w:t>
      </w:r>
      <w:r w:rsidR="00D83157" w:rsidRPr="00245485">
        <w:rPr>
          <w:color w:val="000000" w:themeColor="text1"/>
        </w:rPr>
        <w:t xml:space="preserve">policy fields or legal </w:t>
      </w:r>
      <w:r w:rsidR="00C75C0B" w:rsidRPr="00245485">
        <w:rPr>
          <w:color w:val="000000" w:themeColor="text1"/>
        </w:rPr>
        <w:t>bases</w:t>
      </w:r>
      <w:r w:rsidR="00D83157" w:rsidRPr="00245485">
        <w:rPr>
          <w:color w:val="000000" w:themeColor="text1"/>
        </w:rPr>
        <w:t xml:space="preserve"> bestowed upon us by the Treaties.</w:t>
      </w:r>
      <w:r w:rsidR="006339C7" w:rsidRPr="00245485">
        <w:rPr>
          <w:color w:val="000000" w:themeColor="text1"/>
        </w:rPr>
        <w:t xml:space="preserve">  Moreover, </w:t>
      </w:r>
      <w:proofErr w:type="gramStart"/>
      <w:r w:rsidR="006339C7" w:rsidRPr="00245485">
        <w:rPr>
          <w:color w:val="000000" w:themeColor="text1"/>
        </w:rPr>
        <w:t>it is clear that some</w:t>
      </w:r>
      <w:proofErr w:type="gramEnd"/>
      <w:r w:rsidR="006339C7" w:rsidRPr="00245485">
        <w:rPr>
          <w:color w:val="000000" w:themeColor="text1"/>
        </w:rPr>
        <w:t xml:space="preserve"> policy packages are also motivated by a </w:t>
      </w:r>
      <w:r w:rsidR="00C64E99" w:rsidRPr="00245485">
        <w:rPr>
          <w:color w:val="000000" w:themeColor="text1"/>
        </w:rPr>
        <w:t>striking</w:t>
      </w:r>
      <w:r w:rsidR="006339C7" w:rsidRPr="00245485">
        <w:rPr>
          <w:color w:val="000000" w:themeColor="text1"/>
        </w:rPr>
        <w:t xml:space="preserve"> sense of urgency: the potential for imminent </w:t>
      </w:r>
      <w:r w:rsidR="0058489B" w:rsidRPr="00245485">
        <w:rPr>
          <w:color w:val="000000" w:themeColor="text1"/>
        </w:rPr>
        <w:t xml:space="preserve">(widespread, profound) </w:t>
      </w:r>
      <w:r w:rsidR="006339C7" w:rsidRPr="00245485">
        <w:rPr>
          <w:color w:val="000000" w:themeColor="text1"/>
        </w:rPr>
        <w:t>harm creates unusual pressures of time that demand a relatively more rapid Union response in certain circumstances than in others (though whether every situation of urgency also deserves to be labelled a “crisis” is another question altogether).</w:t>
      </w:r>
      <w:r w:rsidR="002363F6" w:rsidRPr="00245485">
        <w:rPr>
          <w:rStyle w:val="FootnoteReference"/>
          <w:color w:val="000000" w:themeColor="text1"/>
        </w:rPr>
        <w:footnoteReference w:id="42"/>
      </w:r>
      <w:r w:rsidR="006339C7" w:rsidRPr="00245485">
        <w:rPr>
          <w:color w:val="000000" w:themeColor="text1"/>
        </w:rPr>
        <w:t xml:space="preserve">  </w:t>
      </w:r>
    </w:p>
    <w:p w14:paraId="614F70DA" w14:textId="731F3091" w:rsidR="00245485" w:rsidRDefault="006339C7" w:rsidP="00245485">
      <w:pPr>
        <w:ind w:firstLine="720"/>
        <w:jc w:val="both"/>
        <w:rPr>
          <w:color w:val="000000" w:themeColor="text1"/>
        </w:rPr>
      </w:pPr>
      <w:r w:rsidRPr="00245485">
        <w:rPr>
          <w:color w:val="000000" w:themeColor="text1"/>
        </w:rPr>
        <w:t>I</w:t>
      </w:r>
      <w:r w:rsidR="00D83157" w:rsidRPr="00245485">
        <w:rPr>
          <w:color w:val="000000" w:themeColor="text1"/>
        </w:rPr>
        <w:t xml:space="preserve">n consequence, </w:t>
      </w:r>
      <w:r w:rsidR="00465066" w:rsidRPr="00245485">
        <w:rPr>
          <w:color w:val="000000" w:themeColor="text1"/>
        </w:rPr>
        <w:t xml:space="preserve">the Union’s response </w:t>
      </w:r>
      <w:r w:rsidR="00D83157" w:rsidRPr="00245485">
        <w:rPr>
          <w:color w:val="000000" w:themeColor="text1"/>
        </w:rPr>
        <w:t xml:space="preserve">to these challenges, almost bewildering in their scale and complexity, will </w:t>
      </w:r>
      <w:r w:rsidR="00465066" w:rsidRPr="00245485">
        <w:rPr>
          <w:color w:val="000000" w:themeColor="text1"/>
        </w:rPr>
        <w:t xml:space="preserve">entail the proposal, </w:t>
      </w:r>
      <w:proofErr w:type="gramStart"/>
      <w:r w:rsidR="00703DC4" w:rsidRPr="00245485">
        <w:rPr>
          <w:color w:val="000000" w:themeColor="text1"/>
        </w:rPr>
        <w:t>negotiation</w:t>
      </w:r>
      <w:proofErr w:type="gramEnd"/>
      <w:r w:rsidR="00703DC4" w:rsidRPr="00245485">
        <w:rPr>
          <w:color w:val="000000" w:themeColor="text1"/>
        </w:rPr>
        <w:t xml:space="preserve"> and adoption of multiple </w:t>
      </w:r>
      <w:r w:rsidR="00465066" w:rsidRPr="00245485">
        <w:rPr>
          <w:color w:val="000000" w:themeColor="text1"/>
        </w:rPr>
        <w:t xml:space="preserve">instruments.  Of course, the latter </w:t>
      </w:r>
      <w:r w:rsidR="00D83157" w:rsidRPr="00245485">
        <w:rPr>
          <w:color w:val="000000" w:themeColor="text1"/>
        </w:rPr>
        <w:t>must draw</w:t>
      </w:r>
      <w:r w:rsidR="00465066" w:rsidRPr="00245485">
        <w:rPr>
          <w:color w:val="000000" w:themeColor="text1"/>
        </w:rPr>
        <w:t xml:space="preserve"> upon powers attributed to the Union by the Treaties across different </w:t>
      </w:r>
      <w:r w:rsidR="00703DC4" w:rsidRPr="00245485">
        <w:rPr>
          <w:color w:val="000000" w:themeColor="text1"/>
        </w:rPr>
        <w:t xml:space="preserve">policy </w:t>
      </w:r>
      <w:r w:rsidR="00465066" w:rsidRPr="00245485">
        <w:rPr>
          <w:color w:val="000000" w:themeColor="text1"/>
        </w:rPr>
        <w:t xml:space="preserve">fields – so that the entire package still </w:t>
      </w:r>
      <w:proofErr w:type="gramStart"/>
      <w:r w:rsidR="00D83157" w:rsidRPr="00245485">
        <w:rPr>
          <w:color w:val="000000" w:themeColor="text1"/>
        </w:rPr>
        <w:t xml:space="preserve">has </w:t>
      </w:r>
      <w:r w:rsidR="00465066" w:rsidRPr="00245485">
        <w:rPr>
          <w:color w:val="000000" w:themeColor="text1"/>
        </w:rPr>
        <w:t>to</w:t>
      </w:r>
      <w:proofErr w:type="gramEnd"/>
      <w:r w:rsidR="00465066" w:rsidRPr="00245485">
        <w:rPr>
          <w:color w:val="000000" w:themeColor="text1"/>
        </w:rPr>
        <w:t xml:space="preserve"> be broken down into a series of individual acts, each identifying an appropriate legal basis of </w:t>
      </w:r>
      <w:r w:rsidR="00E25EF6" w:rsidRPr="00245485">
        <w:rPr>
          <w:color w:val="000000" w:themeColor="text1"/>
        </w:rPr>
        <w:t>its</w:t>
      </w:r>
      <w:r w:rsidR="00465066" w:rsidRPr="00245485">
        <w:rPr>
          <w:color w:val="000000" w:themeColor="text1"/>
        </w:rPr>
        <w:t xml:space="preserve"> own, and each expected to demonstrate faithful compliance with the relevant substantive and procedural conditions for the valid exercise of Union competence.  </w:t>
      </w:r>
      <w:r w:rsidR="00E25EF6" w:rsidRPr="00245485">
        <w:rPr>
          <w:color w:val="000000" w:themeColor="text1"/>
        </w:rPr>
        <w:t xml:space="preserve">And yet </w:t>
      </w:r>
      <w:r w:rsidR="00766123" w:rsidRPr="00245485">
        <w:rPr>
          <w:color w:val="000000" w:themeColor="text1"/>
        </w:rPr>
        <w:t xml:space="preserve">in reality, </w:t>
      </w:r>
      <w:r w:rsidR="00E25EF6" w:rsidRPr="00245485">
        <w:rPr>
          <w:color w:val="000000" w:themeColor="text1"/>
        </w:rPr>
        <w:t xml:space="preserve">those individual acts </w:t>
      </w:r>
      <w:r w:rsidR="00D83157" w:rsidRPr="00245485">
        <w:rPr>
          <w:color w:val="000000" w:themeColor="text1"/>
        </w:rPr>
        <w:t xml:space="preserve">are </w:t>
      </w:r>
      <w:r w:rsidR="00E25EF6" w:rsidRPr="00245485">
        <w:rPr>
          <w:color w:val="000000" w:themeColor="text1"/>
        </w:rPr>
        <w:t xml:space="preserve">far from being discrete.  They </w:t>
      </w:r>
      <w:r w:rsidR="00D83157" w:rsidRPr="00245485">
        <w:rPr>
          <w:color w:val="000000" w:themeColor="text1"/>
        </w:rPr>
        <w:t xml:space="preserve">are </w:t>
      </w:r>
      <w:r w:rsidR="00E25EF6" w:rsidRPr="00245485">
        <w:rPr>
          <w:color w:val="000000" w:themeColor="text1"/>
        </w:rPr>
        <w:t xml:space="preserve">conceived as part of a coherent </w:t>
      </w:r>
      <w:r w:rsidR="000E6F87" w:rsidRPr="00245485">
        <w:rPr>
          <w:color w:val="000000" w:themeColor="text1"/>
        </w:rPr>
        <w:t xml:space="preserve">or at least </w:t>
      </w:r>
      <w:r w:rsidR="005362E5" w:rsidRPr="00245485">
        <w:rPr>
          <w:color w:val="000000" w:themeColor="text1"/>
        </w:rPr>
        <w:t>coordinated</w:t>
      </w:r>
      <w:r w:rsidR="000E6F87" w:rsidRPr="00245485">
        <w:rPr>
          <w:color w:val="000000" w:themeColor="text1"/>
        </w:rPr>
        <w:t xml:space="preserve"> </w:t>
      </w:r>
      <w:r w:rsidR="00E25EF6" w:rsidRPr="00245485">
        <w:rPr>
          <w:color w:val="000000" w:themeColor="text1"/>
        </w:rPr>
        <w:t xml:space="preserve">regulatory response to a common policy challenge.  </w:t>
      </w:r>
      <w:r w:rsidR="007356E1" w:rsidRPr="00245485">
        <w:rPr>
          <w:color w:val="000000" w:themeColor="text1"/>
        </w:rPr>
        <w:t xml:space="preserve">And in turn, the </w:t>
      </w:r>
      <w:r w:rsidR="00E25EF6" w:rsidRPr="00245485">
        <w:rPr>
          <w:color w:val="000000" w:themeColor="text1"/>
        </w:rPr>
        <w:t xml:space="preserve">negotiations that eventually </w:t>
      </w:r>
      <w:r w:rsidR="00D83157" w:rsidRPr="00245485">
        <w:rPr>
          <w:color w:val="000000" w:themeColor="text1"/>
        </w:rPr>
        <w:t xml:space="preserve">lead </w:t>
      </w:r>
      <w:r w:rsidR="00E25EF6" w:rsidRPr="00245485">
        <w:rPr>
          <w:color w:val="000000" w:themeColor="text1"/>
        </w:rPr>
        <w:t xml:space="preserve">to the adoption of a series of individual measures </w:t>
      </w:r>
      <w:r w:rsidR="00D83157" w:rsidRPr="00245485">
        <w:rPr>
          <w:color w:val="000000" w:themeColor="text1"/>
        </w:rPr>
        <w:t>may well</w:t>
      </w:r>
      <w:r w:rsidR="00E25EF6" w:rsidRPr="00245485">
        <w:rPr>
          <w:color w:val="000000" w:themeColor="text1"/>
        </w:rPr>
        <w:t xml:space="preserve"> </w:t>
      </w:r>
      <w:r w:rsidR="005362E5" w:rsidRPr="00245485">
        <w:rPr>
          <w:color w:val="000000" w:themeColor="text1"/>
        </w:rPr>
        <w:t xml:space="preserve">be </w:t>
      </w:r>
      <w:r w:rsidR="00E25EF6" w:rsidRPr="00245485">
        <w:rPr>
          <w:color w:val="000000" w:themeColor="text1"/>
        </w:rPr>
        <w:t xml:space="preserve">conducted on a more holistic and integrated basis.  </w:t>
      </w:r>
      <w:r w:rsidR="006A54EA" w:rsidRPr="00245485">
        <w:rPr>
          <w:color w:val="000000" w:themeColor="text1"/>
        </w:rPr>
        <w:t>It is taken for granted</w:t>
      </w:r>
      <w:r w:rsidR="00962D69" w:rsidRPr="00245485">
        <w:rPr>
          <w:color w:val="000000" w:themeColor="text1"/>
        </w:rPr>
        <w:t xml:space="preserve">, in relation to any given individual measure, that “nothing is agreed until everything is agreed”.  </w:t>
      </w:r>
      <w:r w:rsidR="00426862" w:rsidRPr="00245485">
        <w:rPr>
          <w:color w:val="000000" w:themeColor="text1"/>
        </w:rPr>
        <w:t>Perhaps it</w:t>
      </w:r>
      <w:r w:rsidR="00962D69" w:rsidRPr="00245485">
        <w:rPr>
          <w:color w:val="000000" w:themeColor="text1"/>
        </w:rPr>
        <w:t xml:space="preserve"> would go too far to suggest that the same </w:t>
      </w:r>
      <w:r w:rsidR="00D83157" w:rsidRPr="00245485">
        <w:rPr>
          <w:color w:val="000000" w:themeColor="text1"/>
        </w:rPr>
        <w:t xml:space="preserve">is </w:t>
      </w:r>
      <w:r w:rsidR="00962D69" w:rsidRPr="00245485">
        <w:rPr>
          <w:color w:val="000000" w:themeColor="text1"/>
        </w:rPr>
        <w:t xml:space="preserve">true for multi-measure packages.  But the degree of interdependence between the intended elements of a policy package, and the </w:t>
      </w:r>
      <w:r w:rsidR="002467DF" w:rsidRPr="00245485">
        <w:rPr>
          <w:color w:val="000000" w:themeColor="text1"/>
        </w:rPr>
        <w:t xml:space="preserve">level </w:t>
      </w:r>
      <w:r w:rsidR="00962D69" w:rsidRPr="00245485">
        <w:rPr>
          <w:color w:val="000000" w:themeColor="text1"/>
        </w:rPr>
        <w:t xml:space="preserve">of concertation involved in their negotiation and adoption, </w:t>
      </w:r>
      <w:r w:rsidR="002467DF" w:rsidRPr="00245485">
        <w:rPr>
          <w:color w:val="000000" w:themeColor="text1"/>
        </w:rPr>
        <w:t xml:space="preserve">surely allows them </w:t>
      </w:r>
      <w:r w:rsidR="00766123" w:rsidRPr="00245485">
        <w:rPr>
          <w:color w:val="000000" w:themeColor="text1"/>
        </w:rPr>
        <w:t xml:space="preserve">to be perceived and understood </w:t>
      </w:r>
      <w:r w:rsidR="00D83157" w:rsidRPr="00245485">
        <w:rPr>
          <w:color w:val="000000" w:themeColor="text1"/>
        </w:rPr>
        <w:t xml:space="preserve">– in an empirical sense, since we will consider the legal approach in due course – </w:t>
      </w:r>
      <w:r w:rsidR="002467DF" w:rsidRPr="00245485">
        <w:rPr>
          <w:color w:val="000000" w:themeColor="text1"/>
        </w:rPr>
        <w:t>as something bigger than the sum of their specific parts.</w:t>
      </w:r>
      <w:r w:rsidR="002363F6" w:rsidRPr="00245485">
        <w:rPr>
          <w:rStyle w:val="FootnoteReference"/>
          <w:color w:val="000000" w:themeColor="text1"/>
        </w:rPr>
        <w:footnoteReference w:id="43"/>
      </w:r>
      <w:r w:rsidR="002467DF" w:rsidRPr="00245485">
        <w:rPr>
          <w:color w:val="000000" w:themeColor="text1"/>
        </w:rPr>
        <w:t xml:space="preserve">  </w:t>
      </w:r>
    </w:p>
    <w:p w14:paraId="19345002" w14:textId="77777777" w:rsidR="00245485" w:rsidRDefault="000E6F87" w:rsidP="00245485">
      <w:pPr>
        <w:ind w:firstLine="720"/>
        <w:jc w:val="both"/>
        <w:rPr>
          <w:color w:val="000000" w:themeColor="text1"/>
        </w:rPr>
      </w:pPr>
      <w:r w:rsidRPr="00245485">
        <w:rPr>
          <w:color w:val="000000" w:themeColor="text1"/>
        </w:rPr>
        <w:t xml:space="preserve">Consider the point </w:t>
      </w:r>
      <w:r w:rsidR="000D551A" w:rsidRPr="00245485">
        <w:rPr>
          <w:color w:val="000000" w:themeColor="text1"/>
        </w:rPr>
        <w:t xml:space="preserve">in substantive terms.  Often explicitly, just as often implicitly, the content of individual elements within an overall package are designed to work </w:t>
      </w:r>
      <w:r w:rsidR="0094657F" w:rsidRPr="00245485">
        <w:rPr>
          <w:color w:val="000000" w:themeColor="text1"/>
        </w:rPr>
        <w:t xml:space="preserve">closely </w:t>
      </w:r>
      <w:r w:rsidR="000D551A" w:rsidRPr="00245485">
        <w:rPr>
          <w:color w:val="000000" w:themeColor="text1"/>
        </w:rPr>
        <w:t>together</w:t>
      </w:r>
      <w:r w:rsidR="00766123" w:rsidRPr="00245485">
        <w:rPr>
          <w:color w:val="000000" w:themeColor="text1"/>
        </w:rPr>
        <w:t xml:space="preserve">: for example, by </w:t>
      </w:r>
      <w:r w:rsidR="000D551A" w:rsidRPr="00245485">
        <w:rPr>
          <w:color w:val="000000" w:themeColor="text1"/>
        </w:rPr>
        <w:t xml:space="preserve">adapting the same regulatory standard </w:t>
      </w:r>
      <w:r w:rsidR="005362E5" w:rsidRPr="00245485">
        <w:rPr>
          <w:color w:val="000000" w:themeColor="text1"/>
        </w:rPr>
        <w:t xml:space="preserve">or principles </w:t>
      </w:r>
      <w:r w:rsidR="000D551A" w:rsidRPr="00245485">
        <w:rPr>
          <w:color w:val="000000" w:themeColor="text1"/>
        </w:rPr>
        <w:t>to different contexts or activities</w:t>
      </w:r>
      <w:r w:rsidR="005362E5" w:rsidRPr="00245485">
        <w:rPr>
          <w:color w:val="000000" w:themeColor="text1"/>
        </w:rPr>
        <w:t>;</w:t>
      </w:r>
      <w:r w:rsidR="000D551A" w:rsidRPr="00245485">
        <w:rPr>
          <w:color w:val="000000" w:themeColor="text1"/>
        </w:rPr>
        <w:t xml:space="preserve"> addressing different but complementary aspects of the same policy challenge</w:t>
      </w:r>
      <w:r w:rsidR="005362E5" w:rsidRPr="00245485">
        <w:rPr>
          <w:color w:val="000000" w:themeColor="text1"/>
        </w:rPr>
        <w:t>;</w:t>
      </w:r>
      <w:r w:rsidR="000D551A" w:rsidRPr="00245485">
        <w:rPr>
          <w:color w:val="000000" w:themeColor="text1"/>
        </w:rPr>
        <w:t xml:space="preserve"> closing potential loopholes or routes to compliance evasion</w:t>
      </w:r>
      <w:r w:rsidR="005362E5" w:rsidRPr="00245485">
        <w:rPr>
          <w:color w:val="000000" w:themeColor="text1"/>
        </w:rPr>
        <w:t>;</w:t>
      </w:r>
      <w:r w:rsidR="000D551A" w:rsidRPr="00245485">
        <w:rPr>
          <w:color w:val="000000" w:themeColor="text1"/>
        </w:rPr>
        <w:t xml:space="preserve"> identifying anticipated </w:t>
      </w:r>
      <w:proofErr w:type="spellStart"/>
      <w:r w:rsidR="000D551A" w:rsidRPr="00245485">
        <w:rPr>
          <w:color w:val="000000" w:themeColor="text1"/>
        </w:rPr>
        <w:t>spillover</w:t>
      </w:r>
      <w:proofErr w:type="spellEnd"/>
      <w:r w:rsidR="000D551A" w:rsidRPr="00245485">
        <w:rPr>
          <w:color w:val="000000" w:themeColor="text1"/>
        </w:rPr>
        <w:t xml:space="preserve"> effects or providing for compensatory action.  Changes to one draft element, during the overall negotiations, might necessitate </w:t>
      </w:r>
      <w:r w:rsidR="00766123" w:rsidRPr="00245485">
        <w:rPr>
          <w:color w:val="000000" w:themeColor="text1"/>
        </w:rPr>
        <w:t xml:space="preserve">consequential </w:t>
      </w:r>
      <w:r w:rsidR="000D551A" w:rsidRPr="00245485">
        <w:rPr>
          <w:color w:val="000000" w:themeColor="text1"/>
        </w:rPr>
        <w:t xml:space="preserve">amendments to another proposal.  Finding an acceptable policy compromise might entail political agreements that </w:t>
      </w:r>
      <w:r w:rsidR="00766123" w:rsidRPr="00245485">
        <w:rPr>
          <w:color w:val="000000" w:themeColor="text1"/>
        </w:rPr>
        <w:t>involve varying</w:t>
      </w:r>
      <w:r w:rsidR="000D551A" w:rsidRPr="00245485">
        <w:rPr>
          <w:color w:val="000000" w:themeColor="text1"/>
        </w:rPr>
        <w:t xml:space="preserve"> the content of several formally distinct legal texts.  Any given instrument is designed to deliver </w:t>
      </w:r>
      <w:r w:rsidR="000D551A" w:rsidRPr="00245485">
        <w:rPr>
          <w:color w:val="000000" w:themeColor="text1"/>
        </w:rPr>
        <w:lastRenderedPageBreak/>
        <w:t xml:space="preserve">most effectively when it operates in tandem with its immediate cousins in the overall package, while the latter’s optimum performance depends upon the combined contributions of each individual element.  </w:t>
      </w:r>
    </w:p>
    <w:p w14:paraId="3AD0CEE6" w14:textId="77777777" w:rsidR="00245485" w:rsidRDefault="000E6F87" w:rsidP="00245485">
      <w:pPr>
        <w:ind w:firstLine="720"/>
        <w:jc w:val="both"/>
        <w:rPr>
          <w:color w:val="000000" w:themeColor="text1"/>
        </w:rPr>
      </w:pPr>
      <w:r w:rsidRPr="00245485">
        <w:rPr>
          <w:color w:val="000000" w:themeColor="text1"/>
        </w:rPr>
        <w:t xml:space="preserve">Consider </w:t>
      </w:r>
      <w:r w:rsidR="000D551A" w:rsidRPr="00245485">
        <w:rPr>
          <w:color w:val="000000" w:themeColor="text1"/>
        </w:rPr>
        <w:t xml:space="preserve">the same point also in institutional terms.  Thinking in terms of the overall package, not just its individual components, surely changes the fundamental </w:t>
      </w:r>
      <w:r w:rsidR="007356E1" w:rsidRPr="00245485">
        <w:rPr>
          <w:color w:val="000000" w:themeColor="text1"/>
        </w:rPr>
        <w:t>logic</w:t>
      </w:r>
      <w:r w:rsidR="000D551A" w:rsidRPr="00245485">
        <w:rPr>
          <w:color w:val="000000" w:themeColor="text1"/>
        </w:rPr>
        <w:t xml:space="preserve"> of the negotiation process.  The aim is not to secure a series of ad hoc coalitions </w:t>
      </w:r>
      <w:r w:rsidR="0094657F" w:rsidRPr="00245485">
        <w:rPr>
          <w:color w:val="000000" w:themeColor="text1"/>
        </w:rPr>
        <w:t xml:space="preserve">each </w:t>
      </w:r>
      <w:r w:rsidR="000D551A" w:rsidRPr="00245485">
        <w:rPr>
          <w:color w:val="000000" w:themeColor="text1"/>
        </w:rPr>
        <w:t xml:space="preserve">capable of delivering the requisite institutional support for a series of distinct proposals.  Rather, the challenge is to build a range and level of political </w:t>
      </w:r>
      <w:r w:rsidR="00EA41E9" w:rsidRPr="00245485">
        <w:rPr>
          <w:color w:val="000000" w:themeColor="text1"/>
        </w:rPr>
        <w:t>endorsement</w:t>
      </w:r>
      <w:r w:rsidR="000D551A" w:rsidRPr="00245485">
        <w:rPr>
          <w:color w:val="000000" w:themeColor="text1"/>
        </w:rPr>
        <w:t xml:space="preserve"> that will ultimately carry the entire package through to </w:t>
      </w:r>
      <w:r w:rsidR="00EA41E9" w:rsidRPr="00245485">
        <w:rPr>
          <w:color w:val="000000" w:themeColor="text1"/>
        </w:rPr>
        <w:t xml:space="preserve">successful </w:t>
      </w:r>
      <w:r w:rsidR="000D551A" w:rsidRPr="00245485">
        <w:rPr>
          <w:color w:val="000000" w:themeColor="text1"/>
        </w:rPr>
        <w:t>adoption</w:t>
      </w:r>
      <w:r w:rsidR="00EA41E9" w:rsidRPr="00245485">
        <w:rPr>
          <w:color w:val="000000" w:themeColor="text1"/>
        </w:rPr>
        <w:t xml:space="preserve"> – albeit </w:t>
      </w:r>
      <w:r w:rsidR="000D551A" w:rsidRPr="00245485">
        <w:rPr>
          <w:color w:val="000000" w:themeColor="text1"/>
        </w:rPr>
        <w:t>via a series of more specific decision-making routes</w:t>
      </w:r>
      <w:r w:rsidR="00EA41E9" w:rsidRPr="00245485">
        <w:rPr>
          <w:color w:val="000000" w:themeColor="text1"/>
        </w:rPr>
        <w:t>,</w:t>
      </w:r>
      <w:r w:rsidR="000D551A" w:rsidRPr="00245485">
        <w:rPr>
          <w:color w:val="000000" w:themeColor="text1"/>
        </w:rPr>
        <w:t xml:space="preserve"> </w:t>
      </w:r>
      <w:r w:rsidR="00EA41E9" w:rsidRPr="00245485">
        <w:rPr>
          <w:color w:val="000000" w:themeColor="text1"/>
        </w:rPr>
        <w:t>each of which might provide a different procedural configuration for its particular component.</w:t>
      </w:r>
      <w:r w:rsidR="00FF79A7" w:rsidRPr="00245485">
        <w:rPr>
          <w:rStyle w:val="FootnoteReference"/>
          <w:color w:val="000000" w:themeColor="text1"/>
        </w:rPr>
        <w:footnoteReference w:id="44"/>
      </w:r>
      <w:r w:rsidR="00EA41E9" w:rsidRPr="00245485">
        <w:rPr>
          <w:color w:val="000000" w:themeColor="text1"/>
        </w:rPr>
        <w:t xml:space="preserve">  </w:t>
      </w:r>
      <w:r w:rsidR="006F1AC6" w:rsidRPr="00245485">
        <w:rPr>
          <w:color w:val="000000" w:themeColor="text1"/>
        </w:rPr>
        <w:t xml:space="preserve">And the fact that </w:t>
      </w:r>
      <w:r w:rsidR="00EA41E9" w:rsidRPr="00245485">
        <w:rPr>
          <w:color w:val="000000" w:themeColor="text1"/>
        </w:rPr>
        <w:t xml:space="preserve">packages </w:t>
      </w:r>
      <w:r w:rsidR="00A11DF5" w:rsidRPr="00245485">
        <w:rPr>
          <w:color w:val="000000" w:themeColor="text1"/>
        </w:rPr>
        <w:t xml:space="preserve">consist of mutually interdependent elements, and </w:t>
      </w:r>
      <w:r w:rsidR="00EA41E9" w:rsidRPr="00245485">
        <w:rPr>
          <w:color w:val="000000" w:themeColor="text1"/>
        </w:rPr>
        <w:t>entail a transversal approach to institutional participation</w:t>
      </w:r>
      <w:r w:rsidR="00A11DF5" w:rsidRPr="00245485">
        <w:rPr>
          <w:color w:val="000000" w:themeColor="text1"/>
        </w:rPr>
        <w:t>,</w:t>
      </w:r>
      <w:r w:rsidR="00EA41E9" w:rsidRPr="00245485">
        <w:rPr>
          <w:color w:val="000000" w:themeColor="text1"/>
        </w:rPr>
        <w:t xml:space="preserve"> </w:t>
      </w:r>
      <w:r w:rsidR="002363F6" w:rsidRPr="00245485">
        <w:rPr>
          <w:color w:val="000000" w:themeColor="text1"/>
        </w:rPr>
        <w:t xml:space="preserve">can </w:t>
      </w:r>
      <w:r w:rsidRPr="00245485">
        <w:rPr>
          <w:color w:val="000000" w:themeColor="text1"/>
        </w:rPr>
        <w:t xml:space="preserve">surely </w:t>
      </w:r>
      <w:r w:rsidR="00EA41E9" w:rsidRPr="00245485">
        <w:rPr>
          <w:color w:val="000000" w:themeColor="text1"/>
        </w:rPr>
        <w:t xml:space="preserve">give rise to some important </w:t>
      </w:r>
      <w:r w:rsidR="007356E1" w:rsidRPr="00245485">
        <w:rPr>
          <w:color w:val="000000" w:themeColor="text1"/>
        </w:rPr>
        <w:t>dynamics</w:t>
      </w:r>
      <w:r w:rsidR="00EA41E9" w:rsidRPr="00245485">
        <w:rPr>
          <w:color w:val="000000" w:themeColor="text1"/>
        </w:rPr>
        <w:t xml:space="preserve">.  For example, the need to adopt an overall policy response, and the inevitability of </w:t>
      </w:r>
      <w:r w:rsidR="000D551A" w:rsidRPr="00245485">
        <w:rPr>
          <w:color w:val="000000" w:themeColor="text1"/>
        </w:rPr>
        <w:t>cross-instrument compromises</w:t>
      </w:r>
      <w:r w:rsidR="00EA41E9" w:rsidRPr="00245485">
        <w:rPr>
          <w:color w:val="000000" w:themeColor="text1"/>
        </w:rPr>
        <w:t xml:space="preserve"> </w:t>
      </w:r>
      <w:proofErr w:type="gramStart"/>
      <w:r w:rsidR="00EA41E9" w:rsidRPr="00245485">
        <w:rPr>
          <w:color w:val="000000" w:themeColor="text1"/>
        </w:rPr>
        <w:t>in order to</w:t>
      </w:r>
      <w:proofErr w:type="gramEnd"/>
      <w:r w:rsidR="00EA41E9" w:rsidRPr="00245485">
        <w:rPr>
          <w:color w:val="000000" w:themeColor="text1"/>
        </w:rPr>
        <w:t xml:space="preserve"> deliver that, might allow political bargaining power to </w:t>
      </w:r>
      <w:r w:rsidR="00A11DF5" w:rsidRPr="00245485">
        <w:rPr>
          <w:color w:val="000000" w:themeColor="text1"/>
        </w:rPr>
        <w:t xml:space="preserve">accumulate at </w:t>
      </w:r>
      <w:r w:rsidR="00EA41E9" w:rsidRPr="00245485">
        <w:rPr>
          <w:color w:val="000000" w:themeColor="text1"/>
        </w:rPr>
        <w:t>the “highest uncommon denominator”</w:t>
      </w:r>
      <w:r w:rsidR="00A11DF5" w:rsidRPr="00245485">
        <w:rPr>
          <w:color w:val="000000" w:themeColor="text1"/>
        </w:rPr>
        <w:t xml:space="preserve">.  </w:t>
      </w:r>
      <w:r w:rsidR="00E25EF6" w:rsidRPr="00245485">
        <w:rPr>
          <w:color w:val="000000" w:themeColor="text1"/>
        </w:rPr>
        <w:t xml:space="preserve">The fact that one major component in </w:t>
      </w:r>
      <w:r w:rsidR="002467DF" w:rsidRPr="00245485">
        <w:rPr>
          <w:color w:val="000000" w:themeColor="text1"/>
        </w:rPr>
        <w:t>an</w:t>
      </w:r>
      <w:r w:rsidR="00E25EF6" w:rsidRPr="00245485">
        <w:rPr>
          <w:color w:val="000000" w:themeColor="text1"/>
        </w:rPr>
        <w:t xml:space="preserve"> overall package entail</w:t>
      </w:r>
      <w:r w:rsidR="002467DF" w:rsidRPr="00245485">
        <w:rPr>
          <w:color w:val="000000" w:themeColor="text1"/>
        </w:rPr>
        <w:t>s</w:t>
      </w:r>
      <w:r w:rsidR="00E25EF6" w:rsidRPr="00245485">
        <w:rPr>
          <w:color w:val="000000" w:themeColor="text1"/>
        </w:rPr>
        <w:t xml:space="preserve"> a </w:t>
      </w:r>
      <w:r w:rsidR="002467DF" w:rsidRPr="00245485">
        <w:rPr>
          <w:color w:val="000000" w:themeColor="text1"/>
        </w:rPr>
        <w:t xml:space="preserve">decisive </w:t>
      </w:r>
      <w:r w:rsidR="00E25EF6" w:rsidRPr="00245485">
        <w:rPr>
          <w:color w:val="000000" w:themeColor="text1"/>
        </w:rPr>
        <w:t xml:space="preserve">role for the European Parliament, </w:t>
      </w:r>
      <w:r w:rsidR="002467DF" w:rsidRPr="00245485">
        <w:rPr>
          <w:color w:val="000000" w:themeColor="text1"/>
        </w:rPr>
        <w:t xml:space="preserve">can </w:t>
      </w:r>
      <w:r w:rsidR="00E25EF6" w:rsidRPr="00245485">
        <w:rPr>
          <w:color w:val="000000" w:themeColor="text1"/>
        </w:rPr>
        <w:t xml:space="preserve">enable the </w:t>
      </w:r>
      <w:r w:rsidR="002467DF" w:rsidRPr="00245485">
        <w:rPr>
          <w:color w:val="000000" w:themeColor="text1"/>
        </w:rPr>
        <w:t xml:space="preserve">latter institution </w:t>
      </w:r>
      <w:r w:rsidR="00E25EF6" w:rsidRPr="00245485">
        <w:rPr>
          <w:color w:val="000000" w:themeColor="text1"/>
        </w:rPr>
        <w:t xml:space="preserve">to exercise </w:t>
      </w:r>
      <w:r w:rsidR="002467DF" w:rsidRPr="00245485">
        <w:rPr>
          <w:color w:val="000000" w:themeColor="text1"/>
        </w:rPr>
        <w:t xml:space="preserve">greater </w:t>
      </w:r>
      <w:r w:rsidR="00962D69" w:rsidRPr="00245485">
        <w:rPr>
          <w:color w:val="000000" w:themeColor="text1"/>
        </w:rPr>
        <w:t>influence not just within but also across legal bases</w:t>
      </w:r>
      <w:r w:rsidR="002467DF" w:rsidRPr="00245485">
        <w:rPr>
          <w:color w:val="000000" w:themeColor="text1"/>
        </w:rPr>
        <w:t>, even as regards those where the European Parliament’s involvement (viewed in isolation) would appear more limited</w:t>
      </w:r>
      <w:r w:rsidR="00962D69" w:rsidRPr="00245485">
        <w:rPr>
          <w:color w:val="000000" w:themeColor="text1"/>
        </w:rPr>
        <w:t>.</w:t>
      </w:r>
      <w:r w:rsidR="00A94B21" w:rsidRPr="00245485">
        <w:rPr>
          <w:rStyle w:val="FootnoteReference"/>
          <w:color w:val="000000" w:themeColor="text1"/>
        </w:rPr>
        <w:footnoteReference w:id="45"/>
      </w:r>
      <w:r w:rsidR="00962D69" w:rsidRPr="00245485">
        <w:rPr>
          <w:color w:val="000000" w:themeColor="text1"/>
        </w:rPr>
        <w:t xml:space="preserve">  Similarly, the fact that one major component in </w:t>
      </w:r>
      <w:r w:rsidR="002467DF" w:rsidRPr="00245485">
        <w:rPr>
          <w:color w:val="000000" w:themeColor="text1"/>
        </w:rPr>
        <w:t xml:space="preserve">an </w:t>
      </w:r>
      <w:r w:rsidR="00962D69" w:rsidRPr="00245485">
        <w:rPr>
          <w:color w:val="000000" w:themeColor="text1"/>
        </w:rPr>
        <w:t xml:space="preserve">overall package </w:t>
      </w:r>
      <w:r w:rsidR="002467DF" w:rsidRPr="00245485">
        <w:rPr>
          <w:color w:val="000000" w:themeColor="text1"/>
        </w:rPr>
        <w:t xml:space="preserve">is </w:t>
      </w:r>
      <w:r w:rsidR="00E25EF6" w:rsidRPr="00245485">
        <w:rPr>
          <w:color w:val="000000" w:themeColor="text1"/>
        </w:rPr>
        <w:t xml:space="preserve">subject to a </w:t>
      </w:r>
      <w:r w:rsidR="00962D69" w:rsidRPr="00245485">
        <w:rPr>
          <w:color w:val="000000" w:themeColor="text1"/>
        </w:rPr>
        <w:t xml:space="preserve">national </w:t>
      </w:r>
      <w:r w:rsidR="00E25EF6" w:rsidRPr="00245485">
        <w:rPr>
          <w:color w:val="000000" w:themeColor="text1"/>
        </w:rPr>
        <w:t xml:space="preserve">veto </w:t>
      </w:r>
      <w:r w:rsidR="002467DF" w:rsidRPr="00245485">
        <w:rPr>
          <w:color w:val="000000" w:themeColor="text1"/>
        </w:rPr>
        <w:t>with</w:t>
      </w:r>
      <w:r w:rsidR="00E25EF6" w:rsidRPr="00245485">
        <w:rPr>
          <w:color w:val="000000" w:themeColor="text1"/>
        </w:rPr>
        <w:t xml:space="preserve">in </w:t>
      </w:r>
      <w:r w:rsidR="002467DF" w:rsidRPr="00245485">
        <w:rPr>
          <w:color w:val="000000" w:themeColor="text1"/>
        </w:rPr>
        <w:t xml:space="preserve">the </w:t>
      </w:r>
      <w:r w:rsidR="00E25EF6" w:rsidRPr="00245485">
        <w:rPr>
          <w:color w:val="000000" w:themeColor="text1"/>
        </w:rPr>
        <w:t>Council</w:t>
      </w:r>
      <w:r w:rsidR="002467DF" w:rsidRPr="00245485">
        <w:rPr>
          <w:color w:val="000000" w:themeColor="text1"/>
        </w:rPr>
        <w:t xml:space="preserve">, can permit any given Member State to increase its political leverage over the remainder of the deal, even as regards those instruments that the Council is entitled to adopt (according to the Treaty text) </w:t>
      </w:r>
      <w:r w:rsidR="00E25EF6" w:rsidRPr="00245485">
        <w:rPr>
          <w:color w:val="000000" w:themeColor="text1"/>
        </w:rPr>
        <w:t>through QMV.</w:t>
      </w:r>
      <w:r w:rsidR="00E861A9" w:rsidRPr="00245485">
        <w:rPr>
          <w:rStyle w:val="FootnoteReference"/>
          <w:color w:val="000000" w:themeColor="text1"/>
        </w:rPr>
        <w:footnoteReference w:id="46"/>
      </w:r>
      <w:r w:rsidR="00E25EF6" w:rsidRPr="00245485">
        <w:rPr>
          <w:color w:val="000000" w:themeColor="text1"/>
        </w:rPr>
        <w:t xml:space="preserve">  </w:t>
      </w:r>
    </w:p>
    <w:p w14:paraId="65FA82F1" w14:textId="0E971467" w:rsidR="00245485" w:rsidRDefault="006A54EA" w:rsidP="00245485">
      <w:pPr>
        <w:ind w:firstLine="720"/>
        <w:jc w:val="both"/>
        <w:rPr>
          <w:color w:val="000000" w:themeColor="text1"/>
        </w:rPr>
      </w:pPr>
      <w:r w:rsidRPr="00245485">
        <w:rPr>
          <w:color w:val="000000" w:themeColor="text1"/>
        </w:rPr>
        <w:t xml:space="preserve">Without it </w:t>
      </w:r>
      <w:r w:rsidR="00D6254B" w:rsidRPr="00245485">
        <w:rPr>
          <w:color w:val="000000" w:themeColor="text1"/>
        </w:rPr>
        <w:t xml:space="preserve">being </w:t>
      </w:r>
      <w:r w:rsidRPr="00245485">
        <w:rPr>
          <w:color w:val="000000" w:themeColor="text1"/>
        </w:rPr>
        <w:t xml:space="preserve">necessary for us to define a “policy package” with </w:t>
      </w:r>
      <w:r w:rsidR="007356E1" w:rsidRPr="00245485">
        <w:rPr>
          <w:color w:val="000000" w:themeColor="text1"/>
        </w:rPr>
        <w:t xml:space="preserve">any </w:t>
      </w:r>
      <w:r w:rsidRPr="00245485">
        <w:rPr>
          <w:color w:val="000000" w:themeColor="text1"/>
        </w:rPr>
        <w:t xml:space="preserve">greater </w:t>
      </w:r>
      <w:r w:rsidR="002363F6" w:rsidRPr="00245485">
        <w:rPr>
          <w:color w:val="000000" w:themeColor="text1"/>
        </w:rPr>
        <w:t xml:space="preserve">or </w:t>
      </w:r>
      <w:r w:rsidRPr="00245485">
        <w:rPr>
          <w:color w:val="000000" w:themeColor="text1"/>
        </w:rPr>
        <w:t>legislative-like precision</w:t>
      </w:r>
      <w:r w:rsidR="00D6254B" w:rsidRPr="00245485">
        <w:rPr>
          <w:color w:val="000000" w:themeColor="text1"/>
        </w:rPr>
        <w:t>, it is important to add that there are</w:t>
      </w:r>
      <w:r w:rsidR="006743ED" w:rsidRPr="00245485">
        <w:rPr>
          <w:color w:val="000000" w:themeColor="text1"/>
        </w:rPr>
        <w:t>,</w:t>
      </w:r>
      <w:r w:rsidR="00D6254B" w:rsidRPr="00245485">
        <w:rPr>
          <w:color w:val="000000" w:themeColor="text1"/>
        </w:rPr>
        <w:t xml:space="preserve"> of course</w:t>
      </w:r>
      <w:r w:rsidR="006743ED" w:rsidRPr="00245485">
        <w:rPr>
          <w:color w:val="000000" w:themeColor="text1"/>
        </w:rPr>
        <w:t>,</w:t>
      </w:r>
      <w:r w:rsidRPr="00245485">
        <w:rPr>
          <w:color w:val="000000" w:themeColor="text1"/>
        </w:rPr>
        <w:t xml:space="preserve"> interesting boundary questions (say) about when two or more acts cease to be individual and discrete </w:t>
      </w:r>
      <w:r w:rsidR="00D6254B" w:rsidRPr="00245485">
        <w:rPr>
          <w:color w:val="000000" w:themeColor="text1"/>
        </w:rPr>
        <w:t xml:space="preserve">initiatives, </w:t>
      </w:r>
      <w:r w:rsidRPr="00245485">
        <w:rPr>
          <w:color w:val="000000" w:themeColor="text1"/>
        </w:rPr>
        <w:t>and effectively merge into a more integrated response</w:t>
      </w:r>
      <w:r w:rsidR="00D6254B" w:rsidRPr="00245485">
        <w:rPr>
          <w:color w:val="000000" w:themeColor="text1"/>
        </w:rPr>
        <w:t xml:space="preserve"> that deserves to be conceived of as such</w:t>
      </w:r>
      <w:r w:rsidRPr="00245485">
        <w:rPr>
          <w:color w:val="000000" w:themeColor="text1"/>
        </w:rPr>
        <w:t xml:space="preserve">.  Consider the issue of temporality.  Is it necessary to insist that the measures forming part of an identifiable and cognisable “policy package” were adopted by the competent Union institutions simultaneously?  </w:t>
      </w:r>
      <w:r w:rsidR="00D6254B" w:rsidRPr="00245485">
        <w:rPr>
          <w:color w:val="000000" w:themeColor="text1"/>
        </w:rPr>
        <w:t xml:space="preserve">Surely not: </w:t>
      </w:r>
      <w:r w:rsidRPr="00245485">
        <w:rPr>
          <w:color w:val="000000" w:themeColor="text1"/>
        </w:rPr>
        <w:t xml:space="preserve">it </w:t>
      </w:r>
      <w:r w:rsidR="00D6254B" w:rsidRPr="00245485">
        <w:rPr>
          <w:color w:val="000000" w:themeColor="text1"/>
        </w:rPr>
        <w:t xml:space="preserve">should </w:t>
      </w:r>
      <w:r w:rsidRPr="00245485">
        <w:rPr>
          <w:color w:val="000000" w:themeColor="text1"/>
        </w:rPr>
        <w:t xml:space="preserve">be sufficient to rely on objective evidence demonstrating that a given body of Union acts, adopted within a sufficiently proximate </w:t>
      </w:r>
      <w:proofErr w:type="gramStart"/>
      <w:r w:rsidRPr="00245485">
        <w:rPr>
          <w:color w:val="000000" w:themeColor="text1"/>
        </w:rPr>
        <w:t>period of time</w:t>
      </w:r>
      <w:proofErr w:type="gramEnd"/>
      <w:r w:rsidRPr="00245485">
        <w:rPr>
          <w:color w:val="000000" w:themeColor="text1"/>
        </w:rPr>
        <w:t>, are to be regarded as mutually interlinked in terms of their overall objectives and their subject matter</w:t>
      </w:r>
      <w:r w:rsidR="00D6254B" w:rsidRPr="00245485">
        <w:rPr>
          <w:color w:val="000000" w:themeColor="text1"/>
        </w:rPr>
        <w:t>.</w:t>
      </w:r>
      <w:r w:rsidRPr="00245485">
        <w:rPr>
          <w:color w:val="000000" w:themeColor="text1"/>
        </w:rPr>
        <w:t xml:space="preserve">  On which note, consider precisely that issue of subject matter.  Our understanding of a policy package entails a basic threshold of shared objectives and complementary subject matter.  That is very different from a situation (say) where one Member State might invoke its veto power over the imposition of Union sanctions against an international aggressor, so as selfishly and shamelessly to maximise its own financial benefits in entirely separate discussions about allocations under the Union budget.  We are interested in the enhanced demands that certain challenges make upon the Union’s capacity to deliver effective policy solutions – not in instances of outright political blackmail.</w:t>
      </w:r>
    </w:p>
    <w:p w14:paraId="3C537D43" w14:textId="74916695" w:rsidR="00245485" w:rsidRDefault="00D6254B" w:rsidP="00245485">
      <w:pPr>
        <w:ind w:firstLine="720"/>
        <w:jc w:val="both"/>
        <w:rPr>
          <w:color w:val="000000" w:themeColor="text1"/>
        </w:rPr>
      </w:pPr>
      <w:r w:rsidRPr="00245485">
        <w:rPr>
          <w:color w:val="000000" w:themeColor="text1"/>
        </w:rPr>
        <w:t>N</w:t>
      </w:r>
      <w:r w:rsidR="00DB0014" w:rsidRPr="00245485">
        <w:rPr>
          <w:color w:val="000000" w:themeColor="text1"/>
        </w:rPr>
        <w:t xml:space="preserve">ot </w:t>
      </w:r>
      <w:r w:rsidR="00280DD7" w:rsidRPr="00245485">
        <w:rPr>
          <w:color w:val="000000" w:themeColor="text1"/>
        </w:rPr>
        <w:t xml:space="preserve">only do policy packages share certain common characteristics – in terms of the unusual scale and complexity of their underlying challenge, and the interconnectedness of the multiple instruments that make up the Union’s response – but such packages can also </w:t>
      </w:r>
      <w:r w:rsidR="00DB0014" w:rsidRPr="00245485">
        <w:rPr>
          <w:color w:val="000000" w:themeColor="text1"/>
        </w:rPr>
        <w:t xml:space="preserve">make / </w:t>
      </w:r>
      <w:r w:rsidR="00280DD7" w:rsidRPr="00245485">
        <w:rPr>
          <w:color w:val="000000" w:themeColor="text1"/>
        </w:rPr>
        <w:lastRenderedPageBreak/>
        <w:t xml:space="preserve">produce certain common </w:t>
      </w:r>
      <w:r w:rsidR="00DB0014" w:rsidRPr="00245485">
        <w:rPr>
          <w:color w:val="000000" w:themeColor="text1"/>
        </w:rPr>
        <w:t xml:space="preserve">institutional demands / </w:t>
      </w:r>
      <w:r w:rsidR="00280DD7" w:rsidRPr="00245485">
        <w:rPr>
          <w:color w:val="000000" w:themeColor="text1"/>
        </w:rPr>
        <w:t xml:space="preserve">consequences.  Consider </w:t>
      </w:r>
      <w:r w:rsidR="003360B5" w:rsidRPr="00245485">
        <w:rPr>
          <w:color w:val="000000" w:themeColor="text1"/>
        </w:rPr>
        <w:t>the increasing influence exercised by the European Council.  The latter has often played a brokering role in difficult or deadlocked negotiations</w:t>
      </w:r>
      <w:r w:rsidR="00583903" w:rsidRPr="00245485">
        <w:rPr>
          <w:color w:val="000000" w:themeColor="text1"/>
        </w:rPr>
        <w:t>, including</w:t>
      </w:r>
      <w:r w:rsidR="003360B5" w:rsidRPr="00245485">
        <w:rPr>
          <w:color w:val="000000" w:themeColor="text1"/>
        </w:rPr>
        <w:t xml:space="preserve"> over proposals for individual and discrete Union instruments.</w:t>
      </w:r>
      <w:r w:rsidR="004520E9" w:rsidRPr="00245485">
        <w:rPr>
          <w:rStyle w:val="FootnoteReference"/>
          <w:color w:val="000000" w:themeColor="text1"/>
        </w:rPr>
        <w:footnoteReference w:id="47"/>
      </w:r>
      <w:r w:rsidR="003360B5" w:rsidRPr="00245485">
        <w:rPr>
          <w:color w:val="000000" w:themeColor="text1"/>
        </w:rPr>
        <w:t xml:space="preserve">  Indeed, that practice is reinforced in specific cases, under the post-Lisbon constitutional settlement, by the “emergency brake” provisions that escalate political disagreements in the Council to the level of the Heads of State or Government.</w:t>
      </w:r>
      <w:r w:rsidR="004520E9" w:rsidRPr="00245485">
        <w:rPr>
          <w:rStyle w:val="FootnoteReference"/>
          <w:color w:val="000000" w:themeColor="text1"/>
        </w:rPr>
        <w:footnoteReference w:id="48"/>
      </w:r>
      <w:r w:rsidR="003360B5" w:rsidRPr="00245485">
        <w:rPr>
          <w:color w:val="000000" w:themeColor="text1"/>
        </w:rPr>
        <w:t xml:space="preserve">  But the European Council’s mandate to provide the Union with the necessary impetus for its development, and to define the Union’s general political directions and priorities, is even more manifest in the context of complex policy packages.</w:t>
      </w:r>
      <w:r w:rsidR="00C75C0B" w:rsidRPr="00245485">
        <w:rPr>
          <w:rStyle w:val="FootnoteReference"/>
          <w:color w:val="000000" w:themeColor="text1"/>
        </w:rPr>
        <w:footnoteReference w:id="49"/>
      </w:r>
      <w:r w:rsidR="003360B5" w:rsidRPr="00245485">
        <w:rPr>
          <w:color w:val="000000" w:themeColor="text1"/>
        </w:rPr>
        <w:t xml:space="preserve">  Time and again, the European Council has acted as the primary forum in which the contours of an overall political response to a major socio-economic </w:t>
      </w:r>
      <w:r w:rsidR="00C877A4">
        <w:rPr>
          <w:color w:val="000000" w:themeColor="text1"/>
        </w:rPr>
        <w:t xml:space="preserve">and / or geo-political </w:t>
      </w:r>
      <w:r w:rsidR="003360B5" w:rsidRPr="00245485">
        <w:rPr>
          <w:color w:val="000000" w:themeColor="text1"/>
        </w:rPr>
        <w:t xml:space="preserve">challenge have been established; and where difficult negotiating hurdles are overcome, at least between the Member States, through compromises that transcend </w:t>
      </w:r>
      <w:r w:rsidR="000E6F87" w:rsidRPr="00245485">
        <w:rPr>
          <w:color w:val="000000" w:themeColor="text1"/>
        </w:rPr>
        <w:t xml:space="preserve">– </w:t>
      </w:r>
      <w:r w:rsidR="003360B5" w:rsidRPr="00245485">
        <w:rPr>
          <w:color w:val="000000" w:themeColor="text1"/>
        </w:rPr>
        <w:t>or better still</w:t>
      </w:r>
      <w:r w:rsidR="000E6F87" w:rsidRPr="00245485">
        <w:rPr>
          <w:color w:val="000000" w:themeColor="text1"/>
        </w:rPr>
        <w:t>,</w:t>
      </w:r>
      <w:r w:rsidR="003360B5" w:rsidRPr="00245485">
        <w:rPr>
          <w:color w:val="000000" w:themeColor="text1"/>
        </w:rPr>
        <w:t xml:space="preserve"> weave together</w:t>
      </w:r>
      <w:r w:rsidR="000E6F87" w:rsidRPr="00245485">
        <w:rPr>
          <w:color w:val="000000" w:themeColor="text1"/>
        </w:rPr>
        <w:t xml:space="preserve"> – </w:t>
      </w:r>
      <w:r w:rsidR="003360B5" w:rsidRPr="00245485">
        <w:rPr>
          <w:color w:val="000000" w:themeColor="text1"/>
        </w:rPr>
        <w:t>individual negotiations about specific draft texts.</w:t>
      </w:r>
      <w:r w:rsidR="004520E9" w:rsidRPr="00245485">
        <w:rPr>
          <w:rStyle w:val="FootnoteReference"/>
          <w:color w:val="000000" w:themeColor="text1"/>
        </w:rPr>
        <w:footnoteReference w:id="50"/>
      </w:r>
      <w:r w:rsidR="003360B5" w:rsidRPr="00245485">
        <w:rPr>
          <w:color w:val="000000" w:themeColor="text1"/>
        </w:rPr>
        <w:t xml:space="preserve">  If the European Council has emerged as a more powerful institutional force than ever before, then the Union’s </w:t>
      </w:r>
      <w:r w:rsidR="00766123" w:rsidRPr="00245485">
        <w:rPr>
          <w:color w:val="000000" w:themeColor="text1"/>
        </w:rPr>
        <w:t>practice</w:t>
      </w:r>
      <w:r w:rsidR="003360B5" w:rsidRPr="00245485">
        <w:rPr>
          <w:color w:val="000000" w:themeColor="text1"/>
        </w:rPr>
        <w:t xml:space="preserve"> of </w:t>
      </w:r>
      <w:r w:rsidR="00766123" w:rsidRPr="00245485">
        <w:rPr>
          <w:color w:val="000000" w:themeColor="text1"/>
        </w:rPr>
        <w:t xml:space="preserve">creating complex </w:t>
      </w:r>
      <w:r w:rsidR="003360B5" w:rsidRPr="00245485">
        <w:rPr>
          <w:color w:val="000000" w:themeColor="text1"/>
        </w:rPr>
        <w:t xml:space="preserve">policy packages is at least partly responsible for that phenomenon.  Indeed, one might even argue that the demands imposed by complex multi-field challenges and corresponding multi-instrument responses have made the European Council’s political ascent </w:t>
      </w:r>
      <w:r w:rsidR="00766123" w:rsidRPr="00245485">
        <w:rPr>
          <w:color w:val="000000" w:themeColor="text1"/>
        </w:rPr>
        <w:t xml:space="preserve">virtually </w:t>
      </w:r>
      <w:r w:rsidR="003360B5" w:rsidRPr="00245485">
        <w:rPr>
          <w:color w:val="000000" w:themeColor="text1"/>
        </w:rPr>
        <w:t>inevitable.</w:t>
      </w:r>
      <w:r w:rsidR="00DB0014" w:rsidRPr="00245485">
        <w:rPr>
          <w:rStyle w:val="FootnoteReference"/>
          <w:color w:val="000000" w:themeColor="text1"/>
        </w:rPr>
        <w:footnoteReference w:id="51"/>
      </w:r>
      <w:r w:rsidR="003360B5" w:rsidRPr="00245485">
        <w:rPr>
          <w:color w:val="000000" w:themeColor="text1"/>
        </w:rPr>
        <w:t xml:space="preserve">  </w:t>
      </w:r>
    </w:p>
    <w:p w14:paraId="43764F3C" w14:textId="77777777" w:rsidR="00245485" w:rsidRDefault="006A54EA" w:rsidP="00245485">
      <w:pPr>
        <w:ind w:firstLine="720"/>
        <w:jc w:val="both"/>
        <w:rPr>
          <w:color w:val="000000" w:themeColor="text1"/>
        </w:rPr>
      </w:pPr>
      <w:r w:rsidRPr="00245485">
        <w:rPr>
          <w:color w:val="000000" w:themeColor="text1"/>
        </w:rPr>
        <w:t>I</w:t>
      </w:r>
      <w:r w:rsidR="00FE3429" w:rsidRPr="00245485">
        <w:rPr>
          <w:color w:val="000000" w:themeColor="text1"/>
        </w:rPr>
        <w:t xml:space="preserve">t </w:t>
      </w:r>
      <w:r w:rsidR="00BF07C6" w:rsidRPr="00245485">
        <w:rPr>
          <w:color w:val="000000" w:themeColor="text1"/>
        </w:rPr>
        <w:t xml:space="preserve">is important to note that our </w:t>
      </w:r>
      <w:r w:rsidR="00D619BA" w:rsidRPr="00245485">
        <w:rPr>
          <w:color w:val="000000" w:themeColor="text1"/>
        </w:rPr>
        <w:t xml:space="preserve">hypothesis does not hinge upon whether </w:t>
      </w:r>
      <w:r w:rsidR="00604199" w:rsidRPr="00245485">
        <w:rPr>
          <w:color w:val="000000" w:themeColor="text1"/>
        </w:rPr>
        <w:t xml:space="preserve">the phenomenon of policy packages is either </w:t>
      </w:r>
      <w:r w:rsidR="00883E47" w:rsidRPr="00245485">
        <w:rPr>
          <w:color w:val="000000" w:themeColor="text1"/>
        </w:rPr>
        <w:t>entirely new or universally true</w:t>
      </w:r>
      <w:r w:rsidR="006743ED" w:rsidRPr="00245485">
        <w:rPr>
          <w:color w:val="000000" w:themeColor="text1"/>
        </w:rPr>
        <w:t>.</w:t>
      </w:r>
      <w:r w:rsidR="006339C7" w:rsidRPr="00245485">
        <w:rPr>
          <w:color w:val="000000" w:themeColor="text1"/>
        </w:rPr>
        <w:t xml:space="preserve"> </w:t>
      </w:r>
      <w:r w:rsidR="006743ED" w:rsidRPr="00245485">
        <w:rPr>
          <w:color w:val="000000" w:themeColor="text1"/>
        </w:rPr>
        <w:t xml:space="preserve"> N</w:t>
      </w:r>
      <w:r w:rsidR="006339C7" w:rsidRPr="00245485">
        <w:rPr>
          <w:color w:val="000000" w:themeColor="text1"/>
        </w:rPr>
        <w:t>or does it require us to explain their deeper origins, which would be the subject of a much broader multi-disciplinary debate</w:t>
      </w:r>
      <w:r w:rsidR="00604199" w:rsidRPr="00245485">
        <w:rPr>
          <w:color w:val="000000" w:themeColor="text1"/>
        </w:rPr>
        <w:t xml:space="preserve">.  </w:t>
      </w:r>
      <w:r w:rsidR="00E00DC6" w:rsidRPr="00245485">
        <w:rPr>
          <w:color w:val="000000" w:themeColor="text1"/>
        </w:rPr>
        <w:t xml:space="preserve">Suffice for present purposes to assume that the phenomenon of </w:t>
      </w:r>
      <w:r w:rsidR="00FE3429" w:rsidRPr="00245485">
        <w:rPr>
          <w:color w:val="000000" w:themeColor="text1"/>
        </w:rPr>
        <w:t xml:space="preserve">multi-faceted, multi-instrument </w:t>
      </w:r>
      <w:r w:rsidR="007356E1" w:rsidRPr="00245485">
        <w:rPr>
          <w:color w:val="000000" w:themeColor="text1"/>
        </w:rPr>
        <w:t xml:space="preserve">initiatives </w:t>
      </w:r>
      <w:r w:rsidR="00FE3429" w:rsidRPr="00245485">
        <w:rPr>
          <w:color w:val="000000" w:themeColor="text1"/>
        </w:rPr>
        <w:t xml:space="preserve">– exhibiting certain identifiable characteristics that distinguish them from the adoption of individual and discrete Union instruments – </w:t>
      </w:r>
      <w:r w:rsidR="00E00DC6" w:rsidRPr="00245485">
        <w:rPr>
          <w:color w:val="000000" w:themeColor="text1"/>
        </w:rPr>
        <w:t xml:space="preserve">has indeed been an important feature of the Union’s regulatory activities over recent decades and </w:t>
      </w:r>
      <w:r w:rsidR="00883E47" w:rsidRPr="00245485">
        <w:rPr>
          <w:color w:val="000000" w:themeColor="text1"/>
        </w:rPr>
        <w:t xml:space="preserve">is likely to remain so </w:t>
      </w:r>
      <w:r w:rsidR="00E00DC6" w:rsidRPr="00245485">
        <w:rPr>
          <w:color w:val="000000" w:themeColor="text1"/>
        </w:rPr>
        <w:t>for the foreseeable future</w:t>
      </w:r>
      <w:r w:rsidR="00FE3429" w:rsidRPr="00245485">
        <w:rPr>
          <w:color w:val="000000" w:themeColor="text1"/>
        </w:rPr>
        <w:t>;</w:t>
      </w:r>
      <w:r w:rsidR="00E00DC6" w:rsidRPr="00245485">
        <w:rPr>
          <w:color w:val="000000" w:themeColor="text1"/>
        </w:rPr>
        <w:t xml:space="preserve"> </w:t>
      </w:r>
      <w:r w:rsidR="00883E47" w:rsidRPr="00245485">
        <w:rPr>
          <w:color w:val="000000" w:themeColor="text1"/>
        </w:rPr>
        <w:t>particularly as the Union responds to</w:t>
      </w:r>
      <w:r w:rsidR="00604199" w:rsidRPr="00245485">
        <w:rPr>
          <w:color w:val="000000" w:themeColor="text1"/>
        </w:rPr>
        <w:t xml:space="preserve"> era-defining </w:t>
      </w:r>
      <w:r w:rsidR="0001440B" w:rsidRPr="00245485">
        <w:rPr>
          <w:color w:val="000000" w:themeColor="text1"/>
        </w:rPr>
        <w:t xml:space="preserve">and all-pervasive </w:t>
      </w:r>
      <w:r w:rsidR="00604199" w:rsidRPr="00245485">
        <w:rPr>
          <w:color w:val="000000" w:themeColor="text1"/>
        </w:rPr>
        <w:t>societal challenges such as the climate crisis, relentless digital transformation, and major demographic change</w:t>
      </w:r>
      <w:r w:rsidR="00883E47" w:rsidRPr="00245485">
        <w:rPr>
          <w:color w:val="000000" w:themeColor="text1"/>
        </w:rPr>
        <w:t>.</w:t>
      </w:r>
      <w:r w:rsidR="004520E9" w:rsidRPr="00245485">
        <w:rPr>
          <w:rStyle w:val="FootnoteReference"/>
          <w:color w:val="000000" w:themeColor="text1"/>
        </w:rPr>
        <w:footnoteReference w:id="52"/>
      </w:r>
      <w:r w:rsidR="006339C7" w:rsidRPr="00245485">
        <w:rPr>
          <w:color w:val="000000" w:themeColor="text1"/>
        </w:rPr>
        <w:t xml:space="preserve">  </w:t>
      </w:r>
    </w:p>
    <w:p w14:paraId="7E6D54C2" w14:textId="1A18C626" w:rsidR="001A354C" w:rsidRPr="00245485" w:rsidRDefault="0001440B" w:rsidP="00245485">
      <w:pPr>
        <w:ind w:firstLine="720"/>
        <w:jc w:val="both"/>
        <w:rPr>
          <w:color w:val="000000" w:themeColor="text1"/>
        </w:rPr>
      </w:pPr>
      <w:r w:rsidRPr="00245485">
        <w:rPr>
          <w:color w:val="000000" w:themeColor="text1"/>
        </w:rPr>
        <w:t xml:space="preserve">On that basis, our </w:t>
      </w:r>
      <w:r w:rsidR="001A354C" w:rsidRPr="00245485">
        <w:rPr>
          <w:color w:val="000000" w:themeColor="text1"/>
        </w:rPr>
        <w:t xml:space="preserve">interest </w:t>
      </w:r>
      <w:r w:rsidR="00FE3429" w:rsidRPr="00245485">
        <w:rPr>
          <w:color w:val="000000" w:themeColor="text1"/>
        </w:rPr>
        <w:t xml:space="preserve">will now </w:t>
      </w:r>
      <w:r w:rsidR="006875B3" w:rsidRPr="00245485">
        <w:rPr>
          <w:color w:val="000000" w:themeColor="text1"/>
        </w:rPr>
        <w:t>focus on</w:t>
      </w:r>
      <w:r w:rsidR="001A354C" w:rsidRPr="00245485">
        <w:rPr>
          <w:color w:val="000000" w:themeColor="text1"/>
        </w:rPr>
        <w:t xml:space="preserve"> the relationship between policy packages (on the one hand) and the constitutional principle of conferral (on the other hand)</w:t>
      </w:r>
      <w:r w:rsidR="00E150B0" w:rsidRPr="00245485">
        <w:rPr>
          <w:color w:val="000000" w:themeColor="text1"/>
        </w:rPr>
        <w:t xml:space="preserve">.  After all, </w:t>
      </w:r>
      <w:r w:rsidR="00FE3429" w:rsidRPr="00245485">
        <w:rPr>
          <w:color w:val="000000" w:themeColor="text1"/>
        </w:rPr>
        <w:t xml:space="preserve">the latter </w:t>
      </w:r>
      <w:r w:rsidR="00E150B0" w:rsidRPr="00245485">
        <w:rPr>
          <w:color w:val="000000" w:themeColor="text1"/>
        </w:rPr>
        <w:t xml:space="preserve">is </w:t>
      </w:r>
      <w:r w:rsidR="00FE3429" w:rsidRPr="00245485">
        <w:rPr>
          <w:color w:val="000000" w:themeColor="text1"/>
        </w:rPr>
        <w:t xml:space="preserve">a </w:t>
      </w:r>
      <w:r w:rsidR="001A354C" w:rsidRPr="00245485">
        <w:rPr>
          <w:color w:val="000000" w:themeColor="text1"/>
        </w:rPr>
        <w:t xml:space="preserve">legal doctrine developed precisely </w:t>
      </w:r>
      <w:proofErr w:type="gramStart"/>
      <w:r w:rsidR="001A354C" w:rsidRPr="00245485">
        <w:rPr>
          <w:color w:val="000000" w:themeColor="text1"/>
        </w:rPr>
        <w:t>so as to</w:t>
      </w:r>
      <w:proofErr w:type="gramEnd"/>
      <w:r w:rsidR="001A354C" w:rsidRPr="00245485">
        <w:rPr>
          <w:color w:val="000000" w:themeColor="text1"/>
        </w:rPr>
        <w:t xml:space="preserve"> meet the needs of distinct Union acts rather than more complex regulatory initiatives.  </w:t>
      </w:r>
      <w:r w:rsidR="00E150B0" w:rsidRPr="00245485">
        <w:rPr>
          <w:color w:val="000000" w:themeColor="text1"/>
        </w:rPr>
        <w:t>So how</w:t>
      </w:r>
      <w:r w:rsidR="001A354C" w:rsidRPr="00245485">
        <w:rPr>
          <w:color w:val="000000" w:themeColor="text1"/>
        </w:rPr>
        <w:t xml:space="preserve"> far (if at all) does the system of </w:t>
      </w:r>
      <w:r w:rsidR="00FE3429" w:rsidRPr="00245485">
        <w:rPr>
          <w:color w:val="000000" w:themeColor="text1"/>
        </w:rPr>
        <w:t>attributed powers</w:t>
      </w:r>
      <w:r w:rsidR="001A354C" w:rsidRPr="00245485">
        <w:rPr>
          <w:color w:val="000000" w:themeColor="text1"/>
        </w:rPr>
        <w:t xml:space="preserve"> </w:t>
      </w:r>
      <w:r w:rsidR="00E150B0" w:rsidRPr="00245485">
        <w:rPr>
          <w:color w:val="000000" w:themeColor="text1"/>
        </w:rPr>
        <w:t xml:space="preserve">nevertheless manage to </w:t>
      </w:r>
      <w:r w:rsidR="001A354C" w:rsidRPr="00245485">
        <w:rPr>
          <w:color w:val="000000" w:themeColor="text1"/>
        </w:rPr>
        <w:t xml:space="preserve">reflect and accommodate the political management of policy packages?  What tensions or problems might this give rise to?  And what responses (if any) should we consider, </w:t>
      </w:r>
      <w:proofErr w:type="gramStart"/>
      <w:r w:rsidR="001A354C" w:rsidRPr="00245485">
        <w:rPr>
          <w:color w:val="000000" w:themeColor="text1"/>
        </w:rPr>
        <w:t>in order to</w:t>
      </w:r>
      <w:proofErr w:type="gramEnd"/>
      <w:r w:rsidR="001A354C" w:rsidRPr="00245485">
        <w:rPr>
          <w:color w:val="000000" w:themeColor="text1"/>
        </w:rPr>
        <w:t xml:space="preserve"> address those challenges?  </w:t>
      </w:r>
    </w:p>
    <w:p w14:paraId="45F5B29F" w14:textId="77777777" w:rsidR="0090205B" w:rsidRPr="00245485" w:rsidRDefault="0090205B" w:rsidP="00245485">
      <w:pPr>
        <w:jc w:val="both"/>
        <w:rPr>
          <w:color w:val="000000" w:themeColor="text1"/>
        </w:rPr>
      </w:pPr>
    </w:p>
    <w:p w14:paraId="1E74C421" w14:textId="02C4873E" w:rsidR="00CE7593" w:rsidRPr="00245485" w:rsidRDefault="002F5487" w:rsidP="00245485">
      <w:pPr>
        <w:jc w:val="both"/>
        <w:rPr>
          <w:b/>
          <w:bCs/>
          <w:color w:val="000000" w:themeColor="text1"/>
        </w:rPr>
      </w:pPr>
      <w:r w:rsidRPr="00245485">
        <w:rPr>
          <w:b/>
          <w:bCs/>
          <w:color w:val="000000" w:themeColor="text1"/>
        </w:rPr>
        <w:t xml:space="preserve">4. </w:t>
      </w:r>
      <w:r w:rsidR="00FF5C3A" w:rsidRPr="00245485">
        <w:rPr>
          <w:b/>
          <w:bCs/>
          <w:color w:val="000000" w:themeColor="text1"/>
        </w:rPr>
        <w:t>Policy Packages and Attributed Powers</w:t>
      </w:r>
    </w:p>
    <w:p w14:paraId="2B38E03A" w14:textId="00AE6621" w:rsidR="00FF5C3A" w:rsidRPr="00245485" w:rsidRDefault="00FF5C3A" w:rsidP="00245485">
      <w:pPr>
        <w:jc w:val="both"/>
        <w:rPr>
          <w:color w:val="000000" w:themeColor="text1"/>
        </w:rPr>
      </w:pPr>
    </w:p>
    <w:p w14:paraId="54739187" w14:textId="23FB4815" w:rsidR="00245485" w:rsidRDefault="007F06C1" w:rsidP="00245485">
      <w:pPr>
        <w:jc w:val="both"/>
        <w:rPr>
          <w:color w:val="000000" w:themeColor="text1"/>
        </w:rPr>
      </w:pPr>
      <w:r w:rsidRPr="00245485">
        <w:rPr>
          <w:color w:val="000000" w:themeColor="text1"/>
        </w:rPr>
        <w:t xml:space="preserve">The legal framework governing the principle of conferral is </w:t>
      </w:r>
      <w:r w:rsidR="00AC7087" w:rsidRPr="00245485">
        <w:rPr>
          <w:color w:val="000000" w:themeColor="text1"/>
        </w:rPr>
        <w:t>certainly</w:t>
      </w:r>
      <w:r w:rsidRPr="00245485">
        <w:rPr>
          <w:color w:val="000000" w:themeColor="text1"/>
        </w:rPr>
        <w:t xml:space="preserve"> </w:t>
      </w:r>
      <w:r w:rsidR="00AC7087" w:rsidRPr="00245485">
        <w:rPr>
          <w:color w:val="000000" w:themeColor="text1"/>
        </w:rPr>
        <w:t xml:space="preserve">not </w:t>
      </w:r>
      <w:r w:rsidRPr="00245485">
        <w:rPr>
          <w:color w:val="000000" w:themeColor="text1"/>
        </w:rPr>
        <w:t xml:space="preserve">insensitive towards issues of policy complexity – at least within the context of evaluating the </w:t>
      </w:r>
      <w:r w:rsidR="00CB55FB" w:rsidRPr="00245485">
        <w:rPr>
          <w:color w:val="000000" w:themeColor="text1"/>
        </w:rPr>
        <w:t xml:space="preserve">competence-compatibility of </w:t>
      </w:r>
      <w:r w:rsidRPr="00245485">
        <w:rPr>
          <w:color w:val="000000" w:themeColor="text1"/>
        </w:rPr>
        <w:t>any given individual and discrete Union act.</w:t>
      </w:r>
      <w:r w:rsidR="00CB55FB" w:rsidRPr="00245485">
        <w:rPr>
          <w:color w:val="000000" w:themeColor="text1"/>
        </w:rPr>
        <w:t xml:space="preserve">  </w:t>
      </w:r>
      <w:r w:rsidR="002D0203">
        <w:rPr>
          <w:color w:val="000000" w:themeColor="text1"/>
        </w:rPr>
        <w:t xml:space="preserve">For example, the “mainstreaming” clauses contained (particularly but not exclusively) in Title II, Part One TFEU – exhorting the Union to incorporate highs standards of (say) environmental, consumer and health protection across </w:t>
      </w:r>
      <w:r w:rsidR="00552D96">
        <w:rPr>
          <w:color w:val="000000" w:themeColor="text1"/>
        </w:rPr>
        <w:t xml:space="preserve">all </w:t>
      </w:r>
      <w:r w:rsidR="002D0203">
        <w:rPr>
          <w:color w:val="000000" w:themeColor="text1"/>
        </w:rPr>
        <w:t xml:space="preserve">its policies and activities – provide clear recognition that </w:t>
      </w:r>
      <w:r w:rsidR="00552D96">
        <w:rPr>
          <w:color w:val="000000" w:themeColor="text1"/>
        </w:rPr>
        <w:t>the dedicated competences attributed under specific legal bases should not be read in artificial isolation from each other or the Union’s broader values and objectives</w:t>
      </w:r>
      <w:r w:rsidR="002D0203">
        <w:rPr>
          <w:color w:val="000000" w:themeColor="text1"/>
        </w:rPr>
        <w:t>.</w:t>
      </w:r>
      <w:r w:rsidR="00552D96">
        <w:rPr>
          <w:rStyle w:val="FootnoteReference"/>
          <w:color w:val="000000" w:themeColor="text1"/>
        </w:rPr>
        <w:footnoteReference w:id="53"/>
      </w:r>
      <w:r w:rsidR="002D0203">
        <w:rPr>
          <w:color w:val="000000" w:themeColor="text1"/>
        </w:rPr>
        <w:t xml:space="preserve">  </w:t>
      </w:r>
      <w:r w:rsidR="00552D96">
        <w:rPr>
          <w:color w:val="000000" w:themeColor="text1"/>
        </w:rPr>
        <w:t>Similarly</w:t>
      </w:r>
      <w:r w:rsidR="00CB55FB" w:rsidRPr="00245485">
        <w:rPr>
          <w:color w:val="000000" w:themeColor="text1"/>
        </w:rPr>
        <w:t xml:space="preserve">, </w:t>
      </w:r>
      <w:r w:rsidR="00552D96">
        <w:rPr>
          <w:color w:val="000000" w:themeColor="text1"/>
        </w:rPr>
        <w:t xml:space="preserve">when primary law exhorts the Union institutions to strive for consistency between different areas of Union </w:t>
      </w:r>
      <w:r w:rsidR="00545349">
        <w:rPr>
          <w:color w:val="000000" w:themeColor="text1"/>
        </w:rPr>
        <w:t xml:space="preserve">policy and </w:t>
      </w:r>
      <w:r w:rsidR="00552D96">
        <w:rPr>
          <w:color w:val="000000" w:themeColor="text1"/>
        </w:rPr>
        <w:t>activity, the Treaties implicitly acknowledge some of the inherent difficulties involved in responding to challenges of particular complexity and scale</w:t>
      </w:r>
      <w:r w:rsidR="00545349">
        <w:rPr>
          <w:color w:val="000000" w:themeColor="text1"/>
        </w:rPr>
        <w:t>, capable of cutting across legally distinct powers created under the system of conferral</w:t>
      </w:r>
      <w:r w:rsidR="00552D96">
        <w:rPr>
          <w:color w:val="000000" w:themeColor="text1"/>
        </w:rPr>
        <w:t>.</w:t>
      </w:r>
      <w:r w:rsidR="00552D96">
        <w:rPr>
          <w:rStyle w:val="FootnoteReference"/>
          <w:color w:val="000000" w:themeColor="text1"/>
        </w:rPr>
        <w:footnoteReference w:id="54"/>
      </w:r>
      <w:r w:rsidR="00552D96">
        <w:rPr>
          <w:color w:val="000000" w:themeColor="text1"/>
        </w:rPr>
        <w:t xml:space="preserve">  And for present purposes, it is important to note that </w:t>
      </w:r>
      <w:r w:rsidR="00CB55FB" w:rsidRPr="00245485">
        <w:rPr>
          <w:color w:val="000000" w:themeColor="text1"/>
        </w:rPr>
        <w:t>the “predominant purpose” test</w:t>
      </w:r>
      <w:r w:rsidR="00552D96">
        <w:rPr>
          <w:color w:val="000000" w:themeColor="text1"/>
        </w:rPr>
        <w:t>,</w:t>
      </w:r>
      <w:r w:rsidR="00CB55FB" w:rsidRPr="00245485">
        <w:rPr>
          <w:color w:val="000000" w:themeColor="text1"/>
        </w:rPr>
        <w:t xml:space="preserve"> for choosing between two or more potential legal bases for the adoption of a proposed instrument, recognises that many initiatives indeed pursue several policy objectives simultaneously, and combine content that touches upon several different legal bases at the same time, in a way that does not map entirely neatly onto the Treaties’ </w:t>
      </w:r>
      <w:r w:rsidR="00095281" w:rsidRPr="00245485">
        <w:rPr>
          <w:color w:val="000000" w:themeColor="text1"/>
        </w:rPr>
        <w:t xml:space="preserve">a priori </w:t>
      </w:r>
      <w:r w:rsidR="00CB55FB" w:rsidRPr="00245485">
        <w:rPr>
          <w:color w:val="000000" w:themeColor="text1"/>
        </w:rPr>
        <w:t xml:space="preserve">subdivision into dedicated and specific legal categories and attributed powers.  </w:t>
      </w:r>
      <w:r w:rsidR="00046DD4" w:rsidRPr="00245485">
        <w:rPr>
          <w:color w:val="000000" w:themeColor="text1"/>
        </w:rPr>
        <w:t xml:space="preserve">But even in this context, there are limits to how far </w:t>
      </w:r>
      <w:r w:rsidR="00607269" w:rsidRPr="00245485">
        <w:rPr>
          <w:color w:val="000000" w:themeColor="text1"/>
        </w:rPr>
        <w:t>legal formalism will accommodate policy realities:</w:t>
      </w:r>
      <w:r w:rsidR="00046DD4" w:rsidRPr="00245485">
        <w:rPr>
          <w:color w:val="000000" w:themeColor="text1"/>
        </w:rPr>
        <w:t xml:space="preserve"> </w:t>
      </w:r>
      <w:r w:rsidR="00607269" w:rsidRPr="00245485">
        <w:rPr>
          <w:color w:val="000000" w:themeColor="text1"/>
        </w:rPr>
        <w:t xml:space="preserve">dual legal bases are permitted only in exceptional circumstances, so </w:t>
      </w:r>
      <w:r w:rsidR="000D2CCB" w:rsidRPr="00245485">
        <w:rPr>
          <w:color w:val="000000" w:themeColor="text1"/>
        </w:rPr>
        <w:t>in most cases</w:t>
      </w:r>
      <w:r w:rsidR="00607269" w:rsidRPr="00245485">
        <w:rPr>
          <w:color w:val="000000" w:themeColor="text1"/>
        </w:rPr>
        <w:t xml:space="preserve"> (</w:t>
      </w:r>
      <w:r w:rsidR="000D2CCB" w:rsidRPr="00245485">
        <w:rPr>
          <w:color w:val="000000" w:themeColor="text1"/>
        </w:rPr>
        <w:t>as we know</w:t>
      </w:r>
      <w:r w:rsidR="00607269" w:rsidRPr="00245485">
        <w:rPr>
          <w:color w:val="000000" w:themeColor="text1"/>
        </w:rPr>
        <w:t>)</w:t>
      </w:r>
      <w:r w:rsidR="000D2CCB" w:rsidRPr="00245485">
        <w:rPr>
          <w:color w:val="000000" w:themeColor="text1"/>
        </w:rPr>
        <w:t xml:space="preserve"> the Court still insists that a more reductionist choice </w:t>
      </w:r>
      <w:proofErr w:type="gramStart"/>
      <w:r w:rsidR="000D2CCB" w:rsidRPr="00245485">
        <w:rPr>
          <w:color w:val="000000" w:themeColor="text1"/>
        </w:rPr>
        <w:t>has to</w:t>
      </w:r>
      <w:proofErr w:type="gramEnd"/>
      <w:r w:rsidR="000D2CCB" w:rsidRPr="00245485">
        <w:rPr>
          <w:color w:val="000000" w:themeColor="text1"/>
        </w:rPr>
        <w:t xml:space="preserve"> be made.</w:t>
      </w:r>
      <w:r w:rsidR="004520E9" w:rsidRPr="00245485">
        <w:rPr>
          <w:rStyle w:val="FootnoteReference"/>
          <w:color w:val="000000" w:themeColor="text1"/>
        </w:rPr>
        <w:footnoteReference w:id="55"/>
      </w:r>
      <w:r w:rsidR="000D2CCB" w:rsidRPr="00245485">
        <w:rPr>
          <w:color w:val="000000" w:themeColor="text1"/>
        </w:rPr>
        <w:t xml:space="preserve"> </w:t>
      </w:r>
    </w:p>
    <w:p w14:paraId="4AB76AA3" w14:textId="09194616" w:rsidR="00245485" w:rsidRDefault="00D6254B" w:rsidP="00245485">
      <w:pPr>
        <w:ind w:firstLine="720"/>
        <w:jc w:val="both"/>
        <w:rPr>
          <w:color w:val="000000" w:themeColor="text1"/>
        </w:rPr>
      </w:pPr>
      <w:r w:rsidRPr="00245485">
        <w:rPr>
          <w:color w:val="000000" w:themeColor="text1"/>
        </w:rPr>
        <w:t>However,</w:t>
      </w:r>
      <w:r w:rsidR="00CB55FB" w:rsidRPr="00245485">
        <w:rPr>
          <w:color w:val="000000" w:themeColor="text1"/>
        </w:rPr>
        <w:t xml:space="preserve"> the challenges posed by policy packages are of another scale altogether.  As we have seen, the political </w:t>
      </w:r>
      <w:r w:rsidR="00C26F4A" w:rsidRPr="00245485">
        <w:rPr>
          <w:color w:val="000000" w:themeColor="text1"/>
        </w:rPr>
        <w:t>management of complex challenges displays certain common characteristics</w:t>
      </w:r>
      <w:r w:rsidR="00CB55FB" w:rsidRPr="00245485">
        <w:rPr>
          <w:color w:val="000000" w:themeColor="text1"/>
        </w:rPr>
        <w:t xml:space="preserve">: </w:t>
      </w:r>
      <w:r w:rsidR="00C26F4A" w:rsidRPr="00245485">
        <w:rPr>
          <w:color w:val="000000" w:themeColor="text1"/>
        </w:rPr>
        <w:t xml:space="preserve">on the one hand, the need for </w:t>
      </w:r>
      <w:r w:rsidR="00703DC4" w:rsidRPr="00245485">
        <w:rPr>
          <w:color w:val="000000" w:themeColor="text1"/>
        </w:rPr>
        <w:t xml:space="preserve">multiple </w:t>
      </w:r>
      <w:r w:rsidR="00C26F4A" w:rsidRPr="00245485">
        <w:rPr>
          <w:color w:val="000000" w:themeColor="text1"/>
        </w:rPr>
        <w:t xml:space="preserve">regulatory </w:t>
      </w:r>
      <w:r w:rsidR="00703DC4" w:rsidRPr="00245485">
        <w:rPr>
          <w:color w:val="000000" w:themeColor="text1"/>
        </w:rPr>
        <w:t>acts</w:t>
      </w:r>
      <w:r w:rsidR="00C26F4A" w:rsidRPr="00245485">
        <w:rPr>
          <w:color w:val="000000" w:themeColor="text1"/>
        </w:rPr>
        <w:t>, s</w:t>
      </w:r>
      <w:r w:rsidR="00703DC4" w:rsidRPr="00245485">
        <w:rPr>
          <w:color w:val="000000" w:themeColor="text1"/>
        </w:rPr>
        <w:t xml:space="preserve">traddling </w:t>
      </w:r>
      <w:r w:rsidR="00C26F4A" w:rsidRPr="00245485">
        <w:rPr>
          <w:color w:val="000000" w:themeColor="text1"/>
        </w:rPr>
        <w:t xml:space="preserve">several </w:t>
      </w:r>
      <w:r w:rsidR="00703DC4" w:rsidRPr="00245485">
        <w:rPr>
          <w:color w:val="000000" w:themeColor="text1"/>
        </w:rPr>
        <w:t>different policy fields</w:t>
      </w:r>
      <w:r w:rsidR="00C26F4A" w:rsidRPr="00245485">
        <w:rPr>
          <w:color w:val="000000" w:themeColor="text1"/>
        </w:rPr>
        <w:t xml:space="preserve">, but each </w:t>
      </w:r>
      <w:r w:rsidR="00703DC4" w:rsidRPr="00245485">
        <w:rPr>
          <w:color w:val="000000" w:themeColor="text1"/>
        </w:rPr>
        <w:t xml:space="preserve">requiring </w:t>
      </w:r>
      <w:r w:rsidR="00C26F4A" w:rsidRPr="00245485">
        <w:rPr>
          <w:color w:val="000000" w:themeColor="text1"/>
        </w:rPr>
        <w:t xml:space="preserve">its </w:t>
      </w:r>
      <w:r w:rsidR="00703DC4" w:rsidRPr="00245485">
        <w:rPr>
          <w:color w:val="000000" w:themeColor="text1"/>
        </w:rPr>
        <w:t>own legal basis</w:t>
      </w:r>
      <w:r w:rsidR="00C26F4A" w:rsidRPr="00245485">
        <w:rPr>
          <w:color w:val="000000" w:themeColor="text1"/>
        </w:rPr>
        <w:t xml:space="preserve">, which in turn prescribe their own </w:t>
      </w:r>
      <w:r w:rsidR="00703DC4" w:rsidRPr="00245485">
        <w:rPr>
          <w:color w:val="000000" w:themeColor="text1"/>
        </w:rPr>
        <w:t xml:space="preserve">substantive </w:t>
      </w:r>
      <w:r w:rsidR="00C26F4A" w:rsidRPr="00245485">
        <w:rPr>
          <w:color w:val="000000" w:themeColor="text1"/>
        </w:rPr>
        <w:t xml:space="preserve">requirements </w:t>
      </w:r>
      <w:r w:rsidR="00703DC4" w:rsidRPr="00245485">
        <w:rPr>
          <w:color w:val="000000" w:themeColor="text1"/>
        </w:rPr>
        <w:t>and procedural configurations</w:t>
      </w:r>
      <w:r w:rsidR="00C26F4A" w:rsidRPr="00245485">
        <w:rPr>
          <w:color w:val="000000" w:themeColor="text1"/>
        </w:rPr>
        <w:t xml:space="preserve">; yet </w:t>
      </w:r>
      <w:r w:rsidR="00F50C22" w:rsidRPr="00245485">
        <w:rPr>
          <w:color w:val="000000" w:themeColor="text1"/>
        </w:rPr>
        <w:t xml:space="preserve">on the other hand, </w:t>
      </w:r>
      <w:r w:rsidR="00C26F4A" w:rsidRPr="00245485">
        <w:rPr>
          <w:color w:val="000000" w:themeColor="text1"/>
        </w:rPr>
        <w:t xml:space="preserve">those multiple regulatory acts are not intended to be discrete or distinct, and </w:t>
      </w:r>
      <w:r w:rsidR="00703DC4" w:rsidRPr="00245485">
        <w:rPr>
          <w:color w:val="000000" w:themeColor="text1"/>
        </w:rPr>
        <w:t xml:space="preserve">together </w:t>
      </w:r>
      <w:r w:rsidR="00C26F4A" w:rsidRPr="00245485">
        <w:rPr>
          <w:color w:val="000000" w:themeColor="text1"/>
        </w:rPr>
        <w:t xml:space="preserve">their draft texts and proposed legal bases </w:t>
      </w:r>
      <w:r w:rsidR="00703DC4" w:rsidRPr="00245485">
        <w:rPr>
          <w:color w:val="000000" w:themeColor="text1"/>
        </w:rPr>
        <w:t xml:space="preserve">provide </w:t>
      </w:r>
      <w:r w:rsidR="00C26F4A" w:rsidRPr="00245485">
        <w:rPr>
          <w:color w:val="000000" w:themeColor="text1"/>
        </w:rPr>
        <w:t xml:space="preserve">a </w:t>
      </w:r>
      <w:r w:rsidR="00703DC4" w:rsidRPr="00245485">
        <w:rPr>
          <w:color w:val="000000" w:themeColor="text1"/>
        </w:rPr>
        <w:t xml:space="preserve">cumulative environment in which </w:t>
      </w:r>
      <w:r w:rsidR="00C26F4A" w:rsidRPr="00245485">
        <w:rPr>
          <w:color w:val="000000" w:themeColor="text1"/>
        </w:rPr>
        <w:t xml:space="preserve">the </w:t>
      </w:r>
      <w:r w:rsidR="00703DC4" w:rsidRPr="00245485">
        <w:rPr>
          <w:color w:val="000000" w:themeColor="text1"/>
        </w:rPr>
        <w:t xml:space="preserve">entire </w:t>
      </w:r>
      <w:r w:rsidR="00C26F4A" w:rsidRPr="00245485">
        <w:rPr>
          <w:color w:val="000000" w:themeColor="text1"/>
        </w:rPr>
        <w:t xml:space="preserve">policy </w:t>
      </w:r>
      <w:r w:rsidR="00703DC4" w:rsidRPr="00245485">
        <w:rPr>
          <w:color w:val="000000" w:themeColor="text1"/>
        </w:rPr>
        <w:t xml:space="preserve">package is </w:t>
      </w:r>
      <w:r w:rsidR="00C26F4A" w:rsidRPr="00245485">
        <w:rPr>
          <w:color w:val="000000" w:themeColor="text1"/>
        </w:rPr>
        <w:t xml:space="preserve">to be </w:t>
      </w:r>
      <w:r w:rsidR="00703DC4" w:rsidRPr="00245485">
        <w:rPr>
          <w:color w:val="000000" w:themeColor="text1"/>
        </w:rPr>
        <w:t>negotiated</w:t>
      </w:r>
      <w:r w:rsidR="00C26F4A" w:rsidRPr="00245485">
        <w:rPr>
          <w:color w:val="000000" w:themeColor="text1"/>
        </w:rPr>
        <w:t xml:space="preserve"> and adopted – with </w:t>
      </w:r>
      <w:r w:rsidR="00703DC4" w:rsidRPr="00245485">
        <w:rPr>
          <w:color w:val="000000" w:themeColor="text1"/>
        </w:rPr>
        <w:t>cross-measure bargain</w:t>
      </w:r>
      <w:r w:rsidR="00C26F4A" w:rsidRPr="00245485">
        <w:rPr>
          <w:color w:val="000000" w:themeColor="text1"/>
        </w:rPr>
        <w:t>ing and compromises</w:t>
      </w:r>
      <w:r w:rsidR="00703DC4" w:rsidRPr="00245485">
        <w:rPr>
          <w:color w:val="000000" w:themeColor="text1"/>
        </w:rPr>
        <w:t xml:space="preserve">, </w:t>
      </w:r>
      <w:r w:rsidR="00C26F4A" w:rsidRPr="00245485">
        <w:rPr>
          <w:color w:val="000000" w:themeColor="text1"/>
        </w:rPr>
        <w:t xml:space="preserve">and </w:t>
      </w:r>
      <w:r w:rsidR="00703DC4" w:rsidRPr="00245485">
        <w:rPr>
          <w:color w:val="000000" w:themeColor="text1"/>
        </w:rPr>
        <w:t xml:space="preserve">transversal institutional </w:t>
      </w:r>
      <w:r w:rsidR="00C26F4A" w:rsidRPr="00245485">
        <w:rPr>
          <w:color w:val="000000" w:themeColor="text1"/>
        </w:rPr>
        <w:t>influence or demands</w:t>
      </w:r>
      <w:r w:rsidR="00703DC4" w:rsidRPr="00245485">
        <w:rPr>
          <w:color w:val="000000" w:themeColor="text1"/>
        </w:rPr>
        <w:t xml:space="preserve">, </w:t>
      </w:r>
      <w:r w:rsidR="00C26F4A" w:rsidRPr="00245485">
        <w:rPr>
          <w:color w:val="000000" w:themeColor="text1"/>
        </w:rPr>
        <w:t xml:space="preserve">all </w:t>
      </w:r>
      <w:r w:rsidR="00703DC4" w:rsidRPr="00245485">
        <w:rPr>
          <w:color w:val="000000" w:themeColor="text1"/>
        </w:rPr>
        <w:t xml:space="preserve">embodied in </w:t>
      </w:r>
      <w:r w:rsidR="00C26F4A" w:rsidRPr="00245485">
        <w:rPr>
          <w:color w:val="000000" w:themeColor="text1"/>
        </w:rPr>
        <w:t xml:space="preserve">a </w:t>
      </w:r>
      <w:r w:rsidR="00703DC4" w:rsidRPr="00245485">
        <w:rPr>
          <w:color w:val="000000" w:themeColor="text1"/>
        </w:rPr>
        <w:t xml:space="preserve">collective </w:t>
      </w:r>
      <w:r w:rsidR="00C26F4A" w:rsidRPr="00245485">
        <w:rPr>
          <w:color w:val="000000" w:themeColor="text1"/>
        </w:rPr>
        <w:t xml:space="preserve">if multi-component </w:t>
      </w:r>
      <w:r w:rsidR="00703DC4" w:rsidRPr="00245485">
        <w:rPr>
          <w:color w:val="000000" w:themeColor="text1"/>
        </w:rPr>
        <w:t>solution.</w:t>
      </w:r>
      <w:r w:rsidR="002363F6" w:rsidRPr="00245485">
        <w:rPr>
          <w:rStyle w:val="FootnoteReference"/>
          <w:color w:val="000000" w:themeColor="text1"/>
        </w:rPr>
        <w:footnoteReference w:id="56"/>
      </w:r>
    </w:p>
    <w:p w14:paraId="386277E7" w14:textId="578412BF" w:rsidR="00245485" w:rsidRDefault="00C26F4A" w:rsidP="00245485">
      <w:pPr>
        <w:ind w:firstLine="720"/>
        <w:jc w:val="both"/>
        <w:rPr>
          <w:color w:val="000000" w:themeColor="text1"/>
        </w:rPr>
      </w:pPr>
      <w:r w:rsidRPr="00245485">
        <w:rPr>
          <w:color w:val="000000" w:themeColor="text1"/>
        </w:rPr>
        <w:t xml:space="preserve">But when it comes to a legal assessment of policy packages through the lens of conferral, those political realities and practices </w:t>
      </w:r>
      <w:r w:rsidR="00EA5C40" w:rsidRPr="00245485">
        <w:rPr>
          <w:color w:val="000000" w:themeColor="text1"/>
        </w:rPr>
        <w:t>struggle to find a meaningful place and role</w:t>
      </w:r>
      <w:r w:rsidRPr="00245485">
        <w:rPr>
          <w:color w:val="000000" w:themeColor="text1"/>
        </w:rPr>
        <w:t xml:space="preserve">.  </w:t>
      </w:r>
      <w:r w:rsidR="004A79AF" w:rsidRPr="00245485">
        <w:rPr>
          <w:color w:val="000000" w:themeColor="text1"/>
        </w:rPr>
        <w:t xml:space="preserve">Both the lawyer’s </w:t>
      </w:r>
      <w:r w:rsidR="009B5136" w:rsidRPr="00245485">
        <w:rPr>
          <w:color w:val="000000" w:themeColor="text1"/>
        </w:rPr>
        <w:t>articulation</w:t>
      </w:r>
      <w:r w:rsidR="004A79AF" w:rsidRPr="00245485">
        <w:rPr>
          <w:color w:val="000000" w:themeColor="text1"/>
        </w:rPr>
        <w:t xml:space="preserve"> </w:t>
      </w:r>
      <w:r w:rsidR="009B5136" w:rsidRPr="00245485">
        <w:rPr>
          <w:color w:val="000000" w:themeColor="text1"/>
        </w:rPr>
        <w:t>of the constitutional standards for</w:t>
      </w:r>
      <w:r w:rsidR="004A79AF" w:rsidRPr="00245485">
        <w:rPr>
          <w:color w:val="000000" w:themeColor="text1"/>
        </w:rPr>
        <w:t xml:space="preserve"> how every Union action should comply with the demands of attributed powers,</w:t>
      </w:r>
      <w:r w:rsidRPr="00245485">
        <w:rPr>
          <w:color w:val="000000" w:themeColor="text1"/>
        </w:rPr>
        <w:t xml:space="preserve"> </w:t>
      </w:r>
      <w:r w:rsidR="004A79AF" w:rsidRPr="00245485">
        <w:rPr>
          <w:color w:val="000000" w:themeColor="text1"/>
        </w:rPr>
        <w:t xml:space="preserve">and the </w:t>
      </w:r>
      <w:r w:rsidRPr="00245485">
        <w:rPr>
          <w:color w:val="000000" w:themeColor="text1"/>
        </w:rPr>
        <w:t xml:space="preserve">ex post </w:t>
      </w:r>
      <w:r w:rsidR="00703DC4" w:rsidRPr="00245485">
        <w:rPr>
          <w:color w:val="000000" w:themeColor="text1"/>
        </w:rPr>
        <w:t xml:space="preserve">judicial assessment of </w:t>
      </w:r>
      <w:r w:rsidRPr="00245485">
        <w:rPr>
          <w:color w:val="000000" w:themeColor="text1"/>
        </w:rPr>
        <w:t>competence-compatibility</w:t>
      </w:r>
      <w:r w:rsidR="004A79AF" w:rsidRPr="00245485">
        <w:rPr>
          <w:color w:val="000000" w:themeColor="text1"/>
        </w:rPr>
        <w:t xml:space="preserve"> in any given case,</w:t>
      </w:r>
      <w:r w:rsidRPr="00245485">
        <w:rPr>
          <w:color w:val="000000" w:themeColor="text1"/>
        </w:rPr>
        <w:t xml:space="preserve"> remain</w:t>
      </w:r>
      <w:r w:rsidR="004A79AF" w:rsidRPr="00245485">
        <w:rPr>
          <w:color w:val="000000" w:themeColor="text1"/>
        </w:rPr>
        <w:t xml:space="preserve"> </w:t>
      </w:r>
      <w:r w:rsidR="00703DC4" w:rsidRPr="00245485">
        <w:rPr>
          <w:color w:val="000000" w:themeColor="text1"/>
        </w:rPr>
        <w:t xml:space="preserve">concentrated on each </w:t>
      </w:r>
      <w:r w:rsidRPr="00245485">
        <w:rPr>
          <w:color w:val="000000" w:themeColor="text1"/>
        </w:rPr>
        <w:t xml:space="preserve">distinct Union act, still treated </w:t>
      </w:r>
      <w:r w:rsidR="006875B3" w:rsidRPr="00245485">
        <w:rPr>
          <w:color w:val="000000" w:themeColor="text1"/>
        </w:rPr>
        <w:t xml:space="preserve">largely </w:t>
      </w:r>
      <w:r w:rsidRPr="00245485">
        <w:rPr>
          <w:color w:val="000000" w:themeColor="text1"/>
        </w:rPr>
        <w:t xml:space="preserve">as </w:t>
      </w:r>
      <w:r w:rsidR="006875B3" w:rsidRPr="00245485">
        <w:rPr>
          <w:color w:val="000000" w:themeColor="text1"/>
        </w:rPr>
        <w:t xml:space="preserve">an </w:t>
      </w:r>
      <w:r w:rsidR="00703DC4" w:rsidRPr="00245485">
        <w:rPr>
          <w:color w:val="000000" w:themeColor="text1"/>
        </w:rPr>
        <w:t xml:space="preserve">individual </w:t>
      </w:r>
      <w:r w:rsidRPr="00245485">
        <w:rPr>
          <w:color w:val="000000" w:themeColor="text1"/>
        </w:rPr>
        <w:t xml:space="preserve">and discrete legal </w:t>
      </w:r>
      <w:r w:rsidR="00703DC4" w:rsidRPr="00245485">
        <w:rPr>
          <w:color w:val="000000" w:themeColor="text1"/>
        </w:rPr>
        <w:t xml:space="preserve">measure, with </w:t>
      </w:r>
      <w:r w:rsidR="00EA5C40" w:rsidRPr="00245485">
        <w:rPr>
          <w:color w:val="000000" w:themeColor="text1"/>
        </w:rPr>
        <w:t xml:space="preserve">only </w:t>
      </w:r>
      <w:r w:rsidR="006875B3" w:rsidRPr="00245485">
        <w:rPr>
          <w:color w:val="000000" w:themeColor="text1"/>
        </w:rPr>
        <w:t xml:space="preserve">limited </w:t>
      </w:r>
      <w:r w:rsidR="00703DC4" w:rsidRPr="00245485">
        <w:rPr>
          <w:color w:val="000000" w:themeColor="text1"/>
        </w:rPr>
        <w:t xml:space="preserve">consideration </w:t>
      </w:r>
      <w:r w:rsidR="006875B3" w:rsidRPr="00245485">
        <w:rPr>
          <w:color w:val="000000" w:themeColor="text1"/>
        </w:rPr>
        <w:t xml:space="preserve">of </w:t>
      </w:r>
      <w:r w:rsidR="00D47868" w:rsidRPr="00245485">
        <w:rPr>
          <w:color w:val="000000" w:themeColor="text1"/>
        </w:rPr>
        <w:t xml:space="preserve">either </w:t>
      </w:r>
      <w:r w:rsidR="00703DC4" w:rsidRPr="00245485">
        <w:rPr>
          <w:color w:val="000000" w:themeColor="text1"/>
        </w:rPr>
        <w:t xml:space="preserve">the </w:t>
      </w:r>
      <w:r w:rsidR="00D47868" w:rsidRPr="00245485">
        <w:rPr>
          <w:color w:val="000000" w:themeColor="text1"/>
        </w:rPr>
        <w:t xml:space="preserve">existence and significance of the </w:t>
      </w:r>
      <w:r w:rsidR="00703DC4" w:rsidRPr="00245485">
        <w:rPr>
          <w:color w:val="000000" w:themeColor="text1"/>
        </w:rPr>
        <w:t xml:space="preserve">overall </w:t>
      </w:r>
      <w:r w:rsidR="00D47868" w:rsidRPr="00245485">
        <w:rPr>
          <w:color w:val="000000" w:themeColor="text1"/>
        </w:rPr>
        <w:t xml:space="preserve">policy </w:t>
      </w:r>
      <w:r w:rsidR="00703DC4" w:rsidRPr="00245485">
        <w:rPr>
          <w:color w:val="000000" w:themeColor="text1"/>
        </w:rPr>
        <w:t xml:space="preserve">package or </w:t>
      </w:r>
      <w:r w:rsidR="00D47868" w:rsidRPr="00245485">
        <w:rPr>
          <w:color w:val="000000" w:themeColor="text1"/>
        </w:rPr>
        <w:t xml:space="preserve">the disputed </w:t>
      </w:r>
      <w:r w:rsidR="00703DC4" w:rsidRPr="00245485">
        <w:rPr>
          <w:color w:val="000000" w:themeColor="text1"/>
        </w:rPr>
        <w:t xml:space="preserve">act’s </w:t>
      </w:r>
      <w:r w:rsidR="00D47868" w:rsidRPr="00245485">
        <w:rPr>
          <w:color w:val="000000" w:themeColor="text1"/>
        </w:rPr>
        <w:t xml:space="preserve">rightful </w:t>
      </w:r>
      <w:r w:rsidR="00703DC4" w:rsidRPr="00245485">
        <w:rPr>
          <w:color w:val="000000" w:themeColor="text1"/>
        </w:rPr>
        <w:t xml:space="preserve">place </w:t>
      </w:r>
      <w:r w:rsidR="00D47868" w:rsidRPr="00245485">
        <w:rPr>
          <w:color w:val="000000" w:themeColor="text1"/>
        </w:rPr>
        <w:t xml:space="preserve">and role </w:t>
      </w:r>
      <w:r w:rsidR="00703DC4" w:rsidRPr="00245485">
        <w:rPr>
          <w:color w:val="000000" w:themeColor="text1"/>
        </w:rPr>
        <w:t>therein.</w:t>
      </w:r>
      <w:r w:rsidR="005B04E9" w:rsidRPr="00245485">
        <w:rPr>
          <w:color w:val="000000" w:themeColor="text1"/>
        </w:rPr>
        <w:t xml:space="preserve">  Whether or not we </w:t>
      </w:r>
      <w:r w:rsidR="005B04E9" w:rsidRPr="00245485">
        <w:rPr>
          <w:i/>
          <w:iCs/>
          <w:color w:val="000000" w:themeColor="text1"/>
        </w:rPr>
        <w:t>should</w:t>
      </w:r>
      <w:r w:rsidR="005B04E9" w:rsidRPr="00245485">
        <w:rPr>
          <w:color w:val="000000" w:themeColor="text1"/>
        </w:rPr>
        <w:t xml:space="preserve"> offer greater recognition for the overall policy package is a different question, to which we will return later in this paper.</w:t>
      </w:r>
      <w:r w:rsidR="0094657F" w:rsidRPr="00245485">
        <w:rPr>
          <w:rStyle w:val="FootnoteReference"/>
          <w:color w:val="000000" w:themeColor="text1"/>
        </w:rPr>
        <w:footnoteReference w:id="57"/>
      </w:r>
      <w:r w:rsidR="005B04E9" w:rsidRPr="00245485">
        <w:rPr>
          <w:color w:val="000000" w:themeColor="text1"/>
        </w:rPr>
        <w:t xml:space="preserve">  </w:t>
      </w:r>
      <w:r w:rsidR="00AE2F5A" w:rsidRPr="00245485">
        <w:rPr>
          <w:color w:val="000000" w:themeColor="text1"/>
        </w:rPr>
        <w:t>F</w:t>
      </w:r>
      <w:r w:rsidR="005B04E9" w:rsidRPr="00245485">
        <w:rPr>
          <w:color w:val="000000" w:themeColor="text1"/>
        </w:rPr>
        <w:t xml:space="preserve">or now, we will </w:t>
      </w:r>
      <w:r w:rsidR="00AE2F5A" w:rsidRPr="00245485">
        <w:rPr>
          <w:color w:val="000000" w:themeColor="text1"/>
        </w:rPr>
        <w:t xml:space="preserve">simply </w:t>
      </w:r>
      <w:r w:rsidR="005B04E9" w:rsidRPr="00245485">
        <w:rPr>
          <w:color w:val="000000" w:themeColor="text1"/>
        </w:rPr>
        <w:t xml:space="preserve">explain the legal approach as it currently stands and </w:t>
      </w:r>
      <w:r w:rsidR="00AE2F5A" w:rsidRPr="00245485">
        <w:rPr>
          <w:color w:val="000000" w:themeColor="text1"/>
        </w:rPr>
        <w:t xml:space="preserve">identify </w:t>
      </w:r>
      <w:r w:rsidR="005B04E9" w:rsidRPr="00245485">
        <w:rPr>
          <w:color w:val="000000" w:themeColor="text1"/>
        </w:rPr>
        <w:t>the tensions to which it might give rise.</w:t>
      </w:r>
    </w:p>
    <w:p w14:paraId="00D00733" w14:textId="47B0F2E3" w:rsidR="00E308BC" w:rsidRDefault="00E308BC" w:rsidP="00E308BC">
      <w:pPr>
        <w:jc w:val="both"/>
        <w:rPr>
          <w:color w:val="000000" w:themeColor="text1"/>
        </w:rPr>
      </w:pPr>
    </w:p>
    <w:p w14:paraId="6A62D39E" w14:textId="36640C48" w:rsidR="00E308BC" w:rsidRPr="00E308BC" w:rsidRDefault="00E308BC" w:rsidP="00E308BC">
      <w:pPr>
        <w:jc w:val="both"/>
        <w:rPr>
          <w:i/>
          <w:iCs/>
          <w:color w:val="000000" w:themeColor="text1"/>
        </w:rPr>
      </w:pPr>
      <w:r w:rsidRPr="00E308BC">
        <w:rPr>
          <w:i/>
          <w:iCs/>
          <w:color w:val="000000" w:themeColor="text1"/>
        </w:rPr>
        <w:t>4.1 The legal act, not the policy package, reigns supreme</w:t>
      </w:r>
    </w:p>
    <w:p w14:paraId="50B7A9D2" w14:textId="77777777" w:rsidR="00E308BC" w:rsidRDefault="00E308BC" w:rsidP="00E308BC">
      <w:pPr>
        <w:jc w:val="both"/>
        <w:rPr>
          <w:color w:val="000000" w:themeColor="text1"/>
        </w:rPr>
      </w:pPr>
    </w:p>
    <w:p w14:paraId="636088BE" w14:textId="591A5192" w:rsidR="00245485" w:rsidRDefault="005B6679" w:rsidP="00E308BC">
      <w:pPr>
        <w:jc w:val="both"/>
        <w:rPr>
          <w:color w:val="000000" w:themeColor="text1"/>
        </w:rPr>
      </w:pPr>
      <w:r w:rsidRPr="00245485">
        <w:rPr>
          <w:color w:val="000000" w:themeColor="text1"/>
        </w:rPr>
        <w:t xml:space="preserve">To begin with, it should come as no surprise that the fundamental premiss of the system of conferral remains entirely intact: </w:t>
      </w:r>
      <w:r w:rsidR="004A79AF" w:rsidRPr="00245485">
        <w:rPr>
          <w:color w:val="000000" w:themeColor="text1"/>
        </w:rPr>
        <w:t xml:space="preserve">expectations and </w:t>
      </w:r>
      <w:r w:rsidRPr="00245485">
        <w:rPr>
          <w:color w:val="000000" w:themeColor="text1"/>
        </w:rPr>
        <w:t xml:space="preserve">challenges are framed and examined only in relation to any given individual and discrete Union act, judged against the criteria imposed by its own dedicated and specific legal basis; </w:t>
      </w:r>
      <w:r w:rsidR="004A79AF" w:rsidRPr="00245485">
        <w:rPr>
          <w:color w:val="000000" w:themeColor="text1"/>
        </w:rPr>
        <w:t xml:space="preserve">neither expectations nor </w:t>
      </w:r>
      <w:r w:rsidRPr="00245485">
        <w:rPr>
          <w:color w:val="000000" w:themeColor="text1"/>
        </w:rPr>
        <w:t xml:space="preserve">challenges are ever framed or examined in terms of the overall policy package of which the disputed act might form only one, albeit integral, component.  The basic significance of that fact is not at all lessened by its self-evident nature: the political management of complex challenges may have exploded far beyond the bounded world of the individual and discrete policy initiative; but when it comes to the legal assessment of the Union’s concrete responses to those complex challenges, we lawyers remain entirely wedded to the bounded world – indeed, to a </w:t>
      </w:r>
      <w:r w:rsidR="005B04E9" w:rsidRPr="00245485">
        <w:rPr>
          <w:color w:val="000000" w:themeColor="text1"/>
        </w:rPr>
        <w:t xml:space="preserve">whole </w:t>
      </w:r>
      <w:r w:rsidRPr="00245485">
        <w:rPr>
          <w:color w:val="000000" w:themeColor="text1"/>
        </w:rPr>
        <w:t>series of bounded worlds – focused on each and every individual and discrete Union measure</w:t>
      </w:r>
      <w:r w:rsidR="00EE1713" w:rsidRPr="00245485">
        <w:rPr>
          <w:color w:val="000000" w:themeColor="text1"/>
        </w:rPr>
        <w:t xml:space="preserve"> as such</w:t>
      </w:r>
      <w:r w:rsidRPr="00245485">
        <w:rPr>
          <w:color w:val="000000" w:themeColor="text1"/>
        </w:rPr>
        <w:t xml:space="preserve">.  </w:t>
      </w:r>
    </w:p>
    <w:p w14:paraId="10FB5617" w14:textId="77777777" w:rsidR="00245485" w:rsidRDefault="00B42080" w:rsidP="00245485">
      <w:pPr>
        <w:ind w:firstLine="720"/>
        <w:jc w:val="both"/>
        <w:rPr>
          <w:color w:val="000000" w:themeColor="text1"/>
        </w:rPr>
      </w:pPr>
      <w:r w:rsidRPr="00245485">
        <w:rPr>
          <w:color w:val="000000" w:themeColor="text1"/>
        </w:rPr>
        <w:t xml:space="preserve">But even accepting that the emergence of complex policy packages has done nothing to change the fundamental act-by-act premiss of the </w:t>
      </w:r>
      <w:r w:rsidR="00C44382" w:rsidRPr="00245485">
        <w:rPr>
          <w:color w:val="000000" w:themeColor="text1"/>
        </w:rPr>
        <w:t xml:space="preserve">entire </w:t>
      </w:r>
      <w:r w:rsidRPr="00245485">
        <w:rPr>
          <w:color w:val="000000" w:themeColor="text1"/>
        </w:rPr>
        <w:t xml:space="preserve">system of conferral, </w:t>
      </w:r>
      <w:r w:rsidR="00EA5C40" w:rsidRPr="00245485">
        <w:rPr>
          <w:color w:val="000000" w:themeColor="text1"/>
        </w:rPr>
        <w:t xml:space="preserve">the question arises: how far do the more detailed legal tests that operate within the underlying framework of attributed powers, recognise and accommodate </w:t>
      </w:r>
      <w:r w:rsidRPr="00245485">
        <w:rPr>
          <w:color w:val="000000" w:themeColor="text1"/>
        </w:rPr>
        <w:t xml:space="preserve">the wider substantive and institutional context provided by the overall </w:t>
      </w:r>
      <w:r w:rsidR="000D2CCB" w:rsidRPr="00245485">
        <w:rPr>
          <w:color w:val="000000" w:themeColor="text1"/>
        </w:rPr>
        <w:t>settlement</w:t>
      </w:r>
      <w:r w:rsidR="00EA5C40" w:rsidRPr="00245485">
        <w:rPr>
          <w:color w:val="000000" w:themeColor="text1"/>
        </w:rPr>
        <w:t>,</w:t>
      </w:r>
      <w:r w:rsidRPr="00245485">
        <w:rPr>
          <w:color w:val="000000" w:themeColor="text1"/>
        </w:rPr>
        <w:t xml:space="preserve"> </w:t>
      </w:r>
      <w:r w:rsidR="00A71C00" w:rsidRPr="00245485">
        <w:rPr>
          <w:color w:val="000000" w:themeColor="text1"/>
        </w:rPr>
        <w:t xml:space="preserve">when it comes to </w:t>
      </w:r>
      <w:r w:rsidRPr="00245485">
        <w:rPr>
          <w:color w:val="000000" w:themeColor="text1"/>
        </w:rPr>
        <w:t>assessing the legality of any of its component measures as such</w:t>
      </w:r>
      <w:r w:rsidR="00EA5C40" w:rsidRPr="00245485">
        <w:rPr>
          <w:color w:val="000000" w:themeColor="text1"/>
        </w:rPr>
        <w:t>?</w:t>
      </w:r>
      <w:r w:rsidR="0091347E" w:rsidRPr="00245485">
        <w:rPr>
          <w:color w:val="000000" w:themeColor="text1"/>
        </w:rPr>
        <w:t xml:space="preserve">  In particular, we </w:t>
      </w:r>
      <w:r w:rsidRPr="00245485">
        <w:rPr>
          <w:color w:val="000000" w:themeColor="text1"/>
        </w:rPr>
        <w:t xml:space="preserve">know that </w:t>
      </w:r>
      <w:r w:rsidR="00CD31D9" w:rsidRPr="00245485">
        <w:rPr>
          <w:color w:val="000000" w:themeColor="text1"/>
        </w:rPr>
        <w:t xml:space="preserve">whether </w:t>
      </w:r>
      <w:r w:rsidR="00703DC4" w:rsidRPr="00245485">
        <w:rPr>
          <w:color w:val="000000" w:themeColor="text1"/>
        </w:rPr>
        <w:t xml:space="preserve">competence </w:t>
      </w:r>
      <w:r w:rsidR="00CD31D9" w:rsidRPr="00245485">
        <w:rPr>
          <w:color w:val="000000" w:themeColor="text1"/>
        </w:rPr>
        <w:t xml:space="preserve">exists, </w:t>
      </w:r>
      <w:r w:rsidR="00703DC4" w:rsidRPr="00245485">
        <w:rPr>
          <w:color w:val="000000" w:themeColor="text1"/>
        </w:rPr>
        <w:t xml:space="preserve">and </w:t>
      </w:r>
      <w:r w:rsidR="00CD31D9" w:rsidRPr="00245485">
        <w:rPr>
          <w:color w:val="000000" w:themeColor="text1"/>
        </w:rPr>
        <w:t xml:space="preserve">whether the correct </w:t>
      </w:r>
      <w:r w:rsidR="00703DC4" w:rsidRPr="00245485">
        <w:rPr>
          <w:color w:val="000000" w:themeColor="text1"/>
        </w:rPr>
        <w:t xml:space="preserve">legal basis </w:t>
      </w:r>
      <w:r w:rsidR="00CD31D9" w:rsidRPr="00245485">
        <w:rPr>
          <w:color w:val="000000" w:themeColor="text1"/>
        </w:rPr>
        <w:t xml:space="preserve">has been employed, </w:t>
      </w:r>
      <w:r w:rsidR="00254EFF" w:rsidRPr="00245485">
        <w:rPr>
          <w:color w:val="000000" w:themeColor="text1"/>
        </w:rPr>
        <w:t>are</w:t>
      </w:r>
      <w:r w:rsidR="00CD31D9" w:rsidRPr="00245485">
        <w:rPr>
          <w:color w:val="000000" w:themeColor="text1"/>
        </w:rPr>
        <w:t xml:space="preserve"> </w:t>
      </w:r>
      <w:r w:rsidRPr="00245485">
        <w:rPr>
          <w:color w:val="000000" w:themeColor="text1"/>
        </w:rPr>
        <w:t xml:space="preserve">to be </w:t>
      </w:r>
      <w:r w:rsidR="00703DC4" w:rsidRPr="00245485">
        <w:rPr>
          <w:color w:val="000000" w:themeColor="text1"/>
        </w:rPr>
        <w:t xml:space="preserve">determined </w:t>
      </w:r>
      <w:r w:rsidR="00254EFF" w:rsidRPr="00245485">
        <w:rPr>
          <w:color w:val="000000" w:themeColor="text1"/>
        </w:rPr>
        <w:t xml:space="preserve">by reference to the </w:t>
      </w:r>
      <w:r w:rsidRPr="00245485">
        <w:rPr>
          <w:color w:val="000000" w:themeColor="text1"/>
        </w:rPr>
        <w:t xml:space="preserve">disputed measure’s own </w:t>
      </w:r>
      <w:r w:rsidR="00703DC4" w:rsidRPr="00245485">
        <w:rPr>
          <w:color w:val="000000" w:themeColor="text1"/>
        </w:rPr>
        <w:t>aim and content</w:t>
      </w:r>
      <w:r w:rsidR="00C44382" w:rsidRPr="00245485">
        <w:rPr>
          <w:color w:val="000000" w:themeColor="text1"/>
        </w:rPr>
        <w:t xml:space="preserve"> judged against the specific legal basis under which it was purported</w:t>
      </w:r>
      <w:r w:rsidR="005B04E9" w:rsidRPr="00245485">
        <w:rPr>
          <w:color w:val="000000" w:themeColor="text1"/>
        </w:rPr>
        <w:t>ly</w:t>
      </w:r>
      <w:r w:rsidR="00C44382" w:rsidRPr="00245485">
        <w:rPr>
          <w:color w:val="000000" w:themeColor="text1"/>
        </w:rPr>
        <w:t xml:space="preserve"> adopted</w:t>
      </w:r>
      <w:r w:rsidR="00CD31D9" w:rsidRPr="00245485">
        <w:rPr>
          <w:color w:val="000000" w:themeColor="text1"/>
        </w:rPr>
        <w:t>.</w:t>
      </w:r>
      <w:r w:rsidR="004520E9" w:rsidRPr="00245485">
        <w:rPr>
          <w:rStyle w:val="FootnoteReference"/>
          <w:color w:val="000000" w:themeColor="text1"/>
        </w:rPr>
        <w:footnoteReference w:id="58"/>
      </w:r>
      <w:r w:rsidR="00CD31D9" w:rsidRPr="00245485">
        <w:rPr>
          <w:color w:val="000000" w:themeColor="text1"/>
        </w:rPr>
        <w:t xml:space="preserve"> </w:t>
      </w:r>
      <w:r w:rsidR="00A71C00" w:rsidRPr="00245485">
        <w:rPr>
          <w:color w:val="000000" w:themeColor="text1"/>
        </w:rPr>
        <w:t xml:space="preserve"> </w:t>
      </w:r>
      <w:r w:rsidR="0091347E" w:rsidRPr="00245485">
        <w:rPr>
          <w:color w:val="000000" w:themeColor="text1"/>
        </w:rPr>
        <w:t xml:space="preserve">But can we find any evidence in the available caselaw, that the Court will look also at the overall aims and extended content of the broader policy package, for the purposes of assessing how far any given component thereof remains within the legitimate bounds of Union competence?  Moreover, </w:t>
      </w:r>
      <w:r w:rsidR="006875B3" w:rsidRPr="00245485">
        <w:rPr>
          <w:color w:val="000000" w:themeColor="text1"/>
        </w:rPr>
        <w:t>we also know that the</w:t>
      </w:r>
      <w:r w:rsidR="00EF31AE" w:rsidRPr="00245485">
        <w:rPr>
          <w:color w:val="000000" w:themeColor="text1"/>
        </w:rPr>
        <w:t xml:space="preserve"> Court is willing to take into consideration </w:t>
      </w:r>
      <w:r w:rsidR="005B6679" w:rsidRPr="00245485">
        <w:rPr>
          <w:color w:val="000000" w:themeColor="text1"/>
        </w:rPr>
        <w:t xml:space="preserve">certain features related to </w:t>
      </w:r>
      <w:r w:rsidR="00EF31AE" w:rsidRPr="00245485">
        <w:rPr>
          <w:color w:val="000000" w:themeColor="text1"/>
        </w:rPr>
        <w:t xml:space="preserve">the wider </w:t>
      </w:r>
      <w:r w:rsidR="006875B3" w:rsidRPr="00245485">
        <w:rPr>
          <w:color w:val="000000" w:themeColor="text1"/>
        </w:rPr>
        <w:t>legal and policy</w:t>
      </w:r>
      <w:r w:rsidR="00EF31AE" w:rsidRPr="00245485">
        <w:rPr>
          <w:color w:val="000000" w:themeColor="text1"/>
        </w:rPr>
        <w:t xml:space="preserve"> context </w:t>
      </w:r>
      <w:r w:rsidR="006875B3" w:rsidRPr="00245485">
        <w:rPr>
          <w:color w:val="000000" w:themeColor="text1"/>
        </w:rPr>
        <w:t>prevailing at the time of the disputed act’s adoption</w:t>
      </w:r>
      <w:r w:rsidR="0091347E" w:rsidRPr="00245485">
        <w:rPr>
          <w:color w:val="000000" w:themeColor="text1"/>
        </w:rPr>
        <w:t xml:space="preserve">; though </w:t>
      </w:r>
      <w:r w:rsidR="006875B3" w:rsidRPr="00245485">
        <w:rPr>
          <w:color w:val="000000" w:themeColor="text1"/>
        </w:rPr>
        <w:t xml:space="preserve">in most of the decided cases, </w:t>
      </w:r>
      <w:r w:rsidR="0091347E" w:rsidRPr="00245485">
        <w:rPr>
          <w:color w:val="000000" w:themeColor="text1"/>
        </w:rPr>
        <w:t xml:space="preserve">that approach </w:t>
      </w:r>
      <w:r w:rsidR="006875B3" w:rsidRPr="00245485">
        <w:rPr>
          <w:color w:val="000000" w:themeColor="text1"/>
        </w:rPr>
        <w:t>is largely confined to situations in which the relevant measure builds upon an established regulatory framework, or amends / replaces some existing legal instrument</w:t>
      </w:r>
      <w:r w:rsidR="009045C8" w:rsidRPr="00245485">
        <w:rPr>
          <w:color w:val="000000" w:themeColor="text1"/>
        </w:rPr>
        <w:t xml:space="preserve"> etc</w:t>
      </w:r>
      <w:r w:rsidR="006875B3" w:rsidRPr="00245485">
        <w:rPr>
          <w:color w:val="000000" w:themeColor="text1"/>
        </w:rPr>
        <w:t>.</w:t>
      </w:r>
      <w:r w:rsidR="004520E9" w:rsidRPr="00245485">
        <w:rPr>
          <w:rStyle w:val="FootnoteReference"/>
          <w:color w:val="000000" w:themeColor="text1"/>
        </w:rPr>
        <w:footnoteReference w:id="59"/>
      </w:r>
      <w:r w:rsidR="006875B3" w:rsidRPr="00245485">
        <w:rPr>
          <w:color w:val="000000" w:themeColor="text1"/>
        </w:rPr>
        <w:t xml:space="preserve">  </w:t>
      </w:r>
      <w:r w:rsidR="009045C8" w:rsidRPr="00245485">
        <w:rPr>
          <w:color w:val="000000" w:themeColor="text1"/>
        </w:rPr>
        <w:t>But is</w:t>
      </w:r>
      <w:r w:rsidR="0091347E" w:rsidRPr="00245485">
        <w:rPr>
          <w:color w:val="000000" w:themeColor="text1"/>
        </w:rPr>
        <w:t xml:space="preserve"> there any evidence that </w:t>
      </w:r>
      <w:r w:rsidR="002330D7" w:rsidRPr="00245485">
        <w:rPr>
          <w:color w:val="000000" w:themeColor="text1"/>
        </w:rPr>
        <w:t xml:space="preserve">the Court will extend its </w:t>
      </w:r>
      <w:r w:rsidR="0091347E" w:rsidRPr="00245485">
        <w:rPr>
          <w:color w:val="000000" w:themeColor="text1"/>
        </w:rPr>
        <w:t xml:space="preserve">contextual analysis </w:t>
      </w:r>
      <w:r w:rsidR="002330D7" w:rsidRPr="00245485">
        <w:rPr>
          <w:color w:val="000000" w:themeColor="text1"/>
        </w:rPr>
        <w:t xml:space="preserve">to </w:t>
      </w:r>
      <w:r w:rsidR="0091347E" w:rsidRPr="00245485">
        <w:rPr>
          <w:color w:val="000000" w:themeColor="text1"/>
        </w:rPr>
        <w:t xml:space="preserve">include </w:t>
      </w:r>
      <w:r w:rsidR="002330D7" w:rsidRPr="00245485">
        <w:rPr>
          <w:color w:val="000000" w:themeColor="text1"/>
        </w:rPr>
        <w:t xml:space="preserve">the political realities that actively surrounded and shaped the disputed act’s proposal, negotiation and adoption as part of a broader package of interrelated and mutually dependent regulatory instruments?  </w:t>
      </w:r>
    </w:p>
    <w:p w14:paraId="2D87D681" w14:textId="7A678B2D" w:rsidR="00245485" w:rsidRDefault="00D00C16" w:rsidP="00245485">
      <w:pPr>
        <w:ind w:firstLine="720"/>
        <w:jc w:val="both"/>
        <w:rPr>
          <w:color w:val="000000" w:themeColor="text1"/>
        </w:rPr>
      </w:pPr>
      <w:r w:rsidRPr="00245485">
        <w:rPr>
          <w:color w:val="000000" w:themeColor="text1"/>
        </w:rPr>
        <w:t>In building answers to those questions, we need to be particularly wary of rushing to inappropriate conclusions based on limited as well as ambivalent sources.</w:t>
      </w:r>
    </w:p>
    <w:p w14:paraId="2B127E11" w14:textId="7F7B2EA2" w:rsidR="00E308BC" w:rsidRDefault="00E308BC" w:rsidP="00E308BC">
      <w:pPr>
        <w:jc w:val="both"/>
        <w:rPr>
          <w:color w:val="000000" w:themeColor="text1"/>
        </w:rPr>
      </w:pPr>
    </w:p>
    <w:p w14:paraId="33B9029A" w14:textId="5992A59D" w:rsidR="00E308BC" w:rsidRPr="00E308BC" w:rsidRDefault="00E308BC" w:rsidP="00E308BC">
      <w:pPr>
        <w:jc w:val="both"/>
        <w:rPr>
          <w:i/>
          <w:iCs/>
          <w:color w:val="000000" w:themeColor="text1"/>
        </w:rPr>
      </w:pPr>
      <w:r w:rsidRPr="00E308BC">
        <w:rPr>
          <w:i/>
          <w:iCs/>
          <w:color w:val="000000" w:themeColor="text1"/>
        </w:rPr>
        <w:t>4.</w:t>
      </w:r>
      <w:r>
        <w:rPr>
          <w:i/>
          <w:iCs/>
          <w:color w:val="000000" w:themeColor="text1"/>
        </w:rPr>
        <w:t>2</w:t>
      </w:r>
      <w:r w:rsidRPr="00E308BC">
        <w:rPr>
          <w:i/>
          <w:iCs/>
          <w:color w:val="000000" w:themeColor="text1"/>
        </w:rPr>
        <w:t xml:space="preserve"> </w:t>
      </w:r>
      <w:r>
        <w:rPr>
          <w:i/>
          <w:iCs/>
          <w:color w:val="000000" w:themeColor="text1"/>
        </w:rPr>
        <w:t>Limited judicial cognisance of the policy package as such</w:t>
      </w:r>
    </w:p>
    <w:p w14:paraId="78B60EA5" w14:textId="77777777" w:rsidR="00E308BC" w:rsidRDefault="00E308BC" w:rsidP="00E308BC">
      <w:pPr>
        <w:jc w:val="both"/>
        <w:rPr>
          <w:color w:val="000000" w:themeColor="text1"/>
        </w:rPr>
      </w:pPr>
    </w:p>
    <w:p w14:paraId="74776D1B" w14:textId="77777777" w:rsidR="00245485" w:rsidRDefault="004922D3" w:rsidP="00E308BC">
      <w:pPr>
        <w:jc w:val="both"/>
        <w:rPr>
          <w:color w:val="000000" w:themeColor="text1"/>
        </w:rPr>
      </w:pPr>
      <w:r w:rsidRPr="00245485">
        <w:rPr>
          <w:color w:val="000000" w:themeColor="text1"/>
        </w:rPr>
        <w:t xml:space="preserve">On the one hand, </w:t>
      </w:r>
      <w:r w:rsidR="00D36CDF" w:rsidRPr="00245485">
        <w:rPr>
          <w:color w:val="000000" w:themeColor="text1"/>
        </w:rPr>
        <w:t xml:space="preserve">it is true that </w:t>
      </w:r>
      <w:r w:rsidR="001D2519" w:rsidRPr="00245485">
        <w:rPr>
          <w:color w:val="000000" w:themeColor="text1"/>
        </w:rPr>
        <w:t xml:space="preserve">the Court has not explicitly </w:t>
      </w:r>
      <w:r w:rsidR="001D2519" w:rsidRPr="00245485">
        <w:rPr>
          <w:i/>
          <w:iCs/>
          <w:color w:val="000000" w:themeColor="text1"/>
        </w:rPr>
        <w:t>excluded</w:t>
      </w:r>
      <w:r w:rsidR="001D2519" w:rsidRPr="00245485">
        <w:rPr>
          <w:color w:val="000000" w:themeColor="text1"/>
        </w:rPr>
        <w:t xml:space="preserve"> the relevance of policy packages, for the purposes of assessing the aims and content of a disputed act.  </w:t>
      </w:r>
      <w:r w:rsidR="00D00C16" w:rsidRPr="00245485">
        <w:rPr>
          <w:color w:val="000000" w:themeColor="text1"/>
        </w:rPr>
        <w:t xml:space="preserve">On the contrary: </w:t>
      </w:r>
      <w:r w:rsidR="001D2519" w:rsidRPr="00245485">
        <w:rPr>
          <w:color w:val="000000" w:themeColor="text1"/>
        </w:rPr>
        <w:t xml:space="preserve">the current formulation of the tests used to determine competence-compliance is </w:t>
      </w:r>
      <w:r w:rsidR="00D00C16" w:rsidRPr="00245485">
        <w:rPr>
          <w:color w:val="000000" w:themeColor="text1"/>
        </w:rPr>
        <w:t xml:space="preserve">surely </w:t>
      </w:r>
      <w:r w:rsidR="001D2519" w:rsidRPr="00245485">
        <w:rPr>
          <w:color w:val="000000" w:themeColor="text1"/>
        </w:rPr>
        <w:t xml:space="preserve">broad enough to allow the Court </w:t>
      </w:r>
      <w:r w:rsidR="00D00C16" w:rsidRPr="00245485">
        <w:rPr>
          <w:color w:val="000000" w:themeColor="text1"/>
        </w:rPr>
        <w:t xml:space="preserve">(if so inclined) </w:t>
      </w:r>
      <w:r w:rsidR="001D2519" w:rsidRPr="00245485">
        <w:rPr>
          <w:color w:val="000000" w:themeColor="text1"/>
        </w:rPr>
        <w:t>to take into account the prevailing legal and policy context that influenced the disputed measure’s adoption as part of a complex multi-instrument policy response.</w:t>
      </w:r>
      <w:r w:rsidR="001D2519" w:rsidRPr="00245485">
        <w:rPr>
          <w:rStyle w:val="FootnoteReference"/>
          <w:color w:val="000000" w:themeColor="text1"/>
        </w:rPr>
        <w:footnoteReference w:id="60"/>
      </w:r>
      <w:r w:rsidR="001D2519" w:rsidRPr="00245485">
        <w:rPr>
          <w:color w:val="000000" w:themeColor="text1"/>
        </w:rPr>
        <w:t xml:space="preserve">  And indeed, there are several judgments to suggest that – </w:t>
      </w:r>
      <w:r w:rsidR="000A0159" w:rsidRPr="00245485">
        <w:rPr>
          <w:color w:val="000000" w:themeColor="text1"/>
        </w:rPr>
        <w:t>even if the fundamental act-by-act premiss of the legal framework governing conferral still reigns supreme</w:t>
      </w:r>
      <w:r w:rsidR="001D2519" w:rsidRPr="00245485">
        <w:rPr>
          <w:color w:val="000000" w:themeColor="text1"/>
        </w:rPr>
        <w:t xml:space="preserve"> </w:t>
      </w:r>
      <w:r w:rsidR="001D2519" w:rsidRPr="00245485">
        <w:rPr>
          <w:color w:val="000000" w:themeColor="text1"/>
        </w:rPr>
        <w:lastRenderedPageBreak/>
        <w:t xml:space="preserve">– the Court has already opened up </w:t>
      </w:r>
      <w:r w:rsidR="000A0159" w:rsidRPr="00245485">
        <w:rPr>
          <w:color w:val="000000" w:themeColor="text1"/>
        </w:rPr>
        <w:t xml:space="preserve">a promising entry point for policy packages to find a more secure place and influential role within </w:t>
      </w:r>
      <w:r w:rsidR="001D2519" w:rsidRPr="00245485">
        <w:rPr>
          <w:color w:val="000000" w:themeColor="text1"/>
        </w:rPr>
        <w:t xml:space="preserve">its </w:t>
      </w:r>
      <w:r w:rsidR="000A0159" w:rsidRPr="00245485">
        <w:rPr>
          <w:color w:val="000000" w:themeColor="text1"/>
        </w:rPr>
        <w:t xml:space="preserve">analysis.  </w:t>
      </w:r>
    </w:p>
    <w:p w14:paraId="4F372E78" w14:textId="77777777" w:rsidR="00245485" w:rsidRDefault="0068345E" w:rsidP="00245485">
      <w:pPr>
        <w:ind w:firstLine="720"/>
        <w:jc w:val="both"/>
        <w:rPr>
          <w:color w:val="000000" w:themeColor="text1"/>
        </w:rPr>
      </w:pPr>
      <w:r w:rsidRPr="00245485">
        <w:rPr>
          <w:color w:val="000000" w:themeColor="text1"/>
        </w:rPr>
        <w:t xml:space="preserve">Consider the </w:t>
      </w:r>
      <w:r w:rsidR="002330D7" w:rsidRPr="00245485">
        <w:rPr>
          <w:color w:val="000000" w:themeColor="text1"/>
        </w:rPr>
        <w:t>judgment</w:t>
      </w:r>
      <w:r w:rsidRPr="00245485">
        <w:rPr>
          <w:color w:val="000000" w:themeColor="text1"/>
        </w:rPr>
        <w:t xml:space="preserve"> in </w:t>
      </w:r>
      <w:r w:rsidRPr="00245485">
        <w:rPr>
          <w:i/>
          <w:iCs/>
          <w:color w:val="000000" w:themeColor="text1"/>
        </w:rPr>
        <w:t>Ship Source Pollution</w:t>
      </w:r>
      <w:r w:rsidR="009709AC" w:rsidRPr="00245485">
        <w:rPr>
          <w:color w:val="000000" w:themeColor="text1"/>
        </w:rPr>
        <w:t xml:space="preserve"> </w:t>
      </w:r>
      <w:r w:rsidR="00715FD1" w:rsidRPr="00245485">
        <w:rPr>
          <w:color w:val="000000" w:themeColor="text1"/>
        </w:rPr>
        <w:t xml:space="preserve">– </w:t>
      </w:r>
      <w:r w:rsidR="000A0159" w:rsidRPr="00245485">
        <w:rPr>
          <w:color w:val="000000" w:themeColor="text1"/>
        </w:rPr>
        <w:t xml:space="preserve">a dispute </w:t>
      </w:r>
      <w:r w:rsidRPr="00245485">
        <w:rPr>
          <w:color w:val="000000" w:themeColor="text1"/>
        </w:rPr>
        <w:t>pre</w:t>
      </w:r>
      <w:r w:rsidR="002330D7" w:rsidRPr="00245485">
        <w:rPr>
          <w:color w:val="000000" w:themeColor="text1"/>
        </w:rPr>
        <w:t>dat</w:t>
      </w:r>
      <w:r w:rsidR="00234021" w:rsidRPr="00245485">
        <w:rPr>
          <w:color w:val="000000" w:themeColor="text1"/>
        </w:rPr>
        <w:t>ing</w:t>
      </w:r>
      <w:r w:rsidR="002330D7" w:rsidRPr="00245485">
        <w:rPr>
          <w:color w:val="000000" w:themeColor="text1"/>
        </w:rPr>
        <w:t xml:space="preserve"> </w:t>
      </w:r>
      <w:r w:rsidR="00715FD1" w:rsidRPr="00245485">
        <w:rPr>
          <w:color w:val="000000" w:themeColor="text1"/>
        </w:rPr>
        <w:t>the Lisbon Treaty’s demolition of the old Community-Union pillars</w:t>
      </w:r>
      <w:r w:rsidRPr="00245485">
        <w:rPr>
          <w:color w:val="000000" w:themeColor="text1"/>
        </w:rPr>
        <w:t>.</w:t>
      </w:r>
      <w:r w:rsidR="004520E9" w:rsidRPr="00245485">
        <w:rPr>
          <w:rStyle w:val="FootnoteReference"/>
          <w:color w:val="000000" w:themeColor="text1"/>
        </w:rPr>
        <w:footnoteReference w:id="61"/>
      </w:r>
      <w:r w:rsidRPr="00245485">
        <w:rPr>
          <w:color w:val="000000" w:themeColor="text1"/>
        </w:rPr>
        <w:t xml:space="preserve">  </w:t>
      </w:r>
      <w:r w:rsidR="00715FD1" w:rsidRPr="00245485">
        <w:rPr>
          <w:color w:val="000000" w:themeColor="text1"/>
        </w:rPr>
        <w:t xml:space="preserve">The case concerned </w:t>
      </w:r>
      <w:r w:rsidR="001919C5" w:rsidRPr="00245485">
        <w:rPr>
          <w:color w:val="000000" w:themeColor="text1"/>
        </w:rPr>
        <w:t>Framework Decision 2005/667 on the introduction of criminal law offences and penalties in respect of ship source pollution – specifically intended to supplement the provisions of Directive 2005/35 on strengthening maritime safety and environmental protection.</w:t>
      </w:r>
      <w:r w:rsidR="00C735B7" w:rsidRPr="00245485">
        <w:rPr>
          <w:rStyle w:val="FootnoteReference"/>
          <w:color w:val="000000" w:themeColor="text1"/>
        </w:rPr>
        <w:footnoteReference w:id="62"/>
      </w:r>
      <w:r w:rsidR="001919C5" w:rsidRPr="00245485">
        <w:rPr>
          <w:color w:val="000000" w:themeColor="text1"/>
        </w:rPr>
        <w:t xml:space="preserve">  </w:t>
      </w:r>
      <w:r w:rsidR="00715FD1" w:rsidRPr="00245485">
        <w:rPr>
          <w:color w:val="000000" w:themeColor="text1"/>
        </w:rPr>
        <w:t>The two measures were a</w:t>
      </w:r>
      <w:r w:rsidR="001919C5" w:rsidRPr="00245485">
        <w:rPr>
          <w:color w:val="000000" w:themeColor="text1"/>
        </w:rPr>
        <w:t xml:space="preserve">dopted </w:t>
      </w:r>
      <w:r w:rsidR="00715FD1" w:rsidRPr="00245485">
        <w:rPr>
          <w:color w:val="000000" w:themeColor="text1"/>
        </w:rPr>
        <w:t xml:space="preserve">by the Council </w:t>
      </w:r>
      <w:r w:rsidR="001919C5" w:rsidRPr="00245485">
        <w:rPr>
          <w:color w:val="000000" w:themeColor="text1"/>
        </w:rPr>
        <w:t xml:space="preserve">in swift succession, even if not quite simultaneously, </w:t>
      </w:r>
      <w:r w:rsidR="00715FD1" w:rsidRPr="00245485">
        <w:rPr>
          <w:color w:val="000000" w:themeColor="text1"/>
        </w:rPr>
        <w:t xml:space="preserve">and were </w:t>
      </w:r>
      <w:r w:rsidR="001919C5" w:rsidRPr="00245485">
        <w:rPr>
          <w:color w:val="000000" w:themeColor="text1"/>
        </w:rPr>
        <w:t xml:space="preserve">certainly designed </w:t>
      </w:r>
      <w:r w:rsidR="00715FD1" w:rsidRPr="00245485">
        <w:rPr>
          <w:color w:val="000000" w:themeColor="text1"/>
        </w:rPr>
        <w:t xml:space="preserve">to work together as a single legislative package.  However, the Commission argued that the legal bases available under the Community pillar provided sufficient competence to adopt the entire regulatory initiative; by carving out its </w:t>
      </w:r>
      <w:r w:rsidR="009709AC" w:rsidRPr="00245485">
        <w:rPr>
          <w:color w:val="000000" w:themeColor="text1"/>
        </w:rPr>
        <w:t xml:space="preserve">specifically </w:t>
      </w:r>
      <w:r w:rsidR="00715FD1" w:rsidRPr="00245485">
        <w:rPr>
          <w:color w:val="000000" w:themeColor="text1"/>
        </w:rPr>
        <w:t>criminal elements and adopting them separately under the Union pillar, the Council had infringed the “Community preference” rule that governed the choice of legal bases in such situations.</w:t>
      </w:r>
      <w:r w:rsidR="00F41833" w:rsidRPr="00245485">
        <w:rPr>
          <w:color w:val="000000" w:themeColor="text1"/>
        </w:rPr>
        <w:t xml:space="preserve">  The Court found that Framework Decision 2005/667 impinged upon the Community pillar only insofar as it required the introduction of certain criminal offences;</w:t>
      </w:r>
      <w:r w:rsidR="00AD182F" w:rsidRPr="00245485">
        <w:rPr>
          <w:rStyle w:val="FootnoteReference"/>
          <w:color w:val="000000" w:themeColor="text1"/>
        </w:rPr>
        <w:footnoteReference w:id="63"/>
      </w:r>
      <w:r w:rsidR="00F41833" w:rsidRPr="00245485">
        <w:rPr>
          <w:color w:val="000000" w:themeColor="text1"/>
        </w:rPr>
        <w:t xml:space="preserve"> by contrast, the power to prescribe </w:t>
      </w:r>
      <w:r w:rsidR="009709AC" w:rsidRPr="00245485">
        <w:rPr>
          <w:color w:val="000000" w:themeColor="text1"/>
        </w:rPr>
        <w:t xml:space="preserve">more </w:t>
      </w:r>
      <w:r w:rsidR="00F41833" w:rsidRPr="00245485">
        <w:rPr>
          <w:color w:val="000000" w:themeColor="text1"/>
        </w:rPr>
        <w:t>specific types and levels of criminal penalties was rightly reserved to the Union pillar.</w:t>
      </w:r>
      <w:r w:rsidR="00F41833" w:rsidRPr="00245485">
        <w:rPr>
          <w:rStyle w:val="FootnoteReference"/>
          <w:color w:val="000000" w:themeColor="text1"/>
        </w:rPr>
        <w:footnoteReference w:id="64"/>
      </w:r>
      <w:r w:rsidR="00F41833" w:rsidRPr="00245485">
        <w:rPr>
          <w:color w:val="000000" w:themeColor="text1"/>
        </w:rPr>
        <w:t xml:space="preserve">  Given that the entire dispute centred on the Council’s “double text” approach towards enforcing </w:t>
      </w:r>
      <w:r w:rsidR="00D00C16" w:rsidRPr="00245485">
        <w:rPr>
          <w:color w:val="000000" w:themeColor="text1"/>
        </w:rPr>
        <w:t xml:space="preserve">Community </w:t>
      </w:r>
      <w:r w:rsidR="00F41833" w:rsidRPr="00245485">
        <w:rPr>
          <w:color w:val="000000" w:themeColor="text1"/>
        </w:rPr>
        <w:t xml:space="preserve">substantive policies through </w:t>
      </w:r>
      <w:r w:rsidR="00D00C16" w:rsidRPr="00245485">
        <w:rPr>
          <w:color w:val="000000" w:themeColor="text1"/>
        </w:rPr>
        <w:t xml:space="preserve">Union </w:t>
      </w:r>
      <w:r w:rsidR="00F41833" w:rsidRPr="00245485">
        <w:rPr>
          <w:color w:val="000000" w:themeColor="text1"/>
        </w:rPr>
        <w:t>criminal penalties, it is unsurprising to find that the Court highlighted the close relationship between the subject matters</w:t>
      </w:r>
      <w:r w:rsidR="008D02C7" w:rsidRPr="00245485">
        <w:rPr>
          <w:color w:val="000000" w:themeColor="text1"/>
        </w:rPr>
        <w:t>,</w:t>
      </w:r>
      <w:r w:rsidR="00F41833" w:rsidRPr="00245485">
        <w:rPr>
          <w:color w:val="000000" w:themeColor="text1"/>
        </w:rPr>
        <w:t xml:space="preserve"> and the cross references between the texts</w:t>
      </w:r>
      <w:r w:rsidR="008D02C7" w:rsidRPr="00245485">
        <w:rPr>
          <w:color w:val="000000" w:themeColor="text1"/>
        </w:rPr>
        <w:t>,</w:t>
      </w:r>
      <w:r w:rsidR="00F41833" w:rsidRPr="00245485">
        <w:rPr>
          <w:color w:val="000000" w:themeColor="text1"/>
        </w:rPr>
        <w:t xml:space="preserve"> of </w:t>
      </w:r>
      <w:r w:rsidR="008D02C7" w:rsidRPr="00245485">
        <w:rPr>
          <w:color w:val="000000" w:themeColor="text1"/>
        </w:rPr>
        <w:t xml:space="preserve">both Framework Decision 2005/667 and Directive 2005/35.  But for our purposes, </w:t>
      </w:r>
      <w:r w:rsidR="008D02C7" w:rsidRPr="00245485">
        <w:rPr>
          <w:i/>
          <w:iCs/>
          <w:color w:val="000000" w:themeColor="text1"/>
        </w:rPr>
        <w:t>Ship Source Pollution</w:t>
      </w:r>
      <w:r w:rsidR="008D02C7" w:rsidRPr="00245485">
        <w:rPr>
          <w:color w:val="000000" w:themeColor="text1"/>
        </w:rPr>
        <w:t xml:space="preserve"> still provides concrete evidence that judicial consideration of a disputed act’s broader legal and policy context can indeed extend to acknowledging its status as one component measure within an integrated (albeit small scale) policy package.</w:t>
      </w:r>
    </w:p>
    <w:p w14:paraId="044F95E3" w14:textId="69E86847" w:rsidR="00245485" w:rsidRDefault="001D2519" w:rsidP="00245485">
      <w:pPr>
        <w:ind w:firstLine="720"/>
        <w:jc w:val="both"/>
        <w:rPr>
          <w:color w:val="000000" w:themeColor="text1"/>
        </w:rPr>
      </w:pPr>
      <w:r w:rsidRPr="00245485">
        <w:rPr>
          <w:color w:val="000000" w:themeColor="text1"/>
        </w:rPr>
        <w:t xml:space="preserve">The ruling in </w:t>
      </w:r>
      <w:r w:rsidRPr="00245485">
        <w:rPr>
          <w:i/>
          <w:iCs/>
          <w:color w:val="000000" w:themeColor="text1"/>
        </w:rPr>
        <w:t>Pringle</w:t>
      </w:r>
      <w:r w:rsidRPr="00245485">
        <w:rPr>
          <w:color w:val="000000" w:themeColor="text1"/>
        </w:rPr>
        <w:t xml:space="preserve"> </w:t>
      </w:r>
      <w:r w:rsidR="00234021" w:rsidRPr="00245485">
        <w:rPr>
          <w:color w:val="000000" w:themeColor="text1"/>
        </w:rPr>
        <w:t xml:space="preserve">offers </w:t>
      </w:r>
      <w:r w:rsidRPr="00245485">
        <w:rPr>
          <w:color w:val="000000" w:themeColor="text1"/>
        </w:rPr>
        <w:t xml:space="preserve">another </w:t>
      </w:r>
      <w:r w:rsidR="002330D7" w:rsidRPr="00245485">
        <w:rPr>
          <w:color w:val="000000" w:themeColor="text1"/>
        </w:rPr>
        <w:t xml:space="preserve">brief yet significant glimpse </w:t>
      </w:r>
      <w:r w:rsidR="00234021" w:rsidRPr="00245485">
        <w:rPr>
          <w:color w:val="000000" w:themeColor="text1"/>
        </w:rPr>
        <w:t xml:space="preserve">into </w:t>
      </w:r>
      <w:r w:rsidR="002330D7" w:rsidRPr="00245485">
        <w:rPr>
          <w:color w:val="000000" w:themeColor="text1"/>
        </w:rPr>
        <w:t>how</w:t>
      </w:r>
      <w:r w:rsidR="00B637C7" w:rsidRPr="00245485">
        <w:rPr>
          <w:color w:val="000000" w:themeColor="text1"/>
        </w:rPr>
        <w:t xml:space="preserve"> – even though the focus of competence analysis remains the individual and discrete Union act – the latter’s relationship to a wider package of closely related policy instruments can nevertheless be taken into account as relevant contextual information </w:t>
      </w:r>
      <w:r w:rsidR="002330D7" w:rsidRPr="00245485">
        <w:rPr>
          <w:color w:val="000000" w:themeColor="text1"/>
        </w:rPr>
        <w:t>that explicitly informs litigation over compliance with the principle of conferral</w:t>
      </w:r>
      <w:r w:rsidR="00234021" w:rsidRPr="00245485">
        <w:rPr>
          <w:color w:val="000000" w:themeColor="text1"/>
        </w:rPr>
        <w:t>.</w:t>
      </w:r>
      <w:r w:rsidRPr="00245485">
        <w:rPr>
          <w:rStyle w:val="FootnoteReference"/>
          <w:color w:val="000000" w:themeColor="text1"/>
        </w:rPr>
        <w:footnoteReference w:id="65"/>
      </w:r>
      <w:r w:rsidR="00234021" w:rsidRPr="00245485">
        <w:rPr>
          <w:color w:val="000000" w:themeColor="text1"/>
        </w:rPr>
        <w:t xml:space="preserve">  </w:t>
      </w:r>
      <w:r w:rsidR="00E320CE" w:rsidRPr="00245485">
        <w:rPr>
          <w:color w:val="000000" w:themeColor="text1"/>
        </w:rPr>
        <w:t xml:space="preserve">As is well known, the Court was called upon to determine whether the European Council could </w:t>
      </w:r>
      <w:r w:rsidR="009A38C8" w:rsidRPr="00245485">
        <w:rPr>
          <w:color w:val="000000" w:themeColor="text1"/>
        </w:rPr>
        <w:t xml:space="preserve">validly </w:t>
      </w:r>
      <w:r w:rsidR="00E320CE" w:rsidRPr="00245485">
        <w:rPr>
          <w:color w:val="000000" w:themeColor="text1"/>
        </w:rPr>
        <w:t xml:space="preserve">adopt a decision amending the Treaties (via a simplified revision procedure) so as to recognise the power of the Member States </w:t>
      </w:r>
      <w:r w:rsidR="009A38C8" w:rsidRPr="00245485">
        <w:rPr>
          <w:color w:val="000000" w:themeColor="text1"/>
        </w:rPr>
        <w:t xml:space="preserve">whose currency is the euro </w:t>
      </w:r>
      <w:r w:rsidR="00E320CE" w:rsidRPr="00245485">
        <w:rPr>
          <w:color w:val="000000" w:themeColor="text1"/>
        </w:rPr>
        <w:t>to establish a permanent stability mechanism</w:t>
      </w:r>
      <w:r w:rsidR="009A38C8" w:rsidRPr="00245485">
        <w:rPr>
          <w:color w:val="000000" w:themeColor="text1"/>
        </w:rPr>
        <w:t xml:space="preserve"> providing financial assistance subject to strict conditionality</w:t>
      </w:r>
      <w:r w:rsidR="00E320CE" w:rsidRPr="00245485">
        <w:rPr>
          <w:color w:val="000000" w:themeColor="text1"/>
        </w:rPr>
        <w:t>.</w:t>
      </w:r>
      <w:r w:rsidR="002E1877" w:rsidRPr="00245485">
        <w:rPr>
          <w:rStyle w:val="FootnoteReference"/>
          <w:color w:val="000000" w:themeColor="text1"/>
        </w:rPr>
        <w:footnoteReference w:id="66"/>
      </w:r>
      <w:r w:rsidR="00E320CE" w:rsidRPr="00245485">
        <w:rPr>
          <w:color w:val="000000" w:themeColor="text1"/>
        </w:rPr>
        <w:t xml:space="preserve">  </w:t>
      </w:r>
      <w:r w:rsidR="009A38C8" w:rsidRPr="00245485">
        <w:rPr>
          <w:color w:val="000000" w:themeColor="text1"/>
        </w:rPr>
        <w:t xml:space="preserve">To settle that question, the Court had to decide whether establishment of the </w:t>
      </w:r>
      <w:r w:rsidR="00E320CE" w:rsidRPr="00245485">
        <w:rPr>
          <w:color w:val="000000" w:themeColor="text1"/>
        </w:rPr>
        <w:t xml:space="preserve">European Stability Mechanism related to economic </w:t>
      </w:r>
      <w:r w:rsidR="009A38C8" w:rsidRPr="00245485">
        <w:rPr>
          <w:color w:val="000000" w:themeColor="text1"/>
        </w:rPr>
        <w:t>policy</w:t>
      </w:r>
      <w:r w:rsidR="00E320CE" w:rsidRPr="00245485">
        <w:rPr>
          <w:color w:val="000000" w:themeColor="text1"/>
        </w:rPr>
        <w:t xml:space="preserve">, </w:t>
      </w:r>
      <w:r w:rsidR="009A38C8" w:rsidRPr="00245485">
        <w:rPr>
          <w:color w:val="000000" w:themeColor="text1"/>
        </w:rPr>
        <w:t xml:space="preserve">or instead fell within </w:t>
      </w:r>
      <w:r w:rsidR="00E320CE" w:rsidRPr="00245485">
        <w:rPr>
          <w:color w:val="000000" w:themeColor="text1"/>
        </w:rPr>
        <w:t xml:space="preserve">the </w:t>
      </w:r>
      <w:r w:rsidR="009A38C8" w:rsidRPr="00245485">
        <w:rPr>
          <w:color w:val="000000" w:themeColor="text1"/>
        </w:rPr>
        <w:t xml:space="preserve">scope of the </w:t>
      </w:r>
      <w:r w:rsidR="00E320CE" w:rsidRPr="00245485">
        <w:rPr>
          <w:color w:val="000000" w:themeColor="text1"/>
        </w:rPr>
        <w:t xml:space="preserve">Union’s exclusive competence </w:t>
      </w:r>
      <w:r w:rsidR="009A38C8" w:rsidRPr="00245485">
        <w:rPr>
          <w:color w:val="000000" w:themeColor="text1"/>
        </w:rPr>
        <w:t xml:space="preserve">over </w:t>
      </w:r>
      <w:r w:rsidR="00E320CE" w:rsidRPr="00245485">
        <w:rPr>
          <w:color w:val="000000" w:themeColor="text1"/>
        </w:rPr>
        <w:t>monetary policy</w:t>
      </w:r>
      <w:r w:rsidR="009A38C8" w:rsidRPr="00245485">
        <w:rPr>
          <w:color w:val="000000" w:themeColor="text1"/>
        </w:rPr>
        <w:t>.</w:t>
      </w:r>
      <w:r w:rsidR="00491FD0" w:rsidRPr="00245485">
        <w:rPr>
          <w:rStyle w:val="FootnoteReference"/>
          <w:color w:val="000000" w:themeColor="text1"/>
        </w:rPr>
        <w:footnoteReference w:id="67"/>
      </w:r>
      <w:r w:rsidR="009A38C8" w:rsidRPr="00245485">
        <w:rPr>
          <w:color w:val="000000" w:themeColor="text1"/>
        </w:rPr>
        <w:t xml:space="preserve">  In concluding that the matter related to economic (not monetary) policy, the Court took into account not only the ESM’s own aims and </w:t>
      </w:r>
      <w:r w:rsidR="00F07B7B" w:rsidRPr="00245485">
        <w:rPr>
          <w:color w:val="000000" w:themeColor="text1"/>
        </w:rPr>
        <w:t xml:space="preserve">available </w:t>
      </w:r>
      <w:r w:rsidR="009A38C8" w:rsidRPr="00245485">
        <w:rPr>
          <w:color w:val="000000" w:themeColor="text1"/>
        </w:rPr>
        <w:t xml:space="preserve">instruments, </w:t>
      </w:r>
      <w:r w:rsidR="007A3C23" w:rsidRPr="00245485">
        <w:rPr>
          <w:color w:val="000000" w:themeColor="text1"/>
        </w:rPr>
        <w:t xml:space="preserve">and the </w:t>
      </w:r>
      <w:r w:rsidR="009A38C8" w:rsidRPr="00245485">
        <w:rPr>
          <w:color w:val="000000" w:themeColor="text1"/>
        </w:rPr>
        <w:t>close links that exist</w:t>
      </w:r>
      <w:r w:rsidR="00F07B7B" w:rsidRPr="00245485">
        <w:rPr>
          <w:color w:val="000000" w:themeColor="text1"/>
        </w:rPr>
        <w:t>ed</w:t>
      </w:r>
      <w:r w:rsidR="009A38C8" w:rsidRPr="00245485">
        <w:rPr>
          <w:color w:val="000000" w:themeColor="text1"/>
        </w:rPr>
        <w:t xml:space="preserve"> between the </w:t>
      </w:r>
      <w:r w:rsidR="009A38C8" w:rsidRPr="00245485">
        <w:rPr>
          <w:color w:val="000000" w:themeColor="text1"/>
        </w:rPr>
        <w:lastRenderedPageBreak/>
        <w:t xml:space="preserve">ESM and the Union’s primary law framework on </w:t>
      </w:r>
      <w:r w:rsidR="00F07B7B" w:rsidRPr="00245485">
        <w:rPr>
          <w:color w:val="000000" w:themeColor="text1"/>
        </w:rPr>
        <w:t xml:space="preserve">the coordination of Member State </w:t>
      </w:r>
      <w:r w:rsidR="009A38C8" w:rsidRPr="00245485">
        <w:rPr>
          <w:color w:val="000000" w:themeColor="text1"/>
        </w:rPr>
        <w:t>economic polic</w:t>
      </w:r>
      <w:r w:rsidR="00F07B7B" w:rsidRPr="00245485">
        <w:rPr>
          <w:color w:val="000000" w:themeColor="text1"/>
        </w:rPr>
        <w:t>ies</w:t>
      </w:r>
      <w:r w:rsidR="009A38C8" w:rsidRPr="00245485">
        <w:rPr>
          <w:color w:val="000000" w:themeColor="text1"/>
        </w:rPr>
        <w:t xml:space="preserve">, </w:t>
      </w:r>
      <w:r w:rsidR="007A3C23" w:rsidRPr="00245485">
        <w:rPr>
          <w:color w:val="000000" w:themeColor="text1"/>
        </w:rPr>
        <w:t xml:space="preserve">but also </w:t>
      </w:r>
      <w:r w:rsidR="00F07B7B" w:rsidRPr="00245485">
        <w:rPr>
          <w:color w:val="000000" w:themeColor="text1"/>
        </w:rPr>
        <w:t xml:space="preserve">the ESM’s equally close relationship to </w:t>
      </w:r>
      <w:r w:rsidR="00E320CE" w:rsidRPr="00245485">
        <w:rPr>
          <w:color w:val="000000" w:themeColor="text1"/>
        </w:rPr>
        <w:t xml:space="preserve">the Union’s </w:t>
      </w:r>
      <w:r w:rsidR="009A38C8" w:rsidRPr="00245485">
        <w:rPr>
          <w:color w:val="000000" w:themeColor="text1"/>
        </w:rPr>
        <w:t xml:space="preserve">new </w:t>
      </w:r>
      <w:r w:rsidR="00E320CE" w:rsidRPr="00245485">
        <w:rPr>
          <w:color w:val="000000" w:themeColor="text1"/>
        </w:rPr>
        <w:t xml:space="preserve">regulatory </w:t>
      </w:r>
      <w:r w:rsidR="009A38C8" w:rsidRPr="00245485">
        <w:rPr>
          <w:color w:val="000000" w:themeColor="text1"/>
        </w:rPr>
        <w:t>framework for strengthened economic governance</w:t>
      </w:r>
      <w:r w:rsidR="00F07B7B" w:rsidRPr="00245485">
        <w:rPr>
          <w:color w:val="000000" w:themeColor="text1"/>
        </w:rPr>
        <w:t xml:space="preserve">.  In particular, the </w:t>
      </w:r>
      <w:r w:rsidR="007A3C23" w:rsidRPr="00245485">
        <w:rPr>
          <w:color w:val="000000" w:themeColor="text1"/>
        </w:rPr>
        <w:t xml:space="preserve">Court noted that the </w:t>
      </w:r>
      <w:r w:rsidR="00F07B7B" w:rsidRPr="00245485">
        <w:rPr>
          <w:color w:val="000000" w:themeColor="text1"/>
        </w:rPr>
        <w:t>ESM was specifically intended to complement the Union’s internal “Six Pack” reforms by providing corrective (rather than purely preventive) means to manage (not just avoid) public debt crises</w:t>
      </w:r>
      <w:r w:rsidR="00A46575" w:rsidRPr="00245485">
        <w:rPr>
          <w:color w:val="000000" w:themeColor="text1"/>
        </w:rPr>
        <w:t xml:space="preserve"> – making explicit reference in that regard to the European Council conclusions of 16-17 December 2010, in which those (and indeed, other) elements of the Union’s multi-pronged initiative to address the </w:t>
      </w:r>
      <w:proofErr w:type="spellStart"/>
      <w:r w:rsidR="00A46575" w:rsidRPr="00245485">
        <w:rPr>
          <w:color w:val="000000" w:themeColor="text1"/>
        </w:rPr>
        <w:t>Eurocrisis</w:t>
      </w:r>
      <w:proofErr w:type="spellEnd"/>
      <w:r w:rsidR="00A46575" w:rsidRPr="00245485">
        <w:rPr>
          <w:color w:val="000000" w:themeColor="text1"/>
        </w:rPr>
        <w:t xml:space="preserve"> were explicitly linked and progressed together</w:t>
      </w:r>
      <w:r w:rsidR="00E320CE" w:rsidRPr="00245485">
        <w:rPr>
          <w:color w:val="000000" w:themeColor="text1"/>
        </w:rPr>
        <w:t>.</w:t>
      </w:r>
      <w:r w:rsidR="004520E9" w:rsidRPr="00245485">
        <w:rPr>
          <w:rStyle w:val="FootnoteReference"/>
          <w:color w:val="000000" w:themeColor="text1"/>
        </w:rPr>
        <w:footnoteReference w:id="68"/>
      </w:r>
      <w:r w:rsidR="00E320CE" w:rsidRPr="00245485">
        <w:rPr>
          <w:color w:val="000000" w:themeColor="text1"/>
        </w:rPr>
        <w:t xml:space="preserve">  </w:t>
      </w:r>
      <w:r w:rsidR="00234021" w:rsidRPr="00245485">
        <w:rPr>
          <w:color w:val="000000" w:themeColor="text1"/>
        </w:rPr>
        <w:t>The existence of the Six Pack</w:t>
      </w:r>
      <w:r w:rsidR="009C78D6" w:rsidRPr="00245485">
        <w:rPr>
          <w:color w:val="000000" w:themeColor="text1"/>
        </w:rPr>
        <w:t xml:space="preserve"> </w:t>
      </w:r>
      <w:r w:rsidR="00234021" w:rsidRPr="00245485">
        <w:rPr>
          <w:color w:val="000000" w:themeColor="text1"/>
        </w:rPr>
        <w:t xml:space="preserve">may not have been decisive in </w:t>
      </w:r>
      <w:r w:rsidR="009C78D6" w:rsidRPr="00245485">
        <w:rPr>
          <w:color w:val="000000" w:themeColor="text1"/>
        </w:rPr>
        <w:t xml:space="preserve">determining the aims and content of the ESM </w:t>
      </w:r>
      <w:r w:rsidR="00234021" w:rsidRPr="00245485">
        <w:rPr>
          <w:color w:val="000000" w:themeColor="text1"/>
        </w:rPr>
        <w:t xml:space="preserve">– but the relationship between those </w:t>
      </w:r>
      <w:r w:rsidR="009C78D6" w:rsidRPr="00245485">
        <w:rPr>
          <w:color w:val="000000" w:themeColor="text1"/>
        </w:rPr>
        <w:t xml:space="preserve">various </w:t>
      </w:r>
      <w:r w:rsidR="00234021" w:rsidRPr="00245485">
        <w:rPr>
          <w:color w:val="000000" w:themeColor="text1"/>
        </w:rPr>
        <w:t xml:space="preserve">measures was </w:t>
      </w:r>
      <w:r w:rsidR="009C78D6" w:rsidRPr="00245485">
        <w:rPr>
          <w:color w:val="000000" w:themeColor="text1"/>
        </w:rPr>
        <w:t>certainly a factor in the Court’s evaluation of whether the European Council’s decision to amend the Treaties complied with the system of Union competences</w:t>
      </w:r>
      <w:r w:rsidR="00234021" w:rsidRPr="00245485">
        <w:rPr>
          <w:color w:val="000000" w:themeColor="text1"/>
        </w:rPr>
        <w:t>.</w:t>
      </w:r>
    </w:p>
    <w:p w14:paraId="13F54962" w14:textId="440CE30F" w:rsidR="00E308BC" w:rsidRDefault="00E308BC" w:rsidP="00E308BC">
      <w:pPr>
        <w:jc w:val="both"/>
        <w:rPr>
          <w:color w:val="000000" w:themeColor="text1"/>
        </w:rPr>
      </w:pPr>
    </w:p>
    <w:p w14:paraId="10A57562" w14:textId="48E90544" w:rsidR="00E308BC" w:rsidRPr="00E308BC" w:rsidRDefault="00E308BC" w:rsidP="00E308BC">
      <w:pPr>
        <w:jc w:val="both"/>
        <w:rPr>
          <w:i/>
          <w:iCs/>
          <w:color w:val="000000" w:themeColor="text1"/>
        </w:rPr>
      </w:pPr>
      <w:r w:rsidRPr="00E308BC">
        <w:rPr>
          <w:i/>
          <w:iCs/>
          <w:color w:val="000000" w:themeColor="text1"/>
        </w:rPr>
        <w:t>4.</w:t>
      </w:r>
      <w:r>
        <w:rPr>
          <w:i/>
          <w:iCs/>
          <w:color w:val="000000" w:themeColor="text1"/>
        </w:rPr>
        <w:t>3</w:t>
      </w:r>
      <w:r w:rsidRPr="00E308BC">
        <w:rPr>
          <w:i/>
          <w:iCs/>
          <w:color w:val="000000" w:themeColor="text1"/>
        </w:rPr>
        <w:t xml:space="preserve"> </w:t>
      </w:r>
      <w:r>
        <w:rPr>
          <w:i/>
          <w:iCs/>
          <w:color w:val="000000" w:themeColor="text1"/>
        </w:rPr>
        <w:t>Sound reasons for continued caution about the legal relevance of policy packages</w:t>
      </w:r>
    </w:p>
    <w:p w14:paraId="1B406668" w14:textId="77777777" w:rsidR="00E308BC" w:rsidRDefault="00E308BC" w:rsidP="00E308BC">
      <w:pPr>
        <w:jc w:val="both"/>
        <w:rPr>
          <w:color w:val="000000" w:themeColor="text1"/>
        </w:rPr>
      </w:pPr>
    </w:p>
    <w:p w14:paraId="7B4B6555" w14:textId="77777777" w:rsidR="00245485" w:rsidRDefault="000A0159" w:rsidP="00E308BC">
      <w:pPr>
        <w:jc w:val="both"/>
        <w:rPr>
          <w:color w:val="000000" w:themeColor="text1"/>
        </w:rPr>
      </w:pPr>
      <w:r w:rsidRPr="00245485">
        <w:rPr>
          <w:color w:val="000000" w:themeColor="text1"/>
        </w:rPr>
        <w:t xml:space="preserve">On the other hand, </w:t>
      </w:r>
      <w:r w:rsidR="009C78D6" w:rsidRPr="00245485">
        <w:rPr>
          <w:color w:val="000000" w:themeColor="text1"/>
        </w:rPr>
        <w:t xml:space="preserve">there are at least three reasons for remaining sceptical, or </w:t>
      </w:r>
      <w:r w:rsidR="00C45248" w:rsidRPr="00245485">
        <w:rPr>
          <w:color w:val="000000" w:themeColor="text1"/>
        </w:rPr>
        <w:t xml:space="preserve">at any rate </w:t>
      </w:r>
      <w:r w:rsidR="009C78D6" w:rsidRPr="00245485">
        <w:rPr>
          <w:color w:val="000000" w:themeColor="text1"/>
        </w:rPr>
        <w:t xml:space="preserve">cautious, about </w:t>
      </w:r>
      <w:r w:rsidR="00CE6C63" w:rsidRPr="00245485">
        <w:rPr>
          <w:color w:val="000000" w:themeColor="text1"/>
        </w:rPr>
        <w:t xml:space="preserve">how far the legal </w:t>
      </w:r>
      <w:r w:rsidR="009045C8" w:rsidRPr="00245485">
        <w:rPr>
          <w:color w:val="000000" w:themeColor="text1"/>
        </w:rPr>
        <w:t>principles</w:t>
      </w:r>
      <w:r w:rsidR="00CE6C63" w:rsidRPr="00245485">
        <w:rPr>
          <w:color w:val="000000" w:themeColor="text1"/>
        </w:rPr>
        <w:t xml:space="preserve"> </w:t>
      </w:r>
      <w:r w:rsidR="009045C8" w:rsidRPr="00245485">
        <w:rPr>
          <w:color w:val="000000" w:themeColor="text1"/>
        </w:rPr>
        <w:t xml:space="preserve">governing attributed powers </w:t>
      </w:r>
      <w:r w:rsidR="00CE6C63" w:rsidRPr="00245485">
        <w:rPr>
          <w:color w:val="000000" w:themeColor="text1"/>
        </w:rPr>
        <w:t xml:space="preserve">can or will </w:t>
      </w:r>
      <w:r w:rsidR="009045C8" w:rsidRPr="00245485">
        <w:rPr>
          <w:color w:val="000000" w:themeColor="text1"/>
        </w:rPr>
        <w:t xml:space="preserve">go further in </w:t>
      </w:r>
      <w:r w:rsidR="00CE6C63" w:rsidRPr="00245485">
        <w:rPr>
          <w:color w:val="000000" w:themeColor="text1"/>
        </w:rPr>
        <w:t>accommodat</w:t>
      </w:r>
      <w:r w:rsidR="009045C8" w:rsidRPr="00245485">
        <w:rPr>
          <w:color w:val="000000" w:themeColor="text1"/>
        </w:rPr>
        <w:t>ing</w:t>
      </w:r>
      <w:r w:rsidR="00CE6C63" w:rsidRPr="00245485">
        <w:rPr>
          <w:color w:val="000000" w:themeColor="text1"/>
        </w:rPr>
        <w:t xml:space="preserve"> the </w:t>
      </w:r>
      <w:r w:rsidR="009045C8" w:rsidRPr="00245485">
        <w:rPr>
          <w:color w:val="000000" w:themeColor="text1"/>
        </w:rPr>
        <w:t xml:space="preserve">political </w:t>
      </w:r>
      <w:r w:rsidR="00CE6C63" w:rsidRPr="00245485">
        <w:rPr>
          <w:color w:val="000000" w:themeColor="text1"/>
        </w:rPr>
        <w:t>realities of complex multi-instrument policymaking.</w:t>
      </w:r>
    </w:p>
    <w:p w14:paraId="0E595600" w14:textId="77777777" w:rsidR="00245485" w:rsidRDefault="009C78D6" w:rsidP="00245485">
      <w:pPr>
        <w:ind w:firstLine="720"/>
        <w:jc w:val="both"/>
        <w:rPr>
          <w:color w:val="000000" w:themeColor="text1"/>
        </w:rPr>
      </w:pPr>
      <w:r w:rsidRPr="00245485">
        <w:rPr>
          <w:color w:val="000000" w:themeColor="text1"/>
        </w:rPr>
        <w:t xml:space="preserve">In the first place, </w:t>
      </w:r>
      <w:r w:rsidR="001D2519" w:rsidRPr="00245485">
        <w:rPr>
          <w:color w:val="000000" w:themeColor="text1"/>
        </w:rPr>
        <w:t xml:space="preserve">it is fair to say that pertinent caselaw </w:t>
      </w:r>
      <w:r w:rsidR="00D00C16" w:rsidRPr="00245485">
        <w:rPr>
          <w:color w:val="000000" w:themeColor="text1"/>
        </w:rPr>
        <w:t>remains</w:t>
      </w:r>
      <w:r w:rsidR="001D2519" w:rsidRPr="00245485">
        <w:rPr>
          <w:color w:val="000000" w:themeColor="text1"/>
        </w:rPr>
        <w:t xml:space="preserve"> scant and far from conclusive.  Indeed, j</w:t>
      </w:r>
      <w:r w:rsidR="00CE6C63" w:rsidRPr="00245485">
        <w:rPr>
          <w:color w:val="000000" w:themeColor="text1"/>
        </w:rPr>
        <w:t xml:space="preserve">udgments like </w:t>
      </w:r>
      <w:r w:rsidR="00CE6C63" w:rsidRPr="00245485">
        <w:rPr>
          <w:i/>
          <w:iCs/>
          <w:color w:val="000000" w:themeColor="text1"/>
        </w:rPr>
        <w:t>Ship Source Pollution</w:t>
      </w:r>
      <w:r w:rsidR="00CE6C63" w:rsidRPr="00245485">
        <w:rPr>
          <w:color w:val="000000" w:themeColor="text1"/>
        </w:rPr>
        <w:t xml:space="preserve"> and </w:t>
      </w:r>
      <w:r w:rsidR="00CE6C63" w:rsidRPr="00245485">
        <w:rPr>
          <w:i/>
          <w:iCs/>
          <w:color w:val="000000" w:themeColor="text1"/>
        </w:rPr>
        <w:t>Pringle</w:t>
      </w:r>
      <w:r w:rsidR="00CE6C63" w:rsidRPr="00245485">
        <w:rPr>
          <w:color w:val="000000" w:themeColor="text1"/>
        </w:rPr>
        <w:t xml:space="preserve"> are </w:t>
      </w:r>
      <w:r w:rsidR="001D2519" w:rsidRPr="00245485">
        <w:rPr>
          <w:color w:val="000000" w:themeColor="text1"/>
        </w:rPr>
        <w:t xml:space="preserve">just as </w:t>
      </w:r>
      <w:r w:rsidR="00CE6C63" w:rsidRPr="00245485">
        <w:rPr>
          <w:color w:val="000000" w:themeColor="text1"/>
        </w:rPr>
        <w:t xml:space="preserve">striking </w:t>
      </w:r>
      <w:r w:rsidR="001D2519" w:rsidRPr="00245485">
        <w:rPr>
          <w:color w:val="000000" w:themeColor="text1"/>
        </w:rPr>
        <w:t xml:space="preserve">for </w:t>
      </w:r>
      <w:r w:rsidR="00CE6C63" w:rsidRPr="00245485">
        <w:rPr>
          <w:color w:val="000000" w:themeColor="text1"/>
        </w:rPr>
        <w:t>their relative isolation.  There are other important disputes, that one might have imagined would provide the ideal opportunity to demonstrate and explore the same approach to policy packages, but where the Court nevertheless stayed notably silent on the issue.</w:t>
      </w:r>
      <w:r w:rsidR="009709AC" w:rsidRPr="00245485">
        <w:rPr>
          <w:color w:val="000000" w:themeColor="text1"/>
        </w:rPr>
        <w:t xml:space="preserve">  </w:t>
      </w:r>
      <w:r w:rsidR="0031790A" w:rsidRPr="00245485">
        <w:rPr>
          <w:color w:val="000000" w:themeColor="text1"/>
        </w:rPr>
        <w:t xml:space="preserve">Consider the rulings in </w:t>
      </w:r>
      <w:r w:rsidR="0031790A" w:rsidRPr="00245485">
        <w:rPr>
          <w:i/>
          <w:iCs/>
          <w:color w:val="000000" w:themeColor="text1"/>
        </w:rPr>
        <w:t xml:space="preserve">Hungary </w:t>
      </w:r>
      <w:r w:rsidR="006405C5" w:rsidRPr="00245485">
        <w:rPr>
          <w:i/>
          <w:iCs/>
          <w:color w:val="000000" w:themeColor="text1"/>
        </w:rPr>
        <w:t>/</w:t>
      </w:r>
      <w:r w:rsidR="0031790A" w:rsidRPr="00245485">
        <w:rPr>
          <w:i/>
          <w:iCs/>
          <w:color w:val="000000" w:themeColor="text1"/>
        </w:rPr>
        <w:t xml:space="preserve"> Poland v Parliament</w:t>
      </w:r>
      <w:r w:rsidR="006405C5" w:rsidRPr="00245485">
        <w:rPr>
          <w:i/>
          <w:iCs/>
          <w:color w:val="000000" w:themeColor="text1"/>
        </w:rPr>
        <w:t xml:space="preserve"> and Council</w:t>
      </w:r>
      <w:r w:rsidR="0031790A" w:rsidRPr="00245485">
        <w:rPr>
          <w:color w:val="000000" w:themeColor="text1"/>
        </w:rPr>
        <w:t>.</w:t>
      </w:r>
      <w:r w:rsidR="004520E9" w:rsidRPr="00245485">
        <w:rPr>
          <w:rStyle w:val="FootnoteReference"/>
          <w:color w:val="000000" w:themeColor="text1"/>
        </w:rPr>
        <w:footnoteReference w:id="69"/>
      </w:r>
      <w:r w:rsidR="0031790A" w:rsidRPr="00245485">
        <w:rPr>
          <w:color w:val="000000" w:themeColor="text1"/>
        </w:rPr>
        <w:t xml:space="preserve">  </w:t>
      </w:r>
      <w:r w:rsidR="006405C5" w:rsidRPr="00245485">
        <w:rPr>
          <w:color w:val="000000" w:themeColor="text1"/>
        </w:rPr>
        <w:t xml:space="preserve">As readers will </w:t>
      </w:r>
      <w:r w:rsidR="003F186E" w:rsidRPr="00245485">
        <w:rPr>
          <w:color w:val="000000" w:themeColor="text1"/>
        </w:rPr>
        <w:t xml:space="preserve">well </w:t>
      </w:r>
      <w:r w:rsidR="006405C5" w:rsidRPr="00245485">
        <w:rPr>
          <w:color w:val="000000" w:themeColor="text1"/>
        </w:rPr>
        <w:t>know, R</w:t>
      </w:r>
      <w:r w:rsidR="0031790A" w:rsidRPr="00245485">
        <w:rPr>
          <w:color w:val="000000" w:themeColor="text1"/>
        </w:rPr>
        <w:t xml:space="preserve">egulation </w:t>
      </w:r>
      <w:r w:rsidR="006405C5" w:rsidRPr="00245485">
        <w:rPr>
          <w:color w:val="000000" w:themeColor="text1"/>
        </w:rPr>
        <w:t xml:space="preserve">2020/2092 </w:t>
      </w:r>
      <w:r w:rsidR="0031790A" w:rsidRPr="00245485">
        <w:rPr>
          <w:color w:val="000000" w:themeColor="text1"/>
        </w:rPr>
        <w:t>establish</w:t>
      </w:r>
      <w:r w:rsidR="006405C5" w:rsidRPr="00245485">
        <w:rPr>
          <w:color w:val="000000" w:themeColor="text1"/>
        </w:rPr>
        <w:t>ing</w:t>
      </w:r>
      <w:r w:rsidR="0031790A" w:rsidRPr="00245485">
        <w:rPr>
          <w:color w:val="000000" w:themeColor="text1"/>
        </w:rPr>
        <w:t xml:space="preserve"> </w:t>
      </w:r>
      <w:r w:rsidR="006405C5" w:rsidRPr="00245485">
        <w:rPr>
          <w:color w:val="000000" w:themeColor="text1"/>
        </w:rPr>
        <w:t xml:space="preserve">a general regime of </w:t>
      </w:r>
      <w:r w:rsidR="0031790A" w:rsidRPr="00245485">
        <w:rPr>
          <w:color w:val="000000" w:themeColor="text1"/>
        </w:rPr>
        <w:t xml:space="preserve">“rule of law” conditionality for </w:t>
      </w:r>
      <w:r w:rsidR="006405C5" w:rsidRPr="00245485">
        <w:rPr>
          <w:color w:val="000000" w:themeColor="text1"/>
        </w:rPr>
        <w:t xml:space="preserve">protection of the </w:t>
      </w:r>
      <w:r w:rsidR="0031790A" w:rsidRPr="00245485">
        <w:rPr>
          <w:color w:val="000000" w:themeColor="text1"/>
        </w:rPr>
        <w:t xml:space="preserve">Union </w:t>
      </w:r>
      <w:r w:rsidR="006405C5" w:rsidRPr="00245485">
        <w:rPr>
          <w:color w:val="000000" w:themeColor="text1"/>
        </w:rPr>
        <w:t>budget was c</w:t>
      </w:r>
      <w:r w:rsidR="0031790A" w:rsidRPr="00245485">
        <w:rPr>
          <w:color w:val="000000" w:themeColor="text1"/>
        </w:rPr>
        <w:t>hallenged</w:t>
      </w:r>
      <w:r w:rsidR="006405C5" w:rsidRPr="00245485">
        <w:rPr>
          <w:color w:val="000000" w:themeColor="text1"/>
        </w:rPr>
        <w:t xml:space="preserve">, inter alia, </w:t>
      </w:r>
      <w:r w:rsidR="0031790A" w:rsidRPr="00245485">
        <w:rPr>
          <w:color w:val="000000" w:themeColor="text1"/>
        </w:rPr>
        <w:t xml:space="preserve">on grounds of lack of competence under </w:t>
      </w:r>
      <w:r w:rsidR="006405C5" w:rsidRPr="00245485">
        <w:rPr>
          <w:color w:val="000000" w:themeColor="text1"/>
        </w:rPr>
        <w:t>Article 322(1)(a) TFEU as the appointed legal basis</w:t>
      </w:r>
      <w:r w:rsidR="0031790A" w:rsidRPr="00245485">
        <w:rPr>
          <w:color w:val="000000" w:themeColor="text1"/>
        </w:rPr>
        <w:t>.</w:t>
      </w:r>
      <w:r w:rsidR="004520E9" w:rsidRPr="00245485">
        <w:rPr>
          <w:rStyle w:val="FootnoteReference"/>
          <w:color w:val="000000" w:themeColor="text1"/>
        </w:rPr>
        <w:footnoteReference w:id="70"/>
      </w:r>
      <w:r w:rsidR="0031790A" w:rsidRPr="00245485">
        <w:rPr>
          <w:color w:val="000000" w:themeColor="text1"/>
        </w:rPr>
        <w:t xml:space="preserve">  </w:t>
      </w:r>
      <w:r w:rsidR="006405C5" w:rsidRPr="00245485">
        <w:rPr>
          <w:color w:val="000000" w:themeColor="text1"/>
        </w:rPr>
        <w:t xml:space="preserve">The Court engaged in a detailed assessment of those claims – based primarily on the aim and content of Regulation 2020/2092, located within its primary law framework, and also taking into consideration </w:t>
      </w:r>
      <w:r w:rsidR="00454B97" w:rsidRPr="00245485">
        <w:rPr>
          <w:color w:val="000000" w:themeColor="text1"/>
        </w:rPr>
        <w:t xml:space="preserve">other pre-existing measures that provided important legislative </w:t>
      </w:r>
      <w:r w:rsidR="0031790A" w:rsidRPr="00245485">
        <w:rPr>
          <w:color w:val="000000" w:themeColor="text1"/>
        </w:rPr>
        <w:t xml:space="preserve">context </w:t>
      </w:r>
      <w:r w:rsidR="00454B97" w:rsidRPr="00245485">
        <w:rPr>
          <w:color w:val="000000" w:themeColor="text1"/>
        </w:rPr>
        <w:t xml:space="preserve">for operationalising the new conditionality regime.  In other words: an </w:t>
      </w:r>
      <w:r w:rsidR="0031790A" w:rsidRPr="00245485">
        <w:rPr>
          <w:color w:val="000000" w:themeColor="text1"/>
        </w:rPr>
        <w:t xml:space="preserve">entirely </w:t>
      </w:r>
      <w:r w:rsidR="00454B97" w:rsidRPr="00245485">
        <w:rPr>
          <w:color w:val="000000" w:themeColor="text1"/>
        </w:rPr>
        <w:t xml:space="preserve">orthodox analysis, </w:t>
      </w:r>
      <w:r w:rsidR="0031790A" w:rsidRPr="00245485">
        <w:rPr>
          <w:color w:val="000000" w:themeColor="text1"/>
        </w:rPr>
        <w:t xml:space="preserve">familiar from </w:t>
      </w:r>
      <w:r w:rsidR="00454B97" w:rsidRPr="00245485">
        <w:rPr>
          <w:color w:val="000000" w:themeColor="text1"/>
        </w:rPr>
        <w:t xml:space="preserve">well-established </w:t>
      </w:r>
      <w:r w:rsidR="0031790A" w:rsidRPr="00245485">
        <w:rPr>
          <w:color w:val="000000" w:themeColor="text1"/>
        </w:rPr>
        <w:t xml:space="preserve">caselaw on </w:t>
      </w:r>
      <w:r w:rsidR="00454B97" w:rsidRPr="00245485">
        <w:rPr>
          <w:color w:val="000000" w:themeColor="text1"/>
        </w:rPr>
        <w:t xml:space="preserve">the competence-compliance of any </w:t>
      </w:r>
      <w:r w:rsidR="0031790A" w:rsidRPr="00245485">
        <w:rPr>
          <w:color w:val="000000" w:themeColor="text1"/>
        </w:rPr>
        <w:t xml:space="preserve">individual and discrete </w:t>
      </w:r>
      <w:r w:rsidR="00454B97" w:rsidRPr="00245485">
        <w:rPr>
          <w:color w:val="000000" w:themeColor="text1"/>
        </w:rPr>
        <w:t xml:space="preserve">Union </w:t>
      </w:r>
      <w:r w:rsidR="0031790A" w:rsidRPr="00245485">
        <w:rPr>
          <w:color w:val="000000" w:themeColor="text1"/>
        </w:rPr>
        <w:t xml:space="preserve">measure.  </w:t>
      </w:r>
      <w:r w:rsidR="00454B97" w:rsidRPr="00245485">
        <w:rPr>
          <w:color w:val="000000" w:themeColor="text1"/>
        </w:rPr>
        <w:t xml:space="preserve">Except, of course, that Regulation 2020/2092 was far from “discrete” in policy terms.  </w:t>
      </w:r>
      <w:proofErr w:type="gramStart"/>
      <w:r w:rsidR="00454B97" w:rsidRPr="00245485">
        <w:rPr>
          <w:color w:val="000000" w:themeColor="text1"/>
        </w:rPr>
        <w:t>In reality, the</w:t>
      </w:r>
      <w:proofErr w:type="gramEnd"/>
      <w:r w:rsidR="00454B97" w:rsidRPr="00245485">
        <w:rPr>
          <w:color w:val="000000" w:themeColor="text1"/>
        </w:rPr>
        <w:t xml:space="preserve"> </w:t>
      </w:r>
      <w:r w:rsidR="0031790A" w:rsidRPr="00245485">
        <w:rPr>
          <w:color w:val="000000" w:themeColor="text1"/>
        </w:rPr>
        <w:t xml:space="preserve">Union had </w:t>
      </w:r>
      <w:r w:rsidR="00454B97" w:rsidRPr="00245485">
        <w:rPr>
          <w:color w:val="000000" w:themeColor="text1"/>
        </w:rPr>
        <w:t xml:space="preserve">proposed, </w:t>
      </w:r>
      <w:r w:rsidR="0031790A" w:rsidRPr="00245485">
        <w:rPr>
          <w:color w:val="000000" w:themeColor="text1"/>
        </w:rPr>
        <w:t xml:space="preserve">negotiated and agreed </w:t>
      </w:r>
      <w:r w:rsidR="00454B97" w:rsidRPr="00245485">
        <w:rPr>
          <w:color w:val="000000" w:themeColor="text1"/>
        </w:rPr>
        <w:t xml:space="preserve">a bold </w:t>
      </w:r>
      <w:r w:rsidR="0031790A" w:rsidRPr="00245485">
        <w:rPr>
          <w:color w:val="000000" w:themeColor="text1"/>
        </w:rPr>
        <w:t>package of multiple measures</w:t>
      </w:r>
      <w:r w:rsidR="00454B97" w:rsidRPr="00245485">
        <w:rPr>
          <w:color w:val="000000" w:themeColor="text1"/>
        </w:rPr>
        <w:t>, together</w:t>
      </w:r>
      <w:r w:rsidR="0031790A" w:rsidRPr="00245485">
        <w:rPr>
          <w:color w:val="000000" w:themeColor="text1"/>
        </w:rPr>
        <w:t xml:space="preserve"> designed to enable </w:t>
      </w:r>
      <w:r w:rsidR="00454B97" w:rsidRPr="00245485">
        <w:rPr>
          <w:color w:val="000000" w:themeColor="text1"/>
        </w:rPr>
        <w:t xml:space="preserve">the Member State’s </w:t>
      </w:r>
      <w:r w:rsidR="0031790A" w:rsidRPr="00245485">
        <w:rPr>
          <w:color w:val="000000" w:themeColor="text1"/>
        </w:rPr>
        <w:t xml:space="preserve">economic recovery from </w:t>
      </w:r>
      <w:r w:rsidR="00454B97" w:rsidRPr="00245485">
        <w:rPr>
          <w:color w:val="000000" w:themeColor="text1"/>
        </w:rPr>
        <w:t xml:space="preserve">the </w:t>
      </w:r>
      <w:r w:rsidR="0031790A" w:rsidRPr="00245485">
        <w:rPr>
          <w:color w:val="000000" w:themeColor="text1"/>
        </w:rPr>
        <w:t xml:space="preserve">Covid-19 </w:t>
      </w:r>
      <w:r w:rsidR="00454B97" w:rsidRPr="00245485">
        <w:rPr>
          <w:color w:val="000000" w:themeColor="text1"/>
        </w:rPr>
        <w:t xml:space="preserve">pandemic </w:t>
      </w:r>
      <w:r w:rsidR="007044D2" w:rsidRPr="00245485">
        <w:rPr>
          <w:color w:val="000000" w:themeColor="text1"/>
        </w:rPr>
        <w:t>– while at the same</w:t>
      </w:r>
      <w:r w:rsidR="00454B97" w:rsidRPr="00245485">
        <w:rPr>
          <w:color w:val="000000" w:themeColor="text1"/>
        </w:rPr>
        <w:t xml:space="preserve"> </w:t>
      </w:r>
      <w:r w:rsidR="0031790A" w:rsidRPr="00245485">
        <w:rPr>
          <w:color w:val="000000" w:themeColor="text1"/>
        </w:rPr>
        <w:t>facilitat</w:t>
      </w:r>
      <w:r w:rsidR="00454B97" w:rsidRPr="00245485">
        <w:rPr>
          <w:color w:val="000000" w:themeColor="text1"/>
        </w:rPr>
        <w:t>ing</w:t>
      </w:r>
      <w:r w:rsidR="0031790A" w:rsidRPr="00245485">
        <w:rPr>
          <w:color w:val="000000" w:themeColor="text1"/>
        </w:rPr>
        <w:t xml:space="preserve"> </w:t>
      </w:r>
      <w:r w:rsidR="007044D2" w:rsidRPr="00245485">
        <w:rPr>
          <w:color w:val="000000" w:themeColor="text1"/>
        </w:rPr>
        <w:t xml:space="preserve">other strategic objectives such as a just </w:t>
      </w:r>
      <w:r w:rsidR="0031790A" w:rsidRPr="00245485">
        <w:rPr>
          <w:color w:val="000000" w:themeColor="text1"/>
        </w:rPr>
        <w:t>transition towards</w:t>
      </w:r>
      <w:r w:rsidR="007044D2" w:rsidRPr="00245485">
        <w:rPr>
          <w:color w:val="000000" w:themeColor="text1"/>
        </w:rPr>
        <w:t xml:space="preserve"> the</w:t>
      </w:r>
      <w:r w:rsidR="00454B97" w:rsidRPr="00245485">
        <w:rPr>
          <w:color w:val="000000" w:themeColor="text1"/>
        </w:rPr>
        <w:t xml:space="preserve"> </w:t>
      </w:r>
      <w:r w:rsidR="0031790A" w:rsidRPr="00245485">
        <w:rPr>
          <w:color w:val="000000" w:themeColor="text1"/>
        </w:rPr>
        <w:t xml:space="preserve">green economy, </w:t>
      </w:r>
      <w:r w:rsidR="007044D2" w:rsidRPr="00245485">
        <w:rPr>
          <w:color w:val="000000" w:themeColor="text1"/>
        </w:rPr>
        <w:t xml:space="preserve">investing in digital innovation and transformation, and tackling major </w:t>
      </w:r>
      <w:r w:rsidR="0031790A" w:rsidRPr="00245485">
        <w:rPr>
          <w:color w:val="000000" w:themeColor="text1"/>
        </w:rPr>
        <w:t xml:space="preserve">regional inequalities.  </w:t>
      </w:r>
      <w:r w:rsidR="00454B97" w:rsidRPr="00245485">
        <w:rPr>
          <w:color w:val="000000" w:themeColor="text1"/>
        </w:rPr>
        <w:t xml:space="preserve">Although originally proposed before </w:t>
      </w:r>
      <w:r w:rsidR="007044D2" w:rsidRPr="00245485">
        <w:rPr>
          <w:color w:val="000000" w:themeColor="text1"/>
        </w:rPr>
        <w:t xml:space="preserve">the </w:t>
      </w:r>
      <w:r w:rsidR="00454B97" w:rsidRPr="00245485">
        <w:rPr>
          <w:color w:val="000000" w:themeColor="text1"/>
        </w:rPr>
        <w:t xml:space="preserve">pandemic hit, </w:t>
      </w:r>
      <w:r w:rsidR="007044D2" w:rsidRPr="00245485">
        <w:rPr>
          <w:color w:val="000000" w:themeColor="text1"/>
        </w:rPr>
        <w:t xml:space="preserve">reaching </w:t>
      </w:r>
      <w:r w:rsidR="00454B97" w:rsidRPr="00245485">
        <w:rPr>
          <w:color w:val="000000" w:themeColor="text1"/>
        </w:rPr>
        <w:t xml:space="preserve">agreement on a </w:t>
      </w:r>
      <w:r w:rsidR="007044D2" w:rsidRPr="00245485">
        <w:rPr>
          <w:color w:val="000000" w:themeColor="text1"/>
        </w:rPr>
        <w:t xml:space="preserve">robust </w:t>
      </w:r>
      <w:r w:rsidR="00454B97" w:rsidRPr="00245485">
        <w:rPr>
          <w:color w:val="000000" w:themeColor="text1"/>
        </w:rPr>
        <w:t xml:space="preserve">conditionality regime soon became an integral element of </w:t>
      </w:r>
      <w:r w:rsidR="0031790A" w:rsidRPr="00245485">
        <w:rPr>
          <w:color w:val="000000" w:themeColor="text1"/>
        </w:rPr>
        <w:t xml:space="preserve">that </w:t>
      </w:r>
      <w:r w:rsidR="00454B97" w:rsidRPr="00245485">
        <w:rPr>
          <w:color w:val="000000" w:themeColor="text1"/>
        </w:rPr>
        <w:t xml:space="preserve">broader policy </w:t>
      </w:r>
      <w:r w:rsidR="0031790A" w:rsidRPr="00245485">
        <w:rPr>
          <w:color w:val="000000" w:themeColor="text1"/>
        </w:rPr>
        <w:t>package</w:t>
      </w:r>
      <w:r w:rsidR="00454B97" w:rsidRPr="00245485">
        <w:rPr>
          <w:color w:val="000000" w:themeColor="text1"/>
        </w:rPr>
        <w:t xml:space="preserve"> – not least to offer credible assurance that the vast sums of money being mobilised under </w:t>
      </w:r>
      <w:proofErr w:type="spellStart"/>
      <w:r w:rsidR="00454B97" w:rsidRPr="00245485">
        <w:rPr>
          <w:color w:val="000000" w:themeColor="text1"/>
        </w:rPr>
        <w:t>NextGenerationEU</w:t>
      </w:r>
      <w:proofErr w:type="spellEnd"/>
      <w:r w:rsidR="00454B97" w:rsidRPr="00245485">
        <w:rPr>
          <w:color w:val="000000" w:themeColor="text1"/>
        </w:rPr>
        <w:t xml:space="preserve"> would not be misused by those Member States </w:t>
      </w:r>
      <w:r w:rsidR="007044D2" w:rsidRPr="00245485">
        <w:rPr>
          <w:color w:val="000000" w:themeColor="text1"/>
        </w:rPr>
        <w:t>guilty of</w:t>
      </w:r>
      <w:r w:rsidR="00454B97" w:rsidRPr="00245485">
        <w:rPr>
          <w:color w:val="000000" w:themeColor="text1"/>
        </w:rPr>
        <w:t xml:space="preserve"> serious “rule of law” delinquency</w:t>
      </w:r>
      <w:r w:rsidR="0031790A" w:rsidRPr="00245485">
        <w:rPr>
          <w:color w:val="000000" w:themeColor="text1"/>
        </w:rPr>
        <w:t xml:space="preserve">.  </w:t>
      </w:r>
      <w:r w:rsidR="007044D2" w:rsidRPr="00245485">
        <w:rPr>
          <w:color w:val="000000" w:themeColor="text1"/>
        </w:rPr>
        <w:t xml:space="preserve">That point was </w:t>
      </w:r>
      <w:r w:rsidR="0031790A" w:rsidRPr="00245485">
        <w:rPr>
          <w:color w:val="000000" w:themeColor="text1"/>
        </w:rPr>
        <w:t xml:space="preserve">stressed repeatedly by </w:t>
      </w:r>
      <w:r w:rsidR="007044D2" w:rsidRPr="00245485">
        <w:rPr>
          <w:color w:val="000000" w:themeColor="text1"/>
        </w:rPr>
        <w:t xml:space="preserve">the </w:t>
      </w:r>
      <w:r w:rsidR="0031790A" w:rsidRPr="00245485">
        <w:rPr>
          <w:color w:val="000000" w:themeColor="text1"/>
        </w:rPr>
        <w:t xml:space="preserve">European Council </w:t>
      </w:r>
      <w:r w:rsidR="007044D2" w:rsidRPr="00245485">
        <w:rPr>
          <w:color w:val="000000" w:themeColor="text1"/>
        </w:rPr>
        <w:t xml:space="preserve">in its role as deal-broker at </w:t>
      </w:r>
      <w:r w:rsidR="0031790A" w:rsidRPr="00245485">
        <w:rPr>
          <w:color w:val="000000" w:themeColor="text1"/>
        </w:rPr>
        <w:t>key staging posts</w:t>
      </w:r>
      <w:r w:rsidR="007044D2" w:rsidRPr="00245485">
        <w:rPr>
          <w:color w:val="000000" w:themeColor="text1"/>
        </w:rPr>
        <w:t xml:space="preserve"> in the </w:t>
      </w:r>
      <w:r w:rsidR="00252A8A" w:rsidRPr="00245485">
        <w:rPr>
          <w:color w:val="000000" w:themeColor="text1"/>
        </w:rPr>
        <w:t xml:space="preserve">complex negotiations – particularly in the crucial </w:t>
      </w:r>
      <w:r w:rsidR="00252A8A" w:rsidRPr="00245485">
        <w:rPr>
          <w:color w:val="000000" w:themeColor="text1"/>
        </w:rPr>
        <w:lastRenderedPageBreak/>
        <w:t>Conclusions of 10-11 December 2020, in which the Heads of State or Government hammered out a compromise over the proposed conditionality regime, explicitly intended to give the final push needed for the Union institutions to adopt “the whole package of relevant instruments”</w:t>
      </w:r>
      <w:r w:rsidR="0031790A" w:rsidRPr="00245485">
        <w:rPr>
          <w:color w:val="000000" w:themeColor="text1"/>
        </w:rPr>
        <w:t>.</w:t>
      </w:r>
      <w:r w:rsidR="004520E9" w:rsidRPr="00245485">
        <w:rPr>
          <w:rStyle w:val="FootnoteReference"/>
          <w:color w:val="000000" w:themeColor="text1"/>
        </w:rPr>
        <w:footnoteReference w:id="71"/>
      </w:r>
      <w:r w:rsidR="0031790A" w:rsidRPr="00245485">
        <w:rPr>
          <w:color w:val="000000" w:themeColor="text1"/>
        </w:rPr>
        <w:t xml:space="preserve">  </w:t>
      </w:r>
    </w:p>
    <w:p w14:paraId="089EEAD4" w14:textId="61B84699" w:rsidR="00245485" w:rsidRDefault="00CE6C63" w:rsidP="00245485">
      <w:pPr>
        <w:ind w:firstLine="720"/>
        <w:jc w:val="both"/>
        <w:rPr>
          <w:color w:val="000000" w:themeColor="text1"/>
        </w:rPr>
      </w:pPr>
      <w:r w:rsidRPr="00245485">
        <w:rPr>
          <w:color w:val="000000" w:themeColor="text1"/>
        </w:rPr>
        <w:t xml:space="preserve">Of course, it is entirely possible that the Court simply considered it unnecessary to take into account </w:t>
      </w:r>
      <w:r w:rsidR="006C640C" w:rsidRPr="00245485">
        <w:rPr>
          <w:color w:val="000000" w:themeColor="text1"/>
        </w:rPr>
        <w:t xml:space="preserve">the </w:t>
      </w:r>
      <w:r w:rsidRPr="00245485">
        <w:rPr>
          <w:color w:val="000000" w:themeColor="text1"/>
        </w:rPr>
        <w:t>wider legal and policy context</w:t>
      </w:r>
      <w:r w:rsidR="006C640C" w:rsidRPr="00245485">
        <w:rPr>
          <w:color w:val="000000" w:themeColor="text1"/>
        </w:rPr>
        <w:t xml:space="preserve"> provided by Regulation 2020/2092’s rightful place within </w:t>
      </w:r>
      <w:r w:rsidR="00D36CDF" w:rsidRPr="00245485">
        <w:rPr>
          <w:color w:val="000000" w:themeColor="text1"/>
        </w:rPr>
        <w:t>the Union’s multi-faceted response to the major challenges created by the Covid-19 pandemic</w:t>
      </w:r>
      <w:r w:rsidR="006C640C" w:rsidRPr="00245485">
        <w:rPr>
          <w:color w:val="000000" w:themeColor="text1"/>
        </w:rPr>
        <w:t>.</w:t>
      </w:r>
      <w:r w:rsidR="00D36CDF" w:rsidRPr="00245485">
        <w:rPr>
          <w:rStyle w:val="FootnoteReference"/>
          <w:color w:val="000000" w:themeColor="text1"/>
        </w:rPr>
        <w:footnoteReference w:id="72"/>
      </w:r>
      <w:r w:rsidR="006C640C" w:rsidRPr="00245485">
        <w:rPr>
          <w:color w:val="000000" w:themeColor="text1"/>
        </w:rPr>
        <w:t xml:space="preserve">  </w:t>
      </w:r>
      <w:r w:rsidR="009709AC" w:rsidRPr="00245485">
        <w:rPr>
          <w:color w:val="000000" w:themeColor="text1"/>
        </w:rPr>
        <w:t xml:space="preserve">Perhaps </w:t>
      </w:r>
      <w:r w:rsidR="006C640C" w:rsidRPr="00245485">
        <w:rPr>
          <w:color w:val="000000" w:themeColor="text1"/>
        </w:rPr>
        <w:t xml:space="preserve">the Hungarian / Polish challenge </w:t>
      </w:r>
      <w:r w:rsidR="009709AC" w:rsidRPr="00245485">
        <w:rPr>
          <w:color w:val="000000" w:themeColor="text1"/>
        </w:rPr>
        <w:t xml:space="preserve">felt </w:t>
      </w:r>
      <w:r w:rsidR="006C640C" w:rsidRPr="00245485">
        <w:rPr>
          <w:color w:val="000000" w:themeColor="text1"/>
        </w:rPr>
        <w:t>relatively weak</w:t>
      </w:r>
      <w:r w:rsidR="009709AC" w:rsidRPr="00245485">
        <w:rPr>
          <w:color w:val="000000" w:themeColor="text1"/>
        </w:rPr>
        <w:t xml:space="preserve">, with </w:t>
      </w:r>
      <w:r w:rsidR="006C640C" w:rsidRPr="00245485">
        <w:rPr>
          <w:color w:val="000000" w:themeColor="text1"/>
        </w:rPr>
        <w:t>no serious prospect of condemning Regulation 2020/2092 as ultra vires, even on an entirely traditional appraisal focused solely on the disputed act’s own aims and content</w:t>
      </w:r>
      <w:r w:rsidR="004443E9" w:rsidRPr="00245485">
        <w:rPr>
          <w:color w:val="000000" w:themeColor="text1"/>
        </w:rPr>
        <w:t>, such that there seemed little added value in any expedition into more adventurous legal territory</w:t>
      </w:r>
      <w:r w:rsidR="006C640C" w:rsidRPr="00245485">
        <w:rPr>
          <w:color w:val="000000" w:themeColor="text1"/>
        </w:rPr>
        <w:t xml:space="preserve">.  </w:t>
      </w:r>
      <w:proofErr w:type="gramStart"/>
      <w:r w:rsidR="00B637C7" w:rsidRPr="00245485">
        <w:rPr>
          <w:color w:val="000000" w:themeColor="text1"/>
        </w:rPr>
        <w:t>So</w:t>
      </w:r>
      <w:proofErr w:type="gramEnd"/>
      <w:r w:rsidR="00B637C7" w:rsidRPr="00245485">
        <w:rPr>
          <w:color w:val="000000" w:themeColor="text1"/>
        </w:rPr>
        <w:t xml:space="preserve"> </w:t>
      </w:r>
      <w:r w:rsidR="00B637C7" w:rsidRPr="00245485">
        <w:rPr>
          <w:i/>
          <w:iCs/>
          <w:color w:val="000000" w:themeColor="text1"/>
        </w:rPr>
        <w:t>Hungary / Poland v Parliament and Council</w:t>
      </w:r>
      <w:r w:rsidR="00B637C7" w:rsidRPr="00245485">
        <w:rPr>
          <w:color w:val="000000" w:themeColor="text1"/>
        </w:rPr>
        <w:t xml:space="preserve"> is hardly </w:t>
      </w:r>
      <w:r w:rsidR="00D00C16" w:rsidRPr="00245485">
        <w:rPr>
          <w:color w:val="000000" w:themeColor="text1"/>
        </w:rPr>
        <w:t xml:space="preserve">concrete </w:t>
      </w:r>
      <w:r w:rsidR="00B637C7" w:rsidRPr="00245485">
        <w:rPr>
          <w:color w:val="000000" w:themeColor="text1"/>
        </w:rPr>
        <w:t xml:space="preserve">evidence that the legal framework governing conferral has deliberately ruled </w:t>
      </w:r>
      <w:r w:rsidR="00D36CDF" w:rsidRPr="00245485">
        <w:rPr>
          <w:color w:val="000000" w:themeColor="text1"/>
        </w:rPr>
        <w:t xml:space="preserve">out </w:t>
      </w:r>
      <w:r w:rsidR="00B637C7" w:rsidRPr="00245485">
        <w:rPr>
          <w:color w:val="000000" w:themeColor="text1"/>
        </w:rPr>
        <w:t xml:space="preserve">any further engagement with or recognition for the complexities of policy packages.  </w:t>
      </w:r>
      <w:r w:rsidR="00DB1300" w:rsidRPr="00245485">
        <w:rPr>
          <w:color w:val="000000" w:themeColor="text1"/>
        </w:rPr>
        <w:t xml:space="preserve">More generally, </w:t>
      </w:r>
      <w:r w:rsidR="00D36CDF" w:rsidRPr="00245485">
        <w:rPr>
          <w:color w:val="000000" w:themeColor="text1"/>
        </w:rPr>
        <w:t>the</w:t>
      </w:r>
      <w:r w:rsidR="00B637C7" w:rsidRPr="00245485">
        <w:rPr>
          <w:color w:val="000000" w:themeColor="text1"/>
        </w:rPr>
        <w:t xml:space="preserve"> fact that there are only a handful of cases in which the Court has actually engaged with </w:t>
      </w:r>
      <w:r w:rsidR="00D36CDF" w:rsidRPr="00245485">
        <w:rPr>
          <w:color w:val="000000" w:themeColor="text1"/>
        </w:rPr>
        <w:t xml:space="preserve">these </w:t>
      </w:r>
      <w:r w:rsidR="00B637C7" w:rsidRPr="00245485">
        <w:rPr>
          <w:color w:val="000000" w:themeColor="text1"/>
        </w:rPr>
        <w:t xml:space="preserve">issues might simply be because </w:t>
      </w:r>
      <w:r w:rsidR="00D36CDF" w:rsidRPr="00245485">
        <w:rPr>
          <w:color w:val="000000" w:themeColor="text1"/>
        </w:rPr>
        <w:t xml:space="preserve">they are </w:t>
      </w:r>
      <w:r w:rsidR="00B637C7" w:rsidRPr="00245485">
        <w:rPr>
          <w:color w:val="000000" w:themeColor="text1"/>
        </w:rPr>
        <w:t>not often raised or addressed as such</w:t>
      </w:r>
      <w:r w:rsidR="00D36CDF" w:rsidRPr="00245485">
        <w:rPr>
          <w:color w:val="000000" w:themeColor="text1"/>
        </w:rPr>
        <w:t xml:space="preserve"> – so maybe </w:t>
      </w:r>
      <w:r w:rsidR="00B637C7" w:rsidRPr="00245485">
        <w:rPr>
          <w:color w:val="000000" w:themeColor="text1"/>
        </w:rPr>
        <w:t xml:space="preserve">the lack of more widespread and explicit recognition for the legal and policy context provided by multi-instrument policymaking </w:t>
      </w:r>
      <w:r w:rsidR="00D36CDF" w:rsidRPr="00245485">
        <w:rPr>
          <w:color w:val="000000" w:themeColor="text1"/>
        </w:rPr>
        <w:t xml:space="preserve">is attributable to </w:t>
      </w:r>
      <w:r w:rsidR="00B637C7" w:rsidRPr="00245485">
        <w:rPr>
          <w:color w:val="000000" w:themeColor="text1"/>
        </w:rPr>
        <w:t>the Court not consciously or systematically consider</w:t>
      </w:r>
      <w:r w:rsidR="00D36CDF" w:rsidRPr="00245485">
        <w:rPr>
          <w:color w:val="000000" w:themeColor="text1"/>
        </w:rPr>
        <w:t>ing</w:t>
      </w:r>
      <w:r w:rsidR="00B637C7" w:rsidRPr="00245485">
        <w:rPr>
          <w:color w:val="000000" w:themeColor="text1"/>
        </w:rPr>
        <w:t xml:space="preserve"> the problem, or at least not yet reach</w:t>
      </w:r>
      <w:r w:rsidR="00D36CDF" w:rsidRPr="00245485">
        <w:rPr>
          <w:color w:val="000000" w:themeColor="text1"/>
        </w:rPr>
        <w:t>ing</w:t>
      </w:r>
      <w:r w:rsidR="00B637C7" w:rsidRPr="00245485">
        <w:rPr>
          <w:color w:val="000000" w:themeColor="text1"/>
        </w:rPr>
        <w:t xml:space="preserve"> a settled view on whether, how far and by what means to address it.  </w:t>
      </w:r>
      <w:r w:rsidR="0096666A" w:rsidRPr="00245485">
        <w:rPr>
          <w:color w:val="000000" w:themeColor="text1"/>
        </w:rPr>
        <w:t xml:space="preserve">But </w:t>
      </w:r>
      <w:r w:rsidR="00D36CDF" w:rsidRPr="00245485">
        <w:rPr>
          <w:color w:val="000000" w:themeColor="text1"/>
        </w:rPr>
        <w:t xml:space="preserve">that is precisely our grounds for caution: </w:t>
      </w:r>
      <w:r w:rsidR="00D00C16" w:rsidRPr="00245485">
        <w:rPr>
          <w:color w:val="000000" w:themeColor="text1"/>
        </w:rPr>
        <w:t>it is difficult to ascertain with any certainty or predictability what the Court’s attitude and approach really is</w:t>
      </w:r>
      <w:r w:rsidR="00D36CDF" w:rsidRPr="00245485">
        <w:rPr>
          <w:color w:val="000000" w:themeColor="text1"/>
        </w:rPr>
        <w:t xml:space="preserve">.  One </w:t>
      </w:r>
      <w:r w:rsidR="0058777D" w:rsidRPr="00245485">
        <w:rPr>
          <w:color w:val="000000" w:themeColor="text1"/>
        </w:rPr>
        <w:t xml:space="preserve">is left with the impression that </w:t>
      </w:r>
      <w:r w:rsidRPr="00245485">
        <w:rPr>
          <w:color w:val="000000" w:themeColor="text1"/>
        </w:rPr>
        <w:t>judicial recognition of the relevance of policy packages</w:t>
      </w:r>
      <w:r w:rsidR="0058777D" w:rsidRPr="00245485">
        <w:rPr>
          <w:color w:val="000000" w:themeColor="text1"/>
        </w:rPr>
        <w:t xml:space="preserve"> – </w:t>
      </w:r>
      <w:r w:rsidRPr="00245485">
        <w:rPr>
          <w:color w:val="000000" w:themeColor="text1"/>
        </w:rPr>
        <w:t>when it comes either to determining the aim and content of a disputed Union act, or to locating and interpreting that act within its wider legal and policy context</w:t>
      </w:r>
      <w:r w:rsidR="0058777D" w:rsidRPr="00245485">
        <w:rPr>
          <w:color w:val="000000" w:themeColor="text1"/>
        </w:rPr>
        <w:t xml:space="preserve"> – is at best limited, at worst rather haphazard</w:t>
      </w:r>
      <w:r w:rsidRPr="00245485">
        <w:rPr>
          <w:color w:val="000000" w:themeColor="text1"/>
        </w:rPr>
        <w:t>.</w:t>
      </w:r>
      <w:r w:rsidR="0096666A" w:rsidRPr="00245485">
        <w:rPr>
          <w:color w:val="000000" w:themeColor="text1"/>
        </w:rPr>
        <w:t xml:space="preserve">  </w:t>
      </w:r>
      <w:r w:rsidR="001D2519" w:rsidRPr="00245485">
        <w:rPr>
          <w:color w:val="000000" w:themeColor="text1"/>
        </w:rPr>
        <w:t xml:space="preserve">  </w:t>
      </w:r>
    </w:p>
    <w:p w14:paraId="6AF55A8A" w14:textId="2B0DD132" w:rsidR="00245485" w:rsidRDefault="00CE6C63" w:rsidP="00245485">
      <w:pPr>
        <w:ind w:firstLine="720"/>
        <w:jc w:val="both"/>
        <w:rPr>
          <w:color w:val="000000" w:themeColor="text1"/>
        </w:rPr>
      </w:pPr>
      <w:r w:rsidRPr="00245485">
        <w:rPr>
          <w:color w:val="000000" w:themeColor="text1"/>
        </w:rPr>
        <w:t xml:space="preserve">In the second place, </w:t>
      </w:r>
      <w:r w:rsidR="00BA12E1" w:rsidRPr="00245485">
        <w:rPr>
          <w:color w:val="000000" w:themeColor="text1"/>
        </w:rPr>
        <w:t xml:space="preserve">even if the Court is open (in principle, in practice) to adapting its caselaw on attributed powers </w:t>
      </w:r>
      <w:r w:rsidR="003A0FD9" w:rsidRPr="00245485">
        <w:rPr>
          <w:color w:val="000000" w:themeColor="text1"/>
        </w:rPr>
        <w:t xml:space="preserve">so as to acknowledge the existence and relevance of </w:t>
      </w:r>
      <w:r w:rsidR="00BA12E1" w:rsidRPr="00245485">
        <w:rPr>
          <w:color w:val="000000" w:themeColor="text1"/>
        </w:rPr>
        <w:t xml:space="preserve">complex policymaking, there </w:t>
      </w:r>
      <w:r w:rsidR="00B9649D" w:rsidRPr="00245485">
        <w:rPr>
          <w:color w:val="000000" w:themeColor="text1"/>
        </w:rPr>
        <w:t>are surely limit</w:t>
      </w:r>
      <w:r w:rsidR="0058777D" w:rsidRPr="00245485">
        <w:rPr>
          <w:color w:val="000000" w:themeColor="text1"/>
        </w:rPr>
        <w:t>s</w:t>
      </w:r>
      <w:r w:rsidR="00B9649D" w:rsidRPr="00245485">
        <w:rPr>
          <w:color w:val="000000" w:themeColor="text1"/>
        </w:rPr>
        <w:t xml:space="preserve"> to </w:t>
      </w:r>
      <w:r w:rsidR="0058777D" w:rsidRPr="00245485">
        <w:rPr>
          <w:color w:val="000000" w:themeColor="text1"/>
        </w:rPr>
        <w:t xml:space="preserve">how far the latter can </w:t>
      </w:r>
      <w:r w:rsidR="003A0FD9" w:rsidRPr="00245485">
        <w:rPr>
          <w:color w:val="000000" w:themeColor="text1"/>
        </w:rPr>
        <w:t xml:space="preserve">really </w:t>
      </w:r>
      <w:r w:rsidR="0058777D" w:rsidRPr="00245485">
        <w:rPr>
          <w:color w:val="000000" w:themeColor="text1"/>
        </w:rPr>
        <w:t xml:space="preserve">influence the </w:t>
      </w:r>
      <w:r w:rsidR="003A0FD9" w:rsidRPr="00245485">
        <w:rPr>
          <w:color w:val="000000" w:themeColor="text1"/>
        </w:rPr>
        <w:t xml:space="preserve">competence </w:t>
      </w:r>
      <w:r w:rsidR="0058777D" w:rsidRPr="00245485">
        <w:rPr>
          <w:color w:val="000000" w:themeColor="text1"/>
        </w:rPr>
        <w:t xml:space="preserve">framework or </w:t>
      </w:r>
      <w:r w:rsidR="003A0FD9" w:rsidRPr="00245485">
        <w:rPr>
          <w:color w:val="000000" w:themeColor="text1"/>
        </w:rPr>
        <w:t xml:space="preserve">determine </w:t>
      </w:r>
      <w:r w:rsidR="0058777D" w:rsidRPr="00245485">
        <w:rPr>
          <w:color w:val="000000" w:themeColor="text1"/>
        </w:rPr>
        <w:t>the outcome of proceedings</w:t>
      </w:r>
      <w:r w:rsidR="002E1877" w:rsidRPr="00245485">
        <w:rPr>
          <w:color w:val="000000" w:themeColor="text1"/>
        </w:rPr>
        <w:t>, when the underpinning frame of reference remains so firmly anchored to testing and evaluating the credentials of each individual and discrete Union act as such</w:t>
      </w:r>
      <w:r w:rsidR="0058777D" w:rsidRPr="00245485">
        <w:rPr>
          <w:color w:val="000000" w:themeColor="text1"/>
        </w:rPr>
        <w:t>.</w:t>
      </w:r>
      <w:r w:rsidR="003A0FD9" w:rsidRPr="00245485">
        <w:rPr>
          <w:color w:val="000000" w:themeColor="text1"/>
        </w:rPr>
        <w:t xml:space="preserve">  In </w:t>
      </w:r>
      <w:r w:rsidR="003A0FD9" w:rsidRPr="00245485">
        <w:rPr>
          <w:i/>
          <w:iCs/>
          <w:color w:val="000000" w:themeColor="text1"/>
        </w:rPr>
        <w:t>Ship Source Pollution</w:t>
      </w:r>
      <w:r w:rsidR="003A0FD9" w:rsidRPr="00245485">
        <w:rPr>
          <w:color w:val="000000" w:themeColor="text1"/>
        </w:rPr>
        <w:t xml:space="preserve">, the </w:t>
      </w:r>
      <w:r w:rsidR="000067A3" w:rsidRPr="00245485">
        <w:rPr>
          <w:color w:val="000000" w:themeColor="text1"/>
        </w:rPr>
        <w:t xml:space="preserve">legislative </w:t>
      </w:r>
      <w:r w:rsidR="003A0FD9" w:rsidRPr="00245485">
        <w:rPr>
          <w:color w:val="000000" w:themeColor="text1"/>
        </w:rPr>
        <w:t>package</w:t>
      </w:r>
      <w:r w:rsidR="000067A3" w:rsidRPr="00245485">
        <w:rPr>
          <w:color w:val="000000" w:themeColor="text1"/>
        </w:rPr>
        <w:t xml:space="preserve">-à-deux </w:t>
      </w:r>
      <w:r w:rsidR="003A0FD9" w:rsidRPr="00245485">
        <w:rPr>
          <w:color w:val="000000" w:themeColor="text1"/>
        </w:rPr>
        <w:t xml:space="preserve">was </w:t>
      </w:r>
      <w:r w:rsidR="009709AC" w:rsidRPr="00245485">
        <w:rPr>
          <w:color w:val="000000" w:themeColor="text1"/>
        </w:rPr>
        <w:t xml:space="preserve">explicitly </w:t>
      </w:r>
      <w:r w:rsidR="003A0FD9" w:rsidRPr="00245485">
        <w:rPr>
          <w:color w:val="000000" w:themeColor="text1"/>
        </w:rPr>
        <w:t>recognised as part of the basic legal and policy context</w:t>
      </w:r>
      <w:r w:rsidR="000067A3" w:rsidRPr="00245485">
        <w:rPr>
          <w:color w:val="000000" w:themeColor="text1"/>
        </w:rPr>
        <w:t xml:space="preserve"> of the dispute</w:t>
      </w:r>
      <w:r w:rsidR="003A0FD9" w:rsidRPr="00245485">
        <w:rPr>
          <w:color w:val="000000" w:themeColor="text1"/>
        </w:rPr>
        <w:t xml:space="preserve">, but it </w:t>
      </w:r>
      <w:r w:rsidR="00A80224" w:rsidRPr="00245485">
        <w:rPr>
          <w:color w:val="000000" w:themeColor="text1"/>
        </w:rPr>
        <w:t xml:space="preserve">frankly </w:t>
      </w:r>
      <w:r w:rsidR="003A0FD9" w:rsidRPr="00245485">
        <w:rPr>
          <w:color w:val="000000" w:themeColor="text1"/>
        </w:rPr>
        <w:t xml:space="preserve">played </w:t>
      </w:r>
      <w:r w:rsidR="009709AC" w:rsidRPr="00245485">
        <w:rPr>
          <w:color w:val="000000" w:themeColor="text1"/>
        </w:rPr>
        <w:t xml:space="preserve">little </w:t>
      </w:r>
      <w:r w:rsidR="003A0FD9" w:rsidRPr="00245485">
        <w:rPr>
          <w:color w:val="000000" w:themeColor="text1"/>
        </w:rPr>
        <w:t xml:space="preserve">further part in the </w:t>
      </w:r>
      <w:r w:rsidR="000067A3" w:rsidRPr="00245485">
        <w:rPr>
          <w:color w:val="000000" w:themeColor="text1"/>
        </w:rPr>
        <w:t xml:space="preserve">Court’s reasoning </w:t>
      </w:r>
      <w:r w:rsidR="003A0FD9" w:rsidRPr="00245485">
        <w:rPr>
          <w:color w:val="000000" w:themeColor="text1"/>
        </w:rPr>
        <w:t xml:space="preserve">and had no </w:t>
      </w:r>
      <w:proofErr w:type="gramStart"/>
      <w:r w:rsidR="003A0FD9" w:rsidRPr="00245485">
        <w:rPr>
          <w:color w:val="000000" w:themeColor="text1"/>
        </w:rPr>
        <w:t xml:space="preserve">particular </w:t>
      </w:r>
      <w:r w:rsidR="003A385B" w:rsidRPr="00245485">
        <w:rPr>
          <w:color w:val="000000" w:themeColor="text1"/>
        </w:rPr>
        <w:t>bearing</w:t>
      </w:r>
      <w:proofErr w:type="gramEnd"/>
      <w:r w:rsidR="003A385B" w:rsidRPr="00245485">
        <w:rPr>
          <w:color w:val="000000" w:themeColor="text1"/>
        </w:rPr>
        <w:t xml:space="preserve"> on the </w:t>
      </w:r>
      <w:r w:rsidR="000067A3" w:rsidRPr="00245485">
        <w:rPr>
          <w:color w:val="000000" w:themeColor="text1"/>
        </w:rPr>
        <w:t xml:space="preserve">Court’s final </w:t>
      </w:r>
      <w:r w:rsidR="003A385B" w:rsidRPr="00245485">
        <w:rPr>
          <w:color w:val="000000" w:themeColor="text1"/>
        </w:rPr>
        <w:t>decision</w:t>
      </w:r>
      <w:r w:rsidR="003A0FD9" w:rsidRPr="00245485">
        <w:rPr>
          <w:color w:val="000000" w:themeColor="text1"/>
        </w:rPr>
        <w:t xml:space="preserve">.  In </w:t>
      </w:r>
      <w:r w:rsidR="003A0FD9" w:rsidRPr="00245485">
        <w:rPr>
          <w:i/>
          <w:iCs/>
          <w:color w:val="000000" w:themeColor="text1"/>
        </w:rPr>
        <w:t>Pringle</w:t>
      </w:r>
      <w:r w:rsidR="003A0FD9" w:rsidRPr="00245485">
        <w:rPr>
          <w:color w:val="000000" w:themeColor="text1"/>
        </w:rPr>
        <w:t xml:space="preserve">, </w:t>
      </w:r>
      <w:r w:rsidR="003A385B" w:rsidRPr="00245485">
        <w:rPr>
          <w:color w:val="000000" w:themeColor="text1"/>
        </w:rPr>
        <w:t xml:space="preserve">the Court </w:t>
      </w:r>
      <w:r w:rsidR="00A80224" w:rsidRPr="00245485">
        <w:rPr>
          <w:color w:val="000000" w:themeColor="text1"/>
        </w:rPr>
        <w:t xml:space="preserve">certainly </w:t>
      </w:r>
      <w:r w:rsidR="003A385B" w:rsidRPr="00245485">
        <w:rPr>
          <w:color w:val="000000" w:themeColor="text1"/>
        </w:rPr>
        <w:t xml:space="preserve">took </w:t>
      </w:r>
      <w:r w:rsidR="00EB6390" w:rsidRPr="00245485">
        <w:rPr>
          <w:color w:val="000000" w:themeColor="text1"/>
        </w:rPr>
        <w:t xml:space="preserve">greater </w:t>
      </w:r>
      <w:r w:rsidR="003A385B" w:rsidRPr="00245485">
        <w:rPr>
          <w:color w:val="000000" w:themeColor="text1"/>
        </w:rPr>
        <w:t xml:space="preserve">account </w:t>
      </w:r>
      <w:r w:rsidR="00EB6390" w:rsidRPr="00245485">
        <w:rPr>
          <w:color w:val="000000" w:themeColor="text1"/>
        </w:rPr>
        <w:t xml:space="preserve">of </w:t>
      </w:r>
      <w:r w:rsidR="003A385B" w:rsidRPr="00245485">
        <w:rPr>
          <w:color w:val="000000" w:themeColor="text1"/>
        </w:rPr>
        <w:t xml:space="preserve">the wider regulatory environment within which the disputed act was negotiated and adopted – but </w:t>
      </w:r>
      <w:r w:rsidR="00EB6390" w:rsidRPr="00245485">
        <w:rPr>
          <w:color w:val="000000" w:themeColor="text1"/>
        </w:rPr>
        <w:t xml:space="preserve">still </w:t>
      </w:r>
      <w:r w:rsidR="003A385B" w:rsidRPr="00245485">
        <w:rPr>
          <w:color w:val="000000" w:themeColor="text1"/>
        </w:rPr>
        <w:t xml:space="preserve">only as a contextual consideration </w:t>
      </w:r>
      <w:r w:rsidR="000067A3" w:rsidRPr="00245485">
        <w:rPr>
          <w:color w:val="000000" w:themeColor="text1"/>
        </w:rPr>
        <w:t xml:space="preserve">that informed </w:t>
      </w:r>
      <w:r w:rsidR="003A385B" w:rsidRPr="00245485">
        <w:rPr>
          <w:color w:val="000000" w:themeColor="text1"/>
        </w:rPr>
        <w:t xml:space="preserve">the </w:t>
      </w:r>
      <w:r w:rsidR="00A80224" w:rsidRPr="00245485">
        <w:rPr>
          <w:color w:val="000000" w:themeColor="text1"/>
        </w:rPr>
        <w:t xml:space="preserve">primary </w:t>
      </w:r>
      <w:r w:rsidR="003A385B" w:rsidRPr="00245485">
        <w:rPr>
          <w:color w:val="000000" w:themeColor="text1"/>
        </w:rPr>
        <w:t xml:space="preserve">task of </w:t>
      </w:r>
      <w:r w:rsidR="00A80224" w:rsidRPr="00245485">
        <w:rPr>
          <w:color w:val="000000" w:themeColor="text1"/>
        </w:rPr>
        <w:t>legal interpretation</w:t>
      </w:r>
      <w:r w:rsidR="000067A3" w:rsidRPr="00245485">
        <w:rPr>
          <w:color w:val="000000" w:themeColor="text1"/>
        </w:rPr>
        <w:t xml:space="preserve"> about the proper boundary between two distinct competence fields</w:t>
      </w:r>
      <w:r w:rsidR="003A385B" w:rsidRPr="00245485">
        <w:rPr>
          <w:color w:val="000000" w:themeColor="text1"/>
        </w:rPr>
        <w:t xml:space="preserve">.  </w:t>
      </w:r>
      <w:r w:rsidR="000067A3" w:rsidRPr="00245485">
        <w:rPr>
          <w:color w:val="000000" w:themeColor="text1"/>
        </w:rPr>
        <w:t xml:space="preserve">So even according to the limited jurisprudence available, </w:t>
      </w:r>
      <w:r w:rsidR="00A80224" w:rsidRPr="00245485">
        <w:rPr>
          <w:color w:val="000000" w:themeColor="text1"/>
        </w:rPr>
        <w:t xml:space="preserve">the </w:t>
      </w:r>
      <w:r w:rsidR="003A385B" w:rsidRPr="00245485">
        <w:rPr>
          <w:color w:val="000000" w:themeColor="text1"/>
        </w:rPr>
        <w:t>conceptual presence of the policy package appear</w:t>
      </w:r>
      <w:r w:rsidR="00EB6390" w:rsidRPr="00245485">
        <w:rPr>
          <w:color w:val="000000" w:themeColor="text1"/>
        </w:rPr>
        <w:t>s</w:t>
      </w:r>
      <w:r w:rsidR="003A385B" w:rsidRPr="00245485">
        <w:rPr>
          <w:color w:val="000000" w:themeColor="text1"/>
        </w:rPr>
        <w:t xml:space="preserve"> relatively </w:t>
      </w:r>
      <w:proofErr w:type="gramStart"/>
      <w:r w:rsidR="003A385B" w:rsidRPr="00245485">
        <w:rPr>
          <w:color w:val="000000" w:themeColor="text1"/>
        </w:rPr>
        <w:t>marginal</w:t>
      </w:r>
      <w:proofErr w:type="gramEnd"/>
      <w:r w:rsidR="003A385B" w:rsidRPr="00245485">
        <w:rPr>
          <w:color w:val="000000" w:themeColor="text1"/>
        </w:rPr>
        <w:t xml:space="preserve"> and </w:t>
      </w:r>
      <w:r w:rsidR="00EB6390" w:rsidRPr="00245485">
        <w:rPr>
          <w:color w:val="000000" w:themeColor="text1"/>
        </w:rPr>
        <w:t xml:space="preserve">its legal force </w:t>
      </w:r>
      <w:r w:rsidR="000067A3" w:rsidRPr="00245485">
        <w:rPr>
          <w:color w:val="000000" w:themeColor="text1"/>
        </w:rPr>
        <w:t xml:space="preserve">ultimately </w:t>
      </w:r>
      <w:r w:rsidR="00EB6390" w:rsidRPr="00245485">
        <w:rPr>
          <w:color w:val="000000" w:themeColor="text1"/>
        </w:rPr>
        <w:t xml:space="preserve">feels </w:t>
      </w:r>
      <w:r w:rsidR="000067A3" w:rsidRPr="00245485">
        <w:rPr>
          <w:color w:val="000000" w:themeColor="text1"/>
        </w:rPr>
        <w:t xml:space="preserve">rather </w:t>
      </w:r>
      <w:r w:rsidR="003A385B" w:rsidRPr="00245485">
        <w:rPr>
          <w:color w:val="000000" w:themeColor="text1"/>
        </w:rPr>
        <w:t xml:space="preserve">weak.  </w:t>
      </w:r>
      <w:r w:rsidR="00A80224" w:rsidRPr="00245485">
        <w:rPr>
          <w:color w:val="000000" w:themeColor="text1"/>
        </w:rPr>
        <w:t xml:space="preserve">There is no evidence </w:t>
      </w:r>
      <w:r w:rsidR="000067A3" w:rsidRPr="00245485">
        <w:rPr>
          <w:color w:val="000000" w:themeColor="text1"/>
        </w:rPr>
        <w:t xml:space="preserve">(for example) </w:t>
      </w:r>
      <w:r w:rsidR="00A80224" w:rsidRPr="00245485">
        <w:rPr>
          <w:color w:val="000000" w:themeColor="text1"/>
        </w:rPr>
        <w:t>that</w:t>
      </w:r>
      <w:r w:rsidR="000067A3" w:rsidRPr="00245485">
        <w:rPr>
          <w:color w:val="000000" w:themeColor="text1"/>
        </w:rPr>
        <w:t xml:space="preserve"> </w:t>
      </w:r>
      <w:r w:rsidR="00A80224" w:rsidRPr="00245485">
        <w:rPr>
          <w:color w:val="000000" w:themeColor="text1"/>
        </w:rPr>
        <w:t xml:space="preserve">if a traditional legal analysis of the disputed act’s aims and content in relation to its purported legal basis were to suggest an appreciable gap in the availability of substantive Union competence, that problem could possibly be cured by </w:t>
      </w:r>
      <w:r w:rsidR="00EB6390" w:rsidRPr="00245485">
        <w:rPr>
          <w:color w:val="000000" w:themeColor="text1"/>
        </w:rPr>
        <w:t xml:space="preserve">referring to </w:t>
      </w:r>
      <w:r w:rsidR="00A80224" w:rsidRPr="00245485">
        <w:rPr>
          <w:color w:val="000000" w:themeColor="text1"/>
        </w:rPr>
        <w:t xml:space="preserve">the </w:t>
      </w:r>
      <w:r w:rsidR="00EB6390" w:rsidRPr="00245485">
        <w:rPr>
          <w:color w:val="000000" w:themeColor="text1"/>
        </w:rPr>
        <w:t xml:space="preserve">broader context of </w:t>
      </w:r>
      <w:r w:rsidR="00DB1300" w:rsidRPr="00245485">
        <w:rPr>
          <w:color w:val="000000" w:themeColor="text1"/>
        </w:rPr>
        <w:t xml:space="preserve">/ need for </w:t>
      </w:r>
      <w:r w:rsidR="00EB6390" w:rsidRPr="00245485">
        <w:rPr>
          <w:color w:val="000000" w:themeColor="text1"/>
        </w:rPr>
        <w:t xml:space="preserve">a </w:t>
      </w:r>
      <w:r w:rsidR="00A80224" w:rsidRPr="00245485">
        <w:rPr>
          <w:color w:val="000000" w:themeColor="text1"/>
        </w:rPr>
        <w:t xml:space="preserve">multi-instrument response to </w:t>
      </w:r>
      <w:r w:rsidR="00EB6390" w:rsidRPr="00245485">
        <w:rPr>
          <w:color w:val="000000" w:themeColor="text1"/>
        </w:rPr>
        <w:t xml:space="preserve">some </w:t>
      </w:r>
      <w:r w:rsidR="00A80224" w:rsidRPr="00245485">
        <w:rPr>
          <w:color w:val="000000" w:themeColor="text1"/>
        </w:rPr>
        <w:t xml:space="preserve">complex </w:t>
      </w:r>
      <w:r w:rsidR="00DB1300" w:rsidRPr="00245485">
        <w:rPr>
          <w:color w:val="000000" w:themeColor="text1"/>
        </w:rPr>
        <w:t xml:space="preserve">/ urgent </w:t>
      </w:r>
      <w:r w:rsidR="00A80224" w:rsidRPr="00245485">
        <w:rPr>
          <w:color w:val="000000" w:themeColor="text1"/>
        </w:rPr>
        <w:t xml:space="preserve">socio-economic </w:t>
      </w:r>
      <w:r w:rsidR="00C877A4">
        <w:rPr>
          <w:color w:val="000000" w:themeColor="text1"/>
        </w:rPr>
        <w:t xml:space="preserve">/ geo-political </w:t>
      </w:r>
      <w:r w:rsidR="00A80224" w:rsidRPr="00245485">
        <w:rPr>
          <w:color w:val="000000" w:themeColor="text1"/>
        </w:rPr>
        <w:t xml:space="preserve">challenge.  Do we really </w:t>
      </w:r>
      <w:r w:rsidR="003A385B" w:rsidRPr="00245485">
        <w:rPr>
          <w:color w:val="000000" w:themeColor="text1"/>
        </w:rPr>
        <w:t>imagine that</w:t>
      </w:r>
      <w:r w:rsidR="00A80224" w:rsidRPr="00245485">
        <w:rPr>
          <w:color w:val="000000" w:themeColor="text1"/>
        </w:rPr>
        <w:t xml:space="preserve">, if the Court had found Regulation 2020/2092 to exceed the substantive regulatory powers available under </w:t>
      </w:r>
      <w:r w:rsidR="00B766E5" w:rsidRPr="00245485">
        <w:rPr>
          <w:color w:val="000000" w:themeColor="text1"/>
        </w:rPr>
        <w:t>Article 322(1)(a) TFEU</w:t>
      </w:r>
      <w:r w:rsidR="00A80224" w:rsidRPr="00245485">
        <w:rPr>
          <w:color w:val="000000" w:themeColor="text1"/>
        </w:rPr>
        <w:t>, that measure could nevertheless have been saved</w:t>
      </w:r>
      <w:r w:rsidR="00EB6390" w:rsidRPr="00245485">
        <w:rPr>
          <w:color w:val="000000" w:themeColor="text1"/>
        </w:rPr>
        <w:t>, simply</w:t>
      </w:r>
      <w:r w:rsidR="00A80224" w:rsidRPr="00245485">
        <w:rPr>
          <w:color w:val="000000" w:themeColor="text1"/>
        </w:rPr>
        <w:t xml:space="preserve"> </w:t>
      </w:r>
      <w:r w:rsidR="00EB6390" w:rsidRPr="00245485">
        <w:rPr>
          <w:color w:val="000000" w:themeColor="text1"/>
        </w:rPr>
        <w:t xml:space="preserve">because it played an </w:t>
      </w:r>
      <w:r w:rsidR="00A80224" w:rsidRPr="00245485">
        <w:rPr>
          <w:color w:val="000000" w:themeColor="text1"/>
        </w:rPr>
        <w:t xml:space="preserve">integral </w:t>
      </w:r>
      <w:r w:rsidR="00EB6390" w:rsidRPr="00245485">
        <w:rPr>
          <w:color w:val="000000" w:themeColor="text1"/>
        </w:rPr>
        <w:t xml:space="preserve">role in finalising the </w:t>
      </w:r>
      <w:r w:rsidR="00A80224" w:rsidRPr="00245485">
        <w:rPr>
          <w:color w:val="000000" w:themeColor="text1"/>
        </w:rPr>
        <w:t xml:space="preserve">overall </w:t>
      </w:r>
      <w:proofErr w:type="spellStart"/>
      <w:r w:rsidR="00A80224" w:rsidRPr="00245485">
        <w:rPr>
          <w:color w:val="000000" w:themeColor="text1"/>
        </w:rPr>
        <w:t>NextGenerationEU</w:t>
      </w:r>
      <w:proofErr w:type="spellEnd"/>
      <w:r w:rsidR="00A80224" w:rsidRPr="00245485">
        <w:rPr>
          <w:color w:val="000000" w:themeColor="text1"/>
        </w:rPr>
        <w:t xml:space="preserve"> package</w:t>
      </w:r>
      <w:r w:rsidR="00DB1300" w:rsidRPr="00245485">
        <w:rPr>
          <w:color w:val="000000" w:themeColor="text1"/>
        </w:rPr>
        <w:t>,</w:t>
      </w:r>
      <w:r w:rsidR="00A80224" w:rsidRPr="00245485">
        <w:rPr>
          <w:color w:val="000000" w:themeColor="text1"/>
        </w:rPr>
        <w:t xml:space="preserve"> </w:t>
      </w:r>
      <w:r w:rsidR="00EB6390" w:rsidRPr="00245485">
        <w:rPr>
          <w:color w:val="000000" w:themeColor="text1"/>
        </w:rPr>
        <w:t xml:space="preserve">based on various </w:t>
      </w:r>
      <w:r w:rsidR="00A80224" w:rsidRPr="00245485">
        <w:rPr>
          <w:color w:val="000000" w:themeColor="text1"/>
        </w:rPr>
        <w:t xml:space="preserve">delicate </w:t>
      </w:r>
      <w:r w:rsidR="00EB6390" w:rsidRPr="00245485">
        <w:rPr>
          <w:color w:val="000000" w:themeColor="text1"/>
        </w:rPr>
        <w:t xml:space="preserve">political </w:t>
      </w:r>
      <w:r w:rsidR="00A80224" w:rsidRPr="00245485">
        <w:rPr>
          <w:color w:val="000000" w:themeColor="text1"/>
        </w:rPr>
        <w:t xml:space="preserve">compromises hammered out by the European Council? </w:t>
      </w:r>
    </w:p>
    <w:p w14:paraId="0A781658" w14:textId="42C71820" w:rsidR="0055786A" w:rsidRPr="00245485" w:rsidRDefault="00CE6C63" w:rsidP="00245485">
      <w:pPr>
        <w:ind w:firstLine="720"/>
        <w:jc w:val="both"/>
        <w:rPr>
          <w:color w:val="000000" w:themeColor="text1"/>
        </w:rPr>
      </w:pPr>
      <w:r w:rsidRPr="00245485">
        <w:rPr>
          <w:color w:val="000000" w:themeColor="text1"/>
        </w:rPr>
        <w:lastRenderedPageBreak/>
        <w:t xml:space="preserve">In the third place, </w:t>
      </w:r>
      <w:r w:rsidR="00B9649D" w:rsidRPr="00245485">
        <w:rPr>
          <w:color w:val="000000" w:themeColor="text1"/>
        </w:rPr>
        <w:t xml:space="preserve">there </w:t>
      </w:r>
      <w:r w:rsidR="00BA12E1" w:rsidRPr="00245485">
        <w:rPr>
          <w:color w:val="000000" w:themeColor="text1"/>
        </w:rPr>
        <w:t xml:space="preserve">remain other design features in the underlying framework governing conferral that place inherent limits on how far </w:t>
      </w:r>
      <w:r w:rsidR="00C44382" w:rsidRPr="00245485">
        <w:rPr>
          <w:color w:val="000000" w:themeColor="text1"/>
        </w:rPr>
        <w:t>policy package</w:t>
      </w:r>
      <w:r w:rsidR="00BA12E1" w:rsidRPr="00245485">
        <w:rPr>
          <w:color w:val="000000" w:themeColor="text1"/>
        </w:rPr>
        <w:t>s</w:t>
      </w:r>
      <w:r w:rsidR="00C44382" w:rsidRPr="00245485">
        <w:rPr>
          <w:color w:val="000000" w:themeColor="text1"/>
        </w:rPr>
        <w:t xml:space="preserve"> </w:t>
      </w:r>
      <w:r w:rsidR="00BA12E1" w:rsidRPr="00245485">
        <w:rPr>
          <w:color w:val="000000" w:themeColor="text1"/>
        </w:rPr>
        <w:t xml:space="preserve">can play a role in </w:t>
      </w:r>
      <w:r w:rsidR="00C44382" w:rsidRPr="00245485">
        <w:rPr>
          <w:color w:val="000000" w:themeColor="text1"/>
        </w:rPr>
        <w:t xml:space="preserve">any competence assessment of </w:t>
      </w:r>
      <w:r w:rsidR="00BA12E1" w:rsidRPr="00245485">
        <w:rPr>
          <w:color w:val="000000" w:themeColor="text1"/>
        </w:rPr>
        <w:t xml:space="preserve">their </w:t>
      </w:r>
      <w:r w:rsidR="00C44382" w:rsidRPr="00245485">
        <w:rPr>
          <w:color w:val="000000" w:themeColor="text1"/>
        </w:rPr>
        <w:t>individual components</w:t>
      </w:r>
      <w:r w:rsidR="00BA12E1" w:rsidRPr="00245485">
        <w:rPr>
          <w:color w:val="000000" w:themeColor="text1"/>
        </w:rPr>
        <w:t xml:space="preserve"> – not least concerning </w:t>
      </w:r>
      <w:r w:rsidR="00C44382" w:rsidRPr="00245485">
        <w:rPr>
          <w:color w:val="000000" w:themeColor="text1"/>
        </w:rPr>
        <w:t xml:space="preserve">the </w:t>
      </w:r>
      <w:r w:rsidR="0055786A" w:rsidRPr="00245485">
        <w:rPr>
          <w:color w:val="000000" w:themeColor="text1"/>
        </w:rPr>
        <w:t xml:space="preserve">very </w:t>
      </w:r>
      <w:r w:rsidR="00C44382" w:rsidRPr="00245485">
        <w:rPr>
          <w:color w:val="000000" w:themeColor="text1"/>
        </w:rPr>
        <w:t>consequences of judicial review</w:t>
      </w:r>
      <w:r w:rsidR="0055786A" w:rsidRPr="00245485">
        <w:rPr>
          <w:color w:val="000000" w:themeColor="text1"/>
        </w:rPr>
        <w:t xml:space="preserve">.  </w:t>
      </w:r>
      <w:r w:rsidR="003F186E" w:rsidRPr="00245485">
        <w:rPr>
          <w:color w:val="000000" w:themeColor="text1"/>
        </w:rPr>
        <w:t>Again, to state the obvious does not diminish its importance: a</w:t>
      </w:r>
      <w:r w:rsidR="00703DC4" w:rsidRPr="00245485">
        <w:rPr>
          <w:color w:val="000000" w:themeColor="text1"/>
        </w:rPr>
        <w:t xml:space="preserve">nnulment of </w:t>
      </w:r>
      <w:r w:rsidR="00C8527A" w:rsidRPr="00245485">
        <w:rPr>
          <w:color w:val="000000" w:themeColor="text1"/>
        </w:rPr>
        <w:t xml:space="preserve">this </w:t>
      </w:r>
      <w:proofErr w:type="gramStart"/>
      <w:r w:rsidR="00C8527A" w:rsidRPr="00245485">
        <w:rPr>
          <w:color w:val="000000" w:themeColor="text1"/>
        </w:rPr>
        <w:t xml:space="preserve">particular </w:t>
      </w:r>
      <w:r w:rsidR="00C44382" w:rsidRPr="00245485">
        <w:rPr>
          <w:color w:val="000000" w:themeColor="text1"/>
        </w:rPr>
        <w:t>disputed</w:t>
      </w:r>
      <w:proofErr w:type="gramEnd"/>
      <w:r w:rsidR="00C44382" w:rsidRPr="00245485">
        <w:rPr>
          <w:color w:val="000000" w:themeColor="text1"/>
        </w:rPr>
        <w:t xml:space="preserve"> </w:t>
      </w:r>
      <w:r w:rsidR="00703DC4" w:rsidRPr="00245485">
        <w:rPr>
          <w:color w:val="000000" w:themeColor="text1"/>
        </w:rPr>
        <w:t xml:space="preserve">measure does not </w:t>
      </w:r>
      <w:r w:rsidR="00C44382" w:rsidRPr="00245485">
        <w:rPr>
          <w:color w:val="000000" w:themeColor="text1"/>
        </w:rPr>
        <w:t xml:space="preserve">in any way </w:t>
      </w:r>
      <w:r w:rsidR="00703DC4" w:rsidRPr="00245485">
        <w:rPr>
          <w:color w:val="000000" w:themeColor="text1"/>
        </w:rPr>
        <w:t xml:space="preserve">affect </w:t>
      </w:r>
      <w:r w:rsidR="00C44382" w:rsidRPr="00245485">
        <w:rPr>
          <w:color w:val="000000" w:themeColor="text1"/>
        </w:rPr>
        <w:t xml:space="preserve">the continued existence </w:t>
      </w:r>
      <w:r w:rsidR="00C8527A" w:rsidRPr="00245485">
        <w:rPr>
          <w:color w:val="000000" w:themeColor="text1"/>
        </w:rPr>
        <w:t xml:space="preserve">and application </w:t>
      </w:r>
      <w:r w:rsidR="00C44382" w:rsidRPr="00245485">
        <w:rPr>
          <w:color w:val="000000" w:themeColor="text1"/>
        </w:rPr>
        <w:t xml:space="preserve">of the </w:t>
      </w:r>
      <w:r w:rsidR="00C8527A" w:rsidRPr="00245485">
        <w:rPr>
          <w:color w:val="000000" w:themeColor="text1"/>
        </w:rPr>
        <w:t xml:space="preserve">entire </w:t>
      </w:r>
      <w:r w:rsidR="00C44382" w:rsidRPr="00245485">
        <w:rPr>
          <w:color w:val="000000" w:themeColor="text1"/>
        </w:rPr>
        <w:t xml:space="preserve">remainder of the overall regulatory deal.  </w:t>
      </w:r>
      <w:r w:rsidR="00C8527A" w:rsidRPr="00245485">
        <w:rPr>
          <w:color w:val="000000" w:themeColor="text1"/>
        </w:rPr>
        <w:t xml:space="preserve">There is no prospect of the competent political institutions </w:t>
      </w:r>
      <w:r w:rsidR="00703DC4" w:rsidRPr="00245485">
        <w:rPr>
          <w:color w:val="000000" w:themeColor="text1"/>
        </w:rPr>
        <w:t xml:space="preserve">“starting </w:t>
      </w:r>
      <w:r w:rsidR="00C8527A" w:rsidRPr="00245485">
        <w:rPr>
          <w:color w:val="000000" w:themeColor="text1"/>
        </w:rPr>
        <w:t xml:space="preserve">over </w:t>
      </w:r>
      <w:r w:rsidR="00703DC4" w:rsidRPr="00245485">
        <w:rPr>
          <w:color w:val="000000" w:themeColor="text1"/>
        </w:rPr>
        <w:t xml:space="preserve">again” </w:t>
      </w:r>
      <w:r w:rsidR="00C8527A" w:rsidRPr="00245485">
        <w:rPr>
          <w:color w:val="000000" w:themeColor="text1"/>
        </w:rPr>
        <w:t xml:space="preserve">with their complex multi-faceted negotiations, or their mutually dependent cross-instrument compromises, </w:t>
      </w:r>
      <w:r w:rsidR="00095281" w:rsidRPr="00245485">
        <w:rPr>
          <w:color w:val="000000" w:themeColor="text1"/>
        </w:rPr>
        <w:t>simply</w:t>
      </w:r>
      <w:r w:rsidR="00703DC4" w:rsidRPr="00245485">
        <w:rPr>
          <w:color w:val="000000" w:themeColor="text1"/>
        </w:rPr>
        <w:t xml:space="preserve"> because one </w:t>
      </w:r>
      <w:r w:rsidR="00C8527A" w:rsidRPr="00245485">
        <w:rPr>
          <w:color w:val="000000" w:themeColor="text1"/>
        </w:rPr>
        <w:t xml:space="preserve">constituent </w:t>
      </w:r>
      <w:r w:rsidR="00703DC4" w:rsidRPr="00245485">
        <w:rPr>
          <w:color w:val="000000" w:themeColor="text1"/>
        </w:rPr>
        <w:t xml:space="preserve">element has </w:t>
      </w:r>
      <w:r w:rsidR="00C8527A" w:rsidRPr="00245485">
        <w:rPr>
          <w:color w:val="000000" w:themeColor="text1"/>
        </w:rPr>
        <w:t xml:space="preserve">just </w:t>
      </w:r>
      <w:r w:rsidR="00703DC4" w:rsidRPr="00245485">
        <w:rPr>
          <w:color w:val="000000" w:themeColor="text1"/>
        </w:rPr>
        <w:t>been annulled</w:t>
      </w:r>
      <w:r w:rsidR="00C8527A" w:rsidRPr="00245485">
        <w:rPr>
          <w:color w:val="000000" w:themeColor="text1"/>
        </w:rPr>
        <w:t xml:space="preserve">.  In </w:t>
      </w:r>
      <w:r w:rsidR="00703DC4" w:rsidRPr="00245485">
        <w:rPr>
          <w:color w:val="000000" w:themeColor="text1"/>
        </w:rPr>
        <w:t xml:space="preserve">particular, </w:t>
      </w:r>
      <w:r w:rsidR="00C8527A" w:rsidRPr="00245485">
        <w:rPr>
          <w:color w:val="000000" w:themeColor="text1"/>
        </w:rPr>
        <w:t xml:space="preserve">when it comes to processing the full legal consequences of infringement, the Court is entirely unconcerned with questions about the potential </w:t>
      </w:r>
      <w:r w:rsidR="00703DC4" w:rsidRPr="00245485">
        <w:rPr>
          <w:color w:val="000000" w:themeColor="text1"/>
        </w:rPr>
        <w:t xml:space="preserve">severability of </w:t>
      </w:r>
      <w:r w:rsidR="00C8527A" w:rsidRPr="00245485">
        <w:rPr>
          <w:color w:val="000000" w:themeColor="text1"/>
        </w:rPr>
        <w:t xml:space="preserve">the disputed </w:t>
      </w:r>
      <w:r w:rsidR="00703DC4" w:rsidRPr="00245485">
        <w:rPr>
          <w:color w:val="000000" w:themeColor="text1"/>
        </w:rPr>
        <w:t xml:space="preserve">act from </w:t>
      </w:r>
      <w:r w:rsidR="00C8527A" w:rsidRPr="00245485">
        <w:rPr>
          <w:color w:val="000000" w:themeColor="text1"/>
        </w:rPr>
        <w:t xml:space="preserve">the </w:t>
      </w:r>
      <w:r w:rsidR="00703DC4" w:rsidRPr="00245485">
        <w:rPr>
          <w:color w:val="000000" w:themeColor="text1"/>
        </w:rPr>
        <w:t>wider package of measures</w:t>
      </w:r>
      <w:r w:rsidR="00C8527A" w:rsidRPr="00245485">
        <w:rPr>
          <w:color w:val="000000" w:themeColor="text1"/>
        </w:rPr>
        <w:t xml:space="preserve"> </w:t>
      </w:r>
      <w:r w:rsidR="0078045B" w:rsidRPr="00245485">
        <w:rPr>
          <w:color w:val="000000" w:themeColor="text1"/>
        </w:rPr>
        <w:t xml:space="preserve">– even though </w:t>
      </w:r>
      <w:r w:rsidR="00C8527A" w:rsidRPr="00245485">
        <w:rPr>
          <w:color w:val="000000" w:themeColor="text1"/>
        </w:rPr>
        <w:t xml:space="preserve">(from a political perspective) </w:t>
      </w:r>
      <w:r w:rsidR="0078045B" w:rsidRPr="00245485">
        <w:rPr>
          <w:color w:val="000000" w:themeColor="text1"/>
        </w:rPr>
        <w:t xml:space="preserve">the disputed </w:t>
      </w:r>
      <w:r w:rsidR="00C8527A" w:rsidRPr="00245485">
        <w:rPr>
          <w:color w:val="000000" w:themeColor="text1"/>
        </w:rPr>
        <w:t>act might well have formed an integral or even crucial part</w:t>
      </w:r>
      <w:r w:rsidR="0078045B" w:rsidRPr="00245485">
        <w:rPr>
          <w:color w:val="000000" w:themeColor="text1"/>
        </w:rPr>
        <w:t xml:space="preserve"> in the adoption of that wider package of measures, based on its substantive content </w:t>
      </w:r>
      <w:r w:rsidR="00FD7A66" w:rsidRPr="00245485">
        <w:rPr>
          <w:color w:val="000000" w:themeColor="text1"/>
        </w:rPr>
        <w:t xml:space="preserve">and / or the transversal </w:t>
      </w:r>
      <w:r w:rsidR="00703DC4" w:rsidRPr="00245485">
        <w:rPr>
          <w:color w:val="000000" w:themeColor="text1"/>
        </w:rPr>
        <w:t xml:space="preserve">compromises that were </w:t>
      </w:r>
      <w:r w:rsidR="00FD7A66" w:rsidRPr="00245485">
        <w:rPr>
          <w:color w:val="000000" w:themeColor="text1"/>
        </w:rPr>
        <w:t xml:space="preserve">needed to </w:t>
      </w:r>
      <w:r w:rsidR="00703DC4" w:rsidRPr="00245485">
        <w:rPr>
          <w:color w:val="000000" w:themeColor="text1"/>
        </w:rPr>
        <w:t>secur</w:t>
      </w:r>
      <w:r w:rsidR="00FD7A66" w:rsidRPr="00245485">
        <w:rPr>
          <w:color w:val="000000" w:themeColor="text1"/>
        </w:rPr>
        <w:t>e</w:t>
      </w:r>
      <w:r w:rsidR="00703DC4" w:rsidRPr="00245485">
        <w:rPr>
          <w:color w:val="000000" w:themeColor="text1"/>
        </w:rPr>
        <w:t xml:space="preserve"> its </w:t>
      </w:r>
      <w:r w:rsidR="00FD7A66" w:rsidRPr="00245485">
        <w:rPr>
          <w:color w:val="000000" w:themeColor="text1"/>
        </w:rPr>
        <w:t>institutional endorsement.</w:t>
      </w:r>
      <w:r w:rsidR="002E1877" w:rsidRPr="00245485">
        <w:rPr>
          <w:rStyle w:val="FootnoteReference"/>
          <w:color w:val="000000" w:themeColor="text1"/>
        </w:rPr>
        <w:footnoteReference w:id="73"/>
      </w:r>
      <w:r w:rsidR="003F186E" w:rsidRPr="00245485">
        <w:rPr>
          <w:color w:val="000000" w:themeColor="text1"/>
        </w:rPr>
        <w:t xml:space="preserve">  </w:t>
      </w:r>
    </w:p>
    <w:p w14:paraId="35D7937E" w14:textId="16E1A3B9" w:rsidR="002467DF" w:rsidRPr="00245485" w:rsidRDefault="002467DF" w:rsidP="00245485">
      <w:pPr>
        <w:jc w:val="both"/>
        <w:rPr>
          <w:color w:val="000000" w:themeColor="text1"/>
        </w:rPr>
      </w:pPr>
    </w:p>
    <w:p w14:paraId="6952A6D4" w14:textId="36D498F1" w:rsidR="004746E0" w:rsidRPr="00245485" w:rsidRDefault="002F5487" w:rsidP="00245485">
      <w:pPr>
        <w:jc w:val="both"/>
        <w:rPr>
          <w:b/>
          <w:bCs/>
          <w:color w:val="000000" w:themeColor="text1"/>
        </w:rPr>
      </w:pPr>
      <w:r w:rsidRPr="00245485">
        <w:rPr>
          <w:b/>
          <w:bCs/>
          <w:color w:val="000000" w:themeColor="text1"/>
        </w:rPr>
        <w:t xml:space="preserve">5. </w:t>
      </w:r>
      <w:r w:rsidR="004746E0" w:rsidRPr="00245485">
        <w:rPr>
          <w:b/>
          <w:bCs/>
          <w:color w:val="000000" w:themeColor="text1"/>
        </w:rPr>
        <w:t>Potential Consequences of Dislocating Legal Attribution from Policy Packages</w:t>
      </w:r>
    </w:p>
    <w:p w14:paraId="2CADA3AF" w14:textId="77777777" w:rsidR="004746E0" w:rsidRPr="00245485" w:rsidRDefault="004746E0" w:rsidP="00245485">
      <w:pPr>
        <w:jc w:val="both"/>
        <w:rPr>
          <w:color w:val="000000" w:themeColor="text1"/>
        </w:rPr>
      </w:pPr>
    </w:p>
    <w:p w14:paraId="3A74AEE3" w14:textId="77777777" w:rsidR="00245485" w:rsidRDefault="00033108" w:rsidP="00245485">
      <w:pPr>
        <w:jc w:val="both"/>
        <w:rPr>
          <w:color w:val="000000" w:themeColor="text1"/>
        </w:rPr>
      </w:pPr>
      <w:r w:rsidRPr="00245485">
        <w:rPr>
          <w:color w:val="000000" w:themeColor="text1"/>
        </w:rPr>
        <w:t>T</w:t>
      </w:r>
      <w:r w:rsidR="00FA191B" w:rsidRPr="00245485">
        <w:rPr>
          <w:color w:val="000000" w:themeColor="text1"/>
        </w:rPr>
        <w:t xml:space="preserve">he </w:t>
      </w:r>
      <w:r w:rsidR="00BA6649" w:rsidRPr="00245485">
        <w:rPr>
          <w:color w:val="000000" w:themeColor="text1"/>
        </w:rPr>
        <w:t xml:space="preserve">fact that, </w:t>
      </w:r>
      <w:r w:rsidR="00703DC4" w:rsidRPr="00245485">
        <w:rPr>
          <w:color w:val="000000" w:themeColor="text1"/>
        </w:rPr>
        <w:t xml:space="preserve">neither in </w:t>
      </w:r>
      <w:r w:rsidR="00314186" w:rsidRPr="00245485">
        <w:rPr>
          <w:color w:val="000000" w:themeColor="text1"/>
        </w:rPr>
        <w:t xml:space="preserve">framing the basic questions about competence compatibility, nor in </w:t>
      </w:r>
      <w:r w:rsidR="00703DC4" w:rsidRPr="00245485">
        <w:rPr>
          <w:color w:val="000000" w:themeColor="text1"/>
        </w:rPr>
        <w:t xml:space="preserve">assessing </w:t>
      </w:r>
      <w:r w:rsidR="00BA6649" w:rsidRPr="00245485">
        <w:rPr>
          <w:color w:val="000000" w:themeColor="text1"/>
        </w:rPr>
        <w:t xml:space="preserve">the </w:t>
      </w:r>
      <w:r w:rsidR="00314186" w:rsidRPr="00245485">
        <w:rPr>
          <w:color w:val="000000" w:themeColor="text1"/>
        </w:rPr>
        <w:t xml:space="preserve">detailed </w:t>
      </w:r>
      <w:r w:rsidR="00703DC4" w:rsidRPr="00245485">
        <w:rPr>
          <w:color w:val="000000" w:themeColor="text1"/>
        </w:rPr>
        <w:t xml:space="preserve">legality </w:t>
      </w:r>
      <w:r w:rsidR="00BA6649" w:rsidRPr="00245485">
        <w:rPr>
          <w:color w:val="000000" w:themeColor="text1"/>
        </w:rPr>
        <w:t xml:space="preserve">of the disputed act, </w:t>
      </w:r>
      <w:r w:rsidR="00703DC4" w:rsidRPr="00245485">
        <w:rPr>
          <w:color w:val="000000" w:themeColor="text1"/>
        </w:rPr>
        <w:t xml:space="preserve">nor in determining </w:t>
      </w:r>
      <w:r w:rsidR="00BA6649" w:rsidRPr="00245485">
        <w:rPr>
          <w:color w:val="000000" w:themeColor="text1"/>
        </w:rPr>
        <w:t xml:space="preserve">the consequences of annulment, nor in assessing the potential for </w:t>
      </w:r>
      <w:r w:rsidR="00703DC4" w:rsidRPr="00245485">
        <w:rPr>
          <w:color w:val="000000" w:themeColor="text1"/>
        </w:rPr>
        <w:t>severability</w:t>
      </w:r>
      <w:r w:rsidR="00BA6649" w:rsidRPr="00245485">
        <w:rPr>
          <w:color w:val="000000" w:themeColor="text1"/>
        </w:rPr>
        <w:t>,</w:t>
      </w:r>
      <w:r w:rsidR="00703DC4" w:rsidRPr="00245485">
        <w:rPr>
          <w:color w:val="000000" w:themeColor="text1"/>
        </w:rPr>
        <w:t xml:space="preserve"> does </w:t>
      </w:r>
      <w:r w:rsidR="00BA6649" w:rsidRPr="00245485">
        <w:rPr>
          <w:color w:val="000000" w:themeColor="text1"/>
        </w:rPr>
        <w:t xml:space="preserve">the </w:t>
      </w:r>
      <w:r w:rsidR="00703DC4" w:rsidRPr="00245485">
        <w:rPr>
          <w:color w:val="000000" w:themeColor="text1"/>
        </w:rPr>
        <w:t xml:space="preserve">current system of attributed powers </w:t>
      </w:r>
      <w:r w:rsidR="00BA12E1" w:rsidRPr="00245485">
        <w:rPr>
          <w:color w:val="000000" w:themeColor="text1"/>
        </w:rPr>
        <w:t xml:space="preserve">comfortably and consistently recognise and accommodate </w:t>
      </w:r>
      <w:r w:rsidR="00BA6649" w:rsidRPr="00245485">
        <w:rPr>
          <w:color w:val="000000" w:themeColor="text1"/>
        </w:rPr>
        <w:t xml:space="preserve">the existence of the complex policy </w:t>
      </w:r>
      <w:r w:rsidR="00703DC4" w:rsidRPr="00245485">
        <w:rPr>
          <w:color w:val="000000" w:themeColor="text1"/>
        </w:rPr>
        <w:t xml:space="preserve">package as such, </w:t>
      </w:r>
      <w:r w:rsidR="00BA6649" w:rsidRPr="00245485">
        <w:rPr>
          <w:color w:val="000000" w:themeColor="text1"/>
        </w:rPr>
        <w:t xml:space="preserve">suggests that the political conditions under which important Union legislative and other regulatory initiatives are negotiated and settled </w:t>
      </w:r>
      <w:r w:rsidR="00703DC4" w:rsidRPr="00245485">
        <w:rPr>
          <w:color w:val="000000" w:themeColor="text1"/>
        </w:rPr>
        <w:t xml:space="preserve">(on the one hand) and </w:t>
      </w:r>
      <w:r w:rsidR="00BA6649" w:rsidRPr="00245485">
        <w:rPr>
          <w:color w:val="000000" w:themeColor="text1"/>
        </w:rPr>
        <w:t xml:space="preserve">the </w:t>
      </w:r>
      <w:r w:rsidR="00703DC4" w:rsidRPr="00245485">
        <w:rPr>
          <w:color w:val="000000" w:themeColor="text1"/>
        </w:rPr>
        <w:t xml:space="preserve">constitutional </w:t>
      </w:r>
      <w:r w:rsidR="00BA6649" w:rsidRPr="00245485">
        <w:rPr>
          <w:color w:val="000000" w:themeColor="text1"/>
        </w:rPr>
        <w:t xml:space="preserve">conditions under which those initiatives are </w:t>
      </w:r>
      <w:r w:rsidR="00703DC4" w:rsidRPr="00245485">
        <w:rPr>
          <w:color w:val="000000" w:themeColor="text1"/>
        </w:rPr>
        <w:t>assess</w:t>
      </w:r>
      <w:r w:rsidR="00BA6649" w:rsidRPr="00245485">
        <w:rPr>
          <w:color w:val="000000" w:themeColor="text1"/>
        </w:rPr>
        <w:t>ed</w:t>
      </w:r>
      <w:r w:rsidR="00703DC4" w:rsidRPr="00245485">
        <w:rPr>
          <w:color w:val="000000" w:themeColor="text1"/>
        </w:rPr>
        <w:t xml:space="preserve"> </w:t>
      </w:r>
      <w:r w:rsidR="00BA6649" w:rsidRPr="00245485">
        <w:rPr>
          <w:color w:val="000000" w:themeColor="text1"/>
        </w:rPr>
        <w:t xml:space="preserve">from a competence perspective </w:t>
      </w:r>
      <w:r w:rsidR="00703DC4" w:rsidRPr="00245485">
        <w:rPr>
          <w:color w:val="000000" w:themeColor="text1"/>
        </w:rPr>
        <w:t xml:space="preserve">(on the other hand) </w:t>
      </w:r>
      <w:r w:rsidR="00BA6649" w:rsidRPr="00245485">
        <w:rPr>
          <w:color w:val="000000" w:themeColor="text1"/>
        </w:rPr>
        <w:t xml:space="preserve">risk becoming </w:t>
      </w:r>
      <w:r w:rsidR="00703DC4" w:rsidRPr="00245485">
        <w:rPr>
          <w:color w:val="000000" w:themeColor="text1"/>
        </w:rPr>
        <w:t xml:space="preserve">increasingly dislocated.  </w:t>
      </w:r>
      <w:r w:rsidR="00BA6649" w:rsidRPr="00245485">
        <w:rPr>
          <w:color w:val="000000" w:themeColor="text1"/>
        </w:rPr>
        <w:t xml:space="preserve">Indeed, it seems clear that the framework within which lawyers evaluate the </w:t>
      </w:r>
      <w:r w:rsidR="00703DC4" w:rsidRPr="00245485">
        <w:rPr>
          <w:color w:val="000000" w:themeColor="text1"/>
        </w:rPr>
        <w:t xml:space="preserve">constitutionality </w:t>
      </w:r>
      <w:r w:rsidR="00BA6649" w:rsidRPr="00245485">
        <w:rPr>
          <w:color w:val="000000" w:themeColor="text1"/>
        </w:rPr>
        <w:t xml:space="preserve">of </w:t>
      </w:r>
      <w:r w:rsidR="00DB1300" w:rsidRPr="00245485">
        <w:rPr>
          <w:color w:val="000000" w:themeColor="text1"/>
        </w:rPr>
        <w:t xml:space="preserve">any </w:t>
      </w:r>
      <w:r w:rsidR="00703DC4" w:rsidRPr="00245485">
        <w:rPr>
          <w:color w:val="000000" w:themeColor="text1"/>
        </w:rPr>
        <w:t xml:space="preserve">given act can differ, </w:t>
      </w:r>
      <w:r w:rsidR="0035288A" w:rsidRPr="00245485">
        <w:rPr>
          <w:color w:val="000000" w:themeColor="text1"/>
        </w:rPr>
        <w:t xml:space="preserve">perhaps </w:t>
      </w:r>
      <w:r w:rsidR="00703DC4" w:rsidRPr="00245485">
        <w:rPr>
          <w:color w:val="000000" w:themeColor="text1"/>
        </w:rPr>
        <w:t xml:space="preserve">even radically, from </w:t>
      </w:r>
      <w:r w:rsidR="00BA6649" w:rsidRPr="00245485">
        <w:rPr>
          <w:color w:val="000000" w:themeColor="text1"/>
        </w:rPr>
        <w:t xml:space="preserve">the environment in which policymakers </w:t>
      </w:r>
      <w:proofErr w:type="gramStart"/>
      <w:r w:rsidR="00BA6649" w:rsidRPr="00245485">
        <w:rPr>
          <w:color w:val="000000" w:themeColor="text1"/>
        </w:rPr>
        <w:t>actually reach</w:t>
      </w:r>
      <w:proofErr w:type="gramEnd"/>
      <w:r w:rsidR="00BA6649" w:rsidRPr="00245485">
        <w:rPr>
          <w:color w:val="000000" w:themeColor="text1"/>
        </w:rPr>
        <w:t xml:space="preserve"> </w:t>
      </w:r>
      <w:r w:rsidR="00703DC4" w:rsidRPr="00245485">
        <w:rPr>
          <w:color w:val="000000" w:themeColor="text1"/>
        </w:rPr>
        <w:t xml:space="preserve">agreement over </w:t>
      </w:r>
      <w:r w:rsidR="00BA6649" w:rsidRPr="00245485">
        <w:rPr>
          <w:color w:val="000000" w:themeColor="text1"/>
        </w:rPr>
        <w:t xml:space="preserve">the </w:t>
      </w:r>
      <w:r w:rsidR="00703DC4" w:rsidRPr="00245485">
        <w:rPr>
          <w:color w:val="000000" w:themeColor="text1"/>
        </w:rPr>
        <w:t xml:space="preserve">package as a whole.  </w:t>
      </w:r>
    </w:p>
    <w:p w14:paraId="23046A37" w14:textId="6FDCC306" w:rsidR="00245485" w:rsidRDefault="007E0556" w:rsidP="00245485">
      <w:pPr>
        <w:ind w:firstLine="720"/>
        <w:jc w:val="both"/>
        <w:rPr>
          <w:color w:val="000000" w:themeColor="text1"/>
        </w:rPr>
      </w:pPr>
      <w:r w:rsidRPr="00245485">
        <w:rPr>
          <w:color w:val="000000" w:themeColor="text1"/>
        </w:rPr>
        <w:t xml:space="preserve">As we know, legal objections on grounds of attributed powers are capable of translating into various substantive and / or procedural consequences: the issue might be the Union’s total lack, or unexpected enjoyment, of competence to adopt a given instrument; or there might be a choice between legal bases that will affect (for example) the balance between Union and national regulatory power or (another example) the terms of institutional participation as regards the disputed measure.  </w:t>
      </w:r>
      <w:r w:rsidR="00AB1B6B" w:rsidRPr="00245485">
        <w:rPr>
          <w:color w:val="000000" w:themeColor="text1"/>
        </w:rPr>
        <w:t xml:space="preserve">The key point </w:t>
      </w:r>
      <w:proofErr w:type="gramStart"/>
      <w:r w:rsidR="00AB1B6B" w:rsidRPr="00245485">
        <w:rPr>
          <w:color w:val="000000" w:themeColor="text1"/>
        </w:rPr>
        <w:t>is:</w:t>
      </w:r>
      <w:proofErr w:type="gramEnd"/>
      <w:r w:rsidR="00AB1B6B" w:rsidRPr="00245485">
        <w:rPr>
          <w:color w:val="000000" w:themeColor="text1"/>
        </w:rPr>
        <w:t xml:space="preserve"> those varied substantive and / procedural </w:t>
      </w:r>
      <w:r w:rsidRPr="00245485">
        <w:rPr>
          <w:color w:val="000000" w:themeColor="text1"/>
        </w:rPr>
        <w:t>consequences do not matter only for the disputed act and its potential renegotiation; they also matter for the nature and integrity of the wider policy package of which th</w:t>
      </w:r>
      <w:r w:rsidR="00AB1B6B" w:rsidRPr="00245485">
        <w:rPr>
          <w:color w:val="000000" w:themeColor="text1"/>
        </w:rPr>
        <w:t>at</w:t>
      </w:r>
      <w:r w:rsidRPr="00245485">
        <w:rPr>
          <w:color w:val="000000" w:themeColor="text1"/>
        </w:rPr>
        <w:t xml:space="preserve"> disputed act is merely one component.  </w:t>
      </w:r>
      <w:r w:rsidR="00AB1B6B" w:rsidRPr="00245485">
        <w:rPr>
          <w:color w:val="000000" w:themeColor="text1"/>
        </w:rPr>
        <w:t xml:space="preserve">On the one hand, since </w:t>
      </w:r>
      <w:r w:rsidRPr="00245485">
        <w:rPr>
          <w:color w:val="000000" w:themeColor="text1"/>
        </w:rPr>
        <w:t xml:space="preserve">the specific competence variables that might arise within a complex policy initiative can take such different forms, they are also </w:t>
      </w:r>
      <w:r w:rsidR="002E1877" w:rsidRPr="00245485">
        <w:rPr>
          <w:color w:val="000000" w:themeColor="text1"/>
        </w:rPr>
        <w:t>liable</w:t>
      </w:r>
      <w:r w:rsidRPr="00245485">
        <w:rPr>
          <w:color w:val="000000" w:themeColor="text1"/>
        </w:rPr>
        <w:t xml:space="preserve"> to influence the relevant negotiations and / or outcomes in correspondingly diverse ways.  And </w:t>
      </w:r>
      <w:proofErr w:type="gramStart"/>
      <w:r w:rsidRPr="00245485">
        <w:rPr>
          <w:color w:val="000000" w:themeColor="text1"/>
        </w:rPr>
        <w:t>so</w:t>
      </w:r>
      <w:proofErr w:type="gramEnd"/>
      <w:r w:rsidRPr="00245485">
        <w:rPr>
          <w:color w:val="000000" w:themeColor="text1"/>
        </w:rPr>
        <w:t xml:space="preserve"> our traditional legal appraisal of the “individual and discrete Union act” might produce a range of reverberations in respect of the wider policy package, the precise nature and significance of which will inevitably vary from case to case.  </w:t>
      </w:r>
      <w:r w:rsidR="00AB1B6B" w:rsidRPr="00245485">
        <w:rPr>
          <w:color w:val="000000" w:themeColor="text1"/>
        </w:rPr>
        <w:t xml:space="preserve">On the other hand, </w:t>
      </w:r>
      <w:r w:rsidRPr="00245485">
        <w:rPr>
          <w:color w:val="000000" w:themeColor="text1"/>
        </w:rPr>
        <w:t xml:space="preserve">whatever the precise internal dynamics of any given situation, </w:t>
      </w:r>
      <w:r w:rsidR="00AB1B6B" w:rsidRPr="00245485">
        <w:rPr>
          <w:color w:val="000000" w:themeColor="text1"/>
        </w:rPr>
        <w:t xml:space="preserve">it is possible to identify certain more </w:t>
      </w:r>
      <w:proofErr w:type="gramStart"/>
      <w:r w:rsidR="00AB1B6B" w:rsidRPr="00245485">
        <w:rPr>
          <w:color w:val="000000" w:themeColor="text1"/>
        </w:rPr>
        <w:t xml:space="preserve">general </w:t>
      </w:r>
      <w:r w:rsidRPr="00245485">
        <w:rPr>
          <w:color w:val="000000" w:themeColor="text1"/>
        </w:rPr>
        <w:t xml:space="preserve"> proposition</w:t>
      </w:r>
      <w:r w:rsidR="00AB1B6B" w:rsidRPr="00245485">
        <w:rPr>
          <w:color w:val="000000" w:themeColor="text1"/>
        </w:rPr>
        <w:t>s</w:t>
      </w:r>
      <w:proofErr w:type="gramEnd"/>
      <w:r w:rsidRPr="00245485">
        <w:rPr>
          <w:color w:val="000000" w:themeColor="text1"/>
        </w:rPr>
        <w:t xml:space="preserve"> </w:t>
      </w:r>
      <w:r w:rsidR="00AB1B6B" w:rsidRPr="00245485">
        <w:rPr>
          <w:color w:val="000000" w:themeColor="text1"/>
        </w:rPr>
        <w:t>about the potential, and potentially significant, consequences that might arise from the disjuncture between the (artificially) bounded world of Union competence control and the (messy) realities of Union policymaking</w:t>
      </w:r>
      <w:r w:rsidRPr="00245485">
        <w:rPr>
          <w:color w:val="000000" w:themeColor="text1"/>
        </w:rPr>
        <w:t>.</w:t>
      </w:r>
    </w:p>
    <w:p w14:paraId="0332AA94" w14:textId="49C6AABC" w:rsidR="006E2934" w:rsidRDefault="006E2934" w:rsidP="006E2934">
      <w:pPr>
        <w:jc w:val="both"/>
        <w:rPr>
          <w:color w:val="000000" w:themeColor="text1"/>
        </w:rPr>
      </w:pPr>
    </w:p>
    <w:p w14:paraId="6590C643" w14:textId="5C3DEC26" w:rsidR="006E2934" w:rsidRPr="006E2934" w:rsidRDefault="006E2934" w:rsidP="006E2934">
      <w:pPr>
        <w:jc w:val="both"/>
        <w:rPr>
          <w:i/>
          <w:iCs/>
          <w:color w:val="000000" w:themeColor="text1"/>
        </w:rPr>
      </w:pPr>
      <w:r>
        <w:rPr>
          <w:i/>
          <w:iCs/>
          <w:color w:val="000000" w:themeColor="text1"/>
        </w:rPr>
        <w:t>5</w:t>
      </w:r>
      <w:r w:rsidRPr="00E308BC">
        <w:rPr>
          <w:i/>
          <w:iCs/>
          <w:color w:val="000000" w:themeColor="text1"/>
        </w:rPr>
        <w:t xml:space="preserve">.1 </w:t>
      </w:r>
      <w:r>
        <w:rPr>
          <w:i/>
          <w:iCs/>
          <w:color w:val="000000" w:themeColor="text1"/>
        </w:rPr>
        <w:t>Conferral and atomisation</w:t>
      </w:r>
    </w:p>
    <w:p w14:paraId="37F2A863" w14:textId="77777777" w:rsidR="006E2934" w:rsidRDefault="006E2934" w:rsidP="006E2934">
      <w:pPr>
        <w:jc w:val="both"/>
        <w:rPr>
          <w:color w:val="000000" w:themeColor="text1"/>
        </w:rPr>
      </w:pPr>
    </w:p>
    <w:p w14:paraId="085C263E" w14:textId="77777777" w:rsidR="00245485" w:rsidRDefault="00883486" w:rsidP="006E2934">
      <w:pPr>
        <w:jc w:val="both"/>
        <w:rPr>
          <w:color w:val="000000" w:themeColor="text1"/>
        </w:rPr>
      </w:pPr>
      <w:r w:rsidRPr="00245485">
        <w:rPr>
          <w:color w:val="000000" w:themeColor="text1"/>
        </w:rPr>
        <w:t>To begin with</w:t>
      </w:r>
      <w:r w:rsidR="0055786A" w:rsidRPr="00245485">
        <w:rPr>
          <w:color w:val="000000" w:themeColor="text1"/>
        </w:rPr>
        <w:t xml:space="preserve">: </w:t>
      </w:r>
      <w:r w:rsidR="00456101" w:rsidRPr="00245485">
        <w:rPr>
          <w:color w:val="000000" w:themeColor="text1"/>
        </w:rPr>
        <w:t xml:space="preserve">it is </w:t>
      </w:r>
      <w:r w:rsidRPr="00245485">
        <w:rPr>
          <w:color w:val="000000" w:themeColor="text1"/>
        </w:rPr>
        <w:t xml:space="preserve">obvious that the very intellectual framework of conferral reinforces the atomisation or compartmentalisation of complex policy responses into individual and discrete Union acts.  </w:t>
      </w:r>
      <w:r w:rsidR="00456101" w:rsidRPr="00245485">
        <w:rPr>
          <w:color w:val="000000" w:themeColor="text1"/>
        </w:rPr>
        <w:t xml:space="preserve">That is true, </w:t>
      </w:r>
      <w:r w:rsidRPr="00245485">
        <w:rPr>
          <w:color w:val="000000" w:themeColor="text1"/>
        </w:rPr>
        <w:t xml:space="preserve">not just </w:t>
      </w:r>
      <w:r w:rsidR="00456101" w:rsidRPr="00245485">
        <w:rPr>
          <w:color w:val="000000" w:themeColor="text1"/>
        </w:rPr>
        <w:t xml:space="preserve">due to the fundamental </w:t>
      </w:r>
      <w:r w:rsidR="00382A1B" w:rsidRPr="00245485">
        <w:rPr>
          <w:color w:val="000000" w:themeColor="text1"/>
        </w:rPr>
        <w:t xml:space="preserve">primary law </w:t>
      </w:r>
      <w:r w:rsidR="00456101" w:rsidRPr="00245485">
        <w:rPr>
          <w:color w:val="000000" w:themeColor="text1"/>
        </w:rPr>
        <w:t xml:space="preserve">premiss of attributed powers, </w:t>
      </w:r>
      <w:r w:rsidRPr="00245485">
        <w:rPr>
          <w:color w:val="000000" w:themeColor="text1"/>
        </w:rPr>
        <w:t xml:space="preserve">but also </w:t>
      </w:r>
      <w:proofErr w:type="gramStart"/>
      <w:r w:rsidR="00456101" w:rsidRPr="00245485">
        <w:rPr>
          <w:color w:val="000000" w:themeColor="text1"/>
        </w:rPr>
        <w:t>as a result of</w:t>
      </w:r>
      <w:proofErr w:type="gramEnd"/>
      <w:r w:rsidR="00456101" w:rsidRPr="00245485">
        <w:rPr>
          <w:color w:val="000000" w:themeColor="text1"/>
        </w:rPr>
        <w:t xml:space="preserve"> </w:t>
      </w:r>
      <w:r w:rsidRPr="00245485">
        <w:rPr>
          <w:color w:val="000000" w:themeColor="text1"/>
        </w:rPr>
        <w:t xml:space="preserve">the </w:t>
      </w:r>
      <w:r w:rsidR="00456101" w:rsidRPr="00245485">
        <w:rPr>
          <w:color w:val="000000" w:themeColor="text1"/>
        </w:rPr>
        <w:t xml:space="preserve">Court’s </w:t>
      </w:r>
      <w:r w:rsidRPr="00245485">
        <w:rPr>
          <w:color w:val="000000" w:themeColor="text1"/>
        </w:rPr>
        <w:t xml:space="preserve">more detailed principles governing </w:t>
      </w:r>
      <w:r w:rsidR="00456101" w:rsidRPr="00245485">
        <w:rPr>
          <w:color w:val="000000" w:themeColor="text1"/>
        </w:rPr>
        <w:t xml:space="preserve">choice of </w:t>
      </w:r>
      <w:r w:rsidRPr="00245485">
        <w:rPr>
          <w:color w:val="000000" w:themeColor="text1"/>
        </w:rPr>
        <w:t>legal basis</w:t>
      </w:r>
      <w:r w:rsidR="00456101" w:rsidRPr="00245485">
        <w:rPr>
          <w:color w:val="000000" w:themeColor="text1"/>
        </w:rPr>
        <w:t xml:space="preserve"> – and especially the </w:t>
      </w:r>
      <w:r w:rsidRPr="00245485">
        <w:rPr>
          <w:color w:val="000000" w:themeColor="text1"/>
        </w:rPr>
        <w:t xml:space="preserve">demand for </w:t>
      </w:r>
      <w:r w:rsidR="00456101" w:rsidRPr="00245485">
        <w:rPr>
          <w:color w:val="000000" w:themeColor="text1"/>
        </w:rPr>
        <w:t xml:space="preserve">any given Union measure to be adopted under a </w:t>
      </w:r>
      <w:r w:rsidRPr="00245485">
        <w:rPr>
          <w:color w:val="000000" w:themeColor="text1"/>
        </w:rPr>
        <w:t xml:space="preserve">single legal basis </w:t>
      </w:r>
      <w:r w:rsidR="00456101" w:rsidRPr="00245485">
        <w:rPr>
          <w:color w:val="000000" w:themeColor="text1"/>
        </w:rPr>
        <w:t xml:space="preserve">corresponding </w:t>
      </w:r>
      <w:r w:rsidRPr="00245485">
        <w:rPr>
          <w:color w:val="000000" w:themeColor="text1"/>
        </w:rPr>
        <w:t xml:space="preserve">to </w:t>
      </w:r>
      <w:r w:rsidR="00456101" w:rsidRPr="00245485">
        <w:rPr>
          <w:color w:val="000000" w:themeColor="text1"/>
        </w:rPr>
        <w:t xml:space="preserve">its </w:t>
      </w:r>
      <w:r w:rsidRPr="00245485">
        <w:rPr>
          <w:color w:val="000000" w:themeColor="text1"/>
        </w:rPr>
        <w:t>predominant purpose</w:t>
      </w:r>
      <w:r w:rsidR="00456101" w:rsidRPr="00245485">
        <w:rPr>
          <w:color w:val="000000" w:themeColor="text1"/>
        </w:rPr>
        <w:t xml:space="preserve"> (with </w:t>
      </w:r>
      <w:r w:rsidRPr="00245485">
        <w:rPr>
          <w:color w:val="000000" w:themeColor="text1"/>
        </w:rPr>
        <w:t xml:space="preserve">joint legal bases accepted only </w:t>
      </w:r>
      <w:r w:rsidR="00456101" w:rsidRPr="00245485">
        <w:rPr>
          <w:color w:val="000000" w:themeColor="text1"/>
        </w:rPr>
        <w:t xml:space="preserve">in </w:t>
      </w:r>
      <w:r w:rsidRPr="00245485">
        <w:rPr>
          <w:color w:val="000000" w:themeColor="text1"/>
        </w:rPr>
        <w:t xml:space="preserve">exceptional </w:t>
      </w:r>
      <w:r w:rsidR="00456101" w:rsidRPr="00245485">
        <w:rPr>
          <w:color w:val="000000" w:themeColor="text1"/>
        </w:rPr>
        <w:t>cases)</w:t>
      </w:r>
      <w:r w:rsidRPr="00245485">
        <w:rPr>
          <w:color w:val="000000" w:themeColor="text1"/>
        </w:rPr>
        <w:t xml:space="preserve">.  Even </w:t>
      </w:r>
      <w:r w:rsidR="008B0712" w:rsidRPr="00245485">
        <w:rPr>
          <w:color w:val="000000" w:themeColor="text1"/>
        </w:rPr>
        <w:t xml:space="preserve">in </w:t>
      </w:r>
      <w:r w:rsidR="00456101" w:rsidRPr="00245485">
        <w:rPr>
          <w:color w:val="000000" w:themeColor="text1"/>
        </w:rPr>
        <w:t xml:space="preserve">the </w:t>
      </w:r>
      <w:r w:rsidR="008B0712" w:rsidRPr="00245485">
        <w:rPr>
          <w:color w:val="000000" w:themeColor="text1"/>
        </w:rPr>
        <w:t xml:space="preserve">case of </w:t>
      </w:r>
      <w:r w:rsidR="00456101" w:rsidRPr="00245485">
        <w:rPr>
          <w:color w:val="000000" w:themeColor="text1"/>
        </w:rPr>
        <w:t xml:space="preserve">Union </w:t>
      </w:r>
      <w:r w:rsidRPr="00245485">
        <w:rPr>
          <w:color w:val="000000" w:themeColor="text1"/>
        </w:rPr>
        <w:t>initiatives</w:t>
      </w:r>
      <w:r w:rsidR="00456101" w:rsidRPr="00245485">
        <w:rPr>
          <w:color w:val="000000" w:themeColor="text1"/>
        </w:rPr>
        <w:t xml:space="preserve"> that can be considered </w:t>
      </w:r>
      <w:r w:rsidR="003F4682" w:rsidRPr="00245485">
        <w:rPr>
          <w:color w:val="000000" w:themeColor="text1"/>
        </w:rPr>
        <w:t>comparably</w:t>
      </w:r>
      <w:r w:rsidR="00456101" w:rsidRPr="00245485">
        <w:rPr>
          <w:color w:val="000000" w:themeColor="text1"/>
        </w:rPr>
        <w:t xml:space="preserve"> bounded </w:t>
      </w:r>
      <w:r w:rsidR="003F4682" w:rsidRPr="00245485">
        <w:rPr>
          <w:color w:val="000000" w:themeColor="text1"/>
        </w:rPr>
        <w:t>from both a legal</w:t>
      </w:r>
      <w:r w:rsidR="00456101" w:rsidRPr="00245485">
        <w:rPr>
          <w:color w:val="000000" w:themeColor="text1"/>
        </w:rPr>
        <w:t xml:space="preserve"> and </w:t>
      </w:r>
      <w:r w:rsidR="003F4682" w:rsidRPr="00245485">
        <w:rPr>
          <w:color w:val="000000" w:themeColor="text1"/>
        </w:rPr>
        <w:t xml:space="preserve">a </w:t>
      </w:r>
      <w:r w:rsidR="00456101" w:rsidRPr="00245485">
        <w:rPr>
          <w:color w:val="000000" w:themeColor="text1"/>
        </w:rPr>
        <w:t>policy</w:t>
      </w:r>
      <w:r w:rsidR="003F4682" w:rsidRPr="00245485">
        <w:rPr>
          <w:color w:val="000000" w:themeColor="text1"/>
        </w:rPr>
        <w:t xml:space="preserve"> perspective</w:t>
      </w:r>
      <w:r w:rsidRPr="00245485">
        <w:rPr>
          <w:color w:val="000000" w:themeColor="text1"/>
        </w:rPr>
        <w:t xml:space="preserve">, </w:t>
      </w:r>
      <w:r w:rsidR="00456101" w:rsidRPr="00245485">
        <w:rPr>
          <w:color w:val="000000" w:themeColor="text1"/>
        </w:rPr>
        <w:t xml:space="preserve">we remarked that the </w:t>
      </w:r>
      <w:r w:rsidR="008B0712" w:rsidRPr="00245485">
        <w:rPr>
          <w:color w:val="000000" w:themeColor="text1"/>
        </w:rPr>
        <w:t xml:space="preserve">Court’s approach is </w:t>
      </w:r>
      <w:r w:rsidR="00456101" w:rsidRPr="00245485">
        <w:rPr>
          <w:color w:val="000000" w:themeColor="text1"/>
        </w:rPr>
        <w:t xml:space="preserve">essentially </w:t>
      </w:r>
      <w:r w:rsidR="008B0712" w:rsidRPr="00245485">
        <w:rPr>
          <w:color w:val="000000" w:themeColor="text1"/>
        </w:rPr>
        <w:t>reductionist</w:t>
      </w:r>
      <w:r w:rsidR="00456101" w:rsidRPr="00245485">
        <w:rPr>
          <w:color w:val="000000" w:themeColor="text1"/>
        </w:rPr>
        <w:t>:</w:t>
      </w:r>
      <w:r w:rsidR="008B0712" w:rsidRPr="00245485">
        <w:rPr>
          <w:color w:val="000000" w:themeColor="text1"/>
        </w:rPr>
        <w:t xml:space="preserve"> </w:t>
      </w:r>
      <w:r w:rsidR="00456101" w:rsidRPr="00245485">
        <w:rPr>
          <w:color w:val="000000" w:themeColor="text1"/>
        </w:rPr>
        <w:t xml:space="preserve">it </w:t>
      </w:r>
      <w:r w:rsidR="008B0712" w:rsidRPr="00245485">
        <w:rPr>
          <w:color w:val="000000" w:themeColor="text1"/>
        </w:rPr>
        <w:t xml:space="preserve">recognises complexity, but hardly </w:t>
      </w:r>
      <w:r w:rsidR="00456101" w:rsidRPr="00245485">
        <w:rPr>
          <w:color w:val="000000" w:themeColor="text1"/>
        </w:rPr>
        <w:t xml:space="preserve">strives to </w:t>
      </w:r>
      <w:r w:rsidR="008B0712" w:rsidRPr="00245485">
        <w:rPr>
          <w:color w:val="000000" w:themeColor="text1"/>
        </w:rPr>
        <w:t xml:space="preserve">accommodate it.  </w:t>
      </w:r>
      <w:r w:rsidR="00456101" w:rsidRPr="00245485">
        <w:rPr>
          <w:color w:val="000000" w:themeColor="text1"/>
        </w:rPr>
        <w:t xml:space="preserve">In the case of policy packages, that </w:t>
      </w:r>
      <w:r w:rsidR="008B0712" w:rsidRPr="00245485">
        <w:rPr>
          <w:color w:val="000000" w:themeColor="text1"/>
        </w:rPr>
        <w:t xml:space="preserve">pressure is </w:t>
      </w:r>
      <w:r w:rsidR="00456101" w:rsidRPr="00245485">
        <w:rPr>
          <w:color w:val="000000" w:themeColor="text1"/>
        </w:rPr>
        <w:t xml:space="preserve">evidently </w:t>
      </w:r>
      <w:r w:rsidR="008B0712" w:rsidRPr="00245485">
        <w:rPr>
          <w:color w:val="000000" w:themeColor="text1"/>
        </w:rPr>
        <w:t>magnified</w:t>
      </w:r>
      <w:r w:rsidR="00456101" w:rsidRPr="00245485">
        <w:rPr>
          <w:color w:val="000000" w:themeColor="text1"/>
        </w:rPr>
        <w:t xml:space="preserve">.  The </w:t>
      </w:r>
      <w:r w:rsidR="002E1877" w:rsidRPr="00245485">
        <w:rPr>
          <w:color w:val="000000" w:themeColor="text1"/>
        </w:rPr>
        <w:t xml:space="preserve">entrenched </w:t>
      </w:r>
      <w:r w:rsidR="00456101" w:rsidRPr="00245485">
        <w:rPr>
          <w:color w:val="000000" w:themeColor="text1"/>
        </w:rPr>
        <w:t xml:space="preserve">legal structures of conferral force </w:t>
      </w:r>
      <w:r w:rsidRPr="00245485">
        <w:rPr>
          <w:color w:val="000000" w:themeColor="text1"/>
        </w:rPr>
        <w:t xml:space="preserve">the Union </w:t>
      </w:r>
      <w:r w:rsidR="00456101" w:rsidRPr="00245485">
        <w:rPr>
          <w:color w:val="000000" w:themeColor="text1"/>
        </w:rPr>
        <w:t xml:space="preserve">institutions </w:t>
      </w:r>
      <w:r w:rsidRPr="00245485">
        <w:rPr>
          <w:color w:val="000000" w:themeColor="text1"/>
        </w:rPr>
        <w:t xml:space="preserve">to parcel up </w:t>
      </w:r>
      <w:r w:rsidR="00456101" w:rsidRPr="00245485">
        <w:rPr>
          <w:color w:val="000000" w:themeColor="text1"/>
        </w:rPr>
        <w:t xml:space="preserve">a </w:t>
      </w:r>
      <w:r w:rsidRPr="00245485">
        <w:rPr>
          <w:color w:val="000000" w:themeColor="text1"/>
        </w:rPr>
        <w:t xml:space="preserve">multifaceted and mutually interdependent policy response, into </w:t>
      </w:r>
      <w:r w:rsidR="00456101" w:rsidRPr="00245485">
        <w:rPr>
          <w:color w:val="000000" w:themeColor="text1"/>
        </w:rPr>
        <w:t xml:space="preserve">a </w:t>
      </w:r>
      <w:r w:rsidRPr="00245485">
        <w:rPr>
          <w:color w:val="000000" w:themeColor="text1"/>
        </w:rPr>
        <w:t xml:space="preserve">series of </w:t>
      </w:r>
      <w:r w:rsidR="00456101" w:rsidRPr="00245485">
        <w:rPr>
          <w:color w:val="000000" w:themeColor="text1"/>
        </w:rPr>
        <w:t xml:space="preserve">distinct </w:t>
      </w:r>
      <w:r w:rsidRPr="00245485">
        <w:rPr>
          <w:color w:val="000000" w:themeColor="text1"/>
        </w:rPr>
        <w:t xml:space="preserve">acts corresponding to </w:t>
      </w:r>
      <w:proofErr w:type="gramStart"/>
      <w:r w:rsidRPr="00245485">
        <w:rPr>
          <w:color w:val="000000" w:themeColor="text1"/>
        </w:rPr>
        <w:t>particular attributions</w:t>
      </w:r>
      <w:proofErr w:type="gramEnd"/>
      <w:r w:rsidRPr="00245485">
        <w:rPr>
          <w:color w:val="000000" w:themeColor="text1"/>
        </w:rPr>
        <w:t xml:space="preserve"> of power</w:t>
      </w:r>
      <w:r w:rsidR="00456101" w:rsidRPr="00245485">
        <w:rPr>
          <w:color w:val="000000" w:themeColor="text1"/>
        </w:rPr>
        <w:t xml:space="preserve"> – and even then, </w:t>
      </w:r>
      <w:r w:rsidR="004746E0" w:rsidRPr="00245485">
        <w:rPr>
          <w:color w:val="000000" w:themeColor="text1"/>
        </w:rPr>
        <w:t xml:space="preserve">demand that the Union institutions </w:t>
      </w:r>
      <w:r w:rsidR="000B4ED0" w:rsidRPr="00245485">
        <w:rPr>
          <w:color w:val="000000" w:themeColor="text1"/>
        </w:rPr>
        <w:t>further</w:t>
      </w:r>
      <w:r w:rsidR="00456101" w:rsidRPr="00245485">
        <w:rPr>
          <w:color w:val="000000" w:themeColor="text1"/>
        </w:rPr>
        <w:t xml:space="preserve"> </w:t>
      </w:r>
      <w:r w:rsidRPr="00245485">
        <w:rPr>
          <w:color w:val="000000" w:themeColor="text1"/>
        </w:rPr>
        <w:t xml:space="preserve">respect </w:t>
      </w:r>
      <w:r w:rsidR="00456101" w:rsidRPr="00245485">
        <w:rPr>
          <w:color w:val="000000" w:themeColor="text1"/>
        </w:rPr>
        <w:t xml:space="preserve">the </w:t>
      </w:r>
      <w:r w:rsidRPr="00245485">
        <w:rPr>
          <w:color w:val="000000" w:themeColor="text1"/>
        </w:rPr>
        <w:t xml:space="preserve">Court’s preference for </w:t>
      </w:r>
      <w:r w:rsidR="008B0712" w:rsidRPr="00245485">
        <w:rPr>
          <w:color w:val="000000" w:themeColor="text1"/>
        </w:rPr>
        <w:t xml:space="preserve">single </w:t>
      </w:r>
      <w:r w:rsidRPr="00245485">
        <w:rPr>
          <w:color w:val="000000" w:themeColor="text1"/>
        </w:rPr>
        <w:t>legal bases</w:t>
      </w:r>
      <w:r w:rsidR="00456101" w:rsidRPr="00245485">
        <w:rPr>
          <w:color w:val="000000" w:themeColor="text1"/>
        </w:rPr>
        <w:t>,</w:t>
      </w:r>
      <w:r w:rsidR="008B0712" w:rsidRPr="00245485">
        <w:rPr>
          <w:color w:val="000000" w:themeColor="text1"/>
        </w:rPr>
        <w:t xml:space="preserve"> regardless of whether </w:t>
      </w:r>
      <w:r w:rsidR="00456101" w:rsidRPr="00245485">
        <w:rPr>
          <w:color w:val="000000" w:themeColor="text1"/>
        </w:rPr>
        <w:t xml:space="preserve">the component </w:t>
      </w:r>
      <w:r w:rsidR="000B4ED0" w:rsidRPr="00245485">
        <w:rPr>
          <w:color w:val="000000" w:themeColor="text1"/>
        </w:rPr>
        <w:t xml:space="preserve">measure </w:t>
      </w:r>
      <w:r w:rsidR="008B0712" w:rsidRPr="00245485">
        <w:rPr>
          <w:color w:val="000000" w:themeColor="text1"/>
        </w:rPr>
        <w:t>undoubtedly straddles several fields simultaneously.</w:t>
      </w:r>
    </w:p>
    <w:p w14:paraId="406222C4" w14:textId="68DCFC6E" w:rsidR="00245485" w:rsidRDefault="003F4682" w:rsidP="00245485">
      <w:pPr>
        <w:ind w:firstLine="720"/>
        <w:jc w:val="both"/>
        <w:rPr>
          <w:color w:val="000000" w:themeColor="text1"/>
          <w:u w:val="single"/>
        </w:rPr>
      </w:pPr>
      <w:r w:rsidRPr="00245485">
        <w:rPr>
          <w:color w:val="000000" w:themeColor="text1"/>
        </w:rPr>
        <w:t xml:space="preserve">One might add that </w:t>
      </w:r>
      <w:r w:rsidR="0035288A" w:rsidRPr="00245485">
        <w:rPr>
          <w:color w:val="000000" w:themeColor="text1"/>
        </w:rPr>
        <w:t xml:space="preserve">the chore of </w:t>
      </w:r>
      <w:r w:rsidR="0090038C" w:rsidRPr="00245485">
        <w:rPr>
          <w:color w:val="000000" w:themeColor="text1"/>
        </w:rPr>
        <w:t xml:space="preserve">satisfying legal demands to compartmentalise certain policy initiatives is already very familiar in certain fields – particularly those where practitioners do not benefit from a comprehensive home in the </w:t>
      </w:r>
      <w:proofErr w:type="gramStart"/>
      <w:r w:rsidR="0090038C" w:rsidRPr="00245485">
        <w:rPr>
          <w:color w:val="000000" w:themeColor="text1"/>
        </w:rPr>
        <w:t>Treaties, and</w:t>
      </w:r>
      <w:proofErr w:type="gramEnd"/>
      <w:r w:rsidR="0090038C" w:rsidRPr="00245485">
        <w:rPr>
          <w:color w:val="000000" w:themeColor="text1"/>
        </w:rPr>
        <w:t xml:space="preserve"> must instead deconstruct then reconstruct their regulatory activities (as best they can) in accordance with a series of cognate legal bases.  Think of Union policies in sectors such as health, energy or sport – where the </w:t>
      </w:r>
      <w:r w:rsidR="00F16CB3" w:rsidRPr="00245485">
        <w:rPr>
          <w:color w:val="000000" w:themeColor="text1"/>
        </w:rPr>
        <w:t xml:space="preserve">specific </w:t>
      </w:r>
      <w:r w:rsidR="0090038C" w:rsidRPr="00245485">
        <w:rPr>
          <w:color w:val="000000" w:themeColor="text1"/>
        </w:rPr>
        <w:t xml:space="preserve">competences conferred under their dedicated Treaty provisions tend to be limited in scope and depth, and the pursuit of more effective </w:t>
      </w:r>
      <w:r w:rsidR="00FE70F8" w:rsidRPr="00245485">
        <w:rPr>
          <w:color w:val="000000" w:themeColor="text1"/>
        </w:rPr>
        <w:t xml:space="preserve">and / or comprehensive </w:t>
      </w:r>
      <w:r w:rsidR="0090038C" w:rsidRPr="00245485">
        <w:rPr>
          <w:color w:val="000000" w:themeColor="text1"/>
        </w:rPr>
        <w:t xml:space="preserve">policy responses </w:t>
      </w:r>
      <w:r w:rsidR="000B4ED0" w:rsidRPr="00245485">
        <w:rPr>
          <w:color w:val="000000" w:themeColor="text1"/>
        </w:rPr>
        <w:t>needs</w:t>
      </w:r>
      <w:r w:rsidR="0090038C" w:rsidRPr="00245485">
        <w:rPr>
          <w:color w:val="000000" w:themeColor="text1"/>
        </w:rPr>
        <w:t xml:space="preserve"> to </w:t>
      </w:r>
      <w:r w:rsidR="00F16CB3" w:rsidRPr="00245485">
        <w:rPr>
          <w:color w:val="000000" w:themeColor="text1"/>
        </w:rPr>
        <w:t>call</w:t>
      </w:r>
      <w:r w:rsidR="0090038C" w:rsidRPr="00245485">
        <w:rPr>
          <w:color w:val="000000" w:themeColor="text1"/>
        </w:rPr>
        <w:t xml:space="preserve"> upon a broader range of legal powers (for example) </w:t>
      </w:r>
      <w:r w:rsidR="00F16CB3" w:rsidRPr="00245485">
        <w:rPr>
          <w:color w:val="000000" w:themeColor="text1"/>
        </w:rPr>
        <w:t xml:space="preserve">borrowed from </w:t>
      </w:r>
      <w:r w:rsidR="0090038C" w:rsidRPr="00245485">
        <w:rPr>
          <w:color w:val="000000" w:themeColor="text1"/>
        </w:rPr>
        <w:t>the internal market, competition law or environmental protection.</w:t>
      </w:r>
      <w:r w:rsidR="004520E9" w:rsidRPr="00245485">
        <w:rPr>
          <w:rStyle w:val="FootnoteReference"/>
          <w:color w:val="000000" w:themeColor="text1"/>
        </w:rPr>
        <w:footnoteReference w:id="74"/>
      </w:r>
      <w:r w:rsidR="0090038C" w:rsidRPr="00245485">
        <w:rPr>
          <w:color w:val="000000" w:themeColor="text1"/>
        </w:rPr>
        <w:t xml:space="preserve">  </w:t>
      </w:r>
      <w:r w:rsidR="00F16CB3" w:rsidRPr="00245485">
        <w:rPr>
          <w:color w:val="000000" w:themeColor="text1"/>
        </w:rPr>
        <w:t xml:space="preserve">In such situations, the legal pressures at work upon policy packages may be magnified still further: it is not only that the relevant challenge might be of particular scale and complexity, or even that the desired policy response is inherently multi-faceted, but also that the very competence framework through which that response must now be </w:t>
      </w:r>
      <w:r w:rsidR="000B4ED0" w:rsidRPr="00245485">
        <w:rPr>
          <w:color w:val="000000" w:themeColor="text1"/>
        </w:rPr>
        <w:t xml:space="preserve">chopped up and </w:t>
      </w:r>
      <w:r w:rsidR="00F16CB3" w:rsidRPr="00245485">
        <w:rPr>
          <w:color w:val="000000" w:themeColor="text1"/>
        </w:rPr>
        <w:t xml:space="preserve">mediated </w:t>
      </w:r>
      <w:r w:rsidR="005802AD" w:rsidRPr="00245485">
        <w:rPr>
          <w:color w:val="000000" w:themeColor="text1"/>
        </w:rPr>
        <w:t xml:space="preserve">may </w:t>
      </w:r>
      <w:r w:rsidR="00F16CB3" w:rsidRPr="00245485">
        <w:rPr>
          <w:color w:val="000000" w:themeColor="text1"/>
        </w:rPr>
        <w:t xml:space="preserve">in itself </w:t>
      </w:r>
      <w:r w:rsidR="005802AD" w:rsidRPr="00245485">
        <w:rPr>
          <w:color w:val="000000" w:themeColor="text1"/>
        </w:rPr>
        <w:t xml:space="preserve">be </w:t>
      </w:r>
      <w:r w:rsidR="00382A1B" w:rsidRPr="00245485">
        <w:rPr>
          <w:color w:val="000000" w:themeColor="text1"/>
        </w:rPr>
        <w:t xml:space="preserve">especially </w:t>
      </w:r>
      <w:r w:rsidR="00F16CB3" w:rsidRPr="00245485">
        <w:rPr>
          <w:color w:val="000000" w:themeColor="text1"/>
        </w:rPr>
        <w:t xml:space="preserve">fragmented and </w:t>
      </w:r>
      <w:r w:rsidR="00382A1B" w:rsidRPr="00245485">
        <w:rPr>
          <w:color w:val="000000" w:themeColor="text1"/>
        </w:rPr>
        <w:t xml:space="preserve">indeed </w:t>
      </w:r>
      <w:r w:rsidR="00F16CB3" w:rsidRPr="00245485">
        <w:rPr>
          <w:color w:val="000000" w:themeColor="text1"/>
        </w:rPr>
        <w:t>incomplete</w:t>
      </w:r>
      <w:r w:rsidR="005802AD" w:rsidRPr="00245485">
        <w:rPr>
          <w:color w:val="000000" w:themeColor="text1"/>
        </w:rPr>
        <w:t xml:space="preserve">.  </w:t>
      </w:r>
      <w:r w:rsidR="00F16CB3" w:rsidRPr="00245485">
        <w:rPr>
          <w:color w:val="000000" w:themeColor="text1"/>
        </w:rPr>
        <w:t xml:space="preserve">  </w:t>
      </w:r>
      <w:r w:rsidRPr="00245485">
        <w:rPr>
          <w:color w:val="000000" w:themeColor="text1"/>
          <w:u w:val="single"/>
        </w:rPr>
        <w:t xml:space="preserve">  </w:t>
      </w:r>
    </w:p>
    <w:p w14:paraId="0C2553CE" w14:textId="0F0CBD70" w:rsidR="006E2934" w:rsidRDefault="006E2934" w:rsidP="006E2934">
      <w:pPr>
        <w:jc w:val="both"/>
        <w:rPr>
          <w:color w:val="000000" w:themeColor="text1"/>
          <w:u w:val="single"/>
        </w:rPr>
      </w:pPr>
    </w:p>
    <w:p w14:paraId="46D50E4E" w14:textId="6881F11B" w:rsidR="006E2934" w:rsidRPr="006E2934" w:rsidRDefault="006E2934" w:rsidP="006E2934">
      <w:pPr>
        <w:jc w:val="both"/>
        <w:rPr>
          <w:i/>
          <w:iCs/>
          <w:color w:val="000000" w:themeColor="text1"/>
        </w:rPr>
      </w:pPr>
      <w:r>
        <w:rPr>
          <w:i/>
          <w:iCs/>
          <w:color w:val="000000" w:themeColor="text1"/>
        </w:rPr>
        <w:t>5</w:t>
      </w:r>
      <w:r w:rsidRPr="00E308BC">
        <w:rPr>
          <w:i/>
          <w:iCs/>
          <w:color w:val="000000" w:themeColor="text1"/>
        </w:rPr>
        <w:t>.</w:t>
      </w:r>
      <w:r>
        <w:rPr>
          <w:i/>
          <w:iCs/>
          <w:color w:val="000000" w:themeColor="text1"/>
        </w:rPr>
        <w:t>2</w:t>
      </w:r>
      <w:r w:rsidRPr="00E308BC">
        <w:rPr>
          <w:i/>
          <w:iCs/>
          <w:color w:val="000000" w:themeColor="text1"/>
        </w:rPr>
        <w:t xml:space="preserve"> </w:t>
      </w:r>
      <w:r>
        <w:rPr>
          <w:i/>
          <w:iCs/>
          <w:color w:val="000000" w:themeColor="text1"/>
        </w:rPr>
        <w:t xml:space="preserve">Implications for political institutions </w:t>
      </w:r>
    </w:p>
    <w:p w14:paraId="44889551" w14:textId="77777777" w:rsidR="006E2934" w:rsidRDefault="006E2934" w:rsidP="006E2934">
      <w:pPr>
        <w:jc w:val="both"/>
        <w:rPr>
          <w:color w:val="000000" w:themeColor="text1"/>
        </w:rPr>
      </w:pPr>
    </w:p>
    <w:p w14:paraId="718613E9" w14:textId="77777777" w:rsidR="00245485" w:rsidRDefault="008B0712" w:rsidP="006E2934">
      <w:pPr>
        <w:jc w:val="both"/>
        <w:rPr>
          <w:color w:val="000000" w:themeColor="text1"/>
        </w:rPr>
      </w:pPr>
      <w:r w:rsidRPr="00245485">
        <w:rPr>
          <w:color w:val="000000" w:themeColor="text1"/>
        </w:rPr>
        <w:t xml:space="preserve">From that basic proposition – about the legal atomisation of complex policy responses – other consequences </w:t>
      </w:r>
      <w:r w:rsidR="004C51E6" w:rsidRPr="00245485">
        <w:rPr>
          <w:color w:val="000000" w:themeColor="text1"/>
        </w:rPr>
        <w:t xml:space="preserve">might naturally </w:t>
      </w:r>
      <w:r w:rsidRPr="00245485">
        <w:rPr>
          <w:color w:val="000000" w:themeColor="text1"/>
        </w:rPr>
        <w:t xml:space="preserve">follow.  </w:t>
      </w:r>
      <w:proofErr w:type="gramStart"/>
      <w:r w:rsidRPr="00245485">
        <w:rPr>
          <w:color w:val="000000" w:themeColor="text1"/>
        </w:rPr>
        <w:t>In particular, k</w:t>
      </w:r>
      <w:r w:rsidR="007A0ACD" w:rsidRPr="00245485">
        <w:rPr>
          <w:color w:val="000000" w:themeColor="text1"/>
        </w:rPr>
        <w:t>nowing</w:t>
      </w:r>
      <w:proofErr w:type="gramEnd"/>
      <w:r w:rsidR="007A0ACD" w:rsidRPr="00245485">
        <w:rPr>
          <w:color w:val="000000" w:themeColor="text1"/>
        </w:rPr>
        <w:t xml:space="preserve"> that the legal approach to Union competences is so unsympathetic to the political realities of complex policy packages may </w:t>
      </w:r>
      <w:r w:rsidR="004746E0" w:rsidRPr="00245485">
        <w:rPr>
          <w:color w:val="000000" w:themeColor="text1"/>
        </w:rPr>
        <w:t xml:space="preserve">well </w:t>
      </w:r>
      <w:r w:rsidR="007A0ACD" w:rsidRPr="00245485">
        <w:rPr>
          <w:color w:val="000000" w:themeColor="text1"/>
        </w:rPr>
        <w:t xml:space="preserve">have certain (direct and indirect) ex </w:t>
      </w:r>
      <w:r w:rsidR="00F80F69" w:rsidRPr="00245485">
        <w:rPr>
          <w:color w:val="000000" w:themeColor="text1"/>
        </w:rPr>
        <w:t>ante</w:t>
      </w:r>
      <w:r w:rsidR="007A0ACD" w:rsidRPr="00245485">
        <w:rPr>
          <w:color w:val="000000" w:themeColor="text1"/>
        </w:rPr>
        <w:t xml:space="preserve"> impacts or influences upon the </w:t>
      </w:r>
      <w:r w:rsidR="00F80F69" w:rsidRPr="00245485">
        <w:rPr>
          <w:color w:val="000000" w:themeColor="text1"/>
        </w:rPr>
        <w:t xml:space="preserve">negotiating environment </w:t>
      </w:r>
      <w:r w:rsidR="007A0ACD" w:rsidRPr="00245485">
        <w:rPr>
          <w:color w:val="000000" w:themeColor="text1"/>
        </w:rPr>
        <w:t xml:space="preserve">in which Union policymakers are expected to operate and reach some </w:t>
      </w:r>
      <w:r w:rsidR="00DB720E" w:rsidRPr="00245485">
        <w:rPr>
          <w:color w:val="000000" w:themeColor="text1"/>
        </w:rPr>
        <w:t xml:space="preserve">political settlement.  </w:t>
      </w:r>
      <w:r w:rsidR="007A0ACD" w:rsidRPr="00245485">
        <w:rPr>
          <w:color w:val="000000" w:themeColor="text1"/>
        </w:rPr>
        <w:t xml:space="preserve">For example: </w:t>
      </w:r>
      <w:r w:rsidR="00E60325" w:rsidRPr="00245485">
        <w:rPr>
          <w:color w:val="000000" w:themeColor="text1"/>
        </w:rPr>
        <w:t xml:space="preserve">awareness of </w:t>
      </w:r>
      <w:r w:rsidR="007A0ACD" w:rsidRPr="00245485">
        <w:rPr>
          <w:color w:val="000000" w:themeColor="text1"/>
        </w:rPr>
        <w:t xml:space="preserve">a specific competence objection, that could potentially expose a given component of the overall bargain to subsequent annulment, in isolation and without regard to the integrity of the wider deal, might have a </w:t>
      </w:r>
      <w:r w:rsidR="00F80F69" w:rsidRPr="00245485">
        <w:rPr>
          <w:color w:val="000000" w:themeColor="text1"/>
        </w:rPr>
        <w:t>chilling effect</w:t>
      </w:r>
      <w:r w:rsidR="00DB720E" w:rsidRPr="00245485">
        <w:rPr>
          <w:color w:val="000000" w:themeColor="text1"/>
        </w:rPr>
        <w:t xml:space="preserve"> </w:t>
      </w:r>
      <w:r w:rsidR="007A0ACD" w:rsidRPr="00245485">
        <w:rPr>
          <w:color w:val="000000" w:themeColor="text1"/>
        </w:rPr>
        <w:t xml:space="preserve">upon the pursuit of effective </w:t>
      </w:r>
      <w:r w:rsidR="00DB720E" w:rsidRPr="00245485">
        <w:rPr>
          <w:color w:val="000000" w:themeColor="text1"/>
        </w:rPr>
        <w:t>policy solutions</w:t>
      </w:r>
      <w:r w:rsidR="007A0ACD" w:rsidRPr="00245485">
        <w:rPr>
          <w:color w:val="000000" w:themeColor="text1"/>
        </w:rPr>
        <w:t xml:space="preserve">: </w:t>
      </w:r>
      <w:r w:rsidR="009656E5" w:rsidRPr="00245485">
        <w:rPr>
          <w:color w:val="000000" w:themeColor="text1"/>
        </w:rPr>
        <w:t>clos</w:t>
      </w:r>
      <w:r w:rsidR="007A0ACD" w:rsidRPr="00245485">
        <w:rPr>
          <w:color w:val="000000" w:themeColor="text1"/>
        </w:rPr>
        <w:t>ing</w:t>
      </w:r>
      <w:r w:rsidR="009656E5" w:rsidRPr="00245485">
        <w:rPr>
          <w:color w:val="000000" w:themeColor="text1"/>
        </w:rPr>
        <w:t xml:space="preserve"> off particular </w:t>
      </w:r>
      <w:r w:rsidR="007A0ACD" w:rsidRPr="00245485">
        <w:rPr>
          <w:color w:val="000000" w:themeColor="text1"/>
        </w:rPr>
        <w:t xml:space="preserve">regulatory </w:t>
      </w:r>
      <w:r w:rsidR="009656E5" w:rsidRPr="00245485">
        <w:rPr>
          <w:color w:val="000000" w:themeColor="text1"/>
        </w:rPr>
        <w:t xml:space="preserve">options, </w:t>
      </w:r>
      <w:r w:rsidR="007A0ACD" w:rsidRPr="00245485">
        <w:rPr>
          <w:color w:val="000000" w:themeColor="text1"/>
        </w:rPr>
        <w:t xml:space="preserve">changing the equation of institutional bargaining positions, perhaps and in extreme cases </w:t>
      </w:r>
      <w:r w:rsidR="009656E5" w:rsidRPr="00245485">
        <w:rPr>
          <w:color w:val="000000" w:themeColor="text1"/>
        </w:rPr>
        <w:t xml:space="preserve">even </w:t>
      </w:r>
      <w:r w:rsidR="007A0ACD" w:rsidRPr="00245485">
        <w:rPr>
          <w:color w:val="000000" w:themeColor="text1"/>
        </w:rPr>
        <w:t xml:space="preserve">threatening the prospect for reaching any acceptable </w:t>
      </w:r>
      <w:r w:rsidR="009656E5" w:rsidRPr="00245485">
        <w:rPr>
          <w:color w:val="000000" w:themeColor="text1"/>
        </w:rPr>
        <w:t xml:space="preserve">deal </w:t>
      </w:r>
      <w:r w:rsidR="007A0ACD" w:rsidRPr="00245485">
        <w:rPr>
          <w:color w:val="000000" w:themeColor="text1"/>
        </w:rPr>
        <w:t>on particular issues</w:t>
      </w:r>
      <w:r w:rsidR="00F80F69" w:rsidRPr="00245485">
        <w:rPr>
          <w:color w:val="000000" w:themeColor="text1"/>
        </w:rPr>
        <w:t xml:space="preserve">.  </w:t>
      </w:r>
      <w:r w:rsidR="007A0ACD" w:rsidRPr="00245485">
        <w:rPr>
          <w:color w:val="000000" w:themeColor="text1"/>
        </w:rPr>
        <w:t xml:space="preserve">Or again: the existence of tangible doubts about whether one specific element within the overall policy initiative might pass some future </w:t>
      </w:r>
      <w:r w:rsidR="00DA58F1" w:rsidRPr="00245485">
        <w:rPr>
          <w:color w:val="000000" w:themeColor="text1"/>
        </w:rPr>
        <w:t>legal challenge under the principle of conferral</w:t>
      </w:r>
      <w:r w:rsidR="007A0ACD" w:rsidRPr="00245485">
        <w:rPr>
          <w:color w:val="000000" w:themeColor="text1"/>
        </w:rPr>
        <w:t xml:space="preserve">, could have the effect of </w:t>
      </w:r>
      <w:r w:rsidR="007A0ACD" w:rsidRPr="00245485">
        <w:rPr>
          <w:color w:val="000000" w:themeColor="text1"/>
        </w:rPr>
        <w:lastRenderedPageBreak/>
        <w:t>focusing disprop</w:t>
      </w:r>
      <w:r w:rsidR="00DA58F1" w:rsidRPr="00245485">
        <w:rPr>
          <w:color w:val="000000" w:themeColor="text1"/>
        </w:rPr>
        <w:t xml:space="preserve">ortionate political attention, </w:t>
      </w:r>
      <w:proofErr w:type="gramStart"/>
      <w:r w:rsidR="00DA58F1" w:rsidRPr="00245485">
        <w:rPr>
          <w:color w:val="000000" w:themeColor="text1"/>
        </w:rPr>
        <w:t>leverage</w:t>
      </w:r>
      <w:proofErr w:type="gramEnd"/>
      <w:r w:rsidR="00DA58F1" w:rsidRPr="00245485">
        <w:rPr>
          <w:color w:val="000000" w:themeColor="text1"/>
        </w:rPr>
        <w:t xml:space="preserve"> and capital on that alleged weak link or gap in the competence chain that binds together the entire package.  </w:t>
      </w:r>
    </w:p>
    <w:p w14:paraId="5920B5F6" w14:textId="670BA482" w:rsidR="00245485" w:rsidRDefault="00DA58F1" w:rsidP="00245485">
      <w:pPr>
        <w:ind w:firstLine="720"/>
        <w:jc w:val="both"/>
        <w:rPr>
          <w:color w:val="000000" w:themeColor="text1"/>
        </w:rPr>
      </w:pPr>
      <w:r w:rsidRPr="00245485">
        <w:rPr>
          <w:color w:val="000000" w:themeColor="text1"/>
        </w:rPr>
        <w:t>Of course, the competent Union institutions could ignore those chilling effects and defuse those competence hotspots, through creative reasoning that seeks to deliver the optimum policy outcomes available to meet the relevant challenges, regardless of any localised suspicions about compliance with the system of attributed powers that might otherwise dog their negotiations – but only at the risk of being challenged in future judicial review proceedings</w:t>
      </w:r>
      <w:r w:rsidR="00CF07D6" w:rsidRPr="00245485">
        <w:rPr>
          <w:color w:val="000000" w:themeColor="text1"/>
        </w:rPr>
        <w:t>, and witnessing their overall bargain unravel under the pressure of traditional legal doctrine</w:t>
      </w:r>
      <w:r w:rsidRPr="00245485">
        <w:rPr>
          <w:color w:val="000000" w:themeColor="text1"/>
        </w:rPr>
        <w:t xml:space="preserve">.  </w:t>
      </w:r>
      <w:r w:rsidR="0081701B" w:rsidRPr="00245485">
        <w:rPr>
          <w:color w:val="000000" w:themeColor="text1"/>
        </w:rPr>
        <w:t xml:space="preserve">Needless to say: the temptation to </w:t>
      </w:r>
      <w:r w:rsidR="001A5F57" w:rsidRPr="00245485">
        <w:rPr>
          <w:color w:val="000000" w:themeColor="text1"/>
        </w:rPr>
        <w:t xml:space="preserve">adopt a more plastic interpretation of one’s own </w:t>
      </w:r>
      <w:r w:rsidR="0081701B" w:rsidRPr="00245485">
        <w:rPr>
          <w:color w:val="000000" w:themeColor="text1"/>
        </w:rPr>
        <w:t>competence</w:t>
      </w:r>
      <w:r w:rsidR="001A5F57" w:rsidRPr="00245485">
        <w:rPr>
          <w:color w:val="000000" w:themeColor="text1"/>
        </w:rPr>
        <w:t xml:space="preserve">s </w:t>
      </w:r>
      <w:r w:rsidR="0081701B" w:rsidRPr="00245485">
        <w:rPr>
          <w:color w:val="000000" w:themeColor="text1"/>
        </w:rPr>
        <w:t xml:space="preserve">– and the accompanying risk of judicial </w:t>
      </w:r>
      <w:r w:rsidR="001A5F57" w:rsidRPr="00245485">
        <w:rPr>
          <w:color w:val="000000" w:themeColor="text1"/>
        </w:rPr>
        <w:t>scrutiny</w:t>
      </w:r>
      <w:r w:rsidR="0081701B" w:rsidRPr="00245485">
        <w:rPr>
          <w:color w:val="000000" w:themeColor="text1"/>
        </w:rPr>
        <w:t xml:space="preserve"> – must be greater in situations characterised not only by the scale and complexity of the challenge, but also by a sense of relative urgency </w:t>
      </w:r>
      <w:r w:rsidR="001A5F57" w:rsidRPr="00245485">
        <w:rPr>
          <w:color w:val="000000" w:themeColor="text1"/>
        </w:rPr>
        <w:t xml:space="preserve">for the Union to </w:t>
      </w:r>
      <w:r w:rsidR="0081701B" w:rsidRPr="00245485">
        <w:rPr>
          <w:color w:val="000000" w:themeColor="text1"/>
        </w:rPr>
        <w:t xml:space="preserve">provide </w:t>
      </w:r>
      <w:r w:rsidR="001A5F57" w:rsidRPr="00245485">
        <w:rPr>
          <w:color w:val="000000" w:themeColor="text1"/>
        </w:rPr>
        <w:t xml:space="preserve">an effective response. </w:t>
      </w:r>
    </w:p>
    <w:p w14:paraId="3E7A8F68" w14:textId="77777777" w:rsidR="00245485" w:rsidRDefault="00CF07D6" w:rsidP="00245485">
      <w:pPr>
        <w:ind w:firstLine="720"/>
        <w:jc w:val="both"/>
        <w:rPr>
          <w:color w:val="000000" w:themeColor="text1"/>
        </w:rPr>
      </w:pPr>
      <w:r w:rsidRPr="00245485">
        <w:rPr>
          <w:color w:val="000000" w:themeColor="text1"/>
        </w:rPr>
        <w:t xml:space="preserve">Such legal unravelling need not ultimately happen.  After all, even a </w:t>
      </w:r>
      <w:r w:rsidR="000847BD" w:rsidRPr="00245485">
        <w:rPr>
          <w:color w:val="000000" w:themeColor="text1"/>
        </w:rPr>
        <w:t xml:space="preserve">traditional legal analysis of the disputed Union act, viewed and analysed as an individual and discrete measure in time-honoured </w:t>
      </w:r>
      <w:r w:rsidRPr="00245485">
        <w:rPr>
          <w:color w:val="000000" w:themeColor="text1"/>
        </w:rPr>
        <w:t>fashion</w:t>
      </w:r>
      <w:r w:rsidR="000847BD" w:rsidRPr="00245485">
        <w:rPr>
          <w:color w:val="000000" w:themeColor="text1"/>
        </w:rPr>
        <w:t>, might well confirm its full competence</w:t>
      </w:r>
      <w:r w:rsidRPr="00245485">
        <w:rPr>
          <w:color w:val="000000" w:themeColor="text1"/>
        </w:rPr>
        <w:t>-</w:t>
      </w:r>
      <w:r w:rsidR="000847BD" w:rsidRPr="00245485">
        <w:rPr>
          <w:color w:val="000000" w:themeColor="text1"/>
        </w:rPr>
        <w:t xml:space="preserve">compliance even on its own terms.  More by </w:t>
      </w:r>
      <w:r w:rsidRPr="00245485">
        <w:rPr>
          <w:color w:val="000000" w:themeColor="text1"/>
        </w:rPr>
        <w:t xml:space="preserve">fortuitous </w:t>
      </w:r>
      <w:r w:rsidR="000847BD" w:rsidRPr="00245485">
        <w:rPr>
          <w:color w:val="000000" w:themeColor="text1"/>
        </w:rPr>
        <w:t xml:space="preserve">coincidence than </w:t>
      </w:r>
      <w:r w:rsidRPr="00245485">
        <w:rPr>
          <w:color w:val="000000" w:themeColor="text1"/>
        </w:rPr>
        <w:t>through sympathetic alignment</w:t>
      </w:r>
      <w:r w:rsidR="000847BD" w:rsidRPr="00245485">
        <w:rPr>
          <w:color w:val="000000" w:themeColor="text1"/>
        </w:rPr>
        <w:t xml:space="preserve">, the bounded world of law and the unbounded world of policymaking </w:t>
      </w:r>
      <w:r w:rsidRPr="00245485">
        <w:rPr>
          <w:color w:val="000000" w:themeColor="text1"/>
        </w:rPr>
        <w:t xml:space="preserve">could still </w:t>
      </w:r>
      <w:r w:rsidR="000847BD" w:rsidRPr="00245485">
        <w:rPr>
          <w:color w:val="000000" w:themeColor="text1"/>
        </w:rPr>
        <w:t xml:space="preserve">reach the same </w:t>
      </w:r>
      <w:r w:rsidRPr="00245485">
        <w:rPr>
          <w:color w:val="000000" w:themeColor="text1"/>
        </w:rPr>
        <w:t xml:space="preserve">ultimate </w:t>
      </w:r>
      <w:r w:rsidR="000847BD" w:rsidRPr="00245485">
        <w:rPr>
          <w:color w:val="000000" w:themeColor="text1"/>
        </w:rPr>
        <w:t>outcome</w:t>
      </w:r>
      <w:r w:rsidRPr="00245485">
        <w:rPr>
          <w:color w:val="000000" w:themeColor="text1"/>
        </w:rPr>
        <w:t xml:space="preserve"> and uphold the full integrity of the overall regulatory package</w:t>
      </w:r>
      <w:r w:rsidR="000847BD" w:rsidRPr="00245485">
        <w:rPr>
          <w:color w:val="000000" w:themeColor="text1"/>
        </w:rPr>
        <w:t xml:space="preserve">.  </w:t>
      </w:r>
      <w:r w:rsidR="00BA12E1" w:rsidRPr="00245485">
        <w:rPr>
          <w:color w:val="000000" w:themeColor="text1"/>
        </w:rPr>
        <w:t xml:space="preserve">Or maybe the </w:t>
      </w:r>
      <w:r w:rsidR="00351F97" w:rsidRPr="00245485">
        <w:rPr>
          <w:color w:val="000000" w:themeColor="text1"/>
        </w:rPr>
        <w:t xml:space="preserve">Court will be willing and able, </w:t>
      </w:r>
      <w:r w:rsidR="00EB6390" w:rsidRPr="00245485">
        <w:rPr>
          <w:color w:val="000000" w:themeColor="text1"/>
        </w:rPr>
        <w:t xml:space="preserve">thanks to </w:t>
      </w:r>
      <w:r w:rsidR="00351F97" w:rsidRPr="00245485">
        <w:rPr>
          <w:color w:val="000000" w:themeColor="text1"/>
        </w:rPr>
        <w:t xml:space="preserve">the </w:t>
      </w:r>
      <w:r w:rsidR="00BA12E1" w:rsidRPr="00245485">
        <w:rPr>
          <w:color w:val="000000" w:themeColor="text1"/>
        </w:rPr>
        <w:t xml:space="preserve">limited legal space </w:t>
      </w:r>
      <w:r w:rsidR="00351F97" w:rsidRPr="00245485">
        <w:rPr>
          <w:color w:val="000000" w:themeColor="text1"/>
        </w:rPr>
        <w:t xml:space="preserve">available </w:t>
      </w:r>
      <w:r w:rsidR="00EB6390" w:rsidRPr="00245485">
        <w:rPr>
          <w:color w:val="000000" w:themeColor="text1"/>
        </w:rPr>
        <w:t xml:space="preserve">within </w:t>
      </w:r>
      <w:r w:rsidR="00351F97" w:rsidRPr="00245485">
        <w:rPr>
          <w:color w:val="000000" w:themeColor="text1"/>
        </w:rPr>
        <w:t xml:space="preserve">the underlying framework of conferral, to </w:t>
      </w:r>
      <w:proofErr w:type="gramStart"/>
      <w:r w:rsidR="00351F97" w:rsidRPr="00245485">
        <w:rPr>
          <w:color w:val="000000" w:themeColor="text1"/>
        </w:rPr>
        <w:t>take into account</w:t>
      </w:r>
      <w:proofErr w:type="gramEnd"/>
      <w:r w:rsidR="00351F97" w:rsidRPr="00245485">
        <w:rPr>
          <w:color w:val="000000" w:themeColor="text1"/>
        </w:rPr>
        <w:t xml:space="preserve"> the existence and relevance of the policy package as such, </w:t>
      </w:r>
      <w:r w:rsidR="0035288A" w:rsidRPr="00245485">
        <w:rPr>
          <w:i/>
          <w:iCs/>
          <w:color w:val="000000" w:themeColor="text1"/>
        </w:rPr>
        <w:t>à la</w:t>
      </w:r>
      <w:r w:rsidR="0035288A" w:rsidRPr="00245485">
        <w:rPr>
          <w:color w:val="000000" w:themeColor="text1"/>
        </w:rPr>
        <w:t xml:space="preserve"> </w:t>
      </w:r>
      <w:r w:rsidR="00351F97" w:rsidRPr="00245485">
        <w:rPr>
          <w:i/>
          <w:iCs/>
          <w:color w:val="000000" w:themeColor="text1"/>
        </w:rPr>
        <w:t>Pringle</w:t>
      </w:r>
      <w:r w:rsidR="00351F97" w:rsidRPr="00245485">
        <w:rPr>
          <w:color w:val="000000" w:themeColor="text1"/>
        </w:rPr>
        <w:t xml:space="preserve">, when it comes to defining the wider legal and policy context that should influence interpretation of the disputed act’s own aims and content in relation to its purported legal basis under the Treaties.  </w:t>
      </w:r>
    </w:p>
    <w:p w14:paraId="2C076946" w14:textId="5C0B90FE" w:rsidR="00245485" w:rsidRDefault="000847BD" w:rsidP="00245485">
      <w:pPr>
        <w:ind w:firstLine="720"/>
        <w:jc w:val="both"/>
        <w:rPr>
          <w:color w:val="000000" w:themeColor="text1"/>
        </w:rPr>
      </w:pPr>
      <w:r w:rsidRPr="00245485">
        <w:rPr>
          <w:color w:val="000000" w:themeColor="text1"/>
        </w:rPr>
        <w:t xml:space="preserve">But </w:t>
      </w:r>
      <w:r w:rsidR="00CF07D6" w:rsidRPr="00245485">
        <w:rPr>
          <w:color w:val="000000" w:themeColor="text1"/>
        </w:rPr>
        <w:t xml:space="preserve">what if </w:t>
      </w:r>
      <w:r w:rsidRPr="00245485">
        <w:rPr>
          <w:color w:val="000000" w:themeColor="text1"/>
        </w:rPr>
        <w:t xml:space="preserve">a traditional </w:t>
      </w:r>
      <w:r w:rsidR="00351F97" w:rsidRPr="00245485">
        <w:rPr>
          <w:color w:val="000000" w:themeColor="text1"/>
        </w:rPr>
        <w:t xml:space="preserve">conferral </w:t>
      </w:r>
      <w:r w:rsidRPr="00245485">
        <w:rPr>
          <w:color w:val="000000" w:themeColor="text1"/>
        </w:rPr>
        <w:t>analysis of the disputed Union act would suggest a genuine competence problem</w:t>
      </w:r>
      <w:r w:rsidR="00351F97" w:rsidRPr="00245485">
        <w:rPr>
          <w:color w:val="000000" w:themeColor="text1"/>
        </w:rPr>
        <w:t xml:space="preserve">, that cannot be massaged out of existence even by judicial reference to </w:t>
      </w:r>
      <w:r w:rsidR="00182F50" w:rsidRPr="00245485">
        <w:rPr>
          <w:color w:val="000000" w:themeColor="text1"/>
        </w:rPr>
        <w:t xml:space="preserve">the </w:t>
      </w:r>
      <w:r w:rsidR="00351F97" w:rsidRPr="00245485">
        <w:rPr>
          <w:color w:val="000000" w:themeColor="text1"/>
        </w:rPr>
        <w:t xml:space="preserve">broader legal </w:t>
      </w:r>
      <w:r w:rsidR="00182F50" w:rsidRPr="00245485">
        <w:rPr>
          <w:color w:val="000000" w:themeColor="text1"/>
        </w:rPr>
        <w:t xml:space="preserve">environment </w:t>
      </w:r>
      <w:r w:rsidR="00351F97" w:rsidRPr="00245485">
        <w:rPr>
          <w:color w:val="000000" w:themeColor="text1"/>
        </w:rPr>
        <w:t xml:space="preserve">and policy </w:t>
      </w:r>
      <w:r w:rsidR="00182F50" w:rsidRPr="00245485">
        <w:rPr>
          <w:color w:val="000000" w:themeColor="text1"/>
        </w:rPr>
        <w:t xml:space="preserve">context </w:t>
      </w:r>
      <w:r w:rsidRPr="00245485">
        <w:rPr>
          <w:color w:val="000000" w:themeColor="text1"/>
        </w:rPr>
        <w:t xml:space="preserve">– </w:t>
      </w:r>
      <w:r w:rsidR="00351F97" w:rsidRPr="00245485">
        <w:rPr>
          <w:color w:val="000000" w:themeColor="text1"/>
        </w:rPr>
        <w:t xml:space="preserve">a problem therefore </w:t>
      </w:r>
      <w:r w:rsidRPr="00245485">
        <w:rPr>
          <w:color w:val="000000" w:themeColor="text1"/>
        </w:rPr>
        <w:t xml:space="preserve">capable of leading to annulment of that individual and discrete measure, </w:t>
      </w:r>
      <w:r w:rsidR="00351F97" w:rsidRPr="00245485">
        <w:rPr>
          <w:color w:val="000000" w:themeColor="text1"/>
        </w:rPr>
        <w:t xml:space="preserve">effectively </w:t>
      </w:r>
      <w:r w:rsidRPr="00245485">
        <w:rPr>
          <w:color w:val="000000" w:themeColor="text1"/>
        </w:rPr>
        <w:t xml:space="preserve">divorced from any </w:t>
      </w:r>
      <w:proofErr w:type="gramStart"/>
      <w:r w:rsidRPr="00245485">
        <w:rPr>
          <w:color w:val="000000" w:themeColor="text1"/>
        </w:rPr>
        <w:t>particular recognition</w:t>
      </w:r>
      <w:proofErr w:type="gramEnd"/>
      <w:r w:rsidRPr="00245485">
        <w:rPr>
          <w:color w:val="000000" w:themeColor="text1"/>
        </w:rPr>
        <w:t xml:space="preserve"> of its place within the broader policy package</w:t>
      </w:r>
      <w:r w:rsidR="00CF07D6" w:rsidRPr="00245485">
        <w:rPr>
          <w:color w:val="000000" w:themeColor="text1"/>
        </w:rPr>
        <w:t xml:space="preserve">?  In that event, </w:t>
      </w:r>
      <w:r w:rsidRPr="00245485">
        <w:rPr>
          <w:color w:val="000000" w:themeColor="text1"/>
        </w:rPr>
        <w:t xml:space="preserve">the </w:t>
      </w:r>
      <w:r w:rsidR="00DA58F1" w:rsidRPr="00245485">
        <w:rPr>
          <w:color w:val="000000" w:themeColor="text1"/>
        </w:rPr>
        <w:t xml:space="preserve">CJEU would be faced with a </w:t>
      </w:r>
      <w:r w:rsidRPr="00245485">
        <w:rPr>
          <w:color w:val="000000" w:themeColor="text1"/>
        </w:rPr>
        <w:t xml:space="preserve">difficult </w:t>
      </w:r>
      <w:r w:rsidR="00DA58F1" w:rsidRPr="00245485">
        <w:rPr>
          <w:color w:val="000000" w:themeColor="text1"/>
        </w:rPr>
        <w:t xml:space="preserve">choice.  </w:t>
      </w:r>
    </w:p>
    <w:p w14:paraId="12850AF7" w14:textId="15026AAB" w:rsidR="006E2934" w:rsidRDefault="006E2934" w:rsidP="006E2934">
      <w:pPr>
        <w:jc w:val="both"/>
        <w:rPr>
          <w:color w:val="000000" w:themeColor="text1"/>
        </w:rPr>
      </w:pPr>
    </w:p>
    <w:p w14:paraId="7AA77AF1" w14:textId="6E28825F" w:rsidR="006E2934" w:rsidRPr="006E2934" w:rsidRDefault="006E2934" w:rsidP="006E2934">
      <w:pPr>
        <w:jc w:val="both"/>
        <w:rPr>
          <w:i/>
          <w:iCs/>
          <w:color w:val="000000" w:themeColor="text1"/>
        </w:rPr>
      </w:pPr>
      <w:r>
        <w:rPr>
          <w:i/>
          <w:iCs/>
          <w:color w:val="000000" w:themeColor="text1"/>
        </w:rPr>
        <w:t>5</w:t>
      </w:r>
      <w:r w:rsidRPr="00E308BC">
        <w:rPr>
          <w:i/>
          <w:iCs/>
          <w:color w:val="000000" w:themeColor="text1"/>
        </w:rPr>
        <w:t>.</w:t>
      </w:r>
      <w:r>
        <w:rPr>
          <w:i/>
          <w:iCs/>
          <w:color w:val="000000" w:themeColor="text1"/>
        </w:rPr>
        <w:t>3</w:t>
      </w:r>
      <w:r w:rsidRPr="00E308BC">
        <w:rPr>
          <w:i/>
          <w:iCs/>
          <w:color w:val="000000" w:themeColor="text1"/>
        </w:rPr>
        <w:t xml:space="preserve"> </w:t>
      </w:r>
      <w:r>
        <w:rPr>
          <w:i/>
          <w:iCs/>
          <w:color w:val="000000" w:themeColor="text1"/>
        </w:rPr>
        <w:t>Implications for judicial review</w:t>
      </w:r>
    </w:p>
    <w:p w14:paraId="180E60E2" w14:textId="77777777" w:rsidR="006E2934" w:rsidRDefault="006E2934" w:rsidP="006E2934">
      <w:pPr>
        <w:jc w:val="both"/>
        <w:rPr>
          <w:color w:val="000000" w:themeColor="text1"/>
        </w:rPr>
      </w:pPr>
    </w:p>
    <w:p w14:paraId="79CD9F3D" w14:textId="77777777" w:rsidR="00245485" w:rsidRDefault="00866C1D" w:rsidP="006E2934">
      <w:pPr>
        <w:jc w:val="both"/>
        <w:rPr>
          <w:color w:val="000000" w:themeColor="text1"/>
        </w:rPr>
      </w:pPr>
      <w:r w:rsidRPr="00245485">
        <w:rPr>
          <w:i/>
          <w:iCs/>
          <w:color w:val="000000" w:themeColor="text1"/>
        </w:rPr>
        <w:t>Either</w:t>
      </w:r>
      <w:r w:rsidR="0038096E" w:rsidRPr="00245485">
        <w:rPr>
          <w:i/>
          <w:iCs/>
          <w:color w:val="000000" w:themeColor="text1"/>
        </w:rPr>
        <w:t>:</w:t>
      </w:r>
      <w:r w:rsidRPr="00245485">
        <w:rPr>
          <w:color w:val="000000" w:themeColor="text1"/>
        </w:rPr>
        <w:t xml:space="preserve"> </w:t>
      </w:r>
      <w:proofErr w:type="gramStart"/>
      <w:r w:rsidR="00CF07D6" w:rsidRPr="00245485">
        <w:rPr>
          <w:color w:val="000000" w:themeColor="text1"/>
        </w:rPr>
        <w:t>the</w:t>
      </w:r>
      <w:proofErr w:type="gramEnd"/>
      <w:r w:rsidR="00CF07D6" w:rsidRPr="00245485">
        <w:rPr>
          <w:color w:val="000000" w:themeColor="text1"/>
        </w:rPr>
        <w:t xml:space="preserve"> Court might engage in its own creative and expansive interpretation of the relevant attributed powers, under the applicable legal basis, thereby endorsing the existence of adequate and appropriate competence</w:t>
      </w:r>
      <w:r w:rsidR="00E021CF" w:rsidRPr="00245485">
        <w:rPr>
          <w:color w:val="000000" w:themeColor="text1"/>
        </w:rPr>
        <w:t xml:space="preserve"> to adopt the disputed act – and indirectly preserving the integrity of the wider policy package, even without granting the latter any explicit status</w:t>
      </w:r>
      <w:r w:rsidR="00182F50" w:rsidRPr="00245485">
        <w:rPr>
          <w:color w:val="000000" w:themeColor="text1"/>
        </w:rPr>
        <w:t>,</w:t>
      </w:r>
      <w:r w:rsidR="00E021CF" w:rsidRPr="00245485">
        <w:rPr>
          <w:color w:val="000000" w:themeColor="text1"/>
        </w:rPr>
        <w:t xml:space="preserve"> or </w:t>
      </w:r>
      <w:r w:rsidR="00182F50" w:rsidRPr="00245485">
        <w:rPr>
          <w:color w:val="000000" w:themeColor="text1"/>
        </w:rPr>
        <w:t>at least any greater</w:t>
      </w:r>
      <w:r w:rsidR="00E021CF" w:rsidRPr="00245485">
        <w:rPr>
          <w:color w:val="000000" w:themeColor="text1"/>
        </w:rPr>
        <w:t xml:space="preserve"> recognition</w:t>
      </w:r>
      <w:r w:rsidR="00182F50" w:rsidRPr="00245485">
        <w:rPr>
          <w:color w:val="000000" w:themeColor="text1"/>
        </w:rPr>
        <w:t xml:space="preserve"> and force,</w:t>
      </w:r>
      <w:r w:rsidR="00E021CF" w:rsidRPr="00245485">
        <w:rPr>
          <w:color w:val="000000" w:themeColor="text1"/>
        </w:rPr>
        <w:t xml:space="preserve"> </w:t>
      </w:r>
      <w:r w:rsidR="00182F50" w:rsidRPr="00245485">
        <w:rPr>
          <w:color w:val="000000" w:themeColor="text1"/>
        </w:rPr>
        <w:t xml:space="preserve">under the Court’s </w:t>
      </w:r>
      <w:r w:rsidR="00E021CF" w:rsidRPr="00245485">
        <w:rPr>
          <w:color w:val="000000" w:themeColor="text1"/>
        </w:rPr>
        <w:t xml:space="preserve">constitutional reasoning.  </w:t>
      </w:r>
      <w:r w:rsidRPr="00245485">
        <w:rPr>
          <w:color w:val="000000" w:themeColor="text1"/>
        </w:rPr>
        <w:t xml:space="preserve">After all, the Court always has the interpretative means at its disposal to do so: </w:t>
      </w:r>
      <w:r w:rsidR="0099292C" w:rsidRPr="00245485">
        <w:rPr>
          <w:color w:val="000000" w:themeColor="text1"/>
        </w:rPr>
        <w:t xml:space="preserve">by not only </w:t>
      </w:r>
      <w:r w:rsidRPr="00245485">
        <w:rPr>
          <w:color w:val="000000" w:themeColor="text1"/>
        </w:rPr>
        <w:t xml:space="preserve">simply decreeing that the scope of a given power is actually wider than was previously understood </w:t>
      </w:r>
      <w:r w:rsidR="0099292C" w:rsidRPr="00245485">
        <w:rPr>
          <w:color w:val="000000" w:themeColor="text1"/>
        </w:rPr>
        <w:t xml:space="preserve">but also (for example) </w:t>
      </w:r>
      <w:r w:rsidRPr="00245485">
        <w:rPr>
          <w:color w:val="000000" w:themeColor="text1"/>
        </w:rPr>
        <w:t>invoking inherently malleable concepts, such as the need to ensure the “effectiveness” of Union action, so as to extend the breadth or depth of the regulatory competence created by its legal basis</w:t>
      </w:r>
      <w:r w:rsidR="000A1102" w:rsidRPr="00245485">
        <w:rPr>
          <w:color w:val="000000" w:themeColor="text1"/>
        </w:rPr>
        <w:t>;</w:t>
      </w:r>
      <w:r w:rsidR="004520E9" w:rsidRPr="00245485">
        <w:rPr>
          <w:rStyle w:val="FootnoteReference"/>
          <w:color w:val="000000" w:themeColor="text1"/>
        </w:rPr>
        <w:footnoteReference w:id="75"/>
      </w:r>
      <w:r w:rsidR="000A1102" w:rsidRPr="00245485">
        <w:rPr>
          <w:color w:val="000000" w:themeColor="text1"/>
        </w:rPr>
        <w:t xml:space="preserve"> or even falling back upon the doctrine of “implied powers”</w:t>
      </w:r>
      <w:r w:rsidRPr="00245485">
        <w:rPr>
          <w:color w:val="000000" w:themeColor="text1"/>
        </w:rPr>
        <w:t xml:space="preserve">, </w:t>
      </w:r>
      <w:r w:rsidR="000A1102" w:rsidRPr="00245485">
        <w:rPr>
          <w:color w:val="000000" w:themeColor="text1"/>
        </w:rPr>
        <w:t>conferred implicitly through rather than explicitly by the Treaties, as recognised by the Court in its (largely pre-Lisbon Treaty) jurisprudence.</w:t>
      </w:r>
      <w:r w:rsidR="004520E9" w:rsidRPr="00245485">
        <w:rPr>
          <w:rStyle w:val="FootnoteReference"/>
          <w:color w:val="000000" w:themeColor="text1"/>
        </w:rPr>
        <w:footnoteReference w:id="76"/>
      </w:r>
      <w:r w:rsidR="000A1102" w:rsidRPr="00245485">
        <w:rPr>
          <w:color w:val="000000" w:themeColor="text1"/>
        </w:rPr>
        <w:t xml:space="preserve">  </w:t>
      </w:r>
    </w:p>
    <w:p w14:paraId="4858C4BC" w14:textId="77777777" w:rsidR="00245485" w:rsidRDefault="001F1DC6" w:rsidP="00245485">
      <w:pPr>
        <w:ind w:firstLine="720"/>
        <w:jc w:val="both"/>
        <w:rPr>
          <w:color w:val="000000" w:themeColor="text1"/>
        </w:rPr>
      </w:pPr>
      <w:r w:rsidRPr="00245485">
        <w:rPr>
          <w:color w:val="000000" w:themeColor="text1"/>
        </w:rPr>
        <w:t xml:space="preserve">In </w:t>
      </w:r>
      <w:r w:rsidR="000A1102" w:rsidRPr="00245485">
        <w:rPr>
          <w:color w:val="000000" w:themeColor="text1"/>
        </w:rPr>
        <w:t xml:space="preserve">any such </w:t>
      </w:r>
      <w:r w:rsidRPr="00245485">
        <w:rPr>
          <w:color w:val="000000" w:themeColor="text1"/>
        </w:rPr>
        <w:t xml:space="preserve">scenario, both the Union legislature and the Union judiciary are exposed to allegations of “competence creep” – in effect, an abuse of power pitched at the level of </w:t>
      </w:r>
      <w:r w:rsidRPr="00245485">
        <w:rPr>
          <w:color w:val="000000" w:themeColor="text1"/>
        </w:rPr>
        <w:lastRenderedPageBreak/>
        <w:t>constitutional significance.</w:t>
      </w:r>
      <w:r w:rsidR="004520E9" w:rsidRPr="00245485">
        <w:rPr>
          <w:rStyle w:val="FootnoteReference"/>
          <w:color w:val="000000" w:themeColor="text1"/>
        </w:rPr>
        <w:footnoteReference w:id="77"/>
      </w:r>
      <w:r w:rsidRPr="00245485">
        <w:rPr>
          <w:color w:val="000000" w:themeColor="text1"/>
        </w:rPr>
        <w:t xml:space="preserve">  </w:t>
      </w:r>
      <w:r w:rsidR="000A1102" w:rsidRPr="00245485">
        <w:rPr>
          <w:color w:val="000000" w:themeColor="text1"/>
        </w:rPr>
        <w:t>Of course, what one commentator might denounce as an improper abuse of power by the Union institutions, another commentator might regard as an entirely reasonable evolution of the Treaties viewed as living constitutional instruments.</w:t>
      </w:r>
      <w:r w:rsidR="004520E9" w:rsidRPr="00245485">
        <w:rPr>
          <w:rStyle w:val="FootnoteReference"/>
          <w:color w:val="000000" w:themeColor="text1"/>
        </w:rPr>
        <w:footnoteReference w:id="78"/>
      </w:r>
      <w:r w:rsidR="000A1102" w:rsidRPr="00245485">
        <w:rPr>
          <w:color w:val="000000" w:themeColor="text1"/>
        </w:rPr>
        <w:t xml:space="preserve">  But the persistence of such allegations – not only at the Union level, but also among key actors </w:t>
      </w:r>
      <w:r w:rsidR="0038096E" w:rsidRPr="00245485">
        <w:rPr>
          <w:color w:val="000000" w:themeColor="text1"/>
        </w:rPr>
        <w:t xml:space="preserve">in </w:t>
      </w:r>
      <w:r w:rsidR="000A1102" w:rsidRPr="00245485">
        <w:rPr>
          <w:color w:val="000000" w:themeColor="text1"/>
        </w:rPr>
        <w:t xml:space="preserve">the domestic constitutional </w:t>
      </w:r>
      <w:r w:rsidR="0038096E" w:rsidRPr="00245485">
        <w:rPr>
          <w:color w:val="000000" w:themeColor="text1"/>
        </w:rPr>
        <w:t xml:space="preserve">sphere </w:t>
      </w:r>
      <w:r w:rsidR="000A1102" w:rsidRPr="00245485">
        <w:rPr>
          <w:color w:val="000000" w:themeColor="text1"/>
        </w:rPr>
        <w:t>– still generates considerable controversy and can come at considerable cost.</w:t>
      </w:r>
      <w:r w:rsidR="004520E9" w:rsidRPr="00245485">
        <w:rPr>
          <w:rStyle w:val="FootnoteReference"/>
          <w:color w:val="000000" w:themeColor="text1"/>
        </w:rPr>
        <w:footnoteReference w:id="79"/>
      </w:r>
      <w:r w:rsidR="000A1102" w:rsidRPr="00245485">
        <w:rPr>
          <w:color w:val="000000" w:themeColor="text1"/>
        </w:rPr>
        <w:t xml:space="preserve">  Moreover, while </w:t>
      </w:r>
      <w:r w:rsidR="00182F50" w:rsidRPr="00245485">
        <w:rPr>
          <w:color w:val="000000" w:themeColor="text1"/>
        </w:rPr>
        <w:t xml:space="preserve">allegations of “competence creep” have long been familiar </w:t>
      </w:r>
      <w:r w:rsidR="000A1102" w:rsidRPr="00245485">
        <w:rPr>
          <w:color w:val="000000" w:themeColor="text1"/>
        </w:rPr>
        <w:t xml:space="preserve">even as regards genuinely </w:t>
      </w:r>
      <w:r w:rsidR="00182F50" w:rsidRPr="00245485">
        <w:rPr>
          <w:color w:val="000000" w:themeColor="text1"/>
        </w:rPr>
        <w:t>individual and discret</w:t>
      </w:r>
      <w:r w:rsidR="0035288A" w:rsidRPr="00245485">
        <w:rPr>
          <w:color w:val="000000" w:themeColor="text1"/>
        </w:rPr>
        <w:t>e</w:t>
      </w:r>
      <w:r w:rsidR="00182F50" w:rsidRPr="00245485">
        <w:rPr>
          <w:color w:val="000000" w:themeColor="text1"/>
        </w:rPr>
        <w:t xml:space="preserve"> Union acts</w:t>
      </w:r>
      <w:r w:rsidR="000A1102" w:rsidRPr="00245485">
        <w:rPr>
          <w:color w:val="000000" w:themeColor="text1"/>
        </w:rPr>
        <w:t xml:space="preserve">, it is arguable that such allegations </w:t>
      </w:r>
      <w:r w:rsidR="00182F50" w:rsidRPr="00245485">
        <w:rPr>
          <w:color w:val="000000" w:themeColor="text1"/>
        </w:rPr>
        <w:t xml:space="preserve">assume certain distinctive features in the </w:t>
      </w:r>
      <w:r w:rsidR="000A1102" w:rsidRPr="00245485">
        <w:rPr>
          <w:color w:val="000000" w:themeColor="text1"/>
        </w:rPr>
        <w:t xml:space="preserve">particular </w:t>
      </w:r>
      <w:r w:rsidR="00182F50" w:rsidRPr="00245485">
        <w:rPr>
          <w:color w:val="000000" w:themeColor="text1"/>
        </w:rPr>
        <w:t xml:space="preserve">case of policy packages.  On the one hand, the temptation to engage in </w:t>
      </w:r>
      <w:r w:rsidR="0035288A" w:rsidRPr="00245485">
        <w:rPr>
          <w:color w:val="000000" w:themeColor="text1"/>
        </w:rPr>
        <w:t xml:space="preserve">/ endorse </w:t>
      </w:r>
      <w:r w:rsidR="00182F50" w:rsidRPr="00245485">
        <w:rPr>
          <w:color w:val="000000" w:themeColor="text1"/>
        </w:rPr>
        <w:t xml:space="preserve">an expansive interpretation of Union competences may be all the greater where </w:t>
      </w:r>
      <w:r w:rsidR="00866C1D" w:rsidRPr="00245485">
        <w:rPr>
          <w:color w:val="000000" w:themeColor="text1"/>
        </w:rPr>
        <w:t xml:space="preserve">that would ensure not only </w:t>
      </w:r>
      <w:r w:rsidR="00182F50" w:rsidRPr="00245485">
        <w:rPr>
          <w:color w:val="000000" w:themeColor="text1"/>
        </w:rPr>
        <w:t>the survival of the disputed act</w:t>
      </w:r>
      <w:r w:rsidR="000A1102" w:rsidRPr="00245485">
        <w:rPr>
          <w:color w:val="000000" w:themeColor="text1"/>
        </w:rPr>
        <w:t>,</w:t>
      </w:r>
      <w:r w:rsidR="00182F50" w:rsidRPr="00245485">
        <w:rPr>
          <w:color w:val="000000" w:themeColor="text1"/>
        </w:rPr>
        <w:t xml:space="preserve"> </w:t>
      </w:r>
      <w:r w:rsidR="00866C1D" w:rsidRPr="00245485">
        <w:rPr>
          <w:color w:val="000000" w:themeColor="text1"/>
        </w:rPr>
        <w:t>but also the integrity of the wider regulatory framework of which that acts forms only one (albeit integral) element</w:t>
      </w:r>
      <w:r w:rsidR="00182F50" w:rsidRPr="00245485">
        <w:rPr>
          <w:color w:val="000000" w:themeColor="text1"/>
        </w:rPr>
        <w:t xml:space="preserve">.  On the other hand, </w:t>
      </w:r>
      <w:r w:rsidRPr="00245485">
        <w:rPr>
          <w:color w:val="000000" w:themeColor="text1"/>
        </w:rPr>
        <w:t xml:space="preserve">“competence creep” </w:t>
      </w:r>
      <w:r w:rsidR="00866C1D" w:rsidRPr="00245485">
        <w:rPr>
          <w:color w:val="000000" w:themeColor="text1"/>
        </w:rPr>
        <w:t xml:space="preserve">might be </w:t>
      </w:r>
      <w:r w:rsidRPr="00245485">
        <w:rPr>
          <w:color w:val="000000" w:themeColor="text1"/>
        </w:rPr>
        <w:t xml:space="preserve">considered particularly insidious </w:t>
      </w:r>
      <w:r w:rsidR="000A1102" w:rsidRPr="00245485">
        <w:rPr>
          <w:color w:val="000000" w:themeColor="text1"/>
        </w:rPr>
        <w:t xml:space="preserve">here, </w:t>
      </w:r>
      <w:r w:rsidRPr="00245485">
        <w:rPr>
          <w:color w:val="000000" w:themeColor="text1"/>
        </w:rPr>
        <w:t xml:space="preserve">because the utilitarian solution found to solve this </w:t>
      </w:r>
      <w:proofErr w:type="gramStart"/>
      <w:r w:rsidRPr="00245485">
        <w:rPr>
          <w:color w:val="000000" w:themeColor="text1"/>
        </w:rPr>
        <w:t>particular crisis</w:t>
      </w:r>
      <w:proofErr w:type="gramEnd"/>
      <w:r w:rsidR="000A1102" w:rsidRPr="00245485">
        <w:rPr>
          <w:color w:val="000000" w:themeColor="text1"/>
        </w:rPr>
        <w:t xml:space="preserve"> </w:t>
      </w:r>
      <w:r w:rsidRPr="00245485">
        <w:rPr>
          <w:color w:val="000000" w:themeColor="text1"/>
        </w:rPr>
        <w:t xml:space="preserve">can easily acquire a life beyond </w:t>
      </w:r>
      <w:r w:rsidR="0038096E" w:rsidRPr="00245485">
        <w:rPr>
          <w:color w:val="000000" w:themeColor="text1"/>
        </w:rPr>
        <w:t>today’s exigencies</w:t>
      </w:r>
      <w:r w:rsidRPr="00245485">
        <w:rPr>
          <w:color w:val="000000" w:themeColor="text1"/>
        </w:rPr>
        <w:t>, becoming a freestanding source of expanded Union power available for use into the future, and without anything comparable to the pressing needs of that original policy challenge to motivate or justify it.</w:t>
      </w:r>
      <w:r w:rsidR="007B58AB" w:rsidRPr="00245485">
        <w:rPr>
          <w:rStyle w:val="FootnoteReference"/>
          <w:color w:val="000000" w:themeColor="text1"/>
        </w:rPr>
        <w:footnoteReference w:id="80"/>
      </w:r>
    </w:p>
    <w:p w14:paraId="220B4F2B" w14:textId="44B2F1D5" w:rsidR="00245485" w:rsidRDefault="00E021CF" w:rsidP="00245485">
      <w:pPr>
        <w:ind w:firstLine="720"/>
        <w:jc w:val="both"/>
        <w:rPr>
          <w:color w:val="000000" w:themeColor="text1"/>
        </w:rPr>
      </w:pPr>
      <w:r w:rsidRPr="00245485">
        <w:rPr>
          <w:i/>
          <w:iCs/>
          <w:color w:val="000000" w:themeColor="text1"/>
        </w:rPr>
        <w:t xml:space="preserve">Or </w:t>
      </w:r>
      <w:r w:rsidR="001F1DC6" w:rsidRPr="00245485">
        <w:rPr>
          <w:i/>
          <w:iCs/>
          <w:color w:val="000000" w:themeColor="text1"/>
        </w:rPr>
        <w:t>instead</w:t>
      </w:r>
      <w:r w:rsidR="0038096E" w:rsidRPr="00245485">
        <w:rPr>
          <w:i/>
          <w:iCs/>
          <w:color w:val="000000" w:themeColor="text1"/>
        </w:rPr>
        <w:t>:</w:t>
      </w:r>
      <w:r w:rsidR="001F1DC6" w:rsidRPr="00245485">
        <w:rPr>
          <w:color w:val="000000" w:themeColor="text1"/>
        </w:rPr>
        <w:t xml:space="preserve"> </w:t>
      </w:r>
      <w:r w:rsidRPr="00245485">
        <w:rPr>
          <w:color w:val="000000" w:themeColor="text1"/>
        </w:rPr>
        <w:t xml:space="preserve">the </w:t>
      </w:r>
      <w:r w:rsidR="00DA58F1" w:rsidRPr="00245485">
        <w:rPr>
          <w:color w:val="000000" w:themeColor="text1"/>
        </w:rPr>
        <w:t xml:space="preserve">Court </w:t>
      </w:r>
      <w:r w:rsidR="000847BD" w:rsidRPr="00245485">
        <w:rPr>
          <w:color w:val="000000" w:themeColor="text1"/>
        </w:rPr>
        <w:t xml:space="preserve">could </w:t>
      </w:r>
      <w:r w:rsidRPr="00245485">
        <w:rPr>
          <w:color w:val="000000" w:themeColor="text1"/>
        </w:rPr>
        <w:t xml:space="preserve">simply </w:t>
      </w:r>
      <w:r w:rsidR="00CF07D6" w:rsidRPr="00245485">
        <w:rPr>
          <w:color w:val="000000" w:themeColor="text1"/>
        </w:rPr>
        <w:t xml:space="preserve">follow the logic demanded by </w:t>
      </w:r>
      <w:r w:rsidRPr="00245485">
        <w:rPr>
          <w:color w:val="000000" w:themeColor="text1"/>
        </w:rPr>
        <w:t>its own</w:t>
      </w:r>
      <w:r w:rsidR="00CF07D6" w:rsidRPr="00245485">
        <w:rPr>
          <w:color w:val="000000" w:themeColor="text1"/>
        </w:rPr>
        <w:t xml:space="preserve"> </w:t>
      </w:r>
      <w:r w:rsidRPr="00245485">
        <w:rPr>
          <w:color w:val="000000" w:themeColor="text1"/>
        </w:rPr>
        <w:t xml:space="preserve">established </w:t>
      </w:r>
      <w:r w:rsidR="00CF07D6" w:rsidRPr="00245485">
        <w:rPr>
          <w:color w:val="000000" w:themeColor="text1"/>
        </w:rPr>
        <w:t xml:space="preserve">legal </w:t>
      </w:r>
      <w:r w:rsidRPr="00245485">
        <w:rPr>
          <w:color w:val="000000" w:themeColor="text1"/>
        </w:rPr>
        <w:t xml:space="preserve">principles </w:t>
      </w:r>
      <w:r w:rsidR="00CF07D6" w:rsidRPr="00245485">
        <w:rPr>
          <w:color w:val="000000" w:themeColor="text1"/>
        </w:rPr>
        <w:t xml:space="preserve">– annulling the disputed act in </w:t>
      </w:r>
      <w:proofErr w:type="gramStart"/>
      <w:r w:rsidR="00CF07D6" w:rsidRPr="00245485">
        <w:rPr>
          <w:color w:val="000000" w:themeColor="text1"/>
        </w:rPr>
        <w:t>isolation, and</w:t>
      </w:r>
      <w:proofErr w:type="gramEnd"/>
      <w:r w:rsidR="00CF07D6" w:rsidRPr="00245485">
        <w:rPr>
          <w:color w:val="000000" w:themeColor="text1"/>
        </w:rPr>
        <w:t xml:space="preserve"> accepting that this might unravel an integral or even crucial part of the overall political settlement reached by the </w:t>
      </w:r>
      <w:r w:rsidRPr="00245485">
        <w:rPr>
          <w:color w:val="000000" w:themeColor="text1"/>
        </w:rPr>
        <w:t xml:space="preserve">competent </w:t>
      </w:r>
      <w:r w:rsidR="00CF07D6" w:rsidRPr="00245485">
        <w:rPr>
          <w:color w:val="000000" w:themeColor="text1"/>
        </w:rPr>
        <w:t>Union institutions.</w:t>
      </w:r>
      <w:r w:rsidR="001F1DC6" w:rsidRPr="00245485">
        <w:rPr>
          <w:color w:val="000000" w:themeColor="text1"/>
        </w:rPr>
        <w:t xml:space="preserve">  </w:t>
      </w:r>
      <w:r w:rsidRPr="00245485">
        <w:rPr>
          <w:color w:val="000000" w:themeColor="text1"/>
        </w:rPr>
        <w:t xml:space="preserve">In </w:t>
      </w:r>
      <w:r w:rsidR="001F1DC6" w:rsidRPr="00245485">
        <w:rPr>
          <w:color w:val="000000" w:themeColor="text1"/>
        </w:rPr>
        <w:t xml:space="preserve">that </w:t>
      </w:r>
      <w:r w:rsidRPr="00245485">
        <w:rPr>
          <w:color w:val="000000" w:themeColor="text1"/>
        </w:rPr>
        <w:t xml:space="preserve">scenario, the </w:t>
      </w:r>
      <w:r w:rsidR="00F0000B" w:rsidRPr="00245485">
        <w:rPr>
          <w:color w:val="000000" w:themeColor="text1"/>
        </w:rPr>
        <w:t xml:space="preserve">Court </w:t>
      </w:r>
      <w:r w:rsidR="0038096E" w:rsidRPr="00245485">
        <w:rPr>
          <w:color w:val="000000" w:themeColor="text1"/>
        </w:rPr>
        <w:t xml:space="preserve">might avoid allegations of improper “competence creep” – to the satisfaction of particularly vigilant </w:t>
      </w:r>
      <w:r w:rsidR="009061A1" w:rsidRPr="00245485">
        <w:rPr>
          <w:color w:val="000000" w:themeColor="text1"/>
        </w:rPr>
        <w:t xml:space="preserve">or </w:t>
      </w:r>
      <w:r w:rsidR="0038096E" w:rsidRPr="00245485">
        <w:rPr>
          <w:color w:val="000000" w:themeColor="text1"/>
        </w:rPr>
        <w:t xml:space="preserve">sensitive scholarly commentators </w:t>
      </w:r>
      <w:r w:rsidR="009061A1" w:rsidRPr="00245485">
        <w:rPr>
          <w:color w:val="000000" w:themeColor="text1"/>
        </w:rPr>
        <w:t>and</w:t>
      </w:r>
      <w:r w:rsidR="0038096E" w:rsidRPr="00245485">
        <w:rPr>
          <w:color w:val="000000" w:themeColor="text1"/>
        </w:rPr>
        <w:t xml:space="preserve"> domestic constitutional courts.  But at the same time, the Court </w:t>
      </w:r>
      <w:r w:rsidR="00490E3E" w:rsidRPr="00245485">
        <w:rPr>
          <w:color w:val="000000" w:themeColor="text1"/>
        </w:rPr>
        <w:t>risk</w:t>
      </w:r>
      <w:r w:rsidR="005B04E9" w:rsidRPr="00245485">
        <w:rPr>
          <w:color w:val="000000" w:themeColor="text1"/>
        </w:rPr>
        <w:t>s</w:t>
      </w:r>
      <w:r w:rsidR="00490E3E" w:rsidRPr="00245485">
        <w:rPr>
          <w:color w:val="000000" w:themeColor="text1"/>
        </w:rPr>
        <w:t xml:space="preserve"> </w:t>
      </w:r>
      <w:r w:rsidRPr="00245485">
        <w:rPr>
          <w:color w:val="000000" w:themeColor="text1"/>
        </w:rPr>
        <w:t xml:space="preserve">being accused of hobbling the Union’s capacity to deliver </w:t>
      </w:r>
      <w:r w:rsidR="00490E3E" w:rsidRPr="00245485">
        <w:rPr>
          <w:color w:val="000000" w:themeColor="text1"/>
        </w:rPr>
        <w:t xml:space="preserve">optimal </w:t>
      </w:r>
      <w:r w:rsidR="00FF5C3A" w:rsidRPr="00245485">
        <w:rPr>
          <w:color w:val="000000" w:themeColor="text1"/>
        </w:rPr>
        <w:t xml:space="preserve">policy </w:t>
      </w:r>
      <w:r w:rsidR="00490E3E" w:rsidRPr="00245485">
        <w:rPr>
          <w:color w:val="000000" w:themeColor="text1"/>
        </w:rPr>
        <w:t xml:space="preserve">solutions to complex </w:t>
      </w:r>
      <w:r w:rsidRPr="00245485">
        <w:rPr>
          <w:color w:val="000000" w:themeColor="text1"/>
        </w:rPr>
        <w:t>challenges</w:t>
      </w:r>
      <w:r w:rsidR="009061A1" w:rsidRPr="00245485">
        <w:rPr>
          <w:color w:val="000000" w:themeColor="text1"/>
        </w:rPr>
        <w:t>,</w:t>
      </w:r>
      <w:r w:rsidRPr="00245485">
        <w:rPr>
          <w:color w:val="000000" w:themeColor="text1"/>
        </w:rPr>
        <w:t xml:space="preserve"> for reasons specifically </w:t>
      </w:r>
      <w:r w:rsidR="00490E3E" w:rsidRPr="00245485">
        <w:rPr>
          <w:color w:val="000000" w:themeColor="text1"/>
        </w:rPr>
        <w:t xml:space="preserve">attributable to </w:t>
      </w:r>
      <w:r w:rsidR="009061A1" w:rsidRPr="00245485">
        <w:rPr>
          <w:color w:val="000000" w:themeColor="text1"/>
        </w:rPr>
        <w:t>the</w:t>
      </w:r>
      <w:r w:rsidRPr="00245485">
        <w:rPr>
          <w:color w:val="000000" w:themeColor="text1"/>
        </w:rPr>
        <w:t xml:space="preserve"> </w:t>
      </w:r>
      <w:r w:rsidR="004746E0" w:rsidRPr="00245485">
        <w:rPr>
          <w:color w:val="000000" w:themeColor="text1"/>
        </w:rPr>
        <w:t>traditional</w:t>
      </w:r>
      <w:r w:rsidRPr="00245485">
        <w:rPr>
          <w:color w:val="000000" w:themeColor="text1"/>
        </w:rPr>
        <w:t xml:space="preserve"> </w:t>
      </w:r>
      <w:r w:rsidR="009061A1" w:rsidRPr="00245485">
        <w:rPr>
          <w:color w:val="000000" w:themeColor="text1"/>
        </w:rPr>
        <w:t xml:space="preserve">legal framework </w:t>
      </w:r>
      <w:r w:rsidRPr="00245485">
        <w:rPr>
          <w:color w:val="000000" w:themeColor="text1"/>
        </w:rPr>
        <w:t xml:space="preserve">governing conferred powers.  </w:t>
      </w:r>
      <w:r w:rsidR="009061A1" w:rsidRPr="00245485">
        <w:rPr>
          <w:color w:val="000000" w:themeColor="text1"/>
        </w:rPr>
        <w:t xml:space="preserve">After all, a complex and interconnected policy package would have been partially unravelled, but with no guarantee whatsoever that it </w:t>
      </w:r>
      <w:r w:rsidR="00FC578C" w:rsidRPr="00245485">
        <w:rPr>
          <w:color w:val="000000" w:themeColor="text1"/>
        </w:rPr>
        <w:t xml:space="preserve">can or </w:t>
      </w:r>
      <w:r w:rsidR="009061A1" w:rsidRPr="00245485">
        <w:rPr>
          <w:color w:val="000000" w:themeColor="text1"/>
        </w:rPr>
        <w:t xml:space="preserve">will be reconstructed – since the latter presupposes both the availability of an alternative legal basis conferring sufficient competence to act, </w:t>
      </w:r>
      <w:proofErr w:type="gramStart"/>
      <w:r w:rsidR="009061A1" w:rsidRPr="00245485">
        <w:rPr>
          <w:color w:val="000000" w:themeColor="text1"/>
        </w:rPr>
        <w:t>and also</w:t>
      </w:r>
      <w:proofErr w:type="gramEnd"/>
      <w:r w:rsidR="009061A1" w:rsidRPr="00245485">
        <w:rPr>
          <w:color w:val="000000" w:themeColor="text1"/>
        </w:rPr>
        <w:t xml:space="preserve"> a renewal of or commitment to support from the same or indeed </w:t>
      </w:r>
      <w:r w:rsidR="006874D0" w:rsidRPr="00245485">
        <w:rPr>
          <w:color w:val="000000" w:themeColor="text1"/>
        </w:rPr>
        <w:t xml:space="preserve">any </w:t>
      </w:r>
      <w:r w:rsidR="009061A1" w:rsidRPr="00245485">
        <w:rPr>
          <w:color w:val="000000" w:themeColor="text1"/>
        </w:rPr>
        <w:t>new</w:t>
      </w:r>
      <w:r w:rsidR="006874D0" w:rsidRPr="00245485">
        <w:rPr>
          <w:color w:val="000000" w:themeColor="text1"/>
        </w:rPr>
        <w:t>ly empowered</w:t>
      </w:r>
      <w:r w:rsidR="009061A1" w:rsidRPr="00245485">
        <w:rPr>
          <w:color w:val="000000" w:themeColor="text1"/>
        </w:rPr>
        <w:t xml:space="preserve"> institutional actors.</w:t>
      </w:r>
    </w:p>
    <w:p w14:paraId="5D8AB589" w14:textId="77777777" w:rsidR="00245485" w:rsidRDefault="009061A1" w:rsidP="00245485">
      <w:pPr>
        <w:ind w:firstLine="720"/>
        <w:jc w:val="both"/>
        <w:rPr>
          <w:color w:val="000000" w:themeColor="text1"/>
        </w:rPr>
      </w:pPr>
      <w:r w:rsidRPr="00245485">
        <w:rPr>
          <w:color w:val="000000" w:themeColor="text1"/>
        </w:rPr>
        <w:t>Moreover</w:t>
      </w:r>
      <w:r w:rsidR="006E787E" w:rsidRPr="00245485">
        <w:rPr>
          <w:color w:val="000000" w:themeColor="text1"/>
        </w:rPr>
        <w:t xml:space="preserve">, </w:t>
      </w:r>
      <w:r w:rsidR="0038096E" w:rsidRPr="00245485">
        <w:rPr>
          <w:color w:val="000000" w:themeColor="text1"/>
        </w:rPr>
        <w:t xml:space="preserve">judicial self-restraint and the assertion of legal orthodoxy might </w:t>
      </w:r>
      <w:r w:rsidRPr="00245485">
        <w:rPr>
          <w:color w:val="000000" w:themeColor="text1"/>
        </w:rPr>
        <w:t xml:space="preserve">generate legitimacy controversies of their own – in particular, by </w:t>
      </w:r>
      <w:r w:rsidR="0038096E" w:rsidRPr="00245485">
        <w:rPr>
          <w:color w:val="000000" w:themeColor="text1"/>
        </w:rPr>
        <w:t>fuel</w:t>
      </w:r>
      <w:r w:rsidRPr="00245485">
        <w:rPr>
          <w:color w:val="000000" w:themeColor="text1"/>
        </w:rPr>
        <w:t>ling</w:t>
      </w:r>
      <w:r w:rsidR="0038096E" w:rsidRPr="00245485">
        <w:rPr>
          <w:color w:val="000000" w:themeColor="text1"/>
        </w:rPr>
        <w:t xml:space="preserve"> </w:t>
      </w:r>
      <w:r w:rsidRPr="00245485">
        <w:rPr>
          <w:color w:val="000000" w:themeColor="text1"/>
        </w:rPr>
        <w:t xml:space="preserve">the </w:t>
      </w:r>
      <w:r w:rsidR="00FF5C3A" w:rsidRPr="00245485">
        <w:rPr>
          <w:color w:val="000000" w:themeColor="text1"/>
        </w:rPr>
        <w:t xml:space="preserve">mismatch between </w:t>
      </w:r>
      <w:r w:rsidR="00E021CF" w:rsidRPr="00245485">
        <w:rPr>
          <w:color w:val="000000" w:themeColor="text1"/>
        </w:rPr>
        <w:t xml:space="preserve">the </w:t>
      </w:r>
      <w:r w:rsidR="00FF5C3A" w:rsidRPr="00245485">
        <w:rPr>
          <w:color w:val="000000" w:themeColor="text1"/>
        </w:rPr>
        <w:t xml:space="preserve">conditions </w:t>
      </w:r>
      <w:r w:rsidR="00E021CF" w:rsidRPr="00245485">
        <w:rPr>
          <w:color w:val="000000" w:themeColor="text1"/>
        </w:rPr>
        <w:t xml:space="preserve">that influence our evaluation of the Union’s </w:t>
      </w:r>
      <w:r w:rsidR="00FF5C3A" w:rsidRPr="00245485">
        <w:rPr>
          <w:color w:val="000000" w:themeColor="text1"/>
        </w:rPr>
        <w:t xml:space="preserve">political </w:t>
      </w:r>
      <w:r w:rsidRPr="00245485">
        <w:rPr>
          <w:color w:val="000000" w:themeColor="text1"/>
        </w:rPr>
        <w:t xml:space="preserve">governance </w:t>
      </w:r>
      <w:r w:rsidR="00E021CF" w:rsidRPr="00245485">
        <w:rPr>
          <w:color w:val="000000" w:themeColor="text1"/>
        </w:rPr>
        <w:t xml:space="preserve">(on the one hand) </w:t>
      </w:r>
      <w:r w:rsidR="00FF5C3A" w:rsidRPr="00245485">
        <w:rPr>
          <w:color w:val="000000" w:themeColor="text1"/>
        </w:rPr>
        <w:t xml:space="preserve">and </w:t>
      </w:r>
      <w:r w:rsidR="00E021CF" w:rsidRPr="00245485">
        <w:rPr>
          <w:color w:val="000000" w:themeColor="text1"/>
        </w:rPr>
        <w:t xml:space="preserve">the </w:t>
      </w:r>
      <w:r w:rsidR="00FF5C3A" w:rsidRPr="00245485">
        <w:rPr>
          <w:color w:val="000000" w:themeColor="text1"/>
        </w:rPr>
        <w:t xml:space="preserve">constitutional </w:t>
      </w:r>
      <w:r w:rsidR="00E021CF" w:rsidRPr="00245485">
        <w:rPr>
          <w:color w:val="000000" w:themeColor="text1"/>
        </w:rPr>
        <w:t xml:space="preserve">principles that govern </w:t>
      </w:r>
      <w:r w:rsidR="00FF5C3A" w:rsidRPr="00245485">
        <w:rPr>
          <w:color w:val="000000" w:themeColor="text1"/>
        </w:rPr>
        <w:t>legal competence and judicial review</w:t>
      </w:r>
      <w:r w:rsidR="00E021CF" w:rsidRPr="00245485">
        <w:rPr>
          <w:color w:val="000000" w:themeColor="text1"/>
        </w:rPr>
        <w:t xml:space="preserve"> (on the other hand)</w:t>
      </w:r>
      <w:r w:rsidR="00FF5C3A" w:rsidRPr="00245485">
        <w:rPr>
          <w:color w:val="000000" w:themeColor="text1"/>
        </w:rPr>
        <w:t xml:space="preserve">.  </w:t>
      </w:r>
      <w:r w:rsidR="000A1102" w:rsidRPr="00245485">
        <w:rPr>
          <w:color w:val="000000" w:themeColor="text1"/>
        </w:rPr>
        <w:t xml:space="preserve">After all, if </w:t>
      </w:r>
      <w:r w:rsidR="006E787E" w:rsidRPr="00245485">
        <w:rPr>
          <w:color w:val="000000" w:themeColor="text1"/>
        </w:rPr>
        <w:t xml:space="preserve">the Court </w:t>
      </w:r>
      <w:r w:rsidR="001345FE" w:rsidRPr="00245485">
        <w:rPr>
          <w:color w:val="000000" w:themeColor="text1"/>
        </w:rPr>
        <w:t>strikes down</w:t>
      </w:r>
      <w:r w:rsidR="006E787E" w:rsidRPr="00245485">
        <w:rPr>
          <w:color w:val="000000" w:themeColor="text1"/>
        </w:rPr>
        <w:t xml:space="preserve"> an individual and discrete Union act based on the lawyer’s bounded evaluation of its competence credentials, we may be upholding a particular and even well-settled conception of the system of conferral – but we are also </w:t>
      </w:r>
      <w:r w:rsidR="00FF5C3A" w:rsidRPr="00245485">
        <w:rPr>
          <w:color w:val="000000" w:themeColor="text1"/>
        </w:rPr>
        <w:t>attack</w:t>
      </w:r>
      <w:r w:rsidR="006E787E" w:rsidRPr="00245485">
        <w:rPr>
          <w:color w:val="000000" w:themeColor="text1"/>
        </w:rPr>
        <w:t>ing</w:t>
      </w:r>
      <w:r w:rsidR="00FF5C3A" w:rsidRPr="00245485">
        <w:rPr>
          <w:color w:val="000000" w:themeColor="text1"/>
        </w:rPr>
        <w:t xml:space="preserve"> </w:t>
      </w:r>
      <w:r w:rsidR="006E787E" w:rsidRPr="00245485">
        <w:rPr>
          <w:color w:val="000000" w:themeColor="text1"/>
        </w:rPr>
        <w:t xml:space="preserve">a complex policy </w:t>
      </w:r>
      <w:r w:rsidR="00FF5C3A" w:rsidRPr="00245485">
        <w:rPr>
          <w:color w:val="000000" w:themeColor="text1"/>
        </w:rPr>
        <w:t>package</w:t>
      </w:r>
      <w:r w:rsidR="006E787E" w:rsidRPr="00245485">
        <w:rPr>
          <w:color w:val="000000" w:themeColor="text1"/>
        </w:rPr>
        <w:t xml:space="preserve">, without granting any </w:t>
      </w:r>
      <w:r w:rsidR="001345FE" w:rsidRPr="00245485">
        <w:rPr>
          <w:color w:val="000000" w:themeColor="text1"/>
        </w:rPr>
        <w:t>clear</w:t>
      </w:r>
      <w:r w:rsidR="006E787E" w:rsidRPr="00245485">
        <w:rPr>
          <w:color w:val="000000" w:themeColor="text1"/>
        </w:rPr>
        <w:t xml:space="preserve"> </w:t>
      </w:r>
      <w:r w:rsidR="001345FE" w:rsidRPr="00245485">
        <w:rPr>
          <w:color w:val="000000" w:themeColor="text1"/>
        </w:rPr>
        <w:t xml:space="preserve">legal </w:t>
      </w:r>
      <w:r w:rsidR="006E787E" w:rsidRPr="00245485">
        <w:rPr>
          <w:color w:val="000000" w:themeColor="text1"/>
        </w:rPr>
        <w:t xml:space="preserve">recognition to the latter’s </w:t>
      </w:r>
      <w:r w:rsidR="001345FE" w:rsidRPr="00245485">
        <w:rPr>
          <w:color w:val="000000" w:themeColor="text1"/>
        </w:rPr>
        <w:t xml:space="preserve">political </w:t>
      </w:r>
      <w:r w:rsidR="006E787E" w:rsidRPr="00245485">
        <w:rPr>
          <w:color w:val="000000" w:themeColor="text1"/>
        </w:rPr>
        <w:t xml:space="preserve">relevance and importance, </w:t>
      </w:r>
      <w:r w:rsidR="00FF5C3A" w:rsidRPr="00245485">
        <w:rPr>
          <w:color w:val="000000" w:themeColor="text1"/>
        </w:rPr>
        <w:t xml:space="preserve">that </w:t>
      </w:r>
      <w:r w:rsidR="006E787E" w:rsidRPr="00245485">
        <w:rPr>
          <w:color w:val="000000" w:themeColor="text1"/>
        </w:rPr>
        <w:t xml:space="preserve">in many cases will have </w:t>
      </w:r>
      <w:r w:rsidR="00FF5C3A" w:rsidRPr="00245485">
        <w:rPr>
          <w:color w:val="000000" w:themeColor="text1"/>
        </w:rPr>
        <w:t>enjoy</w:t>
      </w:r>
      <w:r w:rsidR="006E787E" w:rsidRPr="00245485">
        <w:rPr>
          <w:color w:val="000000" w:themeColor="text1"/>
        </w:rPr>
        <w:t>ed</w:t>
      </w:r>
      <w:r w:rsidR="00FF5C3A" w:rsidRPr="00245485">
        <w:rPr>
          <w:color w:val="000000" w:themeColor="text1"/>
        </w:rPr>
        <w:t xml:space="preserve"> very widespread institutional </w:t>
      </w:r>
      <w:r w:rsidR="00FF5C3A" w:rsidRPr="00245485">
        <w:rPr>
          <w:color w:val="000000" w:themeColor="text1"/>
        </w:rPr>
        <w:lastRenderedPageBreak/>
        <w:t xml:space="preserve">participation and </w:t>
      </w:r>
      <w:r w:rsidR="006E787E" w:rsidRPr="00245485">
        <w:rPr>
          <w:color w:val="000000" w:themeColor="text1"/>
        </w:rPr>
        <w:t xml:space="preserve">an unusually broad </w:t>
      </w:r>
      <w:r w:rsidR="001345FE" w:rsidRPr="00245485">
        <w:rPr>
          <w:color w:val="000000" w:themeColor="text1"/>
        </w:rPr>
        <w:t xml:space="preserve">support </w:t>
      </w:r>
      <w:r w:rsidR="006E787E" w:rsidRPr="00245485">
        <w:rPr>
          <w:color w:val="000000" w:themeColor="text1"/>
        </w:rPr>
        <w:t xml:space="preserve">base.  As we have seen: regardless of the decision-making procedure applicable to any given component, the </w:t>
      </w:r>
      <w:r w:rsidR="001345FE" w:rsidRPr="00245485">
        <w:rPr>
          <w:color w:val="000000" w:themeColor="text1"/>
        </w:rPr>
        <w:t xml:space="preserve">integrated and cumulative demands of the overall negotiating process, as well as the opportunity for bargaining based on the “highest uncommon denominator”, means that the final </w:t>
      </w:r>
      <w:r w:rsidR="006E787E" w:rsidRPr="00245485">
        <w:rPr>
          <w:color w:val="000000" w:themeColor="text1"/>
        </w:rPr>
        <w:t>package may well have been politically endorsed by every major Union institution and received the unanimous support of every single Member State</w:t>
      </w:r>
      <w:r w:rsidR="00FF5C3A" w:rsidRPr="00245485">
        <w:rPr>
          <w:color w:val="000000" w:themeColor="text1"/>
        </w:rPr>
        <w:t>.</w:t>
      </w:r>
      <w:r w:rsidR="00D27CCB" w:rsidRPr="00245485">
        <w:rPr>
          <w:rStyle w:val="FootnoteReference"/>
          <w:color w:val="000000" w:themeColor="text1"/>
        </w:rPr>
        <w:footnoteReference w:id="81"/>
      </w:r>
      <w:r w:rsidR="00FF5C3A" w:rsidRPr="00245485">
        <w:rPr>
          <w:color w:val="000000" w:themeColor="text1"/>
        </w:rPr>
        <w:t xml:space="preserve">  </w:t>
      </w:r>
      <w:r w:rsidR="001F1DC6" w:rsidRPr="00245485">
        <w:rPr>
          <w:color w:val="000000" w:themeColor="text1"/>
        </w:rPr>
        <w:t xml:space="preserve">That </w:t>
      </w:r>
      <w:r w:rsidR="001345FE" w:rsidRPr="00245485">
        <w:rPr>
          <w:color w:val="000000" w:themeColor="text1"/>
        </w:rPr>
        <w:t xml:space="preserve">point is even stronger </w:t>
      </w:r>
      <w:r w:rsidR="006E787E" w:rsidRPr="00245485">
        <w:rPr>
          <w:color w:val="000000" w:themeColor="text1"/>
        </w:rPr>
        <w:t xml:space="preserve">in the case of those complex policy packages that </w:t>
      </w:r>
      <w:r w:rsidR="006F5523" w:rsidRPr="00245485">
        <w:rPr>
          <w:color w:val="000000" w:themeColor="text1"/>
        </w:rPr>
        <w:t xml:space="preserve">might </w:t>
      </w:r>
      <w:r w:rsidR="006E787E" w:rsidRPr="00245485">
        <w:rPr>
          <w:color w:val="000000" w:themeColor="text1"/>
        </w:rPr>
        <w:t xml:space="preserve">involve </w:t>
      </w:r>
      <w:r w:rsidR="0025008B" w:rsidRPr="00245485">
        <w:rPr>
          <w:color w:val="000000" w:themeColor="text1"/>
        </w:rPr>
        <w:t>approval</w:t>
      </w:r>
      <w:r w:rsidR="006E787E" w:rsidRPr="00245485">
        <w:rPr>
          <w:color w:val="000000" w:themeColor="text1"/>
        </w:rPr>
        <w:t xml:space="preserve"> of one </w:t>
      </w:r>
      <w:r w:rsidR="001345FE" w:rsidRPr="00245485">
        <w:rPr>
          <w:color w:val="000000" w:themeColor="text1"/>
        </w:rPr>
        <w:t xml:space="preserve">constituent </w:t>
      </w:r>
      <w:r w:rsidR="006E787E" w:rsidRPr="00245485">
        <w:rPr>
          <w:color w:val="000000" w:themeColor="text1"/>
        </w:rPr>
        <w:t>element – and thereby indirectly</w:t>
      </w:r>
      <w:r w:rsidR="001345FE" w:rsidRPr="00245485">
        <w:rPr>
          <w:color w:val="000000" w:themeColor="text1"/>
        </w:rPr>
        <w:t>,</w:t>
      </w:r>
      <w:r w:rsidR="006E787E" w:rsidRPr="00245485">
        <w:rPr>
          <w:color w:val="000000" w:themeColor="text1"/>
        </w:rPr>
        <w:t xml:space="preserve"> but realistically</w:t>
      </w:r>
      <w:r w:rsidR="001345FE" w:rsidRPr="00245485">
        <w:rPr>
          <w:color w:val="000000" w:themeColor="text1"/>
        </w:rPr>
        <w:t>,</w:t>
      </w:r>
      <w:r w:rsidR="006E787E" w:rsidRPr="00245485">
        <w:rPr>
          <w:color w:val="000000" w:themeColor="text1"/>
        </w:rPr>
        <w:t xml:space="preserve"> of </w:t>
      </w:r>
      <w:r w:rsidR="001345FE" w:rsidRPr="00245485">
        <w:rPr>
          <w:color w:val="000000" w:themeColor="text1"/>
        </w:rPr>
        <w:t xml:space="preserve">all constituent </w:t>
      </w:r>
      <w:r w:rsidR="006E787E" w:rsidRPr="00245485">
        <w:rPr>
          <w:color w:val="000000" w:themeColor="text1"/>
        </w:rPr>
        <w:t>element</w:t>
      </w:r>
      <w:r w:rsidR="001345FE" w:rsidRPr="00245485">
        <w:rPr>
          <w:color w:val="000000" w:themeColor="text1"/>
        </w:rPr>
        <w:t>s</w:t>
      </w:r>
      <w:r w:rsidR="006E787E" w:rsidRPr="00245485">
        <w:rPr>
          <w:color w:val="000000" w:themeColor="text1"/>
        </w:rPr>
        <w:t xml:space="preserve"> – through </w:t>
      </w:r>
      <w:r w:rsidR="001345FE" w:rsidRPr="00245485">
        <w:rPr>
          <w:color w:val="000000" w:themeColor="text1"/>
        </w:rPr>
        <w:t>an</w:t>
      </w:r>
      <w:r w:rsidR="006E787E" w:rsidRPr="00245485">
        <w:rPr>
          <w:color w:val="000000" w:themeColor="text1"/>
        </w:rPr>
        <w:t xml:space="preserve"> “organic law” procedure</w:t>
      </w:r>
      <w:r w:rsidR="001345FE" w:rsidRPr="00245485">
        <w:rPr>
          <w:color w:val="000000" w:themeColor="text1"/>
        </w:rPr>
        <w:t xml:space="preserve">, i.e. </w:t>
      </w:r>
      <w:r w:rsidR="006F5523" w:rsidRPr="00245485">
        <w:rPr>
          <w:color w:val="000000" w:themeColor="text1"/>
        </w:rPr>
        <w:t>under</w:t>
      </w:r>
      <w:r w:rsidR="001345FE" w:rsidRPr="00245485">
        <w:rPr>
          <w:color w:val="000000" w:themeColor="text1"/>
        </w:rPr>
        <w:t xml:space="preserve"> Treaty provisions that require </w:t>
      </w:r>
      <w:r w:rsidR="006E787E" w:rsidRPr="00245485">
        <w:rPr>
          <w:color w:val="000000" w:themeColor="text1"/>
        </w:rPr>
        <w:t xml:space="preserve">ratification </w:t>
      </w:r>
      <w:r w:rsidR="001345FE" w:rsidRPr="00245485">
        <w:rPr>
          <w:color w:val="000000" w:themeColor="text1"/>
        </w:rPr>
        <w:t xml:space="preserve">of a proposed act </w:t>
      </w:r>
      <w:r w:rsidR="006E787E" w:rsidRPr="00245485">
        <w:rPr>
          <w:color w:val="000000" w:themeColor="text1"/>
        </w:rPr>
        <w:t>by every Member State according to its domestic constitutional requirements</w:t>
      </w:r>
      <w:r w:rsidR="001345FE" w:rsidRPr="00245485">
        <w:rPr>
          <w:color w:val="000000" w:themeColor="text1"/>
        </w:rPr>
        <w:t xml:space="preserve"> (in addition to approval by the Union’s own institutions)</w:t>
      </w:r>
      <w:r w:rsidR="006E787E" w:rsidRPr="00245485">
        <w:rPr>
          <w:color w:val="000000" w:themeColor="text1"/>
        </w:rPr>
        <w:t>.</w:t>
      </w:r>
      <w:r w:rsidR="00D27CCB" w:rsidRPr="00245485">
        <w:rPr>
          <w:rStyle w:val="FootnoteReference"/>
          <w:color w:val="000000" w:themeColor="text1"/>
        </w:rPr>
        <w:footnoteReference w:id="82"/>
      </w:r>
      <w:r w:rsidR="006E787E" w:rsidRPr="00245485">
        <w:rPr>
          <w:color w:val="000000" w:themeColor="text1"/>
        </w:rPr>
        <w:t xml:space="preserve">  </w:t>
      </w:r>
    </w:p>
    <w:p w14:paraId="5A29D064" w14:textId="77777777" w:rsidR="00245485" w:rsidRDefault="0025008B" w:rsidP="00245485">
      <w:pPr>
        <w:ind w:firstLine="720"/>
        <w:jc w:val="both"/>
        <w:rPr>
          <w:color w:val="000000" w:themeColor="text1"/>
        </w:rPr>
      </w:pPr>
      <w:r w:rsidRPr="00245485">
        <w:rPr>
          <w:color w:val="000000" w:themeColor="text1"/>
        </w:rPr>
        <w:t xml:space="preserve">Indeed, the </w:t>
      </w:r>
      <w:r w:rsidR="000A1102" w:rsidRPr="00245485">
        <w:rPr>
          <w:color w:val="000000" w:themeColor="text1"/>
        </w:rPr>
        <w:t xml:space="preserve">effective </w:t>
      </w:r>
      <w:proofErr w:type="spellStart"/>
      <w:r w:rsidR="000A1102" w:rsidRPr="00245485">
        <w:rPr>
          <w:color w:val="000000" w:themeColor="text1"/>
        </w:rPr>
        <w:t>sidelining</w:t>
      </w:r>
      <w:proofErr w:type="spellEnd"/>
      <w:r w:rsidR="000A1102" w:rsidRPr="00245485">
        <w:rPr>
          <w:color w:val="000000" w:themeColor="text1"/>
        </w:rPr>
        <w:t xml:space="preserve"> of the wider policy package within our traditional legal approach to conferral </w:t>
      </w:r>
      <w:proofErr w:type="gramStart"/>
      <w:r w:rsidR="000A1102" w:rsidRPr="00245485">
        <w:rPr>
          <w:color w:val="000000" w:themeColor="text1"/>
        </w:rPr>
        <w:t>is capable of generating</w:t>
      </w:r>
      <w:proofErr w:type="gramEnd"/>
      <w:r w:rsidR="000A1102" w:rsidRPr="00245485">
        <w:rPr>
          <w:color w:val="000000" w:themeColor="text1"/>
        </w:rPr>
        <w:t xml:space="preserve"> any or all such tensions, entirely regardless of the fact that (from a political perspective) that policy package may have enjoyed broad institutional participation and support throughout its negotiation and adoption.  It is true that the multi-component nature of complex Union policy proposals, and the bargaining opportunities afforded by the “highest uncommon denominator” across their applicable legal bases, may well mean that all the main Union institutions, together with all the Member States, were able to influence and approve the </w:t>
      </w:r>
      <w:proofErr w:type="gramStart"/>
      <w:r w:rsidR="000A1102" w:rsidRPr="00245485">
        <w:rPr>
          <w:color w:val="000000" w:themeColor="text1"/>
        </w:rPr>
        <w:t>package as a whole</w:t>
      </w:r>
      <w:proofErr w:type="gramEnd"/>
      <w:r w:rsidR="000A1102" w:rsidRPr="00245485">
        <w:rPr>
          <w:color w:val="000000" w:themeColor="text1"/>
        </w:rPr>
        <w:t>.  But that does nothing to stop any given component subsequently being challenging before the Union courts – for example, by the European Parliament acting upon ulterior motives related to the more abstract vindication of its institutional prerogatives; or by a Member State whose adherence to th</w:t>
      </w:r>
      <w:r w:rsidR="00120988" w:rsidRPr="00245485">
        <w:rPr>
          <w:color w:val="000000" w:themeColor="text1"/>
        </w:rPr>
        <w:t>at</w:t>
      </w:r>
      <w:r w:rsidR="000A1102" w:rsidRPr="00245485">
        <w:rPr>
          <w:color w:val="000000" w:themeColor="text1"/>
        </w:rPr>
        <w:t xml:space="preserve"> </w:t>
      </w:r>
      <w:r w:rsidR="00120988" w:rsidRPr="00245485">
        <w:rPr>
          <w:color w:val="000000" w:themeColor="text1"/>
        </w:rPr>
        <w:t xml:space="preserve">particular element of the </w:t>
      </w:r>
      <w:r w:rsidR="000A1102" w:rsidRPr="00245485">
        <w:rPr>
          <w:color w:val="000000" w:themeColor="text1"/>
        </w:rPr>
        <w:t xml:space="preserve">package was only ever partial or reluctant to begin with; or by a natural or legal person (bringing a direct or inaction action on competence grounds) with zero personal interest or investment in the effectiveness or legitimacy of the package as such.  </w:t>
      </w:r>
      <w:r w:rsidRPr="00245485">
        <w:rPr>
          <w:color w:val="000000" w:themeColor="text1"/>
        </w:rPr>
        <w:t>And t</w:t>
      </w:r>
      <w:r w:rsidR="000A1102" w:rsidRPr="00245485">
        <w:rPr>
          <w:color w:val="000000" w:themeColor="text1"/>
        </w:rPr>
        <w:t xml:space="preserve">hat is precisely our point: that specific legal concerns can be raised about the competence compatibility of any Union measure, treated as an individual and discrete act, entirely regardless of the political conditions that produced, or the consequences its annulment might have for, the overall package.  </w:t>
      </w:r>
    </w:p>
    <w:p w14:paraId="6B96524E" w14:textId="501F41BD" w:rsidR="00E15C0E" w:rsidRPr="00245485" w:rsidRDefault="002C2808" w:rsidP="00245485">
      <w:pPr>
        <w:ind w:firstLine="720"/>
        <w:jc w:val="both"/>
        <w:rPr>
          <w:color w:val="000000" w:themeColor="text1"/>
        </w:rPr>
      </w:pPr>
      <w:r w:rsidRPr="00245485">
        <w:rPr>
          <w:color w:val="000000" w:themeColor="text1"/>
        </w:rPr>
        <w:t xml:space="preserve">Again, the experience </w:t>
      </w:r>
      <w:r w:rsidR="00E40CF0" w:rsidRPr="00245485">
        <w:rPr>
          <w:color w:val="000000" w:themeColor="text1"/>
        </w:rPr>
        <w:t xml:space="preserve">of </w:t>
      </w:r>
      <w:r w:rsidRPr="00245485">
        <w:rPr>
          <w:color w:val="000000" w:themeColor="text1"/>
        </w:rPr>
        <w:t xml:space="preserve">Regulation 2020/2092 </w:t>
      </w:r>
      <w:r w:rsidR="00E40CF0" w:rsidRPr="00245485">
        <w:rPr>
          <w:color w:val="000000" w:themeColor="text1"/>
        </w:rPr>
        <w:t>offers a useful reference point for thinking about many of these issues as living tensions rather than just theoretical worries</w:t>
      </w:r>
      <w:r w:rsidRPr="00245485">
        <w:rPr>
          <w:color w:val="000000" w:themeColor="text1"/>
        </w:rPr>
        <w:t xml:space="preserve">.  </w:t>
      </w:r>
      <w:proofErr w:type="gramStart"/>
      <w:r w:rsidRPr="00245485">
        <w:rPr>
          <w:color w:val="000000" w:themeColor="text1"/>
        </w:rPr>
        <w:t>It is clear that the</w:t>
      </w:r>
      <w:proofErr w:type="gramEnd"/>
      <w:r w:rsidRPr="00245485">
        <w:rPr>
          <w:color w:val="000000" w:themeColor="text1"/>
        </w:rPr>
        <w:t xml:space="preserve"> inescapable need for Hungary and Poland to support the </w:t>
      </w:r>
      <w:proofErr w:type="spellStart"/>
      <w:r w:rsidRPr="00245485">
        <w:rPr>
          <w:color w:val="000000" w:themeColor="text1"/>
        </w:rPr>
        <w:t>NextGenerationEU</w:t>
      </w:r>
      <w:proofErr w:type="spellEnd"/>
      <w:r w:rsidRPr="00245485">
        <w:rPr>
          <w:color w:val="000000" w:themeColor="text1"/>
        </w:rPr>
        <w:t xml:space="preserve"> package as a whole, focused substantial political attention on their </w:t>
      </w:r>
      <w:r w:rsidR="00E40CF0" w:rsidRPr="00245485">
        <w:rPr>
          <w:color w:val="000000" w:themeColor="text1"/>
        </w:rPr>
        <w:t xml:space="preserve">specific </w:t>
      </w:r>
      <w:r w:rsidRPr="00245485">
        <w:rPr>
          <w:color w:val="000000" w:themeColor="text1"/>
        </w:rPr>
        <w:t xml:space="preserve">objections </w:t>
      </w:r>
      <w:r w:rsidR="00E15C0E" w:rsidRPr="00245485">
        <w:rPr>
          <w:color w:val="000000" w:themeColor="text1"/>
        </w:rPr>
        <w:t>against</w:t>
      </w:r>
      <w:r w:rsidRPr="00245485">
        <w:rPr>
          <w:color w:val="000000" w:themeColor="text1"/>
        </w:rPr>
        <w:t xml:space="preserve"> any </w:t>
      </w:r>
      <w:r w:rsidR="006F5523" w:rsidRPr="00245485">
        <w:rPr>
          <w:color w:val="000000" w:themeColor="text1"/>
        </w:rPr>
        <w:t xml:space="preserve">dedicated </w:t>
      </w:r>
      <w:r w:rsidRPr="00245485">
        <w:rPr>
          <w:color w:val="000000" w:themeColor="text1"/>
        </w:rPr>
        <w:t xml:space="preserve">conditionality </w:t>
      </w:r>
      <w:r w:rsidR="00E40CF0" w:rsidRPr="00245485">
        <w:rPr>
          <w:color w:val="000000" w:themeColor="text1"/>
        </w:rPr>
        <w:t>component</w:t>
      </w:r>
      <w:r w:rsidR="003B232E" w:rsidRPr="00245485">
        <w:rPr>
          <w:color w:val="000000" w:themeColor="text1"/>
        </w:rPr>
        <w:t>.  Whether constitutionally sincere or merely politically convenient, c</w:t>
      </w:r>
      <w:r w:rsidR="00E40CF0" w:rsidRPr="00245485">
        <w:rPr>
          <w:color w:val="000000" w:themeColor="text1"/>
        </w:rPr>
        <w:t xml:space="preserve">ompetence queries </w:t>
      </w:r>
      <w:r w:rsidR="00216A3C" w:rsidRPr="00245485">
        <w:rPr>
          <w:color w:val="000000" w:themeColor="text1"/>
        </w:rPr>
        <w:t xml:space="preserve">about one component </w:t>
      </w:r>
      <w:r w:rsidR="00E40CF0" w:rsidRPr="00245485">
        <w:rPr>
          <w:color w:val="000000" w:themeColor="text1"/>
        </w:rPr>
        <w:t>thereby act</w:t>
      </w:r>
      <w:r w:rsidR="003B232E" w:rsidRPr="00245485">
        <w:rPr>
          <w:color w:val="000000" w:themeColor="text1"/>
        </w:rPr>
        <w:t>ed</w:t>
      </w:r>
      <w:r w:rsidR="00E40CF0" w:rsidRPr="00245485">
        <w:rPr>
          <w:color w:val="000000" w:themeColor="text1"/>
        </w:rPr>
        <w:t xml:space="preserve"> as a vehicle to maximise ex ante negotiating leverage</w:t>
      </w:r>
      <w:r w:rsidR="00216A3C" w:rsidRPr="00245485">
        <w:rPr>
          <w:color w:val="000000" w:themeColor="text1"/>
        </w:rPr>
        <w:t xml:space="preserve"> over the entire </w:t>
      </w:r>
      <w:r w:rsidR="003B232E" w:rsidRPr="00245485">
        <w:rPr>
          <w:color w:val="000000" w:themeColor="text1"/>
        </w:rPr>
        <w:t xml:space="preserve">Union </w:t>
      </w:r>
      <w:r w:rsidR="00216A3C" w:rsidRPr="00245485">
        <w:rPr>
          <w:color w:val="000000" w:themeColor="text1"/>
        </w:rPr>
        <w:t>response</w:t>
      </w:r>
      <w:r w:rsidR="003B232E" w:rsidRPr="00245485">
        <w:rPr>
          <w:color w:val="000000" w:themeColor="text1"/>
        </w:rPr>
        <w:t xml:space="preserve">; conversely, the power of the “highest uncommon denominator” when it came to approval of the wider policy package raised concerns that Hungary and Poland </w:t>
      </w:r>
      <w:r w:rsidR="00FC578C" w:rsidRPr="00245485">
        <w:rPr>
          <w:color w:val="000000" w:themeColor="text1"/>
        </w:rPr>
        <w:t xml:space="preserve">together </w:t>
      </w:r>
      <w:r w:rsidR="003B232E" w:rsidRPr="00245485">
        <w:rPr>
          <w:color w:val="000000" w:themeColor="text1"/>
        </w:rPr>
        <w:t>used that opportunity to water down the potency of the conditionality regime itself</w:t>
      </w:r>
      <w:r w:rsidRPr="00245485">
        <w:rPr>
          <w:color w:val="000000" w:themeColor="text1"/>
        </w:rPr>
        <w:t>.</w:t>
      </w:r>
      <w:r w:rsidR="006874D0" w:rsidRPr="00245485">
        <w:rPr>
          <w:rStyle w:val="FootnoteReference"/>
          <w:color w:val="000000" w:themeColor="text1"/>
        </w:rPr>
        <w:footnoteReference w:id="83"/>
      </w:r>
      <w:r w:rsidRPr="00245485">
        <w:rPr>
          <w:color w:val="000000" w:themeColor="text1"/>
        </w:rPr>
        <w:t xml:space="preserve">  </w:t>
      </w:r>
      <w:r w:rsidR="00E15C0E" w:rsidRPr="00245485">
        <w:rPr>
          <w:color w:val="000000" w:themeColor="text1"/>
        </w:rPr>
        <w:t xml:space="preserve">Of course, we will never know whether, if no </w:t>
      </w:r>
      <w:r w:rsidRPr="00245485">
        <w:rPr>
          <w:color w:val="000000" w:themeColor="text1"/>
        </w:rPr>
        <w:t xml:space="preserve">conditionality regulation had been </w:t>
      </w:r>
      <w:r w:rsidR="00E15C0E" w:rsidRPr="00245485">
        <w:rPr>
          <w:color w:val="000000" w:themeColor="text1"/>
        </w:rPr>
        <w:t>agreed</w:t>
      </w:r>
      <w:r w:rsidRPr="00245485">
        <w:rPr>
          <w:color w:val="000000" w:themeColor="text1"/>
        </w:rPr>
        <w:t xml:space="preserve">, the Union </w:t>
      </w:r>
      <w:r w:rsidR="00E15C0E" w:rsidRPr="00245485">
        <w:rPr>
          <w:color w:val="000000" w:themeColor="text1"/>
        </w:rPr>
        <w:t xml:space="preserve">would nevertheless </w:t>
      </w:r>
      <w:r w:rsidRPr="00245485">
        <w:rPr>
          <w:color w:val="000000" w:themeColor="text1"/>
        </w:rPr>
        <w:t xml:space="preserve">have managed to </w:t>
      </w:r>
      <w:r w:rsidR="00E15C0E" w:rsidRPr="00245485">
        <w:rPr>
          <w:color w:val="000000" w:themeColor="text1"/>
        </w:rPr>
        <w:t xml:space="preserve">proceed with the remainder of the </w:t>
      </w:r>
      <w:r w:rsidRPr="00245485">
        <w:rPr>
          <w:color w:val="000000" w:themeColor="text1"/>
        </w:rPr>
        <w:t>pandemic recovery plan, at least in the ambitious form that was ultimately adopted</w:t>
      </w:r>
      <w:r w:rsidR="00E15C0E" w:rsidRPr="00245485">
        <w:rPr>
          <w:color w:val="000000" w:themeColor="text1"/>
        </w:rPr>
        <w:t>.</w:t>
      </w:r>
      <w:r w:rsidRPr="00245485">
        <w:rPr>
          <w:color w:val="000000" w:themeColor="text1"/>
        </w:rPr>
        <w:t xml:space="preserve">  </w:t>
      </w:r>
      <w:r w:rsidR="00216A3C" w:rsidRPr="00245485">
        <w:rPr>
          <w:color w:val="000000" w:themeColor="text1"/>
        </w:rPr>
        <w:t xml:space="preserve">But what was already clear </w:t>
      </w:r>
      <w:r w:rsidRPr="00245485">
        <w:rPr>
          <w:color w:val="000000" w:themeColor="text1"/>
        </w:rPr>
        <w:t xml:space="preserve">in advance </w:t>
      </w:r>
      <w:r w:rsidR="00216A3C" w:rsidRPr="00245485">
        <w:rPr>
          <w:color w:val="000000" w:themeColor="text1"/>
        </w:rPr>
        <w:t xml:space="preserve">was </w:t>
      </w:r>
      <w:r w:rsidRPr="00245485">
        <w:rPr>
          <w:color w:val="000000" w:themeColor="text1"/>
        </w:rPr>
        <w:t xml:space="preserve">that </w:t>
      </w:r>
      <w:r w:rsidR="00E40CF0" w:rsidRPr="00245485">
        <w:rPr>
          <w:color w:val="000000" w:themeColor="text1"/>
        </w:rPr>
        <w:t xml:space="preserve">Hungary and Poland </w:t>
      </w:r>
      <w:r w:rsidR="00216A3C" w:rsidRPr="00245485">
        <w:rPr>
          <w:color w:val="000000" w:themeColor="text1"/>
        </w:rPr>
        <w:t xml:space="preserve">– even though they </w:t>
      </w:r>
      <w:r w:rsidR="00E40CF0" w:rsidRPr="00245485">
        <w:rPr>
          <w:color w:val="000000" w:themeColor="text1"/>
        </w:rPr>
        <w:t>had finally subscribed to the overall package –</w:t>
      </w:r>
      <w:r w:rsidR="00216A3C" w:rsidRPr="00245485">
        <w:rPr>
          <w:color w:val="000000" w:themeColor="text1"/>
        </w:rPr>
        <w:t xml:space="preserve"> </w:t>
      </w:r>
      <w:r w:rsidR="00E40CF0" w:rsidRPr="00245485">
        <w:rPr>
          <w:color w:val="000000" w:themeColor="text1"/>
        </w:rPr>
        <w:t xml:space="preserve">would </w:t>
      </w:r>
      <w:r w:rsidR="00D14BAA" w:rsidRPr="00245485">
        <w:rPr>
          <w:color w:val="000000" w:themeColor="text1"/>
        </w:rPr>
        <w:t xml:space="preserve">still </w:t>
      </w:r>
      <w:r w:rsidR="00E40CF0" w:rsidRPr="00245485">
        <w:rPr>
          <w:color w:val="000000" w:themeColor="text1"/>
        </w:rPr>
        <w:t xml:space="preserve">bring </w:t>
      </w:r>
      <w:r w:rsidR="00E15C0E" w:rsidRPr="00245485">
        <w:rPr>
          <w:color w:val="000000" w:themeColor="text1"/>
        </w:rPr>
        <w:t xml:space="preserve">an immediate </w:t>
      </w:r>
      <w:r w:rsidRPr="00245485">
        <w:rPr>
          <w:color w:val="000000" w:themeColor="text1"/>
        </w:rPr>
        <w:t xml:space="preserve">challenge </w:t>
      </w:r>
      <w:r w:rsidR="00E15C0E" w:rsidRPr="00245485">
        <w:rPr>
          <w:color w:val="000000" w:themeColor="text1"/>
        </w:rPr>
        <w:t xml:space="preserve">to </w:t>
      </w:r>
      <w:r w:rsidRPr="00245485">
        <w:rPr>
          <w:color w:val="000000" w:themeColor="text1"/>
        </w:rPr>
        <w:t xml:space="preserve">the </w:t>
      </w:r>
      <w:r w:rsidR="00E15C0E" w:rsidRPr="00245485">
        <w:rPr>
          <w:color w:val="000000" w:themeColor="text1"/>
        </w:rPr>
        <w:t>constitutionality of Regulation 2020/2092</w:t>
      </w:r>
      <w:r w:rsidR="00E40CF0" w:rsidRPr="00245485">
        <w:rPr>
          <w:color w:val="000000" w:themeColor="text1"/>
        </w:rPr>
        <w:t>.</w:t>
      </w:r>
      <w:r w:rsidR="006874D0" w:rsidRPr="00245485">
        <w:rPr>
          <w:rStyle w:val="FootnoteReference"/>
          <w:color w:val="000000" w:themeColor="text1"/>
        </w:rPr>
        <w:footnoteReference w:id="84"/>
      </w:r>
      <w:r w:rsidR="00E40CF0" w:rsidRPr="00245485">
        <w:rPr>
          <w:color w:val="000000" w:themeColor="text1"/>
        </w:rPr>
        <w:t xml:space="preserve">  We </w:t>
      </w:r>
      <w:r w:rsidR="00216A3C" w:rsidRPr="00245485">
        <w:rPr>
          <w:color w:val="000000" w:themeColor="text1"/>
        </w:rPr>
        <w:t xml:space="preserve">can safely </w:t>
      </w:r>
      <w:r w:rsidR="00E15C0E" w:rsidRPr="00245485">
        <w:rPr>
          <w:color w:val="000000" w:themeColor="text1"/>
        </w:rPr>
        <w:t xml:space="preserve">assume that </w:t>
      </w:r>
      <w:r w:rsidR="00E40CF0" w:rsidRPr="00245485">
        <w:rPr>
          <w:color w:val="000000" w:themeColor="text1"/>
        </w:rPr>
        <w:t xml:space="preserve">the Union institutions and the other Member States </w:t>
      </w:r>
      <w:r w:rsidR="00E15C0E" w:rsidRPr="00245485">
        <w:rPr>
          <w:color w:val="000000" w:themeColor="text1"/>
        </w:rPr>
        <w:t xml:space="preserve">felt </w:t>
      </w:r>
      <w:r w:rsidR="00382A1B" w:rsidRPr="00245485">
        <w:rPr>
          <w:color w:val="000000" w:themeColor="text1"/>
        </w:rPr>
        <w:t xml:space="preserve">reasonably </w:t>
      </w:r>
      <w:r w:rsidR="00E15C0E" w:rsidRPr="00245485">
        <w:rPr>
          <w:color w:val="000000" w:themeColor="text1"/>
        </w:rPr>
        <w:t xml:space="preserve">confident about the </w:t>
      </w:r>
      <w:r w:rsidR="00E40CF0" w:rsidRPr="00245485">
        <w:rPr>
          <w:color w:val="000000" w:themeColor="text1"/>
        </w:rPr>
        <w:t>Regulation</w:t>
      </w:r>
      <w:r w:rsidR="00216A3C" w:rsidRPr="00245485">
        <w:rPr>
          <w:color w:val="000000" w:themeColor="text1"/>
        </w:rPr>
        <w:t>’</w:t>
      </w:r>
      <w:r w:rsidR="00E40CF0" w:rsidRPr="00245485">
        <w:rPr>
          <w:color w:val="000000" w:themeColor="text1"/>
        </w:rPr>
        <w:t xml:space="preserve">s </w:t>
      </w:r>
      <w:r w:rsidR="00E15C0E" w:rsidRPr="00245485">
        <w:rPr>
          <w:color w:val="000000" w:themeColor="text1"/>
        </w:rPr>
        <w:t>competence-compliance</w:t>
      </w:r>
      <w:r w:rsidR="00216A3C" w:rsidRPr="00245485">
        <w:rPr>
          <w:color w:val="000000" w:themeColor="text1"/>
        </w:rPr>
        <w:t xml:space="preserve"> and </w:t>
      </w:r>
      <w:r w:rsidR="00E15C0E" w:rsidRPr="00245485">
        <w:rPr>
          <w:color w:val="000000" w:themeColor="text1"/>
        </w:rPr>
        <w:t xml:space="preserve">had factored the </w:t>
      </w:r>
      <w:r w:rsidR="00216A3C" w:rsidRPr="00245485">
        <w:rPr>
          <w:color w:val="000000" w:themeColor="text1"/>
        </w:rPr>
        <w:t xml:space="preserve">(slim) </w:t>
      </w:r>
      <w:r w:rsidR="00E15C0E" w:rsidRPr="00245485">
        <w:rPr>
          <w:color w:val="000000" w:themeColor="text1"/>
        </w:rPr>
        <w:t xml:space="preserve">possibility of </w:t>
      </w:r>
      <w:r w:rsidR="00216A3C" w:rsidRPr="00245485">
        <w:rPr>
          <w:color w:val="000000" w:themeColor="text1"/>
        </w:rPr>
        <w:t xml:space="preserve">subsequent </w:t>
      </w:r>
      <w:r w:rsidR="00E15C0E" w:rsidRPr="00245485">
        <w:rPr>
          <w:color w:val="000000" w:themeColor="text1"/>
        </w:rPr>
        <w:lastRenderedPageBreak/>
        <w:t xml:space="preserve">annulment into their overall negotiating calculations.  </w:t>
      </w:r>
      <w:r w:rsidR="00E40CF0" w:rsidRPr="00245485">
        <w:rPr>
          <w:color w:val="000000" w:themeColor="text1"/>
        </w:rPr>
        <w:t>Again, we will never know how events might have turned</w:t>
      </w:r>
      <w:r w:rsidR="00382A1B" w:rsidRPr="00245485">
        <w:rPr>
          <w:color w:val="000000" w:themeColor="text1"/>
        </w:rPr>
        <w:t>,</w:t>
      </w:r>
      <w:r w:rsidR="00E40CF0" w:rsidRPr="00245485">
        <w:rPr>
          <w:color w:val="000000" w:themeColor="text1"/>
        </w:rPr>
        <w:t xml:space="preserve"> </w:t>
      </w:r>
      <w:r w:rsidR="00216A3C" w:rsidRPr="00245485">
        <w:rPr>
          <w:color w:val="000000" w:themeColor="text1"/>
        </w:rPr>
        <w:t xml:space="preserve">had </w:t>
      </w:r>
      <w:r w:rsidR="00E40CF0" w:rsidRPr="00245485">
        <w:rPr>
          <w:color w:val="000000" w:themeColor="text1"/>
        </w:rPr>
        <w:t xml:space="preserve">the Hungarian / Polish challenge </w:t>
      </w:r>
      <w:r w:rsidR="00216A3C" w:rsidRPr="00245485">
        <w:rPr>
          <w:color w:val="000000" w:themeColor="text1"/>
        </w:rPr>
        <w:t xml:space="preserve">in fact </w:t>
      </w:r>
      <w:r w:rsidR="00E40CF0" w:rsidRPr="00245485">
        <w:rPr>
          <w:color w:val="000000" w:themeColor="text1"/>
        </w:rPr>
        <w:t>succeeded</w:t>
      </w:r>
      <w:r w:rsidR="00A70CEB" w:rsidRPr="00245485">
        <w:rPr>
          <w:color w:val="000000" w:themeColor="text1"/>
        </w:rPr>
        <w:t xml:space="preserve">.  For sure, Regulation 2020/2092 would have been annulled while the rest of the </w:t>
      </w:r>
      <w:proofErr w:type="spellStart"/>
      <w:r w:rsidR="00A70CEB" w:rsidRPr="00245485">
        <w:rPr>
          <w:color w:val="000000" w:themeColor="text1"/>
        </w:rPr>
        <w:t>NextGenerationEU</w:t>
      </w:r>
      <w:proofErr w:type="spellEnd"/>
      <w:r w:rsidR="00A70CEB" w:rsidRPr="00245485">
        <w:rPr>
          <w:color w:val="000000" w:themeColor="text1"/>
        </w:rPr>
        <w:t xml:space="preserve"> package remained intact.  Perhaps the Union could </w:t>
      </w:r>
      <w:r w:rsidR="003A321D" w:rsidRPr="00245485">
        <w:rPr>
          <w:color w:val="000000" w:themeColor="text1"/>
        </w:rPr>
        <w:t xml:space="preserve">then </w:t>
      </w:r>
      <w:r w:rsidR="00A70CEB" w:rsidRPr="00245485">
        <w:rPr>
          <w:color w:val="000000" w:themeColor="text1"/>
        </w:rPr>
        <w:t>have found valid competence elsewhere under the Treaties to adopt an identical or at least essentially similar conditionality regime</w:t>
      </w:r>
      <w:r w:rsidR="003A321D" w:rsidRPr="00245485">
        <w:rPr>
          <w:color w:val="000000" w:themeColor="text1"/>
        </w:rPr>
        <w:t xml:space="preserve"> – and under a legal basis that also managed to avoid an inevitable Hungarian and / or Polish veto</w:t>
      </w:r>
      <w:r w:rsidR="00A70CEB" w:rsidRPr="00245485">
        <w:rPr>
          <w:color w:val="000000" w:themeColor="text1"/>
        </w:rPr>
        <w:t xml:space="preserve">.  But if not, an integral </w:t>
      </w:r>
      <w:r w:rsidR="00382A1B" w:rsidRPr="00245485">
        <w:rPr>
          <w:color w:val="000000" w:themeColor="text1"/>
        </w:rPr>
        <w:t>(</w:t>
      </w:r>
      <w:r w:rsidR="00A70CEB" w:rsidRPr="00245485">
        <w:rPr>
          <w:color w:val="000000" w:themeColor="text1"/>
        </w:rPr>
        <w:t>if not altogether crucial</w:t>
      </w:r>
      <w:r w:rsidR="00382A1B" w:rsidRPr="00245485">
        <w:rPr>
          <w:color w:val="000000" w:themeColor="text1"/>
        </w:rPr>
        <w:t>)</w:t>
      </w:r>
      <w:r w:rsidR="00A70CEB" w:rsidRPr="00245485">
        <w:rPr>
          <w:color w:val="000000" w:themeColor="text1"/>
        </w:rPr>
        <w:t xml:space="preserve"> element of the overall bargain would have been eliminated</w:t>
      </w:r>
      <w:r w:rsidR="003A321D" w:rsidRPr="00245485">
        <w:rPr>
          <w:color w:val="000000" w:themeColor="text1"/>
        </w:rPr>
        <w:t xml:space="preserve"> and </w:t>
      </w:r>
      <w:r w:rsidR="00A70CEB" w:rsidRPr="00245485">
        <w:rPr>
          <w:color w:val="000000" w:themeColor="text1"/>
        </w:rPr>
        <w:t xml:space="preserve">the terms of the </w:t>
      </w:r>
      <w:proofErr w:type="spellStart"/>
      <w:r w:rsidR="00A70CEB" w:rsidRPr="00245485">
        <w:rPr>
          <w:color w:val="000000" w:themeColor="text1"/>
        </w:rPr>
        <w:t>NextGenerationEU</w:t>
      </w:r>
      <w:proofErr w:type="spellEnd"/>
      <w:r w:rsidR="00A70CEB" w:rsidRPr="00245485">
        <w:rPr>
          <w:color w:val="000000" w:themeColor="text1"/>
        </w:rPr>
        <w:t xml:space="preserve"> policy package </w:t>
      </w:r>
      <w:r w:rsidR="003A321D" w:rsidRPr="00245485">
        <w:rPr>
          <w:color w:val="000000" w:themeColor="text1"/>
        </w:rPr>
        <w:t xml:space="preserve">would have been </w:t>
      </w:r>
      <w:r w:rsidR="00A70CEB" w:rsidRPr="00245485">
        <w:rPr>
          <w:color w:val="000000" w:themeColor="text1"/>
        </w:rPr>
        <w:t xml:space="preserve">substantially rewritten.  </w:t>
      </w:r>
    </w:p>
    <w:p w14:paraId="0B698946" w14:textId="77777777" w:rsidR="000A1102" w:rsidRPr="00245485" w:rsidRDefault="000A1102" w:rsidP="00245485">
      <w:pPr>
        <w:jc w:val="both"/>
        <w:rPr>
          <w:color w:val="000000" w:themeColor="text1"/>
          <w:u w:val="single"/>
        </w:rPr>
      </w:pPr>
    </w:p>
    <w:p w14:paraId="0FDCAB9B" w14:textId="7406E0E2" w:rsidR="00FF5C3A" w:rsidRPr="00245485" w:rsidRDefault="002F5487" w:rsidP="00245485">
      <w:pPr>
        <w:jc w:val="both"/>
        <w:rPr>
          <w:b/>
          <w:bCs/>
          <w:color w:val="000000" w:themeColor="text1"/>
        </w:rPr>
      </w:pPr>
      <w:r w:rsidRPr="00245485">
        <w:rPr>
          <w:b/>
          <w:bCs/>
          <w:color w:val="000000" w:themeColor="text1"/>
        </w:rPr>
        <w:t xml:space="preserve">6. </w:t>
      </w:r>
      <w:r w:rsidR="00FF5C3A" w:rsidRPr="00245485">
        <w:rPr>
          <w:b/>
          <w:bCs/>
          <w:color w:val="000000" w:themeColor="text1"/>
        </w:rPr>
        <w:t xml:space="preserve">Potential </w:t>
      </w:r>
      <w:r w:rsidR="006E2992" w:rsidRPr="00245485">
        <w:rPr>
          <w:b/>
          <w:bCs/>
          <w:color w:val="000000" w:themeColor="text1"/>
        </w:rPr>
        <w:t xml:space="preserve">Legal </w:t>
      </w:r>
      <w:r w:rsidR="00FF5C3A" w:rsidRPr="00245485">
        <w:rPr>
          <w:b/>
          <w:bCs/>
          <w:color w:val="000000" w:themeColor="text1"/>
        </w:rPr>
        <w:t xml:space="preserve">Responses </w:t>
      </w:r>
      <w:r w:rsidR="006E2992" w:rsidRPr="00245485">
        <w:rPr>
          <w:b/>
          <w:bCs/>
          <w:color w:val="000000" w:themeColor="text1"/>
        </w:rPr>
        <w:t>to the Phenomenon of Policy Packages</w:t>
      </w:r>
    </w:p>
    <w:p w14:paraId="75D084DC" w14:textId="55CB7561" w:rsidR="00CE7593" w:rsidRPr="00245485" w:rsidRDefault="00CE7593" w:rsidP="00245485">
      <w:pPr>
        <w:jc w:val="both"/>
        <w:rPr>
          <w:color w:val="000000" w:themeColor="text1"/>
        </w:rPr>
      </w:pPr>
    </w:p>
    <w:p w14:paraId="0256FDC2" w14:textId="77777777" w:rsidR="00245485" w:rsidRDefault="00BB49BF" w:rsidP="00245485">
      <w:pPr>
        <w:jc w:val="both"/>
        <w:rPr>
          <w:color w:val="000000" w:themeColor="text1"/>
        </w:rPr>
      </w:pPr>
      <w:r w:rsidRPr="00245485">
        <w:rPr>
          <w:color w:val="000000" w:themeColor="text1"/>
        </w:rPr>
        <w:t xml:space="preserve">Complex </w:t>
      </w:r>
      <w:r w:rsidR="008914FC" w:rsidRPr="00245485">
        <w:rPr>
          <w:color w:val="000000" w:themeColor="text1"/>
        </w:rPr>
        <w:t xml:space="preserve">regulatory </w:t>
      </w:r>
      <w:r w:rsidRPr="00245485">
        <w:rPr>
          <w:color w:val="000000" w:themeColor="text1"/>
        </w:rPr>
        <w:t xml:space="preserve">packages undoubtedly occupy a significant space within the Union’s </w:t>
      </w:r>
      <w:r w:rsidR="008914FC" w:rsidRPr="00245485">
        <w:rPr>
          <w:color w:val="000000" w:themeColor="text1"/>
        </w:rPr>
        <w:t xml:space="preserve">contemporary policymaking </w:t>
      </w:r>
      <w:r w:rsidRPr="00245485">
        <w:rPr>
          <w:color w:val="000000" w:themeColor="text1"/>
        </w:rPr>
        <w:t xml:space="preserve">activities.  Yet the current system of attributed powers appears to offer </w:t>
      </w:r>
      <w:r w:rsidR="00213184" w:rsidRPr="00245485">
        <w:rPr>
          <w:color w:val="000000" w:themeColor="text1"/>
        </w:rPr>
        <w:t>little</w:t>
      </w:r>
      <w:r w:rsidRPr="00245485">
        <w:rPr>
          <w:color w:val="000000" w:themeColor="text1"/>
        </w:rPr>
        <w:t xml:space="preserve"> recognition to, </w:t>
      </w:r>
      <w:r w:rsidR="00213184" w:rsidRPr="00245485">
        <w:rPr>
          <w:color w:val="000000" w:themeColor="text1"/>
        </w:rPr>
        <w:t xml:space="preserve">and </w:t>
      </w:r>
      <w:r w:rsidRPr="00245485">
        <w:rPr>
          <w:color w:val="000000" w:themeColor="text1"/>
        </w:rPr>
        <w:t>make</w:t>
      </w:r>
      <w:r w:rsidR="00213184" w:rsidRPr="00245485">
        <w:rPr>
          <w:color w:val="000000" w:themeColor="text1"/>
        </w:rPr>
        <w:t>s</w:t>
      </w:r>
      <w:r w:rsidRPr="00245485">
        <w:rPr>
          <w:color w:val="000000" w:themeColor="text1"/>
        </w:rPr>
        <w:t xml:space="preserve"> </w:t>
      </w:r>
      <w:r w:rsidR="00213184" w:rsidRPr="00245485">
        <w:rPr>
          <w:color w:val="000000" w:themeColor="text1"/>
        </w:rPr>
        <w:t xml:space="preserve">only limited </w:t>
      </w:r>
      <w:r w:rsidRPr="00245485">
        <w:rPr>
          <w:color w:val="000000" w:themeColor="text1"/>
        </w:rPr>
        <w:t xml:space="preserve">allowance for, their distinctive features and demands.  </w:t>
      </w:r>
      <w:r w:rsidR="00E21B97" w:rsidRPr="00245485">
        <w:rPr>
          <w:color w:val="000000" w:themeColor="text1"/>
        </w:rPr>
        <w:t xml:space="preserve">And </w:t>
      </w:r>
      <w:r w:rsidR="004C51E6" w:rsidRPr="00245485">
        <w:rPr>
          <w:color w:val="000000" w:themeColor="text1"/>
        </w:rPr>
        <w:t xml:space="preserve">we have surmised that </w:t>
      </w:r>
      <w:r w:rsidR="00E21B97" w:rsidRPr="00245485">
        <w:rPr>
          <w:color w:val="000000" w:themeColor="text1"/>
        </w:rPr>
        <w:t xml:space="preserve">that </w:t>
      </w:r>
      <w:r w:rsidR="002D5132" w:rsidRPr="00245485">
        <w:rPr>
          <w:color w:val="000000" w:themeColor="text1"/>
        </w:rPr>
        <w:t xml:space="preserve">estrangement </w:t>
      </w:r>
      <w:r w:rsidR="00E21B97" w:rsidRPr="00245485">
        <w:rPr>
          <w:color w:val="000000" w:themeColor="text1"/>
        </w:rPr>
        <w:t>creates certain tensions: the possibility for competence queries to acquire a</w:t>
      </w:r>
      <w:r w:rsidR="00382A1B" w:rsidRPr="00245485">
        <w:rPr>
          <w:color w:val="000000" w:themeColor="text1"/>
        </w:rPr>
        <w:t>n exaggerated and even</w:t>
      </w:r>
      <w:r w:rsidR="00E21B97" w:rsidRPr="00245485">
        <w:rPr>
          <w:color w:val="000000" w:themeColor="text1"/>
        </w:rPr>
        <w:t xml:space="preserve"> distorting influence within the </w:t>
      </w:r>
      <w:proofErr w:type="spellStart"/>
      <w:r w:rsidR="00E21B97" w:rsidRPr="00245485">
        <w:rPr>
          <w:color w:val="000000" w:themeColor="text1"/>
        </w:rPr>
        <w:t>ex ante</w:t>
      </w:r>
      <w:proofErr w:type="spellEnd"/>
      <w:r w:rsidR="00E21B97" w:rsidRPr="00245485">
        <w:rPr>
          <w:color w:val="000000" w:themeColor="text1"/>
        </w:rPr>
        <w:t xml:space="preserve"> institutional negotiation process; the risk that ex post judicial review on competence grounds might unravel an important aspect of the overall package; the danger that a lack of mutual engagement across their two very different worlds might strain the link between constitutional compliance and political legitimacy; and the fact that, in the absence of </w:t>
      </w:r>
      <w:r w:rsidR="002D5132" w:rsidRPr="00245485">
        <w:rPr>
          <w:color w:val="000000" w:themeColor="text1"/>
        </w:rPr>
        <w:t xml:space="preserve">any better </w:t>
      </w:r>
      <w:r w:rsidR="00E21B97" w:rsidRPr="00245485">
        <w:rPr>
          <w:color w:val="000000" w:themeColor="text1"/>
        </w:rPr>
        <w:t xml:space="preserve">alternative, the only effective solution for competence problems in the case of </w:t>
      </w:r>
      <w:r w:rsidR="00AE2F5A" w:rsidRPr="00245485">
        <w:rPr>
          <w:color w:val="000000" w:themeColor="text1"/>
        </w:rPr>
        <w:t xml:space="preserve">(especially urgent) </w:t>
      </w:r>
      <w:r w:rsidR="00E21B97" w:rsidRPr="00245485">
        <w:rPr>
          <w:color w:val="000000" w:themeColor="text1"/>
        </w:rPr>
        <w:t xml:space="preserve">policy packages </w:t>
      </w:r>
      <w:r w:rsidR="009B12DB" w:rsidRPr="00245485">
        <w:rPr>
          <w:color w:val="000000" w:themeColor="text1"/>
        </w:rPr>
        <w:t>may be</w:t>
      </w:r>
      <w:r w:rsidR="00E21B97" w:rsidRPr="00245485">
        <w:rPr>
          <w:color w:val="000000" w:themeColor="text1"/>
        </w:rPr>
        <w:t xml:space="preserve"> </w:t>
      </w:r>
      <w:r w:rsidR="002D5132" w:rsidRPr="00245485">
        <w:rPr>
          <w:color w:val="000000" w:themeColor="text1"/>
        </w:rPr>
        <w:t xml:space="preserve">the controversial if not altogether undesirable one of </w:t>
      </w:r>
      <w:r w:rsidR="00E21B97" w:rsidRPr="00245485">
        <w:rPr>
          <w:color w:val="000000" w:themeColor="text1"/>
        </w:rPr>
        <w:t xml:space="preserve">ad hoc “competence creep”.  </w:t>
      </w:r>
    </w:p>
    <w:p w14:paraId="5894DAF5" w14:textId="7913F772" w:rsidR="00245485" w:rsidRDefault="00CD2684" w:rsidP="00245485">
      <w:pPr>
        <w:ind w:firstLine="720"/>
        <w:jc w:val="both"/>
        <w:rPr>
          <w:color w:val="000000" w:themeColor="text1"/>
        </w:rPr>
      </w:pPr>
      <w:r w:rsidRPr="00245485">
        <w:rPr>
          <w:color w:val="000000" w:themeColor="text1"/>
        </w:rPr>
        <w:t xml:space="preserve">It is important to </w:t>
      </w:r>
      <w:r w:rsidR="001A5F57" w:rsidRPr="00245485">
        <w:rPr>
          <w:color w:val="000000" w:themeColor="text1"/>
        </w:rPr>
        <w:t xml:space="preserve">stress: </w:t>
      </w:r>
      <w:r w:rsidRPr="00245485">
        <w:rPr>
          <w:color w:val="000000" w:themeColor="text1"/>
        </w:rPr>
        <w:t xml:space="preserve">we are </w:t>
      </w:r>
      <w:r w:rsidR="001A5F57" w:rsidRPr="00245485">
        <w:rPr>
          <w:color w:val="000000" w:themeColor="text1"/>
        </w:rPr>
        <w:t xml:space="preserve">not </w:t>
      </w:r>
      <w:r w:rsidRPr="00245485">
        <w:rPr>
          <w:color w:val="000000" w:themeColor="text1"/>
        </w:rPr>
        <w:t xml:space="preserve">suggesting that </w:t>
      </w:r>
      <w:r w:rsidR="001A5F57" w:rsidRPr="00245485">
        <w:rPr>
          <w:color w:val="000000" w:themeColor="text1"/>
        </w:rPr>
        <w:t xml:space="preserve">all </w:t>
      </w:r>
      <w:r w:rsidRPr="00245485">
        <w:rPr>
          <w:color w:val="000000" w:themeColor="text1"/>
        </w:rPr>
        <w:t xml:space="preserve">policy </w:t>
      </w:r>
      <w:r w:rsidR="001A5F57" w:rsidRPr="00245485">
        <w:rPr>
          <w:color w:val="000000" w:themeColor="text1"/>
        </w:rPr>
        <w:t xml:space="preserve">packages </w:t>
      </w:r>
      <w:r w:rsidRPr="00245485">
        <w:rPr>
          <w:color w:val="000000" w:themeColor="text1"/>
        </w:rPr>
        <w:t xml:space="preserve">will be dogged by constitutional doubts; or that the latter will always revolve around the bounded legal world of conferred powers.  </w:t>
      </w:r>
      <w:r w:rsidR="005F1301" w:rsidRPr="00245485">
        <w:rPr>
          <w:color w:val="000000" w:themeColor="text1"/>
        </w:rPr>
        <w:t xml:space="preserve">After all, </w:t>
      </w:r>
      <w:r w:rsidR="00A862CD">
        <w:rPr>
          <w:color w:val="000000" w:themeColor="text1"/>
        </w:rPr>
        <w:t xml:space="preserve">competence queries </w:t>
      </w:r>
      <w:r w:rsidR="005F1301" w:rsidRPr="00245485">
        <w:rPr>
          <w:color w:val="000000" w:themeColor="text1"/>
        </w:rPr>
        <w:t xml:space="preserve">constitute only one example among the many legal challenges and concerns created by the Union’s crisis-led experiments with institutional relations, governance structures, regulatory </w:t>
      </w:r>
      <w:proofErr w:type="gramStart"/>
      <w:r w:rsidR="005F1301" w:rsidRPr="00245485">
        <w:rPr>
          <w:color w:val="000000" w:themeColor="text1"/>
        </w:rPr>
        <w:t>techniques</w:t>
      </w:r>
      <w:proofErr w:type="gramEnd"/>
      <w:r w:rsidR="005F1301" w:rsidRPr="00245485">
        <w:rPr>
          <w:color w:val="000000" w:themeColor="text1"/>
        </w:rPr>
        <w:t xml:space="preserve"> and enforcement tools.</w:t>
      </w:r>
      <w:r w:rsidR="005F1301" w:rsidRPr="00245485">
        <w:rPr>
          <w:rStyle w:val="FootnoteReference"/>
          <w:color w:val="000000" w:themeColor="text1"/>
        </w:rPr>
        <w:footnoteReference w:id="85"/>
      </w:r>
      <w:r w:rsidR="005F1301" w:rsidRPr="00245485">
        <w:rPr>
          <w:color w:val="000000" w:themeColor="text1"/>
        </w:rPr>
        <w:t xml:space="preserve">  </w:t>
      </w:r>
      <w:r w:rsidR="00770AEB" w:rsidRPr="00245485">
        <w:rPr>
          <w:color w:val="000000" w:themeColor="text1"/>
        </w:rPr>
        <w:t>C</w:t>
      </w:r>
      <w:r w:rsidRPr="00245485">
        <w:rPr>
          <w:color w:val="000000" w:themeColor="text1"/>
        </w:rPr>
        <w:t>onsider the intensive phase of the Union’s reaction to the “</w:t>
      </w:r>
      <w:r w:rsidR="001A5F57" w:rsidRPr="00245485">
        <w:rPr>
          <w:color w:val="000000" w:themeColor="text1"/>
        </w:rPr>
        <w:t>migration</w:t>
      </w:r>
      <w:r w:rsidRPr="00245485">
        <w:rPr>
          <w:color w:val="000000" w:themeColor="text1"/>
        </w:rPr>
        <w:t xml:space="preserve"> crisis” that gained particular momentum </w:t>
      </w:r>
      <w:r w:rsidR="009B12DB" w:rsidRPr="00245485">
        <w:rPr>
          <w:color w:val="000000" w:themeColor="text1"/>
        </w:rPr>
        <w:t>during</w:t>
      </w:r>
      <w:r w:rsidRPr="00245485">
        <w:rPr>
          <w:color w:val="000000" w:themeColor="text1"/>
        </w:rPr>
        <w:t xml:space="preserve"> and after 2015.  That challenge certainly displayed our assumed attributes of heightened </w:t>
      </w:r>
      <w:r w:rsidR="001A5F57" w:rsidRPr="00245485">
        <w:rPr>
          <w:color w:val="000000" w:themeColor="text1"/>
        </w:rPr>
        <w:t>scale</w:t>
      </w:r>
      <w:r w:rsidRPr="00245485">
        <w:rPr>
          <w:color w:val="000000" w:themeColor="text1"/>
        </w:rPr>
        <w:t xml:space="preserve"> and particular </w:t>
      </w:r>
      <w:r w:rsidR="001A5F57" w:rsidRPr="00245485">
        <w:rPr>
          <w:color w:val="000000" w:themeColor="text1"/>
        </w:rPr>
        <w:t xml:space="preserve">complexity, </w:t>
      </w:r>
      <w:r w:rsidRPr="00245485">
        <w:rPr>
          <w:color w:val="000000" w:themeColor="text1"/>
        </w:rPr>
        <w:t xml:space="preserve">as well as the added demands of (political, </w:t>
      </w:r>
      <w:proofErr w:type="gramStart"/>
      <w:r w:rsidRPr="00245485">
        <w:rPr>
          <w:color w:val="000000" w:themeColor="text1"/>
        </w:rPr>
        <w:t>humanitarian</w:t>
      </w:r>
      <w:proofErr w:type="gramEnd"/>
      <w:r w:rsidRPr="00245485">
        <w:rPr>
          <w:color w:val="000000" w:themeColor="text1"/>
        </w:rPr>
        <w:t xml:space="preserve"> and logistical) </w:t>
      </w:r>
      <w:r w:rsidR="001A5F57" w:rsidRPr="00245485">
        <w:rPr>
          <w:color w:val="000000" w:themeColor="text1"/>
        </w:rPr>
        <w:t>urgency</w:t>
      </w:r>
      <w:r w:rsidRPr="00245485">
        <w:rPr>
          <w:color w:val="000000" w:themeColor="text1"/>
        </w:rPr>
        <w:t xml:space="preserve">.  And the Union’s </w:t>
      </w:r>
      <w:r w:rsidR="00DD7D9A" w:rsidRPr="00245485">
        <w:rPr>
          <w:color w:val="000000" w:themeColor="text1"/>
        </w:rPr>
        <w:t xml:space="preserve">multifaceted policy </w:t>
      </w:r>
      <w:r w:rsidRPr="00245485">
        <w:rPr>
          <w:color w:val="000000" w:themeColor="text1"/>
        </w:rPr>
        <w:t xml:space="preserve">response surely shares in our assumed </w:t>
      </w:r>
      <w:r w:rsidR="00DD7D9A" w:rsidRPr="00245485">
        <w:rPr>
          <w:color w:val="000000" w:themeColor="text1"/>
        </w:rPr>
        <w:t xml:space="preserve">“package” characteristics of </w:t>
      </w:r>
      <w:r w:rsidR="0025008B" w:rsidRPr="00245485">
        <w:rPr>
          <w:color w:val="000000" w:themeColor="text1"/>
        </w:rPr>
        <w:t xml:space="preserve">enhanced </w:t>
      </w:r>
      <w:r w:rsidR="001A5F57" w:rsidRPr="00245485">
        <w:rPr>
          <w:color w:val="000000" w:themeColor="text1"/>
        </w:rPr>
        <w:t>ambitio</w:t>
      </w:r>
      <w:r w:rsidR="00DD7D9A" w:rsidRPr="00245485">
        <w:rPr>
          <w:color w:val="000000" w:themeColor="text1"/>
        </w:rPr>
        <w:t>n</w:t>
      </w:r>
      <w:r w:rsidR="001A5F57" w:rsidRPr="00245485">
        <w:rPr>
          <w:color w:val="000000" w:themeColor="text1"/>
        </w:rPr>
        <w:t xml:space="preserve"> and interconnected</w:t>
      </w:r>
      <w:r w:rsidR="00DD7D9A" w:rsidRPr="00245485">
        <w:rPr>
          <w:color w:val="000000" w:themeColor="text1"/>
        </w:rPr>
        <w:t xml:space="preserve">ness.  But many commentators regard that response as </w:t>
      </w:r>
      <w:r w:rsidR="001A5F57" w:rsidRPr="00245485">
        <w:rPr>
          <w:color w:val="000000" w:themeColor="text1"/>
        </w:rPr>
        <w:t xml:space="preserve">largely </w:t>
      </w:r>
      <w:r w:rsidR="00DD7D9A" w:rsidRPr="00245485">
        <w:rPr>
          <w:color w:val="000000" w:themeColor="text1"/>
        </w:rPr>
        <w:t>unobjectionable</w:t>
      </w:r>
      <w:r w:rsidR="001A5F57" w:rsidRPr="00245485">
        <w:rPr>
          <w:color w:val="000000" w:themeColor="text1"/>
        </w:rPr>
        <w:t xml:space="preserve"> in terms of </w:t>
      </w:r>
      <w:r w:rsidR="00DD7D9A" w:rsidRPr="00245485">
        <w:rPr>
          <w:color w:val="000000" w:themeColor="text1"/>
        </w:rPr>
        <w:t xml:space="preserve">attributed powers: </w:t>
      </w:r>
      <w:r w:rsidR="009B12DB" w:rsidRPr="00245485">
        <w:rPr>
          <w:color w:val="000000" w:themeColor="text1"/>
        </w:rPr>
        <w:t xml:space="preserve">after all, </w:t>
      </w:r>
      <w:r w:rsidR="00DD7D9A" w:rsidRPr="00245485">
        <w:rPr>
          <w:color w:val="000000" w:themeColor="text1"/>
        </w:rPr>
        <w:t xml:space="preserve">the relevant Union acts could rest upon clear </w:t>
      </w:r>
      <w:r w:rsidR="00120988" w:rsidRPr="00245485">
        <w:rPr>
          <w:color w:val="000000" w:themeColor="text1"/>
        </w:rPr>
        <w:t xml:space="preserve">and explicit </w:t>
      </w:r>
      <w:r w:rsidR="00DD7D9A" w:rsidRPr="00245485">
        <w:rPr>
          <w:color w:val="000000" w:themeColor="text1"/>
        </w:rPr>
        <w:t>legal bases</w:t>
      </w:r>
      <w:r w:rsidR="00120988" w:rsidRPr="00245485">
        <w:rPr>
          <w:color w:val="000000" w:themeColor="text1"/>
        </w:rPr>
        <w:t xml:space="preserve"> under the Treaties</w:t>
      </w:r>
      <w:r w:rsidR="00DD7D9A" w:rsidRPr="00245485">
        <w:rPr>
          <w:color w:val="000000" w:themeColor="text1"/>
        </w:rPr>
        <w:t>.</w:t>
      </w:r>
      <w:r w:rsidR="00D27CCB" w:rsidRPr="00245485">
        <w:rPr>
          <w:rStyle w:val="FootnoteReference"/>
          <w:color w:val="000000" w:themeColor="text1"/>
        </w:rPr>
        <w:footnoteReference w:id="86"/>
      </w:r>
      <w:r w:rsidR="00DD7D9A" w:rsidRPr="00245485">
        <w:rPr>
          <w:color w:val="000000" w:themeColor="text1"/>
        </w:rPr>
        <w:t xml:space="preserve">  The </w:t>
      </w:r>
      <w:r w:rsidR="001A5F57" w:rsidRPr="00245485">
        <w:rPr>
          <w:color w:val="000000" w:themeColor="text1"/>
        </w:rPr>
        <w:t xml:space="preserve">controversies were more </w:t>
      </w:r>
      <w:r w:rsidR="00DD7D9A" w:rsidRPr="00245485">
        <w:rPr>
          <w:color w:val="000000" w:themeColor="text1"/>
        </w:rPr>
        <w:t>substantive than constitutional</w:t>
      </w:r>
      <w:r w:rsidR="002F7EC4" w:rsidRPr="00245485">
        <w:rPr>
          <w:color w:val="000000" w:themeColor="text1"/>
        </w:rPr>
        <w:t>: for example, highlighting significant failures in regulatory design</w:t>
      </w:r>
      <w:r w:rsidR="006F5523" w:rsidRPr="00245485">
        <w:rPr>
          <w:color w:val="000000" w:themeColor="text1"/>
        </w:rPr>
        <w:t xml:space="preserve"> and</w:t>
      </w:r>
      <w:r w:rsidR="002F7EC4" w:rsidRPr="00245485">
        <w:rPr>
          <w:color w:val="000000" w:themeColor="text1"/>
        </w:rPr>
        <w:t xml:space="preserve"> legal implementation </w:t>
      </w:r>
      <w:r w:rsidR="006F5523" w:rsidRPr="00245485">
        <w:rPr>
          <w:color w:val="000000" w:themeColor="text1"/>
        </w:rPr>
        <w:t xml:space="preserve">/ </w:t>
      </w:r>
      <w:r w:rsidR="002F7EC4" w:rsidRPr="00245485">
        <w:rPr>
          <w:color w:val="000000" w:themeColor="text1"/>
        </w:rPr>
        <w:t xml:space="preserve">enforcement; or </w:t>
      </w:r>
      <w:r w:rsidR="00770AEB" w:rsidRPr="00245485">
        <w:rPr>
          <w:color w:val="000000" w:themeColor="text1"/>
        </w:rPr>
        <w:t xml:space="preserve">pitting advocates of more </w:t>
      </w:r>
      <w:r w:rsidR="00DD7D9A" w:rsidRPr="00245485">
        <w:rPr>
          <w:color w:val="000000" w:themeColor="text1"/>
        </w:rPr>
        <w:t xml:space="preserve">effective migration control </w:t>
      </w:r>
      <w:r w:rsidR="00770AEB" w:rsidRPr="00245485">
        <w:rPr>
          <w:color w:val="000000" w:themeColor="text1"/>
        </w:rPr>
        <w:t xml:space="preserve">against those determined to uphold </w:t>
      </w:r>
      <w:r w:rsidR="00DD7D9A" w:rsidRPr="00245485">
        <w:rPr>
          <w:color w:val="000000" w:themeColor="text1"/>
        </w:rPr>
        <w:t>respect for human life and dignity</w:t>
      </w:r>
      <w:r w:rsidR="0044502C" w:rsidRPr="00245485">
        <w:rPr>
          <w:color w:val="000000" w:themeColor="text1"/>
        </w:rPr>
        <w:t xml:space="preserve"> and the possibility of asylum.</w:t>
      </w:r>
      <w:r w:rsidR="00D27CCB" w:rsidRPr="00245485">
        <w:rPr>
          <w:rStyle w:val="FootnoteReference"/>
          <w:color w:val="000000" w:themeColor="text1"/>
        </w:rPr>
        <w:footnoteReference w:id="87"/>
      </w:r>
      <w:r w:rsidR="00DD7D9A" w:rsidRPr="00245485">
        <w:rPr>
          <w:color w:val="000000" w:themeColor="text1"/>
        </w:rPr>
        <w:t xml:space="preserve"> </w:t>
      </w:r>
      <w:r w:rsidR="0044502C" w:rsidRPr="00245485">
        <w:rPr>
          <w:color w:val="000000" w:themeColor="text1"/>
        </w:rPr>
        <w:t xml:space="preserve"> Of course, there were a </w:t>
      </w:r>
      <w:r w:rsidR="00DD7D9A" w:rsidRPr="00245485">
        <w:rPr>
          <w:color w:val="000000" w:themeColor="text1"/>
        </w:rPr>
        <w:t xml:space="preserve">few </w:t>
      </w:r>
      <w:r w:rsidR="001A5F57" w:rsidRPr="00245485">
        <w:rPr>
          <w:color w:val="000000" w:themeColor="text1"/>
        </w:rPr>
        <w:t>notable exception</w:t>
      </w:r>
      <w:r w:rsidR="00DD7D9A" w:rsidRPr="00245485">
        <w:rPr>
          <w:color w:val="000000" w:themeColor="text1"/>
        </w:rPr>
        <w:t>s, not least objections to the EU-Turkey Statement of 2016</w:t>
      </w:r>
      <w:r w:rsidR="0044502C" w:rsidRPr="00245485">
        <w:rPr>
          <w:color w:val="000000" w:themeColor="text1"/>
        </w:rPr>
        <w:t>.</w:t>
      </w:r>
      <w:r w:rsidR="00D27CCB" w:rsidRPr="00245485">
        <w:rPr>
          <w:rStyle w:val="FootnoteReference"/>
          <w:color w:val="000000" w:themeColor="text1"/>
        </w:rPr>
        <w:footnoteReference w:id="88"/>
      </w:r>
      <w:r w:rsidR="009B12DB" w:rsidRPr="00245485">
        <w:rPr>
          <w:color w:val="000000" w:themeColor="text1"/>
        </w:rPr>
        <w:t xml:space="preserve"> </w:t>
      </w:r>
      <w:r w:rsidR="0044502C" w:rsidRPr="00245485">
        <w:rPr>
          <w:color w:val="000000" w:themeColor="text1"/>
        </w:rPr>
        <w:t xml:space="preserve"> The </w:t>
      </w:r>
      <w:r w:rsidR="009B12DB" w:rsidRPr="00245485">
        <w:rPr>
          <w:color w:val="000000" w:themeColor="text1"/>
        </w:rPr>
        <w:t xml:space="preserve">latter was </w:t>
      </w:r>
      <w:r w:rsidR="00DD7D9A" w:rsidRPr="00245485">
        <w:rPr>
          <w:color w:val="000000" w:themeColor="text1"/>
        </w:rPr>
        <w:t xml:space="preserve">widely regarded as an example of inappropriate resort to executive </w:t>
      </w:r>
      <w:r w:rsidR="00AC7087" w:rsidRPr="00245485">
        <w:rPr>
          <w:color w:val="000000" w:themeColor="text1"/>
        </w:rPr>
        <w:t xml:space="preserve">acts </w:t>
      </w:r>
      <w:r w:rsidR="00DD7D9A" w:rsidRPr="00245485">
        <w:rPr>
          <w:color w:val="000000" w:themeColor="text1"/>
        </w:rPr>
        <w:t xml:space="preserve">that </w:t>
      </w:r>
      <w:r w:rsidR="00770AEB" w:rsidRPr="00245485">
        <w:rPr>
          <w:color w:val="000000" w:themeColor="text1"/>
        </w:rPr>
        <w:t xml:space="preserve">formally </w:t>
      </w:r>
      <w:r w:rsidR="00770AEB" w:rsidRPr="00245485">
        <w:rPr>
          <w:color w:val="000000" w:themeColor="text1"/>
        </w:rPr>
        <w:lastRenderedPageBreak/>
        <w:t xml:space="preserve">lie outside the </w:t>
      </w:r>
      <w:r w:rsidR="00AC7087" w:rsidRPr="00245485">
        <w:rPr>
          <w:color w:val="000000" w:themeColor="text1"/>
        </w:rPr>
        <w:t>EU legal order</w:t>
      </w:r>
      <w:r w:rsidR="009B12DB" w:rsidRPr="00245485">
        <w:rPr>
          <w:color w:val="000000" w:themeColor="text1"/>
        </w:rPr>
        <w:t xml:space="preserve"> and are thereby also </w:t>
      </w:r>
      <w:r w:rsidR="00770AEB" w:rsidRPr="00245485">
        <w:rPr>
          <w:color w:val="000000" w:themeColor="text1"/>
        </w:rPr>
        <w:t xml:space="preserve">shielded from </w:t>
      </w:r>
      <w:r w:rsidR="009B12DB" w:rsidRPr="00245485">
        <w:rPr>
          <w:color w:val="000000" w:themeColor="text1"/>
        </w:rPr>
        <w:t xml:space="preserve">proper </w:t>
      </w:r>
      <w:r w:rsidR="00AE2F5A" w:rsidRPr="00245485">
        <w:rPr>
          <w:color w:val="000000" w:themeColor="text1"/>
        </w:rPr>
        <w:t xml:space="preserve">parliamentary as well as </w:t>
      </w:r>
      <w:r w:rsidR="00AC7087" w:rsidRPr="00245485">
        <w:rPr>
          <w:color w:val="000000" w:themeColor="text1"/>
        </w:rPr>
        <w:t xml:space="preserve">judicial </w:t>
      </w:r>
      <w:r w:rsidR="00770AEB" w:rsidRPr="00245485">
        <w:rPr>
          <w:color w:val="000000" w:themeColor="text1"/>
        </w:rPr>
        <w:t>scrutiny</w:t>
      </w:r>
      <w:r w:rsidR="009B12DB" w:rsidRPr="00245485">
        <w:rPr>
          <w:color w:val="000000" w:themeColor="text1"/>
        </w:rPr>
        <w:t xml:space="preserve"> – a significant critique, </w:t>
      </w:r>
      <w:r w:rsidR="00B12B57" w:rsidRPr="00245485">
        <w:rPr>
          <w:color w:val="000000" w:themeColor="text1"/>
        </w:rPr>
        <w:t xml:space="preserve">of course, </w:t>
      </w:r>
      <w:r w:rsidR="009B12DB" w:rsidRPr="00245485">
        <w:rPr>
          <w:color w:val="000000" w:themeColor="text1"/>
        </w:rPr>
        <w:t xml:space="preserve">but </w:t>
      </w:r>
      <w:r w:rsidR="00B12B57" w:rsidRPr="00245485">
        <w:rPr>
          <w:color w:val="000000" w:themeColor="text1"/>
        </w:rPr>
        <w:t>not among our immediate concerns</w:t>
      </w:r>
      <w:r w:rsidR="00770AEB" w:rsidRPr="00245485">
        <w:rPr>
          <w:color w:val="000000" w:themeColor="text1"/>
        </w:rPr>
        <w:t>.</w:t>
      </w:r>
      <w:r w:rsidR="00D27CCB" w:rsidRPr="00245485">
        <w:rPr>
          <w:rStyle w:val="FootnoteReference"/>
          <w:color w:val="000000" w:themeColor="text1"/>
        </w:rPr>
        <w:footnoteReference w:id="89"/>
      </w:r>
    </w:p>
    <w:p w14:paraId="242B622A" w14:textId="4BE473AF" w:rsidR="00245485" w:rsidRDefault="004C51E6" w:rsidP="00245485">
      <w:pPr>
        <w:ind w:firstLine="720"/>
        <w:jc w:val="both"/>
        <w:rPr>
          <w:color w:val="000000" w:themeColor="text1"/>
        </w:rPr>
      </w:pPr>
      <w:r w:rsidRPr="00245485">
        <w:rPr>
          <w:color w:val="000000" w:themeColor="text1"/>
        </w:rPr>
        <w:t xml:space="preserve">Equally, it is important to stress: </w:t>
      </w:r>
      <w:r w:rsidR="00657FBF" w:rsidRPr="00245485">
        <w:rPr>
          <w:color w:val="000000" w:themeColor="text1"/>
        </w:rPr>
        <w:t xml:space="preserve">even where questions specifically about conferral arise within the context of any given </w:t>
      </w:r>
      <w:r w:rsidRPr="00245485">
        <w:rPr>
          <w:color w:val="000000" w:themeColor="text1"/>
        </w:rPr>
        <w:t>policy package</w:t>
      </w:r>
      <w:r w:rsidR="00657FBF" w:rsidRPr="00245485">
        <w:rPr>
          <w:color w:val="000000" w:themeColor="text1"/>
        </w:rPr>
        <w:t xml:space="preserve">, we are not arguing that the </w:t>
      </w:r>
      <w:r w:rsidR="00300F62" w:rsidRPr="00245485">
        <w:rPr>
          <w:color w:val="000000" w:themeColor="text1"/>
        </w:rPr>
        <w:t xml:space="preserve">inevitable consequence </w:t>
      </w:r>
      <w:r w:rsidR="00657FBF" w:rsidRPr="00245485">
        <w:rPr>
          <w:color w:val="000000" w:themeColor="text1"/>
        </w:rPr>
        <w:t xml:space="preserve">will be tensions </w:t>
      </w:r>
      <w:r w:rsidR="00300F62" w:rsidRPr="00245485">
        <w:rPr>
          <w:color w:val="000000" w:themeColor="text1"/>
        </w:rPr>
        <w:t xml:space="preserve">and recriminations </w:t>
      </w:r>
      <w:r w:rsidR="00657FBF" w:rsidRPr="00245485">
        <w:rPr>
          <w:color w:val="000000" w:themeColor="text1"/>
        </w:rPr>
        <w:t xml:space="preserve">over the designs, processes, outcomes and legitimacies of the Union’s </w:t>
      </w:r>
      <w:r w:rsidR="00781F42" w:rsidRPr="00245485">
        <w:rPr>
          <w:color w:val="000000" w:themeColor="text1"/>
        </w:rPr>
        <w:t xml:space="preserve">relevant </w:t>
      </w:r>
      <w:r w:rsidR="00300F62" w:rsidRPr="00245485">
        <w:rPr>
          <w:color w:val="000000" w:themeColor="text1"/>
        </w:rPr>
        <w:t xml:space="preserve">regulatory </w:t>
      </w:r>
      <w:r w:rsidR="00657FBF" w:rsidRPr="00245485">
        <w:rPr>
          <w:color w:val="000000" w:themeColor="text1"/>
        </w:rPr>
        <w:t>activities</w:t>
      </w:r>
      <w:r w:rsidR="00E12D21" w:rsidRPr="00245485">
        <w:rPr>
          <w:color w:val="000000" w:themeColor="text1"/>
        </w:rPr>
        <w:t>;</w:t>
      </w:r>
      <w:r w:rsidR="001B0ACB" w:rsidRPr="00245485">
        <w:rPr>
          <w:color w:val="000000" w:themeColor="text1"/>
        </w:rPr>
        <w:t xml:space="preserve"> </w:t>
      </w:r>
      <w:r w:rsidR="00E12D21" w:rsidRPr="00245485">
        <w:rPr>
          <w:color w:val="000000" w:themeColor="text1"/>
        </w:rPr>
        <w:t xml:space="preserve">nor </w:t>
      </w:r>
      <w:r w:rsidR="001B0ACB" w:rsidRPr="00245485">
        <w:rPr>
          <w:color w:val="000000" w:themeColor="text1"/>
        </w:rPr>
        <w:t xml:space="preserve">that such competence questions will </w:t>
      </w:r>
      <w:r w:rsidR="00E12D21" w:rsidRPr="00245485">
        <w:rPr>
          <w:color w:val="000000" w:themeColor="text1"/>
        </w:rPr>
        <w:t>necessarily</w:t>
      </w:r>
      <w:r w:rsidR="001B0ACB" w:rsidRPr="00245485">
        <w:rPr>
          <w:color w:val="000000" w:themeColor="text1"/>
        </w:rPr>
        <w:t xml:space="preserve"> reach the stage of being formally disputed before the Union courts</w:t>
      </w:r>
      <w:r w:rsidR="00E12D21" w:rsidRPr="00245485">
        <w:rPr>
          <w:color w:val="000000" w:themeColor="text1"/>
        </w:rPr>
        <w:t xml:space="preserve">, for the latter to grapple or struggle with the proper place and relevance of policy packages within the </w:t>
      </w:r>
      <w:r w:rsidR="00433846" w:rsidRPr="00245485">
        <w:rPr>
          <w:color w:val="000000" w:themeColor="text1"/>
        </w:rPr>
        <w:t>legal structures</w:t>
      </w:r>
      <w:r w:rsidR="00E12D21" w:rsidRPr="00245485">
        <w:rPr>
          <w:color w:val="000000" w:themeColor="text1"/>
        </w:rPr>
        <w:t xml:space="preserve"> of attributed powers</w:t>
      </w:r>
      <w:r w:rsidR="00657FBF" w:rsidRPr="00245485">
        <w:rPr>
          <w:color w:val="000000" w:themeColor="text1"/>
        </w:rPr>
        <w:t xml:space="preserve">.  Rather, our point is as follows: the political realities involved in </w:t>
      </w:r>
      <w:r w:rsidR="00300F62" w:rsidRPr="00245485">
        <w:rPr>
          <w:color w:val="000000" w:themeColor="text1"/>
        </w:rPr>
        <w:t>negotiating</w:t>
      </w:r>
      <w:r w:rsidR="00657FBF" w:rsidRPr="00245485">
        <w:rPr>
          <w:color w:val="000000" w:themeColor="text1"/>
        </w:rPr>
        <w:t xml:space="preserve"> policy packages, which appear to be effectively absent from </w:t>
      </w:r>
      <w:r w:rsidR="00213184" w:rsidRPr="00245485">
        <w:rPr>
          <w:color w:val="000000" w:themeColor="text1"/>
        </w:rPr>
        <w:t xml:space="preserve">much of </w:t>
      </w:r>
      <w:r w:rsidR="00657FBF" w:rsidRPr="00245485">
        <w:rPr>
          <w:color w:val="000000" w:themeColor="text1"/>
        </w:rPr>
        <w:t xml:space="preserve">our </w:t>
      </w:r>
      <w:r w:rsidR="00300F62" w:rsidRPr="00245485">
        <w:rPr>
          <w:color w:val="000000" w:themeColor="text1"/>
        </w:rPr>
        <w:t>current</w:t>
      </w:r>
      <w:r w:rsidR="00657FBF" w:rsidRPr="00245485">
        <w:rPr>
          <w:color w:val="000000" w:themeColor="text1"/>
        </w:rPr>
        <w:t xml:space="preserve"> approach to the system of conferral, </w:t>
      </w:r>
      <w:r w:rsidR="00300F62" w:rsidRPr="00245485">
        <w:rPr>
          <w:color w:val="000000" w:themeColor="text1"/>
        </w:rPr>
        <w:t xml:space="preserve">invite us to reflect critically upon </w:t>
      </w:r>
      <w:r w:rsidR="00781F42" w:rsidRPr="00245485">
        <w:rPr>
          <w:color w:val="000000" w:themeColor="text1"/>
        </w:rPr>
        <w:t xml:space="preserve">the relative performance of </w:t>
      </w:r>
      <w:r w:rsidR="00657FBF" w:rsidRPr="00245485">
        <w:rPr>
          <w:color w:val="000000" w:themeColor="text1"/>
        </w:rPr>
        <w:t>the legal framework governing Union competences</w:t>
      </w:r>
      <w:r w:rsidR="00781F42" w:rsidRPr="00245485">
        <w:rPr>
          <w:color w:val="000000" w:themeColor="text1"/>
        </w:rPr>
        <w:t>; and in particular, to wonder whether that framework</w:t>
      </w:r>
      <w:r w:rsidR="00657FBF" w:rsidRPr="00245485">
        <w:rPr>
          <w:color w:val="000000" w:themeColor="text1"/>
        </w:rPr>
        <w:t xml:space="preserve"> </w:t>
      </w:r>
      <w:r w:rsidR="00300F62" w:rsidRPr="00245485">
        <w:rPr>
          <w:color w:val="000000" w:themeColor="text1"/>
        </w:rPr>
        <w:t xml:space="preserve">best serves and facilitates the need to manage contemporary </w:t>
      </w:r>
      <w:r w:rsidR="00C877A4">
        <w:rPr>
          <w:color w:val="000000" w:themeColor="text1"/>
        </w:rPr>
        <w:t xml:space="preserve">societal </w:t>
      </w:r>
      <w:r w:rsidR="00300F62" w:rsidRPr="00245485">
        <w:rPr>
          <w:color w:val="000000" w:themeColor="text1"/>
        </w:rPr>
        <w:t>challenges of particular scale, complexity and (often) urgency</w:t>
      </w:r>
      <w:r w:rsidR="00657FBF" w:rsidRPr="00245485">
        <w:rPr>
          <w:color w:val="000000" w:themeColor="text1"/>
        </w:rPr>
        <w:t>.</w:t>
      </w:r>
    </w:p>
    <w:p w14:paraId="34DAB1C7" w14:textId="231E5F1D" w:rsidR="00245485" w:rsidRDefault="00433846" w:rsidP="00245485">
      <w:pPr>
        <w:ind w:firstLine="720"/>
        <w:jc w:val="both"/>
        <w:rPr>
          <w:color w:val="000000" w:themeColor="text1"/>
        </w:rPr>
      </w:pPr>
      <w:r w:rsidRPr="00245485">
        <w:rPr>
          <w:color w:val="000000" w:themeColor="text1"/>
        </w:rPr>
        <w:t xml:space="preserve">The outcome of that critical reflection will surely be coloured, even to a considerable degree, by our own </w:t>
      </w:r>
      <w:r w:rsidR="00E12D21" w:rsidRPr="00245485">
        <w:rPr>
          <w:color w:val="000000" w:themeColor="text1"/>
        </w:rPr>
        <w:t xml:space="preserve">normative </w:t>
      </w:r>
      <w:r w:rsidRPr="00245485">
        <w:rPr>
          <w:color w:val="000000" w:themeColor="text1"/>
        </w:rPr>
        <w:t xml:space="preserve">assumptions and </w:t>
      </w:r>
      <w:r w:rsidR="00E12D21" w:rsidRPr="00245485">
        <w:rPr>
          <w:color w:val="000000" w:themeColor="text1"/>
        </w:rPr>
        <w:t>perspectives</w:t>
      </w:r>
      <w:r w:rsidRPr="00245485">
        <w:rPr>
          <w:color w:val="000000" w:themeColor="text1"/>
        </w:rPr>
        <w:t>.  We can summarise two main positions, according to whether they tend to prioritise more the autonomy and integrity of the Union’s established constitutional order</w:t>
      </w:r>
      <w:r w:rsidR="006874D0" w:rsidRPr="00245485">
        <w:rPr>
          <w:color w:val="000000" w:themeColor="text1"/>
        </w:rPr>
        <w:t>;</w:t>
      </w:r>
      <w:r w:rsidRPr="00245485">
        <w:rPr>
          <w:color w:val="000000" w:themeColor="text1"/>
        </w:rPr>
        <w:t xml:space="preserve"> or rather the </w:t>
      </w:r>
      <w:r w:rsidR="006F5523" w:rsidRPr="00245485">
        <w:rPr>
          <w:color w:val="000000" w:themeColor="text1"/>
        </w:rPr>
        <w:t xml:space="preserve">capacity and duty </w:t>
      </w:r>
      <w:r w:rsidRPr="00245485">
        <w:rPr>
          <w:color w:val="000000" w:themeColor="text1"/>
        </w:rPr>
        <w:t xml:space="preserve">of law to evolve in response to pressing political, </w:t>
      </w:r>
      <w:proofErr w:type="gramStart"/>
      <w:r w:rsidRPr="00245485">
        <w:rPr>
          <w:color w:val="000000" w:themeColor="text1"/>
        </w:rPr>
        <w:t>social</w:t>
      </w:r>
      <w:proofErr w:type="gramEnd"/>
      <w:r w:rsidRPr="00245485">
        <w:rPr>
          <w:color w:val="000000" w:themeColor="text1"/>
        </w:rPr>
        <w:t xml:space="preserve"> and economic needs. </w:t>
      </w:r>
    </w:p>
    <w:p w14:paraId="5F33A4E3" w14:textId="406DD9DE" w:rsidR="006E2934" w:rsidRDefault="006E2934" w:rsidP="006E2934">
      <w:pPr>
        <w:jc w:val="both"/>
        <w:rPr>
          <w:color w:val="000000" w:themeColor="text1"/>
        </w:rPr>
      </w:pPr>
    </w:p>
    <w:p w14:paraId="68CBDF76" w14:textId="4D120F6F" w:rsidR="006E2934" w:rsidRPr="006E2934" w:rsidRDefault="006E2934" w:rsidP="006E2934">
      <w:pPr>
        <w:jc w:val="both"/>
        <w:rPr>
          <w:i/>
          <w:iCs/>
          <w:color w:val="000000" w:themeColor="text1"/>
        </w:rPr>
      </w:pPr>
      <w:r>
        <w:rPr>
          <w:i/>
          <w:iCs/>
          <w:color w:val="000000" w:themeColor="text1"/>
        </w:rPr>
        <w:t>6</w:t>
      </w:r>
      <w:r w:rsidRPr="00E308BC">
        <w:rPr>
          <w:i/>
          <w:iCs/>
          <w:color w:val="000000" w:themeColor="text1"/>
        </w:rPr>
        <w:t xml:space="preserve">.1 </w:t>
      </w:r>
      <w:r>
        <w:rPr>
          <w:i/>
          <w:iCs/>
          <w:color w:val="000000" w:themeColor="text1"/>
        </w:rPr>
        <w:t>Autonomy and integrity of the legal system</w:t>
      </w:r>
    </w:p>
    <w:p w14:paraId="514BECE5" w14:textId="77777777" w:rsidR="006E2934" w:rsidRDefault="006E2934" w:rsidP="006E2934">
      <w:pPr>
        <w:jc w:val="both"/>
        <w:rPr>
          <w:color w:val="000000" w:themeColor="text1"/>
        </w:rPr>
      </w:pPr>
    </w:p>
    <w:p w14:paraId="1010EFEF" w14:textId="77777777" w:rsidR="00245485" w:rsidRDefault="00077868" w:rsidP="006E2934">
      <w:pPr>
        <w:jc w:val="both"/>
        <w:rPr>
          <w:color w:val="000000" w:themeColor="text1"/>
        </w:rPr>
      </w:pPr>
      <w:r w:rsidRPr="00245485">
        <w:rPr>
          <w:color w:val="000000" w:themeColor="text1"/>
        </w:rPr>
        <w:t xml:space="preserve">According to the former perspective, the prevailing dislocation between competence law and package policy </w:t>
      </w:r>
      <w:r w:rsidR="003B699C" w:rsidRPr="00245485">
        <w:rPr>
          <w:color w:val="000000" w:themeColor="text1"/>
        </w:rPr>
        <w:t xml:space="preserve">is simply </w:t>
      </w:r>
      <w:r w:rsidR="00BB49BF" w:rsidRPr="00245485">
        <w:rPr>
          <w:color w:val="000000" w:themeColor="text1"/>
        </w:rPr>
        <w:t xml:space="preserve">inherent to any </w:t>
      </w:r>
      <w:r w:rsidR="003B699C" w:rsidRPr="00245485">
        <w:rPr>
          <w:color w:val="000000" w:themeColor="text1"/>
        </w:rPr>
        <w:t xml:space="preserve">constitutional system based on a </w:t>
      </w:r>
      <w:r w:rsidR="00BB49BF" w:rsidRPr="00245485">
        <w:rPr>
          <w:color w:val="000000" w:themeColor="text1"/>
        </w:rPr>
        <w:t xml:space="preserve">vertically divided </w:t>
      </w:r>
      <w:r w:rsidR="0023161D" w:rsidRPr="00245485">
        <w:rPr>
          <w:color w:val="000000" w:themeColor="text1"/>
        </w:rPr>
        <w:t>allocation</w:t>
      </w:r>
      <w:r w:rsidR="003B699C" w:rsidRPr="00245485">
        <w:rPr>
          <w:color w:val="000000" w:themeColor="text1"/>
        </w:rPr>
        <w:t xml:space="preserve"> of responsibilities, in which the federal level of governance enjoys strictly defined and highly variegated powers.</w:t>
      </w:r>
      <w:r w:rsidR="006F5523" w:rsidRPr="00245485">
        <w:rPr>
          <w:rStyle w:val="FootnoteReference"/>
          <w:color w:val="000000" w:themeColor="text1"/>
        </w:rPr>
        <w:footnoteReference w:id="90"/>
      </w:r>
      <w:r w:rsidR="003B699C" w:rsidRPr="00245485">
        <w:rPr>
          <w:color w:val="000000" w:themeColor="text1"/>
        </w:rPr>
        <w:t xml:space="preserve">  The legal framework governing the principle of conferral is based on its own fundamental structures and guiding logic</w:t>
      </w:r>
      <w:r w:rsidRPr="00245485">
        <w:rPr>
          <w:color w:val="000000" w:themeColor="text1"/>
        </w:rPr>
        <w:t xml:space="preserve"> – including the premiss that every distinct act must find an appropriate basis under, and remain within the limits imposed by, the Treaties</w:t>
      </w:r>
      <w:r w:rsidR="003B699C" w:rsidRPr="00245485">
        <w:rPr>
          <w:color w:val="000000" w:themeColor="text1"/>
        </w:rPr>
        <w:t>.  That framework is designed to embody and safeguard its own set of values and safeguards</w:t>
      </w:r>
      <w:r w:rsidRPr="00245485">
        <w:rPr>
          <w:color w:val="000000" w:themeColor="text1"/>
        </w:rPr>
        <w:t xml:space="preserve"> – not least about the appropriate balance of power between the Union and the Member States, as well as among the Union institutions inter se</w:t>
      </w:r>
      <w:r w:rsidR="003B699C" w:rsidRPr="00245485">
        <w:rPr>
          <w:color w:val="000000" w:themeColor="text1"/>
        </w:rPr>
        <w:t>.  Adherence to those basic constitutional principles generates its own form of legitimacy</w:t>
      </w:r>
      <w:r w:rsidR="005B7B9F" w:rsidRPr="00245485">
        <w:rPr>
          <w:color w:val="000000" w:themeColor="text1"/>
        </w:rPr>
        <w:t>.</w:t>
      </w:r>
      <w:r w:rsidR="005B7B9F" w:rsidRPr="00245485">
        <w:rPr>
          <w:rStyle w:val="FootnoteReference"/>
          <w:color w:val="000000" w:themeColor="text1"/>
        </w:rPr>
        <w:footnoteReference w:id="91"/>
      </w:r>
      <w:r w:rsidRPr="00245485">
        <w:rPr>
          <w:color w:val="000000" w:themeColor="text1"/>
        </w:rPr>
        <w:t xml:space="preserve"> </w:t>
      </w:r>
      <w:r w:rsidR="005B7B9F" w:rsidRPr="00245485">
        <w:rPr>
          <w:color w:val="000000" w:themeColor="text1"/>
        </w:rPr>
        <w:t xml:space="preserve"> A</w:t>
      </w:r>
      <w:r w:rsidRPr="00245485">
        <w:rPr>
          <w:color w:val="000000" w:themeColor="text1"/>
        </w:rPr>
        <w:t xml:space="preserve">nd after all, the primary law framework in which they are embedded was ratified by every Member State in accordance with its own constitutional requirements at the key moments of creation, </w:t>
      </w:r>
      <w:proofErr w:type="gramStart"/>
      <w:r w:rsidRPr="00245485">
        <w:rPr>
          <w:color w:val="000000" w:themeColor="text1"/>
        </w:rPr>
        <w:t>accession</w:t>
      </w:r>
      <w:proofErr w:type="gramEnd"/>
      <w:r w:rsidRPr="00245485">
        <w:rPr>
          <w:color w:val="000000" w:themeColor="text1"/>
        </w:rPr>
        <w:t xml:space="preserve"> and reform</w:t>
      </w:r>
      <w:r w:rsidR="003B699C" w:rsidRPr="00245485">
        <w:rPr>
          <w:color w:val="000000" w:themeColor="text1"/>
        </w:rPr>
        <w:t>.</w:t>
      </w:r>
      <w:r w:rsidR="007B58AB" w:rsidRPr="00245485">
        <w:rPr>
          <w:rStyle w:val="FootnoteReference"/>
          <w:color w:val="000000" w:themeColor="text1"/>
        </w:rPr>
        <w:footnoteReference w:id="92"/>
      </w:r>
      <w:r w:rsidR="003B699C" w:rsidRPr="00245485">
        <w:rPr>
          <w:color w:val="000000" w:themeColor="text1"/>
        </w:rPr>
        <w:t xml:space="preserve">  </w:t>
      </w:r>
    </w:p>
    <w:p w14:paraId="211C373E" w14:textId="77777777" w:rsidR="00245485" w:rsidRDefault="003B699C" w:rsidP="00245485">
      <w:pPr>
        <w:ind w:firstLine="720"/>
        <w:jc w:val="both"/>
        <w:rPr>
          <w:color w:val="000000" w:themeColor="text1"/>
        </w:rPr>
      </w:pPr>
      <w:r w:rsidRPr="00245485">
        <w:rPr>
          <w:color w:val="000000" w:themeColor="text1"/>
        </w:rPr>
        <w:t>In each of those dimensions, the legal principles of conferral are perfectly entitled to differ from the political realities of Union policymaking</w:t>
      </w:r>
      <w:r w:rsidR="006F5523" w:rsidRPr="00245485">
        <w:rPr>
          <w:color w:val="000000" w:themeColor="text1"/>
        </w:rPr>
        <w:t>.  Inde</w:t>
      </w:r>
      <w:r w:rsidRPr="00245485">
        <w:rPr>
          <w:color w:val="000000" w:themeColor="text1"/>
        </w:rPr>
        <w:t xml:space="preserve">ed, </w:t>
      </w:r>
      <w:r w:rsidR="006A5CFD" w:rsidRPr="00245485">
        <w:rPr>
          <w:color w:val="000000" w:themeColor="text1"/>
        </w:rPr>
        <w:t xml:space="preserve">those legal principles are deliberately intended to </w:t>
      </w:r>
      <w:r w:rsidRPr="00245485">
        <w:rPr>
          <w:color w:val="000000" w:themeColor="text1"/>
        </w:rPr>
        <w:t>imp</w:t>
      </w:r>
      <w:r w:rsidR="006A5CFD" w:rsidRPr="00245485">
        <w:rPr>
          <w:color w:val="000000" w:themeColor="text1"/>
        </w:rPr>
        <w:t xml:space="preserve">ose limits on, sometimes even to frustrate the otherwise unincumbered will of, the Union’s political institutions.  </w:t>
      </w:r>
      <w:r w:rsidR="00077868" w:rsidRPr="00245485">
        <w:rPr>
          <w:color w:val="000000" w:themeColor="text1"/>
        </w:rPr>
        <w:t>The latter might prefer to wield something like a general power to regulate in the public interest, and perhaps we would all be better off if they did, but that is simply not what the Treaties have provided.</w:t>
      </w:r>
      <w:r w:rsidR="007B58AB" w:rsidRPr="00245485">
        <w:rPr>
          <w:rStyle w:val="FootnoteReference"/>
          <w:color w:val="000000" w:themeColor="text1"/>
        </w:rPr>
        <w:footnoteReference w:id="93"/>
      </w:r>
      <w:r w:rsidR="00077868" w:rsidRPr="00245485">
        <w:rPr>
          <w:color w:val="000000" w:themeColor="text1"/>
        </w:rPr>
        <w:t xml:space="preserve">  </w:t>
      </w:r>
      <w:r w:rsidR="006A5CFD" w:rsidRPr="00245485">
        <w:rPr>
          <w:color w:val="000000" w:themeColor="text1"/>
        </w:rPr>
        <w:t xml:space="preserve">It may well be that our traditional legal approach to conferral imposes certain </w:t>
      </w:r>
      <w:r w:rsidR="002D0303" w:rsidRPr="00245485">
        <w:rPr>
          <w:color w:val="000000" w:themeColor="text1"/>
        </w:rPr>
        <w:t>constraints</w:t>
      </w:r>
      <w:r w:rsidR="006A5CFD" w:rsidRPr="00245485">
        <w:rPr>
          <w:color w:val="000000" w:themeColor="text1"/>
        </w:rPr>
        <w:t xml:space="preserve"> and extracts certain costs when faced with the phenomenon of complex policy packages – say, in terms of </w:t>
      </w:r>
      <w:r w:rsidR="002D0303" w:rsidRPr="00245485">
        <w:rPr>
          <w:color w:val="000000" w:themeColor="text1"/>
        </w:rPr>
        <w:lastRenderedPageBreak/>
        <w:t>contributing to</w:t>
      </w:r>
      <w:r w:rsidR="006A5CFD" w:rsidRPr="00245485">
        <w:rPr>
          <w:color w:val="000000" w:themeColor="text1"/>
        </w:rPr>
        <w:t xml:space="preserve"> sub</w:t>
      </w:r>
      <w:r w:rsidR="00BB49BF" w:rsidRPr="00245485">
        <w:rPr>
          <w:color w:val="000000" w:themeColor="text1"/>
        </w:rPr>
        <w:t>optim</w:t>
      </w:r>
      <w:r w:rsidR="006A5CFD" w:rsidRPr="00245485">
        <w:rPr>
          <w:color w:val="000000" w:themeColor="text1"/>
        </w:rPr>
        <w:t xml:space="preserve">al policy outcomes or frustrating a genuinely widespread </w:t>
      </w:r>
      <w:r w:rsidR="00BB49BF" w:rsidRPr="00245485">
        <w:rPr>
          <w:color w:val="000000" w:themeColor="text1"/>
        </w:rPr>
        <w:t xml:space="preserve">political </w:t>
      </w:r>
      <w:r w:rsidR="006A5CFD" w:rsidRPr="00245485">
        <w:rPr>
          <w:color w:val="000000" w:themeColor="text1"/>
        </w:rPr>
        <w:t xml:space="preserve">consensus.  But those are the </w:t>
      </w:r>
      <w:r w:rsidR="00BB49BF" w:rsidRPr="00245485">
        <w:rPr>
          <w:color w:val="000000" w:themeColor="text1"/>
        </w:rPr>
        <w:t xml:space="preserve">unavoidable price to </w:t>
      </w:r>
      <w:r w:rsidR="006A5CFD" w:rsidRPr="00245485">
        <w:rPr>
          <w:color w:val="000000" w:themeColor="text1"/>
        </w:rPr>
        <w:t xml:space="preserve">be paid for respecting the rule of law in accordance with the prevailing terms of our own </w:t>
      </w:r>
      <w:r w:rsidR="00BB49BF" w:rsidRPr="00245485">
        <w:rPr>
          <w:color w:val="000000" w:themeColor="text1"/>
        </w:rPr>
        <w:t xml:space="preserve">constitutional settlement.  </w:t>
      </w:r>
      <w:proofErr w:type="gramStart"/>
      <w:r w:rsidR="006A5CFD" w:rsidRPr="00245485">
        <w:rPr>
          <w:color w:val="000000" w:themeColor="text1"/>
        </w:rPr>
        <w:t>So</w:t>
      </w:r>
      <w:proofErr w:type="gramEnd"/>
      <w:r w:rsidR="006A5CFD" w:rsidRPr="00245485">
        <w:rPr>
          <w:color w:val="000000" w:themeColor="text1"/>
        </w:rPr>
        <w:t xml:space="preserve"> while it is </w:t>
      </w:r>
      <w:r w:rsidR="002D0303" w:rsidRPr="00245485">
        <w:rPr>
          <w:color w:val="000000" w:themeColor="text1"/>
        </w:rPr>
        <w:t xml:space="preserve">perfectly </w:t>
      </w:r>
      <w:r w:rsidR="006A5CFD" w:rsidRPr="00245485">
        <w:rPr>
          <w:color w:val="000000" w:themeColor="text1"/>
        </w:rPr>
        <w:t xml:space="preserve">interesting to identify the potential legal tensions that arise in the case of policy packages, </w:t>
      </w:r>
      <w:r w:rsidR="0023161D" w:rsidRPr="00245485">
        <w:rPr>
          <w:color w:val="000000" w:themeColor="text1"/>
        </w:rPr>
        <w:t xml:space="preserve">nevertheless, </w:t>
      </w:r>
      <w:r w:rsidR="006A5CFD" w:rsidRPr="00245485">
        <w:rPr>
          <w:color w:val="000000" w:themeColor="text1"/>
        </w:rPr>
        <w:t xml:space="preserve">responsibility for processing those consequences lies </w:t>
      </w:r>
      <w:r w:rsidR="002D0303" w:rsidRPr="00245485">
        <w:rPr>
          <w:color w:val="000000" w:themeColor="text1"/>
        </w:rPr>
        <w:t xml:space="preserve">primarily </w:t>
      </w:r>
      <w:r w:rsidR="006A5CFD" w:rsidRPr="00245485">
        <w:rPr>
          <w:color w:val="000000" w:themeColor="text1"/>
        </w:rPr>
        <w:t xml:space="preserve">with the Union’s political institutions – which need to recognise and valorise </w:t>
      </w:r>
      <w:r w:rsidR="00077868" w:rsidRPr="00245485">
        <w:rPr>
          <w:color w:val="000000" w:themeColor="text1"/>
        </w:rPr>
        <w:t>inevitable</w:t>
      </w:r>
      <w:r w:rsidR="006A5CFD" w:rsidRPr="00245485">
        <w:rPr>
          <w:color w:val="000000" w:themeColor="text1"/>
        </w:rPr>
        <w:t xml:space="preserve"> legal constrain</w:t>
      </w:r>
      <w:r w:rsidR="002D0303" w:rsidRPr="00245485">
        <w:rPr>
          <w:color w:val="000000" w:themeColor="text1"/>
        </w:rPr>
        <w:t>t</w:t>
      </w:r>
      <w:r w:rsidR="006A5CFD" w:rsidRPr="00245485">
        <w:rPr>
          <w:color w:val="000000" w:themeColor="text1"/>
        </w:rPr>
        <w:t>s</w:t>
      </w:r>
      <w:r w:rsidR="002D0303" w:rsidRPr="00245485">
        <w:rPr>
          <w:color w:val="000000" w:themeColor="text1"/>
        </w:rPr>
        <w:t>,</w:t>
      </w:r>
      <w:r w:rsidR="006A5CFD" w:rsidRPr="00245485">
        <w:rPr>
          <w:color w:val="000000" w:themeColor="text1"/>
        </w:rPr>
        <w:t xml:space="preserve"> among the wider calculations that govern their negotiations, compromises and agreements.  </w:t>
      </w:r>
    </w:p>
    <w:p w14:paraId="0913AD3F" w14:textId="61C7A985" w:rsidR="00245485" w:rsidRDefault="004D0A11" w:rsidP="00245485">
      <w:pPr>
        <w:ind w:firstLine="720"/>
        <w:jc w:val="both"/>
        <w:rPr>
          <w:color w:val="000000" w:themeColor="text1"/>
        </w:rPr>
      </w:pPr>
      <w:r w:rsidRPr="00245485">
        <w:rPr>
          <w:color w:val="000000" w:themeColor="text1"/>
        </w:rPr>
        <w:t xml:space="preserve">Which is not to deny that </w:t>
      </w:r>
      <w:r w:rsidR="009D3C64" w:rsidRPr="00245485">
        <w:rPr>
          <w:color w:val="000000" w:themeColor="text1"/>
        </w:rPr>
        <w:t xml:space="preserve">it </w:t>
      </w:r>
      <w:r w:rsidRPr="00245485">
        <w:rPr>
          <w:color w:val="000000" w:themeColor="text1"/>
        </w:rPr>
        <w:t xml:space="preserve">is </w:t>
      </w:r>
      <w:r w:rsidR="009D3C64" w:rsidRPr="00245485">
        <w:rPr>
          <w:color w:val="000000" w:themeColor="text1"/>
        </w:rPr>
        <w:t xml:space="preserve">perfectly appropriate for the Court, in rulings like </w:t>
      </w:r>
      <w:r w:rsidR="009D3C64" w:rsidRPr="00245485">
        <w:rPr>
          <w:i/>
          <w:iCs/>
          <w:color w:val="000000" w:themeColor="text1"/>
        </w:rPr>
        <w:t>Ship Source Pollution</w:t>
      </w:r>
      <w:r w:rsidR="009D3C64" w:rsidRPr="00245485">
        <w:rPr>
          <w:color w:val="000000" w:themeColor="text1"/>
        </w:rPr>
        <w:t xml:space="preserve"> and </w:t>
      </w:r>
      <w:r w:rsidR="009D3C64" w:rsidRPr="00245485">
        <w:rPr>
          <w:i/>
          <w:iCs/>
          <w:color w:val="000000" w:themeColor="text1"/>
        </w:rPr>
        <w:t>Pringle</w:t>
      </w:r>
      <w:r w:rsidR="009D3C64" w:rsidRPr="00245485">
        <w:rPr>
          <w:color w:val="000000" w:themeColor="text1"/>
        </w:rPr>
        <w:t xml:space="preserve">, to include considerations of complex policymaking among the contextual factors relevant to applying its established legal tests for conferral and legal basis.  And nor should we exclude the possibility that there will be other appropriate points where policy packages rightly </w:t>
      </w:r>
      <w:proofErr w:type="gramStart"/>
      <w:r w:rsidR="009D3C64" w:rsidRPr="00245485">
        <w:rPr>
          <w:color w:val="000000" w:themeColor="text1"/>
        </w:rPr>
        <w:t>enter into</w:t>
      </w:r>
      <w:proofErr w:type="gramEnd"/>
      <w:r w:rsidR="009D3C64" w:rsidRPr="00245485">
        <w:rPr>
          <w:color w:val="000000" w:themeColor="text1"/>
        </w:rPr>
        <w:t xml:space="preserve"> </w:t>
      </w:r>
      <w:r w:rsidRPr="00245485">
        <w:rPr>
          <w:color w:val="000000" w:themeColor="text1"/>
        </w:rPr>
        <w:t xml:space="preserve">constitutional </w:t>
      </w:r>
      <w:r w:rsidR="009D3C64" w:rsidRPr="00245485">
        <w:rPr>
          <w:color w:val="000000" w:themeColor="text1"/>
        </w:rPr>
        <w:t>discussions</w:t>
      </w:r>
      <w:r w:rsidR="00CC3ED3" w:rsidRPr="00245485">
        <w:rPr>
          <w:color w:val="000000" w:themeColor="text1"/>
        </w:rPr>
        <w:t xml:space="preserve"> – </w:t>
      </w:r>
      <w:r w:rsidR="008B7CE4" w:rsidRPr="00245485">
        <w:rPr>
          <w:color w:val="000000" w:themeColor="text1"/>
        </w:rPr>
        <w:t>particularly</w:t>
      </w:r>
      <w:r w:rsidR="009D3C64" w:rsidRPr="00245485">
        <w:rPr>
          <w:color w:val="000000" w:themeColor="text1"/>
        </w:rPr>
        <w:t xml:space="preserve"> about the lawful exercise of Union competences</w:t>
      </w:r>
      <w:r w:rsidR="008B7CE4" w:rsidRPr="00245485">
        <w:rPr>
          <w:color w:val="000000" w:themeColor="text1"/>
        </w:rPr>
        <w:t xml:space="preserve"> </w:t>
      </w:r>
      <w:r w:rsidR="0025008B" w:rsidRPr="00245485">
        <w:rPr>
          <w:i/>
          <w:iCs/>
          <w:color w:val="000000" w:themeColor="text1"/>
        </w:rPr>
        <w:t>in practice</w:t>
      </w:r>
      <w:r w:rsidR="0025008B" w:rsidRPr="00245485">
        <w:rPr>
          <w:color w:val="000000" w:themeColor="text1"/>
        </w:rPr>
        <w:t xml:space="preserve"> </w:t>
      </w:r>
      <w:r w:rsidR="008B7CE4" w:rsidRPr="00245485">
        <w:rPr>
          <w:color w:val="000000" w:themeColor="text1"/>
        </w:rPr>
        <w:t>(</w:t>
      </w:r>
      <w:r w:rsidR="009D3C64" w:rsidRPr="00245485">
        <w:rPr>
          <w:color w:val="000000" w:themeColor="text1"/>
        </w:rPr>
        <w:t xml:space="preserve">once the latter are confirmed </w:t>
      </w:r>
      <w:r w:rsidR="008B7CE4" w:rsidRPr="00245485">
        <w:rPr>
          <w:color w:val="000000" w:themeColor="text1"/>
        </w:rPr>
        <w:t>to exist</w:t>
      </w:r>
      <w:r w:rsidR="00CC3ED3" w:rsidRPr="00245485">
        <w:rPr>
          <w:color w:val="000000" w:themeColor="text1"/>
        </w:rPr>
        <w:t>,</w:t>
      </w:r>
      <w:r w:rsidR="008B7CE4" w:rsidRPr="00245485">
        <w:rPr>
          <w:color w:val="000000" w:themeColor="text1"/>
        </w:rPr>
        <w:t xml:space="preserve"> in accordance with the system of attributed powers</w:t>
      </w:r>
      <w:r w:rsidR="00CC3ED3" w:rsidRPr="00245485">
        <w:rPr>
          <w:color w:val="000000" w:themeColor="text1"/>
        </w:rPr>
        <w:t xml:space="preserve">, </w:t>
      </w:r>
      <w:r w:rsidR="00CC3ED3" w:rsidRPr="00245485">
        <w:rPr>
          <w:i/>
          <w:iCs/>
          <w:color w:val="000000" w:themeColor="text1"/>
        </w:rPr>
        <w:t>in principle</w:t>
      </w:r>
      <w:r w:rsidR="008B7CE4" w:rsidRPr="00245485">
        <w:rPr>
          <w:color w:val="000000" w:themeColor="text1"/>
        </w:rPr>
        <w:t>)</w:t>
      </w:r>
      <w:r w:rsidR="009D3C64" w:rsidRPr="00245485">
        <w:rPr>
          <w:color w:val="000000" w:themeColor="text1"/>
        </w:rPr>
        <w:t>.  For example, there is surely room for reflection about the relationship between complex policy packages and the principles of subsidiarity and proportionality.</w:t>
      </w:r>
      <w:r w:rsidR="007B58AB" w:rsidRPr="00245485">
        <w:rPr>
          <w:rStyle w:val="FootnoteReference"/>
          <w:color w:val="000000" w:themeColor="text1"/>
        </w:rPr>
        <w:footnoteReference w:id="94"/>
      </w:r>
      <w:r w:rsidR="009D3C64" w:rsidRPr="00245485">
        <w:rPr>
          <w:color w:val="000000" w:themeColor="text1"/>
        </w:rPr>
        <w:t xml:space="preserve">  Should the fact that a particular regulatory intervention was adopted, not as some freestanding act or isolated choice, but within the context of a wider process of negotiation leading to a broader programme of legislation, directly (even decisively) influence our assessment of whether that specific Union act represented a justifiable exercise of Union (rather than national) power?  Conversely, when it comes to respect for fundamental rights and freedoms, under the Charter and / or the general principles of Union law, there is surely less room for sympathetic accommodation.  </w:t>
      </w:r>
      <w:r w:rsidR="000071C8" w:rsidRPr="00245485">
        <w:rPr>
          <w:color w:val="000000" w:themeColor="text1"/>
        </w:rPr>
        <w:t>T</w:t>
      </w:r>
      <w:r w:rsidR="009D3C64" w:rsidRPr="00245485">
        <w:rPr>
          <w:color w:val="000000" w:themeColor="text1"/>
        </w:rPr>
        <w:t xml:space="preserve">he complexity of a given negotiation, or the compromises struck between institutional actors, or the fact that a given solution enjoys broad political support, </w:t>
      </w:r>
      <w:r w:rsidR="000071C8" w:rsidRPr="00245485">
        <w:rPr>
          <w:color w:val="000000" w:themeColor="text1"/>
        </w:rPr>
        <w:t xml:space="preserve">could hardly </w:t>
      </w:r>
      <w:r w:rsidR="009D3C64" w:rsidRPr="00245485">
        <w:rPr>
          <w:color w:val="000000" w:themeColor="text1"/>
        </w:rPr>
        <w:t>justify the infringement of an individual’s basic right to liberty or expression or due process, in the case of a policy package any more than in the case of a single and distinct Union act</w:t>
      </w:r>
      <w:r w:rsidR="000071C8" w:rsidRPr="00245485">
        <w:rPr>
          <w:color w:val="000000" w:themeColor="text1"/>
        </w:rPr>
        <w:t>.</w:t>
      </w:r>
      <w:r w:rsidR="007B58AB" w:rsidRPr="00245485">
        <w:rPr>
          <w:rStyle w:val="FootnoteReference"/>
          <w:color w:val="000000" w:themeColor="text1"/>
        </w:rPr>
        <w:footnoteReference w:id="95"/>
      </w:r>
      <w:r w:rsidR="009D3C64" w:rsidRPr="00245485">
        <w:rPr>
          <w:color w:val="000000" w:themeColor="text1"/>
        </w:rPr>
        <w:t xml:space="preserve">  But </w:t>
      </w:r>
      <w:r w:rsidR="008B7CE4" w:rsidRPr="00245485">
        <w:rPr>
          <w:color w:val="000000" w:themeColor="text1"/>
        </w:rPr>
        <w:t>otherwise</w:t>
      </w:r>
      <w:r w:rsidRPr="00245485">
        <w:rPr>
          <w:color w:val="000000" w:themeColor="text1"/>
        </w:rPr>
        <w:t xml:space="preserve"> and beyond that</w:t>
      </w:r>
      <w:r w:rsidR="000071C8" w:rsidRPr="00245485">
        <w:rPr>
          <w:color w:val="000000" w:themeColor="text1"/>
        </w:rPr>
        <w:t>?</w:t>
      </w:r>
      <w:r w:rsidR="009D3C64" w:rsidRPr="00245485">
        <w:rPr>
          <w:color w:val="000000" w:themeColor="text1"/>
        </w:rPr>
        <w:t xml:space="preserve"> </w:t>
      </w:r>
      <w:r w:rsidR="000071C8" w:rsidRPr="00245485">
        <w:rPr>
          <w:color w:val="000000" w:themeColor="text1"/>
        </w:rPr>
        <w:t xml:space="preserve"> T</w:t>
      </w:r>
      <w:r w:rsidR="009D3C64" w:rsidRPr="00245485">
        <w:rPr>
          <w:color w:val="000000" w:themeColor="text1"/>
        </w:rPr>
        <w:t xml:space="preserve">here </w:t>
      </w:r>
      <w:r w:rsidR="006A5CFD" w:rsidRPr="00245485">
        <w:rPr>
          <w:color w:val="000000" w:themeColor="text1"/>
        </w:rPr>
        <w:t xml:space="preserve">is no compelling reason why the </w:t>
      </w:r>
      <w:r w:rsidR="008B7CE4" w:rsidRPr="00245485">
        <w:rPr>
          <w:color w:val="000000" w:themeColor="text1"/>
        </w:rPr>
        <w:t xml:space="preserve">fundamental </w:t>
      </w:r>
      <w:r w:rsidR="006A5CFD" w:rsidRPr="00245485">
        <w:rPr>
          <w:color w:val="000000" w:themeColor="text1"/>
        </w:rPr>
        <w:t xml:space="preserve">legal </w:t>
      </w:r>
      <w:r w:rsidR="008B7CE4" w:rsidRPr="00245485">
        <w:rPr>
          <w:color w:val="000000" w:themeColor="text1"/>
        </w:rPr>
        <w:t xml:space="preserve">structures </w:t>
      </w:r>
      <w:r w:rsidR="006A5CFD" w:rsidRPr="00245485">
        <w:rPr>
          <w:color w:val="000000" w:themeColor="text1"/>
        </w:rPr>
        <w:t>of conferral</w:t>
      </w:r>
      <w:r w:rsidR="0023161D" w:rsidRPr="00245485">
        <w:rPr>
          <w:color w:val="000000" w:themeColor="text1"/>
        </w:rPr>
        <w:t xml:space="preserve"> should have to change or adapt</w:t>
      </w:r>
      <w:r w:rsidR="008B7CE4" w:rsidRPr="00245485">
        <w:rPr>
          <w:color w:val="000000" w:themeColor="text1"/>
        </w:rPr>
        <w:t xml:space="preserve"> to accommodate the challenges (no matter how massive, </w:t>
      </w:r>
      <w:proofErr w:type="gramStart"/>
      <w:r w:rsidR="008B7CE4" w:rsidRPr="00245485">
        <w:rPr>
          <w:color w:val="000000" w:themeColor="text1"/>
        </w:rPr>
        <w:t>complex</w:t>
      </w:r>
      <w:proofErr w:type="gramEnd"/>
      <w:r w:rsidR="008B7CE4" w:rsidRPr="00245485">
        <w:rPr>
          <w:color w:val="000000" w:themeColor="text1"/>
        </w:rPr>
        <w:t xml:space="preserve"> and urgent) that policymakers are called upon to address</w:t>
      </w:r>
      <w:r w:rsidR="0023161D" w:rsidRPr="00245485">
        <w:rPr>
          <w:color w:val="000000" w:themeColor="text1"/>
        </w:rPr>
        <w:t>.</w:t>
      </w:r>
    </w:p>
    <w:p w14:paraId="43BF3061" w14:textId="18AFC3A5" w:rsidR="006E2934" w:rsidRDefault="006E2934" w:rsidP="006E2934">
      <w:pPr>
        <w:jc w:val="both"/>
        <w:rPr>
          <w:color w:val="000000" w:themeColor="text1"/>
        </w:rPr>
      </w:pPr>
    </w:p>
    <w:p w14:paraId="7CDF6002" w14:textId="4A43AA84" w:rsidR="006E2934" w:rsidRPr="006E2934" w:rsidRDefault="006E2934" w:rsidP="006E2934">
      <w:pPr>
        <w:jc w:val="both"/>
        <w:rPr>
          <w:i/>
          <w:iCs/>
          <w:color w:val="000000" w:themeColor="text1"/>
        </w:rPr>
      </w:pPr>
      <w:r>
        <w:rPr>
          <w:i/>
          <w:iCs/>
          <w:color w:val="000000" w:themeColor="text1"/>
        </w:rPr>
        <w:t>6</w:t>
      </w:r>
      <w:r w:rsidRPr="00E308BC">
        <w:rPr>
          <w:i/>
          <w:iCs/>
          <w:color w:val="000000" w:themeColor="text1"/>
        </w:rPr>
        <w:t>.</w:t>
      </w:r>
      <w:r>
        <w:rPr>
          <w:i/>
          <w:iCs/>
          <w:color w:val="000000" w:themeColor="text1"/>
        </w:rPr>
        <w:t>2</w:t>
      </w:r>
      <w:r w:rsidRPr="00E308BC">
        <w:rPr>
          <w:i/>
          <w:iCs/>
          <w:color w:val="000000" w:themeColor="text1"/>
        </w:rPr>
        <w:t xml:space="preserve"> </w:t>
      </w:r>
      <w:r>
        <w:rPr>
          <w:i/>
          <w:iCs/>
          <w:color w:val="000000" w:themeColor="text1"/>
        </w:rPr>
        <w:t>Evolution of the legal system to meet societal needs</w:t>
      </w:r>
    </w:p>
    <w:p w14:paraId="70977138" w14:textId="77777777" w:rsidR="006E2934" w:rsidRDefault="006E2934" w:rsidP="006E2934">
      <w:pPr>
        <w:jc w:val="both"/>
        <w:rPr>
          <w:color w:val="000000" w:themeColor="text1"/>
        </w:rPr>
      </w:pPr>
    </w:p>
    <w:p w14:paraId="016193A4" w14:textId="77777777" w:rsidR="00245485" w:rsidRDefault="002D0303" w:rsidP="006E2934">
      <w:pPr>
        <w:jc w:val="both"/>
        <w:rPr>
          <w:color w:val="000000" w:themeColor="text1"/>
        </w:rPr>
      </w:pPr>
      <w:r w:rsidRPr="00245485">
        <w:rPr>
          <w:color w:val="000000" w:themeColor="text1"/>
        </w:rPr>
        <w:t xml:space="preserve">The alternative </w:t>
      </w:r>
      <w:r w:rsidR="008B7CE4" w:rsidRPr="00245485">
        <w:rPr>
          <w:color w:val="000000" w:themeColor="text1"/>
        </w:rPr>
        <w:t xml:space="preserve">normative position </w:t>
      </w:r>
      <w:r w:rsidR="0059002F" w:rsidRPr="00245485">
        <w:rPr>
          <w:color w:val="000000" w:themeColor="text1"/>
        </w:rPr>
        <w:t>tells</w:t>
      </w:r>
      <w:r w:rsidR="008B7CE4" w:rsidRPr="00245485">
        <w:rPr>
          <w:color w:val="000000" w:themeColor="text1"/>
        </w:rPr>
        <w:t xml:space="preserve"> a rather different </w:t>
      </w:r>
      <w:r w:rsidR="0059002F" w:rsidRPr="00245485">
        <w:rPr>
          <w:color w:val="000000" w:themeColor="text1"/>
        </w:rPr>
        <w:t>story</w:t>
      </w:r>
      <w:r w:rsidRPr="00245485">
        <w:rPr>
          <w:color w:val="000000" w:themeColor="text1"/>
        </w:rPr>
        <w:t xml:space="preserve">.  </w:t>
      </w:r>
      <w:proofErr w:type="gramStart"/>
      <w:r w:rsidR="00685D5C" w:rsidRPr="00245485">
        <w:rPr>
          <w:color w:val="000000" w:themeColor="text1"/>
        </w:rPr>
        <w:t>Of course</w:t>
      </w:r>
      <w:proofErr w:type="gramEnd"/>
      <w:r w:rsidR="00685D5C" w:rsidRPr="00245485">
        <w:rPr>
          <w:color w:val="000000" w:themeColor="text1"/>
        </w:rPr>
        <w:t xml:space="preserve"> the constitutional system of conferral is fundamental to the legal construct of European integration.  But that does not make the legal framework governing Union competences somehow immutable: it still enjoys the intellectual and practical capacity to change and adapt, even in far-reaching ways, without any need to overturn or deny its own fundamental terms of reference.  And the </w:t>
      </w:r>
      <w:r w:rsidRPr="00245485">
        <w:rPr>
          <w:color w:val="000000" w:themeColor="text1"/>
        </w:rPr>
        <w:t>tension</w:t>
      </w:r>
      <w:r w:rsidR="00685D5C" w:rsidRPr="00245485">
        <w:rPr>
          <w:color w:val="000000" w:themeColor="text1"/>
        </w:rPr>
        <w:t>s</w:t>
      </w:r>
      <w:r w:rsidRPr="00245485">
        <w:rPr>
          <w:color w:val="000000" w:themeColor="text1"/>
        </w:rPr>
        <w:t xml:space="preserve"> </w:t>
      </w:r>
      <w:r w:rsidR="00685D5C" w:rsidRPr="00245485">
        <w:rPr>
          <w:color w:val="000000" w:themeColor="text1"/>
        </w:rPr>
        <w:t xml:space="preserve">that arise from the interaction </w:t>
      </w:r>
      <w:r w:rsidRPr="00245485">
        <w:rPr>
          <w:color w:val="000000" w:themeColor="text1"/>
        </w:rPr>
        <w:t>between our current legal understanding of the principle of conferral (on the one hand) and the realit</w:t>
      </w:r>
      <w:r w:rsidR="0059002F" w:rsidRPr="00245485">
        <w:rPr>
          <w:color w:val="000000" w:themeColor="text1"/>
        </w:rPr>
        <w:t>ies</w:t>
      </w:r>
      <w:r w:rsidRPr="00245485">
        <w:rPr>
          <w:color w:val="000000" w:themeColor="text1"/>
        </w:rPr>
        <w:t xml:space="preserve"> of complex policy packages (on the other hand)</w:t>
      </w:r>
      <w:r w:rsidR="00685D5C" w:rsidRPr="00245485">
        <w:rPr>
          <w:color w:val="000000" w:themeColor="text1"/>
        </w:rPr>
        <w:t xml:space="preserve"> </w:t>
      </w:r>
      <w:r w:rsidR="0059002F" w:rsidRPr="00245485">
        <w:rPr>
          <w:color w:val="000000" w:themeColor="text1"/>
        </w:rPr>
        <w:t xml:space="preserve">do </w:t>
      </w:r>
      <w:r w:rsidR="00685D5C" w:rsidRPr="00245485">
        <w:rPr>
          <w:color w:val="000000" w:themeColor="text1"/>
        </w:rPr>
        <w:t xml:space="preserve">create a powerful case </w:t>
      </w:r>
      <w:r w:rsidR="0059002F" w:rsidRPr="00245485">
        <w:rPr>
          <w:color w:val="000000" w:themeColor="text1"/>
        </w:rPr>
        <w:t xml:space="preserve">for exploring the potential of further constitutional </w:t>
      </w:r>
      <w:r w:rsidR="00685D5C" w:rsidRPr="00245485">
        <w:rPr>
          <w:color w:val="000000" w:themeColor="text1"/>
        </w:rPr>
        <w:t xml:space="preserve">evolution </w:t>
      </w:r>
      <w:r w:rsidR="0059002F" w:rsidRPr="00245485">
        <w:rPr>
          <w:color w:val="000000" w:themeColor="text1"/>
        </w:rPr>
        <w:t xml:space="preserve">and </w:t>
      </w:r>
      <w:r w:rsidR="00685D5C" w:rsidRPr="00245485">
        <w:rPr>
          <w:color w:val="000000" w:themeColor="text1"/>
        </w:rPr>
        <w:t>reform</w:t>
      </w:r>
      <w:r w:rsidRPr="00245485">
        <w:rPr>
          <w:color w:val="000000" w:themeColor="text1"/>
        </w:rPr>
        <w:t xml:space="preserve">.  </w:t>
      </w:r>
      <w:r w:rsidR="00395691" w:rsidRPr="00245485">
        <w:rPr>
          <w:color w:val="000000" w:themeColor="text1"/>
        </w:rPr>
        <w:t xml:space="preserve">And </w:t>
      </w:r>
      <w:proofErr w:type="gramStart"/>
      <w:r w:rsidR="00395691" w:rsidRPr="00245485">
        <w:rPr>
          <w:color w:val="000000" w:themeColor="text1"/>
        </w:rPr>
        <w:t>so</w:t>
      </w:r>
      <w:proofErr w:type="gramEnd"/>
      <w:r w:rsidR="00395691" w:rsidRPr="00245485">
        <w:rPr>
          <w:color w:val="000000" w:themeColor="text1"/>
        </w:rPr>
        <w:t xml:space="preserve"> we should positively explore the potential for adjustments to our existing legal analysis, that would enable the principle of conferral, and its judicial enforcement, to respond more sensitively to the broader context in which complex policy packages are negotiated and concluded</w:t>
      </w:r>
      <w:r w:rsidR="00D27DFA" w:rsidRPr="00245485">
        <w:rPr>
          <w:color w:val="000000" w:themeColor="text1"/>
        </w:rPr>
        <w:t>.</w:t>
      </w:r>
    </w:p>
    <w:p w14:paraId="7D02A2F7" w14:textId="77777777" w:rsidR="00245485" w:rsidRDefault="00D27DFA" w:rsidP="00245485">
      <w:pPr>
        <w:ind w:firstLine="720"/>
        <w:jc w:val="both"/>
        <w:rPr>
          <w:color w:val="000000" w:themeColor="text1"/>
        </w:rPr>
      </w:pPr>
      <w:r w:rsidRPr="00245485">
        <w:rPr>
          <w:color w:val="000000" w:themeColor="text1"/>
        </w:rPr>
        <w:t xml:space="preserve">After all, what is the alternative?  It feels </w:t>
      </w:r>
      <w:r w:rsidR="0059002F" w:rsidRPr="00245485">
        <w:rPr>
          <w:color w:val="000000" w:themeColor="text1"/>
        </w:rPr>
        <w:t xml:space="preserve">something of a luxury to insist that the prevailing approach to conferral must endure, </w:t>
      </w:r>
      <w:r w:rsidR="006B6685" w:rsidRPr="00245485">
        <w:rPr>
          <w:color w:val="000000" w:themeColor="text1"/>
        </w:rPr>
        <w:t xml:space="preserve">imperviously so, </w:t>
      </w:r>
      <w:r w:rsidR="0059002F" w:rsidRPr="00245485">
        <w:rPr>
          <w:color w:val="000000" w:themeColor="text1"/>
        </w:rPr>
        <w:t xml:space="preserve">even if the price consists of </w:t>
      </w:r>
      <w:r w:rsidR="00C66FE2" w:rsidRPr="00245485">
        <w:rPr>
          <w:color w:val="000000" w:themeColor="text1"/>
        </w:rPr>
        <w:lastRenderedPageBreak/>
        <w:t xml:space="preserve">otherwise avoidable </w:t>
      </w:r>
      <w:r w:rsidR="0059002F" w:rsidRPr="00245485">
        <w:rPr>
          <w:color w:val="000000" w:themeColor="text1"/>
        </w:rPr>
        <w:t xml:space="preserve">political failure, and even if </w:t>
      </w:r>
      <w:r w:rsidR="00C66FE2" w:rsidRPr="00245485">
        <w:rPr>
          <w:color w:val="000000" w:themeColor="text1"/>
        </w:rPr>
        <w:t>such</w:t>
      </w:r>
      <w:r w:rsidR="0059002F" w:rsidRPr="00245485">
        <w:rPr>
          <w:color w:val="000000" w:themeColor="text1"/>
        </w:rPr>
        <w:t xml:space="preserve"> failures concern the most pressing and serious challenges facing European society – </w:t>
      </w:r>
      <w:r w:rsidR="00C66FE2" w:rsidRPr="00245485">
        <w:rPr>
          <w:color w:val="000000" w:themeColor="text1"/>
        </w:rPr>
        <w:t xml:space="preserve">and </w:t>
      </w:r>
      <w:r w:rsidR="0059002F" w:rsidRPr="00245485">
        <w:rPr>
          <w:color w:val="000000" w:themeColor="text1"/>
        </w:rPr>
        <w:t xml:space="preserve">indeed, even where it is not </w:t>
      </w:r>
      <w:r w:rsidR="00395691" w:rsidRPr="00245485">
        <w:rPr>
          <w:color w:val="000000" w:themeColor="text1"/>
        </w:rPr>
        <w:t xml:space="preserve">persuasive </w:t>
      </w:r>
      <w:r w:rsidR="0059002F" w:rsidRPr="00245485">
        <w:rPr>
          <w:color w:val="000000" w:themeColor="text1"/>
        </w:rPr>
        <w:t xml:space="preserve">to argue that the alternative to more effective Union action lies in the pursuit of 27 </w:t>
      </w:r>
      <w:r w:rsidR="00C66FE2" w:rsidRPr="00245485">
        <w:rPr>
          <w:color w:val="000000" w:themeColor="text1"/>
        </w:rPr>
        <w:t xml:space="preserve">perfectly </w:t>
      </w:r>
      <w:r w:rsidR="006B6685" w:rsidRPr="00245485">
        <w:rPr>
          <w:color w:val="000000" w:themeColor="text1"/>
        </w:rPr>
        <w:t>adequate</w:t>
      </w:r>
      <w:r w:rsidR="0059002F" w:rsidRPr="00245485">
        <w:rPr>
          <w:color w:val="000000" w:themeColor="text1"/>
        </w:rPr>
        <w:t xml:space="preserve"> </w:t>
      </w:r>
      <w:r w:rsidR="00C66FE2" w:rsidRPr="00245485">
        <w:rPr>
          <w:color w:val="000000" w:themeColor="text1"/>
        </w:rPr>
        <w:t xml:space="preserve">Member State </w:t>
      </w:r>
      <w:r w:rsidR="0059002F" w:rsidRPr="00245485">
        <w:rPr>
          <w:color w:val="000000" w:themeColor="text1"/>
        </w:rPr>
        <w:t xml:space="preserve">solutions, </w:t>
      </w:r>
      <w:r w:rsidR="00C66FE2" w:rsidRPr="00245485">
        <w:rPr>
          <w:color w:val="000000" w:themeColor="text1"/>
        </w:rPr>
        <w:t>since</w:t>
      </w:r>
      <w:r w:rsidR="0059002F" w:rsidRPr="00245485">
        <w:rPr>
          <w:color w:val="000000" w:themeColor="text1"/>
        </w:rPr>
        <w:t xml:space="preserve"> the very scale and complexity of the </w:t>
      </w:r>
      <w:r w:rsidR="005250BA" w:rsidRPr="00245485">
        <w:rPr>
          <w:color w:val="000000" w:themeColor="text1"/>
        </w:rPr>
        <w:t xml:space="preserve">relevant </w:t>
      </w:r>
      <w:r w:rsidR="0059002F" w:rsidRPr="00245485">
        <w:rPr>
          <w:color w:val="000000" w:themeColor="text1"/>
        </w:rPr>
        <w:t xml:space="preserve">problem </w:t>
      </w:r>
      <w:r w:rsidR="007B58AB" w:rsidRPr="00245485">
        <w:rPr>
          <w:color w:val="000000" w:themeColor="text1"/>
        </w:rPr>
        <w:t xml:space="preserve">will often </w:t>
      </w:r>
      <w:r w:rsidR="0059002F" w:rsidRPr="00245485">
        <w:rPr>
          <w:color w:val="000000" w:themeColor="text1"/>
        </w:rPr>
        <w:t xml:space="preserve">mean that purely national action </w:t>
      </w:r>
      <w:r w:rsidR="00C66FE2" w:rsidRPr="00245485">
        <w:rPr>
          <w:color w:val="000000" w:themeColor="text1"/>
        </w:rPr>
        <w:t>may</w:t>
      </w:r>
      <w:r w:rsidR="0059002F" w:rsidRPr="00245485">
        <w:rPr>
          <w:color w:val="000000" w:themeColor="text1"/>
        </w:rPr>
        <w:t xml:space="preserve"> itself be seriously suboptimal.</w:t>
      </w:r>
      <w:r w:rsidR="00C66FE2" w:rsidRPr="00245485">
        <w:rPr>
          <w:color w:val="000000" w:themeColor="text1"/>
        </w:rPr>
        <w:t xml:space="preserve">  </w:t>
      </w:r>
      <w:r w:rsidR="00600C59" w:rsidRPr="00245485">
        <w:rPr>
          <w:color w:val="000000" w:themeColor="text1"/>
        </w:rPr>
        <w:t>A</w:t>
      </w:r>
      <w:r w:rsidRPr="00245485">
        <w:rPr>
          <w:color w:val="000000" w:themeColor="text1"/>
        </w:rPr>
        <w:t xml:space="preserve">s we have seen, the more realistic response to whatever policy package problems might be caused by the prevailing </w:t>
      </w:r>
      <w:r w:rsidR="00C66FE2" w:rsidRPr="00245485">
        <w:rPr>
          <w:color w:val="000000" w:themeColor="text1"/>
        </w:rPr>
        <w:t xml:space="preserve">legal orthodoxies </w:t>
      </w:r>
      <w:r w:rsidRPr="00245485">
        <w:rPr>
          <w:color w:val="000000" w:themeColor="text1"/>
        </w:rPr>
        <w:t xml:space="preserve">on competences, is not for the Union and its Member States to admit defeat and surrender to political failure, but rather to engage in alternative strategies of </w:t>
      </w:r>
      <w:r w:rsidR="00C66FE2" w:rsidRPr="00245485">
        <w:rPr>
          <w:color w:val="000000" w:themeColor="text1"/>
        </w:rPr>
        <w:t xml:space="preserve">“competence creep” </w:t>
      </w:r>
      <w:r w:rsidRPr="00245485">
        <w:rPr>
          <w:color w:val="000000" w:themeColor="text1"/>
        </w:rPr>
        <w:t>– paying lip-service to the legal fundamentals of conferral while stretching their application in practice, and without publicly admitting that the real problem relates to the system of attributed powers itself.  Ironic</w:t>
      </w:r>
      <w:r w:rsidR="00395691" w:rsidRPr="00245485">
        <w:rPr>
          <w:color w:val="000000" w:themeColor="text1"/>
        </w:rPr>
        <w:t xml:space="preserve">ally, </w:t>
      </w:r>
      <w:r w:rsidRPr="00245485">
        <w:rPr>
          <w:color w:val="000000" w:themeColor="text1"/>
        </w:rPr>
        <w:t>insist</w:t>
      </w:r>
      <w:r w:rsidR="00395691" w:rsidRPr="00245485">
        <w:rPr>
          <w:color w:val="000000" w:themeColor="text1"/>
        </w:rPr>
        <w:t>ing</w:t>
      </w:r>
      <w:r w:rsidRPr="00245485">
        <w:rPr>
          <w:color w:val="000000" w:themeColor="text1"/>
        </w:rPr>
        <w:t xml:space="preserve"> upon </w:t>
      </w:r>
      <w:r w:rsidR="00395691" w:rsidRPr="00245485">
        <w:rPr>
          <w:color w:val="000000" w:themeColor="text1"/>
        </w:rPr>
        <w:t xml:space="preserve">a strict approach to </w:t>
      </w:r>
      <w:r w:rsidRPr="00245485">
        <w:rPr>
          <w:color w:val="000000" w:themeColor="text1"/>
        </w:rPr>
        <w:t xml:space="preserve">conferral for </w:t>
      </w:r>
      <w:r w:rsidR="00395691" w:rsidRPr="00245485">
        <w:rPr>
          <w:color w:val="000000" w:themeColor="text1"/>
        </w:rPr>
        <w:t xml:space="preserve">the </w:t>
      </w:r>
      <w:r w:rsidRPr="00245485">
        <w:rPr>
          <w:color w:val="000000" w:themeColor="text1"/>
        </w:rPr>
        <w:t xml:space="preserve">sake of </w:t>
      </w:r>
      <w:r w:rsidR="00395691" w:rsidRPr="00245485">
        <w:rPr>
          <w:color w:val="000000" w:themeColor="text1"/>
        </w:rPr>
        <w:t xml:space="preserve">preserving constitutional legitimacy, </w:t>
      </w:r>
      <w:r w:rsidR="006B6685" w:rsidRPr="00245485">
        <w:rPr>
          <w:color w:val="000000" w:themeColor="text1"/>
        </w:rPr>
        <w:t xml:space="preserve">may only increase </w:t>
      </w:r>
      <w:r w:rsidR="00395691" w:rsidRPr="00245485">
        <w:rPr>
          <w:color w:val="000000" w:themeColor="text1"/>
        </w:rPr>
        <w:t xml:space="preserve">pressure for </w:t>
      </w:r>
      <w:r w:rsidR="006B6685" w:rsidRPr="00245485">
        <w:rPr>
          <w:color w:val="000000" w:themeColor="text1"/>
        </w:rPr>
        <w:t xml:space="preserve">the surreptitious expansion of Union power in a way that </w:t>
      </w:r>
      <w:r w:rsidR="00395691" w:rsidRPr="00245485">
        <w:rPr>
          <w:color w:val="000000" w:themeColor="text1"/>
        </w:rPr>
        <w:t>generates its own legitimacy grievances –</w:t>
      </w:r>
      <w:r w:rsidR="00BE5864" w:rsidRPr="00245485">
        <w:rPr>
          <w:color w:val="000000" w:themeColor="text1"/>
        </w:rPr>
        <w:t xml:space="preserve"> </w:t>
      </w:r>
      <w:r w:rsidR="00395691" w:rsidRPr="00245485">
        <w:rPr>
          <w:color w:val="000000" w:themeColor="text1"/>
        </w:rPr>
        <w:t xml:space="preserve">particularly among those domestic actors (parliaments and constitutional courts) that feel they have most to lose when deals cut at the Union level seem to bend the “rules of the game”.  </w:t>
      </w:r>
    </w:p>
    <w:p w14:paraId="55D477E5" w14:textId="0BD7018B" w:rsidR="00685D5C" w:rsidRPr="00245485" w:rsidRDefault="00600C59" w:rsidP="00245485">
      <w:pPr>
        <w:ind w:firstLine="720"/>
        <w:jc w:val="both"/>
        <w:rPr>
          <w:color w:val="000000" w:themeColor="text1"/>
        </w:rPr>
      </w:pPr>
      <w:r w:rsidRPr="00245485">
        <w:rPr>
          <w:color w:val="000000" w:themeColor="text1"/>
        </w:rPr>
        <w:t xml:space="preserve">Let’s accept that there is no realistic prospect of reaching some easy consensus between those two different normative positions.  </w:t>
      </w:r>
      <w:r w:rsidR="00CB7B4C" w:rsidRPr="00245485">
        <w:rPr>
          <w:color w:val="000000" w:themeColor="text1"/>
        </w:rPr>
        <w:t>But in</w:t>
      </w:r>
      <w:r w:rsidR="00BE5864" w:rsidRPr="00245485">
        <w:rPr>
          <w:color w:val="000000" w:themeColor="text1"/>
        </w:rPr>
        <w:t xml:space="preserve"> order to </w:t>
      </w:r>
      <w:r w:rsidRPr="00245485">
        <w:rPr>
          <w:color w:val="000000" w:themeColor="text1"/>
        </w:rPr>
        <w:t>explor</w:t>
      </w:r>
      <w:r w:rsidR="00BE5864" w:rsidRPr="00245485">
        <w:rPr>
          <w:color w:val="000000" w:themeColor="text1"/>
        </w:rPr>
        <w:t>e</w:t>
      </w:r>
      <w:r w:rsidRPr="00245485">
        <w:rPr>
          <w:color w:val="000000" w:themeColor="text1"/>
        </w:rPr>
        <w:t xml:space="preserve"> the logical implications of our own analysis, we shall assume that the Union’s constitutional system </w:t>
      </w:r>
      <w:r w:rsidRPr="00245485">
        <w:rPr>
          <w:i/>
          <w:iCs/>
          <w:color w:val="000000" w:themeColor="text1"/>
        </w:rPr>
        <w:t>should</w:t>
      </w:r>
      <w:r w:rsidRPr="00245485">
        <w:rPr>
          <w:color w:val="000000" w:themeColor="text1"/>
        </w:rPr>
        <w:t xml:space="preserve"> enable the political process to succeed, to the maximum possible extent, in formulating and adopting optimal solutions that serve the general interest in addressing complex challenges; </w:t>
      </w:r>
      <w:r w:rsidR="0059002F" w:rsidRPr="00245485">
        <w:rPr>
          <w:color w:val="000000" w:themeColor="text1"/>
        </w:rPr>
        <w:t xml:space="preserve">and that it would be preferable for the relevant adaptations to be delivered through an explicit process of reflection, adjustment and reform, rather than through </w:t>
      </w:r>
      <w:r w:rsidRPr="00245485">
        <w:rPr>
          <w:color w:val="000000" w:themeColor="text1"/>
        </w:rPr>
        <w:t xml:space="preserve">the </w:t>
      </w:r>
      <w:r w:rsidR="0059002F" w:rsidRPr="00245485">
        <w:rPr>
          <w:color w:val="000000" w:themeColor="text1"/>
        </w:rPr>
        <w:t>more obtuse and controversial practice</w:t>
      </w:r>
      <w:r w:rsidRPr="00245485">
        <w:rPr>
          <w:color w:val="000000" w:themeColor="text1"/>
        </w:rPr>
        <w:t>s</w:t>
      </w:r>
      <w:r w:rsidR="0059002F" w:rsidRPr="00245485">
        <w:rPr>
          <w:color w:val="000000" w:themeColor="text1"/>
        </w:rPr>
        <w:t xml:space="preserve"> </w:t>
      </w:r>
      <w:r w:rsidRPr="00245485">
        <w:rPr>
          <w:color w:val="000000" w:themeColor="text1"/>
        </w:rPr>
        <w:t xml:space="preserve">associated with </w:t>
      </w:r>
      <w:r w:rsidR="0059002F" w:rsidRPr="00245485">
        <w:rPr>
          <w:color w:val="000000" w:themeColor="text1"/>
        </w:rPr>
        <w:t>ad hoc “competence creep” to be practised by the political institutions and endorsed by the Union judiciary</w:t>
      </w:r>
      <w:r w:rsidRPr="00245485">
        <w:rPr>
          <w:color w:val="000000" w:themeColor="text1"/>
        </w:rPr>
        <w:t xml:space="preserve">.  </w:t>
      </w:r>
      <w:r w:rsidR="00BE5864" w:rsidRPr="00245485">
        <w:rPr>
          <w:color w:val="000000" w:themeColor="text1"/>
        </w:rPr>
        <w:t>W</w:t>
      </w:r>
      <w:r w:rsidRPr="00245485">
        <w:rPr>
          <w:color w:val="000000" w:themeColor="text1"/>
        </w:rPr>
        <w:t>hat sort of changes or mechanisms</w:t>
      </w:r>
      <w:r w:rsidR="005250BA" w:rsidRPr="00245485">
        <w:rPr>
          <w:color w:val="000000" w:themeColor="text1"/>
        </w:rPr>
        <w:t>, more precisely,</w:t>
      </w:r>
      <w:r w:rsidRPr="00245485">
        <w:rPr>
          <w:color w:val="000000" w:themeColor="text1"/>
        </w:rPr>
        <w:t xml:space="preserve"> </w:t>
      </w:r>
      <w:r w:rsidR="00E308BC">
        <w:rPr>
          <w:color w:val="000000" w:themeColor="text1"/>
        </w:rPr>
        <w:t xml:space="preserve">might </w:t>
      </w:r>
      <w:proofErr w:type="spellStart"/>
      <w:r w:rsidR="00E308BC">
        <w:rPr>
          <w:color w:val="000000" w:themeColor="text1"/>
        </w:rPr>
        <w:t>one</w:t>
      </w:r>
      <w:proofErr w:type="spellEnd"/>
      <w:r w:rsidR="00E308BC">
        <w:rPr>
          <w:color w:val="000000" w:themeColor="text1"/>
        </w:rPr>
        <w:t xml:space="preserve"> </w:t>
      </w:r>
      <w:r w:rsidRPr="00245485">
        <w:rPr>
          <w:color w:val="000000" w:themeColor="text1"/>
        </w:rPr>
        <w:t xml:space="preserve">have in mind?  </w:t>
      </w:r>
    </w:p>
    <w:p w14:paraId="712D45C3" w14:textId="77777777" w:rsidR="00C66FE2" w:rsidRPr="00245485" w:rsidRDefault="00C66FE2" w:rsidP="00245485">
      <w:pPr>
        <w:jc w:val="both"/>
        <w:rPr>
          <w:color w:val="000000" w:themeColor="text1"/>
        </w:rPr>
      </w:pPr>
    </w:p>
    <w:p w14:paraId="0E480E9E" w14:textId="71402D90" w:rsidR="006E2992" w:rsidRPr="00245485" w:rsidRDefault="002F5487" w:rsidP="00245485">
      <w:pPr>
        <w:jc w:val="both"/>
        <w:rPr>
          <w:b/>
          <w:bCs/>
          <w:color w:val="000000" w:themeColor="text1"/>
        </w:rPr>
      </w:pPr>
      <w:r w:rsidRPr="00245485">
        <w:rPr>
          <w:b/>
          <w:bCs/>
          <w:color w:val="000000" w:themeColor="text1"/>
        </w:rPr>
        <w:t xml:space="preserve">7. </w:t>
      </w:r>
      <w:r w:rsidR="006E2992" w:rsidRPr="00245485">
        <w:rPr>
          <w:b/>
          <w:bCs/>
          <w:color w:val="000000" w:themeColor="text1"/>
        </w:rPr>
        <w:t>Legal Adjustments to the System of Conferral</w:t>
      </w:r>
    </w:p>
    <w:p w14:paraId="58EDD066" w14:textId="5262DED4" w:rsidR="00781F42" w:rsidRDefault="00781F42" w:rsidP="00245485">
      <w:pPr>
        <w:jc w:val="both"/>
        <w:rPr>
          <w:color w:val="000000" w:themeColor="text1"/>
        </w:rPr>
      </w:pPr>
    </w:p>
    <w:p w14:paraId="360B40BC" w14:textId="7D044230" w:rsidR="00E308BC" w:rsidRPr="00E308BC" w:rsidRDefault="00E308BC" w:rsidP="00245485">
      <w:pPr>
        <w:jc w:val="both"/>
        <w:rPr>
          <w:i/>
          <w:iCs/>
          <w:color w:val="000000" w:themeColor="text1"/>
        </w:rPr>
      </w:pPr>
      <w:r w:rsidRPr="00E308BC">
        <w:rPr>
          <w:i/>
          <w:iCs/>
          <w:color w:val="000000" w:themeColor="text1"/>
        </w:rPr>
        <w:t xml:space="preserve">7.1 Some minimalist </w:t>
      </w:r>
      <w:r>
        <w:rPr>
          <w:i/>
          <w:iCs/>
          <w:color w:val="000000" w:themeColor="text1"/>
        </w:rPr>
        <w:t>suggestions</w:t>
      </w:r>
      <w:r w:rsidRPr="00E308BC">
        <w:rPr>
          <w:i/>
          <w:iCs/>
          <w:color w:val="000000" w:themeColor="text1"/>
        </w:rPr>
        <w:t xml:space="preserve"> </w:t>
      </w:r>
    </w:p>
    <w:p w14:paraId="0BC78BD7" w14:textId="77777777" w:rsidR="00E308BC" w:rsidRPr="00245485" w:rsidRDefault="00E308BC" w:rsidP="00245485">
      <w:pPr>
        <w:jc w:val="both"/>
        <w:rPr>
          <w:color w:val="000000" w:themeColor="text1"/>
        </w:rPr>
      </w:pPr>
    </w:p>
    <w:p w14:paraId="5EDE9FBE" w14:textId="77777777" w:rsidR="00245485" w:rsidRDefault="005E104F" w:rsidP="00245485">
      <w:pPr>
        <w:jc w:val="both"/>
        <w:rPr>
          <w:color w:val="000000" w:themeColor="text1"/>
        </w:rPr>
      </w:pPr>
      <w:r w:rsidRPr="00245485">
        <w:rPr>
          <w:color w:val="000000" w:themeColor="text1"/>
        </w:rPr>
        <w:t xml:space="preserve">It would be perfectly possible to propose a minimalist approach to reconciling more effectively the demands of conferral with the needs of policy complexity.  Such an approach would </w:t>
      </w:r>
      <w:r w:rsidR="00600C59" w:rsidRPr="00245485">
        <w:rPr>
          <w:color w:val="000000" w:themeColor="text1"/>
        </w:rPr>
        <w:t xml:space="preserve">accept that our fundamental constitutional framework and well-established practices will </w:t>
      </w:r>
      <w:r w:rsidRPr="00245485">
        <w:rPr>
          <w:color w:val="000000" w:themeColor="text1"/>
        </w:rPr>
        <w:t xml:space="preserve">continue to </w:t>
      </w:r>
      <w:r w:rsidR="00600C59" w:rsidRPr="00245485">
        <w:rPr>
          <w:color w:val="000000" w:themeColor="text1"/>
        </w:rPr>
        <w:t xml:space="preserve">frame any competence challenge in terms of the individual and discrete Union act.  </w:t>
      </w:r>
      <w:r w:rsidRPr="00245485">
        <w:rPr>
          <w:color w:val="000000" w:themeColor="text1"/>
        </w:rPr>
        <w:t xml:space="preserve">The goal of reform is essentially to reduce the risk that ex post judicial review, based on competence objections against some specific Union measure, might end up unpicking an important element of a wider and more complex settlement.  </w:t>
      </w:r>
    </w:p>
    <w:p w14:paraId="4C0FB8CE" w14:textId="77777777" w:rsidR="00245485" w:rsidRDefault="005E104F" w:rsidP="00245485">
      <w:pPr>
        <w:ind w:firstLine="720"/>
        <w:jc w:val="both"/>
        <w:rPr>
          <w:color w:val="000000" w:themeColor="text1"/>
        </w:rPr>
      </w:pPr>
      <w:r w:rsidRPr="00245485">
        <w:rPr>
          <w:color w:val="000000" w:themeColor="text1"/>
        </w:rPr>
        <w:t xml:space="preserve">The most obvious way to do that, is to encourage the Court to develop further the embryonic degree of legal recognition </w:t>
      </w:r>
      <w:r w:rsidR="00BE5864" w:rsidRPr="00245485">
        <w:rPr>
          <w:color w:val="000000" w:themeColor="text1"/>
        </w:rPr>
        <w:t xml:space="preserve">it </w:t>
      </w:r>
      <w:r w:rsidRPr="00245485">
        <w:rPr>
          <w:color w:val="000000" w:themeColor="text1"/>
        </w:rPr>
        <w:t>currently afford</w:t>
      </w:r>
      <w:r w:rsidR="00BE5864" w:rsidRPr="00245485">
        <w:rPr>
          <w:color w:val="000000" w:themeColor="text1"/>
        </w:rPr>
        <w:t>s</w:t>
      </w:r>
      <w:r w:rsidRPr="00245485">
        <w:rPr>
          <w:color w:val="000000" w:themeColor="text1"/>
        </w:rPr>
        <w:t xml:space="preserve"> to policy packages</w:t>
      </w:r>
      <w:r w:rsidR="00B90406" w:rsidRPr="00245485">
        <w:rPr>
          <w:color w:val="000000" w:themeColor="text1"/>
        </w:rPr>
        <w:t xml:space="preserve"> </w:t>
      </w:r>
      <w:r w:rsidRPr="00245485">
        <w:rPr>
          <w:color w:val="000000" w:themeColor="text1"/>
        </w:rPr>
        <w:t xml:space="preserve">– a proposition </w:t>
      </w:r>
      <w:proofErr w:type="gramStart"/>
      <w:r w:rsidRPr="00245485">
        <w:rPr>
          <w:color w:val="000000" w:themeColor="text1"/>
        </w:rPr>
        <w:t>all the more</w:t>
      </w:r>
      <w:proofErr w:type="gramEnd"/>
      <w:r w:rsidRPr="00245485">
        <w:rPr>
          <w:color w:val="000000" w:themeColor="text1"/>
        </w:rPr>
        <w:t xml:space="preserve"> attractive because to introduce greater flexibility into the existing judicial analysis of Union competences could be delivered without any need for formal Treaty amendment.  For example</w:t>
      </w:r>
      <w:r w:rsidR="00B90406" w:rsidRPr="00245485">
        <w:rPr>
          <w:color w:val="000000" w:themeColor="text1"/>
        </w:rPr>
        <w:t>, if the Union institutions wish to facilitate greater legal recognition of the interconnectedness of certain complex policy bargains, we might well encourage the more deliberate use of preambular texts that explain the wider political and regulatory context within which a given measure was adopted and emphasise the ways in which formally distinct instruments are nevertheless designed to interrelate and interact.  F</w:t>
      </w:r>
      <w:r w:rsidRPr="00245485">
        <w:rPr>
          <w:color w:val="000000" w:themeColor="text1"/>
        </w:rPr>
        <w:t xml:space="preserve">or its part, the Court could </w:t>
      </w:r>
      <w:r w:rsidR="00B90406" w:rsidRPr="00245485">
        <w:rPr>
          <w:color w:val="000000" w:themeColor="text1"/>
        </w:rPr>
        <w:t xml:space="preserve">also </w:t>
      </w:r>
      <w:r w:rsidR="003A74F0" w:rsidRPr="00245485">
        <w:rPr>
          <w:color w:val="000000" w:themeColor="text1"/>
        </w:rPr>
        <w:t xml:space="preserve">broaden more </w:t>
      </w:r>
      <w:r w:rsidRPr="00245485">
        <w:rPr>
          <w:color w:val="000000" w:themeColor="text1"/>
        </w:rPr>
        <w:t xml:space="preserve">explicitly its </w:t>
      </w:r>
      <w:r w:rsidR="003A74F0" w:rsidRPr="00245485">
        <w:rPr>
          <w:color w:val="000000" w:themeColor="text1"/>
        </w:rPr>
        <w:t>definition</w:t>
      </w:r>
      <w:r w:rsidRPr="00245485">
        <w:rPr>
          <w:color w:val="000000" w:themeColor="text1"/>
        </w:rPr>
        <w:t xml:space="preserve"> of the relevant </w:t>
      </w:r>
      <w:r w:rsidR="003A74F0" w:rsidRPr="00245485">
        <w:rPr>
          <w:color w:val="000000" w:themeColor="text1"/>
        </w:rPr>
        <w:t xml:space="preserve">legal and policy </w:t>
      </w:r>
      <w:r w:rsidRPr="00245485">
        <w:rPr>
          <w:color w:val="000000" w:themeColor="text1"/>
        </w:rPr>
        <w:t xml:space="preserve">context that </w:t>
      </w:r>
      <w:r w:rsidR="003A74F0" w:rsidRPr="00245485">
        <w:rPr>
          <w:color w:val="000000" w:themeColor="text1"/>
        </w:rPr>
        <w:t xml:space="preserve">should </w:t>
      </w:r>
      <w:r w:rsidRPr="00245485">
        <w:rPr>
          <w:color w:val="000000" w:themeColor="text1"/>
        </w:rPr>
        <w:t>be taken into account when addressing competence questions</w:t>
      </w:r>
      <w:r w:rsidR="00B90406" w:rsidRPr="00245485">
        <w:rPr>
          <w:color w:val="000000" w:themeColor="text1"/>
        </w:rPr>
        <w:t xml:space="preserve"> – developing isolated judgments like </w:t>
      </w:r>
      <w:r w:rsidR="00B90406" w:rsidRPr="00245485">
        <w:rPr>
          <w:i/>
          <w:iCs/>
          <w:color w:val="000000" w:themeColor="text1"/>
        </w:rPr>
        <w:t>Ship Source Pollution</w:t>
      </w:r>
      <w:r w:rsidR="00B90406" w:rsidRPr="00245485">
        <w:rPr>
          <w:color w:val="000000" w:themeColor="text1"/>
        </w:rPr>
        <w:t xml:space="preserve"> and </w:t>
      </w:r>
      <w:r w:rsidR="00B90406" w:rsidRPr="00245485">
        <w:rPr>
          <w:i/>
          <w:iCs/>
          <w:color w:val="000000" w:themeColor="text1"/>
        </w:rPr>
        <w:t xml:space="preserve">Pringle </w:t>
      </w:r>
      <w:r w:rsidR="00B90406" w:rsidRPr="00245485">
        <w:rPr>
          <w:color w:val="000000" w:themeColor="text1"/>
        </w:rPr>
        <w:t xml:space="preserve">into a more coherent jurisprudence of multi-instrument </w:t>
      </w:r>
      <w:r w:rsidR="00B90406" w:rsidRPr="00245485">
        <w:rPr>
          <w:color w:val="000000" w:themeColor="text1"/>
        </w:rPr>
        <w:lastRenderedPageBreak/>
        <w:t>competence adjudication</w:t>
      </w:r>
      <w:r w:rsidR="00BE5864" w:rsidRPr="00245485">
        <w:rPr>
          <w:color w:val="000000" w:themeColor="text1"/>
        </w:rPr>
        <w:t>.</w:t>
      </w:r>
      <w:r w:rsidR="007F2321" w:rsidRPr="00245485">
        <w:rPr>
          <w:rStyle w:val="FootnoteReference"/>
          <w:color w:val="000000" w:themeColor="text1"/>
        </w:rPr>
        <w:footnoteReference w:id="96"/>
      </w:r>
      <w:r w:rsidR="00BE5864" w:rsidRPr="00245485">
        <w:rPr>
          <w:color w:val="000000" w:themeColor="text1"/>
        </w:rPr>
        <w:t xml:space="preserve">  Similarly, perhaps the Court could </w:t>
      </w:r>
      <w:r w:rsidR="001856F2" w:rsidRPr="00245485">
        <w:rPr>
          <w:color w:val="000000" w:themeColor="text1"/>
        </w:rPr>
        <w:t xml:space="preserve">begin to </w:t>
      </w:r>
      <w:r w:rsidR="00BE5864" w:rsidRPr="00245485">
        <w:rPr>
          <w:color w:val="000000" w:themeColor="text1"/>
        </w:rPr>
        <w:t xml:space="preserve">acknowledge that, when it comes to determining the legal consequences of non-compliance, the impact of immediate and / or complete annulment </w:t>
      </w:r>
      <w:r w:rsidR="00AB3541" w:rsidRPr="00245485">
        <w:rPr>
          <w:color w:val="000000" w:themeColor="text1"/>
        </w:rPr>
        <w:t xml:space="preserve">of the disputed measure, not only as a matter of the latter’s internal text and coherence, but </w:t>
      </w:r>
      <w:r w:rsidR="001856F2" w:rsidRPr="00245485">
        <w:rPr>
          <w:color w:val="000000" w:themeColor="text1"/>
        </w:rPr>
        <w:t xml:space="preserve">also </w:t>
      </w:r>
      <w:r w:rsidR="00BE5864" w:rsidRPr="00245485">
        <w:rPr>
          <w:color w:val="000000" w:themeColor="text1"/>
        </w:rPr>
        <w:t xml:space="preserve">upon the </w:t>
      </w:r>
      <w:r w:rsidR="00CC3ED3" w:rsidRPr="00245485">
        <w:rPr>
          <w:color w:val="000000" w:themeColor="text1"/>
        </w:rPr>
        <w:t xml:space="preserve">smooth functioning of the </w:t>
      </w:r>
      <w:r w:rsidR="00BE5864" w:rsidRPr="00245485">
        <w:rPr>
          <w:color w:val="000000" w:themeColor="text1"/>
        </w:rPr>
        <w:t>wider policy package as such</w:t>
      </w:r>
      <w:r w:rsidR="00AB3541" w:rsidRPr="00245485">
        <w:rPr>
          <w:color w:val="000000" w:themeColor="text1"/>
        </w:rPr>
        <w:t>,</w:t>
      </w:r>
      <w:r w:rsidR="00BE5864" w:rsidRPr="00245485">
        <w:rPr>
          <w:color w:val="000000" w:themeColor="text1"/>
        </w:rPr>
        <w:t xml:space="preserve"> may </w:t>
      </w:r>
      <w:r w:rsidR="001856F2" w:rsidRPr="00245485">
        <w:rPr>
          <w:color w:val="000000" w:themeColor="text1"/>
        </w:rPr>
        <w:t xml:space="preserve">properly </w:t>
      </w:r>
      <w:r w:rsidR="00BE5864" w:rsidRPr="00245485">
        <w:rPr>
          <w:color w:val="000000" w:themeColor="text1"/>
        </w:rPr>
        <w:t xml:space="preserve">be </w:t>
      </w:r>
      <w:r w:rsidR="001856F2" w:rsidRPr="00245485">
        <w:rPr>
          <w:color w:val="000000" w:themeColor="text1"/>
        </w:rPr>
        <w:t xml:space="preserve">considered </w:t>
      </w:r>
      <w:r w:rsidR="00BE5864" w:rsidRPr="00245485">
        <w:rPr>
          <w:color w:val="000000" w:themeColor="text1"/>
        </w:rPr>
        <w:t>a relevant factor in deciding whether / how far to uphold the legal effects of the disputed act</w:t>
      </w:r>
      <w:r w:rsidR="003A74F0" w:rsidRPr="00245485">
        <w:rPr>
          <w:color w:val="000000" w:themeColor="text1"/>
        </w:rPr>
        <w:t>.</w:t>
      </w:r>
      <w:r w:rsidR="007F2321" w:rsidRPr="00245485">
        <w:rPr>
          <w:rStyle w:val="FootnoteReference"/>
          <w:color w:val="000000" w:themeColor="text1"/>
        </w:rPr>
        <w:footnoteReference w:id="97"/>
      </w:r>
      <w:r w:rsidR="003A74F0" w:rsidRPr="00245485">
        <w:rPr>
          <w:color w:val="000000" w:themeColor="text1"/>
        </w:rPr>
        <w:t xml:space="preserve">  T</w:t>
      </w:r>
      <w:r w:rsidR="00B90406" w:rsidRPr="00245485">
        <w:rPr>
          <w:color w:val="000000" w:themeColor="text1"/>
        </w:rPr>
        <w:t>aken t</w:t>
      </w:r>
      <w:r w:rsidR="003A74F0" w:rsidRPr="00245485">
        <w:rPr>
          <w:color w:val="000000" w:themeColor="text1"/>
        </w:rPr>
        <w:t xml:space="preserve">ogether, such reinforcements to existing legislative and judicial practice could enable a better dialogue between the distinct worlds of political practice and legal analysis </w:t>
      </w:r>
      <w:r w:rsidRPr="00245485">
        <w:rPr>
          <w:color w:val="000000" w:themeColor="text1"/>
        </w:rPr>
        <w:t xml:space="preserve">– </w:t>
      </w:r>
      <w:r w:rsidR="003A74F0" w:rsidRPr="00245485">
        <w:rPr>
          <w:color w:val="000000" w:themeColor="text1"/>
        </w:rPr>
        <w:t xml:space="preserve">enabling the Court </w:t>
      </w:r>
      <w:r w:rsidRPr="00245485">
        <w:rPr>
          <w:color w:val="000000" w:themeColor="text1"/>
        </w:rPr>
        <w:t xml:space="preserve">to be more (and more systematically) recognisant of the place and importance of the disputed act within its overall policy package.  </w:t>
      </w:r>
    </w:p>
    <w:p w14:paraId="04F332B0" w14:textId="77777777" w:rsidR="00245485" w:rsidRDefault="00BE5864" w:rsidP="00245485">
      <w:pPr>
        <w:ind w:firstLine="720"/>
        <w:jc w:val="both"/>
        <w:rPr>
          <w:color w:val="000000" w:themeColor="text1"/>
        </w:rPr>
      </w:pPr>
      <w:r w:rsidRPr="00245485">
        <w:rPr>
          <w:color w:val="000000" w:themeColor="text1"/>
        </w:rPr>
        <w:t>Going further</w:t>
      </w:r>
      <w:r w:rsidR="003A74F0" w:rsidRPr="00245485">
        <w:rPr>
          <w:color w:val="000000" w:themeColor="text1"/>
        </w:rPr>
        <w:t xml:space="preserve">: perhaps </w:t>
      </w:r>
      <w:r w:rsidR="005E104F" w:rsidRPr="00245485">
        <w:rPr>
          <w:color w:val="000000" w:themeColor="text1"/>
        </w:rPr>
        <w:t xml:space="preserve">the Court could be persuaded to accept that, in the case of complex policy packages, it might indeed be appropriate to have simultaneous recourse to multiple legal bases for the adoption of acts that are directly interconnected in their overall aims and content.  Recognising that the policy package as a whole, or at least significant elements thereof, can enjoy a combined or cumulative legal basis might facilitate the ability for Union policymakers to design integrated regulatory solutions, without getting unduly bogged down in the task of dividing the contents out between specific Treaty provisions, thereby risking that one element of the bargain might be singled out for annulment if </w:t>
      </w:r>
      <w:r w:rsidR="003A74F0" w:rsidRPr="00245485">
        <w:rPr>
          <w:color w:val="000000" w:themeColor="text1"/>
        </w:rPr>
        <w:t>that particular</w:t>
      </w:r>
      <w:r w:rsidR="005E104F" w:rsidRPr="00245485">
        <w:rPr>
          <w:color w:val="000000" w:themeColor="text1"/>
        </w:rPr>
        <w:t xml:space="preserve"> choice proves ill-judged or otherwise insufficient.  </w:t>
      </w:r>
    </w:p>
    <w:p w14:paraId="1F5A22FC" w14:textId="77777777" w:rsidR="00245485" w:rsidRDefault="00BE5864" w:rsidP="00245485">
      <w:pPr>
        <w:ind w:firstLine="720"/>
        <w:jc w:val="both"/>
        <w:rPr>
          <w:color w:val="000000" w:themeColor="text1"/>
        </w:rPr>
      </w:pPr>
      <w:r w:rsidRPr="00245485">
        <w:rPr>
          <w:color w:val="000000" w:themeColor="text1"/>
        </w:rPr>
        <w:t xml:space="preserve">And there </w:t>
      </w:r>
      <w:r w:rsidR="003A74F0" w:rsidRPr="00245485">
        <w:rPr>
          <w:color w:val="000000" w:themeColor="text1"/>
        </w:rPr>
        <w:t xml:space="preserve">are other ideas to encourage greater transparency and dialogue, and safeguard against the possibility that ex post judicial review might subsequently unpick an important component of the overall political bargain, but that might also help </w:t>
      </w:r>
      <w:r w:rsidR="00AB7B10" w:rsidRPr="00245485">
        <w:rPr>
          <w:color w:val="000000" w:themeColor="text1"/>
        </w:rPr>
        <w:t>reduc</w:t>
      </w:r>
      <w:r w:rsidR="003A74F0" w:rsidRPr="00245485">
        <w:rPr>
          <w:color w:val="000000" w:themeColor="text1"/>
        </w:rPr>
        <w:t>e</w:t>
      </w:r>
      <w:r w:rsidR="00AB7B10" w:rsidRPr="00245485">
        <w:rPr>
          <w:color w:val="000000" w:themeColor="text1"/>
        </w:rPr>
        <w:t xml:space="preserve"> the risk </w:t>
      </w:r>
      <w:r w:rsidR="003A74F0" w:rsidRPr="00245485">
        <w:rPr>
          <w:color w:val="000000" w:themeColor="text1"/>
        </w:rPr>
        <w:t xml:space="preserve">of </w:t>
      </w:r>
      <w:r w:rsidR="00AB7B10" w:rsidRPr="00245485">
        <w:rPr>
          <w:color w:val="000000" w:themeColor="text1"/>
        </w:rPr>
        <w:t>competence queries acquir</w:t>
      </w:r>
      <w:r w:rsidR="003A74F0" w:rsidRPr="00245485">
        <w:rPr>
          <w:color w:val="000000" w:themeColor="text1"/>
        </w:rPr>
        <w:t>ing</w:t>
      </w:r>
      <w:r w:rsidR="00AB7B10" w:rsidRPr="00245485">
        <w:rPr>
          <w:color w:val="000000" w:themeColor="text1"/>
        </w:rPr>
        <w:t xml:space="preserve"> </w:t>
      </w:r>
      <w:r w:rsidR="003A74F0" w:rsidRPr="00245485">
        <w:rPr>
          <w:color w:val="000000" w:themeColor="text1"/>
        </w:rPr>
        <w:t xml:space="preserve">some disproportionate or </w:t>
      </w:r>
      <w:r w:rsidR="00AB7B10" w:rsidRPr="00245485">
        <w:rPr>
          <w:color w:val="000000" w:themeColor="text1"/>
        </w:rPr>
        <w:t xml:space="preserve">distorting influence within the </w:t>
      </w:r>
      <w:proofErr w:type="spellStart"/>
      <w:r w:rsidR="00AB7B10" w:rsidRPr="00245485">
        <w:rPr>
          <w:color w:val="000000" w:themeColor="text1"/>
        </w:rPr>
        <w:t>ex ante</w:t>
      </w:r>
      <w:proofErr w:type="spellEnd"/>
      <w:r w:rsidR="00AB7B10" w:rsidRPr="00245485">
        <w:rPr>
          <w:color w:val="000000" w:themeColor="text1"/>
        </w:rPr>
        <w:t xml:space="preserve"> decision-making process</w:t>
      </w:r>
      <w:r w:rsidR="003A74F0" w:rsidRPr="00245485">
        <w:rPr>
          <w:color w:val="000000" w:themeColor="text1"/>
        </w:rPr>
        <w:t xml:space="preserve">.  The goal here would be to </w:t>
      </w:r>
      <w:r w:rsidR="00A0422D" w:rsidRPr="00245485">
        <w:rPr>
          <w:color w:val="000000" w:themeColor="text1"/>
        </w:rPr>
        <w:t>provid</w:t>
      </w:r>
      <w:r w:rsidR="003A74F0" w:rsidRPr="00245485">
        <w:rPr>
          <w:color w:val="000000" w:themeColor="text1"/>
        </w:rPr>
        <w:t>e</w:t>
      </w:r>
      <w:r w:rsidR="00A0422D" w:rsidRPr="00245485">
        <w:rPr>
          <w:color w:val="000000" w:themeColor="text1"/>
        </w:rPr>
        <w:t xml:space="preserve"> the competent Union institutions with greater </w:t>
      </w:r>
      <w:r w:rsidR="00B90406" w:rsidRPr="00245485">
        <w:rPr>
          <w:color w:val="000000" w:themeColor="text1"/>
        </w:rPr>
        <w:t xml:space="preserve">advance </w:t>
      </w:r>
      <w:r w:rsidR="00A0422D" w:rsidRPr="00245485">
        <w:rPr>
          <w:color w:val="000000" w:themeColor="text1"/>
        </w:rPr>
        <w:t>clarity about how far their negotiations towards an integrated policy package might ultimately comply with the demands of conferral</w:t>
      </w:r>
      <w:r w:rsidR="003A74F0" w:rsidRPr="00245485">
        <w:rPr>
          <w:color w:val="000000" w:themeColor="text1"/>
        </w:rPr>
        <w:t xml:space="preserve"> –</w:t>
      </w:r>
      <w:r w:rsidR="00B40C01" w:rsidRPr="00245485">
        <w:rPr>
          <w:color w:val="000000" w:themeColor="text1"/>
        </w:rPr>
        <w:t xml:space="preserve"> </w:t>
      </w:r>
      <w:r w:rsidR="00A0422D" w:rsidRPr="00245485">
        <w:rPr>
          <w:color w:val="000000" w:themeColor="text1"/>
        </w:rPr>
        <w:t xml:space="preserve">while there is still time to react and adjust their settlement before it becomes final.  </w:t>
      </w:r>
      <w:r w:rsidR="00AB7B10" w:rsidRPr="00245485">
        <w:rPr>
          <w:color w:val="000000" w:themeColor="text1"/>
        </w:rPr>
        <w:t>To that end</w:t>
      </w:r>
      <w:r w:rsidR="00B40C01" w:rsidRPr="00245485">
        <w:rPr>
          <w:color w:val="000000" w:themeColor="text1"/>
        </w:rPr>
        <w:t xml:space="preserve">, one might introduce a </w:t>
      </w:r>
      <w:r w:rsidR="00AB7B10" w:rsidRPr="00245485">
        <w:rPr>
          <w:color w:val="000000" w:themeColor="text1"/>
        </w:rPr>
        <w:t>dedicated</w:t>
      </w:r>
      <w:r w:rsidR="00FF5C3A" w:rsidRPr="00245485">
        <w:rPr>
          <w:color w:val="000000" w:themeColor="text1"/>
        </w:rPr>
        <w:t xml:space="preserve"> procedure </w:t>
      </w:r>
      <w:r w:rsidR="00B40C01" w:rsidRPr="00245485">
        <w:rPr>
          <w:color w:val="000000" w:themeColor="text1"/>
        </w:rPr>
        <w:t xml:space="preserve">by which the Union institutions request the </w:t>
      </w:r>
      <w:r w:rsidR="00FF5C3A" w:rsidRPr="00245485">
        <w:rPr>
          <w:color w:val="000000" w:themeColor="text1"/>
        </w:rPr>
        <w:t xml:space="preserve">CJEU to </w:t>
      </w:r>
      <w:r w:rsidR="00AB7B10" w:rsidRPr="00245485">
        <w:rPr>
          <w:color w:val="000000" w:themeColor="text1"/>
        </w:rPr>
        <w:t>consider</w:t>
      </w:r>
      <w:r w:rsidR="00FF5C3A" w:rsidRPr="00245485">
        <w:rPr>
          <w:color w:val="000000" w:themeColor="text1"/>
        </w:rPr>
        <w:t xml:space="preserve"> </w:t>
      </w:r>
      <w:r w:rsidR="00B40C01" w:rsidRPr="00245485">
        <w:rPr>
          <w:color w:val="000000" w:themeColor="text1"/>
        </w:rPr>
        <w:t xml:space="preserve">and clarify the </w:t>
      </w:r>
      <w:r w:rsidR="00FF5C3A" w:rsidRPr="00245485">
        <w:rPr>
          <w:color w:val="000000" w:themeColor="text1"/>
        </w:rPr>
        <w:t xml:space="preserve">competence </w:t>
      </w:r>
      <w:r w:rsidR="00B40C01" w:rsidRPr="00245485">
        <w:rPr>
          <w:color w:val="000000" w:themeColor="text1"/>
        </w:rPr>
        <w:t>framework underpinning a given policy initiative</w:t>
      </w:r>
      <w:r w:rsidR="003A31E6" w:rsidRPr="00245485">
        <w:rPr>
          <w:color w:val="000000" w:themeColor="text1"/>
        </w:rPr>
        <w:t xml:space="preserve"> – available once </w:t>
      </w:r>
      <w:r w:rsidR="00B40C01" w:rsidRPr="00245485">
        <w:rPr>
          <w:color w:val="000000" w:themeColor="text1"/>
        </w:rPr>
        <w:t>the proposals have reached a sufficiently concrete state</w:t>
      </w:r>
      <w:r w:rsidR="00AB7B10" w:rsidRPr="00245485">
        <w:rPr>
          <w:color w:val="000000" w:themeColor="text1"/>
        </w:rPr>
        <w:t xml:space="preserve"> that they are amenable to useful analysis</w:t>
      </w:r>
      <w:r w:rsidR="00736569" w:rsidRPr="00245485">
        <w:rPr>
          <w:color w:val="000000" w:themeColor="text1"/>
        </w:rPr>
        <w:t>,</w:t>
      </w:r>
      <w:r w:rsidR="00B40C01" w:rsidRPr="00245485">
        <w:rPr>
          <w:color w:val="000000" w:themeColor="text1"/>
        </w:rPr>
        <w:t xml:space="preserve"> </w:t>
      </w:r>
      <w:r w:rsidR="007F791B" w:rsidRPr="00245485">
        <w:rPr>
          <w:color w:val="000000" w:themeColor="text1"/>
        </w:rPr>
        <w:t xml:space="preserve">even </w:t>
      </w:r>
      <w:r w:rsidR="004A4981" w:rsidRPr="00245485">
        <w:rPr>
          <w:color w:val="000000" w:themeColor="text1"/>
        </w:rPr>
        <w:t xml:space="preserve">capable of being heard on an expedited basis in cases of urgency, </w:t>
      </w:r>
      <w:r w:rsidR="00B40C01" w:rsidRPr="00245485">
        <w:rPr>
          <w:color w:val="000000" w:themeColor="text1"/>
        </w:rPr>
        <w:t xml:space="preserve">but still leaving </w:t>
      </w:r>
      <w:r w:rsidR="003A31E6" w:rsidRPr="00245485">
        <w:rPr>
          <w:color w:val="000000" w:themeColor="text1"/>
        </w:rPr>
        <w:t xml:space="preserve">ample </w:t>
      </w:r>
      <w:r w:rsidR="00B40C01" w:rsidRPr="00245485">
        <w:rPr>
          <w:color w:val="000000" w:themeColor="text1"/>
        </w:rPr>
        <w:t xml:space="preserve">room for an appropriate </w:t>
      </w:r>
      <w:r w:rsidR="00FF5C3A" w:rsidRPr="00245485">
        <w:rPr>
          <w:color w:val="000000" w:themeColor="text1"/>
        </w:rPr>
        <w:t>political</w:t>
      </w:r>
      <w:r w:rsidR="00B40C01" w:rsidRPr="00245485">
        <w:rPr>
          <w:color w:val="000000" w:themeColor="text1"/>
        </w:rPr>
        <w:t xml:space="preserve"> response</w:t>
      </w:r>
      <w:r w:rsidR="00736569" w:rsidRPr="00245485">
        <w:rPr>
          <w:color w:val="000000" w:themeColor="text1"/>
        </w:rPr>
        <w:t xml:space="preserve"> </w:t>
      </w:r>
      <w:r w:rsidR="003A31E6" w:rsidRPr="00245485">
        <w:rPr>
          <w:color w:val="000000" w:themeColor="text1"/>
        </w:rPr>
        <w:t xml:space="preserve">to the Court’s guidance on attributed powers and legal basis.  Such a mechanism could draw direct inspiration from the </w:t>
      </w:r>
      <w:r w:rsidR="00B40C01" w:rsidRPr="00245485">
        <w:rPr>
          <w:color w:val="000000" w:themeColor="text1"/>
        </w:rPr>
        <w:t xml:space="preserve">existing </w:t>
      </w:r>
      <w:r w:rsidR="003A31E6" w:rsidRPr="00245485">
        <w:rPr>
          <w:color w:val="000000" w:themeColor="text1"/>
        </w:rPr>
        <w:t>Union law</w:t>
      </w:r>
      <w:r w:rsidR="00B40C01" w:rsidRPr="00245485">
        <w:rPr>
          <w:color w:val="000000" w:themeColor="text1"/>
        </w:rPr>
        <w:t xml:space="preserve"> procedure </w:t>
      </w:r>
      <w:r w:rsidR="00882055" w:rsidRPr="00245485">
        <w:rPr>
          <w:color w:val="000000" w:themeColor="text1"/>
        </w:rPr>
        <w:t xml:space="preserve">under Article 218(11) TFEU, </w:t>
      </w:r>
      <w:r w:rsidR="00B40C01" w:rsidRPr="00245485">
        <w:rPr>
          <w:color w:val="000000" w:themeColor="text1"/>
        </w:rPr>
        <w:t xml:space="preserve">by which the Court may be asked to deliver </w:t>
      </w:r>
      <w:r w:rsidR="003A31E6" w:rsidRPr="00245485">
        <w:rPr>
          <w:color w:val="000000" w:themeColor="text1"/>
        </w:rPr>
        <w:t>an</w:t>
      </w:r>
      <w:r w:rsidR="00B40C01" w:rsidRPr="00245485">
        <w:rPr>
          <w:color w:val="000000" w:themeColor="text1"/>
        </w:rPr>
        <w:t xml:space="preserve"> </w:t>
      </w:r>
      <w:r w:rsidR="00FF5C3A" w:rsidRPr="00245485">
        <w:rPr>
          <w:color w:val="000000" w:themeColor="text1"/>
        </w:rPr>
        <w:t xml:space="preserve">opinion on </w:t>
      </w:r>
      <w:r w:rsidR="00B40C01" w:rsidRPr="00245485">
        <w:rPr>
          <w:color w:val="000000" w:themeColor="text1"/>
        </w:rPr>
        <w:t xml:space="preserve">the compatibility with </w:t>
      </w:r>
      <w:r w:rsidR="003A31E6" w:rsidRPr="00245485">
        <w:rPr>
          <w:color w:val="000000" w:themeColor="text1"/>
        </w:rPr>
        <w:t xml:space="preserve">the Treaties </w:t>
      </w:r>
      <w:r w:rsidR="00B40C01" w:rsidRPr="00245485">
        <w:rPr>
          <w:color w:val="000000" w:themeColor="text1"/>
        </w:rPr>
        <w:t xml:space="preserve">of a </w:t>
      </w:r>
      <w:r w:rsidR="00FF5C3A" w:rsidRPr="00245485">
        <w:rPr>
          <w:color w:val="000000" w:themeColor="text1"/>
        </w:rPr>
        <w:t>proposed international agreement</w:t>
      </w:r>
      <w:r w:rsidR="00B90406" w:rsidRPr="00245485">
        <w:rPr>
          <w:color w:val="000000" w:themeColor="text1"/>
        </w:rPr>
        <w:t xml:space="preserve"> – </w:t>
      </w:r>
      <w:r w:rsidR="00882055" w:rsidRPr="00245485">
        <w:rPr>
          <w:color w:val="000000" w:themeColor="text1"/>
        </w:rPr>
        <w:t xml:space="preserve">though </w:t>
      </w:r>
      <w:r w:rsidR="003A31E6" w:rsidRPr="00245485">
        <w:rPr>
          <w:color w:val="000000" w:themeColor="text1"/>
        </w:rPr>
        <w:t xml:space="preserve">it would admittedly require primary law reform </w:t>
      </w:r>
      <w:proofErr w:type="gramStart"/>
      <w:r w:rsidR="003A31E6" w:rsidRPr="00245485">
        <w:rPr>
          <w:color w:val="000000" w:themeColor="text1"/>
        </w:rPr>
        <w:t>in order to</w:t>
      </w:r>
      <w:proofErr w:type="gramEnd"/>
      <w:r w:rsidR="003A31E6" w:rsidRPr="00245485">
        <w:rPr>
          <w:color w:val="000000" w:themeColor="text1"/>
        </w:rPr>
        <w:t xml:space="preserve"> create any new form of jurisdiction for the Union courts.</w:t>
      </w:r>
      <w:r w:rsidR="00D27CCB" w:rsidRPr="00245485">
        <w:rPr>
          <w:rStyle w:val="FootnoteReference"/>
          <w:color w:val="000000" w:themeColor="text1"/>
        </w:rPr>
        <w:footnoteReference w:id="98"/>
      </w:r>
      <w:r w:rsidR="003A31E6" w:rsidRPr="00245485">
        <w:rPr>
          <w:color w:val="000000" w:themeColor="text1"/>
        </w:rPr>
        <w:t xml:space="preserve">  </w:t>
      </w:r>
    </w:p>
    <w:p w14:paraId="4E439870" w14:textId="276C158A" w:rsidR="00245485" w:rsidRDefault="00117923" w:rsidP="00245485">
      <w:pPr>
        <w:ind w:firstLine="720"/>
        <w:jc w:val="both"/>
        <w:rPr>
          <w:color w:val="000000" w:themeColor="text1"/>
        </w:rPr>
      </w:pPr>
      <w:r w:rsidRPr="00245485">
        <w:rPr>
          <w:color w:val="000000" w:themeColor="text1"/>
        </w:rPr>
        <w:t xml:space="preserve">Such devices might well be useful in </w:t>
      </w:r>
      <w:r w:rsidR="00A31EDB" w:rsidRPr="00245485">
        <w:rPr>
          <w:color w:val="000000" w:themeColor="text1"/>
        </w:rPr>
        <w:t>encourag</w:t>
      </w:r>
      <w:r w:rsidRPr="00245485">
        <w:rPr>
          <w:color w:val="000000" w:themeColor="text1"/>
        </w:rPr>
        <w:t>ing</w:t>
      </w:r>
      <w:r w:rsidR="00A31EDB" w:rsidRPr="00245485">
        <w:rPr>
          <w:color w:val="000000" w:themeColor="text1"/>
        </w:rPr>
        <w:t xml:space="preserve"> the legal framework of conferral to </w:t>
      </w:r>
      <w:r w:rsidRPr="00245485">
        <w:rPr>
          <w:color w:val="000000" w:themeColor="text1"/>
        </w:rPr>
        <w:t xml:space="preserve">recognise and in some cases </w:t>
      </w:r>
      <w:r w:rsidR="00A31EDB" w:rsidRPr="00245485">
        <w:rPr>
          <w:color w:val="000000" w:themeColor="text1"/>
        </w:rPr>
        <w:t>respond more sensitively to the complex political realities and logistical needs of Union policy packages</w:t>
      </w:r>
      <w:r w:rsidRPr="00245485">
        <w:rPr>
          <w:color w:val="000000" w:themeColor="text1"/>
        </w:rPr>
        <w:t xml:space="preserve"> – thereby also addressing the danger that a lack of mutual engagement across the two very different worlds of legal analysis and political practice might strain the link between their distinctive approaches to constitutional legitimacy.  But none of our suggestions so far have </w:t>
      </w:r>
      <w:r w:rsidR="00A31EDB" w:rsidRPr="00245485">
        <w:rPr>
          <w:color w:val="000000" w:themeColor="text1"/>
        </w:rPr>
        <w:t>impl</w:t>
      </w:r>
      <w:r w:rsidRPr="00245485">
        <w:rPr>
          <w:color w:val="000000" w:themeColor="text1"/>
        </w:rPr>
        <w:t>ied</w:t>
      </w:r>
      <w:r w:rsidR="00A31EDB" w:rsidRPr="00245485">
        <w:rPr>
          <w:color w:val="000000" w:themeColor="text1"/>
        </w:rPr>
        <w:t xml:space="preserve"> any expansion, as such, in the scope and / or depth of existing Union competences.  </w:t>
      </w:r>
      <w:r w:rsidR="00B90406" w:rsidRPr="00245485">
        <w:rPr>
          <w:color w:val="000000" w:themeColor="text1"/>
        </w:rPr>
        <w:t xml:space="preserve">If we really want to address the competence problems that arise from complex policymaking – that is, in a substantive sense, not just through better information or transparency about the fact that those problems exist and should be factored more explicitly into institutional negotiations and / or judicial reasoning; but so as positively to equip the Union with the tools we believe are essential to deliver optimum policy outcomes </w:t>
      </w:r>
      <w:r w:rsidR="00B90406" w:rsidRPr="00245485">
        <w:rPr>
          <w:color w:val="000000" w:themeColor="text1"/>
        </w:rPr>
        <w:lastRenderedPageBreak/>
        <w:t>to major challenges (though without resorting to the dark arts of “competence creep’) – then we cannot avoid intervening</w:t>
      </w:r>
      <w:r w:rsidR="00CC3ED3" w:rsidRPr="00245485">
        <w:rPr>
          <w:color w:val="000000" w:themeColor="text1"/>
        </w:rPr>
        <w:t xml:space="preserve"> more directly</w:t>
      </w:r>
      <w:r w:rsidR="00B90406" w:rsidRPr="00245485">
        <w:rPr>
          <w:color w:val="000000" w:themeColor="text1"/>
        </w:rPr>
        <w:t xml:space="preserve"> in the current framework of conferral itself.  </w:t>
      </w:r>
    </w:p>
    <w:p w14:paraId="78830A66" w14:textId="5632DEE5" w:rsidR="00E308BC" w:rsidRDefault="00E308BC" w:rsidP="00E308BC">
      <w:pPr>
        <w:jc w:val="both"/>
        <w:rPr>
          <w:color w:val="000000" w:themeColor="text1"/>
        </w:rPr>
      </w:pPr>
    </w:p>
    <w:p w14:paraId="58607D7A" w14:textId="58442423" w:rsidR="00E308BC" w:rsidRPr="00E308BC" w:rsidRDefault="00E308BC" w:rsidP="00E308BC">
      <w:pPr>
        <w:jc w:val="both"/>
        <w:rPr>
          <w:i/>
          <w:iCs/>
          <w:color w:val="000000" w:themeColor="text1"/>
        </w:rPr>
      </w:pPr>
      <w:r w:rsidRPr="00E308BC">
        <w:rPr>
          <w:i/>
          <w:iCs/>
          <w:color w:val="000000" w:themeColor="text1"/>
        </w:rPr>
        <w:t>7.</w:t>
      </w:r>
      <w:r>
        <w:rPr>
          <w:i/>
          <w:iCs/>
          <w:color w:val="000000" w:themeColor="text1"/>
        </w:rPr>
        <w:t>2</w:t>
      </w:r>
      <w:r w:rsidRPr="00E308BC">
        <w:rPr>
          <w:i/>
          <w:iCs/>
          <w:color w:val="000000" w:themeColor="text1"/>
        </w:rPr>
        <w:t xml:space="preserve"> </w:t>
      </w:r>
      <w:r>
        <w:rPr>
          <w:i/>
          <w:iCs/>
          <w:color w:val="000000" w:themeColor="text1"/>
        </w:rPr>
        <w:t>More ambitious ideas</w:t>
      </w:r>
    </w:p>
    <w:p w14:paraId="789DCA22" w14:textId="77777777" w:rsidR="00E308BC" w:rsidRDefault="00E308BC" w:rsidP="00E308BC">
      <w:pPr>
        <w:jc w:val="both"/>
        <w:rPr>
          <w:color w:val="000000" w:themeColor="text1"/>
        </w:rPr>
      </w:pPr>
    </w:p>
    <w:p w14:paraId="6D92A6AC" w14:textId="05C40692" w:rsidR="00245485" w:rsidRDefault="005E777D" w:rsidP="00E308BC">
      <w:pPr>
        <w:jc w:val="both"/>
        <w:rPr>
          <w:color w:val="000000" w:themeColor="text1"/>
        </w:rPr>
      </w:pPr>
      <w:r w:rsidRPr="00245485">
        <w:rPr>
          <w:color w:val="000000" w:themeColor="text1"/>
        </w:rPr>
        <w:t>A more maximalist approach to competence reform means focusing on the challenges created by the way that conferral demands the legal atomisation of both complex policy problems and their highly integrated solutions</w:t>
      </w:r>
      <w:r w:rsidR="006521F6">
        <w:rPr>
          <w:color w:val="000000" w:themeColor="text1"/>
        </w:rPr>
        <w:t>,</w:t>
      </w:r>
      <w:r w:rsidRPr="00245485">
        <w:rPr>
          <w:color w:val="000000" w:themeColor="text1"/>
        </w:rPr>
        <w:t xml:space="preserve"> thereby highlighting potential weaknesses or gaps in the Union’s available powers</w:t>
      </w:r>
      <w:r w:rsidR="00CB7B4C" w:rsidRPr="00245485">
        <w:rPr>
          <w:color w:val="000000" w:themeColor="text1"/>
        </w:rPr>
        <w:t xml:space="preserve"> – </w:t>
      </w:r>
      <w:r w:rsidRPr="00245485">
        <w:rPr>
          <w:color w:val="000000" w:themeColor="text1"/>
        </w:rPr>
        <w:t xml:space="preserve">competence hotspots that then attract </w:t>
      </w:r>
      <w:r w:rsidR="00CC3ED3" w:rsidRPr="00245485">
        <w:rPr>
          <w:color w:val="000000" w:themeColor="text1"/>
        </w:rPr>
        <w:t>disproportionate</w:t>
      </w:r>
      <w:r w:rsidRPr="00245485">
        <w:rPr>
          <w:color w:val="000000" w:themeColor="text1"/>
        </w:rPr>
        <w:t xml:space="preserve"> attention and generate </w:t>
      </w:r>
      <w:r w:rsidR="00CC3ED3" w:rsidRPr="00245485">
        <w:rPr>
          <w:color w:val="000000" w:themeColor="text1"/>
        </w:rPr>
        <w:t xml:space="preserve">significant </w:t>
      </w:r>
      <w:r w:rsidRPr="00245485">
        <w:rPr>
          <w:color w:val="000000" w:themeColor="text1"/>
        </w:rPr>
        <w:t xml:space="preserve">potential risks in </w:t>
      </w:r>
      <w:r w:rsidR="00CC3ED3" w:rsidRPr="00245485">
        <w:rPr>
          <w:color w:val="000000" w:themeColor="text1"/>
        </w:rPr>
        <w:t xml:space="preserve">both </w:t>
      </w:r>
      <w:r w:rsidRPr="00245485">
        <w:rPr>
          <w:color w:val="000000" w:themeColor="text1"/>
        </w:rPr>
        <w:t xml:space="preserve">institutional negotiations and judicial enforcement.  </w:t>
      </w:r>
    </w:p>
    <w:p w14:paraId="5D4D7413" w14:textId="1EFE5F64" w:rsidR="00245485" w:rsidRDefault="005E777D" w:rsidP="00245485">
      <w:pPr>
        <w:ind w:firstLine="720"/>
        <w:jc w:val="both"/>
        <w:rPr>
          <w:color w:val="000000" w:themeColor="text1"/>
        </w:rPr>
      </w:pPr>
      <w:r w:rsidRPr="00245485">
        <w:rPr>
          <w:color w:val="000000" w:themeColor="text1"/>
        </w:rPr>
        <w:t xml:space="preserve">At one extreme, one could </w:t>
      </w:r>
      <w:r w:rsidR="00CC3ED3" w:rsidRPr="00245485">
        <w:rPr>
          <w:color w:val="000000" w:themeColor="text1"/>
        </w:rPr>
        <w:t xml:space="preserve">of course still </w:t>
      </w:r>
      <w:r w:rsidRPr="00245485">
        <w:rPr>
          <w:color w:val="000000" w:themeColor="text1"/>
        </w:rPr>
        <w:t xml:space="preserve">argue for the introduction of a general power for the Union to regulate in the public interest – of precisely the sort that the Court in </w:t>
      </w:r>
      <w:r w:rsidRPr="00245485">
        <w:rPr>
          <w:i/>
          <w:iCs/>
          <w:color w:val="000000" w:themeColor="text1"/>
        </w:rPr>
        <w:t>Tobacco Advertising Directive</w:t>
      </w:r>
      <w:r w:rsidRPr="00245485">
        <w:rPr>
          <w:color w:val="000000" w:themeColor="text1"/>
        </w:rPr>
        <w:t xml:space="preserve"> explicitly rejected in the case of Article 114 TFEU due to the latter’s express mission </w:t>
      </w:r>
      <w:r w:rsidR="00F954DA" w:rsidRPr="00245485">
        <w:rPr>
          <w:color w:val="000000" w:themeColor="text1"/>
        </w:rPr>
        <w:t xml:space="preserve">of </w:t>
      </w:r>
      <w:r w:rsidRPr="00245485">
        <w:rPr>
          <w:color w:val="000000" w:themeColor="text1"/>
        </w:rPr>
        <w:t xml:space="preserve">Internal Market </w:t>
      </w:r>
      <w:r w:rsidR="00F954DA" w:rsidRPr="00245485">
        <w:rPr>
          <w:color w:val="000000" w:themeColor="text1"/>
        </w:rPr>
        <w:t>regulation.</w:t>
      </w:r>
      <w:r w:rsidR="00D27CCB" w:rsidRPr="00245485">
        <w:rPr>
          <w:rStyle w:val="FootnoteReference"/>
          <w:color w:val="000000" w:themeColor="text1"/>
        </w:rPr>
        <w:footnoteReference w:id="99"/>
      </w:r>
      <w:r w:rsidR="00F954DA" w:rsidRPr="00245485">
        <w:rPr>
          <w:color w:val="000000" w:themeColor="text1"/>
        </w:rPr>
        <w:t xml:space="preserve">  Such a general legal basis would immediately shift the focus of attention away from the question of whether the Union enjoys competence to act in principle, and magnify the importance of those principles (subsidiarity, proportionality, respect for fundamental rights) that seek to guide and constrain the circumstances and manner in which Union powers are exercised in practice</w:t>
      </w:r>
      <w:r w:rsidRPr="00245485">
        <w:rPr>
          <w:color w:val="000000" w:themeColor="text1"/>
        </w:rPr>
        <w:t>.</w:t>
      </w:r>
      <w:r w:rsidR="00D27CCB" w:rsidRPr="00245485">
        <w:rPr>
          <w:rStyle w:val="FootnoteReference"/>
          <w:color w:val="000000" w:themeColor="text1"/>
        </w:rPr>
        <w:footnoteReference w:id="100"/>
      </w:r>
      <w:r w:rsidR="00F954DA" w:rsidRPr="00245485">
        <w:rPr>
          <w:color w:val="000000" w:themeColor="text1"/>
        </w:rPr>
        <w:t xml:space="preserve">  But let’s accept that – whatever the merits of such a major </w:t>
      </w:r>
      <w:r w:rsidR="006521F6">
        <w:rPr>
          <w:color w:val="000000" w:themeColor="text1"/>
        </w:rPr>
        <w:t xml:space="preserve">(indeed, radical) </w:t>
      </w:r>
      <w:r w:rsidR="00F954DA" w:rsidRPr="00245485">
        <w:rPr>
          <w:color w:val="000000" w:themeColor="text1"/>
        </w:rPr>
        <w:t>reform to the Treaties – there is currently no realistic prospect of it being enacted</w:t>
      </w:r>
      <w:r w:rsidR="006521F6">
        <w:rPr>
          <w:color w:val="000000" w:themeColor="text1"/>
        </w:rPr>
        <w:t>, given the likely scale of political opposition (as well as domestic judicial constitutional objections) any such proposal would surely provoke across the Union</w:t>
      </w:r>
      <w:r w:rsidR="00F954DA" w:rsidRPr="00245485">
        <w:rPr>
          <w:color w:val="000000" w:themeColor="text1"/>
        </w:rPr>
        <w:t xml:space="preserve">.  </w:t>
      </w:r>
    </w:p>
    <w:p w14:paraId="5995B619" w14:textId="7A4E9BF5" w:rsidR="00245485" w:rsidRDefault="00F954DA" w:rsidP="00245485">
      <w:pPr>
        <w:ind w:firstLine="720"/>
        <w:jc w:val="both"/>
        <w:rPr>
          <w:color w:val="000000" w:themeColor="text1"/>
        </w:rPr>
      </w:pPr>
      <w:r w:rsidRPr="00245485">
        <w:rPr>
          <w:color w:val="000000" w:themeColor="text1"/>
        </w:rPr>
        <w:t xml:space="preserve">At the other extreme, </w:t>
      </w:r>
      <w:r w:rsidR="00F93D71" w:rsidRPr="00245485">
        <w:rPr>
          <w:color w:val="000000" w:themeColor="text1"/>
        </w:rPr>
        <w:t>one could simply call for more liberal recourse to Article 352 TFEU as a default legal basis capable of curing many</w:t>
      </w:r>
      <w:r w:rsidR="00882055" w:rsidRPr="00245485">
        <w:rPr>
          <w:color w:val="000000" w:themeColor="text1"/>
        </w:rPr>
        <w:t xml:space="preserve"> </w:t>
      </w:r>
      <w:r w:rsidR="00F93D71" w:rsidRPr="00245485">
        <w:rPr>
          <w:color w:val="000000" w:themeColor="text1"/>
        </w:rPr>
        <w:t>potential competence concerns – including those that might plague negotiations over specific components of some complex policy package</w:t>
      </w:r>
      <w:r w:rsidRPr="00245485">
        <w:rPr>
          <w:color w:val="000000" w:themeColor="text1"/>
        </w:rPr>
        <w:t xml:space="preserve">.  And after all, some of the major drawbacks associated with Article 352 TFEU (unanimity rather than majority voting in Council; consent of rather than co-decision by the European Parliament) arguably </w:t>
      </w:r>
      <w:proofErr w:type="gramStart"/>
      <w:r w:rsidR="006521F6">
        <w:rPr>
          <w:color w:val="000000" w:themeColor="text1"/>
        </w:rPr>
        <w:t>feel</w:t>
      </w:r>
      <w:proofErr w:type="gramEnd"/>
      <w:r w:rsidR="006521F6">
        <w:rPr>
          <w:color w:val="000000" w:themeColor="text1"/>
        </w:rPr>
        <w:t xml:space="preserve"> </w:t>
      </w:r>
      <w:r w:rsidRPr="00245485">
        <w:rPr>
          <w:color w:val="000000" w:themeColor="text1"/>
        </w:rPr>
        <w:t xml:space="preserve">less pressing in the context of multi-instrument initiatives than </w:t>
      </w:r>
      <w:r w:rsidR="006521F6">
        <w:rPr>
          <w:color w:val="000000" w:themeColor="text1"/>
        </w:rPr>
        <w:t xml:space="preserve">they are </w:t>
      </w:r>
      <w:r w:rsidRPr="00245485">
        <w:rPr>
          <w:color w:val="000000" w:themeColor="text1"/>
        </w:rPr>
        <w:t xml:space="preserve">for genuinely individual and discrete Union acts – since the “highest uncommon denominator” encourages the exercise of effective </w:t>
      </w:r>
      <w:r w:rsidR="006521F6">
        <w:rPr>
          <w:color w:val="000000" w:themeColor="text1"/>
        </w:rPr>
        <w:t xml:space="preserve">institutional </w:t>
      </w:r>
      <w:r w:rsidRPr="00245485">
        <w:rPr>
          <w:color w:val="000000" w:themeColor="text1"/>
        </w:rPr>
        <w:t xml:space="preserve">bargaining power across legal bases.  </w:t>
      </w:r>
      <w:r w:rsidR="00FC473F" w:rsidRPr="00245485">
        <w:rPr>
          <w:color w:val="000000" w:themeColor="text1"/>
        </w:rPr>
        <w:t xml:space="preserve">But Article 352 TFEU is not a universal solution – particularly </w:t>
      </w:r>
      <w:r w:rsidR="00882055" w:rsidRPr="00245485">
        <w:rPr>
          <w:color w:val="000000" w:themeColor="text1"/>
        </w:rPr>
        <w:t xml:space="preserve">given the </w:t>
      </w:r>
      <w:r w:rsidR="00F54005" w:rsidRPr="00245485">
        <w:rPr>
          <w:color w:val="000000" w:themeColor="text1"/>
        </w:rPr>
        <w:t xml:space="preserve">express </w:t>
      </w:r>
      <w:r w:rsidR="00882055" w:rsidRPr="00245485">
        <w:rPr>
          <w:color w:val="000000" w:themeColor="text1"/>
        </w:rPr>
        <w:t xml:space="preserve">exclusion of measures </w:t>
      </w:r>
      <w:r w:rsidR="00F54005" w:rsidRPr="00245485">
        <w:rPr>
          <w:color w:val="000000" w:themeColor="text1"/>
        </w:rPr>
        <w:t>seeking to harmonise national laws other than where already permitted under the Treaties</w:t>
      </w:r>
      <w:r w:rsidR="00FC473F" w:rsidRPr="00245485">
        <w:rPr>
          <w:color w:val="000000" w:themeColor="text1"/>
        </w:rPr>
        <w:t xml:space="preserve"> (as well as those </w:t>
      </w:r>
      <w:r w:rsidR="00F54005" w:rsidRPr="00245485">
        <w:rPr>
          <w:color w:val="000000" w:themeColor="text1"/>
        </w:rPr>
        <w:t>encroaching into objectives covered by the CFSP</w:t>
      </w:r>
      <w:r w:rsidR="00FC473F" w:rsidRPr="00245485">
        <w:rPr>
          <w:color w:val="000000" w:themeColor="text1"/>
        </w:rPr>
        <w:t>)</w:t>
      </w:r>
      <w:r w:rsidR="00F93D71" w:rsidRPr="00245485">
        <w:rPr>
          <w:color w:val="000000" w:themeColor="text1"/>
        </w:rPr>
        <w:t>.</w:t>
      </w:r>
      <w:r w:rsidR="00D27CCB" w:rsidRPr="00245485">
        <w:rPr>
          <w:rStyle w:val="FootnoteReference"/>
          <w:color w:val="000000" w:themeColor="text1"/>
        </w:rPr>
        <w:footnoteReference w:id="101"/>
      </w:r>
      <w:r w:rsidR="00F93D71" w:rsidRPr="00245485">
        <w:rPr>
          <w:color w:val="000000" w:themeColor="text1"/>
        </w:rPr>
        <w:t xml:space="preserve">  </w:t>
      </w:r>
    </w:p>
    <w:p w14:paraId="2CB15B4B" w14:textId="14049616" w:rsidR="00245485" w:rsidRDefault="00F93D71" w:rsidP="00245485">
      <w:pPr>
        <w:ind w:firstLine="720"/>
        <w:jc w:val="both"/>
        <w:rPr>
          <w:color w:val="000000" w:themeColor="text1"/>
        </w:rPr>
      </w:pPr>
      <w:r w:rsidRPr="00245485">
        <w:rPr>
          <w:color w:val="000000" w:themeColor="text1"/>
        </w:rPr>
        <w:t xml:space="preserve">Or going further, </w:t>
      </w:r>
      <w:r w:rsidR="00E85AE8" w:rsidRPr="00245485">
        <w:rPr>
          <w:color w:val="000000" w:themeColor="text1"/>
        </w:rPr>
        <w:t xml:space="preserve">one could do as the Conference on the Future of Europe, the European Parliament and the Commission have recently done: </w:t>
      </w:r>
      <w:r w:rsidRPr="00245485">
        <w:rPr>
          <w:color w:val="000000" w:themeColor="text1"/>
        </w:rPr>
        <w:t xml:space="preserve">propose to </w:t>
      </w:r>
      <w:r w:rsidR="00E85AE8" w:rsidRPr="00245485">
        <w:rPr>
          <w:color w:val="000000" w:themeColor="text1"/>
        </w:rPr>
        <w:t xml:space="preserve">amend the Treaties </w:t>
      </w:r>
      <w:r w:rsidRPr="00245485">
        <w:rPr>
          <w:color w:val="000000" w:themeColor="text1"/>
        </w:rPr>
        <w:t xml:space="preserve">so as </w:t>
      </w:r>
      <w:r w:rsidR="00E85AE8" w:rsidRPr="00245485">
        <w:rPr>
          <w:color w:val="000000" w:themeColor="text1"/>
        </w:rPr>
        <w:t>to fill specific competence gaps that we have already experienced or that we might anticipate arising in the future</w:t>
      </w:r>
      <w:r w:rsidR="00FC473F" w:rsidRPr="00245485">
        <w:rPr>
          <w:color w:val="000000" w:themeColor="text1"/>
        </w:rPr>
        <w:t xml:space="preserve">; </w:t>
      </w:r>
      <w:r w:rsidR="00F54005" w:rsidRPr="00245485">
        <w:rPr>
          <w:color w:val="000000" w:themeColor="text1"/>
        </w:rPr>
        <w:t>for example, in fields like public health</w:t>
      </w:r>
      <w:r w:rsidR="00FC473F" w:rsidRPr="00245485">
        <w:rPr>
          <w:color w:val="000000" w:themeColor="text1"/>
        </w:rPr>
        <w:t xml:space="preserve"> (learning lessons from the Covid-19 pandemic)</w:t>
      </w:r>
      <w:r w:rsidR="00F54005" w:rsidRPr="00245485">
        <w:rPr>
          <w:color w:val="000000" w:themeColor="text1"/>
        </w:rPr>
        <w:t xml:space="preserve">, </w:t>
      </w:r>
      <w:r w:rsidR="00FC473F" w:rsidRPr="00245485">
        <w:rPr>
          <w:color w:val="000000" w:themeColor="text1"/>
        </w:rPr>
        <w:t xml:space="preserve">or </w:t>
      </w:r>
      <w:r w:rsidR="00F54005" w:rsidRPr="00245485">
        <w:rPr>
          <w:color w:val="000000" w:themeColor="text1"/>
        </w:rPr>
        <w:t>energy and defence</w:t>
      </w:r>
      <w:r w:rsidR="00FC473F" w:rsidRPr="00245485">
        <w:rPr>
          <w:color w:val="000000" w:themeColor="text1"/>
        </w:rPr>
        <w:t xml:space="preserve"> (in the light of the Russian invasion of Ukraine)</w:t>
      </w:r>
      <w:r w:rsidR="00E85AE8" w:rsidRPr="00245485">
        <w:rPr>
          <w:color w:val="000000" w:themeColor="text1"/>
        </w:rPr>
        <w:t>.</w:t>
      </w:r>
      <w:r w:rsidR="00D27CCB" w:rsidRPr="00245485">
        <w:rPr>
          <w:rStyle w:val="FootnoteReference"/>
          <w:color w:val="000000" w:themeColor="text1"/>
        </w:rPr>
        <w:footnoteReference w:id="102"/>
      </w:r>
      <w:r w:rsidR="00E85AE8" w:rsidRPr="00245485">
        <w:rPr>
          <w:color w:val="000000" w:themeColor="text1"/>
        </w:rPr>
        <w:t xml:space="preserve">  </w:t>
      </w:r>
      <w:r w:rsidR="00FC473F" w:rsidRPr="00245485">
        <w:rPr>
          <w:color w:val="000000" w:themeColor="text1"/>
        </w:rPr>
        <w:t xml:space="preserve">Such proposals would certainly help to </w:t>
      </w:r>
      <w:r w:rsidR="005250BA" w:rsidRPr="00245485">
        <w:rPr>
          <w:color w:val="000000" w:themeColor="text1"/>
        </w:rPr>
        <w:t xml:space="preserve">address </w:t>
      </w:r>
      <w:r w:rsidR="006521F6">
        <w:rPr>
          <w:color w:val="000000" w:themeColor="text1"/>
        </w:rPr>
        <w:t>particular</w:t>
      </w:r>
      <w:r w:rsidR="00FC473F" w:rsidRPr="00245485">
        <w:rPr>
          <w:color w:val="000000" w:themeColor="text1"/>
        </w:rPr>
        <w:t xml:space="preserve"> </w:t>
      </w:r>
      <w:r w:rsidR="005250BA" w:rsidRPr="00245485">
        <w:rPr>
          <w:color w:val="000000" w:themeColor="text1"/>
        </w:rPr>
        <w:t xml:space="preserve">attribution limits </w:t>
      </w:r>
      <w:r w:rsidR="00FC473F" w:rsidRPr="00245485">
        <w:rPr>
          <w:color w:val="000000" w:themeColor="text1"/>
        </w:rPr>
        <w:t xml:space="preserve">that concrete experience tells us are capable of undermining the Union’s capacity to design and deliver effective policy packages.  But the limits of ad hoc solutions based largely on hindsight are obvious, </w:t>
      </w:r>
      <w:r w:rsidR="001856F2" w:rsidRPr="00245485">
        <w:rPr>
          <w:color w:val="000000" w:themeColor="text1"/>
        </w:rPr>
        <w:t>given that</w:t>
      </w:r>
      <w:r w:rsidR="00FC473F" w:rsidRPr="00245485">
        <w:rPr>
          <w:color w:val="000000" w:themeColor="text1"/>
        </w:rPr>
        <w:t xml:space="preserve"> the next crisis might throw up a new </w:t>
      </w:r>
      <w:r w:rsidR="001856F2" w:rsidRPr="00245485">
        <w:rPr>
          <w:color w:val="000000" w:themeColor="text1"/>
        </w:rPr>
        <w:t xml:space="preserve">array </w:t>
      </w:r>
      <w:r w:rsidR="00FC473F" w:rsidRPr="00245485">
        <w:rPr>
          <w:color w:val="000000" w:themeColor="text1"/>
        </w:rPr>
        <w:t xml:space="preserve">of problems and highlight </w:t>
      </w:r>
      <w:r w:rsidR="001856F2" w:rsidRPr="00245485">
        <w:rPr>
          <w:color w:val="000000" w:themeColor="text1"/>
        </w:rPr>
        <w:t xml:space="preserve">a fresh set of </w:t>
      </w:r>
      <w:r w:rsidR="00FC473F" w:rsidRPr="00245485">
        <w:rPr>
          <w:color w:val="000000" w:themeColor="text1"/>
        </w:rPr>
        <w:t>weakness</w:t>
      </w:r>
      <w:r w:rsidR="001856F2" w:rsidRPr="00245485">
        <w:rPr>
          <w:color w:val="000000" w:themeColor="text1"/>
        </w:rPr>
        <w:t>es</w:t>
      </w:r>
      <w:r w:rsidR="00FC473F" w:rsidRPr="00245485">
        <w:rPr>
          <w:color w:val="000000" w:themeColor="text1"/>
        </w:rPr>
        <w:t xml:space="preserve"> </w:t>
      </w:r>
      <w:r w:rsidR="00FC473F" w:rsidRPr="00245485">
        <w:rPr>
          <w:color w:val="000000" w:themeColor="text1"/>
        </w:rPr>
        <w:lastRenderedPageBreak/>
        <w:t xml:space="preserve">in the Union’s power to respond.  And in any case, reinforcing the breadth or depth of competences conferred under specific legal bases does not </w:t>
      </w:r>
      <w:r w:rsidR="00192FF9" w:rsidRPr="00245485">
        <w:rPr>
          <w:color w:val="000000" w:themeColor="text1"/>
        </w:rPr>
        <w:t xml:space="preserve">necessarily </w:t>
      </w:r>
      <w:r w:rsidR="00FC473F" w:rsidRPr="00245485">
        <w:rPr>
          <w:color w:val="000000" w:themeColor="text1"/>
        </w:rPr>
        <w:t xml:space="preserve">address </w:t>
      </w:r>
      <w:r w:rsidR="00192FF9" w:rsidRPr="00245485">
        <w:rPr>
          <w:color w:val="000000" w:themeColor="text1"/>
        </w:rPr>
        <w:t xml:space="preserve">the </w:t>
      </w:r>
      <w:r w:rsidR="00FC473F" w:rsidRPr="00245485">
        <w:rPr>
          <w:color w:val="000000" w:themeColor="text1"/>
        </w:rPr>
        <w:t>wider problems associated with fragmentation</w:t>
      </w:r>
      <w:r w:rsidR="00192FF9" w:rsidRPr="00245485">
        <w:rPr>
          <w:color w:val="000000" w:themeColor="text1"/>
        </w:rPr>
        <w:t>,</w:t>
      </w:r>
      <w:r w:rsidR="00FC473F" w:rsidRPr="00245485">
        <w:rPr>
          <w:color w:val="000000" w:themeColor="text1"/>
        </w:rPr>
        <w:t xml:space="preserve"> </w:t>
      </w:r>
      <w:proofErr w:type="gramStart"/>
      <w:r w:rsidR="00192FF9" w:rsidRPr="00245485">
        <w:rPr>
          <w:color w:val="000000" w:themeColor="text1"/>
        </w:rPr>
        <w:t>transversality</w:t>
      </w:r>
      <w:proofErr w:type="gramEnd"/>
      <w:r w:rsidR="00192FF9" w:rsidRPr="00245485">
        <w:rPr>
          <w:color w:val="000000" w:themeColor="text1"/>
        </w:rPr>
        <w:t xml:space="preserve"> and severability</w:t>
      </w:r>
      <w:r w:rsidR="006521F6">
        <w:rPr>
          <w:color w:val="000000" w:themeColor="text1"/>
        </w:rPr>
        <w:t xml:space="preserve"> – problems specifically arising from the demands of complex, integrated policy packages – </w:t>
      </w:r>
      <w:r w:rsidR="001856F2" w:rsidRPr="00245485">
        <w:rPr>
          <w:color w:val="000000" w:themeColor="text1"/>
        </w:rPr>
        <w:t>of the sort</w:t>
      </w:r>
      <w:r w:rsidR="00192FF9" w:rsidRPr="00245485">
        <w:rPr>
          <w:color w:val="000000" w:themeColor="text1"/>
        </w:rPr>
        <w:t xml:space="preserve"> we identified in Section 5.  </w:t>
      </w:r>
    </w:p>
    <w:p w14:paraId="174D4349" w14:textId="0A1B123A" w:rsidR="006E2934" w:rsidRDefault="006E2934" w:rsidP="006E2934">
      <w:pPr>
        <w:jc w:val="both"/>
        <w:rPr>
          <w:color w:val="000000" w:themeColor="text1"/>
        </w:rPr>
      </w:pPr>
    </w:p>
    <w:p w14:paraId="4B96F238" w14:textId="2763BFEF" w:rsidR="006E2934" w:rsidRPr="006E2934" w:rsidRDefault="006E2934" w:rsidP="006E2934">
      <w:pPr>
        <w:jc w:val="both"/>
        <w:rPr>
          <w:i/>
          <w:iCs/>
          <w:color w:val="000000" w:themeColor="text1"/>
        </w:rPr>
      </w:pPr>
      <w:r w:rsidRPr="006E2934">
        <w:rPr>
          <w:i/>
          <w:iCs/>
          <w:color w:val="000000" w:themeColor="text1"/>
        </w:rPr>
        <w:t xml:space="preserve">7.3 Three tentative reform suggestions </w:t>
      </w:r>
    </w:p>
    <w:p w14:paraId="6F617970" w14:textId="77777777" w:rsidR="006E2934" w:rsidRDefault="006E2934" w:rsidP="006E2934">
      <w:pPr>
        <w:jc w:val="both"/>
        <w:rPr>
          <w:color w:val="000000" w:themeColor="text1"/>
        </w:rPr>
      </w:pPr>
    </w:p>
    <w:p w14:paraId="215AFCA5" w14:textId="0BA364EC" w:rsidR="00245485" w:rsidRDefault="00192FF9" w:rsidP="006E2934">
      <w:pPr>
        <w:jc w:val="both"/>
        <w:rPr>
          <w:color w:val="000000" w:themeColor="text1"/>
        </w:rPr>
      </w:pPr>
      <w:r w:rsidRPr="00245485">
        <w:rPr>
          <w:color w:val="000000" w:themeColor="text1"/>
        </w:rPr>
        <w:t xml:space="preserve">Our contribution to the more maximalist options for future reform will </w:t>
      </w:r>
      <w:r w:rsidR="00CB7B4C" w:rsidRPr="00245485">
        <w:rPr>
          <w:color w:val="000000" w:themeColor="text1"/>
        </w:rPr>
        <w:t xml:space="preserve">instead </w:t>
      </w:r>
      <w:r w:rsidRPr="00245485">
        <w:rPr>
          <w:color w:val="000000" w:themeColor="text1"/>
        </w:rPr>
        <w:t xml:space="preserve">consist of </w:t>
      </w:r>
      <w:r w:rsidR="006521F6">
        <w:rPr>
          <w:color w:val="000000" w:themeColor="text1"/>
        </w:rPr>
        <w:t xml:space="preserve">suggesting </w:t>
      </w:r>
      <w:r w:rsidRPr="00245485">
        <w:rPr>
          <w:color w:val="000000" w:themeColor="text1"/>
        </w:rPr>
        <w:t xml:space="preserve">three </w:t>
      </w:r>
      <w:r w:rsidR="006521F6">
        <w:rPr>
          <w:color w:val="000000" w:themeColor="text1"/>
        </w:rPr>
        <w:t xml:space="preserve">additional </w:t>
      </w:r>
      <w:r w:rsidR="00E85AE8" w:rsidRPr="00245485">
        <w:rPr>
          <w:color w:val="000000" w:themeColor="text1"/>
        </w:rPr>
        <w:t xml:space="preserve">possibilities </w:t>
      </w:r>
      <w:r w:rsidRPr="00245485">
        <w:rPr>
          <w:color w:val="000000" w:themeColor="text1"/>
        </w:rPr>
        <w:t xml:space="preserve">– </w:t>
      </w:r>
      <w:r w:rsidR="0099657B" w:rsidRPr="00245485">
        <w:rPr>
          <w:color w:val="000000" w:themeColor="text1"/>
        </w:rPr>
        <w:t xml:space="preserve">which need not be considered </w:t>
      </w:r>
      <w:r w:rsidR="006521F6">
        <w:rPr>
          <w:color w:val="000000" w:themeColor="text1"/>
        </w:rPr>
        <w:t xml:space="preserve">at all </w:t>
      </w:r>
      <w:r w:rsidR="0099657B" w:rsidRPr="00245485">
        <w:rPr>
          <w:color w:val="000000" w:themeColor="text1"/>
        </w:rPr>
        <w:t xml:space="preserve">mutually exclusive – </w:t>
      </w:r>
      <w:r w:rsidRPr="00245485">
        <w:rPr>
          <w:color w:val="000000" w:themeColor="text1"/>
        </w:rPr>
        <w:t xml:space="preserve">each designed to </w:t>
      </w:r>
      <w:r w:rsidR="00F93D71" w:rsidRPr="00245485">
        <w:rPr>
          <w:color w:val="000000" w:themeColor="text1"/>
        </w:rPr>
        <w:t>upgrad</w:t>
      </w:r>
      <w:r w:rsidRPr="00245485">
        <w:rPr>
          <w:color w:val="000000" w:themeColor="text1"/>
        </w:rPr>
        <w:t>e</w:t>
      </w:r>
      <w:r w:rsidR="00F93D71" w:rsidRPr="00245485">
        <w:rPr>
          <w:color w:val="000000" w:themeColor="text1"/>
        </w:rPr>
        <w:t xml:space="preserve"> the entire </w:t>
      </w:r>
      <w:r w:rsidRPr="00245485">
        <w:rPr>
          <w:color w:val="000000" w:themeColor="text1"/>
        </w:rPr>
        <w:t xml:space="preserve">competence </w:t>
      </w:r>
      <w:r w:rsidR="00F93D71" w:rsidRPr="00245485">
        <w:rPr>
          <w:color w:val="000000" w:themeColor="text1"/>
        </w:rPr>
        <w:t>system</w:t>
      </w:r>
      <w:r w:rsidRPr="00245485">
        <w:rPr>
          <w:color w:val="000000" w:themeColor="text1"/>
        </w:rPr>
        <w:t>,</w:t>
      </w:r>
      <w:r w:rsidR="00F93D71" w:rsidRPr="00245485">
        <w:rPr>
          <w:color w:val="000000" w:themeColor="text1"/>
        </w:rPr>
        <w:t xml:space="preserve"> </w:t>
      </w:r>
      <w:r w:rsidRPr="00245485">
        <w:rPr>
          <w:color w:val="000000" w:themeColor="text1"/>
        </w:rPr>
        <w:t xml:space="preserve">rather </w:t>
      </w:r>
      <w:r w:rsidR="00F93D71" w:rsidRPr="00245485">
        <w:rPr>
          <w:color w:val="000000" w:themeColor="text1"/>
        </w:rPr>
        <w:t>than repai</w:t>
      </w:r>
      <w:r w:rsidRPr="00245485">
        <w:rPr>
          <w:color w:val="000000" w:themeColor="text1"/>
        </w:rPr>
        <w:t>r</w:t>
      </w:r>
      <w:r w:rsidR="00F93D71" w:rsidRPr="00245485">
        <w:rPr>
          <w:color w:val="000000" w:themeColor="text1"/>
        </w:rPr>
        <w:t xml:space="preserve"> </w:t>
      </w:r>
      <w:r w:rsidRPr="00245485">
        <w:rPr>
          <w:color w:val="000000" w:themeColor="text1"/>
        </w:rPr>
        <w:t xml:space="preserve">some of </w:t>
      </w:r>
      <w:r w:rsidR="00F93D71" w:rsidRPr="00245485">
        <w:rPr>
          <w:color w:val="000000" w:themeColor="text1"/>
        </w:rPr>
        <w:t>its individual cogs</w:t>
      </w:r>
      <w:r w:rsidRPr="00245485">
        <w:rPr>
          <w:color w:val="000000" w:themeColor="text1"/>
        </w:rPr>
        <w:t>, while still respecting the fundamental conferral premiss of a Union based on attributed (not inherent or general) powers</w:t>
      </w:r>
      <w:r w:rsidR="00E85AE8" w:rsidRPr="00245485">
        <w:rPr>
          <w:color w:val="000000" w:themeColor="text1"/>
        </w:rPr>
        <w:t xml:space="preserve">.  </w:t>
      </w:r>
    </w:p>
    <w:p w14:paraId="70C0B23E" w14:textId="3FB7B7A5" w:rsidR="00245485" w:rsidRDefault="00192FF9" w:rsidP="00245485">
      <w:pPr>
        <w:ind w:firstLine="720"/>
        <w:jc w:val="both"/>
        <w:rPr>
          <w:color w:val="000000" w:themeColor="text1"/>
        </w:rPr>
      </w:pPr>
      <w:r w:rsidRPr="00245485">
        <w:rPr>
          <w:color w:val="000000" w:themeColor="text1"/>
        </w:rPr>
        <w:t xml:space="preserve">First, </w:t>
      </w:r>
      <w:r w:rsidR="00AF7B9F" w:rsidRPr="00245485">
        <w:rPr>
          <w:color w:val="000000" w:themeColor="text1"/>
        </w:rPr>
        <w:t xml:space="preserve">the Union could </w:t>
      </w:r>
      <w:r w:rsidR="00BE60E3" w:rsidRPr="00245485">
        <w:rPr>
          <w:color w:val="000000" w:themeColor="text1"/>
        </w:rPr>
        <w:t xml:space="preserve">further </w:t>
      </w:r>
      <w:r w:rsidR="00AF7B9F" w:rsidRPr="00245485">
        <w:rPr>
          <w:color w:val="000000" w:themeColor="text1"/>
        </w:rPr>
        <w:t>evolve</w:t>
      </w:r>
      <w:r w:rsidR="00BE60E3" w:rsidRPr="00245485">
        <w:rPr>
          <w:color w:val="000000" w:themeColor="text1"/>
        </w:rPr>
        <w:t>,</w:t>
      </w:r>
      <w:r w:rsidR="00AF7B9F" w:rsidRPr="00245485">
        <w:rPr>
          <w:color w:val="000000" w:themeColor="text1"/>
        </w:rPr>
        <w:t xml:space="preserve"> </w:t>
      </w:r>
      <w:r w:rsidR="00BE60E3" w:rsidRPr="00245485">
        <w:rPr>
          <w:color w:val="000000" w:themeColor="text1"/>
        </w:rPr>
        <w:t xml:space="preserve">and in due course even formalise, its already nascent </w:t>
      </w:r>
      <w:r w:rsidR="00FF5C3A" w:rsidRPr="00245485">
        <w:rPr>
          <w:color w:val="000000" w:themeColor="text1"/>
        </w:rPr>
        <w:t>practice</w:t>
      </w:r>
      <w:r w:rsidR="00BE60E3" w:rsidRPr="00245485">
        <w:rPr>
          <w:color w:val="000000" w:themeColor="text1"/>
        </w:rPr>
        <w:t xml:space="preserve"> </w:t>
      </w:r>
      <w:r w:rsidR="00FF5C3A" w:rsidRPr="00245485">
        <w:rPr>
          <w:color w:val="000000" w:themeColor="text1"/>
        </w:rPr>
        <w:t xml:space="preserve">of internal “mixed agreements” </w:t>
      </w:r>
      <w:r w:rsidR="00AF7B9F" w:rsidRPr="00245485">
        <w:rPr>
          <w:color w:val="000000" w:themeColor="text1"/>
        </w:rPr>
        <w:t>– inspired by the longstanding experience of external relations</w:t>
      </w:r>
      <w:r w:rsidR="008F06DD" w:rsidRPr="00245485">
        <w:rPr>
          <w:color w:val="000000" w:themeColor="text1"/>
        </w:rPr>
        <w:t>.</w:t>
      </w:r>
      <w:r w:rsidR="00D27CCB" w:rsidRPr="00245485">
        <w:rPr>
          <w:rStyle w:val="FootnoteReference"/>
          <w:color w:val="000000" w:themeColor="text1"/>
        </w:rPr>
        <w:footnoteReference w:id="103"/>
      </w:r>
      <w:r w:rsidR="008F06DD" w:rsidRPr="00245485">
        <w:rPr>
          <w:color w:val="000000" w:themeColor="text1"/>
        </w:rPr>
        <w:t xml:space="preserve">  </w:t>
      </w:r>
      <w:r w:rsidR="00CA3F6C" w:rsidRPr="00245485">
        <w:rPr>
          <w:color w:val="000000" w:themeColor="text1"/>
        </w:rPr>
        <w:t xml:space="preserve">Where an </w:t>
      </w:r>
      <w:r w:rsidR="00AF7B9F" w:rsidRPr="00245485">
        <w:rPr>
          <w:color w:val="000000" w:themeColor="text1"/>
        </w:rPr>
        <w:t>overall policy package</w:t>
      </w:r>
      <w:r w:rsidR="00CA3F6C" w:rsidRPr="00245485">
        <w:rPr>
          <w:color w:val="000000" w:themeColor="text1"/>
        </w:rPr>
        <w:t xml:space="preserve"> depends upon certain component regulatory responses, as regards which the Union is acknowledged to lack the necessary competence, or at least such competence is seriously disputed in a way that might become a source of uncertainty in negotiations or instability in outcome</w:t>
      </w:r>
      <w:r w:rsidR="00E6796C" w:rsidRPr="00245485">
        <w:rPr>
          <w:color w:val="000000" w:themeColor="text1"/>
        </w:rPr>
        <w:t>s</w:t>
      </w:r>
      <w:r w:rsidR="00CA3F6C" w:rsidRPr="00245485">
        <w:rPr>
          <w:color w:val="000000" w:themeColor="text1"/>
        </w:rPr>
        <w:t xml:space="preserve">, the Member States might undertake </w:t>
      </w:r>
      <w:r w:rsidRPr="00245485">
        <w:rPr>
          <w:color w:val="000000" w:themeColor="text1"/>
        </w:rPr>
        <w:t>to</w:t>
      </w:r>
      <w:r w:rsidR="00CA3F6C" w:rsidRPr="00245485">
        <w:rPr>
          <w:color w:val="000000" w:themeColor="text1"/>
        </w:rPr>
        <w:t xml:space="preserve"> adopt those components through the exercise of their own domestic powers – thereby “completing” the regulatory framework through a</w:t>
      </w:r>
      <w:r w:rsidR="000677F9" w:rsidRPr="00245485">
        <w:rPr>
          <w:color w:val="000000" w:themeColor="text1"/>
        </w:rPr>
        <w:t>n agreed</w:t>
      </w:r>
      <w:r w:rsidR="00CA3F6C" w:rsidRPr="00245485">
        <w:rPr>
          <w:color w:val="000000" w:themeColor="text1"/>
        </w:rPr>
        <w:t xml:space="preserve"> combination of Union measures and national instruments.</w:t>
      </w:r>
      <w:r w:rsidR="007F2321" w:rsidRPr="00245485">
        <w:rPr>
          <w:rStyle w:val="FootnoteReference"/>
          <w:color w:val="000000" w:themeColor="text1"/>
        </w:rPr>
        <w:footnoteReference w:id="104"/>
      </w:r>
      <w:r w:rsidR="00CA3F6C" w:rsidRPr="00245485">
        <w:rPr>
          <w:color w:val="000000" w:themeColor="text1"/>
        </w:rPr>
        <w:t xml:space="preserve">  </w:t>
      </w:r>
      <w:r w:rsidR="004A4981" w:rsidRPr="00245485">
        <w:rPr>
          <w:color w:val="000000" w:themeColor="text1"/>
        </w:rPr>
        <w:t xml:space="preserve">Such </w:t>
      </w:r>
      <w:r w:rsidR="000677F9" w:rsidRPr="00245485">
        <w:rPr>
          <w:color w:val="000000" w:themeColor="text1"/>
        </w:rPr>
        <w:t xml:space="preserve">internal </w:t>
      </w:r>
      <w:proofErr w:type="spellStart"/>
      <w:r w:rsidR="000677F9" w:rsidRPr="00245485">
        <w:rPr>
          <w:color w:val="000000" w:themeColor="text1"/>
        </w:rPr>
        <w:t>mixity</w:t>
      </w:r>
      <w:proofErr w:type="spellEnd"/>
      <w:r w:rsidR="000677F9" w:rsidRPr="00245485">
        <w:rPr>
          <w:color w:val="000000" w:themeColor="text1"/>
        </w:rPr>
        <w:t xml:space="preserve"> </w:t>
      </w:r>
      <w:r w:rsidR="004A4981" w:rsidRPr="00245485">
        <w:rPr>
          <w:color w:val="000000" w:themeColor="text1"/>
        </w:rPr>
        <w:t xml:space="preserve">need not suffer the same objections as </w:t>
      </w:r>
      <w:r w:rsidR="000677F9" w:rsidRPr="00245485">
        <w:rPr>
          <w:color w:val="000000" w:themeColor="text1"/>
        </w:rPr>
        <w:t xml:space="preserve">(say) </w:t>
      </w:r>
      <w:r w:rsidR="004A4981" w:rsidRPr="00245485">
        <w:rPr>
          <w:color w:val="000000" w:themeColor="text1"/>
        </w:rPr>
        <w:t xml:space="preserve">the Treaty on Stability, Coordination and Governance or the EU-Turkey Statement </w:t>
      </w:r>
      <w:r w:rsidR="000677F9" w:rsidRPr="00245485">
        <w:rPr>
          <w:color w:val="000000" w:themeColor="text1"/>
        </w:rPr>
        <w:t xml:space="preserve">– about </w:t>
      </w:r>
      <w:r w:rsidR="00E6796C" w:rsidRPr="00245485">
        <w:rPr>
          <w:color w:val="000000" w:themeColor="text1"/>
        </w:rPr>
        <w:t xml:space="preserve">executive actors </w:t>
      </w:r>
      <w:r w:rsidR="000677F9" w:rsidRPr="00245485">
        <w:rPr>
          <w:color w:val="000000" w:themeColor="text1"/>
        </w:rPr>
        <w:t xml:space="preserve">relying on international instruments </w:t>
      </w:r>
      <w:r w:rsidR="00E6796C" w:rsidRPr="00245485">
        <w:rPr>
          <w:color w:val="000000" w:themeColor="text1"/>
        </w:rPr>
        <w:t xml:space="preserve">located outside the Union </w:t>
      </w:r>
      <w:r w:rsidR="000677F9" w:rsidRPr="00245485">
        <w:rPr>
          <w:color w:val="000000" w:themeColor="text1"/>
        </w:rPr>
        <w:t xml:space="preserve">legal order, thereby creating </w:t>
      </w:r>
      <w:r w:rsidR="00E6796C" w:rsidRPr="00245485">
        <w:rPr>
          <w:color w:val="000000" w:themeColor="text1"/>
        </w:rPr>
        <w:t xml:space="preserve">both parliamentary and judicial </w:t>
      </w:r>
      <w:r w:rsidR="000677F9" w:rsidRPr="00245485">
        <w:rPr>
          <w:color w:val="000000" w:themeColor="text1"/>
        </w:rPr>
        <w:t>problems of transparency and accountability.</w:t>
      </w:r>
      <w:r w:rsidR="00D27CCB" w:rsidRPr="00245485">
        <w:rPr>
          <w:rStyle w:val="FootnoteReference"/>
          <w:color w:val="000000" w:themeColor="text1"/>
        </w:rPr>
        <w:footnoteReference w:id="105"/>
      </w:r>
      <w:r w:rsidR="000677F9" w:rsidRPr="00245485">
        <w:rPr>
          <w:color w:val="000000" w:themeColor="text1"/>
        </w:rPr>
        <w:t xml:space="preserve">  After all, the Member State’s </w:t>
      </w:r>
      <w:r w:rsidRPr="00245485">
        <w:rPr>
          <w:color w:val="000000" w:themeColor="text1"/>
        </w:rPr>
        <w:t>undertakings</w:t>
      </w:r>
      <w:r w:rsidR="000677F9" w:rsidRPr="00245485">
        <w:rPr>
          <w:color w:val="000000" w:themeColor="text1"/>
        </w:rPr>
        <w:t xml:space="preserve"> would relate precisely to subjects falling outside the Union’s competences</w:t>
      </w:r>
      <w:r w:rsidR="00BE60E3" w:rsidRPr="00245485">
        <w:rPr>
          <w:color w:val="000000" w:themeColor="text1"/>
        </w:rPr>
        <w:t xml:space="preserve">.  And </w:t>
      </w:r>
      <w:r w:rsidRPr="00245485">
        <w:rPr>
          <w:color w:val="000000" w:themeColor="text1"/>
        </w:rPr>
        <w:t xml:space="preserve">their commitments </w:t>
      </w:r>
      <w:r w:rsidR="00BE60E3" w:rsidRPr="00245485">
        <w:rPr>
          <w:color w:val="000000" w:themeColor="text1"/>
        </w:rPr>
        <w:t xml:space="preserve">(if they were to be regarded as binding at all) </w:t>
      </w:r>
      <w:r w:rsidR="000677F9" w:rsidRPr="00245485">
        <w:rPr>
          <w:color w:val="000000" w:themeColor="text1"/>
        </w:rPr>
        <w:t>could be undertaken as a matter of internal Union law</w:t>
      </w:r>
      <w:r w:rsidR="00BE60E3" w:rsidRPr="00245485">
        <w:rPr>
          <w:color w:val="000000" w:themeColor="text1"/>
        </w:rPr>
        <w:t xml:space="preserve"> to be </w:t>
      </w:r>
      <w:r w:rsidR="000677F9" w:rsidRPr="00245485">
        <w:rPr>
          <w:color w:val="000000" w:themeColor="text1"/>
        </w:rPr>
        <w:t>governed primarily by the principle of sincere cooperation</w:t>
      </w:r>
      <w:r w:rsidR="00BE60E3" w:rsidRPr="00245485">
        <w:rPr>
          <w:color w:val="000000" w:themeColor="text1"/>
        </w:rPr>
        <w:t>: in effect, a duty to make best efforts to deliver</w:t>
      </w:r>
      <w:r w:rsidR="000677F9" w:rsidRPr="00245485">
        <w:rPr>
          <w:color w:val="000000" w:themeColor="text1"/>
        </w:rPr>
        <w:t>.</w:t>
      </w:r>
      <w:r w:rsidR="005250BA" w:rsidRPr="00245485">
        <w:rPr>
          <w:rStyle w:val="FootnoteReference"/>
          <w:color w:val="000000" w:themeColor="text1"/>
        </w:rPr>
        <w:footnoteReference w:id="106"/>
      </w:r>
      <w:r w:rsidR="00BE60E3" w:rsidRPr="00245485">
        <w:rPr>
          <w:color w:val="000000" w:themeColor="text1"/>
        </w:rPr>
        <w:t xml:space="preserve">  </w:t>
      </w:r>
      <w:r w:rsidR="00FC2777">
        <w:rPr>
          <w:color w:val="000000" w:themeColor="text1"/>
        </w:rPr>
        <w:t xml:space="preserve">On the one hand, such a system could help deliver integrated policy responses without entangling the Union institutions or the CJEU in </w:t>
      </w:r>
      <w:r w:rsidR="00A20AC3">
        <w:rPr>
          <w:color w:val="000000" w:themeColor="text1"/>
        </w:rPr>
        <w:t xml:space="preserve">damaging </w:t>
      </w:r>
      <w:r w:rsidR="00FC2777">
        <w:rPr>
          <w:color w:val="000000" w:themeColor="text1"/>
        </w:rPr>
        <w:t xml:space="preserve">disputes about “competence creep”.  </w:t>
      </w:r>
      <w:r w:rsidR="00A20AC3">
        <w:rPr>
          <w:color w:val="000000" w:themeColor="text1"/>
        </w:rPr>
        <w:t xml:space="preserve">In effect, potential attribution problems would be defused, simply by abandoning a fully Union-level package solution, in favour of </w:t>
      </w:r>
      <w:r w:rsidR="00A20AC3" w:rsidRPr="00245485">
        <w:rPr>
          <w:color w:val="000000" w:themeColor="text1"/>
        </w:rPr>
        <w:t xml:space="preserve">combining </w:t>
      </w:r>
      <w:r w:rsidR="00A20AC3">
        <w:rPr>
          <w:color w:val="000000" w:themeColor="text1"/>
        </w:rPr>
        <w:t xml:space="preserve">certain </w:t>
      </w:r>
      <w:r w:rsidR="00A20AC3" w:rsidRPr="00245485">
        <w:rPr>
          <w:color w:val="000000" w:themeColor="text1"/>
        </w:rPr>
        <w:t>Union</w:t>
      </w:r>
      <w:r w:rsidR="00A20AC3">
        <w:rPr>
          <w:color w:val="000000" w:themeColor="text1"/>
        </w:rPr>
        <w:t>-</w:t>
      </w:r>
      <w:r w:rsidR="00A20AC3" w:rsidRPr="00245485">
        <w:rPr>
          <w:color w:val="000000" w:themeColor="text1"/>
        </w:rPr>
        <w:t>level initiatives with the coordination of supplementary national action</w:t>
      </w:r>
      <w:r w:rsidR="00A20AC3">
        <w:rPr>
          <w:color w:val="000000" w:themeColor="text1"/>
        </w:rPr>
        <w:t xml:space="preserve">.  </w:t>
      </w:r>
      <w:r w:rsidR="00FC2777">
        <w:rPr>
          <w:color w:val="000000" w:themeColor="text1"/>
        </w:rPr>
        <w:t xml:space="preserve">On the other hand, the </w:t>
      </w:r>
      <w:r w:rsidR="00BE60E3" w:rsidRPr="00245485">
        <w:rPr>
          <w:color w:val="000000" w:themeColor="text1"/>
        </w:rPr>
        <w:t xml:space="preserve">natural weakness of </w:t>
      </w:r>
      <w:r w:rsidR="00FC2777">
        <w:rPr>
          <w:color w:val="000000" w:themeColor="text1"/>
        </w:rPr>
        <w:t xml:space="preserve">this proposal consists in </w:t>
      </w:r>
      <w:r w:rsidR="00BE60E3" w:rsidRPr="00245485">
        <w:rPr>
          <w:color w:val="000000" w:themeColor="text1"/>
        </w:rPr>
        <w:t>the risk of fragmented and therefore sub-optimal delivery</w:t>
      </w:r>
      <w:r w:rsidR="005250BA" w:rsidRPr="00245485">
        <w:rPr>
          <w:color w:val="000000" w:themeColor="text1"/>
        </w:rPr>
        <w:t>, particularly</w:t>
      </w:r>
      <w:r w:rsidR="00BE60E3" w:rsidRPr="00245485">
        <w:rPr>
          <w:color w:val="000000" w:themeColor="text1"/>
        </w:rPr>
        <w:t xml:space="preserve"> should </w:t>
      </w:r>
      <w:r w:rsidR="00FC2777">
        <w:rPr>
          <w:color w:val="000000" w:themeColor="text1"/>
        </w:rPr>
        <w:t>certain</w:t>
      </w:r>
      <w:r w:rsidR="00BE60E3" w:rsidRPr="00245485">
        <w:rPr>
          <w:color w:val="000000" w:themeColor="text1"/>
        </w:rPr>
        <w:t xml:space="preserve"> </w:t>
      </w:r>
      <w:r w:rsidR="00FC2777">
        <w:rPr>
          <w:color w:val="000000" w:themeColor="text1"/>
        </w:rPr>
        <w:t xml:space="preserve">Member States fail or even refuse </w:t>
      </w:r>
      <w:r w:rsidR="00BE60E3" w:rsidRPr="00245485">
        <w:rPr>
          <w:color w:val="000000" w:themeColor="text1"/>
        </w:rPr>
        <w:t xml:space="preserve">to </w:t>
      </w:r>
      <w:r w:rsidR="00FC2777">
        <w:rPr>
          <w:color w:val="000000" w:themeColor="text1"/>
        </w:rPr>
        <w:t xml:space="preserve">deliver on their </w:t>
      </w:r>
      <w:r w:rsidR="00A20AC3">
        <w:rPr>
          <w:color w:val="000000" w:themeColor="text1"/>
        </w:rPr>
        <w:t xml:space="preserve">own </w:t>
      </w:r>
      <w:r w:rsidR="00FC2777">
        <w:rPr>
          <w:color w:val="000000" w:themeColor="text1"/>
        </w:rPr>
        <w:t>commitment</w:t>
      </w:r>
      <w:r w:rsidR="00A20AC3">
        <w:rPr>
          <w:color w:val="000000" w:themeColor="text1"/>
        </w:rPr>
        <w:t xml:space="preserve"> to undertake appropriate domestic action</w:t>
      </w:r>
      <w:r w:rsidR="00BE60E3" w:rsidRPr="00245485">
        <w:rPr>
          <w:color w:val="000000" w:themeColor="text1"/>
        </w:rPr>
        <w:t>.</w:t>
      </w:r>
    </w:p>
    <w:p w14:paraId="6B891E50" w14:textId="2FC8F43B" w:rsidR="00245485" w:rsidRDefault="00192FF9" w:rsidP="00245485">
      <w:pPr>
        <w:ind w:firstLine="720"/>
        <w:jc w:val="both"/>
        <w:rPr>
          <w:color w:val="000000" w:themeColor="text1"/>
        </w:rPr>
      </w:pPr>
      <w:r w:rsidRPr="00245485">
        <w:rPr>
          <w:color w:val="000000" w:themeColor="text1"/>
        </w:rPr>
        <w:t xml:space="preserve">Secondly, </w:t>
      </w:r>
      <w:r w:rsidR="00AF7B9F" w:rsidRPr="00245485">
        <w:rPr>
          <w:color w:val="000000" w:themeColor="text1"/>
        </w:rPr>
        <w:t>one might propose</w:t>
      </w:r>
      <w:r w:rsidR="00F93D71" w:rsidRPr="00245485">
        <w:rPr>
          <w:color w:val="000000" w:themeColor="text1"/>
        </w:rPr>
        <w:t xml:space="preserve">, </w:t>
      </w:r>
      <w:r w:rsidR="00BE60E3" w:rsidRPr="00245485">
        <w:rPr>
          <w:color w:val="000000" w:themeColor="text1"/>
        </w:rPr>
        <w:t xml:space="preserve">this time </w:t>
      </w:r>
      <w:r w:rsidR="00F93D71" w:rsidRPr="00245485">
        <w:rPr>
          <w:color w:val="000000" w:themeColor="text1"/>
        </w:rPr>
        <w:t>through</w:t>
      </w:r>
      <w:r w:rsidR="00AF7B9F" w:rsidRPr="00245485">
        <w:rPr>
          <w:color w:val="000000" w:themeColor="text1"/>
        </w:rPr>
        <w:t xml:space="preserve"> </w:t>
      </w:r>
      <w:r w:rsidR="00BE60E3" w:rsidRPr="00245485">
        <w:rPr>
          <w:color w:val="000000" w:themeColor="text1"/>
        </w:rPr>
        <w:t xml:space="preserve">explicit </w:t>
      </w:r>
      <w:r w:rsidR="00F93D71" w:rsidRPr="00245485">
        <w:rPr>
          <w:color w:val="000000" w:themeColor="text1"/>
        </w:rPr>
        <w:t xml:space="preserve">primary law reform, </w:t>
      </w:r>
      <w:r w:rsidR="00AF7B9F" w:rsidRPr="00245485">
        <w:rPr>
          <w:color w:val="000000" w:themeColor="text1"/>
        </w:rPr>
        <w:t>the adoption of a s</w:t>
      </w:r>
      <w:r w:rsidR="00FF5C3A" w:rsidRPr="00245485">
        <w:rPr>
          <w:color w:val="000000" w:themeColor="text1"/>
        </w:rPr>
        <w:t xml:space="preserve">pecial approval mechanism </w:t>
      </w:r>
      <w:r w:rsidR="00AF7B9F" w:rsidRPr="00245485">
        <w:rPr>
          <w:color w:val="000000" w:themeColor="text1"/>
        </w:rPr>
        <w:t xml:space="preserve">– not dissimilar to the Treaties’ existing </w:t>
      </w:r>
      <w:r w:rsidR="00FF5C3A" w:rsidRPr="00245485">
        <w:rPr>
          <w:color w:val="000000" w:themeColor="text1"/>
        </w:rPr>
        <w:t>organic law procedure</w:t>
      </w:r>
      <w:r w:rsidR="00AF7B9F" w:rsidRPr="00245485">
        <w:rPr>
          <w:color w:val="000000" w:themeColor="text1"/>
        </w:rPr>
        <w:t>s – whereby the Union</w:t>
      </w:r>
      <w:r w:rsidR="00F93D71" w:rsidRPr="00245485">
        <w:rPr>
          <w:color w:val="000000" w:themeColor="text1"/>
        </w:rPr>
        <w:t>’s main</w:t>
      </w:r>
      <w:r w:rsidR="00AF7B9F" w:rsidRPr="00245485">
        <w:rPr>
          <w:color w:val="000000" w:themeColor="text1"/>
        </w:rPr>
        <w:t xml:space="preserve"> </w:t>
      </w:r>
      <w:r w:rsidR="00F93D71" w:rsidRPr="00245485">
        <w:rPr>
          <w:color w:val="000000" w:themeColor="text1"/>
        </w:rPr>
        <w:t xml:space="preserve">political </w:t>
      </w:r>
      <w:r w:rsidR="00AF7B9F" w:rsidRPr="00245485">
        <w:rPr>
          <w:color w:val="000000" w:themeColor="text1"/>
        </w:rPr>
        <w:t xml:space="preserve">institutions, together with every Member State acting in accordance with its domestic constitutional procedures, are able to approve the </w:t>
      </w:r>
      <w:r w:rsidR="00AF7B9F" w:rsidRPr="00245485">
        <w:rPr>
          <w:color w:val="000000" w:themeColor="text1"/>
        </w:rPr>
        <w:lastRenderedPageBreak/>
        <w:t xml:space="preserve">Union’s adoption of a complex policy </w:t>
      </w:r>
      <w:r w:rsidR="00FF5C3A" w:rsidRPr="00245485">
        <w:rPr>
          <w:color w:val="000000" w:themeColor="text1"/>
        </w:rPr>
        <w:t xml:space="preserve">package </w:t>
      </w:r>
      <w:r w:rsidR="00AF7B9F" w:rsidRPr="00FC2777">
        <w:rPr>
          <w:i/>
          <w:iCs/>
          <w:color w:val="000000" w:themeColor="text1"/>
        </w:rPr>
        <w:t>as such</w:t>
      </w:r>
      <w:r w:rsidR="00CA3F6C" w:rsidRPr="00245485">
        <w:rPr>
          <w:color w:val="000000" w:themeColor="text1"/>
        </w:rPr>
        <w:t>.</w:t>
      </w:r>
      <w:r w:rsidR="00D27CCB" w:rsidRPr="00245485">
        <w:rPr>
          <w:rStyle w:val="FootnoteReference"/>
          <w:color w:val="000000" w:themeColor="text1"/>
        </w:rPr>
        <w:footnoteReference w:id="107"/>
      </w:r>
      <w:r w:rsidR="00CA3F6C" w:rsidRPr="00245485">
        <w:rPr>
          <w:color w:val="000000" w:themeColor="text1"/>
        </w:rPr>
        <w:t xml:space="preserve">  By calling up</w:t>
      </w:r>
      <w:r w:rsidR="000A12D9" w:rsidRPr="00245485">
        <w:rPr>
          <w:color w:val="000000" w:themeColor="text1"/>
        </w:rPr>
        <w:t>on</w:t>
      </w:r>
      <w:r w:rsidR="00CA3F6C" w:rsidRPr="00245485">
        <w:rPr>
          <w:color w:val="000000" w:themeColor="text1"/>
        </w:rPr>
        <w:t xml:space="preserve"> the widest democratic participation and authority that the European integration process can muster, such </w:t>
      </w:r>
      <w:r w:rsidR="00133A2B" w:rsidRPr="00245485">
        <w:rPr>
          <w:color w:val="000000" w:themeColor="text1"/>
        </w:rPr>
        <w:t xml:space="preserve">a special </w:t>
      </w:r>
      <w:r w:rsidR="00CA3F6C" w:rsidRPr="00245485">
        <w:rPr>
          <w:color w:val="000000" w:themeColor="text1"/>
        </w:rPr>
        <w:t xml:space="preserve">approval </w:t>
      </w:r>
      <w:r w:rsidR="00133A2B" w:rsidRPr="00245485">
        <w:rPr>
          <w:color w:val="000000" w:themeColor="text1"/>
        </w:rPr>
        <w:t xml:space="preserve">mechanism </w:t>
      </w:r>
      <w:r w:rsidR="00CA3F6C" w:rsidRPr="00245485">
        <w:rPr>
          <w:color w:val="000000" w:themeColor="text1"/>
        </w:rPr>
        <w:t xml:space="preserve">would </w:t>
      </w:r>
      <w:r w:rsidR="0032276F" w:rsidRPr="00245485">
        <w:rPr>
          <w:color w:val="000000" w:themeColor="text1"/>
        </w:rPr>
        <w:t>entitl</w:t>
      </w:r>
      <w:r w:rsidR="00CA3F6C" w:rsidRPr="00245485">
        <w:rPr>
          <w:color w:val="000000" w:themeColor="text1"/>
        </w:rPr>
        <w:t>e</w:t>
      </w:r>
      <w:r w:rsidR="0032276F" w:rsidRPr="00245485">
        <w:rPr>
          <w:color w:val="000000" w:themeColor="text1"/>
        </w:rPr>
        <w:t xml:space="preserve"> </w:t>
      </w:r>
      <w:r w:rsidR="00AF7B9F" w:rsidRPr="00245485">
        <w:rPr>
          <w:color w:val="000000" w:themeColor="text1"/>
        </w:rPr>
        <w:t xml:space="preserve">the entire programme </w:t>
      </w:r>
      <w:r w:rsidR="0032276F" w:rsidRPr="00245485">
        <w:rPr>
          <w:color w:val="000000" w:themeColor="text1"/>
        </w:rPr>
        <w:t xml:space="preserve">to be </w:t>
      </w:r>
      <w:r w:rsidR="00AF7B9F" w:rsidRPr="00245485">
        <w:rPr>
          <w:color w:val="000000" w:themeColor="text1"/>
        </w:rPr>
        <w:t xml:space="preserve">positively </w:t>
      </w:r>
      <w:r w:rsidR="0032276F" w:rsidRPr="00245485">
        <w:rPr>
          <w:color w:val="000000" w:themeColor="text1"/>
        </w:rPr>
        <w:t xml:space="preserve">categorised as </w:t>
      </w:r>
      <w:r w:rsidR="00FF5C3A" w:rsidRPr="00245485">
        <w:rPr>
          <w:color w:val="000000" w:themeColor="text1"/>
        </w:rPr>
        <w:t>intra vires</w:t>
      </w:r>
      <w:r w:rsidR="00CA3F6C" w:rsidRPr="00245485">
        <w:rPr>
          <w:color w:val="000000" w:themeColor="text1"/>
        </w:rPr>
        <w:t xml:space="preserve"> </w:t>
      </w:r>
      <w:r w:rsidR="000A12D9" w:rsidRPr="00245485">
        <w:rPr>
          <w:color w:val="000000" w:themeColor="text1"/>
        </w:rPr>
        <w:t xml:space="preserve">at the Union level </w:t>
      </w:r>
      <w:r w:rsidR="00CA3F6C" w:rsidRPr="00245485">
        <w:rPr>
          <w:color w:val="000000" w:themeColor="text1"/>
        </w:rPr>
        <w:t>–</w:t>
      </w:r>
      <w:r w:rsidR="000A12D9" w:rsidRPr="00245485">
        <w:rPr>
          <w:color w:val="000000" w:themeColor="text1"/>
        </w:rPr>
        <w:t xml:space="preserve"> </w:t>
      </w:r>
      <w:r w:rsidR="00FF5C3A" w:rsidRPr="00245485">
        <w:rPr>
          <w:color w:val="000000" w:themeColor="text1"/>
        </w:rPr>
        <w:t xml:space="preserve">notwithstanding </w:t>
      </w:r>
      <w:r w:rsidR="0032276F" w:rsidRPr="00245485">
        <w:rPr>
          <w:color w:val="000000" w:themeColor="text1"/>
        </w:rPr>
        <w:t xml:space="preserve">any </w:t>
      </w:r>
      <w:r w:rsidR="00CA3F6C" w:rsidRPr="00245485">
        <w:rPr>
          <w:color w:val="000000" w:themeColor="text1"/>
        </w:rPr>
        <w:t xml:space="preserve">specific </w:t>
      </w:r>
      <w:r w:rsidR="00FF5C3A" w:rsidRPr="00245485">
        <w:rPr>
          <w:color w:val="000000" w:themeColor="text1"/>
        </w:rPr>
        <w:t xml:space="preserve">concerns </w:t>
      </w:r>
      <w:r w:rsidR="0032276F" w:rsidRPr="00245485">
        <w:rPr>
          <w:color w:val="000000" w:themeColor="text1"/>
        </w:rPr>
        <w:t xml:space="preserve">that might otherwise have been harboured over the </w:t>
      </w:r>
      <w:r w:rsidR="000A12D9" w:rsidRPr="00245485">
        <w:rPr>
          <w:color w:val="000000" w:themeColor="text1"/>
        </w:rPr>
        <w:t xml:space="preserve">Union institutions’ </w:t>
      </w:r>
      <w:r w:rsidR="00FF5C3A" w:rsidRPr="00245485">
        <w:rPr>
          <w:color w:val="000000" w:themeColor="text1"/>
        </w:rPr>
        <w:t>attributed power</w:t>
      </w:r>
      <w:r w:rsidR="0032276F" w:rsidRPr="00245485">
        <w:rPr>
          <w:color w:val="000000" w:themeColor="text1"/>
        </w:rPr>
        <w:t xml:space="preserve"> to adopt some of its individual elements</w:t>
      </w:r>
      <w:r w:rsidR="007F791B" w:rsidRPr="00245485">
        <w:rPr>
          <w:color w:val="000000" w:themeColor="text1"/>
        </w:rPr>
        <w:t>; and without setting any wider or more lasting precedent that would expand the Union’s ordinary competences under the Treaties</w:t>
      </w:r>
      <w:r w:rsidR="0032276F" w:rsidRPr="00245485">
        <w:rPr>
          <w:color w:val="000000" w:themeColor="text1"/>
        </w:rPr>
        <w:t>.</w:t>
      </w:r>
      <w:r w:rsidR="00EB151D" w:rsidRPr="00245485">
        <w:rPr>
          <w:rStyle w:val="FootnoteReference"/>
          <w:color w:val="000000" w:themeColor="text1"/>
        </w:rPr>
        <w:footnoteReference w:id="108"/>
      </w:r>
      <w:r w:rsidR="0032276F" w:rsidRPr="00245485">
        <w:rPr>
          <w:color w:val="000000" w:themeColor="text1"/>
        </w:rPr>
        <w:t xml:space="preserve">  </w:t>
      </w:r>
      <w:r w:rsidR="00FC2777">
        <w:rPr>
          <w:color w:val="000000" w:themeColor="text1"/>
        </w:rPr>
        <w:t>In effect, such a</w:t>
      </w:r>
      <w:r w:rsidR="007B5F53">
        <w:rPr>
          <w:color w:val="000000" w:themeColor="text1"/>
        </w:rPr>
        <w:t>n exceptional</w:t>
      </w:r>
      <w:r w:rsidR="00FC2777">
        <w:rPr>
          <w:color w:val="000000" w:themeColor="text1"/>
        </w:rPr>
        <w:t xml:space="preserve"> mechanism would </w:t>
      </w:r>
      <w:r w:rsidR="007B5F53">
        <w:rPr>
          <w:color w:val="000000" w:themeColor="text1"/>
        </w:rPr>
        <w:t>enable the Union to overcome isolated competence gaps or concerns that might otherwise inhibit the negotiation and adoption of an integrated policy package enjoying widespread institutional support</w:t>
      </w:r>
      <w:r w:rsidR="00FC2777">
        <w:rPr>
          <w:color w:val="000000" w:themeColor="text1"/>
        </w:rPr>
        <w:t xml:space="preserve">.  </w:t>
      </w:r>
      <w:r w:rsidR="00C314E0" w:rsidRPr="00245485">
        <w:rPr>
          <w:color w:val="000000" w:themeColor="text1"/>
        </w:rPr>
        <w:t xml:space="preserve">Again, </w:t>
      </w:r>
      <w:r w:rsidR="001856F2" w:rsidRPr="00245485">
        <w:rPr>
          <w:color w:val="000000" w:themeColor="text1"/>
        </w:rPr>
        <w:t xml:space="preserve">however, </w:t>
      </w:r>
      <w:r w:rsidR="00FC2777">
        <w:rPr>
          <w:color w:val="000000" w:themeColor="text1"/>
        </w:rPr>
        <w:t xml:space="preserve">this proposal </w:t>
      </w:r>
      <w:r w:rsidR="00BE60E3" w:rsidRPr="00245485">
        <w:rPr>
          <w:color w:val="000000" w:themeColor="text1"/>
        </w:rPr>
        <w:t xml:space="preserve">would </w:t>
      </w:r>
      <w:r w:rsidR="00C314E0" w:rsidRPr="00245485">
        <w:rPr>
          <w:color w:val="000000" w:themeColor="text1"/>
        </w:rPr>
        <w:t xml:space="preserve">still </w:t>
      </w:r>
      <w:r w:rsidR="00BE60E3" w:rsidRPr="00245485">
        <w:rPr>
          <w:color w:val="000000" w:themeColor="text1"/>
        </w:rPr>
        <w:t xml:space="preserve">exhibit certain natural weaknesses.  After all, </w:t>
      </w:r>
      <w:r w:rsidR="00A15375" w:rsidRPr="00245485">
        <w:rPr>
          <w:color w:val="000000" w:themeColor="text1"/>
        </w:rPr>
        <w:t xml:space="preserve">an inevitably </w:t>
      </w:r>
      <w:r w:rsidR="007B5F53">
        <w:rPr>
          <w:color w:val="000000" w:themeColor="text1"/>
        </w:rPr>
        <w:t xml:space="preserve">contingent </w:t>
      </w:r>
      <w:r w:rsidR="000677F9" w:rsidRPr="00245485">
        <w:rPr>
          <w:color w:val="000000" w:themeColor="text1"/>
        </w:rPr>
        <w:t xml:space="preserve">and potentially protracted </w:t>
      </w:r>
      <w:r w:rsidR="007B5F53">
        <w:rPr>
          <w:color w:val="000000" w:themeColor="text1"/>
        </w:rPr>
        <w:t xml:space="preserve">programme of national </w:t>
      </w:r>
      <w:r w:rsidR="000677F9" w:rsidRPr="00245485">
        <w:rPr>
          <w:color w:val="000000" w:themeColor="text1"/>
        </w:rPr>
        <w:t>approval procedure</w:t>
      </w:r>
      <w:r w:rsidR="007B5F53">
        <w:rPr>
          <w:color w:val="000000" w:themeColor="text1"/>
        </w:rPr>
        <w:t>s</w:t>
      </w:r>
      <w:r w:rsidR="000677F9" w:rsidRPr="00245485">
        <w:rPr>
          <w:color w:val="000000" w:themeColor="text1"/>
        </w:rPr>
        <w:t xml:space="preserve"> appear</w:t>
      </w:r>
      <w:r w:rsidR="00A15375" w:rsidRPr="00245485">
        <w:rPr>
          <w:color w:val="000000" w:themeColor="text1"/>
        </w:rPr>
        <w:t>s</w:t>
      </w:r>
      <w:r w:rsidR="000677F9" w:rsidRPr="00245485">
        <w:rPr>
          <w:color w:val="000000" w:themeColor="text1"/>
        </w:rPr>
        <w:t xml:space="preserve"> less well-suited to managing any policy package motivated not only by considerations of scale and complexity but also by the demands of urgency.</w:t>
      </w:r>
      <w:r w:rsidR="007F2321" w:rsidRPr="00245485">
        <w:rPr>
          <w:rStyle w:val="FootnoteReference"/>
          <w:color w:val="000000" w:themeColor="text1"/>
        </w:rPr>
        <w:footnoteReference w:id="109"/>
      </w:r>
      <w:r w:rsidR="000677F9" w:rsidRPr="00245485">
        <w:rPr>
          <w:color w:val="000000" w:themeColor="text1"/>
        </w:rPr>
        <w:t xml:space="preserve">  </w:t>
      </w:r>
      <w:r w:rsidR="00A15375" w:rsidRPr="00245485">
        <w:rPr>
          <w:color w:val="000000" w:themeColor="text1"/>
        </w:rPr>
        <w:t xml:space="preserve">And the </w:t>
      </w:r>
      <w:r w:rsidR="001856F2" w:rsidRPr="00245485">
        <w:rPr>
          <w:color w:val="000000" w:themeColor="text1"/>
        </w:rPr>
        <w:t xml:space="preserve">same </w:t>
      </w:r>
      <w:r w:rsidR="00A15375" w:rsidRPr="00245485">
        <w:rPr>
          <w:color w:val="000000" w:themeColor="text1"/>
        </w:rPr>
        <w:t>question arises</w:t>
      </w:r>
      <w:r w:rsidR="001856F2" w:rsidRPr="00245485">
        <w:rPr>
          <w:color w:val="000000" w:themeColor="text1"/>
        </w:rPr>
        <w:t xml:space="preserve"> as before</w:t>
      </w:r>
      <w:r w:rsidR="007B5F53">
        <w:rPr>
          <w:color w:val="000000" w:themeColor="text1"/>
        </w:rPr>
        <w:t>:</w:t>
      </w:r>
      <w:r w:rsidR="00E6796C" w:rsidRPr="00245485">
        <w:rPr>
          <w:color w:val="000000" w:themeColor="text1"/>
        </w:rPr>
        <w:t xml:space="preserve"> what </w:t>
      </w:r>
      <w:r w:rsidR="00A15375" w:rsidRPr="00245485">
        <w:rPr>
          <w:color w:val="000000" w:themeColor="text1"/>
        </w:rPr>
        <w:t xml:space="preserve">would happen should one </w:t>
      </w:r>
      <w:r w:rsidR="007F2321" w:rsidRPr="00245485">
        <w:rPr>
          <w:color w:val="000000" w:themeColor="text1"/>
        </w:rPr>
        <w:t xml:space="preserve">or more </w:t>
      </w:r>
      <w:r w:rsidR="00A15375" w:rsidRPr="00245485">
        <w:rPr>
          <w:color w:val="000000" w:themeColor="text1"/>
        </w:rPr>
        <w:t xml:space="preserve">of the 27 domestic constitutional authorities withhold its consent? </w:t>
      </w:r>
      <w:r w:rsidR="007B5F53">
        <w:rPr>
          <w:color w:val="000000" w:themeColor="text1"/>
        </w:rPr>
        <w:t xml:space="preserve"> O</w:t>
      </w:r>
      <w:r w:rsidR="00E6796C" w:rsidRPr="00245485">
        <w:rPr>
          <w:color w:val="000000" w:themeColor="text1"/>
        </w:rPr>
        <w:t xml:space="preserve">nly </w:t>
      </w:r>
      <w:r w:rsidR="001856F2" w:rsidRPr="00245485">
        <w:rPr>
          <w:color w:val="000000" w:themeColor="text1"/>
        </w:rPr>
        <w:t xml:space="preserve">this time, the </w:t>
      </w:r>
      <w:r w:rsidR="00A15375" w:rsidRPr="00245485">
        <w:rPr>
          <w:color w:val="000000" w:themeColor="text1"/>
        </w:rPr>
        <w:t xml:space="preserve">danger </w:t>
      </w:r>
      <w:r w:rsidR="007B5F53">
        <w:rPr>
          <w:color w:val="000000" w:themeColor="text1"/>
        </w:rPr>
        <w:t>would be</w:t>
      </w:r>
      <w:r w:rsidR="00A15375" w:rsidRPr="00245485">
        <w:rPr>
          <w:color w:val="000000" w:themeColor="text1"/>
        </w:rPr>
        <w:t xml:space="preserve"> less about sub-optimal fragmentation </w:t>
      </w:r>
      <w:r w:rsidR="007B5F53">
        <w:rPr>
          <w:color w:val="000000" w:themeColor="text1"/>
        </w:rPr>
        <w:t xml:space="preserve">across the Union because a given Member State fails to adopt its own supplementary measures; and more </w:t>
      </w:r>
      <w:r w:rsidR="001856F2" w:rsidRPr="00245485">
        <w:rPr>
          <w:color w:val="000000" w:themeColor="text1"/>
        </w:rPr>
        <w:t xml:space="preserve">about </w:t>
      </w:r>
      <w:r w:rsidR="00A15375" w:rsidRPr="00245485">
        <w:rPr>
          <w:color w:val="000000" w:themeColor="text1"/>
        </w:rPr>
        <w:t>collective failure</w:t>
      </w:r>
      <w:r w:rsidR="001856F2" w:rsidRPr="00245485">
        <w:rPr>
          <w:color w:val="000000" w:themeColor="text1"/>
        </w:rPr>
        <w:t xml:space="preserve"> by the Union as a whole</w:t>
      </w:r>
      <w:r w:rsidR="007B5F53">
        <w:rPr>
          <w:color w:val="000000" w:themeColor="text1"/>
        </w:rPr>
        <w:t>, since a single Member State’s non-ratification would affect approval of the entire policy package</w:t>
      </w:r>
      <w:r w:rsidR="00A15375" w:rsidRPr="00245485">
        <w:rPr>
          <w:color w:val="000000" w:themeColor="text1"/>
        </w:rPr>
        <w:t>.</w:t>
      </w:r>
      <w:r w:rsidR="007F2321" w:rsidRPr="00245485">
        <w:rPr>
          <w:rStyle w:val="FootnoteReference"/>
          <w:color w:val="000000" w:themeColor="text1"/>
        </w:rPr>
        <w:footnoteReference w:id="110"/>
      </w:r>
    </w:p>
    <w:p w14:paraId="61F18C7A" w14:textId="12353AFE" w:rsidR="00245485" w:rsidRDefault="00192FF9" w:rsidP="00245485">
      <w:pPr>
        <w:ind w:firstLine="720"/>
        <w:jc w:val="both"/>
        <w:rPr>
          <w:color w:val="000000" w:themeColor="text1"/>
        </w:rPr>
      </w:pPr>
      <w:r w:rsidRPr="00245485">
        <w:rPr>
          <w:color w:val="000000" w:themeColor="text1"/>
        </w:rPr>
        <w:t xml:space="preserve">Thirdly, </w:t>
      </w:r>
      <w:r w:rsidR="00A15375" w:rsidRPr="00245485">
        <w:rPr>
          <w:color w:val="000000" w:themeColor="text1"/>
        </w:rPr>
        <w:t xml:space="preserve">when searching for a solution </w:t>
      </w:r>
      <w:r w:rsidR="007B5F53">
        <w:rPr>
          <w:color w:val="000000" w:themeColor="text1"/>
        </w:rPr>
        <w:t xml:space="preserve">precisely </w:t>
      </w:r>
      <w:r w:rsidR="00A15375" w:rsidRPr="00245485">
        <w:rPr>
          <w:color w:val="000000" w:themeColor="text1"/>
        </w:rPr>
        <w:t xml:space="preserve">to </w:t>
      </w:r>
      <w:r w:rsidR="007B5F53">
        <w:rPr>
          <w:color w:val="000000" w:themeColor="text1"/>
        </w:rPr>
        <w:t xml:space="preserve">those </w:t>
      </w:r>
      <w:r w:rsidR="00A15375" w:rsidRPr="00245485">
        <w:rPr>
          <w:color w:val="000000" w:themeColor="text1"/>
        </w:rPr>
        <w:t xml:space="preserve">dangers of individual fragmentation </w:t>
      </w:r>
      <w:r w:rsidR="007B5F53">
        <w:rPr>
          <w:color w:val="000000" w:themeColor="text1"/>
        </w:rPr>
        <w:t xml:space="preserve">across the Member States </w:t>
      </w:r>
      <w:r w:rsidR="00A15375" w:rsidRPr="00245485">
        <w:rPr>
          <w:color w:val="000000" w:themeColor="text1"/>
        </w:rPr>
        <w:t>or indeed of collective failure</w:t>
      </w:r>
      <w:r w:rsidR="007B5F53">
        <w:rPr>
          <w:color w:val="000000" w:themeColor="text1"/>
        </w:rPr>
        <w:t xml:space="preserve"> by the Union as a whole</w:t>
      </w:r>
      <w:r w:rsidR="00A15375" w:rsidRPr="00245485">
        <w:rPr>
          <w:color w:val="000000" w:themeColor="text1"/>
        </w:rPr>
        <w:t>, one might look to reform of the existing Treaty provisions on enhanced cooperation.</w:t>
      </w:r>
      <w:r w:rsidR="00D27CCB" w:rsidRPr="00245485">
        <w:rPr>
          <w:rStyle w:val="FootnoteReference"/>
          <w:color w:val="000000" w:themeColor="text1"/>
        </w:rPr>
        <w:footnoteReference w:id="111"/>
      </w:r>
      <w:r w:rsidR="00A15375" w:rsidRPr="00245485">
        <w:rPr>
          <w:color w:val="000000" w:themeColor="text1"/>
        </w:rPr>
        <w:t xml:space="preserve">  Enhanced cooperation offers the potential for certain Member States to harness the Union legal order so as to pursue a broader or deeper level of integration and cooperation than that currently agreed between the EU27.  But for present purposes, the current system governing enhanced cooperation also has significant limitations – not least the requirement that any proposed action must </w:t>
      </w:r>
      <w:proofErr w:type="gramStart"/>
      <w:r w:rsidR="00A15375" w:rsidRPr="00245485">
        <w:rPr>
          <w:color w:val="000000" w:themeColor="text1"/>
        </w:rPr>
        <w:t>still remain</w:t>
      </w:r>
      <w:proofErr w:type="gramEnd"/>
      <w:r w:rsidR="00A15375" w:rsidRPr="00245485">
        <w:rPr>
          <w:color w:val="000000" w:themeColor="text1"/>
        </w:rPr>
        <w:t xml:space="preserve"> within </w:t>
      </w:r>
      <w:r w:rsidR="007B5F53">
        <w:rPr>
          <w:color w:val="000000" w:themeColor="text1"/>
        </w:rPr>
        <w:t xml:space="preserve">the </w:t>
      </w:r>
      <w:r w:rsidR="00A15375" w:rsidRPr="00245485">
        <w:rPr>
          <w:color w:val="000000" w:themeColor="text1"/>
        </w:rPr>
        <w:t xml:space="preserve">existing framework of Union competences and </w:t>
      </w:r>
      <w:r w:rsidR="002B06FA" w:rsidRPr="00245485">
        <w:rPr>
          <w:color w:val="000000" w:themeColor="text1"/>
        </w:rPr>
        <w:t xml:space="preserve">is </w:t>
      </w:r>
      <w:r w:rsidR="00A15375" w:rsidRPr="00245485">
        <w:rPr>
          <w:color w:val="000000" w:themeColor="text1"/>
        </w:rPr>
        <w:t xml:space="preserve">therefore </w:t>
      </w:r>
      <w:r w:rsidR="002B06FA" w:rsidRPr="00245485">
        <w:rPr>
          <w:color w:val="000000" w:themeColor="text1"/>
        </w:rPr>
        <w:t xml:space="preserve">still </w:t>
      </w:r>
      <w:r w:rsidR="00A15375" w:rsidRPr="00245485">
        <w:rPr>
          <w:color w:val="000000" w:themeColor="text1"/>
        </w:rPr>
        <w:t xml:space="preserve">subject to the </w:t>
      </w:r>
      <w:r w:rsidR="002B06FA" w:rsidRPr="00245485">
        <w:rPr>
          <w:color w:val="000000" w:themeColor="text1"/>
        </w:rPr>
        <w:t>demands of attributed powers and correct legal basis</w:t>
      </w:r>
      <w:r w:rsidR="00A15375" w:rsidRPr="00245485">
        <w:rPr>
          <w:color w:val="000000" w:themeColor="text1"/>
        </w:rPr>
        <w:t>.</w:t>
      </w:r>
      <w:r w:rsidR="00D27CCB" w:rsidRPr="00245485">
        <w:rPr>
          <w:rStyle w:val="FootnoteReference"/>
          <w:color w:val="000000" w:themeColor="text1"/>
        </w:rPr>
        <w:footnoteReference w:id="112"/>
      </w:r>
      <w:r w:rsidR="002B06FA" w:rsidRPr="00245485">
        <w:rPr>
          <w:color w:val="000000" w:themeColor="text1"/>
        </w:rPr>
        <w:t xml:space="preserve">  </w:t>
      </w:r>
      <w:r w:rsidR="007B5F53">
        <w:rPr>
          <w:color w:val="000000" w:themeColor="text1"/>
        </w:rPr>
        <w:t xml:space="preserve">So as it stands, enhanced cooperation does not offer an effective solution for the adoption of complex policy packages dogged by particular competence limitations.  But what </w:t>
      </w:r>
      <w:r w:rsidR="002B06FA" w:rsidRPr="00245485">
        <w:rPr>
          <w:color w:val="000000" w:themeColor="text1"/>
        </w:rPr>
        <w:t xml:space="preserve">if the Treaties were reformed, </w:t>
      </w:r>
      <w:proofErr w:type="gramStart"/>
      <w:r w:rsidR="002B06FA" w:rsidRPr="00245485">
        <w:rPr>
          <w:color w:val="000000" w:themeColor="text1"/>
        </w:rPr>
        <w:t>so as to</w:t>
      </w:r>
      <w:proofErr w:type="gramEnd"/>
      <w:r w:rsidR="002B06FA" w:rsidRPr="00245485">
        <w:rPr>
          <w:color w:val="000000" w:themeColor="text1"/>
        </w:rPr>
        <w:t xml:space="preserve"> open up the possibility of certain Member States being able to harness the Union legal order – its institutions and instruments, </w:t>
      </w:r>
      <w:r w:rsidR="007B5F53">
        <w:rPr>
          <w:color w:val="000000" w:themeColor="text1"/>
        </w:rPr>
        <w:t xml:space="preserve">its </w:t>
      </w:r>
      <w:r w:rsidR="002B06FA" w:rsidRPr="00245485">
        <w:rPr>
          <w:color w:val="000000" w:themeColor="text1"/>
        </w:rPr>
        <w:t xml:space="preserve">structures and enforcement mechanisms – for purposes and initiatives that </w:t>
      </w:r>
      <w:r w:rsidR="007B5F53">
        <w:rPr>
          <w:color w:val="000000" w:themeColor="text1"/>
        </w:rPr>
        <w:t xml:space="preserve">would </w:t>
      </w:r>
      <w:r w:rsidR="002B06FA" w:rsidRPr="00245485">
        <w:rPr>
          <w:color w:val="000000" w:themeColor="text1"/>
        </w:rPr>
        <w:t xml:space="preserve">admittedly exceed the attributed powers </w:t>
      </w:r>
      <w:r w:rsidR="007B5F53">
        <w:rPr>
          <w:color w:val="000000" w:themeColor="text1"/>
        </w:rPr>
        <w:t xml:space="preserve">ordinarily available to </w:t>
      </w:r>
      <w:r w:rsidR="002B06FA" w:rsidRPr="00245485">
        <w:rPr>
          <w:color w:val="000000" w:themeColor="text1"/>
        </w:rPr>
        <w:t xml:space="preserve">the Union </w:t>
      </w:r>
      <w:r w:rsidR="007B5F53">
        <w:rPr>
          <w:color w:val="000000" w:themeColor="text1"/>
        </w:rPr>
        <w:t xml:space="preserve">acting </w:t>
      </w:r>
      <w:r w:rsidR="002B06FA" w:rsidRPr="00245485">
        <w:rPr>
          <w:color w:val="000000" w:themeColor="text1"/>
        </w:rPr>
        <w:t xml:space="preserve">as a whole?  </w:t>
      </w:r>
      <w:r w:rsidR="007B5F53">
        <w:rPr>
          <w:color w:val="000000" w:themeColor="text1"/>
        </w:rPr>
        <w:t xml:space="preserve">On the one hand, enhanced cooperation “beyond attributed powers” could help </w:t>
      </w:r>
      <w:r w:rsidR="00F06939">
        <w:rPr>
          <w:color w:val="000000" w:themeColor="text1"/>
        </w:rPr>
        <w:t>deliver integrated policy responses to complex challenges, at least through the medium of the Union, even if not (yet) involving every single Member State.  On the other hand</w:t>
      </w:r>
      <w:r w:rsidR="002B06FA" w:rsidRPr="00245485">
        <w:rPr>
          <w:color w:val="000000" w:themeColor="text1"/>
        </w:rPr>
        <w:t xml:space="preserve">, such a proposal would </w:t>
      </w:r>
      <w:r w:rsidR="00F06939">
        <w:rPr>
          <w:color w:val="000000" w:themeColor="text1"/>
        </w:rPr>
        <w:t xml:space="preserve">once more </w:t>
      </w:r>
      <w:r w:rsidR="002B06FA" w:rsidRPr="00245485">
        <w:rPr>
          <w:color w:val="000000" w:themeColor="text1"/>
        </w:rPr>
        <w:t xml:space="preserve">need </w:t>
      </w:r>
      <w:proofErr w:type="gramStart"/>
      <w:r w:rsidR="002B06FA" w:rsidRPr="00245485">
        <w:rPr>
          <w:color w:val="000000" w:themeColor="text1"/>
        </w:rPr>
        <w:t>careful scrutiny</w:t>
      </w:r>
      <w:proofErr w:type="gramEnd"/>
      <w:r w:rsidR="002B06FA" w:rsidRPr="00245485">
        <w:rPr>
          <w:color w:val="000000" w:themeColor="text1"/>
        </w:rPr>
        <w:t xml:space="preserve"> to address its natural weaknesses – not least the question: what happens when more and more Member States gradually join the enhanced </w:t>
      </w:r>
      <w:r w:rsidR="002B06FA" w:rsidRPr="00245485">
        <w:rPr>
          <w:color w:val="000000" w:themeColor="text1"/>
        </w:rPr>
        <w:lastRenderedPageBreak/>
        <w:t>cooperation</w:t>
      </w:r>
      <w:r w:rsidR="00F06939">
        <w:rPr>
          <w:color w:val="000000" w:themeColor="text1"/>
        </w:rPr>
        <w:t xml:space="preserve">?  After all, </w:t>
      </w:r>
      <w:r w:rsidR="002B06FA" w:rsidRPr="00245485">
        <w:rPr>
          <w:color w:val="000000" w:themeColor="text1"/>
        </w:rPr>
        <w:t xml:space="preserve">by the time all 27 </w:t>
      </w:r>
      <w:r w:rsidR="00077AD8" w:rsidRPr="00245485">
        <w:rPr>
          <w:color w:val="000000" w:themeColor="text1"/>
        </w:rPr>
        <w:t xml:space="preserve">might eventually </w:t>
      </w:r>
      <w:r w:rsidR="002B06FA" w:rsidRPr="00245485">
        <w:rPr>
          <w:color w:val="000000" w:themeColor="text1"/>
        </w:rPr>
        <w:t>participate</w:t>
      </w:r>
      <w:r w:rsidR="00F06939">
        <w:rPr>
          <w:color w:val="000000" w:themeColor="text1"/>
        </w:rPr>
        <w:t xml:space="preserve"> in the relevant regulatory package</w:t>
      </w:r>
      <w:r w:rsidR="002B06FA" w:rsidRPr="00245485">
        <w:rPr>
          <w:color w:val="000000" w:themeColor="text1"/>
        </w:rPr>
        <w:t xml:space="preserve">, </w:t>
      </w:r>
      <w:r w:rsidR="00F06939">
        <w:rPr>
          <w:color w:val="000000" w:themeColor="text1"/>
        </w:rPr>
        <w:t xml:space="preserve">might that enhanced cooperation not have been used </w:t>
      </w:r>
      <w:r w:rsidR="002B06FA" w:rsidRPr="00245485">
        <w:rPr>
          <w:color w:val="000000" w:themeColor="text1"/>
        </w:rPr>
        <w:t xml:space="preserve">simply </w:t>
      </w:r>
      <w:r w:rsidR="00F06939">
        <w:rPr>
          <w:color w:val="000000" w:themeColor="text1"/>
        </w:rPr>
        <w:t xml:space="preserve">to </w:t>
      </w:r>
      <w:r w:rsidR="002B06FA" w:rsidRPr="00245485">
        <w:rPr>
          <w:color w:val="000000" w:themeColor="text1"/>
        </w:rPr>
        <w:t>bypass the principle of conferral</w:t>
      </w:r>
      <w:r w:rsidR="001856F2" w:rsidRPr="00245485">
        <w:rPr>
          <w:color w:val="000000" w:themeColor="text1"/>
        </w:rPr>
        <w:t xml:space="preserve"> itself</w:t>
      </w:r>
      <w:r w:rsidR="002B06FA" w:rsidRPr="00245485">
        <w:rPr>
          <w:color w:val="000000" w:themeColor="text1"/>
        </w:rPr>
        <w:t>?</w:t>
      </w:r>
      <w:r w:rsidR="007F2321" w:rsidRPr="00245485">
        <w:rPr>
          <w:rStyle w:val="FootnoteReference"/>
          <w:color w:val="000000" w:themeColor="text1"/>
        </w:rPr>
        <w:footnoteReference w:id="113"/>
      </w:r>
    </w:p>
    <w:p w14:paraId="657C840B" w14:textId="484B9AF8" w:rsidR="000D4333" w:rsidRPr="00245485" w:rsidRDefault="0099657B" w:rsidP="00245485">
      <w:pPr>
        <w:ind w:firstLine="720"/>
        <w:jc w:val="both"/>
        <w:rPr>
          <w:color w:val="000000" w:themeColor="text1"/>
        </w:rPr>
      </w:pPr>
      <w:r w:rsidRPr="00245485">
        <w:rPr>
          <w:color w:val="000000" w:themeColor="text1"/>
        </w:rPr>
        <w:t xml:space="preserve">The purpose of our suggestions is less to “solve” the problem of policy packages, than to provoke critical reflection about the current framework of conferral.  </w:t>
      </w:r>
      <w:r w:rsidR="000D4333" w:rsidRPr="00245485">
        <w:rPr>
          <w:color w:val="000000" w:themeColor="text1"/>
        </w:rPr>
        <w:t xml:space="preserve">But </w:t>
      </w:r>
      <w:r w:rsidRPr="00245485">
        <w:rPr>
          <w:color w:val="000000" w:themeColor="text1"/>
        </w:rPr>
        <w:t xml:space="preserve">in that regard, </w:t>
      </w:r>
      <w:r w:rsidR="000D4333" w:rsidRPr="00245485">
        <w:rPr>
          <w:color w:val="000000" w:themeColor="text1"/>
        </w:rPr>
        <w:t xml:space="preserve">the fundamental </w:t>
      </w:r>
      <w:r w:rsidR="00B111B1" w:rsidRPr="00245485">
        <w:rPr>
          <w:color w:val="000000" w:themeColor="text1"/>
        </w:rPr>
        <w:t>question</w:t>
      </w:r>
      <w:r w:rsidR="000D4333" w:rsidRPr="00245485">
        <w:rPr>
          <w:color w:val="000000" w:themeColor="text1"/>
        </w:rPr>
        <w:t xml:space="preserve"> that </w:t>
      </w:r>
      <w:r w:rsidR="00B111B1" w:rsidRPr="00245485">
        <w:rPr>
          <w:color w:val="000000" w:themeColor="text1"/>
        </w:rPr>
        <w:t xml:space="preserve">accompanies </w:t>
      </w:r>
      <w:r w:rsidR="000D4333" w:rsidRPr="00245485">
        <w:rPr>
          <w:color w:val="000000" w:themeColor="text1"/>
        </w:rPr>
        <w:t>any proposal for reform of Union competences – whether minimalist or maximalist</w:t>
      </w:r>
      <w:r w:rsidRPr="00245485">
        <w:rPr>
          <w:color w:val="000000" w:themeColor="text1"/>
        </w:rPr>
        <w:t xml:space="preserve"> </w:t>
      </w:r>
      <w:r w:rsidR="000D4333" w:rsidRPr="00245485">
        <w:rPr>
          <w:color w:val="000000" w:themeColor="text1"/>
        </w:rPr>
        <w:t>– is, of course, the national perspective.  On one level, the legal tensions raised by effective integrated policymaking in response to particularly complex challenges may be distinctive</w:t>
      </w:r>
      <w:r w:rsidR="00B111B1" w:rsidRPr="00245485">
        <w:rPr>
          <w:color w:val="000000" w:themeColor="text1"/>
        </w:rPr>
        <w:t>.  B</w:t>
      </w:r>
      <w:r w:rsidR="000D4333" w:rsidRPr="00245485">
        <w:rPr>
          <w:color w:val="000000" w:themeColor="text1"/>
        </w:rPr>
        <w:t xml:space="preserve">ut on another level, </w:t>
      </w:r>
      <w:r w:rsidR="00B111B1" w:rsidRPr="00245485">
        <w:rPr>
          <w:color w:val="000000" w:themeColor="text1"/>
        </w:rPr>
        <w:t xml:space="preserve">this is merely a rearticulation or magnification of </w:t>
      </w:r>
      <w:r w:rsidR="000D4333" w:rsidRPr="00245485">
        <w:rPr>
          <w:color w:val="000000" w:themeColor="text1"/>
        </w:rPr>
        <w:t xml:space="preserve">constitutional issues </w:t>
      </w:r>
      <w:r w:rsidR="00B111B1" w:rsidRPr="00245485">
        <w:rPr>
          <w:color w:val="000000" w:themeColor="text1"/>
        </w:rPr>
        <w:t xml:space="preserve">that have long been familiar to Union law: questions about the utility and legitimacy of collective action; about the </w:t>
      </w:r>
      <w:r w:rsidR="00A862CD">
        <w:rPr>
          <w:color w:val="000000" w:themeColor="text1"/>
        </w:rPr>
        <w:t xml:space="preserve">latter’s </w:t>
      </w:r>
      <w:r w:rsidR="00B111B1" w:rsidRPr="00245485">
        <w:rPr>
          <w:color w:val="000000" w:themeColor="text1"/>
        </w:rPr>
        <w:t>costs and burdens for national institutions; about channels of effective participation and accountability</w:t>
      </w:r>
      <w:r w:rsidR="008508C5" w:rsidRPr="00245485">
        <w:rPr>
          <w:color w:val="000000" w:themeColor="text1"/>
        </w:rPr>
        <w:t>; about the inherent limits to integration identified by certain national supreme courts even regardless of executive and parliamentary acquiescence</w:t>
      </w:r>
      <w:r w:rsidR="00B111B1" w:rsidRPr="00245485">
        <w:rPr>
          <w:color w:val="000000" w:themeColor="text1"/>
        </w:rPr>
        <w:t>.  Whatever our diagnosis of the problems surrounding policy packages, whatever our own normative perspective on how far Union law should feel responsible for addressing those problems, and whatever our suggestions for potential solutions, this debate needs to be conducted in conjunction with the relevant domestic constitutional actors.</w:t>
      </w:r>
      <w:r w:rsidRPr="00245485">
        <w:rPr>
          <w:color w:val="000000" w:themeColor="text1"/>
        </w:rPr>
        <w:t xml:space="preserve">  </w:t>
      </w:r>
      <w:r w:rsidR="00E6796C" w:rsidRPr="00245485">
        <w:rPr>
          <w:color w:val="000000" w:themeColor="text1"/>
        </w:rPr>
        <w:t xml:space="preserve">And we are all entitled to hear their answers to some frank questions.  </w:t>
      </w:r>
      <w:r w:rsidR="00B111B1" w:rsidRPr="00245485">
        <w:rPr>
          <w:color w:val="000000" w:themeColor="text1"/>
        </w:rPr>
        <w:t xml:space="preserve">Is a Union of strictly limited powers always </w:t>
      </w:r>
      <w:r w:rsidR="008508C5" w:rsidRPr="00245485">
        <w:rPr>
          <w:color w:val="000000" w:themeColor="text1"/>
        </w:rPr>
        <w:t xml:space="preserve">and by its very nature </w:t>
      </w:r>
      <w:r w:rsidR="00B111B1" w:rsidRPr="00245485">
        <w:rPr>
          <w:color w:val="000000" w:themeColor="text1"/>
        </w:rPr>
        <w:t xml:space="preserve">preferable to a Union capable of delivering </w:t>
      </w:r>
      <w:r w:rsidR="008508C5" w:rsidRPr="00245485">
        <w:rPr>
          <w:color w:val="000000" w:themeColor="text1"/>
        </w:rPr>
        <w:t xml:space="preserve">more </w:t>
      </w:r>
      <w:r w:rsidR="00B111B1" w:rsidRPr="00245485">
        <w:rPr>
          <w:color w:val="000000" w:themeColor="text1"/>
        </w:rPr>
        <w:t xml:space="preserve">effective </w:t>
      </w:r>
      <w:r w:rsidR="008508C5" w:rsidRPr="00245485">
        <w:rPr>
          <w:color w:val="000000" w:themeColor="text1"/>
        </w:rPr>
        <w:t>policy outcomes</w:t>
      </w:r>
      <w:r w:rsidRPr="00245485">
        <w:rPr>
          <w:color w:val="000000" w:themeColor="text1"/>
        </w:rPr>
        <w:t xml:space="preserve"> in the general interest</w:t>
      </w:r>
      <w:r w:rsidR="008508C5" w:rsidRPr="00245485">
        <w:rPr>
          <w:color w:val="000000" w:themeColor="text1"/>
        </w:rPr>
        <w:t>?</w:t>
      </w:r>
      <w:r w:rsidR="00B111B1" w:rsidRPr="00245485">
        <w:rPr>
          <w:color w:val="000000" w:themeColor="text1"/>
        </w:rPr>
        <w:t xml:space="preserve">  </w:t>
      </w:r>
      <w:r w:rsidR="008508C5" w:rsidRPr="00245485">
        <w:rPr>
          <w:color w:val="000000" w:themeColor="text1"/>
        </w:rPr>
        <w:t xml:space="preserve">If we want the Union to manage some of our most difficult </w:t>
      </w:r>
      <w:r w:rsidRPr="00245485">
        <w:rPr>
          <w:color w:val="000000" w:themeColor="text1"/>
        </w:rPr>
        <w:t xml:space="preserve">shared societal </w:t>
      </w:r>
      <w:r w:rsidR="008508C5" w:rsidRPr="00245485">
        <w:rPr>
          <w:color w:val="000000" w:themeColor="text1"/>
        </w:rPr>
        <w:t xml:space="preserve">problems, are we willing to equip it with the necessary </w:t>
      </w:r>
      <w:r w:rsidRPr="00245485">
        <w:rPr>
          <w:color w:val="000000" w:themeColor="text1"/>
        </w:rPr>
        <w:t xml:space="preserve">legal and policy </w:t>
      </w:r>
      <w:r w:rsidR="008508C5" w:rsidRPr="00245485">
        <w:rPr>
          <w:color w:val="000000" w:themeColor="text1"/>
        </w:rPr>
        <w:t>tools?  And if not, are we willing to accept that the price is either a less ambitious Union, or one that is prone to failure</w:t>
      </w:r>
      <w:r w:rsidR="00C314E0" w:rsidRPr="00245485">
        <w:rPr>
          <w:color w:val="000000" w:themeColor="text1"/>
        </w:rPr>
        <w:t>,</w:t>
      </w:r>
      <w:r w:rsidR="008508C5" w:rsidRPr="00245485">
        <w:rPr>
          <w:color w:val="000000" w:themeColor="text1"/>
        </w:rPr>
        <w:t xml:space="preserve"> </w:t>
      </w:r>
      <w:r w:rsidR="007F2321" w:rsidRPr="00245485">
        <w:rPr>
          <w:color w:val="000000" w:themeColor="text1"/>
        </w:rPr>
        <w:t xml:space="preserve">in each case </w:t>
      </w:r>
      <w:r w:rsidR="008508C5" w:rsidRPr="00245485">
        <w:rPr>
          <w:color w:val="000000" w:themeColor="text1"/>
        </w:rPr>
        <w:t xml:space="preserve">as a </w:t>
      </w:r>
      <w:r w:rsidR="00C314E0" w:rsidRPr="00245485">
        <w:rPr>
          <w:color w:val="000000" w:themeColor="text1"/>
        </w:rPr>
        <w:t xml:space="preserve">direct </w:t>
      </w:r>
      <w:r w:rsidR="008508C5" w:rsidRPr="00245485">
        <w:rPr>
          <w:color w:val="000000" w:themeColor="text1"/>
        </w:rPr>
        <w:t>result of our own choices?</w:t>
      </w:r>
    </w:p>
    <w:p w14:paraId="7459FE95" w14:textId="77777777" w:rsidR="00192FF9" w:rsidRPr="00245485" w:rsidRDefault="00192FF9" w:rsidP="00245485">
      <w:pPr>
        <w:jc w:val="both"/>
        <w:rPr>
          <w:color w:val="000000" w:themeColor="text1"/>
        </w:rPr>
      </w:pPr>
    </w:p>
    <w:p w14:paraId="3367852A" w14:textId="29B04B3A" w:rsidR="00A25E5E" w:rsidRPr="00245485" w:rsidRDefault="0099657B" w:rsidP="00245485">
      <w:pPr>
        <w:jc w:val="both"/>
        <w:rPr>
          <w:b/>
          <w:bCs/>
          <w:color w:val="000000" w:themeColor="text1"/>
        </w:rPr>
      </w:pPr>
      <w:r w:rsidRPr="00245485">
        <w:rPr>
          <w:b/>
          <w:bCs/>
          <w:color w:val="000000" w:themeColor="text1"/>
        </w:rPr>
        <w:t>8</w:t>
      </w:r>
      <w:r w:rsidR="002F5487" w:rsidRPr="00245485">
        <w:rPr>
          <w:b/>
          <w:bCs/>
          <w:color w:val="000000" w:themeColor="text1"/>
        </w:rPr>
        <w:t xml:space="preserve">. </w:t>
      </w:r>
      <w:r w:rsidR="00FF5C3A" w:rsidRPr="00245485">
        <w:rPr>
          <w:b/>
          <w:bCs/>
          <w:color w:val="000000" w:themeColor="text1"/>
        </w:rPr>
        <w:t>Conclusions</w:t>
      </w:r>
    </w:p>
    <w:p w14:paraId="7E131339" w14:textId="697731C5" w:rsidR="00CE7593" w:rsidRPr="00245485" w:rsidRDefault="00CE7593" w:rsidP="00245485">
      <w:pPr>
        <w:jc w:val="both"/>
        <w:rPr>
          <w:color w:val="000000" w:themeColor="text1"/>
        </w:rPr>
      </w:pPr>
    </w:p>
    <w:p w14:paraId="6D7EB3C3" w14:textId="77777777" w:rsidR="00245485" w:rsidRDefault="00D40E84" w:rsidP="00245485">
      <w:pPr>
        <w:jc w:val="both"/>
        <w:rPr>
          <w:color w:val="000000" w:themeColor="text1"/>
        </w:rPr>
      </w:pPr>
      <w:r w:rsidRPr="00245485">
        <w:rPr>
          <w:color w:val="000000" w:themeColor="text1"/>
        </w:rPr>
        <w:t>T</w:t>
      </w:r>
      <w:r w:rsidR="00396FC6" w:rsidRPr="00245485">
        <w:rPr>
          <w:color w:val="000000" w:themeColor="text1"/>
        </w:rPr>
        <w:t>he famous quip attributed to Bismarck – that laws are like sausages: it is better not to see them being made – finds a particularly appreciative audience among lawyers themselves</w:t>
      </w:r>
      <w:r w:rsidRPr="00245485">
        <w:rPr>
          <w:color w:val="000000" w:themeColor="text1"/>
        </w:rPr>
        <w:t xml:space="preserve">.  We </w:t>
      </w:r>
      <w:r w:rsidR="00396FC6" w:rsidRPr="00245485">
        <w:rPr>
          <w:color w:val="000000" w:themeColor="text1"/>
        </w:rPr>
        <w:t xml:space="preserve">often prefer to work only with </w:t>
      </w:r>
      <w:r w:rsidRPr="00245485">
        <w:rPr>
          <w:color w:val="000000" w:themeColor="text1"/>
        </w:rPr>
        <w:t xml:space="preserve">a </w:t>
      </w:r>
      <w:r w:rsidR="00396FC6" w:rsidRPr="00245485">
        <w:rPr>
          <w:color w:val="000000" w:themeColor="text1"/>
        </w:rPr>
        <w:t xml:space="preserve">final </w:t>
      </w:r>
      <w:r w:rsidRPr="00245485">
        <w:rPr>
          <w:color w:val="000000" w:themeColor="text1"/>
        </w:rPr>
        <w:t xml:space="preserve">and purified </w:t>
      </w:r>
      <w:r w:rsidR="00396FC6" w:rsidRPr="00245485">
        <w:rPr>
          <w:color w:val="000000" w:themeColor="text1"/>
        </w:rPr>
        <w:t>text</w:t>
      </w:r>
      <w:r w:rsidRPr="00245485">
        <w:rPr>
          <w:color w:val="000000" w:themeColor="text1"/>
        </w:rPr>
        <w:t xml:space="preserve">, </w:t>
      </w:r>
      <w:r w:rsidR="00396FC6" w:rsidRPr="00245485">
        <w:rPr>
          <w:color w:val="000000" w:themeColor="text1"/>
        </w:rPr>
        <w:t xml:space="preserve">worthy of scrutiny and </w:t>
      </w:r>
      <w:r w:rsidRPr="00245485">
        <w:rPr>
          <w:color w:val="000000" w:themeColor="text1"/>
        </w:rPr>
        <w:t xml:space="preserve">amenable to </w:t>
      </w:r>
      <w:r w:rsidR="00396FC6" w:rsidRPr="00245485">
        <w:rPr>
          <w:color w:val="000000" w:themeColor="text1"/>
        </w:rPr>
        <w:t xml:space="preserve">validation (or invalidation) </w:t>
      </w:r>
      <w:r w:rsidRPr="00245485">
        <w:rPr>
          <w:color w:val="000000" w:themeColor="text1"/>
        </w:rPr>
        <w:t>according to</w:t>
      </w:r>
      <w:r w:rsidR="00396FC6" w:rsidRPr="00245485">
        <w:rPr>
          <w:color w:val="000000" w:themeColor="text1"/>
        </w:rPr>
        <w:t xml:space="preserve"> objective constitutional </w:t>
      </w:r>
      <w:r w:rsidRPr="00245485">
        <w:rPr>
          <w:color w:val="000000" w:themeColor="text1"/>
        </w:rPr>
        <w:t>criteria</w:t>
      </w:r>
      <w:r w:rsidR="00396FC6" w:rsidRPr="00245485">
        <w:rPr>
          <w:color w:val="000000" w:themeColor="text1"/>
        </w:rPr>
        <w:t xml:space="preserve">.  </w:t>
      </w:r>
      <w:r w:rsidRPr="00245485">
        <w:rPr>
          <w:color w:val="000000" w:themeColor="text1"/>
        </w:rPr>
        <w:t xml:space="preserve">The </w:t>
      </w:r>
      <w:r w:rsidR="00396FC6" w:rsidRPr="00245485">
        <w:rPr>
          <w:color w:val="000000" w:themeColor="text1"/>
        </w:rPr>
        <w:t xml:space="preserve">system governing conferred powers under the Treaties takes that </w:t>
      </w:r>
      <w:r w:rsidRPr="00245485">
        <w:rPr>
          <w:color w:val="000000" w:themeColor="text1"/>
        </w:rPr>
        <w:t xml:space="preserve">approach </w:t>
      </w:r>
      <w:r w:rsidR="00570ABF" w:rsidRPr="00245485">
        <w:rPr>
          <w:color w:val="000000" w:themeColor="text1"/>
        </w:rPr>
        <w:t xml:space="preserve">rather </w:t>
      </w:r>
      <w:r w:rsidRPr="00245485">
        <w:rPr>
          <w:color w:val="000000" w:themeColor="text1"/>
        </w:rPr>
        <w:t xml:space="preserve">seriously </w:t>
      </w:r>
      <w:r w:rsidR="00033108" w:rsidRPr="00245485">
        <w:rPr>
          <w:color w:val="000000" w:themeColor="text1"/>
        </w:rPr>
        <w:t xml:space="preserve">and, partly in consequence and partly through </w:t>
      </w:r>
      <w:r w:rsidR="00570ABF" w:rsidRPr="00245485">
        <w:rPr>
          <w:color w:val="000000" w:themeColor="text1"/>
        </w:rPr>
        <w:t xml:space="preserve">further </w:t>
      </w:r>
      <w:r w:rsidR="00033108" w:rsidRPr="00245485">
        <w:rPr>
          <w:color w:val="000000" w:themeColor="text1"/>
        </w:rPr>
        <w:t xml:space="preserve">magnification, </w:t>
      </w:r>
      <w:r w:rsidRPr="00245485">
        <w:rPr>
          <w:color w:val="000000" w:themeColor="text1"/>
        </w:rPr>
        <w:t>the Court and its commentators work within a largely bounded world of well-defined legal bases and discrete legal texts</w:t>
      </w:r>
      <w:r w:rsidR="00396FC6" w:rsidRPr="00245485">
        <w:rPr>
          <w:color w:val="000000" w:themeColor="text1"/>
        </w:rPr>
        <w:t xml:space="preserve">.  </w:t>
      </w:r>
    </w:p>
    <w:p w14:paraId="6A1821E6" w14:textId="15BA90E6" w:rsidR="00245485" w:rsidRDefault="00D40E84" w:rsidP="00245485">
      <w:pPr>
        <w:ind w:firstLine="720"/>
        <w:jc w:val="both"/>
        <w:rPr>
          <w:color w:val="000000" w:themeColor="text1"/>
        </w:rPr>
      </w:pPr>
      <w:r w:rsidRPr="00245485">
        <w:rPr>
          <w:color w:val="000000" w:themeColor="text1"/>
        </w:rPr>
        <w:t xml:space="preserve">In many situations, that bounded legal world provides a perfectly appropriate and workable framework for analysis.  But this paper has argued that, in some situations, law’s splendid isolation comes with certain costs.  Our current approach to Union competences makes </w:t>
      </w:r>
      <w:r w:rsidR="008508C5" w:rsidRPr="00245485">
        <w:rPr>
          <w:color w:val="000000" w:themeColor="text1"/>
        </w:rPr>
        <w:t>limited</w:t>
      </w:r>
      <w:r w:rsidRPr="00245485">
        <w:rPr>
          <w:color w:val="000000" w:themeColor="text1"/>
        </w:rPr>
        <w:t xml:space="preserve"> allowance for the </w:t>
      </w:r>
      <w:proofErr w:type="gramStart"/>
      <w:r w:rsidRPr="00245485">
        <w:rPr>
          <w:color w:val="000000" w:themeColor="text1"/>
        </w:rPr>
        <w:t>particular demands</w:t>
      </w:r>
      <w:proofErr w:type="gramEnd"/>
      <w:r w:rsidRPr="00245485">
        <w:rPr>
          <w:color w:val="000000" w:themeColor="text1"/>
        </w:rPr>
        <w:t xml:space="preserve"> upon Union policymaking </w:t>
      </w:r>
      <w:r w:rsidR="00C314E0" w:rsidRPr="00245485">
        <w:rPr>
          <w:color w:val="000000" w:themeColor="text1"/>
        </w:rPr>
        <w:t>imposed</w:t>
      </w:r>
      <w:r w:rsidRPr="00245485">
        <w:rPr>
          <w:color w:val="000000" w:themeColor="text1"/>
        </w:rPr>
        <w:t xml:space="preserve"> by socio-economic </w:t>
      </w:r>
      <w:r w:rsidR="00C877A4">
        <w:rPr>
          <w:color w:val="000000" w:themeColor="text1"/>
        </w:rPr>
        <w:t xml:space="preserve">and / or geo-political </w:t>
      </w:r>
      <w:r w:rsidRPr="00245485">
        <w:rPr>
          <w:color w:val="000000" w:themeColor="text1"/>
        </w:rPr>
        <w:t xml:space="preserve">challenges of formidable scale, complexity and often urgency.  In particular, </w:t>
      </w:r>
      <w:r w:rsidR="008230CE" w:rsidRPr="00245485">
        <w:rPr>
          <w:color w:val="000000" w:themeColor="text1"/>
        </w:rPr>
        <w:t xml:space="preserve">law’s </w:t>
      </w:r>
      <w:r w:rsidR="00300F62" w:rsidRPr="00245485">
        <w:rPr>
          <w:color w:val="000000" w:themeColor="text1"/>
        </w:rPr>
        <w:t>apparent</w:t>
      </w:r>
      <w:r w:rsidR="008230CE" w:rsidRPr="00245485">
        <w:rPr>
          <w:color w:val="000000" w:themeColor="text1"/>
        </w:rPr>
        <w:t xml:space="preserve"> </w:t>
      </w:r>
      <w:r w:rsidR="0099657B" w:rsidRPr="00245485">
        <w:rPr>
          <w:color w:val="000000" w:themeColor="text1"/>
        </w:rPr>
        <w:t>diffidence</w:t>
      </w:r>
      <w:r w:rsidRPr="00245485">
        <w:rPr>
          <w:color w:val="000000" w:themeColor="text1"/>
        </w:rPr>
        <w:t xml:space="preserve"> to</w:t>
      </w:r>
      <w:r w:rsidR="008230CE" w:rsidRPr="00245485">
        <w:rPr>
          <w:color w:val="000000" w:themeColor="text1"/>
        </w:rPr>
        <w:t>wards</w:t>
      </w:r>
      <w:r w:rsidRPr="00245485">
        <w:rPr>
          <w:color w:val="000000" w:themeColor="text1"/>
        </w:rPr>
        <w:t xml:space="preserve"> the </w:t>
      </w:r>
      <w:r w:rsidR="008230CE" w:rsidRPr="00245485">
        <w:rPr>
          <w:color w:val="000000" w:themeColor="text1"/>
        </w:rPr>
        <w:t xml:space="preserve">pressure upon Union policymakers to deliver </w:t>
      </w:r>
      <w:r w:rsidRPr="00245485">
        <w:rPr>
          <w:color w:val="000000" w:themeColor="text1"/>
        </w:rPr>
        <w:t xml:space="preserve">multi-faceted and multi-component </w:t>
      </w:r>
      <w:r w:rsidR="008230CE" w:rsidRPr="00245485">
        <w:rPr>
          <w:color w:val="000000" w:themeColor="text1"/>
        </w:rPr>
        <w:t xml:space="preserve">regulatory </w:t>
      </w:r>
      <w:r w:rsidRPr="00245485">
        <w:rPr>
          <w:color w:val="000000" w:themeColor="text1"/>
        </w:rPr>
        <w:t>packages</w:t>
      </w:r>
      <w:r w:rsidR="008230CE" w:rsidRPr="00245485">
        <w:rPr>
          <w:color w:val="000000" w:themeColor="text1"/>
        </w:rPr>
        <w:t>, can generate a range of tensions: further complicating an already difficult negotiating process</w:t>
      </w:r>
      <w:r w:rsidR="007F2321" w:rsidRPr="00245485">
        <w:rPr>
          <w:color w:val="000000" w:themeColor="text1"/>
        </w:rPr>
        <w:t>;</w:t>
      </w:r>
      <w:r w:rsidR="008230CE" w:rsidRPr="00245485">
        <w:rPr>
          <w:color w:val="000000" w:themeColor="text1"/>
        </w:rPr>
        <w:t xml:space="preserve"> interfering in or even altogether unpicking delicate political compromises</w:t>
      </w:r>
      <w:r w:rsidR="007F2321" w:rsidRPr="00245485">
        <w:rPr>
          <w:color w:val="000000" w:themeColor="text1"/>
        </w:rPr>
        <w:t>;</w:t>
      </w:r>
      <w:r w:rsidR="008230CE" w:rsidRPr="00245485">
        <w:rPr>
          <w:color w:val="000000" w:themeColor="text1"/>
        </w:rPr>
        <w:t xml:space="preserve"> forcing the Union institutions towards either sub-optimal policy responses or ad hoc </w:t>
      </w:r>
      <w:r w:rsidR="00A25454" w:rsidRPr="00245485">
        <w:rPr>
          <w:color w:val="000000" w:themeColor="text1"/>
        </w:rPr>
        <w:t>“</w:t>
      </w:r>
      <w:r w:rsidR="008230CE" w:rsidRPr="00245485">
        <w:rPr>
          <w:color w:val="000000" w:themeColor="text1"/>
        </w:rPr>
        <w:t>competence creep</w:t>
      </w:r>
      <w:r w:rsidR="00A25454" w:rsidRPr="00245485">
        <w:rPr>
          <w:color w:val="000000" w:themeColor="text1"/>
        </w:rPr>
        <w:t>”</w:t>
      </w:r>
      <w:r w:rsidR="007F2321" w:rsidRPr="00245485">
        <w:rPr>
          <w:color w:val="000000" w:themeColor="text1"/>
        </w:rPr>
        <w:t>;</w:t>
      </w:r>
      <w:r w:rsidR="008230CE" w:rsidRPr="00245485">
        <w:rPr>
          <w:color w:val="000000" w:themeColor="text1"/>
        </w:rPr>
        <w:t xml:space="preserve"> and raising difficult </w:t>
      </w:r>
      <w:r w:rsidR="008230CE" w:rsidRPr="00245485">
        <w:rPr>
          <w:color w:val="000000" w:themeColor="text1"/>
        </w:rPr>
        <w:lastRenderedPageBreak/>
        <w:t xml:space="preserve">questions about the </w:t>
      </w:r>
      <w:r w:rsidR="00E6796C" w:rsidRPr="00245485">
        <w:rPr>
          <w:color w:val="000000" w:themeColor="text1"/>
        </w:rPr>
        <w:t xml:space="preserve">estranged </w:t>
      </w:r>
      <w:r w:rsidR="008230CE" w:rsidRPr="00245485">
        <w:rPr>
          <w:color w:val="000000" w:themeColor="text1"/>
        </w:rPr>
        <w:t xml:space="preserve">legitimacy claims of </w:t>
      </w:r>
      <w:r w:rsidR="007F2321" w:rsidRPr="00245485">
        <w:rPr>
          <w:color w:val="000000" w:themeColor="text1"/>
        </w:rPr>
        <w:t xml:space="preserve">robust </w:t>
      </w:r>
      <w:r w:rsidR="008230CE" w:rsidRPr="00245485">
        <w:rPr>
          <w:color w:val="000000" w:themeColor="text1"/>
        </w:rPr>
        <w:t xml:space="preserve">constitutional law </w:t>
      </w:r>
      <w:r w:rsidR="00F95394" w:rsidRPr="00245485">
        <w:rPr>
          <w:color w:val="000000" w:themeColor="text1"/>
        </w:rPr>
        <w:t xml:space="preserve">versus </w:t>
      </w:r>
      <w:r w:rsidR="008230CE" w:rsidRPr="00245485">
        <w:rPr>
          <w:color w:val="000000" w:themeColor="text1"/>
        </w:rPr>
        <w:t xml:space="preserve">effective </w:t>
      </w:r>
      <w:r w:rsidR="00F95394" w:rsidRPr="00245485">
        <w:rPr>
          <w:color w:val="000000" w:themeColor="text1"/>
        </w:rPr>
        <w:t xml:space="preserve">public </w:t>
      </w:r>
      <w:r w:rsidR="008230CE" w:rsidRPr="00245485">
        <w:rPr>
          <w:color w:val="000000" w:themeColor="text1"/>
        </w:rPr>
        <w:t>governance.</w:t>
      </w:r>
      <w:r w:rsidR="003F2524" w:rsidRPr="00245485">
        <w:rPr>
          <w:color w:val="000000" w:themeColor="text1"/>
        </w:rPr>
        <w:t xml:space="preserve">  </w:t>
      </w:r>
    </w:p>
    <w:p w14:paraId="6F737171" w14:textId="4D239BAD" w:rsidR="00D40E84" w:rsidRPr="00245485" w:rsidRDefault="0099657B" w:rsidP="00245485">
      <w:pPr>
        <w:ind w:firstLine="720"/>
        <w:jc w:val="both"/>
        <w:rPr>
          <w:color w:val="000000" w:themeColor="text1"/>
        </w:rPr>
      </w:pPr>
      <w:r w:rsidRPr="00245485">
        <w:rPr>
          <w:color w:val="000000" w:themeColor="text1"/>
        </w:rPr>
        <w:t xml:space="preserve">That </w:t>
      </w:r>
      <w:r w:rsidR="00DC0C40" w:rsidRPr="00245485">
        <w:rPr>
          <w:color w:val="000000" w:themeColor="text1"/>
        </w:rPr>
        <w:t>analysis invites us to reflect critically upon the performance</w:t>
      </w:r>
      <w:r w:rsidR="00A25454" w:rsidRPr="00245485">
        <w:rPr>
          <w:color w:val="000000" w:themeColor="text1"/>
        </w:rPr>
        <w:t>, merits and limits</w:t>
      </w:r>
      <w:r w:rsidR="00DC0C40" w:rsidRPr="00245485">
        <w:rPr>
          <w:color w:val="000000" w:themeColor="text1"/>
        </w:rPr>
        <w:t xml:space="preserve"> of</w:t>
      </w:r>
      <w:r w:rsidR="00A25454" w:rsidRPr="00245485">
        <w:rPr>
          <w:color w:val="000000" w:themeColor="text1"/>
        </w:rPr>
        <w:t xml:space="preserve"> </w:t>
      </w:r>
      <w:r w:rsidR="00DC0C40" w:rsidRPr="00245485">
        <w:rPr>
          <w:color w:val="000000" w:themeColor="text1"/>
        </w:rPr>
        <w:t xml:space="preserve">the </w:t>
      </w:r>
      <w:r w:rsidR="00A25454" w:rsidRPr="00245485">
        <w:rPr>
          <w:color w:val="000000" w:themeColor="text1"/>
        </w:rPr>
        <w:t xml:space="preserve">current Treaty </w:t>
      </w:r>
      <w:r w:rsidR="00DC0C40" w:rsidRPr="00245485">
        <w:rPr>
          <w:color w:val="000000" w:themeColor="text1"/>
        </w:rPr>
        <w:t xml:space="preserve">framework governing </w:t>
      </w:r>
      <w:r w:rsidR="00A25454" w:rsidRPr="00245485">
        <w:rPr>
          <w:color w:val="000000" w:themeColor="text1"/>
        </w:rPr>
        <w:t>attributed</w:t>
      </w:r>
      <w:r w:rsidR="00DC0C40" w:rsidRPr="00245485">
        <w:rPr>
          <w:color w:val="000000" w:themeColor="text1"/>
        </w:rPr>
        <w:t xml:space="preserve"> Union powers.  </w:t>
      </w:r>
      <w:r w:rsidR="00570ABF" w:rsidRPr="00245485">
        <w:rPr>
          <w:color w:val="000000" w:themeColor="text1"/>
        </w:rPr>
        <w:t>Such reflection appears particularly timely, given that the prospects for significant primary law reform now appear at their highest since the Treaty of Lisbon, and questions about the (in)adequacy of Union competences already occupy a prominent place within those debates.  Of course, tweaks to this or that legal basis have their place.  But broader tensions call for more systematic solutions</w:t>
      </w:r>
      <w:r w:rsidR="00A06014" w:rsidRPr="00245485">
        <w:rPr>
          <w:color w:val="000000" w:themeColor="text1"/>
        </w:rPr>
        <w:t xml:space="preserve">.  We have suggested </w:t>
      </w:r>
      <w:r w:rsidR="00570ABF" w:rsidRPr="00245485">
        <w:rPr>
          <w:color w:val="000000" w:themeColor="text1"/>
        </w:rPr>
        <w:t xml:space="preserve">various </w:t>
      </w:r>
      <w:r w:rsidR="00DC0C40" w:rsidRPr="00245485">
        <w:rPr>
          <w:color w:val="000000" w:themeColor="text1"/>
        </w:rPr>
        <w:t>concrete changes that could tangibly enhance the capacity of Union law to facilitate more effective policymaking in the case of particularly complex challenges</w:t>
      </w:r>
      <w:r w:rsidR="00A25454" w:rsidRPr="00245485">
        <w:rPr>
          <w:color w:val="000000" w:themeColor="text1"/>
        </w:rPr>
        <w:t xml:space="preserve"> – thereby also disarming </w:t>
      </w:r>
      <w:r w:rsidR="00A06014" w:rsidRPr="00245485">
        <w:rPr>
          <w:color w:val="000000" w:themeColor="text1"/>
        </w:rPr>
        <w:t>familiar</w:t>
      </w:r>
      <w:r w:rsidR="00A25454" w:rsidRPr="00245485">
        <w:rPr>
          <w:color w:val="000000" w:themeColor="text1"/>
        </w:rPr>
        <w:t xml:space="preserve"> criticism</w:t>
      </w:r>
      <w:r w:rsidR="00A06014" w:rsidRPr="00245485">
        <w:rPr>
          <w:color w:val="000000" w:themeColor="text1"/>
        </w:rPr>
        <w:t>s</w:t>
      </w:r>
      <w:r w:rsidR="00A25454" w:rsidRPr="00245485">
        <w:rPr>
          <w:color w:val="000000" w:themeColor="text1"/>
        </w:rPr>
        <w:t xml:space="preserve"> </w:t>
      </w:r>
      <w:r w:rsidR="00A06014" w:rsidRPr="00245485">
        <w:rPr>
          <w:color w:val="000000" w:themeColor="text1"/>
        </w:rPr>
        <w:t xml:space="preserve">about </w:t>
      </w:r>
      <w:r w:rsidR="00A25454" w:rsidRPr="00245485">
        <w:rPr>
          <w:color w:val="000000" w:themeColor="text1"/>
        </w:rPr>
        <w:t>“covert EU power grabs”, while still managing to respect the fundamental premiss of conferral</w:t>
      </w:r>
      <w:r w:rsidR="00D40E84" w:rsidRPr="00245485">
        <w:rPr>
          <w:color w:val="000000" w:themeColor="text1"/>
        </w:rPr>
        <w:t>.</w:t>
      </w:r>
      <w:r w:rsidR="00570ABF" w:rsidRPr="00245485">
        <w:rPr>
          <w:color w:val="000000" w:themeColor="text1"/>
        </w:rPr>
        <w:t xml:space="preserve">  </w:t>
      </w:r>
    </w:p>
    <w:sectPr w:rsidR="00D40E84" w:rsidRPr="00245485" w:rsidSect="00C27B2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946D" w14:textId="77777777" w:rsidR="00AB0169" w:rsidRDefault="00AB0169" w:rsidP="00FB0A20">
      <w:r>
        <w:separator/>
      </w:r>
    </w:p>
  </w:endnote>
  <w:endnote w:type="continuationSeparator" w:id="0">
    <w:p w14:paraId="04604D30" w14:textId="77777777" w:rsidR="00AB0169" w:rsidRDefault="00AB0169" w:rsidP="00F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747164"/>
      <w:docPartObj>
        <w:docPartGallery w:val="Page Numbers (Bottom of Page)"/>
        <w:docPartUnique/>
      </w:docPartObj>
    </w:sdtPr>
    <w:sdtContent>
      <w:p w14:paraId="60B21B9D" w14:textId="71060105" w:rsidR="00046D28" w:rsidRDefault="00046D28" w:rsidP="001919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3640C" w14:textId="77777777" w:rsidR="00046D28" w:rsidRDefault="0004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887212"/>
      <w:docPartObj>
        <w:docPartGallery w:val="Page Numbers (Bottom of Page)"/>
        <w:docPartUnique/>
      </w:docPartObj>
    </w:sdtPr>
    <w:sdtContent>
      <w:p w14:paraId="4DE16E6C" w14:textId="63DEBC85" w:rsidR="00046D28" w:rsidRDefault="00046D28" w:rsidP="001919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5C4C20" w14:textId="77777777" w:rsidR="00046D28" w:rsidRDefault="0004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67B1" w14:textId="77777777" w:rsidR="00AB0169" w:rsidRDefault="00AB0169" w:rsidP="00FB0A20">
      <w:r>
        <w:separator/>
      </w:r>
    </w:p>
  </w:footnote>
  <w:footnote w:type="continuationSeparator" w:id="0">
    <w:p w14:paraId="3CFADAD2" w14:textId="77777777" w:rsidR="00AB0169" w:rsidRDefault="00AB0169" w:rsidP="00FB0A20">
      <w:r>
        <w:continuationSeparator/>
      </w:r>
    </w:p>
  </w:footnote>
  <w:footnote w:id="1">
    <w:p w14:paraId="24BD77F4" w14:textId="68350E77" w:rsidR="004436DF" w:rsidRPr="00EC1B43" w:rsidRDefault="004436DF" w:rsidP="00EC1B43">
      <w:pPr>
        <w:pStyle w:val="FootnoteText"/>
        <w:jc w:val="both"/>
        <w:rPr>
          <w:rFonts w:ascii="Times New Roman" w:hAnsi="Times New Roman" w:cs="Times New Roman"/>
          <w:color w:val="000000" w:themeColor="text1"/>
        </w:rPr>
      </w:pPr>
      <w:r w:rsidRPr="00EC1B43">
        <w:rPr>
          <w:rFonts w:ascii="Times New Roman" w:hAnsi="Times New Roman" w:cs="Times New Roman"/>
          <w:color w:val="000000" w:themeColor="text1"/>
        </w:rPr>
        <w:t xml:space="preserve">* University of Liverpool.  I am indebted to </w:t>
      </w:r>
      <w:proofErr w:type="spellStart"/>
      <w:r w:rsidRPr="00EC1B43">
        <w:rPr>
          <w:rFonts w:ascii="Times New Roman" w:hAnsi="Times New Roman" w:cs="Times New Roman"/>
          <w:color w:val="000000" w:themeColor="text1"/>
        </w:rPr>
        <w:t>Loïc</w:t>
      </w:r>
      <w:proofErr w:type="spellEnd"/>
      <w:r w:rsidRPr="00EC1B43">
        <w:rPr>
          <w:rFonts w:ascii="Times New Roman" w:hAnsi="Times New Roman" w:cs="Times New Roman"/>
          <w:color w:val="000000" w:themeColor="text1"/>
        </w:rPr>
        <w:t xml:space="preserve"> </w:t>
      </w:r>
      <w:proofErr w:type="spellStart"/>
      <w:r w:rsidRPr="00EC1B43">
        <w:rPr>
          <w:rFonts w:ascii="Times New Roman" w:hAnsi="Times New Roman" w:cs="Times New Roman"/>
          <w:color w:val="000000" w:themeColor="text1"/>
        </w:rPr>
        <w:t>Azoulai</w:t>
      </w:r>
      <w:proofErr w:type="spellEnd"/>
      <w:r w:rsidRPr="00EC1B43">
        <w:rPr>
          <w:rFonts w:ascii="Times New Roman" w:hAnsi="Times New Roman" w:cs="Times New Roman"/>
          <w:color w:val="000000" w:themeColor="text1"/>
        </w:rPr>
        <w:t xml:space="preserve">, </w:t>
      </w:r>
      <w:proofErr w:type="spellStart"/>
      <w:r w:rsidRPr="00EC1B43">
        <w:rPr>
          <w:rFonts w:ascii="Times New Roman" w:hAnsi="Times New Roman" w:cs="Times New Roman"/>
          <w:color w:val="000000" w:themeColor="text1"/>
        </w:rPr>
        <w:t>Marise</w:t>
      </w:r>
      <w:proofErr w:type="spellEnd"/>
      <w:r w:rsidRPr="00EC1B43">
        <w:rPr>
          <w:rFonts w:ascii="Times New Roman" w:hAnsi="Times New Roman" w:cs="Times New Roman"/>
          <w:color w:val="000000" w:themeColor="text1"/>
        </w:rPr>
        <w:t xml:space="preserve"> Cremona, Niamh Nic </w:t>
      </w:r>
      <w:proofErr w:type="spellStart"/>
      <w:r w:rsidRPr="00EC1B43">
        <w:rPr>
          <w:rFonts w:ascii="Times New Roman" w:hAnsi="Times New Roman" w:cs="Times New Roman"/>
          <w:color w:val="000000" w:themeColor="text1"/>
        </w:rPr>
        <w:t>Shuibhne</w:t>
      </w:r>
      <w:proofErr w:type="spellEnd"/>
      <w:r w:rsidRPr="00EC1B43">
        <w:rPr>
          <w:rFonts w:ascii="Times New Roman" w:hAnsi="Times New Roman" w:cs="Times New Roman"/>
          <w:color w:val="000000" w:themeColor="text1"/>
        </w:rPr>
        <w:t xml:space="preserve"> and Eleanor </w:t>
      </w:r>
      <w:proofErr w:type="spellStart"/>
      <w:r w:rsidRPr="00EC1B43">
        <w:rPr>
          <w:rFonts w:ascii="Times New Roman" w:hAnsi="Times New Roman" w:cs="Times New Roman"/>
          <w:color w:val="000000" w:themeColor="text1"/>
        </w:rPr>
        <w:t>Spaventa</w:t>
      </w:r>
      <w:proofErr w:type="spellEnd"/>
      <w:r w:rsidRPr="00EC1B43">
        <w:rPr>
          <w:rFonts w:ascii="Times New Roman" w:hAnsi="Times New Roman" w:cs="Times New Roman"/>
          <w:color w:val="000000" w:themeColor="text1"/>
        </w:rPr>
        <w:t xml:space="preserve"> </w:t>
      </w:r>
      <w:r w:rsidR="00FD4D10" w:rsidRPr="00EC1B43">
        <w:rPr>
          <w:rFonts w:ascii="Times New Roman" w:hAnsi="Times New Roman" w:cs="Times New Roman"/>
          <w:color w:val="000000" w:themeColor="text1"/>
        </w:rPr>
        <w:t xml:space="preserve">– as well as the CML Rev. peer reviewers – for </w:t>
      </w:r>
      <w:r w:rsidRPr="00EC1B43">
        <w:rPr>
          <w:rFonts w:ascii="Times New Roman" w:hAnsi="Times New Roman" w:cs="Times New Roman"/>
          <w:color w:val="000000" w:themeColor="text1"/>
        </w:rPr>
        <w:t xml:space="preserve">their invaluable comments and suggestions.  This work was supported by research leave from the University of Liverpool and a Visiting Professorship at Bocconi University.  </w:t>
      </w:r>
    </w:p>
    <w:p w14:paraId="2A022434" w14:textId="37B0F306"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086A40" w:rsidRPr="00EC1B43">
        <w:rPr>
          <w:rFonts w:ascii="Times New Roman" w:hAnsi="Times New Roman" w:cs="Times New Roman"/>
          <w:color w:val="000000" w:themeColor="text1"/>
        </w:rPr>
        <w:t xml:space="preserve">See further, </w:t>
      </w:r>
      <w:proofErr w:type="gramStart"/>
      <w:r w:rsidR="00086A40" w:rsidRPr="00EC1B43">
        <w:rPr>
          <w:rFonts w:ascii="Times New Roman" w:hAnsi="Times New Roman" w:cs="Times New Roman"/>
          <w:color w:val="000000" w:themeColor="text1"/>
        </w:rPr>
        <w:t>e</w:t>
      </w:r>
      <w:r w:rsidR="004436DF" w:rsidRPr="00EC1B43">
        <w:rPr>
          <w:rFonts w:ascii="Times New Roman" w:hAnsi="Times New Roman" w:cs="Times New Roman"/>
          <w:color w:val="000000" w:themeColor="text1"/>
        </w:rPr>
        <w:t>.g.</w:t>
      </w:r>
      <w:proofErr w:type="gramEnd"/>
      <w:r w:rsidR="004436DF" w:rsidRPr="00EC1B43">
        <w:rPr>
          <w:rFonts w:ascii="Times New Roman" w:hAnsi="Times New Roman" w:cs="Times New Roman"/>
          <w:color w:val="000000" w:themeColor="text1"/>
        </w:rPr>
        <w:t xml:space="preserve"> </w:t>
      </w:r>
      <w:proofErr w:type="spellStart"/>
      <w:r w:rsidR="00086A40" w:rsidRPr="00EC1B43">
        <w:rPr>
          <w:rFonts w:ascii="Times New Roman" w:hAnsi="Times New Roman" w:cs="Times New Roman"/>
          <w:color w:val="000000" w:themeColor="text1"/>
        </w:rPr>
        <w:t>Garben</w:t>
      </w:r>
      <w:proofErr w:type="spellEnd"/>
      <w:r w:rsidR="00086A40" w:rsidRPr="00EC1B43">
        <w:rPr>
          <w:rFonts w:ascii="Times New Roman" w:hAnsi="Times New Roman" w:cs="Times New Roman"/>
          <w:color w:val="000000" w:themeColor="text1"/>
        </w:rPr>
        <w:t xml:space="preserve"> and </w:t>
      </w:r>
      <w:proofErr w:type="spellStart"/>
      <w:r w:rsidR="00086A40" w:rsidRPr="00EC1B43">
        <w:rPr>
          <w:rFonts w:ascii="Times New Roman" w:hAnsi="Times New Roman" w:cs="Times New Roman"/>
          <w:color w:val="000000" w:themeColor="text1"/>
        </w:rPr>
        <w:t>Govaere</w:t>
      </w:r>
      <w:proofErr w:type="spellEnd"/>
      <w:r w:rsidR="00086A40" w:rsidRPr="00EC1B43">
        <w:rPr>
          <w:rFonts w:ascii="Times New Roman" w:hAnsi="Times New Roman" w:cs="Times New Roman"/>
          <w:color w:val="000000" w:themeColor="text1"/>
        </w:rPr>
        <w:t xml:space="preserve"> (eds), </w:t>
      </w:r>
      <w:r w:rsidR="00086A40" w:rsidRPr="00EC1B43">
        <w:rPr>
          <w:rFonts w:ascii="Times New Roman" w:hAnsi="Times New Roman" w:cs="Times New Roman"/>
          <w:i/>
          <w:iCs/>
          <w:color w:val="000000" w:themeColor="text1"/>
        </w:rPr>
        <w:t>The Division of Competences between the EU and the Member States: Reflections on the Past, the Present and the Future</w:t>
      </w:r>
      <w:r w:rsidR="00086A40" w:rsidRPr="00EC1B43">
        <w:rPr>
          <w:rFonts w:ascii="Times New Roman" w:hAnsi="Times New Roman" w:cs="Times New Roman"/>
          <w:color w:val="000000" w:themeColor="text1"/>
        </w:rPr>
        <w:t xml:space="preserve"> (Hart, 2017).</w:t>
      </w:r>
    </w:p>
  </w:footnote>
  <w:footnote w:id="2">
    <w:p w14:paraId="701853C0" w14:textId="15BB8364"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4436DF" w:rsidRPr="00EC1B43">
        <w:rPr>
          <w:rFonts w:ascii="Times New Roman" w:hAnsi="Times New Roman" w:cs="Times New Roman"/>
          <w:color w:val="000000" w:themeColor="text1"/>
        </w:rPr>
        <w:t xml:space="preserve">See </w:t>
      </w:r>
      <w:r w:rsidR="00086A40" w:rsidRPr="00EC1B43">
        <w:rPr>
          <w:rFonts w:ascii="Times New Roman" w:hAnsi="Times New Roman" w:cs="Times New Roman"/>
          <w:color w:val="000000" w:themeColor="text1"/>
        </w:rPr>
        <w:t xml:space="preserve">further, </w:t>
      </w:r>
      <w:proofErr w:type="gramStart"/>
      <w:r w:rsidR="00086A40" w:rsidRPr="00EC1B43">
        <w:rPr>
          <w:rFonts w:ascii="Times New Roman" w:hAnsi="Times New Roman" w:cs="Times New Roman"/>
          <w:color w:val="000000" w:themeColor="text1"/>
        </w:rPr>
        <w:t>e.g.</w:t>
      </w:r>
      <w:proofErr w:type="gramEnd"/>
      <w:r w:rsidR="00086A40" w:rsidRPr="00EC1B43">
        <w:rPr>
          <w:rFonts w:ascii="Times New Roman" w:hAnsi="Times New Roman" w:cs="Times New Roman"/>
          <w:color w:val="000000" w:themeColor="text1"/>
        </w:rPr>
        <w:t xml:space="preserve"> </w:t>
      </w:r>
      <w:r w:rsidR="004436DF" w:rsidRPr="00EC1B43">
        <w:rPr>
          <w:rFonts w:ascii="Times New Roman" w:hAnsi="Times New Roman" w:cs="Times New Roman"/>
          <w:color w:val="000000" w:themeColor="text1"/>
        </w:rPr>
        <w:t xml:space="preserve">Editorial </w:t>
      </w:r>
      <w:r w:rsidR="00086A40" w:rsidRPr="00EC1B43">
        <w:rPr>
          <w:rFonts w:ascii="Times New Roman" w:hAnsi="Times New Roman" w:cs="Times New Roman"/>
          <w:color w:val="000000" w:themeColor="text1"/>
        </w:rPr>
        <w:t xml:space="preserve">Comments, </w:t>
      </w:r>
      <w:r w:rsidR="003F62E6" w:rsidRPr="00EC1B43">
        <w:rPr>
          <w:rFonts w:ascii="Times New Roman" w:hAnsi="Times New Roman" w:cs="Times New Roman"/>
          <w:color w:val="000000" w:themeColor="text1"/>
        </w:rPr>
        <w:t>“From Conference to Convention? Ideas and Prospects for Reform of the EU Treaties”</w:t>
      </w:r>
      <w:r w:rsidR="00FD4D10" w:rsidRPr="00EC1B43">
        <w:rPr>
          <w:rFonts w:ascii="Times New Roman" w:hAnsi="Times New Roman" w:cs="Times New Roman"/>
          <w:color w:val="000000" w:themeColor="text1"/>
        </w:rPr>
        <w:t>,</w:t>
      </w:r>
      <w:r w:rsidR="003F62E6" w:rsidRPr="00EC1B43">
        <w:rPr>
          <w:rFonts w:ascii="Times New Roman" w:hAnsi="Times New Roman" w:cs="Times New Roman"/>
          <w:color w:val="000000" w:themeColor="text1"/>
        </w:rPr>
        <w:t xml:space="preserve"> 59 CML</w:t>
      </w:r>
      <w:r w:rsidR="00FD4D10"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Rev</w:t>
      </w:r>
      <w:r w:rsidR="00FD4D10" w:rsidRPr="00EC1B43">
        <w:rPr>
          <w:rFonts w:ascii="Times New Roman" w:hAnsi="Times New Roman" w:cs="Times New Roman"/>
          <w:color w:val="000000" w:themeColor="text1"/>
        </w:rPr>
        <w:t>.</w:t>
      </w:r>
      <w:r w:rsidR="003F62E6" w:rsidRPr="00EC1B43">
        <w:rPr>
          <w:rFonts w:ascii="Times New Roman" w:hAnsi="Times New Roman" w:cs="Times New Roman"/>
          <w:color w:val="000000" w:themeColor="text1"/>
        </w:rPr>
        <w:t xml:space="preserve"> </w:t>
      </w:r>
      <w:r w:rsidR="00FD4D10" w:rsidRPr="00EC1B43">
        <w:rPr>
          <w:rFonts w:ascii="Times New Roman" w:hAnsi="Times New Roman" w:cs="Times New Roman"/>
          <w:color w:val="000000" w:themeColor="text1"/>
        </w:rPr>
        <w:t xml:space="preserve">(2022), </w:t>
      </w:r>
      <w:r w:rsidR="003F62E6" w:rsidRPr="00EC1B43">
        <w:rPr>
          <w:rFonts w:ascii="Times New Roman" w:hAnsi="Times New Roman" w:cs="Times New Roman"/>
          <w:color w:val="000000" w:themeColor="text1"/>
        </w:rPr>
        <w:t>1583</w:t>
      </w:r>
      <w:r w:rsidR="004436DF" w:rsidRPr="00EC1B43">
        <w:rPr>
          <w:rFonts w:ascii="Times New Roman" w:hAnsi="Times New Roman" w:cs="Times New Roman"/>
          <w:color w:val="000000" w:themeColor="text1"/>
        </w:rPr>
        <w:t>.</w:t>
      </w:r>
    </w:p>
  </w:footnote>
  <w:footnote w:id="3">
    <w:p w14:paraId="15A3FAC0" w14:textId="4351862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Note</w:t>
      </w:r>
      <w:r w:rsidR="003F62E6" w:rsidRPr="00EC1B43">
        <w:rPr>
          <w:rFonts w:ascii="Times New Roman" w:hAnsi="Times New Roman" w:cs="Times New Roman"/>
          <w:color w:val="000000" w:themeColor="text1"/>
        </w:rPr>
        <w:t>: in this contribution, the terms “</w:t>
      </w:r>
      <w:r w:rsidRPr="00EC1B43">
        <w:rPr>
          <w:rFonts w:ascii="Times New Roman" w:hAnsi="Times New Roman" w:cs="Times New Roman"/>
          <w:color w:val="000000" w:themeColor="text1"/>
        </w:rPr>
        <w:t>conferral</w:t>
      </w:r>
      <w:r w:rsidR="003F62E6"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“attribution”</w:t>
      </w:r>
      <w:r w:rsidRPr="00EC1B43">
        <w:rPr>
          <w:rFonts w:ascii="Times New Roman" w:hAnsi="Times New Roman" w:cs="Times New Roman"/>
          <w:color w:val="000000" w:themeColor="text1"/>
        </w:rPr>
        <w:t xml:space="preserve"> and </w:t>
      </w:r>
      <w:r w:rsidR="003F62E6"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competence</w:t>
      </w:r>
      <w:r w:rsidR="003F62E6"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 xml:space="preserve">are used </w:t>
      </w:r>
      <w:r w:rsidRPr="00EC1B43">
        <w:rPr>
          <w:rFonts w:ascii="Times New Roman" w:hAnsi="Times New Roman" w:cs="Times New Roman"/>
          <w:color w:val="000000" w:themeColor="text1"/>
        </w:rPr>
        <w:t>interchangeably</w:t>
      </w:r>
      <w:r w:rsidR="003F62E6" w:rsidRPr="00EC1B43">
        <w:rPr>
          <w:rFonts w:ascii="Times New Roman" w:hAnsi="Times New Roman" w:cs="Times New Roman"/>
          <w:color w:val="000000" w:themeColor="text1"/>
        </w:rPr>
        <w:t xml:space="preserve"> – with apologies to those who would normally be more careful about drawing distinctions between them</w:t>
      </w:r>
      <w:r w:rsidRPr="00EC1B43">
        <w:rPr>
          <w:rFonts w:ascii="Times New Roman" w:hAnsi="Times New Roman" w:cs="Times New Roman"/>
          <w:color w:val="000000" w:themeColor="text1"/>
        </w:rPr>
        <w:t>.</w:t>
      </w:r>
    </w:p>
  </w:footnote>
  <w:footnote w:id="4">
    <w:p w14:paraId="7F103FBE" w14:textId="1C15AF8B" w:rsidR="003F5434" w:rsidRPr="00EC1B43" w:rsidRDefault="003F5434"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1C51B9" w:rsidRPr="00EC1B43">
        <w:rPr>
          <w:rFonts w:ascii="Times New Roman" w:hAnsi="Times New Roman" w:cs="Times New Roman"/>
          <w:color w:val="000000" w:themeColor="text1"/>
        </w:rPr>
        <w:t xml:space="preserve">See further, </w:t>
      </w:r>
      <w:proofErr w:type="gramStart"/>
      <w:r w:rsidR="001C51B9" w:rsidRPr="00EC1B43">
        <w:rPr>
          <w:rFonts w:ascii="Times New Roman" w:hAnsi="Times New Roman" w:cs="Times New Roman"/>
          <w:color w:val="000000" w:themeColor="text1"/>
        </w:rPr>
        <w:t>e.g.</w:t>
      </w:r>
      <w:proofErr w:type="gramEnd"/>
      <w:r w:rsidR="001C51B9" w:rsidRPr="00EC1B43">
        <w:rPr>
          <w:rFonts w:ascii="Times New Roman" w:hAnsi="Times New Roman" w:cs="Times New Roman"/>
          <w:color w:val="000000" w:themeColor="text1"/>
        </w:rPr>
        <w:t xml:space="preserve"> de Witte, “Legal Methods for the Study of EU Institutional Practice”</w:t>
      </w:r>
      <w:r w:rsidR="00FD4D10" w:rsidRPr="00EC1B43">
        <w:rPr>
          <w:rFonts w:ascii="Times New Roman" w:hAnsi="Times New Roman" w:cs="Times New Roman"/>
          <w:color w:val="000000" w:themeColor="text1"/>
        </w:rPr>
        <w:t>,</w:t>
      </w:r>
      <w:r w:rsidR="001C51B9" w:rsidRPr="00EC1B43">
        <w:rPr>
          <w:rFonts w:ascii="Times New Roman" w:hAnsi="Times New Roman" w:cs="Times New Roman"/>
          <w:color w:val="000000" w:themeColor="text1"/>
        </w:rPr>
        <w:t xml:space="preserve"> 18 </w:t>
      </w:r>
      <w:proofErr w:type="spellStart"/>
      <w:r w:rsidR="001C51B9" w:rsidRPr="00EC1B43">
        <w:rPr>
          <w:rFonts w:ascii="Times New Roman" w:hAnsi="Times New Roman" w:cs="Times New Roman"/>
          <w:color w:val="000000" w:themeColor="text1"/>
        </w:rPr>
        <w:t>EUConst</w:t>
      </w:r>
      <w:proofErr w:type="spellEnd"/>
      <w:r w:rsidR="001C51B9" w:rsidRPr="00EC1B43">
        <w:rPr>
          <w:rFonts w:ascii="Times New Roman" w:hAnsi="Times New Roman" w:cs="Times New Roman"/>
          <w:color w:val="000000" w:themeColor="text1"/>
        </w:rPr>
        <w:t xml:space="preserve"> </w:t>
      </w:r>
      <w:r w:rsidR="00FD4D10" w:rsidRPr="00EC1B43">
        <w:rPr>
          <w:rFonts w:ascii="Times New Roman" w:hAnsi="Times New Roman" w:cs="Times New Roman"/>
          <w:color w:val="000000" w:themeColor="text1"/>
        </w:rPr>
        <w:t xml:space="preserve">(2022), </w:t>
      </w:r>
      <w:r w:rsidR="001C51B9" w:rsidRPr="00EC1B43">
        <w:rPr>
          <w:rFonts w:ascii="Times New Roman" w:hAnsi="Times New Roman" w:cs="Times New Roman"/>
          <w:color w:val="000000" w:themeColor="text1"/>
        </w:rPr>
        <w:t>637.</w:t>
      </w:r>
    </w:p>
  </w:footnote>
  <w:footnote w:id="5">
    <w:p w14:paraId="651388DA" w14:textId="278735F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FD4D10" w:rsidRPr="00EC1B43">
        <w:rPr>
          <w:rFonts w:ascii="Times New Roman" w:hAnsi="Times New Roman" w:cs="Times New Roman"/>
          <w:color w:val="000000" w:themeColor="text1"/>
        </w:rPr>
        <w:t xml:space="preserve">Art </w:t>
      </w:r>
      <w:r w:rsidRPr="00EC1B43">
        <w:rPr>
          <w:rFonts w:ascii="Times New Roman" w:hAnsi="Times New Roman" w:cs="Times New Roman"/>
          <w:color w:val="000000" w:themeColor="text1"/>
        </w:rPr>
        <w:t>5(2) TEU.</w:t>
      </w:r>
    </w:p>
  </w:footnote>
  <w:footnote w:id="6">
    <w:p w14:paraId="04AD57F2" w14:textId="0745F6C0" w:rsidR="00B636DA" w:rsidRPr="00EC1B43" w:rsidRDefault="00B636DA" w:rsidP="00EC1B43">
      <w:pPr>
        <w:pStyle w:val="FootnoteText"/>
        <w:jc w:val="both"/>
        <w:rPr>
          <w:rFonts w:ascii="Times New Roman" w:hAnsi="Times New Roman" w:cs="Times New Roman"/>
          <w:b/>
          <w:bCs/>
        </w:rPr>
      </w:pPr>
      <w:r w:rsidRPr="00EC1B43">
        <w:rPr>
          <w:rStyle w:val="FootnoteReference"/>
          <w:rFonts w:ascii="Times New Roman" w:hAnsi="Times New Roman" w:cs="Times New Roman"/>
        </w:rPr>
        <w:footnoteRef/>
      </w:r>
      <w:r w:rsidRPr="00EC1B43">
        <w:rPr>
          <w:rFonts w:ascii="Times New Roman" w:hAnsi="Times New Roman" w:cs="Times New Roman"/>
        </w:rPr>
        <w:t xml:space="preserve"> See further, </w:t>
      </w:r>
      <w:proofErr w:type="gramStart"/>
      <w:r w:rsidRPr="00EC1B43">
        <w:rPr>
          <w:rFonts w:ascii="Times New Roman" w:hAnsi="Times New Roman" w:cs="Times New Roman"/>
        </w:rPr>
        <w:t>e.g.</w:t>
      </w:r>
      <w:proofErr w:type="gramEnd"/>
      <w:r w:rsidRPr="00EC1B43">
        <w:rPr>
          <w:rFonts w:ascii="Times New Roman" w:hAnsi="Times New Roman" w:cs="Times New Roman"/>
        </w:rPr>
        <w:t xml:space="preserve"> Dashwood, “The Limits of European Community Powers”</w:t>
      </w:r>
      <w:r w:rsidR="00FD4D10" w:rsidRPr="00EC1B43">
        <w:rPr>
          <w:rFonts w:ascii="Times New Roman" w:hAnsi="Times New Roman" w:cs="Times New Roman"/>
        </w:rPr>
        <w:t>,</w:t>
      </w:r>
      <w:r w:rsidRPr="00EC1B43">
        <w:rPr>
          <w:rFonts w:ascii="Times New Roman" w:hAnsi="Times New Roman" w:cs="Times New Roman"/>
        </w:rPr>
        <w:t xml:space="preserve"> 21 EL</w:t>
      </w:r>
      <w:r w:rsidR="00FD4D10" w:rsidRPr="00EC1B43">
        <w:rPr>
          <w:rFonts w:ascii="Times New Roman" w:hAnsi="Times New Roman" w:cs="Times New Roman"/>
        </w:rPr>
        <w:t xml:space="preserve"> </w:t>
      </w:r>
      <w:r w:rsidRPr="00EC1B43">
        <w:rPr>
          <w:rFonts w:ascii="Times New Roman" w:hAnsi="Times New Roman" w:cs="Times New Roman"/>
        </w:rPr>
        <w:t>Rev</w:t>
      </w:r>
      <w:r w:rsidR="00FD4D10" w:rsidRPr="00EC1B43">
        <w:rPr>
          <w:rFonts w:ascii="Times New Roman" w:hAnsi="Times New Roman" w:cs="Times New Roman"/>
        </w:rPr>
        <w:t>. (1996),</w:t>
      </w:r>
      <w:r w:rsidRPr="00EC1B43">
        <w:rPr>
          <w:rFonts w:ascii="Times New Roman" w:hAnsi="Times New Roman" w:cs="Times New Roman"/>
        </w:rPr>
        <w:t xml:space="preserve"> 113 and “States in the European Union”</w:t>
      </w:r>
      <w:r w:rsidR="00FD4D10" w:rsidRPr="00EC1B43">
        <w:rPr>
          <w:rFonts w:ascii="Times New Roman" w:hAnsi="Times New Roman" w:cs="Times New Roman"/>
        </w:rPr>
        <w:t>,</w:t>
      </w:r>
      <w:r w:rsidRPr="00EC1B43">
        <w:rPr>
          <w:rFonts w:ascii="Times New Roman" w:hAnsi="Times New Roman" w:cs="Times New Roman"/>
        </w:rPr>
        <w:t xml:space="preserve"> 23 EL</w:t>
      </w:r>
      <w:r w:rsidR="00FD4D10" w:rsidRPr="00EC1B43">
        <w:rPr>
          <w:rFonts w:ascii="Times New Roman" w:hAnsi="Times New Roman" w:cs="Times New Roman"/>
        </w:rPr>
        <w:t xml:space="preserve"> </w:t>
      </w:r>
      <w:r w:rsidRPr="00EC1B43">
        <w:rPr>
          <w:rFonts w:ascii="Times New Roman" w:hAnsi="Times New Roman" w:cs="Times New Roman"/>
        </w:rPr>
        <w:t>Rev</w:t>
      </w:r>
      <w:r w:rsidR="00FD4D10" w:rsidRPr="00EC1B43">
        <w:rPr>
          <w:rFonts w:ascii="Times New Roman" w:hAnsi="Times New Roman" w:cs="Times New Roman"/>
        </w:rPr>
        <w:t xml:space="preserve">. (1998), </w:t>
      </w:r>
      <w:r w:rsidRPr="00EC1B43">
        <w:rPr>
          <w:rFonts w:ascii="Times New Roman" w:hAnsi="Times New Roman" w:cs="Times New Roman"/>
        </w:rPr>
        <w:t>201.</w:t>
      </w:r>
    </w:p>
  </w:footnote>
  <w:footnote w:id="7">
    <w:p w14:paraId="2823176B" w14:textId="4632BE3B" w:rsidR="004436DF" w:rsidRPr="00EC1B43" w:rsidRDefault="004436DF"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952D5" w:rsidRPr="00EC1B43">
        <w:rPr>
          <w:rFonts w:ascii="Times New Roman" w:hAnsi="Times New Roman" w:cs="Times New Roman"/>
          <w:color w:val="000000" w:themeColor="text1"/>
        </w:rPr>
        <w:t xml:space="preserve">For discussion of the bounded nature of Union competences, and their relationship to the wider constitutional environment, see </w:t>
      </w:r>
      <w:proofErr w:type="spellStart"/>
      <w:r w:rsidR="006952D5" w:rsidRPr="00EC1B43">
        <w:rPr>
          <w:rFonts w:ascii="Times New Roman" w:hAnsi="Times New Roman" w:cs="Times New Roman"/>
          <w:color w:val="000000" w:themeColor="text1"/>
        </w:rPr>
        <w:t>Azoulai</w:t>
      </w:r>
      <w:proofErr w:type="spellEnd"/>
      <w:r w:rsidR="006952D5" w:rsidRPr="00EC1B43">
        <w:rPr>
          <w:rFonts w:ascii="Times New Roman" w:hAnsi="Times New Roman" w:cs="Times New Roman"/>
          <w:color w:val="000000" w:themeColor="text1"/>
        </w:rPr>
        <w:t xml:space="preserve">, “The Complex Weave of Harmonization” in </w:t>
      </w:r>
      <w:proofErr w:type="spellStart"/>
      <w:r w:rsidR="006952D5" w:rsidRPr="00EC1B43">
        <w:rPr>
          <w:rFonts w:ascii="Times New Roman" w:hAnsi="Times New Roman" w:cs="Times New Roman"/>
          <w:color w:val="000000" w:themeColor="text1"/>
        </w:rPr>
        <w:t>Arnull</w:t>
      </w:r>
      <w:proofErr w:type="spellEnd"/>
      <w:r w:rsidR="006952D5" w:rsidRPr="00EC1B43">
        <w:rPr>
          <w:rFonts w:ascii="Times New Roman" w:hAnsi="Times New Roman" w:cs="Times New Roman"/>
          <w:color w:val="000000" w:themeColor="text1"/>
        </w:rPr>
        <w:t xml:space="preserve"> and Chalmers (eds), </w:t>
      </w:r>
      <w:r w:rsidR="006952D5" w:rsidRPr="00EC1B43">
        <w:rPr>
          <w:rFonts w:ascii="Times New Roman" w:hAnsi="Times New Roman" w:cs="Times New Roman"/>
          <w:i/>
          <w:iCs/>
          <w:color w:val="000000" w:themeColor="text1"/>
        </w:rPr>
        <w:t>The Oxford Handbook of European Union Law</w:t>
      </w:r>
      <w:r w:rsidR="006952D5" w:rsidRPr="00EC1B43">
        <w:rPr>
          <w:rFonts w:ascii="Times New Roman" w:hAnsi="Times New Roman" w:cs="Times New Roman"/>
          <w:color w:val="000000" w:themeColor="text1"/>
        </w:rPr>
        <w:t xml:space="preserve"> (OUP, 2015).</w:t>
      </w:r>
    </w:p>
  </w:footnote>
  <w:footnote w:id="8">
    <w:p w14:paraId="5FDD542D" w14:textId="649F2E2E"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Pr="00EC1B43">
        <w:rPr>
          <w:color w:val="000000" w:themeColor="text1"/>
          <w:sz w:val="20"/>
          <w:szCs w:val="20"/>
        </w:rPr>
        <w:t>E.g.</w:t>
      </w:r>
      <w:proofErr w:type="gramEnd"/>
      <w:r w:rsidRPr="00EC1B43">
        <w:rPr>
          <w:color w:val="000000" w:themeColor="text1"/>
          <w:sz w:val="20"/>
          <w:szCs w:val="20"/>
        </w:rPr>
        <w:t xml:space="preserve"> Case C-370/07, </w:t>
      </w:r>
      <w:r w:rsidRPr="00EC1B43">
        <w:rPr>
          <w:i/>
          <w:iCs/>
          <w:color w:val="000000" w:themeColor="text1"/>
          <w:sz w:val="20"/>
          <w:szCs w:val="20"/>
        </w:rPr>
        <w:t xml:space="preserve">Commission </w:t>
      </w:r>
      <w:r w:rsidRPr="00EC1B43">
        <w:rPr>
          <w:color w:val="000000" w:themeColor="text1"/>
          <w:sz w:val="20"/>
          <w:szCs w:val="20"/>
        </w:rPr>
        <w:t>v</w:t>
      </w:r>
      <w:r w:rsidR="003F62E6" w:rsidRPr="00EC1B43">
        <w:rPr>
          <w:color w:val="000000" w:themeColor="text1"/>
          <w:sz w:val="20"/>
          <w:szCs w:val="20"/>
        </w:rPr>
        <w:t>.</w:t>
      </w:r>
      <w:r w:rsidRPr="00EC1B43">
        <w:rPr>
          <w:i/>
          <w:iCs/>
          <w:color w:val="000000" w:themeColor="text1"/>
          <w:sz w:val="20"/>
          <w:szCs w:val="20"/>
        </w:rPr>
        <w:t xml:space="preserve"> Council</w:t>
      </w:r>
      <w:r w:rsidRPr="00EC1B43">
        <w:rPr>
          <w:color w:val="000000" w:themeColor="text1"/>
          <w:sz w:val="20"/>
          <w:szCs w:val="20"/>
        </w:rPr>
        <w:t xml:space="preserve">, </w:t>
      </w:r>
      <w:r w:rsidR="003F62E6" w:rsidRPr="00EC1B43">
        <w:rPr>
          <w:color w:val="000000" w:themeColor="text1"/>
          <w:sz w:val="20"/>
          <w:szCs w:val="20"/>
        </w:rPr>
        <w:t>EU:C:</w:t>
      </w:r>
      <w:r w:rsidRPr="00EC1B43">
        <w:rPr>
          <w:color w:val="000000" w:themeColor="text1"/>
          <w:sz w:val="20"/>
          <w:szCs w:val="20"/>
        </w:rPr>
        <w:t>2009</w:t>
      </w:r>
      <w:r w:rsidR="003F62E6" w:rsidRPr="00EC1B43">
        <w:rPr>
          <w:color w:val="000000" w:themeColor="text1"/>
          <w:sz w:val="20"/>
          <w:szCs w:val="20"/>
        </w:rPr>
        <w:t>:590</w:t>
      </w:r>
      <w:r w:rsidRPr="00EC1B43">
        <w:rPr>
          <w:color w:val="000000" w:themeColor="text1"/>
          <w:sz w:val="20"/>
          <w:szCs w:val="20"/>
        </w:rPr>
        <w:t xml:space="preserve">.  </w:t>
      </w:r>
      <w:r w:rsidR="00AD182F" w:rsidRPr="00EC1B43">
        <w:rPr>
          <w:color w:val="000000" w:themeColor="text1"/>
          <w:sz w:val="20"/>
          <w:szCs w:val="20"/>
        </w:rPr>
        <w:t xml:space="preserve">Certain judgments also treat this requirement as </w:t>
      </w:r>
      <w:r w:rsidR="005F5E71" w:rsidRPr="00EC1B43">
        <w:rPr>
          <w:color w:val="000000" w:themeColor="text1"/>
          <w:sz w:val="20"/>
          <w:szCs w:val="20"/>
        </w:rPr>
        <w:t xml:space="preserve">an aspect of the duty to state reasons and / or the principle of </w:t>
      </w:r>
      <w:r w:rsidR="00AD182F" w:rsidRPr="00EC1B43">
        <w:rPr>
          <w:color w:val="000000" w:themeColor="text1"/>
          <w:sz w:val="20"/>
          <w:szCs w:val="20"/>
        </w:rPr>
        <w:t xml:space="preserve">legal certainty, </w:t>
      </w:r>
      <w:proofErr w:type="gramStart"/>
      <w:r w:rsidR="00AD182F" w:rsidRPr="00EC1B43">
        <w:rPr>
          <w:color w:val="000000" w:themeColor="text1"/>
          <w:sz w:val="20"/>
          <w:szCs w:val="20"/>
        </w:rPr>
        <w:t>e.g.</w:t>
      </w:r>
      <w:proofErr w:type="gramEnd"/>
      <w:r w:rsidR="00AD182F" w:rsidRPr="00EC1B43">
        <w:rPr>
          <w:color w:val="000000" w:themeColor="text1"/>
          <w:sz w:val="20"/>
          <w:szCs w:val="20"/>
        </w:rPr>
        <w:t xml:space="preserve"> </w:t>
      </w:r>
      <w:r w:rsidR="005F5E71" w:rsidRPr="00EC1B43">
        <w:rPr>
          <w:color w:val="000000" w:themeColor="text1"/>
          <w:sz w:val="20"/>
          <w:szCs w:val="20"/>
        </w:rPr>
        <w:t xml:space="preserve">Case 45/86, </w:t>
      </w:r>
      <w:r w:rsidR="005F5E71" w:rsidRPr="00EC1B43">
        <w:rPr>
          <w:i/>
          <w:iCs/>
          <w:color w:val="000000" w:themeColor="text1"/>
          <w:sz w:val="20"/>
          <w:szCs w:val="20"/>
        </w:rPr>
        <w:t xml:space="preserve">Commission </w:t>
      </w:r>
      <w:r w:rsidR="005F5E71" w:rsidRPr="00EC1B43">
        <w:rPr>
          <w:color w:val="000000" w:themeColor="text1"/>
          <w:sz w:val="20"/>
          <w:szCs w:val="20"/>
        </w:rPr>
        <w:t>v</w:t>
      </w:r>
      <w:r w:rsidR="00FD4D10" w:rsidRPr="00EC1B43">
        <w:rPr>
          <w:color w:val="000000" w:themeColor="text1"/>
          <w:sz w:val="20"/>
          <w:szCs w:val="20"/>
        </w:rPr>
        <w:t>.</w:t>
      </w:r>
      <w:r w:rsidR="005F5E71" w:rsidRPr="00EC1B43">
        <w:rPr>
          <w:i/>
          <w:iCs/>
          <w:color w:val="000000" w:themeColor="text1"/>
          <w:sz w:val="20"/>
          <w:szCs w:val="20"/>
        </w:rPr>
        <w:t xml:space="preserve"> Council</w:t>
      </w:r>
      <w:r w:rsidR="005F5E71" w:rsidRPr="00EC1B43">
        <w:rPr>
          <w:color w:val="000000" w:themeColor="text1"/>
          <w:sz w:val="20"/>
          <w:szCs w:val="20"/>
        </w:rPr>
        <w:t xml:space="preserve">, </w:t>
      </w:r>
      <w:r w:rsidR="005F5E71" w:rsidRPr="00EC1B43">
        <w:rPr>
          <w:color w:val="000000" w:themeColor="text1"/>
          <w:sz w:val="20"/>
          <w:szCs w:val="20"/>
          <w:shd w:val="clear" w:color="auto" w:fill="FFFFFF"/>
        </w:rPr>
        <w:t>EU:C:1987:163</w:t>
      </w:r>
      <w:r w:rsidR="005F5E71" w:rsidRPr="00EC1B43">
        <w:rPr>
          <w:color w:val="000000" w:themeColor="text1"/>
          <w:sz w:val="20"/>
          <w:szCs w:val="20"/>
        </w:rPr>
        <w:t>; C</w:t>
      </w:r>
      <w:r w:rsidR="00AD182F" w:rsidRPr="00EC1B43">
        <w:rPr>
          <w:color w:val="000000" w:themeColor="text1"/>
          <w:sz w:val="20"/>
          <w:szCs w:val="20"/>
        </w:rPr>
        <w:t>ase C-3</w:t>
      </w:r>
      <w:r w:rsidR="005F5E71" w:rsidRPr="00EC1B43">
        <w:rPr>
          <w:color w:val="000000" w:themeColor="text1"/>
          <w:sz w:val="20"/>
          <w:szCs w:val="20"/>
        </w:rPr>
        <w:t>2</w:t>
      </w:r>
      <w:r w:rsidR="00AD182F" w:rsidRPr="00EC1B43">
        <w:rPr>
          <w:color w:val="000000" w:themeColor="text1"/>
          <w:sz w:val="20"/>
          <w:szCs w:val="20"/>
        </w:rPr>
        <w:t xml:space="preserve">5/91, </w:t>
      </w:r>
      <w:r w:rsidR="00AD182F" w:rsidRPr="00EC1B43">
        <w:rPr>
          <w:i/>
          <w:iCs/>
          <w:color w:val="000000" w:themeColor="text1"/>
          <w:sz w:val="20"/>
          <w:szCs w:val="20"/>
        </w:rPr>
        <w:t xml:space="preserve">France </w:t>
      </w:r>
      <w:r w:rsidR="00FD4D10" w:rsidRPr="00EC1B43">
        <w:rPr>
          <w:color w:val="000000" w:themeColor="text1"/>
          <w:sz w:val="20"/>
          <w:szCs w:val="20"/>
        </w:rPr>
        <w:t>v.</w:t>
      </w:r>
      <w:r w:rsidR="00AD182F" w:rsidRPr="00EC1B43">
        <w:rPr>
          <w:i/>
          <w:iCs/>
          <w:color w:val="000000" w:themeColor="text1"/>
          <w:sz w:val="20"/>
          <w:szCs w:val="20"/>
        </w:rPr>
        <w:t xml:space="preserve"> Commission</w:t>
      </w:r>
      <w:r w:rsidR="00AD182F" w:rsidRPr="00EC1B43">
        <w:rPr>
          <w:color w:val="000000" w:themeColor="text1"/>
          <w:sz w:val="20"/>
          <w:szCs w:val="20"/>
        </w:rPr>
        <w:t xml:space="preserve">, </w:t>
      </w:r>
      <w:r w:rsidR="00AD182F" w:rsidRPr="00EC1B43">
        <w:rPr>
          <w:color w:val="000000" w:themeColor="text1"/>
          <w:sz w:val="20"/>
          <w:szCs w:val="20"/>
          <w:shd w:val="clear" w:color="auto" w:fill="FFFFFF"/>
        </w:rPr>
        <w:t>EU:C:1993:245.</w:t>
      </w:r>
    </w:p>
  </w:footnote>
  <w:footnote w:id="9">
    <w:p w14:paraId="2C82488A" w14:textId="4CADAF7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Opinion 2/00,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2001</w:t>
      </w:r>
      <w:r w:rsidR="003F62E6" w:rsidRPr="00EC1B43">
        <w:rPr>
          <w:rFonts w:ascii="Times New Roman" w:hAnsi="Times New Roman" w:cs="Times New Roman"/>
          <w:color w:val="000000" w:themeColor="text1"/>
        </w:rPr>
        <w:t>:664</w:t>
      </w:r>
      <w:r w:rsidRPr="00EC1B43">
        <w:rPr>
          <w:rFonts w:ascii="Times New Roman" w:hAnsi="Times New Roman" w:cs="Times New Roman"/>
          <w:color w:val="000000" w:themeColor="text1"/>
        </w:rPr>
        <w:t xml:space="preserve">; Case C-263/14,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2016</w:t>
      </w:r>
      <w:r w:rsidR="003F62E6" w:rsidRPr="00EC1B43">
        <w:rPr>
          <w:rFonts w:ascii="Times New Roman" w:hAnsi="Times New Roman" w:cs="Times New Roman"/>
          <w:color w:val="000000" w:themeColor="text1"/>
        </w:rPr>
        <w:t>:435</w:t>
      </w:r>
      <w:r w:rsidRPr="00EC1B43">
        <w:rPr>
          <w:rFonts w:ascii="Times New Roman" w:hAnsi="Times New Roman" w:cs="Times New Roman"/>
          <w:color w:val="000000" w:themeColor="text1"/>
        </w:rPr>
        <w:t xml:space="preserve">; Opinion 1/19,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2021</w:t>
      </w:r>
      <w:r w:rsidR="003F62E6" w:rsidRPr="00EC1B43">
        <w:rPr>
          <w:rFonts w:ascii="Times New Roman" w:hAnsi="Times New Roman" w:cs="Times New Roman"/>
          <w:color w:val="000000" w:themeColor="text1"/>
        </w:rPr>
        <w:t>:832</w:t>
      </w:r>
      <w:r w:rsidRPr="00EC1B43">
        <w:rPr>
          <w:rFonts w:ascii="Times New Roman" w:hAnsi="Times New Roman" w:cs="Times New Roman"/>
          <w:color w:val="000000" w:themeColor="text1"/>
        </w:rPr>
        <w:t xml:space="preserve">.  </w:t>
      </w:r>
    </w:p>
  </w:footnote>
  <w:footnote w:id="10">
    <w:p w14:paraId="5AE0EA18" w14:textId="777D4846"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The Union institutions cannot seek to amend or evade those conditions and limitations through the creation of “secondary legal bases”, which in itself amounts to an infringement of the principle of conferral,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C-133/06,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v.</w:t>
      </w:r>
      <w:r w:rsidRPr="00EC1B43">
        <w:rPr>
          <w:rFonts w:ascii="Times New Roman" w:hAnsi="Times New Roman" w:cs="Times New Roman"/>
          <w:i/>
          <w:iCs/>
          <w:color w:val="000000" w:themeColor="text1"/>
        </w:rPr>
        <w:t xml:space="preserve"> Council</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2008</w:t>
      </w:r>
      <w:r w:rsidR="003F62E6" w:rsidRPr="00EC1B43">
        <w:rPr>
          <w:rFonts w:ascii="Times New Roman" w:hAnsi="Times New Roman" w:cs="Times New Roman"/>
          <w:color w:val="000000" w:themeColor="text1"/>
        </w:rPr>
        <w:t>:257</w:t>
      </w:r>
      <w:r w:rsidRPr="00EC1B43">
        <w:rPr>
          <w:rFonts w:ascii="Times New Roman" w:hAnsi="Times New Roman" w:cs="Times New Roman"/>
          <w:color w:val="000000" w:themeColor="text1"/>
        </w:rPr>
        <w:t xml:space="preserve">; Joined Cases C-317/13 and C-679/13,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2015</w:t>
      </w:r>
      <w:r w:rsidR="003F62E6" w:rsidRPr="00EC1B43">
        <w:rPr>
          <w:rFonts w:ascii="Times New Roman" w:hAnsi="Times New Roman" w:cs="Times New Roman"/>
          <w:color w:val="000000" w:themeColor="text1"/>
        </w:rPr>
        <w:t>:223</w:t>
      </w:r>
      <w:r w:rsidRPr="00EC1B43">
        <w:rPr>
          <w:rFonts w:ascii="Times New Roman" w:hAnsi="Times New Roman" w:cs="Times New Roman"/>
          <w:color w:val="000000" w:themeColor="text1"/>
        </w:rPr>
        <w:t xml:space="preserve">.   </w:t>
      </w:r>
    </w:p>
  </w:footnote>
  <w:footnote w:id="11">
    <w:p w14:paraId="23944D58" w14:textId="04024414"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C-130/10,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2012</w:t>
      </w:r>
      <w:r w:rsidR="003F62E6" w:rsidRPr="00EC1B43">
        <w:rPr>
          <w:rFonts w:ascii="Times New Roman" w:hAnsi="Times New Roman" w:cs="Times New Roman"/>
          <w:color w:val="000000" w:themeColor="text1"/>
        </w:rPr>
        <w:t>:472</w:t>
      </w:r>
      <w:r w:rsidRPr="00EC1B43">
        <w:rPr>
          <w:rFonts w:ascii="Times New Roman" w:hAnsi="Times New Roman" w:cs="Times New Roman"/>
          <w:color w:val="000000" w:themeColor="text1"/>
        </w:rPr>
        <w:t xml:space="preserve">; Case C-137/12, </w:t>
      </w:r>
      <w:r w:rsidRPr="00EC1B43">
        <w:rPr>
          <w:rFonts w:ascii="Times New Roman" w:hAnsi="Times New Roman" w:cs="Times New Roman"/>
          <w:i/>
          <w:iCs/>
          <w:color w:val="000000" w:themeColor="text1"/>
        </w:rPr>
        <w:t xml:space="preserve">Commission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2013</w:t>
      </w:r>
      <w:r w:rsidR="003F62E6" w:rsidRPr="00EC1B43">
        <w:rPr>
          <w:rFonts w:ascii="Times New Roman" w:hAnsi="Times New Roman" w:cs="Times New Roman"/>
          <w:color w:val="000000" w:themeColor="text1"/>
        </w:rPr>
        <w:t>:675</w:t>
      </w:r>
      <w:r w:rsidRPr="00EC1B43">
        <w:rPr>
          <w:rFonts w:ascii="Times New Roman" w:hAnsi="Times New Roman" w:cs="Times New Roman"/>
          <w:color w:val="000000" w:themeColor="text1"/>
        </w:rPr>
        <w:t xml:space="preserve">; Opinion 1/19, </w:t>
      </w:r>
      <w:r w:rsidR="003F62E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2021</w:t>
      </w:r>
      <w:r w:rsidR="003F62E6" w:rsidRPr="00EC1B43">
        <w:rPr>
          <w:rFonts w:ascii="Times New Roman" w:hAnsi="Times New Roman" w:cs="Times New Roman"/>
          <w:color w:val="000000" w:themeColor="text1"/>
        </w:rPr>
        <w:t>:832</w:t>
      </w:r>
      <w:r w:rsidRPr="00EC1B43">
        <w:rPr>
          <w:rFonts w:ascii="Times New Roman" w:hAnsi="Times New Roman" w:cs="Times New Roman"/>
          <w:color w:val="000000" w:themeColor="text1"/>
        </w:rPr>
        <w:t xml:space="preserve">.  </w:t>
      </w:r>
    </w:p>
  </w:footnote>
  <w:footnote w:id="12">
    <w:p w14:paraId="2CD45A41" w14:textId="1D60B9B6"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Pr="00EC1B43">
        <w:rPr>
          <w:color w:val="000000" w:themeColor="text1"/>
          <w:sz w:val="20"/>
          <w:szCs w:val="20"/>
        </w:rPr>
        <w:t>E.g.</w:t>
      </w:r>
      <w:proofErr w:type="gramEnd"/>
      <w:r w:rsidRPr="00EC1B43">
        <w:rPr>
          <w:color w:val="000000" w:themeColor="text1"/>
          <w:sz w:val="20"/>
          <w:szCs w:val="20"/>
        </w:rPr>
        <w:t xml:space="preserve"> Case C-43/12, </w:t>
      </w:r>
      <w:r w:rsidRPr="00EC1B43">
        <w:rPr>
          <w:i/>
          <w:iCs/>
          <w:color w:val="000000" w:themeColor="text1"/>
          <w:sz w:val="20"/>
          <w:szCs w:val="20"/>
        </w:rPr>
        <w:t xml:space="preserve">Commission </w:t>
      </w:r>
      <w:r w:rsidR="00FD4D10" w:rsidRPr="00EC1B43">
        <w:rPr>
          <w:color w:val="000000" w:themeColor="text1"/>
          <w:sz w:val="20"/>
          <w:szCs w:val="20"/>
        </w:rPr>
        <w:t xml:space="preserve">v. </w:t>
      </w:r>
      <w:r w:rsidRPr="00EC1B43">
        <w:rPr>
          <w:i/>
          <w:iCs/>
          <w:color w:val="000000" w:themeColor="text1"/>
          <w:sz w:val="20"/>
          <w:szCs w:val="20"/>
        </w:rPr>
        <w:t>Parliament and Council</w:t>
      </w:r>
      <w:r w:rsidRPr="00EC1B43">
        <w:rPr>
          <w:color w:val="000000" w:themeColor="text1"/>
          <w:sz w:val="20"/>
          <w:szCs w:val="20"/>
        </w:rPr>
        <w:t xml:space="preserve">, </w:t>
      </w:r>
      <w:r w:rsidR="003F62E6" w:rsidRPr="00EC1B43">
        <w:rPr>
          <w:color w:val="000000" w:themeColor="text1"/>
          <w:sz w:val="20"/>
          <w:szCs w:val="20"/>
        </w:rPr>
        <w:t>EU:C:</w:t>
      </w:r>
      <w:r w:rsidRPr="00EC1B43">
        <w:rPr>
          <w:color w:val="000000" w:themeColor="text1"/>
          <w:sz w:val="20"/>
          <w:szCs w:val="20"/>
        </w:rPr>
        <w:t>2014</w:t>
      </w:r>
      <w:r w:rsidR="003F62E6" w:rsidRPr="00EC1B43">
        <w:rPr>
          <w:color w:val="000000" w:themeColor="text1"/>
          <w:sz w:val="20"/>
          <w:szCs w:val="20"/>
        </w:rPr>
        <w:t>:</w:t>
      </w:r>
      <w:r w:rsidR="009A39D9" w:rsidRPr="00EC1B43">
        <w:rPr>
          <w:color w:val="000000" w:themeColor="text1"/>
          <w:sz w:val="20"/>
          <w:szCs w:val="20"/>
        </w:rPr>
        <w:t>298</w:t>
      </w:r>
      <w:r w:rsidRPr="00EC1B43">
        <w:rPr>
          <w:color w:val="000000" w:themeColor="text1"/>
          <w:sz w:val="20"/>
          <w:szCs w:val="20"/>
        </w:rPr>
        <w:t xml:space="preserve">; Case C-377/12, </w:t>
      </w:r>
      <w:r w:rsidRPr="00EC1B43">
        <w:rPr>
          <w:i/>
          <w:iCs/>
          <w:color w:val="000000" w:themeColor="text1"/>
          <w:sz w:val="20"/>
          <w:szCs w:val="20"/>
        </w:rPr>
        <w:t xml:space="preserve">Commission </w:t>
      </w:r>
      <w:r w:rsidR="00FD4D10"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2014</w:t>
      </w:r>
      <w:r w:rsidR="009A39D9" w:rsidRPr="00EC1B43">
        <w:rPr>
          <w:color w:val="000000" w:themeColor="text1"/>
          <w:sz w:val="20"/>
          <w:szCs w:val="20"/>
        </w:rPr>
        <w:t>:1903</w:t>
      </w:r>
      <w:r w:rsidRPr="00EC1B43">
        <w:rPr>
          <w:color w:val="000000" w:themeColor="text1"/>
          <w:sz w:val="20"/>
          <w:szCs w:val="20"/>
        </w:rPr>
        <w:t xml:space="preserve">; Case C-267/16, </w:t>
      </w:r>
      <w:proofErr w:type="spellStart"/>
      <w:r w:rsidRPr="00EC1B43">
        <w:rPr>
          <w:i/>
          <w:iCs/>
          <w:color w:val="000000" w:themeColor="text1"/>
          <w:sz w:val="20"/>
          <w:szCs w:val="20"/>
        </w:rPr>
        <w:t>Buhagiar</w:t>
      </w:r>
      <w:proofErr w:type="spellEnd"/>
      <w:r w:rsidRPr="00EC1B43">
        <w:rPr>
          <w:color w:val="000000" w:themeColor="text1"/>
          <w:sz w:val="20"/>
          <w:szCs w:val="20"/>
        </w:rPr>
        <w:t xml:space="preserve">, EU:C:2018:26.  There is no hierarchy between the two criteria of aim and content, e.g. Case C-180/20, </w:t>
      </w:r>
      <w:r w:rsidRPr="00EC1B43">
        <w:rPr>
          <w:i/>
          <w:iCs/>
          <w:color w:val="000000" w:themeColor="text1"/>
          <w:sz w:val="20"/>
          <w:szCs w:val="20"/>
        </w:rPr>
        <w:t xml:space="preserve">Commission </w:t>
      </w:r>
      <w:r w:rsidR="00FD4D10"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2021</w:t>
      </w:r>
      <w:r w:rsidR="009A39D9" w:rsidRPr="00EC1B43">
        <w:rPr>
          <w:color w:val="000000" w:themeColor="text1"/>
          <w:sz w:val="20"/>
          <w:szCs w:val="20"/>
        </w:rPr>
        <w:t>:658</w:t>
      </w:r>
      <w:r w:rsidRPr="00EC1B43">
        <w:rPr>
          <w:color w:val="000000" w:themeColor="text1"/>
          <w:sz w:val="20"/>
          <w:szCs w:val="20"/>
        </w:rPr>
        <w:t xml:space="preserve">.  The Court’s test excludes consideration of essentially speculative factors such as the subsequent / actual effects of the disputed measure, </w:t>
      </w:r>
      <w:proofErr w:type="gramStart"/>
      <w:r w:rsidRPr="00EC1B43">
        <w:rPr>
          <w:color w:val="000000" w:themeColor="text1"/>
          <w:sz w:val="20"/>
          <w:szCs w:val="20"/>
        </w:rPr>
        <w:t>e.g.</w:t>
      </w:r>
      <w:proofErr w:type="gramEnd"/>
      <w:r w:rsidRPr="00EC1B43">
        <w:rPr>
          <w:color w:val="000000" w:themeColor="text1"/>
          <w:sz w:val="20"/>
          <w:szCs w:val="20"/>
        </w:rPr>
        <w:t xml:space="preserve"> Case C-5/16, </w:t>
      </w:r>
      <w:r w:rsidRPr="00EC1B43">
        <w:rPr>
          <w:i/>
          <w:iCs/>
          <w:color w:val="000000" w:themeColor="text1"/>
          <w:sz w:val="20"/>
          <w:szCs w:val="20"/>
        </w:rPr>
        <w:t xml:space="preserve">Poland </w:t>
      </w:r>
      <w:r w:rsidR="00FD4D10" w:rsidRPr="00EC1B43">
        <w:rPr>
          <w:color w:val="000000" w:themeColor="text1"/>
          <w:sz w:val="20"/>
          <w:szCs w:val="20"/>
        </w:rPr>
        <w:t xml:space="preserve">v. </w:t>
      </w:r>
      <w:r w:rsidRPr="00EC1B43">
        <w:rPr>
          <w:i/>
          <w:iCs/>
          <w:color w:val="000000" w:themeColor="text1"/>
          <w:sz w:val="20"/>
          <w:szCs w:val="20"/>
        </w:rPr>
        <w:t>Parliament and 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2018</w:t>
      </w:r>
      <w:r w:rsidR="009A39D9" w:rsidRPr="00EC1B43">
        <w:rPr>
          <w:color w:val="000000" w:themeColor="text1"/>
          <w:sz w:val="20"/>
          <w:szCs w:val="20"/>
        </w:rPr>
        <w:t>:483</w:t>
      </w:r>
      <w:r w:rsidRPr="00EC1B43">
        <w:rPr>
          <w:color w:val="000000" w:themeColor="text1"/>
          <w:sz w:val="20"/>
          <w:szCs w:val="20"/>
        </w:rPr>
        <w:t xml:space="preserve">.  </w:t>
      </w:r>
    </w:p>
  </w:footnote>
  <w:footnote w:id="13">
    <w:p w14:paraId="6AE03307" w14:textId="2B711A3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C-482/08, </w:t>
      </w:r>
      <w:r w:rsidRPr="00EC1B43">
        <w:rPr>
          <w:rFonts w:ascii="Times New Roman" w:hAnsi="Times New Roman" w:cs="Times New Roman"/>
          <w:i/>
          <w:iCs/>
          <w:color w:val="000000" w:themeColor="text1"/>
        </w:rPr>
        <w:t xml:space="preserve">UK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2010</w:t>
      </w:r>
      <w:r w:rsidR="009A39D9" w:rsidRPr="00EC1B43">
        <w:rPr>
          <w:rFonts w:ascii="Times New Roman" w:hAnsi="Times New Roman" w:cs="Times New Roman"/>
          <w:color w:val="000000" w:themeColor="text1"/>
        </w:rPr>
        <w:t>:631</w:t>
      </w:r>
      <w:r w:rsidRPr="00EC1B43">
        <w:rPr>
          <w:rFonts w:ascii="Times New Roman" w:hAnsi="Times New Roman" w:cs="Times New Roman"/>
          <w:color w:val="000000" w:themeColor="text1"/>
        </w:rPr>
        <w:t xml:space="preserve">.  </w:t>
      </w:r>
    </w:p>
  </w:footnote>
  <w:footnote w:id="14">
    <w:p w14:paraId="6821549B" w14:textId="58DD430A"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Such as </w:t>
      </w:r>
      <w:r w:rsidR="00FD4D10" w:rsidRPr="00EC1B43">
        <w:rPr>
          <w:rFonts w:ascii="Times New Roman" w:hAnsi="Times New Roman" w:cs="Times New Roman"/>
          <w:color w:val="000000" w:themeColor="text1"/>
        </w:rPr>
        <w:t>Art</w:t>
      </w:r>
      <w:r w:rsidRPr="00EC1B43">
        <w:rPr>
          <w:rFonts w:ascii="Times New Roman" w:hAnsi="Times New Roman" w:cs="Times New Roman"/>
          <w:color w:val="000000" w:themeColor="text1"/>
        </w:rPr>
        <w:t xml:space="preserve"> 114 TFEU,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C-358/14, </w:t>
      </w:r>
      <w:r w:rsidRPr="00EC1B43">
        <w:rPr>
          <w:rFonts w:ascii="Times New Roman" w:hAnsi="Times New Roman" w:cs="Times New Roman"/>
          <w:i/>
          <w:iCs/>
          <w:color w:val="000000" w:themeColor="text1"/>
        </w:rPr>
        <w:t xml:space="preserve">Poland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2016</w:t>
      </w:r>
      <w:r w:rsidR="009A39D9" w:rsidRPr="00EC1B43">
        <w:rPr>
          <w:rFonts w:ascii="Times New Roman" w:hAnsi="Times New Roman" w:cs="Times New Roman"/>
          <w:color w:val="000000" w:themeColor="text1"/>
        </w:rPr>
        <w:t>:323</w:t>
      </w:r>
      <w:r w:rsidRPr="00EC1B43">
        <w:rPr>
          <w:rFonts w:ascii="Times New Roman" w:hAnsi="Times New Roman" w:cs="Times New Roman"/>
          <w:color w:val="000000" w:themeColor="text1"/>
        </w:rPr>
        <w:t xml:space="preserve">.  </w:t>
      </w:r>
    </w:p>
  </w:footnote>
  <w:footnote w:id="15">
    <w:p w14:paraId="3CBA1580" w14:textId="58644F0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Joined Cases C-164-165/97,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1999</w:t>
      </w:r>
      <w:r w:rsidR="009A39D9" w:rsidRPr="00EC1B43">
        <w:rPr>
          <w:rFonts w:ascii="Times New Roman" w:hAnsi="Times New Roman" w:cs="Times New Roman"/>
          <w:color w:val="000000" w:themeColor="text1"/>
        </w:rPr>
        <w:t>:99</w:t>
      </w:r>
      <w:r w:rsidRPr="00EC1B43">
        <w:rPr>
          <w:rFonts w:ascii="Times New Roman" w:hAnsi="Times New Roman" w:cs="Times New Roman"/>
          <w:color w:val="000000" w:themeColor="text1"/>
        </w:rPr>
        <w:t xml:space="preserve">.  Note the more detailed criteria for determining predominant / ancillary aims / components provided, e.g. in Opinion 1/19,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2021</w:t>
      </w:r>
      <w:r w:rsidR="009A39D9" w:rsidRPr="00EC1B43">
        <w:rPr>
          <w:rFonts w:ascii="Times New Roman" w:hAnsi="Times New Roman" w:cs="Times New Roman"/>
          <w:color w:val="000000" w:themeColor="text1"/>
        </w:rPr>
        <w:t>:832</w:t>
      </w:r>
      <w:r w:rsidRPr="00EC1B43">
        <w:rPr>
          <w:rFonts w:ascii="Times New Roman" w:hAnsi="Times New Roman" w:cs="Times New Roman"/>
          <w:color w:val="000000" w:themeColor="text1"/>
        </w:rPr>
        <w:t>, paras 285-287.</w:t>
      </w:r>
    </w:p>
  </w:footnote>
  <w:footnote w:id="16">
    <w:p w14:paraId="4BA41AE7" w14:textId="1ACEC9E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C-155/07, </w:t>
      </w:r>
      <w:r w:rsidRPr="00EC1B43">
        <w:rPr>
          <w:rFonts w:ascii="Times New Roman" w:hAnsi="Times New Roman" w:cs="Times New Roman"/>
          <w:i/>
          <w:iCs/>
          <w:color w:val="000000" w:themeColor="text1"/>
        </w:rPr>
        <w:t xml:space="preserve">Parliament </w:t>
      </w:r>
      <w:r w:rsidR="00FD4D10"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2008</w:t>
      </w:r>
      <w:r w:rsidR="009A39D9" w:rsidRPr="00EC1B43">
        <w:rPr>
          <w:rFonts w:ascii="Times New Roman" w:hAnsi="Times New Roman" w:cs="Times New Roman"/>
          <w:color w:val="000000" w:themeColor="text1"/>
        </w:rPr>
        <w:t>:605</w:t>
      </w:r>
      <w:r w:rsidRPr="00EC1B43">
        <w:rPr>
          <w:rFonts w:ascii="Times New Roman" w:hAnsi="Times New Roman" w:cs="Times New Roman"/>
          <w:color w:val="000000" w:themeColor="text1"/>
        </w:rPr>
        <w:t xml:space="preserve">.  Note that the Court does not privilege certain legal bases on the </w:t>
      </w:r>
      <w:r w:rsidR="00080AD3" w:rsidRPr="00EC1B43">
        <w:rPr>
          <w:rFonts w:ascii="Times New Roman" w:hAnsi="Times New Roman" w:cs="Times New Roman"/>
          <w:color w:val="000000" w:themeColor="text1"/>
        </w:rPr>
        <w:t>grounds</w:t>
      </w:r>
      <w:r w:rsidRPr="00EC1B43">
        <w:rPr>
          <w:rFonts w:ascii="Times New Roman" w:hAnsi="Times New Roman" w:cs="Times New Roman"/>
          <w:color w:val="000000" w:themeColor="text1"/>
        </w:rPr>
        <w:t xml:space="preserve"> that they would</w:t>
      </w:r>
      <w:r w:rsidR="009A39D9" w:rsidRPr="00EC1B43">
        <w:rPr>
          <w:rFonts w:ascii="Times New Roman" w:hAnsi="Times New Roman" w:cs="Times New Roman"/>
          <w:color w:val="000000" w:themeColor="text1"/>
        </w:rPr>
        <w:t xml:space="preserve"> favour</w:t>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participation of the European Parliament (e.g. Case C-130/10, </w:t>
      </w:r>
      <w:r w:rsidRPr="00EC1B43">
        <w:rPr>
          <w:rFonts w:ascii="Times New Roman" w:hAnsi="Times New Roman" w:cs="Times New Roman"/>
          <w:i/>
          <w:iCs/>
          <w:color w:val="000000" w:themeColor="text1"/>
        </w:rPr>
        <w:t xml:space="preserve">Parliament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2012</w:t>
      </w:r>
      <w:r w:rsidR="009A39D9" w:rsidRPr="00EC1B43">
        <w:rPr>
          <w:rFonts w:ascii="Times New Roman" w:hAnsi="Times New Roman" w:cs="Times New Roman"/>
          <w:color w:val="000000" w:themeColor="text1"/>
        </w:rPr>
        <w:t>:472</w:t>
      </w:r>
      <w:r w:rsidRPr="00EC1B43">
        <w:rPr>
          <w:rFonts w:ascii="Times New Roman" w:hAnsi="Times New Roman" w:cs="Times New Roman"/>
          <w:color w:val="000000" w:themeColor="text1"/>
        </w:rPr>
        <w:t xml:space="preserve">); or </w:t>
      </w:r>
      <w:r w:rsidR="009A39D9" w:rsidRPr="00EC1B43">
        <w:rPr>
          <w:rFonts w:ascii="Times New Roman" w:hAnsi="Times New Roman" w:cs="Times New Roman"/>
          <w:color w:val="000000" w:themeColor="text1"/>
        </w:rPr>
        <w:t xml:space="preserve">the exercise of </w:t>
      </w:r>
      <w:r w:rsidRPr="00EC1B43">
        <w:rPr>
          <w:rFonts w:ascii="Times New Roman" w:hAnsi="Times New Roman" w:cs="Times New Roman"/>
          <w:color w:val="000000" w:themeColor="text1"/>
        </w:rPr>
        <w:t xml:space="preserve">Internal Market competences (e.g. Case C-155/91,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1993</w:t>
      </w:r>
      <w:r w:rsidR="009A39D9" w:rsidRPr="00EC1B43">
        <w:rPr>
          <w:rFonts w:ascii="Times New Roman" w:hAnsi="Times New Roman" w:cs="Times New Roman"/>
          <w:color w:val="000000" w:themeColor="text1"/>
        </w:rPr>
        <w:t>:98</w:t>
      </w:r>
      <w:r w:rsidRPr="00EC1B43">
        <w:rPr>
          <w:rFonts w:ascii="Times New Roman" w:hAnsi="Times New Roman" w:cs="Times New Roman"/>
          <w:color w:val="000000" w:themeColor="text1"/>
        </w:rPr>
        <w:t>).</w:t>
      </w:r>
    </w:p>
  </w:footnote>
  <w:footnote w:id="17">
    <w:p w14:paraId="1D52764A" w14:textId="1B7BC24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C-94/03,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2006</w:t>
      </w:r>
      <w:r w:rsidR="009A39D9" w:rsidRPr="00EC1B43">
        <w:rPr>
          <w:rFonts w:ascii="Times New Roman" w:hAnsi="Times New Roman" w:cs="Times New Roman"/>
          <w:color w:val="000000" w:themeColor="text1"/>
        </w:rPr>
        <w:t>:2</w:t>
      </w:r>
      <w:r w:rsidRPr="00EC1B43">
        <w:rPr>
          <w:rFonts w:ascii="Times New Roman" w:hAnsi="Times New Roman" w:cs="Times New Roman"/>
          <w:color w:val="000000" w:themeColor="text1"/>
        </w:rPr>
        <w:t xml:space="preserve">; Case C-178/03,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2006</w:t>
      </w:r>
      <w:r w:rsidR="009A39D9" w:rsidRPr="00EC1B43">
        <w:rPr>
          <w:rFonts w:ascii="Times New Roman" w:hAnsi="Times New Roman" w:cs="Times New Roman"/>
          <w:color w:val="000000" w:themeColor="text1"/>
        </w:rPr>
        <w:t>:4</w:t>
      </w:r>
      <w:r w:rsidRPr="00EC1B43">
        <w:rPr>
          <w:rFonts w:ascii="Times New Roman" w:hAnsi="Times New Roman" w:cs="Times New Roman"/>
          <w:color w:val="000000" w:themeColor="text1"/>
        </w:rPr>
        <w:t xml:space="preserve">; Opinion 1/15,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2017</w:t>
      </w:r>
      <w:r w:rsidR="009A39D9" w:rsidRPr="00EC1B43">
        <w:rPr>
          <w:rFonts w:ascii="Times New Roman" w:hAnsi="Times New Roman" w:cs="Times New Roman"/>
          <w:color w:val="000000" w:themeColor="text1"/>
        </w:rPr>
        <w:t>:592</w:t>
      </w:r>
      <w:r w:rsidRPr="00EC1B43">
        <w:rPr>
          <w:rFonts w:ascii="Times New Roman" w:hAnsi="Times New Roman" w:cs="Times New Roman"/>
          <w:color w:val="000000" w:themeColor="text1"/>
        </w:rPr>
        <w:t xml:space="preserve">.  </w:t>
      </w:r>
    </w:p>
  </w:footnote>
  <w:footnote w:id="18">
    <w:p w14:paraId="056E3583" w14:textId="3116ADE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C-300/89,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1991</w:t>
      </w:r>
      <w:r w:rsidR="009A39D9" w:rsidRPr="00EC1B43">
        <w:rPr>
          <w:rFonts w:ascii="Times New Roman" w:hAnsi="Times New Roman" w:cs="Times New Roman"/>
          <w:color w:val="000000" w:themeColor="text1"/>
        </w:rPr>
        <w:t>:244</w:t>
      </w:r>
      <w:r w:rsidRPr="00EC1B43">
        <w:rPr>
          <w:rFonts w:ascii="Times New Roman" w:hAnsi="Times New Roman" w:cs="Times New Roman"/>
          <w:color w:val="000000" w:themeColor="text1"/>
        </w:rPr>
        <w:t xml:space="preserve">.  </w:t>
      </w:r>
    </w:p>
  </w:footnote>
  <w:footnote w:id="19">
    <w:p w14:paraId="2F2C9F50" w14:textId="0769B22D"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C-338/01,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2004</w:t>
      </w:r>
      <w:r w:rsidR="009A39D9" w:rsidRPr="00EC1B43">
        <w:rPr>
          <w:rFonts w:ascii="Times New Roman" w:hAnsi="Times New Roman" w:cs="Times New Roman"/>
          <w:color w:val="000000" w:themeColor="text1"/>
        </w:rPr>
        <w:t>:253</w:t>
      </w:r>
      <w:r w:rsidRPr="00EC1B43">
        <w:rPr>
          <w:rFonts w:ascii="Times New Roman" w:hAnsi="Times New Roman" w:cs="Times New Roman"/>
          <w:color w:val="000000" w:themeColor="text1"/>
        </w:rPr>
        <w:t xml:space="preserve">; Case C-48/14, </w:t>
      </w:r>
      <w:r w:rsidRPr="00EC1B43">
        <w:rPr>
          <w:rFonts w:ascii="Times New Roman" w:hAnsi="Times New Roman" w:cs="Times New Roman"/>
          <w:i/>
          <w:iCs/>
          <w:color w:val="000000" w:themeColor="text1"/>
        </w:rPr>
        <w:t xml:space="preserve">Parliament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9A39D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2015</w:t>
      </w:r>
      <w:r w:rsidR="009A39D9" w:rsidRPr="00EC1B43">
        <w:rPr>
          <w:rFonts w:ascii="Times New Roman" w:hAnsi="Times New Roman" w:cs="Times New Roman"/>
          <w:color w:val="000000" w:themeColor="text1"/>
        </w:rPr>
        <w:t>:91</w:t>
      </w:r>
      <w:r w:rsidR="0043642F" w:rsidRPr="00EC1B43">
        <w:rPr>
          <w:rFonts w:ascii="Times New Roman" w:hAnsi="Times New Roman" w:cs="Times New Roman"/>
          <w:color w:val="000000" w:themeColor="text1"/>
        </w:rPr>
        <w:t>; Case C-348/22</w:t>
      </w:r>
      <w:r w:rsidR="009A39D9" w:rsidRPr="00EC1B43">
        <w:rPr>
          <w:rFonts w:ascii="Times New Roman" w:hAnsi="Times New Roman" w:cs="Times New Roman"/>
          <w:color w:val="000000" w:themeColor="text1"/>
        </w:rPr>
        <w:t xml:space="preserve">, </w:t>
      </w:r>
      <w:proofErr w:type="spellStart"/>
      <w:r w:rsidR="009A39D9" w:rsidRPr="00EC1B43">
        <w:rPr>
          <w:rFonts w:ascii="Times New Roman" w:hAnsi="Times New Roman" w:cs="Times New Roman"/>
          <w:i/>
          <w:iCs/>
          <w:color w:val="000000" w:themeColor="text1"/>
        </w:rPr>
        <w:t>Autorità</w:t>
      </w:r>
      <w:proofErr w:type="spellEnd"/>
      <w:r w:rsidR="009A39D9" w:rsidRPr="00EC1B43">
        <w:rPr>
          <w:rFonts w:ascii="Times New Roman" w:hAnsi="Times New Roman" w:cs="Times New Roman"/>
          <w:i/>
          <w:iCs/>
          <w:color w:val="000000" w:themeColor="text1"/>
        </w:rPr>
        <w:t xml:space="preserve"> </w:t>
      </w:r>
      <w:proofErr w:type="spellStart"/>
      <w:r w:rsidR="009A39D9" w:rsidRPr="00EC1B43">
        <w:rPr>
          <w:rFonts w:ascii="Times New Roman" w:hAnsi="Times New Roman" w:cs="Times New Roman"/>
          <w:i/>
          <w:iCs/>
          <w:color w:val="000000" w:themeColor="text1"/>
        </w:rPr>
        <w:t>Garante</w:t>
      </w:r>
      <w:proofErr w:type="spellEnd"/>
      <w:r w:rsidR="009A39D9" w:rsidRPr="00EC1B43">
        <w:rPr>
          <w:rFonts w:ascii="Times New Roman" w:hAnsi="Times New Roman" w:cs="Times New Roman"/>
          <w:i/>
          <w:iCs/>
          <w:color w:val="000000" w:themeColor="text1"/>
        </w:rPr>
        <w:t xml:space="preserve"> </w:t>
      </w:r>
      <w:proofErr w:type="spellStart"/>
      <w:r w:rsidR="009A39D9" w:rsidRPr="00EC1B43">
        <w:rPr>
          <w:rFonts w:ascii="Times New Roman" w:hAnsi="Times New Roman" w:cs="Times New Roman"/>
          <w:i/>
          <w:iCs/>
          <w:color w:val="000000" w:themeColor="text1"/>
        </w:rPr>
        <w:t>della</w:t>
      </w:r>
      <w:proofErr w:type="spellEnd"/>
      <w:r w:rsidR="009A39D9" w:rsidRPr="00EC1B43">
        <w:rPr>
          <w:rFonts w:ascii="Times New Roman" w:hAnsi="Times New Roman" w:cs="Times New Roman"/>
          <w:i/>
          <w:iCs/>
          <w:color w:val="000000" w:themeColor="text1"/>
        </w:rPr>
        <w:t xml:space="preserve"> </w:t>
      </w:r>
      <w:proofErr w:type="spellStart"/>
      <w:r w:rsidR="009A39D9" w:rsidRPr="00EC1B43">
        <w:rPr>
          <w:rFonts w:ascii="Times New Roman" w:hAnsi="Times New Roman" w:cs="Times New Roman"/>
          <w:i/>
          <w:iCs/>
          <w:color w:val="000000" w:themeColor="text1"/>
        </w:rPr>
        <w:t>Concorrenza</w:t>
      </w:r>
      <w:proofErr w:type="spellEnd"/>
      <w:r w:rsidR="009A39D9" w:rsidRPr="00EC1B43">
        <w:rPr>
          <w:rFonts w:ascii="Times New Roman" w:hAnsi="Times New Roman" w:cs="Times New Roman"/>
          <w:i/>
          <w:iCs/>
          <w:color w:val="000000" w:themeColor="text1"/>
        </w:rPr>
        <w:t xml:space="preserve"> e del Mercato</w:t>
      </w:r>
      <w:r w:rsidR="009A39D9" w:rsidRPr="00EC1B43">
        <w:rPr>
          <w:rFonts w:ascii="Times New Roman" w:hAnsi="Times New Roman" w:cs="Times New Roman"/>
          <w:color w:val="000000" w:themeColor="text1"/>
        </w:rPr>
        <w:t>, EU:C:</w:t>
      </w:r>
      <w:r w:rsidR="0043642F" w:rsidRPr="00EC1B43">
        <w:rPr>
          <w:rFonts w:ascii="Times New Roman" w:hAnsi="Times New Roman" w:cs="Times New Roman"/>
          <w:color w:val="000000" w:themeColor="text1"/>
        </w:rPr>
        <w:t>2023</w:t>
      </w:r>
      <w:r w:rsidR="009A39D9" w:rsidRPr="00EC1B43">
        <w:rPr>
          <w:rFonts w:ascii="Times New Roman" w:hAnsi="Times New Roman" w:cs="Times New Roman"/>
          <w:color w:val="000000" w:themeColor="text1"/>
        </w:rPr>
        <w:t>:301</w:t>
      </w:r>
      <w:r w:rsidRPr="00EC1B43">
        <w:rPr>
          <w:rFonts w:ascii="Times New Roman" w:hAnsi="Times New Roman" w:cs="Times New Roman"/>
          <w:color w:val="000000" w:themeColor="text1"/>
        </w:rPr>
        <w:t xml:space="preserve">.  </w:t>
      </w:r>
    </w:p>
  </w:footnote>
  <w:footnote w:id="20">
    <w:p w14:paraId="12721BA2" w14:textId="4C7836DA"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Pr="00EC1B43">
        <w:rPr>
          <w:color w:val="000000" w:themeColor="text1"/>
          <w:sz w:val="20"/>
          <w:szCs w:val="20"/>
        </w:rPr>
        <w:t>E.g.</w:t>
      </w:r>
      <w:proofErr w:type="gramEnd"/>
      <w:r w:rsidRPr="00EC1B43">
        <w:rPr>
          <w:color w:val="000000" w:themeColor="text1"/>
          <w:sz w:val="20"/>
          <w:szCs w:val="20"/>
        </w:rPr>
        <w:t xml:space="preserve"> Case C-22/96, </w:t>
      </w:r>
      <w:r w:rsidRPr="00EC1B43">
        <w:rPr>
          <w:i/>
          <w:iCs/>
          <w:color w:val="000000" w:themeColor="text1"/>
          <w:sz w:val="20"/>
          <w:szCs w:val="20"/>
        </w:rPr>
        <w:t xml:space="preserve">Parliament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1998</w:t>
      </w:r>
      <w:r w:rsidR="009A39D9" w:rsidRPr="00EC1B43">
        <w:rPr>
          <w:color w:val="000000" w:themeColor="text1"/>
          <w:sz w:val="20"/>
          <w:szCs w:val="20"/>
        </w:rPr>
        <w:t>:258</w:t>
      </w:r>
      <w:r w:rsidRPr="00EC1B43">
        <w:rPr>
          <w:color w:val="000000" w:themeColor="text1"/>
          <w:sz w:val="20"/>
          <w:szCs w:val="20"/>
        </w:rPr>
        <w:t xml:space="preserve">; Case C-436/03, </w:t>
      </w:r>
      <w:r w:rsidRPr="00EC1B43">
        <w:rPr>
          <w:i/>
          <w:iCs/>
          <w:color w:val="000000" w:themeColor="text1"/>
          <w:sz w:val="20"/>
          <w:szCs w:val="20"/>
        </w:rPr>
        <w:t xml:space="preserve">Parliament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2006</w:t>
      </w:r>
      <w:r w:rsidR="009A39D9" w:rsidRPr="00EC1B43">
        <w:rPr>
          <w:color w:val="000000" w:themeColor="text1"/>
          <w:sz w:val="20"/>
          <w:szCs w:val="20"/>
        </w:rPr>
        <w:t>:277</w:t>
      </w:r>
      <w:r w:rsidRPr="00EC1B43">
        <w:rPr>
          <w:color w:val="000000" w:themeColor="text1"/>
          <w:sz w:val="20"/>
          <w:szCs w:val="20"/>
        </w:rPr>
        <w:t>.  Note also the principles to police “</w:t>
      </w:r>
      <w:proofErr w:type="spellStart"/>
      <w:r w:rsidRPr="00EC1B43">
        <w:rPr>
          <w:color w:val="000000" w:themeColor="text1"/>
          <w:sz w:val="20"/>
          <w:szCs w:val="20"/>
        </w:rPr>
        <w:t>pillarisation</w:t>
      </w:r>
      <w:proofErr w:type="spellEnd"/>
      <w:r w:rsidRPr="00EC1B43">
        <w:rPr>
          <w:color w:val="000000" w:themeColor="text1"/>
          <w:sz w:val="20"/>
          <w:szCs w:val="20"/>
        </w:rPr>
        <w:t xml:space="preserve">” under the pre-Lisbon Treaties, </w:t>
      </w:r>
      <w:proofErr w:type="gramStart"/>
      <w:r w:rsidRPr="00EC1B43">
        <w:rPr>
          <w:color w:val="000000" w:themeColor="text1"/>
          <w:sz w:val="20"/>
          <w:szCs w:val="20"/>
        </w:rPr>
        <w:t>e.g.</w:t>
      </w:r>
      <w:proofErr w:type="gramEnd"/>
      <w:r w:rsidRPr="00EC1B43">
        <w:rPr>
          <w:color w:val="000000" w:themeColor="text1"/>
          <w:sz w:val="20"/>
          <w:szCs w:val="20"/>
        </w:rPr>
        <w:t xml:space="preserve"> </w:t>
      </w:r>
      <w:r w:rsidR="00AD182F" w:rsidRPr="00EC1B43">
        <w:rPr>
          <w:color w:val="000000" w:themeColor="text1"/>
          <w:sz w:val="20"/>
          <w:szCs w:val="20"/>
        </w:rPr>
        <w:t xml:space="preserve">Case C-176/03, </w:t>
      </w:r>
      <w:r w:rsidR="00AD182F" w:rsidRPr="00EC1B43">
        <w:rPr>
          <w:i/>
          <w:iCs/>
          <w:color w:val="000000" w:themeColor="text1"/>
          <w:sz w:val="20"/>
          <w:szCs w:val="20"/>
        </w:rPr>
        <w:t xml:space="preserve">Commission </w:t>
      </w:r>
      <w:r w:rsidR="00080AD3" w:rsidRPr="00EC1B43">
        <w:rPr>
          <w:color w:val="000000" w:themeColor="text1"/>
          <w:sz w:val="20"/>
          <w:szCs w:val="20"/>
        </w:rPr>
        <w:t xml:space="preserve">v. </w:t>
      </w:r>
      <w:r w:rsidR="00AD182F" w:rsidRPr="00EC1B43">
        <w:rPr>
          <w:i/>
          <w:iCs/>
          <w:color w:val="000000" w:themeColor="text1"/>
          <w:sz w:val="20"/>
          <w:szCs w:val="20"/>
        </w:rPr>
        <w:t>Council</w:t>
      </w:r>
      <w:r w:rsidR="00AD182F" w:rsidRPr="00EC1B43">
        <w:rPr>
          <w:color w:val="000000" w:themeColor="text1"/>
          <w:sz w:val="20"/>
          <w:szCs w:val="20"/>
        </w:rPr>
        <w:t xml:space="preserve">, EU:C:2005:542; </w:t>
      </w:r>
      <w:r w:rsidRPr="00EC1B43">
        <w:rPr>
          <w:color w:val="000000" w:themeColor="text1"/>
          <w:sz w:val="20"/>
          <w:szCs w:val="20"/>
        </w:rPr>
        <w:t xml:space="preserve">Case C-440/05, </w:t>
      </w:r>
      <w:r w:rsidRPr="00EC1B43">
        <w:rPr>
          <w:i/>
          <w:iCs/>
          <w:color w:val="000000" w:themeColor="text1"/>
          <w:sz w:val="20"/>
          <w:szCs w:val="20"/>
        </w:rPr>
        <w:t xml:space="preserve">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2007</w:t>
      </w:r>
      <w:r w:rsidR="009A39D9" w:rsidRPr="00EC1B43">
        <w:rPr>
          <w:color w:val="000000" w:themeColor="text1"/>
          <w:sz w:val="20"/>
          <w:szCs w:val="20"/>
        </w:rPr>
        <w:t>:625</w:t>
      </w:r>
      <w:r w:rsidRPr="00EC1B43">
        <w:rPr>
          <w:color w:val="000000" w:themeColor="text1"/>
          <w:sz w:val="20"/>
          <w:szCs w:val="20"/>
        </w:rPr>
        <w:t xml:space="preserve">; Case C-91/05, </w:t>
      </w:r>
      <w:r w:rsidRPr="00EC1B43">
        <w:rPr>
          <w:i/>
          <w:iCs/>
          <w:color w:val="000000" w:themeColor="text1"/>
          <w:sz w:val="20"/>
          <w:szCs w:val="20"/>
        </w:rPr>
        <w:t xml:space="preserve">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2008</w:t>
      </w:r>
      <w:r w:rsidR="009A39D9" w:rsidRPr="00EC1B43">
        <w:rPr>
          <w:color w:val="000000" w:themeColor="text1"/>
          <w:sz w:val="20"/>
          <w:szCs w:val="20"/>
        </w:rPr>
        <w:t>:288</w:t>
      </w:r>
      <w:r w:rsidRPr="00EC1B43">
        <w:rPr>
          <w:color w:val="000000" w:themeColor="text1"/>
          <w:sz w:val="20"/>
          <w:szCs w:val="20"/>
        </w:rPr>
        <w:t xml:space="preserve">.  </w:t>
      </w:r>
    </w:p>
  </w:footnote>
  <w:footnote w:id="21">
    <w:p w14:paraId="61E8A42B" w14:textId="16EBAE1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7E0AA8" w:rsidRPr="00EC1B43">
        <w:rPr>
          <w:rFonts w:ascii="Times New Roman" w:hAnsi="Times New Roman" w:cs="Times New Roman"/>
          <w:color w:val="000000" w:themeColor="text1"/>
        </w:rPr>
        <w:t>E.g.</w:t>
      </w:r>
      <w:proofErr w:type="gramEnd"/>
      <w:r w:rsidR="007E0AA8" w:rsidRPr="00EC1B43">
        <w:rPr>
          <w:rFonts w:ascii="Times New Roman" w:hAnsi="Times New Roman" w:cs="Times New Roman"/>
          <w:color w:val="000000" w:themeColor="text1"/>
        </w:rPr>
        <w:t xml:space="preserve"> Case C-440/05, </w:t>
      </w:r>
      <w:r w:rsidR="007E0AA8"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007E0AA8" w:rsidRPr="00EC1B43">
        <w:rPr>
          <w:rFonts w:ascii="Times New Roman" w:hAnsi="Times New Roman" w:cs="Times New Roman"/>
          <w:i/>
          <w:iCs/>
          <w:color w:val="000000" w:themeColor="text1"/>
        </w:rPr>
        <w:t>Council</w:t>
      </w:r>
      <w:r w:rsidR="007E0AA8" w:rsidRPr="00EC1B43">
        <w:rPr>
          <w:rFonts w:ascii="Times New Roman" w:hAnsi="Times New Roman" w:cs="Times New Roman"/>
          <w:color w:val="000000" w:themeColor="text1"/>
        </w:rPr>
        <w:t>, EU:C:2007:625 – a ruling to which we will return in section 4 (below).</w:t>
      </w:r>
    </w:p>
  </w:footnote>
  <w:footnote w:id="22">
    <w:p w14:paraId="7899EBD5" w14:textId="658B464E"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E.g. Case C-187/93, </w:t>
      </w:r>
      <w:r w:rsidRPr="00EC1B43">
        <w:rPr>
          <w:i/>
          <w:iCs/>
          <w:color w:val="000000" w:themeColor="text1"/>
          <w:sz w:val="20"/>
          <w:szCs w:val="20"/>
        </w:rPr>
        <w:t xml:space="preserve">Parliament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Pr="00EC1B43">
        <w:rPr>
          <w:color w:val="000000" w:themeColor="text1"/>
          <w:sz w:val="20"/>
          <w:szCs w:val="20"/>
          <w:shd w:val="clear" w:color="auto" w:fill="FFFFFF"/>
        </w:rPr>
        <w:t xml:space="preserve">EU:C:1994:265; </w:t>
      </w:r>
      <w:r w:rsidRPr="00EC1B43">
        <w:rPr>
          <w:color w:val="000000" w:themeColor="text1"/>
          <w:sz w:val="20"/>
          <w:szCs w:val="20"/>
        </w:rPr>
        <w:t xml:space="preserve">Case C-533/03, </w:t>
      </w:r>
      <w:r w:rsidRPr="00EC1B43">
        <w:rPr>
          <w:i/>
          <w:iCs/>
          <w:color w:val="000000" w:themeColor="text1"/>
          <w:sz w:val="20"/>
          <w:szCs w:val="20"/>
        </w:rPr>
        <w:t xml:space="preserve">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9A39D9" w:rsidRPr="00EC1B43">
        <w:rPr>
          <w:color w:val="000000" w:themeColor="text1"/>
          <w:sz w:val="20"/>
          <w:szCs w:val="20"/>
        </w:rPr>
        <w:t>EU:C:</w:t>
      </w:r>
      <w:r w:rsidRPr="00EC1B43">
        <w:rPr>
          <w:color w:val="000000" w:themeColor="text1"/>
          <w:sz w:val="20"/>
          <w:szCs w:val="20"/>
        </w:rPr>
        <w:t>2006</w:t>
      </w:r>
      <w:r w:rsidR="009A39D9" w:rsidRPr="00EC1B43">
        <w:rPr>
          <w:color w:val="000000" w:themeColor="text1"/>
          <w:sz w:val="20"/>
          <w:szCs w:val="20"/>
        </w:rPr>
        <w:t>:</w:t>
      </w:r>
      <w:r w:rsidR="002621AF" w:rsidRPr="00EC1B43">
        <w:rPr>
          <w:color w:val="000000" w:themeColor="text1"/>
          <w:sz w:val="20"/>
          <w:szCs w:val="20"/>
        </w:rPr>
        <w:t>64</w:t>
      </w:r>
      <w:r w:rsidRPr="00EC1B43">
        <w:rPr>
          <w:color w:val="000000" w:themeColor="text1"/>
          <w:sz w:val="20"/>
          <w:szCs w:val="20"/>
        </w:rPr>
        <w:t xml:space="preserve">; Joined Cases C-124-125/13, </w:t>
      </w:r>
      <w:r w:rsidRPr="00EC1B43">
        <w:rPr>
          <w:i/>
          <w:iCs/>
          <w:color w:val="000000" w:themeColor="text1"/>
          <w:sz w:val="20"/>
          <w:szCs w:val="20"/>
        </w:rPr>
        <w:t xml:space="preserve">Parliament and 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2015</w:t>
      </w:r>
      <w:r w:rsidR="002621AF" w:rsidRPr="00EC1B43">
        <w:rPr>
          <w:color w:val="000000" w:themeColor="text1"/>
          <w:sz w:val="20"/>
          <w:szCs w:val="20"/>
        </w:rPr>
        <w:t>:790</w:t>
      </w:r>
      <w:r w:rsidRPr="00EC1B43">
        <w:rPr>
          <w:color w:val="000000" w:themeColor="text1"/>
          <w:sz w:val="20"/>
          <w:szCs w:val="20"/>
        </w:rPr>
        <w:t xml:space="preserve">; Case C-156/21, </w:t>
      </w:r>
      <w:r w:rsidRPr="00EC1B43">
        <w:rPr>
          <w:i/>
          <w:iCs/>
          <w:color w:val="000000" w:themeColor="text1"/>
          <w:sz w:val="20"/>
          <w:szCs w:val="20"/>
        </w:rPr>
        <w:t xml:space="preserve">Hungary </w:t>
      </w:r>
      <w:r w:rsidR="00080AD3" w:rsidRPr="00EC1B43">
        <w:rPr>
          <w:color w:val="000000" w:themeColor="text1"/>
          <w:sz w:val="20"/>
          <w:szCs w:val="20"/>
        </w:rPr>
        <w:t xml:space="preserve">v. </w:t>
      </w:r>
      <w:r w:rsidRPr="00EC1B43">
        <w:rPr>
          <w:i/>
          <w:iCs/>
          <w:color w:val="000000" w:themeColor="text1"/>
          <w:sz w:val="20"/>
          <w:szCs w:val="20"/>
        </w:rPr>
        <w:t>Parliament and 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2022</w:t>
      </w:r>
      <w:r w:rsidR="002621AF" w:rsidRPr="00EC1B43">
        <w:rPr>
          <w:color w:val="000000" w:themeColor="text1"/>
          <w:sz w:val="20"/>
          <w:szCs w:val="20"/>
        </w:rPr>
        <w:t>:97</w:t>
      </w:r>
      <w:r w:rsidRPr="00EC1B43">
        <w:rPr>
          <w:color w:val="000000" w:themeColor="text1"/>
          <w:sz w:val="20"/>
          <w:szCs w:val="20"/>
        </w:rPr>
        <w:t>; Case C-157/21</w:t>
      </w:r>
      <w:r w:rsidR="002621AF" w:rsidRPr="00EC1B43">
        <w:rPr>
          <w:color w:val="000000" w:themeColor="text1"/>
          <w:sz w:val="20"/>
          <w:szCs w:val="20"/>
        </w:rPr>
        <w:t>,</w:t>
      </w:r>
      <w:r w:rsidRPr="00EC1B43">
        <w:rPr>
          <w:color w:val="000000" w:themeColor="text1"/>
          <w:sz w:val="20"/>
          <w:szCs w:val="20"/>
        </w:rPr>
        <w:t xml:space="preserve"> </w:t>
      </w:r>
      <w:r w:rsidRPr="00EC1B43">
        <w:rPr>
          <w:i/>
          <w:iCs/>
          <w:color w:val="000000" w:themeColor="text1"/>
          <w:sz w:val="20"/>
          <w:szCs w:val="20"/>
        </w:rPr>
        <w:t xml:space="preserve">Poland </w:t>
      </w:r>
      <w:r w:rsidR="00080AD3" w:rsidRPr="00EC1B43">
        <w:rPr>
          <w:color w:val="000000" w:themeColor="text1"/>
          <w:sz w:val="20"/>
          <w:szCs w:val="20"/>
        </w:rPr>
        <w:t xml:space="preserve">v. </w:t>
      </w:r>
      <w:r w:rsidRPr="00EC1B43">
        <w:rPr>
          <w:i/>
          <w:iCs/>
          <w:color w:val="000000" w:themeColor="text1"/>
          <w:sz w:val="20"/>
          <w:szCs w:val="20"/>
        </w:rPr>
        <w:t>Parliament and 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2022</w:t>
      </w:r>
      <w:r w:rsidR="002621AF" w:rsidRPr="00EC1B43">
        <w:rPr>
          <w:color w:val="000000" w:themeColor="text1"/>
          <w:sz w:val="20"/>
          <w:szCs w:val="20"/>
        </w:rPr>
        <w:t>:98</w:t>
      </w:r>
      <w:r w:rsidRPr="00EC1B43">
        <w:rPr>
          <w:color w:val="000000" w:themeColor="text1"/>
          <w:sz w:val="20"/>
          <w:szCs w:val="20"/>
        </w:rPr>
        <w:t xml:space="preserve">.  </w:t>
      </w:r>
    </w:p>
  </w:footnote>
  <w:footnote w:id="23">
    <w:p w14:paraId="671BEBBA" w14:textId="2D16B651"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C-301/06, </w:t>
      </w:r>
      <w:r w:rsidRPr="00EC1B43">
        <w:rPr>
          <w:rFonts w:ascii="Times New Roman" w:hAnsi="Times New Roman" w:cs="Times New Roman"/>
          <w:i/>
          <w:iCs/>
          <w:color w:val="000000" w:themeColor="text1"/>
        </w:rPr>
        <w:t xml:space="preserve">Ireland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2009</w:t>
      </w:r>
      <w:r w:rsidR="002621AF" w:rsidRPr="00EC1B43">
        <w:rPr>
          <w:rFonts w:ascii="Times New Roman" w:hAnsi="Times New Roman" w:cs="Times New Roman"/>
          <w:color w:val="000000" w:themeColor="text1"/>
        </w:rPr>
        <w:t>:68</w:t>
      </w:r>
      <w:r w:rsidRPr="00EC1B43">
        <w:rPr>
          <w:rFonts w:ascii="Times New Roman" w:hAnsi="Times New Roman" w:cs="Times New Roman"/>
          <w:color w:val="000000" w:themeColor="text1"/>
        </w:rPr>
        <w:t xml:space="preserve">; Case C-411/06,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2009</w:t>
      </w:r>
      <w:r w:rsidR="002621AF" w:rsidRPr="00EC1B43">
        <w:rPr>
          <w:rFonts w:ascii="Times New Roman" w:hAnsi="Times New Roman" w:cs="Times New Roman"/>
          <w:color w:val="000000" w:themeColor="text1"/>
        </w:rPr>
        <w:t>:518</w:t>
      </w:r>
      <w:r w:rsidRPr="00EC1B43">
        <w:rPr>
          <w:rFonts w:ascii="Times New Roman" w:hAnsi="Times New Roman" w:cs="Times New Roman"/>
          <w:color w:val="000000" w:themeColor="text1"/>
        </w:rPr>
        <w:t xml:space="preserve">.  </w:t>
      </w:r>
    </w:p>
  </w:footnote>
  <w:footnote w:id="24">
    <w:p w14:paraId="4505D89A" w14:textId="023E443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C-36/98, </w:t>
      </w:r>
      <w:r w:rsidRPr="00EC1B43">
        <w:rPr>
          <w:rFonts w:ascii="Times New Roman" w:hAnsi="Times New Roman" w:cs="Times New Roman"/>
          <w:i/>
          <w:iCs/>
          <w:color w:val="000000" w:themeColor="text1"/>
        </w:rPr>
        <w:t xml:space="preserve">Spain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2001</w:t>
      </w:r>
      <w:r w:rsidR="002621AF" w:rsidRPr="00EC1B43">
        <w:rPr>
          <w:rFonts w:ascii="Times New Roman" w:hAnsi="Times New Roman" w:cs="Times New Roman"/>
          <w:color w:val="000000" w:themeColor="text1"/>
        </w:rPr>
        <w:t>:64</w:t>
      </w:r>
      <w:r w:rsidRPr="00EC1B43">
        <w:rPr>
          <w:rFonts w:ascii="Times New Roman" w:hAnsi="Times New Roman" w:cs="Times New Roman"/>
          <w:color w:val="000000" w:themeColor="text1"/>
        </w:rPr>
        <w:t xml:space="preserve">; Opinion 2/00,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2001</w:t>
      </w:r>
      <w:r w:rsidR="002621AF" w:rsidRPr="00EC1B43">
        <w:rPr>
          <w:rFonts w:ascii="Times New Roman" w:hAnsi="Times New Roman" w:cs="Times New Roman"/>
          <w:color w:val="000000" w:themeColor="text1"/>
        </w:rPr>
        <w:t xml:space="preserve">:664; Case </w:t>
      </w:r>
      <w:r w:rsidRPr="00EC1B43">
        <w:rPr>
          <w:rFonts w:ascii="Times New Roman" w:hAnsi="Times New Roman" w:cs="Times New Roman"/>
          <w:color w:val="000000" w:themeColor="text1"/>
        </w:rPr>
        <w:t>C-411/06</w:t>
      </w:r>
      <w:r w:rsidR="002621AF" w:rsidRPr="00EC1B43">
        <w:rPr>
          <w:rFonts w:ascii="Times New Roman" w:hAnsi="Times New Roman" w:cs="Times New Roman"/>
          <w:color w:val="000000" w:themeColor="text1"/>
        </w:rPr>
        <w:t xml:space="preserve">, </w:t>
      </w:r>
      <w:r w:rsidR="002621AF"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002621AF" w:rsidRPr="00EC1B43">
        <w:rPr>
          <w:rFonts w:ascii="Times New Roman" w:hAnsi="Times New Roman" w:cs="Times New Roman"/>
          <w:i/>
          <w:iCs/>
          <w:color w:val="000000" w:themeColor="text1"/>
        </w:rPr>
        <w:t>Parliament and Council</w:t>
      </w:r>
      <w:r w:rsidR="002621AF" w:rsidRPr="00EC1B43">
        <w:rPr>
          <w:rFonts w:ascii="Times New Roman" w:hAnsi="Times New Roman" w:cs="Times New Roman"/>
          <w:color w:val="000000" w:themeColor="text1"/>
        </w:rPr>
        <w:t>, EU:C:2009:518.</w:t>
      </w:r>
    </w:p>
  </w:footnote>
  <w:footnote w:id="25">
    <w:p w14:paraId="7ACD193E" w14:textId="388A5B09"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C-244/17,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2018</w:t>
      </w:r>
      <w:r w:rsidR="002621AF" w:rsidRPr="00EC1B43">
        <w:rPr>
          <w:rFonts w:ascii="Times New Roman" w:hAnsi="Times New Roman" w:cs="Times New Roman"/>
          <w:color w:val="000000" w:themeColor="text1"/>
        </w:rPr>
        <w:t>:662</w:t>
      </w:r>
      <w:r w:rsidRPr="00EC1B43">
        <w:rPr>
          <w:rFonts w:ascii="Times New Roman" w:hAnsi="Times New Roman" w:cs="Times New Roman"/>
          <w:color w:val="000000" w:themeColor="text1"/>
        </w:rPr>
        <w:t xml:space="preserve">.  </w:t>
      </w:r>
    </w:p>
  </w:footnote>
  <w:footnote w:id="26">
    <w:p w14:paraId="2B8CA345" w14:textId="4993876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C-482/17, </w:t>
      </w:r>
      <w:r w:rsidRPr="00EC1B43">
        <w:rPr>
          <w:rFonts w:ascii="Times New Roman" w:hAnsi="Times New Roman" w:cs="Times New Roman"/>
          <w:i/>
          <w:iCs/>
          <w:color w:val="000000" w:themeColor="text1"/>
        </w:rPr>
        <w:t xml:space="preserve">Czech Republic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2019</w:t>
      </w:r>
      <w:r w:rsidR="002621AF" w:rsidRPr="00EC1B43">
        <w:rPr>
          <w:rFonts w:ascii="Times New Roman" w:hAnsi="Times New Roman" w:cs="Times New Roman"/>
          <w:color w:val="000000" w:themeColor="text1"/>
        </w:rPr>
        <w:t>:1035</w:t>
      </w:r>
      <w:r w:rsidRPr="00EC1B43">
        <w:rPr>
          <w:rFonts w:ascii="Times New Roman" w:hAnsi="Times New Roman" w:cs="Times New Roman"/>
          <w:color w:val="000000" w:themeColor="text1"/>
        </w:rPr>
        <w:t xml:space="preserve">; Case C-620/18, </w:t>
      </w:r>
      <w:r w:rsidRPr="00EC1B43">
        <w:rPr>
          <w:rFonts w:ascii="Times New Roman" w:hAnsi="Times New Roman" w:cs="Times New Roman"/>
          <w:i/>
          <w:iCs/>
          <w:color w:val="000000" w:themeColor="text1"/>
        </w:rPr>
        <w:t xml:space="preserve">Hungary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2020</w:t>
      </w:r>
      <w:r w:rsidR="002621AF" w:rsidRPr="00EC1B43">
        <w:rPr>
          <w:rFonts w:ascii="Times New Roman" w:hAnsi="Times New Roman" w:cs="Times New Roman"/>
          <w:color w:val="000000" w:themeColor="text1"/>
        </w:rPr>
        <w:t>:1001</w:t>
      </w:r>
      <w:r w:rsidRPr="00EC1B43">
        <w:rPr>
          <w:rFonts w:ascii="Times New Roman" w:hAnsi="Times New Roman" w:cs="Times New Roman"/>
          <w:color w:val="000000" w:themeColor="text1"/>
        </w:rPr>
        <w:t xml:space="preserve">; Case C-626/18, </w:t>
      </w:r>
      <w:r w:rsidRPr="00EC1B43">
        <w:rPr>
          <w:rFonts w:ascii="Times New Roman" w:hAnsi="Times New Roman" w:cs="Times New Roman"/>
          <w:i/>
          <w:iCs/>
          <w:color w:val="000000" w:themeColor="text1"/>
        </w:rPr>
        <w:t xml:space="preserve">Poland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2020</w:t>
      </w:r>
      <w:r w:rsidR="002621AF" w:rsidRPr="00EC1B43">
        <w:rPr>
          <w:rFonts w:ascii="Times New Roman" w:hAnsi="Times New Roman" w:cs="Times New Roman"/>
          <w:color w:val="000000" w:themeColor="text1"/>
        </w:rPr>
        <w:t>:1000</w:t>
      </w:r>
      <w:r w:rsidRPr="00EC1B43">
        <w:rPr>
          <w:rFonts w:ascii="Times New Roman" w:hAnsi="Times New Roman" w:cs="Times New Roman"/>
          <w:color w:val="000000" w:themeColor="text1"/>
        </w:rPr>
        <w:t xml:space="preserve">.  </w:t>
      </w:r>
    </w:p>
  </w:footnote>
  <w:footnote w:id="27">
    <w:p w14:paraId="7FD3210B" w14:textId="718FFEC3" w:rsidR="00046D28" w:rsidRPr="00EC1B43" w:rsidRDefault="00046D28" w:rsidP="00EC1B43">
      <w:pPr>
        <w:pStyle w:val="FootnoteText"/>
        <w:jc w:val="both"/>
        <w:rPr>
          <w:rFonts w:ascii="Times New Roman" w:hAnsi="Times New Roman" w:cs="Times New Roman"/>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Case C-431/11, </w:t>
      </w:r>
      <w:r w:rsidRPr="00EC1B43">
        <w:rPr>
          <w:rFonts w:ascii="Times New Roman" w:hAnsi="Times New Roman" w:cs="Times New Roman"/>
          <w:i/>
          <w:iCs/>
          <w:color w:val="000000" w:themeColor="text1"/>
        </w:rPr>
        <w:t xml:space="preserve">UK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2013</w:t>
      </w:r>
      <w:r w:rsidR="002621AF" w:rsidRPr="00EC1B43">
        <w:rPr>
          <w:rFonts w:ascii="Times New Roman" w:hAnsi="Times New Roman" w:cs="Times New Roman"/>
          <w:color w:val="000000" w:themeColor="text1"/>
        </w:rPr>
        <w:t>:589</w:t>
      </w:r>
      <w:r w:rsidRPr="00EC1B43">
        <w:rPr>
          <w:rFonts w:ascii="Times New Roman" w:hAnsi="Times New Roman" w:cs="Times New Roman"/>
          <w:color w:val="000000" w:themeColor="text1"/>
        </w:rPr>
        <w:t xml:space="preserve"> (EEA); Case C-656/11, </w:t>
      </w:r>
      <w:r w:rsidRPr="00EC1B43">
        <w:rPr>
          <w:rFonts w:ascii="Times New Roman" w:hAnsi="Times New Roman" w:cs="Times New Roman"/>
          <w:i/>
          <w:iCs/>
          <w:color w:val="000000" w:themeColor="text1"/>
        </w:rPr>
        <w:t xml:space="preserve">UK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2014</w:t>
      </w:r>
      <w:r w:rsidR="002621AF" w:rsidRPr="00EC1B43">
        <w:rPr>
          <w:rFonts w:ascii="Times New Roman" w:hAnsi="Times New Roman" w:cs="Times New Roman"/>
          <w:color w:val="000000" w:themeColor="text1"/>
        </w:rPr>
        <w:t>:97</w:t>
      </w:r>
      <w:r w:rsidRPr="00EC1B43">
        <w:rPr>
          <w:rFonts w:ascii="Times New Roman" w:hAnsi="Times New Roman" w:cs="Times New Roman"/>
          <w:color w:val="000000" w:themeColor="text1"/>
        </w:rPr>
        <w:t xml:space="preserve"> (Switzerland); Case C-81/13, </w:t>
      </w:r>
      <w:r w:rsidRPr="00EC1B43">
        <w:rPr>
          <w:rFonts w:ascii="Times New Roman" w:hAnsi="Times New Roman" w:cs="Times New Roman"/>
          <w:i/>
          <w:iCs/>
          <w:color w:val="000000" w:themeColor="text1"/>
        </w:rPr>
        <w:t xml:space="preserve">UK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2014</w:t>
      </w:r>
      <w:r w:rsidR="002621AF" w:rsidRPr="00EC1B43">
        <w:rPr>
          <w:rFonts w:ascii="Times New Roman" w:hAnsi="Times New Roman" w:cs="Times New Roman"/>
          <w:color w:val="000000" w:themeColor="text1"/>
        </w:rPr>
        <w:t>:2449</w:t>
      </w:r>
      <w:r w:rsidRPr="00EC1B43">
        <w:rPr>
          <w:rFonts w:ascii="Times New Roman" w:hAnsi="Times New Roman" w:cs="Times New Roman"/>
          <w:color w:val="000000" w:themeColor="text1"/>
        </w:rPr>
        <w:t xml:space="preserve"> (Turkey).  </w:t>
      </w:r>
      <w:r w:rsidR="001A4C6E" w:rsidRPr="00EC1B43">
        <w:rPr>
          <w:rFonts w:ascii="Times New Roman" w:hAnsi="Times New Roman" w:cs="Times New Roman"/>
          <w:color w:val="000000" w:themeColor="text1"/>
        </w:rPr>
        <w:t xml:space="preserve">It is interesting to recall other judgments in which the Court, called upon to interpret provisions of the EEA Agreement, has also placed considerable emphasis on the latter’s particular constitutional and political </w:t>
      </w:r>
      <w:r w:rsidR="001A4C6E" w:rsidRPr="00EC1B43">
        <w:rPr>
          <w:rFonts w:ascii="Times New Roman" w:hAnsi="Times New Roman" w:cs="Times New Roman"/>
        </w:rPr>
        <w:t xml:space="preserve">context, </w:t>
      </w:r>
      <w:proofErr w:type="gramStart"/>
      <w:r w:rsidR="001A4C6E" w:rsidRPr="00EC1B43">
        <w:rPr>
          <w:rFonts w:ascii="Times New Roman" w:hAnsi="Times New Roman" w:cs="Times New Roman"/>
        </w:rPr>
        <w:t>e.g.</w:t>
      </w:r>
      <w:proofErr w:type="gramEnd"/>
      <w:r w:rsidR="001A4C6E" w:rsidRPr="00EC1B43">
        <w:rPr>
          <w:rFonts w:ascii="Times New Roman" w:hAnsi="Times New Roman" w:cs="Times New Roman"/>
        </w:rPr>
        <w:t xml:space="preserve"> Case C-897/19 PPU, </w:t>
      </w:r>
      <w:r w:rsidR="001A4C6E" w:rsidRPr="00EC1B43">
        <w:rPr>
          <w:rFonts w:ascii="Times New Roman" w:hAnsi="Times New Roman" w:cs="Times New Roman"/>
          <w:i/>
          <w:iCs/>
        </w:rPr>
        <w:t xml:space="preserve">Ruska </w:t>
      </w:r>
      <w:proofErr w:type="spellStart"/>
      <w:r w:rsidR="001A4C6E" w:rsidRPr="00EC1B43">
        <w:rPr>
          <w:rFonts w:ascii="Times New Roman" w:hAnsi="Times New Roman" w:cs="Times New Roman"/>
          <w:i/>
          <w:iCs/>
        </w:rPr>
        <w:t>Federacija</w:t>
      </w:r>
      <w:proofErr w:type="spellEnd"/>
      <w:r w:rsidR="001A4C6E" w:rsidRPr="00EC1B43">
        <w:rPr>
          <w:rFonts w:ascii="Times New Roman" w:hAnsi="Times New Roman" w:cs="Times New Roman"/>
          <w:i/>
          <w:iCs/>
        </w:rPr>
        <w:t xml:space="preserve"> v I.N.</w:t>
      </w:r>
      <w:r w:rsidR="001A4C6E" w:rsidRPr="00EC1B43">
        <w:rPr>
          <w:rFonts w:ascii="Times New Roman" w:hAnsi="Times New Roman" w:cs="Times New Roman"/>
        </w:rPr>
        <w:t>, EU:C:2020:128.</w:t>
      </w:r>
    </w:p>
  </w:footnote>
  <w:footnote w:id="28">
    <w:p w14:paraId="66ECE3A6" w14:textId="3EAD019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Art</w:t>
      </w:r>
      <w:r w:rsidR="0088096F" w:rsidRPr="00EC1B43">
        <w:rPr>
          <w:rFonts w:ascii="Times New Roman" w:hAnsi="Times New Roman" w:cs="Times New Roman"/>
          <w:color w:val="000000" w:themeColor="text1"/>
        </w:rPr>
        <w:t xml:space="preserve"> 264 TFEU.</w:t>
      </w:r>
    </w:p>
  </w:footnote>
  <w:footnote w:id="29">
    <w:p w14:paraId="6A60D524" w14:textId="14468A2F" w:rsidR="00D91B11" w:rsidRPr="00EC1B43" w:rsidRDefault="00D91B1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576E13" w:rsidRPr="00EC1B43">
        <w:rPr>
          <w:rFonts w:ascii="Times New Roman" w:hAnsi="Times New Roman" w:cs="Times New Roman"/>
          <w:color w:val="000000" w:themeColor="text1"/>
        </w:rPr>
        <w:t xml:space="preserve">Every reader will think of their own examples </w:t>
      </w:r>
      <w:r w:rsidR="005B7B9F" w:rsidRPr="00EC1B43">
        <w:rPr>
          <w:rFonts w:ascii="Times New Roman" w:hAnsi="Times New Roman" w:cs="Times New Roman"/>
          <w:color w:val="000000" w:themeColor="text1"/>
        </w:rPr>
        <w:t xml:space="preserve">drawn </w:t>
      </w:r>
      <w:r w:rsidR="00576E13" w:rsidRPr="00EC1B43">
        <w:rPr>
          <w:rFonts w:ascii="Times New Roman" w:hAnsi="Times New Roman" w:cs="Times New Roman"/>
          <w:color w:val="000000" w:themeColor="text1"/>
        </w:rPr>
        <w:t>from their own interests and experiences.  The present author recalls the experience of the Citizens’ Initiative Regulation 211/2011, O</w:t>
      </w:r>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J</w:t>
      </w:r>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 xml:space="preserve"> 2011, L</w:t>
      </w:r>
      <w:r w:rsidR="00080AD3" w:rsidRPr="00EC1B43">
        <w:rPr>
          <w:rFonts w:ascii="Times New Roman" w:hAnsi="Times New Roman" w:cs="Times New Roman"/>
          <w:color w:val="000000" w:themeColor="text1"/>
        </w:rPr>
        <w:t xml:space="preserve"> </w:t>
      </w:r>
      <w:r w:rsidR="00576E13" w:rsidRPr="00EC1B43">
        <w:rPr>
          <w:rFonts w:ascii="Times New Roman" w:hAnsi="Times New Roman" w:cs="Times New Roman"/>
          <w:color w:val="000000" w:themeColor="text1"/>
        </w:rPr>
        <w:t xml:space="preserve">65/1 as discussed </w:t>
      </w:r>
      <w:r w:rsidR="005B7B9F" w:rsidRPr="00EC1B43">
        <w:rPr>
          <w:rFonts w:ascii="Times New Roman" w:hAnsi="Times New Roman" w:cs="Times New Roman"/>
          <w:color w:val="000000" w:themeColor="text1"/>
        </w:rPr>
        <w:t xml:space="preserve">in </w:t>
      </w:r>
      <w:r w:rsidR="00576E13" w:rsidRPr="00EC1B43">
        <w:rPr>
          <w:rFonts w:ascii="Times New Roman" w:hAnsi="Times New Roman" w:cs="Times New Roman"/>
          <w:color w:val="000000" w:themeColor="text1"/>
        </w:rPr>
        <w:t>“What are we to make of the Citizens’ Initiative”</w:t>
      </w:r>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 xml:space="preserve"> 48 CML</w:t>
      </w:r>
      <w:r w:rsidR="00080AD3" w:rsidRPr="00EC1B43">
        <w:rPr>
          <w:rFonts w:ascii="Times New Roman" w:hAnsi="Times New Roman" w:cs="Times New Roman"/>
          <w:color w:val="000000" w:themeColor="text1"/>
        </w:rPr>
        <w:t xml:space="preserve"> </w:t>
      </w:r>
      <w:r w:rsidR="00576E13" w:rsidRPr="00EC1B43">
        <w:rPr>
          <w:rFonts w:ascii="Times New Roman" w:hAnsi="Times New Roman" w:cs="Times New Roman"/>
          <w:color w:val="000000" w:themeColor="text1"/>
        </w:rPr>
        <w:t>Rev</w:t>
      </w:r>
      <w:r w:rsidR="00080AD3" w:rsidRPr="00EC1B43">
        <w:rPr>
          <w:rFonts w:ascii="Times New Roman" w:hAnsi="Times New Roman" w:cs="Times New Roman"/>
          <w:color w:val="000000" w:themeColor="text1"/>
        </w:rPr>
        <w:t>. (2011),</w:t>
      </w:r>
      <w:r w:rsidR="00576E13" w:rsidRPr="00EC1B43">
        <w:rPr>
          <w:rFonts w:ascii="Times New Roman" w:hAnsi="Times New Roman" w:cs="Times New Roman"/>
          <w:color w:val="000000" w:themeColor="text1"/>
        </w:rPr>
        <w:t xml:space="preserve"> 1807</w:t>
      </w:r>
      <w:r w:rsidR="005B7B9F" w:rsidRPr="00EC1B43">
        <w:rPr>
          <w:rFonts w:ascii="Times New Roman" w:hAnsi="Times New Roman" w:cs="Times New Roman"/>
          <w:color w:val="000000" w:themeColor="text1"/>
        </w:rPr>
        <w:t xml:space="preserve">.  But consider also, </w:t>
      </w:r>
      <w:proofErr w:type="gramStart"/>
      <w:r w:rsidR="005B7B9F" w:rsidRPr="00EC1B43">
        <w:rPr>
          <w:rFonts w:ascii="Times New Roman" w:hAnsi="Times New Roman" w:cs="Times New Roman"/>
          <w:color w:val="000000" w:themeColor="text1"/>
        </w:rPr>
        <w:t>e.g.</w:t>
      </w:r>
      <w:proofErr w:type="gramEnd"/>
      <w:r w:rsidR="005B7B9F" w:rsidRPr="00EC1B43">
        <w:rPr>
          <w:rFonts w:ascii="Times New Roman" w:hAnsi="Times New Roman" w:cs="Times New Roman"/>
          <w:color w:val="000000" w:themeColor="text1"/>
        </w:rPr>
        <w:t xml:space="preserve"> the Patients’ Rights Directive 2011/24, O</w:t>
      </w:r>
      <w:r w:rsidR="00080AD3" w:rsidRPr="00EC1B43">
        <w:rPr>
          <w:rFonts w:ascii="Times New Roman" w:hAnsi="Times New Roman" w:cs="Times New Roman"/>
          <w:color w:val="000000" w:themeColor="text1"/>
        </w:rPr>
        <w:t>.</w:t>
      </w:r>
      <w:r w:rsidR="005B7B9F" w:rsidRPr="00EC1B43">
        <w:rPr>
          <w:rFonts w:ascii="Times New Roman" w:hAnsi="Times New Roman" w:cs="Times New Roman"/>
          <w:color w:val="000000" w:themeColor="text1"/>
        </w:rPr>
        <w:t>J</w:t>
      </w:r>
      <w:r w:rsidR="00080AD3" w:rsidRPr="00EC1B43">
        <w:rPr>
          <w:rFonts w:ascii="Times New Roman" w:hAnsi="Times New Roman" w:cs="Times New Roman"/>
          <w:color w:val="000000" w:themeColor="text1"/>
        </w:rPr>
        <w:t>.</w:t>
      </w:r>
      <w:r w:rsidR="005B7B9F" w:rsidRPr="00EC1B43">
        <w:rPr>
          <w:rFonts w:ascii="Times New Roman" w:hAnsi="Times New Roman" w:cs="Times New Roman"/>
          <w:color w:val="000000" w:themeColor="text1"/>
        </w:rPr>
        <w:t xml:space="preserve"> 2011, L</w:t>
      </w:r>
      <w:r w:rsidR="00080AD3" w:rsidRPr="00EC1B43">
        <w:rPr>
          <w:rFonts w:ascii="Times New Roman" w:hAnsi="Times New Roman" w:cs="Times New Roman"/>
          <w:color w:val="000000" w:themeColor="text1"/>
        </w:rPr>
        <w:t xml:space="preserve"> </w:t>
      </w:r>
      <w:r w:rsidR="005B7B9F" w:rsidRPr="00EC1B43">
        <w:rPr>
          <w:rFonts w:ascii="Times New Roman" w:hAnsi="Times New Roman" w:cs="Times New Roman"/>
          <w:color w:val="000000" w:themeColor="text1"/>
        </w:rPr>
        <w:t xml:space="preserve">88/45 as discussed by de </w:t>
      </w:r>
      <w:r w:rsidR="00996C37" w:rsidRPr="00EC1B43">
        <w:rPr>
          <w:rFonts w:ascii="Times New Roman" w:hAnsi="Times New Roman" w:cs="Times New Roman"/>
          <w:color w:val="000000" w:themeColor="text1"/>
        </w:rPr>
        <w:t>l</w:t>
      </w:r>
      <w:r w:rsidR="005B7B9F" w:rsidRPr="00EC1B43">
        <w:rPr>
          <w:rFonts w:ascii="Times New Roman" w:hAnsi="Times New Roman" w:cs="Times New Roman"/>
          <w:color w:val="000000" w:themeColor="text1"/>
        </w:rPr>
        <w:t>a Rosa, “The Directive on cross-border healthcare or the art of cod</w:t>
      </w:r>
      <w:r w:rsidR="00996C37" w:rsidRPr="00EC1B43">
        <w:rPr>
          <w:rFonts w:ascii="Times New Roman" w:hAnsi="Times New Roman" w:cs="Times New Roman"/>
          <w:color w:val="000000" w:themeColor="text1"/>
        </w:rPr>
        <w:t>if</w:t>
      </w:r>
      <w:r w:rsidR="005B7B9F" w:rsidRPr="00EC1B43">
        <w:rPr>
          <w:rFonts w:ascii="Times New Roman" w:hAnsi="Times New Roman" w:cs="Times New Roman"/>
          <w:color w:val="000000" w:themeColor="text1"/>
        </w:rPr>
        <w:t>ying complex case law”</w:t>
      </w:r>
      <w:r w:rsidR="00080AD3" w:rsidRPr="00EC1B43">
        <w:rPr>
          <w:rFonts w:ascii="Times New Roman" w:hAnsi="Times New Roman" w:cs="Times New Roman"/>
          <w:color w:val="000000" w:themeColor="text1"/>
        </w:rPr>
        <w:t>,</w:t>
      </w:r>
      <w:r w:rsidR="005B7B9F" w:rsidRPr="00EC1B43">
        <w:rPr>
          <w:rFonts w:ascii="Times New Roman" w:hAnsi="Times New Roman" w:cs="Times New Roman"/>
          <w:color w:val="000000" w:themeColor="text1"/>
        </w:rPr>
        <w:t xml:space="preserve"> 49 CML</w:t>
      </w:r>
      <w:r w:rsidR="00080AD3" w:rsidRPr="00EC1B43">
        <w:rPr>
          <w:rFonts w:ascii="Times New Roman" w:hAnsi="Times New Roman" w:cs="Times New Roman"/>
          <w:color w:val="000000" w:themeColor="text1"/>
        </w:rPr>
        <w:t xml:space="preserve"> </w:t>
      </w:r>
      <w:r w:rsidR="005B7B9F" w:rsidRPr="00EC1B43">
        <w:rPr>
          <w:rFonts w:ascii="Times New Roman" w:hAnsi="Times New Roman" w:cs="Times New Roman"/>
          <w:color w:val="000000" w:themeColor="text1"/>
        </w:rPr>
        <w:t>Rev</w:t>
      </w:r>
      <w:r w:rsidR="00080AD3" w:rsidRPr="00EC1B43">
        <w:rPr>
          <w:rFonts w:ascii="Times New Roman" w:hAnsi="Times New Roman" w:cs="Times New Roman"/>
          <w:color w:val="000000" w:themeColor="text1"/>
        </w:rPr>
        <w:t>. (2012),</w:t>
      </w:r>
      <w:r w:rsidR="005B7B9F" w:rsidRPr="00EC1B43">
        <w:rPr>
          <w:rFonts w:ascii="Times New Roman" w:hAnsi="Times New Roman" w:cs="Times New Roman"/>
          <w:color w:val="000000" w:themeColor="text1"/>
        </w:rPr>
        <w:t xml:space="preserve"> 15</w:t>
      </w:r>
      <w:r w:rsidR="00576E13" w:rsidRPr="00EC1B43">
        <w:rPr>
          <w:rFonts w:ascii="Times New Roman" w:hAnsi="Times New Roman" w:cs="Times New Roman"/>
          <w:color w:val="000000" w:themeColor="text1"/>
        </w:rPr>
        <w:t xml:space="preserve">; or </w:t>
      </w:r>
      <w:r w:rsidR="005B7B9F" w:rsidRPr="00EC1B43">
        <w:rPr>
          <w:rFonts w:ascii="Times New Roman" w:hAnsi="Times New Roman" w:cs="Times New Roman"/>
          <w:color w:val="000000" w:themeColor="text1"/>
        </w:rPr>
        <w:t xml:space="preserve">indeed </w:t>
      </w:r>
      <w:r w:rsidR="00996C37" w:rsidRPr="00EC1B43">
        <w:rPr>
          <w:rFonts w:ascii="Times New Roman" w:hAnsi="Times New Roman" w:cs="Times New Roman"/>
          <w:color w:val="000000" w:themeColor="text1"/>
        </w:rPr>
        <w:t xml:space="preserve">the </w:t>
      </w:r>
      <w:r w:rsidR="005B7B9F" w:rsidRPr="00EC1B43">
        <w:rPr>
          <w:rFonts w:ascii="Times New Roman" w:hAnsi="Times New Roman" w:cs="Times New Roman"/>
          <w:color w:val="000000" w:themeColor="text1"/>
        </w:rPr>
        <w:t xml:space="preserve">relatively complex legislative context and process surrounding </w:t>
      </w:r>
      <w:r w:rsidR="00996C37" w:rsidRPr="00EC1B43">
        <w:rPr>
          <w:rFonts w:ascii="Times New Roman" w:hAnsi="Times New Roman" w:cs="Times New Roman"/>
          <w:color w:val="000000" w:themeColor="text1"/>
        </w:rPr>
        <w:t xml:space="preserve">adoption of </w:t>
      </w:r>
      <w:r w:rsidR="005B7B9F" w:rsidRPr="00EC1B43">
        <w:rPr>
          <w:rFonts w:ascii="Times New Roman" w:hAnsi="Times New Roman" w:cs="Times New Roman"/>
          <w:color w:val="000000" w:themeColor="text1"/>
        </w:rPr>
        <w:t xml:space="preserve">the Services </w:t>
      </w:r>
      <w:r w:rsidR="00576E13" w:rsidRPr="00EC1B43">
        <w:rPr>
          <w:rFonts w:ascii="Times New Roman" w:hAnsi="Times New Roman" w:cs="Times New Roman"/>
          <w:color w:val="000000" w:themeColor="text1"/>
        </w:rPr>
        <w:t>Directive 2006/123, O</w:t>
      </w:r>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J</w:t>
      </w:r>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 xml:space="preserve"> 2006, L</w:t>
      </w:r>
      <w:r w:rsidR="00080AD3" w:rsidRPr="00EC1B43">
        <w:rPr>
          <w:rFonts w:ascii="Times New Roman" w:hAnsi="Times New Roman" w:cs="Times New Roman"/>
          <w:color w:val="000000" w:themeColor="text1"/>
        </w:rPr>
        <w:t xml:space="preserve"> </w:t>
      </w:r>
      <w:r w:rsidR="00576E13" w:rsidRPr="00EC1B43">
        <w:rPr>
          <w:rFonts w:ascii="Times New Roman" w:hAnsi="Times New Roman" w:cs="Times New Roman"/>
          <w:color w:val="000000" w:themeColor="text1"/>
        </w:rPr>
        <w:t xml:space="preserve">376/36 as discussed by </w:t>
      </w:r>
      <w:r w:rsidR="00F91316" w:rsidRPr="00EC1B43">
        <w:rPr>
          <w:rFonts w:ascii="Times New Roman" w:hAnsi="Times New Roman" w:cs="Times New Roman"/>
          <w:color w:val="000000" w:themeColor="text1"/>
        </w:rPr>
        <w:t>Barnard, “Unravelling the Services Directive”</w:t>
      </w:r>
      <w:r w:rsidR="00080AD3" w:rsidRPr="00EC1B43">
        <w:rPr>
          <w:rFonts w:ascii="Times New Roman" w:hAnsi="Times New Roman" w:cs="Times New Roman"/>
          <w:color w:val="000000" w:themeColor="text1"/>
        </w:rPr>
        <w:t>,</w:t>
      </w:r>
      <w:r w:rsidR="00F91316" w:rsidRPr="00EC1B43">
        <w:rPr>
          <w:rFonts w:ascii="Times New Roman" w:hAnsi="Times New Roman" w:cs="Times New Roman"/>
          <w:color w:val="000000" w:themeColor="text1"/>
        </w:rPr>
        <w:t xml:space="preserve"> 45 C</w:t>
      </w:r>
      <w:r w:rsidR="00080AD3" w:rsidRPr="00EC1B43">
        <w:rPr>
          <w:rFonts w:ascii="Times New Roman" w:hAnsi="Times New Roman" w:cs="Times New Roman"/>
          <w:color w:val="000000" w:themeColor="text1"/>
        </w:rPr>
        <w:t xml:space="preserve">ML </w:t>
      </w:r>
      <w:r w:rsidR="00F91316" w:rsidRPr="00EC1B43">
        <w:rPr>
          <w:rFonts w:ascii="Times New Roman" w:hAnsi="Times New Roman" w:cs="Times New Roman"/>
          <w:color w:val="000000" w:themeColor="text1"/>
        </w:rPr>
        <w:t>Rev</w:t>
      </w:r>
      <w:r w:rsidR="00080AD3" w:rsidRPr="00EC1B43">
        <w:rPr>
          <w:rFonts w:ascii="Times New Roman" w:hAnsi="Times New Roman" w:cs="Times New Roman"/>
          <w:color w:val="000000" w:themeColor="text1"/>
        </w:rPr>
        <w:t>. (2008),</w:t>
      </w:r>
      <w:r w:rsidR="00F91316" w:rsidRPr="00EC1B43">
        <w:rPr>
          <w:rFonts w:ascii="Times New Roman" w:hAnsi="Times New Roman" w:cs="Times New Roman"/>
          <w:color w:val="000000" w:themeColor="text1"/>
        </w:rPr>
        <w:t xml:space="preserve"> 323.</w:t>
      </w:r>
    </w:p>
  </w:footnote>
  <w:footnote w:id="30">
    <w:p w14:paraId="145C2D87" w14:textId="4B2DD76C"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Pr="00EC1B43">
        <w:rPr>
          <w:color w:val="000000" w:themeColor="text1"/>
          <w:sz w:val="20"/>
          <w:szCs w:val="20"/>
        </w:rPr>
        <w:t>E.g.</w:t>
      </w:r>
      <w:proofErr w:type="gramEnd"/>
      <w:r w:rsidRPr="00EC1B43">
        <w:rPr>
          <w:color w:val="000000" w:themeColor="text1"/>
          <w:sz w:val="20"/>
          <w:szCs w:val="20"/>
        </w:rPr>
        <w:t xml:space="preserve"> Case C-490/10, </w:t>
      </w:r>
      <w:r w:rsidRPr="00EC1B43">
        <w:rPr>
          <w:i/>
          <w:iCs/>
          <w:color w:val="000000" w:themeColor="text1"/>
          <w:sz w:val="20"/>
          <w:szCs w:val="20"/>
        </w:rPr>
        <w:t xml:space="preserve">Parliament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2012</w:t>
      </w:r>
      <w:r w:rsidR="002621AF" w:rsidRPr="00EC1B43">
        <w:rPr>
          <w:color w:val="000000" w:themeColor="text1"/>
          <w:sz w:val="20"/>
          <w:szCs w:val="20"/>
        </w:rPr>
        <w:t>:525</w:t>
      </w:r>
      <w:r w:rsidRPr="00EC1B43">
        <w:rPr>
          <w:color w:val="000000" w:themeColor="text1"/>
          <w:sz w:val="20"/>
          <w:szCs w:val="20"/>
        </w:rPr>
        <w:t xml:space="preserve">; Joined Cases C-103/12 </w:t>
      </w:r>
      <w:r w:rsidR="002621AF" w:rsidRPr="00EC1B43">
        <w:rPr>
          <w:color w:val="000000" w:themeColor="text1"/>
          <w:sz w:val="20"/>
          <w:szCs w:val="20"/>
        </w:rPr>
        <w:t xml:space="preserve">&amp; </w:t>
      </w:r>
      <w:r w:rsidRPr="00EC1B43">
        <w:rPr>
          <w:color w:val="000000" w:themeColor="text1"/>
          <w:sz w:val="20"/>
          <w:szCs w:val="20"/>
        </w:rPr>
        <w:t xml:space="preserve">C-165/12, </w:t>
      </w:r>
      <w:r w:rsidRPr="00EC1B43">
        <w:rPr>
          <w:i/>
          <w:iCs/>
          <w:color w:val="000000" w:themeColor="text1"/>
          <w:sz w:val="20"/>
          <w:szCs w:val="20"/>
        </w:rPr>
        <w:t xml:space="preserve">Parliament and 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2014</w:t>
      </w:r>
      <w:r w:rsidR="002621AF" w:rsidRPr="00EC1B43">
        <w:rPr>
          <w:color w:val="000000" w:themeColor="text1"/>
          <w:sz w:val="20"/>
          <w:szCs w:val="20"/>
        </w:rPr>
        <w:t>:2400</w:t>
      </w:r>
      <w:r w:rsidRPr="00EC1B43">
        <w:rPr>
          <w:color w:val="000000" w:themeColor="text1"/>
          <w:sz w:val="20"/>
          <w:szCs w:val="20"/>
        </w:rPr>
        <w:t xml:space="preserve">; Joined Cases C-14/15 &amp; C-116/15, </w:t>
      </w:r>
      <w:r w:rsidRPr="00EC1B43">
        <w:rPr>
          <w:i/>
          <w:iCs/>
          <w:color w:val="000000" w:themeColor="text1"/>
          <w:sz w:val="20"/>
          <w:szCs w:val="20"/>
        </w:rPr>
        <w:t xml:space="preserve">Parliament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2621AF" w:rsidRPr="00EC1B43">
        <w:rPr>
          <w:color w:val="000000" w:themeColor="text1"/>
          <w:sz w:val="20"/>
          <w:szCs w:val="20"/>
        </w:rPr>
        <w:t>EU:C:</w:t>
      </w:r>
      <w:r w:rsidRPr="00EC1B43">
        <w:rPr>
          <w:color w:val="000000" w:themeColor="text1"/>
          <w:sz w:val="20"/>
          <w:szCs w:val="20"/>
        </w:rPr>
        <w:t>2016</w:t>
      </w:r>
      <w:r w:rsidR="002621AF" w:rsidRPr="00EC1B43">
        <w:rPr>
          <w:color w:val="000000" w:themeColor="text1"/>
          <w:sz w:val="20"/>
          <w:szCs w:val="20"/>
        </w:rPr>
        <w:t>:715</w:t>
      </w:r>
      <w:r w:rsidRPr="00EC1B43">
        <w:rPr>
          <w:color w:val="000000" w:themeColor="text1"/>
          <w:sz w:val="20"/>
          <w:szCs w:val="20"/>
        </w:rPr>
        <w:t xml:space="preserve">.  </w:t>
      </w:r>
      <w:r w:rsidR="00F52974" w:rsidRPr="00EC1B43">
        <w:rPr>
          <w:color w:val="000000" w:themeColor="text1"/>
          <w:sz w:val="20"/>
          <w:szCs w:val="20"/>
        </w:rPr>
        <w:t xml:space="preserve">See further, </w:t>
      </w:r>
      <w:proofErr w:type="gramStart"/>
      <w:r w:rsidR="00F52974" w:rsidRPr="00EC1B43">
        <w:rPr>
          <w:color w:val="000000" w:themeColor="text1"/>
          <w:sz w:val="20"/>
          <w:szCs w:val="20"/>
        </w:rPr>
        <w:t>e.g.</w:t>
      </w:r>
      <w:proofErr w:type="gramEnd"/>
      <w:r w:rsidR="00F52974" w:rsidRPr="00EC1B43">
        <w:rPr>
          <w:color w:val="000000" w:themeColor="text1"/>
          <w:sz w:val="20"/>
          <w:szCs w:val="20"/>
        </w:rPr>
        <w:t xml:space="preserve"> </w:t>
      </w:r>
      <w:r w:rsidR="00F52974" w:rsidRPr="00EC1B43">
        <w:rPr>
          <w:rStyle w:val="Emphasis"/>
          <w:i w:val="0"/>
          <w:iCs w:val="0"/>
          <w:color w:val="000000" w:themeColor="text1"/>
          <w:sz w:val="20"/>
          <w:szCs w:val="20"/>
          <w:bdr w:val="none" w:sz="0" w:space="0" w:color="auto" w:frame="1"/>
        </w:rPr>
        <w:t>Cullen and Charlesworth, “Diplomacy by Other Means: The Use of Legal Basis Litigation as a Political Strategy by the European Parliament and Member States”</w:t>
      </w:r>
      <w:r w:rsidR="00080AD3" w:rsidRPr="00EC1B43">
        <w:rPr>
          <w:rStyle w:val="Emphasis"/>
          <w:i w:val="0"/>
          <w:iCs w:val="0"/>
          <w:color w:val="000000" w:themeColor="text1"/>
          <w:sz w:val="20"/>
          <w:szCs w:val="20"/>
          <w:bdr w:val="none" w:sz="0" w:space="0" w:color="auto" w:frame="1"/>
        </w:rPr>
        <w:t>,</w:t>
      </w:r>
      <w:r w:rsidR="00F52974" w:rsidRPr="00EC1B43">
        <w:rPr>
          <w:rStyle w:val="Emphasis"/>
          <w:i w:val="0"/>
          <w:iCs w:val="0"/>
          <w:color w:val="000000" w:themeColor="text1"/>
          <w:sz w:val="20"/>
          <w:szCs w:val="20"/>
          <w:bdr w:val="none" w:sz="0" w:space="0" w:color="auto" w:frame="1"/>
        </w:rPr>
        <w:t xml:space="preserve"> 36 CML</w:t>
      </w:r>
      <w:r w:rsidR="00080AD3" w:rsidRPr="00EC1B43">
        <w:rPr>
          <w:rStyle w:val="Emphasis"/>
          <w:i w:val="0"/>
          <w:iCs w:val="0"/>
          <w:color w:val="000000" w:themeColor="text1"/>
          <w:sz w:val="20"/>
          <w:szCs w:val="20"/>
          <w:bdr w:val="none" w:sz="0" w:space="0" w:color="auto" w:frame="1"/>
        </w:rPr>
        <w:t xml:space="preserve"> </w:t>
      </w:r>
      <w:r w:rsidR="00F52974" w:rsidRPr="00EC1B43">
        <w:rPr>
          <w:rStyle w:val="Emphasis"/>
          <w:i w:val="0"/>
          <w:iCs w:val="0"/>
          <w:color w:val="000000" w:themeColor="text1"/>
          <w:sz w:val="20"/>
          <w:szCs w:val="20"/>
          <w:bdr w:val="none" w:sz="0" w:space="0" w:color="auto" w:frame="1"/>
        </w:rPr>
        <w:t>Rev</w:t>
      </w:r>
      <w:r w:rsidR="00080AD3" w:rsidRPr="00EC1B43">
        <w:rPr>
          <w:rStyle w:val="Emphasis"/>
          <w:i w:val="0"/>
          <w:iCs w:val="0"/>
          <w:color w:val="000000" w:themeColor="text1"/>
          <w:sz w:val="20"/>
          <w:szCs w:val="20"/>
          <w:bdr w:val="none" w:sz="0" w:space="0" w:color="auto" w:frame="1"/>
        </w:rPr>
        <w:t>. (1999),</w:t>
      </w:r>
      <w:r w:rsidR="00F52974" w:rsidRPr="00EC1B43">
        <w:rPr>
          <w:rStyle w:val="Emphasis"/>
          <w:i w:val="0"/>
          <w:iCs w:val="0"/>
          <w:color w:val="000000" w:themeColor="text1"/>
          <w:sz w:val="20"/>
          <w:szCs w:val="20"/>
          <w:bdr w:val="none" w:sz="0" w:space="0" w:color="auto" w:frame="1"/>
        </w:rPr>
        <w:t xml:space="preserve"> 1243; </w:t>
      </w:r>
      <w:proofErr w:type="spellStart"/>
      <w:r w:rsidR="00F52974" w:rsidRPr="00EC1B43">
        <w:rPr>
          <w:rStyle w:val="Emphasis"/>
          <w:i w:val="0"/>
          <w:iCs w:val="0"/>
          <w:color w:val="000000" w:themeColor="text1"/>
          <w:sz w:val="20"/>
          <w:szCs w:val="20"/>
          <w:bdr w:val="none" w:sz="0" w:space="0" w:color="auto" w:frame="1"/>
        </w:rPr>
        <w:t>Ovádek</w:t>
      </w:r>
      <w:proofErr w:type="spellEnd"/>
      <w:r w:rsidR="00F52974" w:rsidRPr="00EC1B43">
        <w:rPr>
          <w:rStyle w:val="Emphasis"/>
          <w:i w:val="0"/>
          <w:iCs w:val="0"/>
          <w:color w:val="000000" w:themeColor="text1"/>
          <w:sz w:val="20"/>
          <w:szCs w:val="20"/>
          <w:bdr w:val="none" w:sz="0" w:space="0" w:color="auto" w:frame="1"/>
        </w:rPr>
        <w:t>,</w:t>
      </w:r>
      <w:r w:rsidR="00F52974" w:rsidRPr="00EC1B43">
        <w:rPr>
          <w:rStyle w:val="Emphasis"/>
          <w:color w:val="000000" w:themeColor="text1"/>
          <w:sz w:val="20"/>
          <w:szCs w:val="20"/>
          <w:bdr w:val="none" w:sz="0" w:space="0" w:color="auto" w:frame="1"/>
        </w:rPr>
        <w:t xml:space="preserve"> </w:t>
      </w:r>
      <w:r w:rsidR="00F52974" w:rsidRPr="00EC1B43">
        <w:rPr>
          <w:color w:val="000000" w:themeColor="text1"/>
          <w:sz w:val="20"/>
          <w:szCs w:val="20"/>
        </w:rPr>
        <w:t>“Procedural Politics Revisited: Institutional Incentives and Jurisdictional Ambiguity in EU Competence Disputes”</w:t>
      </w:r>
      <w:r w:rsidR="00080AD3" w:rsidRPr="00EC1B43">
        <w:rPr>
          <w:color w:val="000000" w:themeColor="text1"/>
          <w:sz w:val="20"/>
          <w:szCs w:val="20"/>
        </w:rPr>
        <w:t>,</w:t>
      </w:r>
      <w:r w:rsidR="00F52974" w:rsidRPr="00EC1B43">
        <w:rPr>
          <w:color w:val="000000" w:themeColor="text1"/>
          <w:sz w:val="20"/>
          <w:szCs w:val="20"/>
        </w:rPr>
        <w:t xml:space="preserve"> 59 JCMS</w:t>
      </w:r>
      <w:r w:rsidR="00080AD3" w:rsidRPr="00EC1B43">
        <w:rPr>
          <w:color w:val="000000" w:themeColor="text1"/>
          <w:sz w:val="20"/>
          <w:szCs w:val="20"/>
        </w:rPr>
        <w:t xml:space="preserve"> (2021),</w:t>
      </w:r>
      <w:r w:rsidR="00F52974" w:rsidRPr="00EC1B43">
        <w:rPr>
          <w:color w:val="000000" w:themeColor="text1"/>
          <w:sz w:val="20"/>
          <w:szCs w:val="20"/>
        </w:rPr>
        <w:t xml:space="preserve"> 1381.</w:t>
      </w:r>
    </w:p>
  </w:footnote>
  <w:footnote w:id="31">
    <w:p w14:paraId="2B4EC799" w14:textId="61BCE0F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Consider,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C-211/01, </w:t>
      </w:r>
      <w:r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2621A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2003</w:t>
      </w:r>
      <w:r w:rsidR="002621AF" w:rsidRPr="00EC1B43">
        <w:rPr>
          <w:rFonts w:ascii="Times New Roman" w:hAnsi="Times New Roman" w:cs="Times New Roman"/>
          <w:color w:val="000000" w:themeColor="text1"/>
        </w:rPr>
        <w:t>:452</w:t>
      </w:r>
      <w:r w:rsidRPr="00EC1B43">
        <w:rPr>
          <w:rFonts w:ascii="Times New Roman" w:hAnsi="Times New Roman" w:cs="Times New Roman"/>
          <w:color w:val="000000" w:themeColor="text1"/>
        </w:rPr>
        <w:t xml:space="preserve">.  </w:t>
      </w:r>
    </w:p>
  </w:footnote>
  <w:footnote w:id="32">
    <w:p w14:paraId="449B0879" w14:textId="3663298A"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88096F" w:rsidRPr="00EC1B43">
        <w:rPr>
          <w:rFonts w:ascii="Times New Roman" w:hAnsi="Times New Roman" w:cs="Times New Roman"/>
          <w:color w:val="000000" w:themeColor="text1"/>
        </w:rPr>
        <w:t>E.g.</w:t>
      </w:r>
      <w:proofErr w:type="gramEnd"/>
      <w:r w:rsidR="0088096F" w:rsidRPr="00EC1B43">
        <w:rPr>
          <w:rFonts w:ascii="Times New Roman" w:hAnsi="Times New Roman" w:cs="Times New Roman"/>
          <w:color w:val="000000" w:themeColor="text1"/>
        </w:rPr>
        <w:t xml:space="preserve"> Case 165/87, </w:t>
      </w:r>
      <w:r w:rsidR="0088096F" w:rsidRPr="00EC1B43">
        <w:rPr>
          <w:rFonts w:ascii="Times New Roman" w:hAnsi="Times New Roman" w:cs="Times New Roman"/>
          <w:i/>
          <w:iCs/>
          <w:color w:val="000000" w:themeColor="text1"/>
        </w:rPr>
        <w:t xml:space="preserve">Commission </w:t>
      </w:r>
      <w:r w:rsidR="00080AD3" w:rsidRPr="00EC1B43">
        <w:rPr>
          <w:rFonts w:ascii="Times New Roman" w:hAnsi="Times New Roman" w:cs="Times New Roman"/>
          <w:color w:val="000000" w:themeColor="text1"/>
        </w:rPr>
        <w:t xml:space="preserve">v. </w:t>
      </w:r>
      <w:r w:rsidR="0088096F" w:rsidRPr="00EC1B43">
        <w:rPr>
          <w:rFonts w:ascii="Times New Roman" w:hAnsi="Times New Roman" w:cs="Times New Roman"/>
          <w:i/>
          <w:iCs/>
          <w:color w:val="000000" w:themeColor="text1"/>
        </w:rPr>
        <w:t>Council</w:t>
      </w:r>
      <w:r w:rsidR="0088096F" w:rsidRPr="00EC1B43">
        <w:rPr>
          <w:rFonts w:ascii="Times New Roman" w:hAnsi="Times New Roman" w:cs="Times New Roman"/>
          <w:color w:val="000000" w:themeColor="text1"/>
        </w:rPr>
        <w:t>, EU:C:1988:</w:t>
      </w:r>
      <w:r w:rsidR="000E1EBD" w:rsidRPr="00EC1B43">
        <w:rPr>
          <w:rFonts w:ascii="Times New Roman" w:hAnsi="Times New Roman" w:cs="Times New Roman"/>
          <w:color w:val="000000" w:themeColor="text1"/>
        </w:rPr>
        <w:t>458</w:t>
      </w:r>
      <w:r w:rsidR="0088096F" w:rsidRPr="00EC1B43">
        <w:rPr>
          <w:rFonts w:ascii="Times New Roman" w:hAnsi="Times New Roman" w:cs="Times New Roman"/>
          <w:color w:val="000000" w:themeColor="text1"/>
        </w:rPr>
        <w:t xml:space="preserve">; Case C-210/03, </w:t>
      </w:r>
      <w:r w:rsidR="0088096F" w:rsidRPr="00EC1B43">
        <w:rPr>
          <w:rFonts w:ascii="Times New Roman" w:hAnsi="Times New Roman" w:cs="Times New Roman"/>
          <w:i/>
          <w:iCs/>
          <w:color w:val="000000" w:themeColor="text1"/>
        </w:rPr>
        <w:t>Swedish Match</w:t>
      </w:r>
      <w:r w:rsidR="0088096F" w:rsidRPr="00EC1B43">
        <w:rPr>
          <w:rFonts w:ascii="Times New Roman" w:hAnsi="Times New Roman" w:cs="Times New Roman"/>
          <w:color w:val="000000" w:themeColor="text1"/>
        </w:rPr>
        <w:t xml:space="preserve">, EU:C:2004:802; Case C-81/13, </w:t>
      </w:r>
      <w:r w:rsidR="0088096F" w:rsidRPr="00EC1B43">
        <w:rPr>
          <w:rFonts w:ascii="Times New Roman" w:hAnsi="Times New Roman" w:cs="Times New Roman"/>
          <w:i/>
          <w:iCs/>
          <w:color w:val="000000" w:themeColor="text1"/>
        </w:rPr>
        <w:t xml:space="preserve">UK </w:t>
      </w:r>
      <w:r w:rsidR="00080AD3" w:rsidRPr="00EC1B43">
        <w:rPr>
          <w:rFonts w:ascii="Times New Roman" w:hAnsi="Times New Roman" w:cs="Times New Roman"/>
          <w:color w:val="000000" w:themeColor="text1"/>
        </w:rPr>
        <w:t xml:space="preserve">v. </w:t>
      </w:r>
      <w:r w:rsidR="0088096F" w:rsidRPr="00EC1B43">
        <w:rPr>
          <w:rFonts w:ascii="Times New Roman" w:hAnsi="Times New Roman" w:cs="Times New Roman"/>
          <w:i/>
          <w:iCs/>
          <w:color w:val="000000" w:themeColor="text1"/>
        </w:rPr>
        <w:t>Council</w:t>
      </w:r>
      <w:r w:rsidR="0088096F" w:rsidRPr="00EC1B43">
        <w:rPr>
          <w:rFonts w:ascii="Times New Roman" w:hAnsi="Times New Roman" w:cs="Times New Roman"/>
          <w:color w:val="000000" w:themeColor="text1"/>
        </w:rPr>
        <w:t>, EU:C:2014:2449.</w:t>
      </w:r>
    </w:p>
  </w:footnote>
  <w:footnote w:id="33">
    <w:p w14:paraId="57080BDB" w14:textId="2D5EB04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C-166/07, </w:t>
      </w:r>
      <w:r w:rsidRPr="00EC1B43">
        <w:rPr>
          <w:rFonts w:ascii="Times New Roman" w:hAnsi="Times New Roman" w:cs="Times New Roman"/>
          <w:i/>
          <w:iCs/>
          <w:color w:val="000000" w:themeColor="text1"/>
        </w:rPr>
        <w:t xml:space="preserve">Parliament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88096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2009</w:t>
      </w:r>
      <w:r w:rsidR="0088096F" w:rsidRPr="00EC1B43">
        <w:rPr>
          <w:rFonts w:ascii="Times New Roman" w:hAnsi="Times New Roman" w:cs="Times New Roman"/>
          <w:color w:val="000000" w:themeColor="text1"/>
        </w:rPr>
        <w:t>:499</w:t>
      </w:r>
      <w:r w:rsidRPr="00EC1B43">
        <w:rPr>
          <w:rFonts w:ascii="Times New Roman" w:hAnsi="Times New Roman" w:cs="Times New Roman"/>
          <w:color w:val="000000" w:themeColor="text1"/>
        </w:rPr>
        <w:t xml:space="preserve">.  </w:t>
      </w:r>
    </w:p>
  </w:footnote>
  <w:footnote w:id="34">
    <w:p w14:paraId="7A494427" w14:textId="39034F57"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Pr="00EC1B43">
        <w:rPr>
          <w:color w:val="000000" w:themeColor="text1"/>
          <w:sz w:val="20"/>
          <w:szCs w:val="20"/>
        </w:rPr>
        <w:t>E.g.</w:t>
      </w:r>
      <w:proofErr w:type="gramEnd"/>
      <w:r w:rsidRPr="00EC1B43">
        <w:rPr>
          <w:color w:val="000000" w:themeColor="text1"/>
          <w:sz w:val="20"/>
          <w:szCs w:val="20"/>
        </w:rPr>
        <w:t xml:space="preserve"> Case C-84/94, </w:t>
      </w:r>
      <w:r w:rsidRPr="00EC1B43">
        <w:rPr>
          <w:i/>
          <w:iCs/>
          <w:color w:val="000000" w:themeColor="text1"/>
          <w:sz w:val="20"/>
          <w:szCs w:val="20"/>
        </w:rPr>
        <w:t xml:space="preserve">UK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Pr="00EC1B43">
        <w:rPr>
          <w:color w:val="000000" w:themeColor="text1"/>
          <w:sz w:val="20"/>
          <w:szCs w:val="20"/>
          <w:shd w:val="clear" w:color="auto" w:fill="FFFFFF"/>
        </w:rPr>
        <w:t>EU:C:1996:431</w:t>
      </w:r>
      <w:r w:rsidRPr="00EC1B43">
        <w:rPr>
          <w:color w:val="000000" w:themeColor="text1"/>
          <w:sz w:val="20"/>
          <w:szCs w:val="20"/>
        </w:rPr>
        <w:t xml:space="preserve">; Case C-113/14, </w:t>
      </w:r>
      <w:r w:rsidRPr="00EC1B43">
        <w:rPr>
          <w:i/>
          <w:iCs/>
          <w:color w:val="000000" w:themeColor="text1"/>
          <w:sz w:val="20"/>
          <w:szCs w:val="20"/>
        </w:rPr>
        <w:t xml:space="preserve">Germany </w:t>
      </w:r>
      <w:r w:rsidR="00080AD3" w:rsidRPr="00EC1B43">
        <w:rPr>
          <w:color w:val="000000" w:themeColor="text1"/>
          <w:sz w:val="20"/>
          <w:szCs w:val="20"/>
        </w:rPr>
        <w:t xml:space="preserve">v. </w:t>
      </w:r>
      <w:r w:rsidRPr="00EC1B43">
        <w:rPr>
          <w:i/>
          <w:iCs/>
          <w:color w:val="000000" w:themeColor="text1"/>
          <w:sz w:val="20"/>
          <w:szCs w:val="20"/>
        </w:rPr>
        <w:t>Parliament and Council</w:t>
      </w:r>
      <w:r w:rsidRPr="00EC1B43">
        <w:rPr>
          <w:color w:val="000000" w:themeColor="text1"/>
          <w:sz w:val="20"/>
          <w:szCs w:val="20"/>
        </w:rPr>
        <w:t xml:space="preserve">, </w:t>
      </w:r>
      <w:r w:rsidR="0088096F" w:rsidRPr="00EC1B43">
        <w:rPr>
          <w:color w:val="000000" w:themeColor="text1"/>
          <w:sz w:val="20"/>
          <w:szCs w:val="20"/>
        </w:rPr>
        <w:t>EU:C:</w:t>
      </w:r>
      <w:r w:rsidRPr="00EC1B43">
        <w:rPr>
          <w:color w:val="000000" w:themeColor="text1"/>
          <w:sz w:val="20"/>
          <w:szCs w:val="20"/>
        </w:rPr>
        <w:t>2016</w:t>
      </w:r>
      <w:r w:rsidR="0088096F" w:rsidRPr="00EC1B43">
        <w:rPr>
          <w:color w:val="000000" w:themeColor="text1"/>
          <w:sz w:val="20"/>
          <w:szCs w:val="20"/>
        </w:rPr>
        <w:t>:635</w:t>
      </w:r>
      <w:r w:rsidRPr="00EC1B43">
        <w:rPr>
          <w:color w:val="000000" w:themeColor="text1"/>
          <w:sz w:val="20"/>
          <w:szCs w:val="20"/>
        </w:rPr>
        <w:t xml:space="preserve">.  Though in many cases, severability of good from bad is not possible and the entire measure must be annulled, </w:t>
      </w:r>
      <w:proofErr w:type="gramStart"/>
      <w:r w:rsidRPr="00EC1B43">
        <w:rPr>
          <w:color w:val="000000" w:themeColor="text1"/>
          <w:sz w:val="20"/>
          <w:szCs w:val="20"/>
        </w:rPr>
        <w:t>e.g.</w:t>
      </w:r>
      <w:proofErr w:type="gramEnd"/>
      <w:r w:rsidRPr="00EC1B43">
        <w:rPr>
          <w:color w:val="000000" w:themeColor="text1"/>
          <w:sz w:val="20"/>
          <w:szCs w:val="20"/>
        </w:rPr>
        <w:t xml:space="preserve"> Case C-440/05, </w:t>
      </w:r>
      <w:r w:rsidRPr="00EC1B43">
        <w:rPr>
          <w:i/>
          <w:iCs/>
          <w:color w:val="000000" w:themeColor="text1"/>
          <w:sz w:val="20"/>
          <w:szCs w:val="20"/>
        </w:rPr>
        <w:t xml:space="preserve">Commission </w:t>
      </w:r>
      <w:r w:rsidR="00080AD3" w:rsidRPr="00EC1B43">
        <w:rPr>
          <w:color w:val="000000" w:themeColor="text1"/>
          <w:sz w:val="20"/>
          <w:szCs w:val="20"/>
        </w:rPr>
        <w:t xml:space="preserve">v. </w:t>
      </w:r>
      <w:r w:rsidRPr="00EC1B43">
        <w:rPr>
          <w:i/>
          <w:iCs/>
          <w:color w:val="000000" w:themeColor="text1"/>
          <w:sz w:val="20"/>
          <w:szCs w:val="20"/>
        </w:rPr>
        <w:t>Council</w:t>
      </w:r>
      <w:r w:rsidRPr="00EC1B43">
        <w:rPr>
          <w:color w:val="000000" w:themeColor="text1"/>
          <w:sz w:val="20"/>
          <w:szCs w:val="20"/>
        </w:rPr>
        <w:t xml:space="preserve">, </w:t>
      </w:r>
      <w:r w:rsidR="0088096F" w:rsidRPr="00EC1B43">
        <w:rPr>
          <w:color w:val="000000" w:themeColor="text1"/>
          <w:sz w:val="20"/>
          <w:szCs w:val="20"/>
        </w:rPr>
        <w:t>EU:C:</w:t>
      </w:r>
      <w:r w:rsidRPr="00EC1B43">
        <w:rPr>
          <w:color w:val="000000" w:themeColor="text1"/>
          <w:sz w:val="20"/>
          <w:szCs w:val="20"/>
        </w:rPr>
        <w:t>2007</w:t>
      </w:r>
      <w:r w:rsidR="0088096F" w:rsidRPr="00EC1B43">
        <w:rPr>
          <w:color w:val="000000" w:themeColor="text1"/>
          <w:sz w:val="20"/>
          <w:szCs w:val="20"/>
        </w:rPr>
        <w:t>:625</w:t>
      </w:r>
      <w:r w:rsidRPr="00EC1B43">
        <w:rPr>
          <w:color w:val="000000" w:themeColor="text1"/>
          <w:sz w:val="20"/>
          <w:szCs w:val="20"/>
        </w:rPr>
        <w:t xml:space="preserve">. </w:t>
      </w:r>
    </w:p>
  </w:footnote>
  <w:footnote w:id="35">
    <w:p w14:paraId="3120061A" w14:textId="692F7FC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C-441/11, </w:t>
      </w:r>
      <w:proofErr w:type="spellStart"/>
      <w:r w:rsidRPr="00EC1B43">
        <w:rPr>
          <w:rFonts w:ascii="Times New Roman" w:hAnsi="Times New Roman" w:cs="Times New Roman"/>
          <w:i/>
          <w:iCs/>
          <w:color w:val="000000" w:themeColor="text1"/>
        </w:rPr>
        <w:t>Verhuizingen</w:t>
      </w:r>
      <w:proofErr w:type="spellEnd"/>
      <w:r w:rsidRPr="00EC1B43">
        <w:rPr>
          <w:rFonts w:ascii="Times New Roman" w:hAnsi="Times New Roman" w:cs="Times New Roman"/>
          <w:i/>
          <w:iCs/>
          <w:color w:val="000000" w:themeColor="text1"/>
        </w:rPr>
        <w:t xml:space="preserve"> Coppens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Commission</w:t>
      </w:r>
      <w:r w:rsidRPr="00EC1B43">
        <w:rPr>
          <w:rFonts w:ascii="Times New Roman" w:hAnsi="Times New Roman" w:cs="Times New Roman"/>
          <w:color w:val="000000" w:themeColor="text1"/>
        </w:rPr>
        <w:t xml:space="preserve">, </w:t>
      </w:r>
      <w:r w:rsidR="0088096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2012</w:t>
      </w:r>
      <w:r w:rsidR="0088096F" w:rsidRPr="00EC1B43">
        <w:rPr>
          <w:rFonts w:ascii="Times New Roman" w:hAnsi="Times New Roman" w:cs="Times New Roman"/>
          <w:color w:val="000000" w:themeColor="text1"/>
        </w:rPr>
        <w:t>:778</w:t>
      </w:r>
      <w:r w:rsidRPr="00EC1B43">
        <w:rPr>
          <w:rFonts w:ascii="Times New Roman" w:hAnsi="Times New Roman" w:cs="Times New Roman"/>
          <w:color w:val="000000" w:themeColor="text1"/>
        </w:rPr>
        <w:t xml:space="preserve">; Case C-156/21, </w:t>
      </w:r>
      <w:r w:rsidRPr="00EC1B43">
        <w:rPr>
          <w:rFonts w:ascii="Times New Roman" w:hAnsi="Times New Roman" w:cs="Times New Roman"/>
          <w:i/>
          <w:iCs/>
          <w:color w:val="000000" w:themeColor="text1"/>
        </w:rPr>
        <w:t xml:space="preserve">Hungary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88096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2022</w:t>
      </w:r>
      <w:r w:rsidR="0088096F" w:rsidRPr="00EC1B43">
        <w:rPr>
          <w:rFonts w:ascii="Times New Roman" w:hAnsi="Times New Roman" w:cs="Times New Roman"/>
          <w:color w:val="000000" w:themeColor="text1"/>
        </w:rPr>
        <w:t>:97</w:t>
      </w:r>
      <w:r w:rsidRPr="00EC1B43">
        <w:rPr>
          <w:rFonts w:ascii="Times New Roman" w:hAnsi="Times New Roman" w:cs="Times New Roman"/>
          <w:color w:val="000000" w:themeColor="text1"/>
        </w:rPr>
        <w:t>; Case C-157/21</w:t>
      </w:r>
      <w:r w:rsidR="0088096F"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w:t>
      </w:r>
      <w:r w:rsidRPr="00EC1B43">
        <w:rPr>
          <w:rFonts w:ascii="Times New Roman" w:hAnsi="Times New Roman" w:cs="Times New Roman"/>
          <w:i/>
          <w:iCs/>
          <w:color w:val="000000" w:themeColor="text1"/>
        </w:rPr>
        <w:t xml:space="preserve">Poland </w:t>
      </w:r>
      <w:r w:rsidR="00080AD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88096F"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2022</w:t>
      </w:r>
      <w:r w:rsidR="0088096F" w:rsidRPr="00EC1B43">
        <w:rPr>
          <w:rFonts w:ascii="Times New Roman" w:hAnsi="Times New Roman" w:cs="Times New Roman"/>
          <w:color w:val="000000" w:themeColor="text1"/>
        </w:rPr>
        <w:t>:98</w:t>
      </w:r>
      <w:r w:rsidRPr="00EC1B43">
        <w:rPr>
          <w:rFonts w:ascii="Times New Roman" w:hAnsi="Times New Roman" w:cs="Times New Roman"/>
          <w:color w:val="000000" w:themeColor="text1"/>
        </w:rPr>
        <w:t xml:space="preserve">.  </w:t>
      </w:r>
    </w:p>
  </w:footnote>
  <w:footnote w:id="36">
    <w:p w14:paraId="19B69C3D" w14:textId="0077DE0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72B0C" w:rsidRPr="00EC1B43">
        <w:rPr>
          <w:rFonts w:ascii="Times New Roman" w:hAnsi="Times New Roman" w:cs="Times New Roman"/>
          <w:color w:val="000000" w:themeColor="text1"/>
        </w:rPr>
        <w:t>This Review has devoted many pages to analysing the Union’s response to those challenges – beginning with Editorial Comments, “Weathering through the credit crisis: Is the Community equipped to deal with it?”</w:t>
      </w:r>
      <w:r w:rsidR="00080AD3" w:rsidRPr="00EC1B43">
        <w:rPr>
          <w:rFonts w:ascii="Times New Roman" w:hAnsi="Times New Roman" w:cs="Times New Roman"/>
          <w:color w:val="000000" w:themeColor="text1"/>
        </w:rPr>
        <w:t>,</w:t>
      </w:r>
      <w:r w:rsidR="00E72B0C" w:rsidRPr="00EC1B43">
        <w:rPr>
          <w:rFonts w:ascii="Times New Roman" w:hAnsi="Times New Roman" w:cs="Times New Roman"/>
          <w:color w:val="000000" w:themeColor="text1"/>
        </w:rPr>
        <w:t xml:space="preserve"> 46 CML</w:t>
      </w:r>
      <w:r w:rsidR="00080AD3" w:rsidRPr="00EC1B43">
        <w:rPr>
          <w:rFonts w:ascii="Times New Roman" w:hAnsi="Times New Roman" w:cs="Times New Roman"/>
          <w:color w:val="000000" w:themeColor="text1"/>
        </w:rPr>
        <w:t xml:space="preserve"> </w:t>
      </w:r>
      <w:r w:rsidR="00E72B0C" w:rsidRPr="00EC1B43">
        <w:rPr>
          <w:rFonts w:ascii="Times New Roman" w:hAnsi="Times New Roman" w:cs="Times New Roman"/>
          <w:color w:val="000000" w:themeColor="text1"/>
        </w:rPr>
        <w:t>Rev</w:t>
      </w:r>
      <w:r w:rsidR="00080AD3" w:rsidRPr="00EC1B43">
        <w:rPr>
          <w:rFonts w:ascii="Times New Roman" w:hAnsi="Times New Roman" w:cs="Times New Roman"/>
          <w:color w:val="000000" w:themeColor="text1"/>
        </w:rPr>
        <w:t>.</w:t>
      </w:r>
      <w:r w:rsidR="00E72B0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(2009), </w:t>
      </w:r>
      <w:r w:rsidR="00E72B0C" w:rsidRPr="00EC1B43">
        <w:rPr>
          <w:rFonts w:ascii="Times New Roman" w:hAnsi="Times New Roman" w:cs="Times New Roman"/>
          <w:color w:val="000000" w:themeColor="text1"/>
        </w:rPr>
        <w:t>3.</w:t>
      </w:r>
      <w:r w:rsidR="006F1E1E" w:rsidRPr="00EC1B43">
        <w:rPr>
          <w:rFonts w:ascii="Times New Roman" w:hAnsi="Times New Roman" w:cs="Times New Roman"/>
          <w:color w:val="000000" w:themeColor="text1"/>
        </w:rPr>
        <w:t xml:space="preserve">  Consider, in particular, the major contributions by Moloney</w:t>
      </w:r>
      <w:r w:rsidR="00080AD3" w:rsidRPr="00EC1B43">
        <w:rPr>
          <w:rFonts w:ascii="Times New Roman" w:hAnsi="Times New Roman" w:cs="Times New Roman"/>
          <w:color w:val="000000" w:themeColor="text1"/>
        </w:rPr>
        <w:t>,</w:t>
      </w:r>
      <w:r w:rsidR="006F1E1E" w:rsidRPr="00EC1B43">
        <w:rPr>
          <w:rFonts w:ascii="Times New Roman" w:hAnsi="Times New Roman" w:cs="Times New Roman"/>
          <w:color w:val="000000" w:themeColor="text1"/>
        </w:rPr>
        <w:t xml:space="preserve"> 47 </w:t>
      </w:r>
      <w:r w:rsidR="00080AD3" w:rsidRPr="00EC1B43">
        <w:rPr>
          <w:rFonts w:ascii="Times New Roman" w:hAnsi="Times New Roman" w:cs="Times New Roman"/>
          <w:color w:val="000000" w:themeColor="text1"/>
        </w:rPr>
        <w:t>CML Rev.</w:t>
      </w:r>
      <w:r w:rsidR="006F1E1E"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(2010) </w:t>
      </w:r>
      <w:r w:rsidR="006F1E1E" w:rsidRPr="00EC1B43">
        <w:rPr>
          <w:rFonts w:ascii="Times New Roman" w:hAnsi="Times New Roman" w:cs="Times New Roman"/>
          <w:color w:val="000000" w:themeColor="text1"/>
        </w:rPr>
        <w:t>1317</w:t>
      </w:r>
      <w:r w:rsidR="00576E13" w:rsidRPr="00EC1B43">
        <w:rPr>
          <w:rFonts w:ascii="Times New Roman" w:hAnsi="Times New Roman" w:cs="Times New Roman"/>
          <w:color w:val="000000" w:themeColor="text1"/>
        </w:rPr>
        <w:t xml:space="preserve">; </w:t>
      </w:r>
      <w:proofErr w:type="spellStart"/>
      <w:r w:rsidR="00576E13" w:rsidRPr="00EC1B43">
        <w:rPr>
          <w:rFonts w:ascii="Times New Roman" w:hAnsi="Times New Roman" w:cs="Times New Roman"/>
          <w:color w:val="000000" w:themeColor="text1"/>
        </w:rPr>
        <w:t>Ruffert</w:t>
      </w:r>
      <w:proofErr w:type="spellEnd"/>
      <w:r w:rsidR="00080AD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 xml:space="preserve"> 48 </w:t>
      </w:r>
      <w:r w:rsidR="00080AD3" w:rsidRPr="00EC1B43">
        <w:rPr>
          <w:rFonts w:ascii="Times New Roman" w:hAnsi="Times New Roman" w:cs="Times New Roman"/>
          <w:color w:val="000000" w:themeColor="text1"/>
        </w:rPr>
        <w:t>CML Rev.</w:t>
      </w:r>
      <w:r w:rsidR="00576E13"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(2011), </w:t>
      </w:r>
      <w:r w:rsidR="00576E13" w:rsidRPr="00EC1B43">
        <w:rPr>
          <w:rFonts w:ascii="Times New Roman" w:hAnsi="Times New Roman" w:cs="Times New Roman"/>
          <w:color w:val="000000" w:themeColor="text1"/>
        </w:rPr>
        <w:t>1777</w:t>
      </w:r>
      <w:r w:rsidR="00996C37" w:rsidRPr="00EC1B43">
        <w:rPr>
          <w:rFonts w:ascii="Times New Roman" w:hAnsi="Times New Roman" w:cs="Times New Roman"/>
          <w:color w:val="000000" w:themeColor="text1"/>
        </w:rPr>
        <w:t>; Adamski</w:t>
      </w:r>
      <w:r w:rsidR="00080AD3" w:rsidRPr="00EC1B43">
        <w:rPr>
          <w:rFonts w:ascii="Times New Roman" w:hAnsi="Times New Roman" w:cs="Times New Roman"/>
          <w:color w:val="000000" w:themeColor="text1"/>
        </w:rPr>
        <w:t>,</w:t>
      </w:r>
      <w:r w:rsidR="00996C37" w:rsidRPr="00EC1B43">
        <w:rPr>
          <w:rFonts w:ascii="Times New Roman" w:hAnsi="Times New Roman" w:cs="Times New Roman"/>
          <w:color w:val="000000" w:themeColor="text1"/>
        </w:rPr>
        <w:t xml:space="preserve"> 49 </w:t>
      </w:r>
      <w:r w:rsidR="00080AD3" w:rsidRPr="00EC1B43">
        <w:rPr>
          <w:rFonts w:ascii="Times New Roman" w:hAnsi="Times New Roman" w:cs="Times New Roman"/>
          <w:color w:val="000000" w:themeColor="text1"/>
        </w:rPr>
        <w:t>CML Rev.</w:t>
      </w:r>
      <w:r w:rsidR="00996C37"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(2012), </w:t>
      </w:r>
      <w:r w:rsidR="00996C37" w:rsidRPr="00EC1B43">
        <w:rPr>
          <w:rFonts w:ascii="Times New Roman" w:hAnsi="Times New Roman" w:cs="Times New Roman"/>
          <w:color w:val="000000" w:themeColor="text1"/>
        </w:rPr>
        <w:t>1319; de Gregorio Merino</w:t>
      </w:r>
      <w:r w:rsidR="00080AD3" w:rsidRPr="00EC1B43">
        <w:rPr>
          <w:rFonts w:ascii="Times New Roman" w:hAnsi="Times New Roman" w:cs="Times New Roman"/>
          <w:color w:val="000000" w:themeColor="text1"/>
        </w:rPr>
        <w:t>,</w:t>
      </w:r>
      <w:r w:rsidR="00996C37" w:rsidRPr="00EC1B43">
        <w:rPr>
          <w:rFonts w:ascii="Times New Roman" w:hAnsi="Times New Roman" w:cs="Times New Roman"/>
          <w:color w:val="000000" w:themeColor="text1"/>
        </w:rPr>
        <w:t xml:space="preserve"> 49 </w:t>
      </w:r>
      <w:r w:rsidR="00080AD3" w:rsidRPr="00EC1B43">
        <w:rPr>
          <w:rFonts w:ascii="Times New Roman" w:hAnsi="Times New Roman" w:cs="Times New Roman"/>
          <w:color w:val="000000" w:themeColor="text1"/>
        </w:rPr>
        <w:t>CML Rev.</w:t>
      </w:r>
      <w:r w:rsidR="00996C37"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(2012), </w:t>
      </w:r>
      <w:r w:rsidR="00996C37" w:rsidRPr="00EC1B43">
        <w:rPr>
          <w:rFonts w:ascii="Times New Roman" w:hAnsi="Times New Roman" w:cs="Times New Roman"/>
          <w:color w:val="000000" w:themeColor="text1"/>
        </w:rPr>
        <w:t>1613; Chiti and Gustavo Teixeira</w:t>
      </w:r>
      <w:r w:rsidR="00080AD3" w:rsidRPr="00EC1B43">
        <w:rPr>
          <w:rFonts w:ascii="Times New Roman" w:hAnsi="Times New Roman" w:cs="Times New Roman"/>
          <w:color w:val="000000" w:themeColor="text1"/>
        </w:rPr>
        <w:t>,</w:t>
      </w:r>
      <w:r w:rsidR="00996C37" w:rsidRPr="00EC1B43">
        <w:rPr>
          <w:rFonts w:ascii="Times New Roman" w:hAnsi="Times New Roman" w:cs="Times New Roman"/>
          <w:color w:val="000000" w:themeColor="text1"/>
        </w:rPr>
        <w:t xml:space="preserve"> </w:t>
      </w:r>
      <w:r w:rsidR="00EC03FC" w:rsidRPr="00EC1B43">
        <w:rPr>
          <w:rFonts w:ascii="Times New Roman" w:hAnsi="Times New Roman" w:cs="Times New Roman"/>
          <w:color w:val="000000" w:themeColor="text1"/>
        </w:rPr>
        <w:t xml:space="preserve">50 </w:t>
      </w:r>
      <w:r w:rsidR="00080AD3" w:rsidRPr="00EC1B43">
        <w:rPr>
          <w:rFonts w:ascii="Times New Roman" w:hAnsi="Times New Roman" w:cs="Times New Roman"/>
          <w:color w:val="000000" w:themeColor="text1"/>
        </w:rPr>
        <w:t>CML Rev.</w:t>
      </w:r>
      <w:r w:rsidR="00EC03F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(2013), </w:t>
      </w:r>
      <w:r w:rsidR="00EC03FC" w:rsidRPr="00EC1B43">
        <w:rPr>
          <w:rFonts w:ascii="Times New Roman" w:hAnsi="Times New Roman" w:cs="Times New Roman"/>
          <w:color w:val="000000" w:themeColor="text1"/>
        </w:rPr>
        <w:t xml:space="preserve">683; </w:t>
      </w:r>
      <w:proofErr w:type="spellStart"/>
      <w:r w:rsidR="00EC03FC" w:rsidRPr="00EC1B43">
        <w:rPr>
          <w:rFonts w:ascii="Times New Roman" w:hAnsi="Times New Roman" w:cs="Times New Roman"/>
          <w:color w:val="000000" w:themeColor="text1"/>
        </w:rPr>
        <w:t>Beukers</w:t>
      </w:r>
      <w:proofErr w:type="spellEnd"/>
      <w:r w:rsidR="00080AD3" w:rsidRPr="00EC1B43">
        <w:rPr>
          <w:rFonts w:ascii="Times New Roman" w:hAnsi="Times New Roman" w:cs="Times New Roman"/>
          <w:color w:val="000000" w:themeColor="text1"/>
        </w:rPr>
        <w:t>,</w:t>
      </w:r>
      <w:r w:rsidR="00EC03FC" w:rsidRPr="00EC1B43">
        <w:rPr>
          <w:rFonts w:ascii="Times New Roman" w:hAnsi="Times New Roman" w:cs="Times New Roman"/>
          <w:color w:val="000000" w:themeColor="text1"/>
        </w:rPr>
        <w:t xml:space="preserve"> 50 </w:t>
      </w:r>
      <w:r w:rsidR="00080AD3" w:rsidRPr="00EC1B43">
        <w:rPr>
          <w:rFonts w:ascii="Times New Roman" w:hAnsi="Times New Roman" w:cs="Times New Roman"/>
          <w:color w:val="000000" w:themeColor="text1"/>
        </w:rPr>
        <w:t>CML Rev.</w:t>
      </w:r>
      <w:r w:rsidR="00EC03F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(2013), </w:t>
      </w:r>
      <w:r w:rsidR="00EC03FC" w:rsidRPr="00EC1B43">
        <w:rPr>
          <w:rFonts w:ascii="Times New Roman" w:hAnsi="Times New Roman" w:cs="Times New Roman"/>
          <w:color w:val="000000" w:themeColor="text1"/>
        </w:rPr>
        <w:t xml:space="preserve">1579; </w:t>
      </w:r>
      <w:proofErr w:type="spellStart"/>
      <w:r w:rsidR="00EC03FC" w:rsidRPr="00EC1B43">
        <w:rPr>
          <w:rFonts w:ascii="Times New Roman" w:hAnsi="Times New Roman" w:cs="Times New Roman"/>
          <w:color w:val="000000" w:themeColor="text1"/>
        </w:rPr>
        <w:t>Hinarejos</w:t>
      </w:r>
      <w:proofErr w:type="spellEnd"/>
      <w:r w:rsidR="00080AD3" w:rsidRPr="00EC1B43">
        <w:rPr>
          <w:rFonts w:ascii="Times New Roman" w:hAnsi="Times New Roman" w:cs="Times New Roman"/>
          <w:color w:val="000000" w:themeColor="text1"/>
        </w:rPr>
        <w:t>,</w:t>
      </w:r>
      <w:r w:rsidR="00EC03FC" w:rsidRPr="00EC1B43">
        <w:rPr>
          <w:rFonts w:ascii="Times New Roman" w:hAnsi="Times New Roman" w:cs="Times New Roman"/>
          <w:color w:val="000000" w:themeColor="text1"/>
        </w:rPr>
        <w:t xml:space="preserve"> 50 </w:t>
      </w:r>
      <w:r w:rsidR="00080AD3" w:rsidRPr="00EC1B43">
        <w:rPr>
          <w:rFonts w:ascii="Times New Roman" w:hAnsi="Times New Roman" w:cs="Times New Roman"/>
          <w:color w:val="000000" w:themeColor="text1"/>
        </w:rPr>
        <w:t>CML Rev.</w:t>
      </w:r>
      <w:r w:rsidR="00EC03F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(2013), </w:t>
      </w:r>
      <w:r w:rsidR="00EC03FC" w:rsidRPr="00EC1B43">
        <w:rPr>
          <w:rFonts w:ascii="Times New Roman" w:hAnsi="Times New Roman" w:cs="Times New Roman"/>
          <w:color w:val="000000" w:themeColor="text1"/>
        </w:rPr>
        <w:t>1621</w:t>
      </w:r>
      <w:r w:rsidR="009C5815" w:rsidRPr="00EC1B43">
        <w:rPr>
          <w:rFonts w:ascii="Times New Roman" w:hAnsi="Times New Roman" w:cs="Times New Roman"/>
          <w:color w:val="000000" w:themeColor="text1"/>
        </w:rPr>
        <w:t>; Schwarz</w:t>
      </w:r>
      <w:r w:rsidR="00080AD3" w:rsidRPr="00EC1B43">
        <w:rPr>
          <w:rFonts w:ascii="Times New Roman" w:hAnsi="Times New Roman" w:cs="Times New Roman"/>
          <w:color w:val="000000" w:themeColor="text1"/>
        </w:rPr>
        <w:t>,</w:t>
      </w:r>
      <w:r w:rsidR="009C5815" w:rsidRPr="00EC1B43">
        <w:rPr>
          <w:rFonts w:ascii="Times New Roman" w:hAnsi="Times New Roman" w:cs="Times New Roman"/>
          <w:color w:val="000000" w:themeColor="text1"/>
        </w:rPr>
        <w:t xml:space="preserve"> 51 </w:t>
      </w:r>
      <w:r w:rsidR="00080AD3" w:rsidRPr="00EC1B43">
        <w:rPr>
          <w:rFonts w:ascii="Times New Roman" w:hAnsi="Times New Roman" w:cs="Times New Roman"/>
          <w:color w:val="000000" w:themeColor="text1"/>
        </w:rPr>
        <w:t>CML Rev.</w:t>
      </w:r>
      <w:r w:rsidR="009C5815"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(2014), </w:t>
      </w:r>
      <w:r w:rsidR="009C5815" w:rsidRPr="00EC1B43">
        <w:rPr>
          <w:rFonts w:ascii="Times New Roman" w:hAnsi="Times New Roman" w:cs="Times New Roman"/>
          <w:color w:val="000000" w:themeColor="text1"/>
        </w:rPr>
        <w:t xml:space="preserve">389; Wolfers and </w:t>
      </w:r>
      <w:proofErr w:type="spellStart"/>
      <w:r w:rsidR="009C5815" w:rsidRPr="00EC1B43">
        <w:rPr>
          <w:rFonts w:ascii="Times New Roman" w:hAnsi="Times New Roman" w:cs="Times New Roman"/>
          <w:color w:val="000000" w:themeColor="text1"/>
        </w:rPr>
        <w:t>Voland</w:t>
      </w:r>
      <w:proofErr w:type="spellEnd"/>
      <w:r w:rsidR="00080AD3" w:rsidRPr="00EC1B43">
        <w:rPr>
          <w:rFonts w:ascii="Times New Roman" w:hAnsi="Times New Roman" w:cs="Times New Roman"/>
          <w:color w:val="000000" w:themeColor="text1"/>
        </w:rPr>
        <w:t>,</w:t>
      </w:r>
      <w:r w:rsidR="009C5815" w:rsidRPr="00EC1B43">
        <w:rPr>
          <w:rFonts w:ascii="Times New Roman" w:hAnsi="Times New Roman" w:cs="Times New Roman"/>
          <w:color w:val="000000" w:themeColor="text1"/>
        </w:rPr>
        <w:t xml:space="preserve"> 51 </w:t>
      </w:r>
      <w:r w:rsidR="00080AD3" w:rsidRPr="00EC1B43">
        <w:rPr>
          <w:rFonts w:ascii="Times New Roman" w:hAnsi="Times New Roman" w:cs="Times New Roman"/>
          <w:color w:val="000000" w:themeColor="text1"/>
        </w:rPr>
        <w:t>CML Rev.</w:t>
      </w:r>
      <w:r w:rsidR="009C5815"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(2014), </w:t>
      </w:r>
      <w:r w:rsidR="009C5815" w:rsidRPr="00EC1B43">
        <w:rPr>
          <w:rFonts w:ascii="Times New Roman" w:hAnsi="Times New Roman" w:cs="Times New Roman"/>
          <w:color w:val="000000" w:themeColor="text1"/>
        </w:rPr>
        <w:t>1463; Moloney</w:t>
      </w:r>
      <w:r w:rsidR="00080AD3" w:rsidRPr="00EC1B43">
        <w:rPr>
          <w:rFonts w:ascii="Times New Roman" w:hAnsi="Times New Roman" w:cs="Times New Roman"/>
          <w:color w:val="000000" w:themeColor="text1"/>
        </w:rPr>
        <w:t>,</w:t>
      </w:r>
      <w:r w:rsidR="009C5815" w:rsidRPr="00EC1B43">
        <w:rPr>
          <w:rFonts w:ascii="Times New Roman" w:hAnsi="Times New Roman" w:cs="Times New Roman"/>
          <w:color w:val="000000" w:themeColor="text1"/>
        </w:rPr>
        <w:t xml:space="preserve"> 51 </w:t>
      </w:r>
      <w:r w:rsidR="00080AD3" w:rsidRPr="00EC1B43">
        <w:rPr>
          <w:rFonts w:ascii="Times New Roman" w:hAnsi="Times New Roman" w:cs="Times New Roman"/>
          <w:color w:val="000000" w:themeColor="text1"/>
        </w:rPr>
        <w:t>CML Rev.</w:t>
      </w:r>
      <w:r w:rsidR="009C5815"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(2014), </w:t>
      </w:r>
      <w:r w:rsidR="009C5815" w:rsidRPr="00EC1B43">
        <w:rPr>
          <w:rFonts w:ascii="Times New Roman" w:hAnsi="Times New Roman" w:cs="Times New Roman"/>
          <w:color w:val="000000" w:themeColor="text1"/>
        </w:rPr>
        <w:t>1609; Adamski</w:t>
      </w:r>
      <w:r w:rsidR="00080AD3" w:rsidRPr="00EC1B43">
        <w:rPr>
          <w:rFonts w:ascii="Times New Roman" w:hAnsi="Times New Roman" w:cs="Times New Roman"/>
          <w:color w:val="000000" w:themeColor="text1"/>
        </w:rPr>
        <w:t>,</w:t>
      </w:r>
      <w:r w:rsidR="009C5815" w:rsidRPr="00EC1B43">
        <w:rPr>
          <w:rFonts w:ascii="Times New Roman" w:hAnsi="Times New Roman" w:cs="Times New Roman"/>
          <w:color w:val="000000" w:themeColor="text1"/>
        </w:rPr>
        <w:t xml:space="preserve"> 52 </w:t>
      </w:r>
      <w:r w:rsidR="00080AD3" w:rsidRPr="00EC1B43">
        <w:rPr>
          <w:rFonts w:ascii="Times New Roman" w:hAnsi="Times New Roman" w:cs="Times New Roman"/>
          <w:color w:val="000000" w:themeColor="text1"/>
        </w:rPr>
        <w:t>CML Rev.</w:t>
      </w:r>
      <w:r w:rsidR="009C5815"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(2015), </w:t>
      </w:r>
      <w:r w:rsidR="00DA1E41" w:rsidRPr="00EC1B43">
        <w:rPr>
          <w:rFonts w:ascii="Times New Roman" w:hAnsi="Times New Roman" w:cs="Times New Roman"/>
          <w:color w:val="000000" w:themeColor="text1"/>
        </w:rPr>
        <w:t>1451; Borger</w:t>
      </w:r>
      <w:r w:rsidR="00080AD3" w:rsidRPr="00EC1B43">
        <w:rPr>
          <w:rFonts w:ascii="Times New Roman" w:hAnsi="Times New Roman" w:cs="Times New Roman"/>
          <w:color w:val="000000" w:themeColor="text1"/>
        </w:rPr>
        <w:t xml:space="preserve">, </w:t>
      </w:r>
      <w:r w:rsidR="00DA1E41" w:rsidRPr="00EC1B43">
        <w:rPr>
          <w:rFonts w:ascii="Times New Roman" w:hAnsi="Times New Roman" w:cs="Times New Roman"/>
          <w:color w:val="000000" w:themeColor="text1"/>
        </w:rPr>
        <w:t xml:space="preserve">53 </w:t>
      </w:r>
      <w:r w:rsidR="00080AD3" w:rsidRPr="00EC1B43">
        <w:rPr>
          <w:rFonts w:ascii="Times New Roman" w:hAnsi="Times New Roman" w:cs="Times New Roman"/>
          <w:color w:val="000000" w:themeColor="text1"/>
        </w:rPr>
        <w:t>CML Rev.</w:t>
      </w:r>
      <w:r w:rsidR="00DA1E41"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(2016), </w:t>
      </w:r>
      <w:r w:rsidR="00DA1E41" w:rsidRPr="00EC1B43">
        <w:rPr>
          <w:rFonts w:ascii="Times New Roman" w:hAnsi="Times New Roman" w:cs="Times New Roman"/>
          <w:color w:val="000000" w:themeColor="text1"/>
        </w:rPr>
        <w:t>139; Steinbach</w:t>
      </w:r>
      <w:r w:rsidR="00080AD3" w:rsidRPr="00EC1B43">
        <w:rPr>
          <w:rFonts w:ascii="Times New Roman" w:hAnsi="Times New Roman" w:cs="Times New Roman"/>
          <w:color w:val="000000" w:themeColor="text1"/>
        </w:rPr>
        <w:t>,</w:t>
      </w:r>
      <w:r w:rsidR="00DA1E41"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DA1E41"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(2016), </w:t>
      </w:r>
      <w:r w:rsidR="00DA1E41" w:rsidRPr="00EC1B43">
        <w:rPr>
          <w:rFonts w:ascii="Times New Roman" w:hAnsi="Times New Roman" w:cs="Times New Roman"/>
          <w:color w:val="000000" w:themeColor="text1"/>
        </w:rPr>
        <w:t>361</w:t>
      </w:r>
      <w:r w:rsidR="002F7EC4" w:rsidRPr="00EC1B43">
        <w:rPr>
          <w:rFonts w:ascii="Times New Roman" w:hAnsi="Times New Roman" w:cs="Times New Roman"/>
          <w:color w:val="000000" w:themeColor="text1"/>
        </w:rPr>
        <w:t>; Ioannidis</w:t>
      </w:r>
      <w:r w:rsidR="00080AD3" w:rsidRPr="00EC1B43">
        <w:rPr>
          <w:rFonts w:ascii="Times New Roman" w:hAnsi="Times New Roman" w:cs="Times New Roman"/>
          <w:color w:val="000000" w:themeColor="text1"/>
        </w:rPr>
        <w:t>,</w:t>
      </w:r>
      <w:r w:rsidR="002F7EC4"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2F7EC4"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(2016), </w:t>
      </w:r>
      <w:r w:rsidR="002F7EC4" w:rsidRPr="00EC1B43">
        <w:rPr>
          <w:rFonts w:ascii="Times New Roman" w:hAnsi="Times New Roman" w:cs="Times New Roman"/>
          <w:color w:val="000000" w:themeColor="text1"/>
        </w:rPr>
        <w:t>1237</w:t>
      </w:r>
      <w:r w:rsidR="00DF0AAB" w:rsidRPr="00EC1B43">
        <w:rPr>
          <w:rFonts w:ascii="Times New Roman" w:hAnsi="Times New Roman" w:cs="Times New Roman"/>
          <w:color w:val="000000" w:themeColor="text1"/>
        </w:rPr>
        <w:t xml:space="preserve">; Dawson and </w:t>
      </w:r>
      <w:proofErr w:type="spellStart"/>
      <w:r w:rsidR="00DF0AAB" w:rsidRPr="00EC1B43">
        <w:rPr>
          <w:rFonts w:ascii="Times New Roman" w:hAnsi="Times New Roman" w:cs="Times New Roman"/>
          <w:color w:val="000000" w:themeColor="text1"/>
        </w:rPr>
        <w:t>Bobic</w:t>
      </w:r>
      <w:proofErr w:type="spellEnd"/>
      <w:r w:rsidR="00080AD3" w:rsidRPr="00EC1B43">
        <w:rPr>
          <w:rFonts w:ascii="Times New Roman" w:hAnsi="Times New Roman" w:cs="Times New Roman"/>
          <w:color w:val="000000" w:themeColor="text1"/>
        </w:rPr>
        <w:t>,</w:t>
      </w:r>
      <w:r w:rsidR="00DF0AAB" w:rsidRPr="00EC1B43">
        <w:rPr>
          <w:rFonts w:ascii="Times New Roman" w:hAnsi="Times New Roman" w:cs="Times New Roman"/>
          <w:color w:val="000000" w:themeColor="text1"/>
        </w:rPr>
        <w:t xml:space="preserve"> 56 </w:t>
      </w:r>
      <w:r w:rsidR="00080AD3" w:rsidRPr="00EC1B43">
        <w:rPr>
          <w:rFonts w:ascii="Times New Roman" w:hAnsi="Times New Roman" w:cs="Times New Roman"/>
          <w:color w:val="000000" w:themeColor="text1"/>
        </w:rPr>
        <w:t>CML Rev.</w:t>
      </w:r>
      <w:r w:rsidR="00DF0AAB"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(2019), </w:t>
      </w:r>
      <w:r w:rsidR="00DF0AAB" w:rsidRPr="00EC1B43">
        <w:rPr>
          <w:rFonts w:ascii="Times New Roman" w:hAnsi="Times New Roman" w:cs="Times New Roman"/>
          <w:color w:val="000000" w:themeColor="text1"/>
        </w:rPr>
        <w:t>1005</w:t>
      </w:r>
      <w:r w:rsidR="00773D8C" w:rsidRPr="00EC1B43">
        <w:rPr>
          <w:rFonts w:ascii="Times New Roman" w:hAnsi="Times New Roman" w:cs="Times New Roman"/>
          <w:color w:val="000000" w:themeColor="text1"/>
        </w:rPr>
        <w:t xml:space="preserve">; de Boer and van ’t </w:t>
      </w:r>
      <w:proofErr w:type="spellStart"/>
      <w:r w:rsidR="00773D8C" w:rsidRPr="00EC1B43">
        <w:rPr>
          <w:rFonts w:ascii="Times New Roman" w:hAnsi="Times New Roman" w:cs="Times New Roman"/>
          <w:color w:val="000000" w:themeColor="text1"/>
        </w:rPr>
        <w:t>Klooster</w:t>
      </w:r>
      <w:proofErr w:type="spellEnd"/>
      <w:r w:rsidR="00080AD3" w:rsidRPr="00EC1B43">
        <w:rPr>
          <w:rFonts w:ascii="Times New Roman" w:hAnsi="Times New Roman" w:cs="Times New Roman"/>
          <w:color w:val="000000" w:themeColor="text1"/>
        </w:rPr>
        <w:t>,</w:t>
      </w:r>
      <w:r w:rsidR="00773D8C" w:rsidRPr="00EC1B43">
        <w:rPr>
          <w:rFonts w:ascii="Times New Roman" w:hAnsi="Times New Roman" w:cs="Times New Roman"/>
          <w:color w:val="000000" w:themeColor="text1"/>
        </w:rPr>
        <w:t xml:space="preserve"> 57 </w:t>
      </w:r>
      <w:r w:rsidR="00080AD3" w:rsidRPr="00EC1B43">
        <w:rPr>
          <w:rFonts w:ascii="Times New Roman" w:hAnsi="Times New Roman" w:cs="Times New Roman"/>
          <w:color w:val="000000" w:themeColor="text1"/>
        </w:rPr>
        <w:t>CML Rev.</w:t>
      </w:r>
      <w:r w:rsidR="00773D8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(2020), </w:t>
      </w:r>
      <w:r w:rsidR="00773D8C" w:rsidRPr="00EC1B43">
        <w:rPr>
          <w:rFonts w:ascii="Times New Roman" w:hAnsi="Times New Roman" w:cs="Times New Roman"/>
          <w:color w:val="000000" w:themeColor="text1"/>
        </w:rPr>
        <w:t>1689</w:t>
      </w:r>
      <w:r w:rsidR="006F1E1E" w:rsidRPr="00EC1B43">
        <w:rPr>
          <w:rFonts w:ascii="Times New Roman" w:hAnsi="Times New Roman" w:cs="Times New Roman"/>
          <w:color w:val="000000" w:themeColor="text1"/>
        </w:rPr>
        <w:t>.</w:t>
      </w:r>
    </w:p>
  </w:footnote>
  <w:footnote w:id="37">
    <w:p w14:paraId="0297A850" w14:textId="44BB2B3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9C5815" w:rsidRPr="00EC1B43">
        <w:rPr>
          <w:rFonts w:ascii="Times New Roman" w:hAnsi="Times New Roman" w:cs="Times New Roman"/>
          <w:color w:val="000000" w:themeColor="text1"/>
        </w:rPr>
        <w:t>Again, the subject of extensive analysis in this Review.  Consider</w:t>
      </w:r>
      <w:proofErr w:type="gramStart"/>
      <w:r w:rsidR="009C5815" w:rsidRPr="00EC1B43">
        <w:rPr>
          <w:rFonts w:ascii="Times New Roman" w:hAnsi="Times New Roman" w:cs="Times New Roman"/>
          <w:color w:val="000000" w:themeColor="text1"/>
        </w:rPr>
        <w:t>, in particular, the</w:t>
      </w:r>
      <w:proofErr w:type="gramEnd"/>
      <w:r w:rsidR="009C5815" w:rsidRPr="00EC1B43">
        <w:rPr>
          <w:rFonts w:ascii="Times New Roman" w:hAnsi="Times New Roman" w:cs="Times New Roman"/>
          <w:color w:val="000000" w:themeColor="text1"/>
        </w:rPr>
        <w:t xml:space="preserve"> significant contributions by </w:t>
      </w:r>
      <w:proofErr w:type="spellStart"/>
      <w:r w:rsidR="009C5815" w:rsidRPr="00EC1B43">
        <w:rPr>
          <w:rFonts w:ascii="Times New Roman" w:hAnsi="Times New Roman" w:cs="Times New Roman"/>
          <w:color w:val="000000" w:themeColor="text1"/>
        </w:rPr>
        <w:t>Cornelisse</w:t>
      </w:r>
      <w:proofErr w:type="spellEnd"/>
      <w:r w:rsidR="00080AD3" w:rsidRPr="00EC1B43">
        <w:rPr>
          <w:rFonts w:ascii="Times New Roman" w:hAnsi="Times New Roman" w:cs="Times New Roman"/>
          <w:color w:val="000000" w:themeColor="text1"/>
        </w:rPr>
        <w:t>,</w:t>
      </w:r>
      <w:r w:rsidR="009C5815" w:rsidRPr="00EC1B43">
        <w:rPr>
          <w:rFonts w:ascii="Times New Roman" w:hAnsi="Times New Roman" w:cs="Times New Roman"/>
          <w:color w:val="000000" w:themeColor="text1"/>
        </w:rPr>
        <w:t xml:space="preserve"> 51 </w:t>
      </w:r>
      <w:r w:rsidR="00080AD3" w:rsidRPr="00EC1B43">
        <w:rPr>
          <w:rFonts w:ascii="Times New Roman" w:hAnsi="Times New Roman" w:cs="Times New Roman"/>
          <w:color w:val="000000" w:themeColor="text1"/>
        </w:rPr>
        <w:t>CML Rev.</w:t>
      </w:r>
      <w:r w:rsidR="009C5815"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(2014), </w:t>
      </w:r>
      <w:r w:rsidR="009C5815" w:rsidRPr="00EC1B43">
        <w:rPr>
          <w:rFonts w:ascii="Times New Roman" w:hAnsi="Times New Roman" w:cs="Times New Roman"/>
          <w:color w:val="000000" w:themeColor="text1"/>
        </w:rPr>
        <w:t>741</w:t>
      </w:r>
      <w:r w:rsidR="00DA1E41" w:rsidRPr="00EC1B43">
        <w:rPr>
          <w:rFonts w:ascii="Times New Roman" w:hAnsi="Times New Roman" w:cs="Times New Roman"/>
          <w:color w:val="000000" w:themeColor="text1"/>
        </w:rPr>
        <w:t>; Editorial Comments</w:t>
      </w:r>
      <w:r w:rsidR="00080AD3" w:rsidRPr="00EC1B43">
        <w:rPr>
          <w:rFonts w:ascii="Times New Roman" w:hAnsi="Times New Roman" w:cs="Times New Roman"/>
          <w:color w:val="000000" w:themeColor="text1"/>
        </w:rPr>
        <w:t>,</w:t>
      </w:r>
      <w:r w:rsidR="00DA1E41" w:rsidRPr="00EC1B43">
        <w:rPr>
          <w:rFonts w:ascii="Times New Roman" w:hAnsi="Times New Roman" w:cs="Times New Roman"/>
          <w:color w:val="000000" w:themeColor="text1"/>
        </w:rPr>
        <w:t xml:space="preserve"> 52 </w:t>
      </w:r>
      <w:r w:rsidR="00080AD3" w:rsidRPr="00EC1B43">
        <w:rPr>
          <w:rFonts w:ascii="Times New Roman" w:hAnsi="Times New Roman" w:cs="Times New Roman"/>
          <w:color w:val="000000" w:themeColor="text1"/>
        </w:rPr>
        <w:t>CML Rev.</w:t>
      </w:r>
      <w:r w:rsidR="00DA1E41"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(2015), </w:t>
      </w:r>
      <w:r w:rsidR="00DA1E41" w:rsidRPr="00EC1B43">
        <w:rPr>
          <w:rFonts w:ascii="Times New Roman" w:hAnsi="Times New Roman" w:cs="Times New Roman"/>
          <w:color w:val="000000" w:themeColor="text1"/>
        </w:rPr>
        <w:t xml:space="preserve">1437; den </w:t>
      </w:r>
      <w:proofErr w:type="spellStart"/>
      <w:r w:rsidR="00DA1E41" w:rsidRPr="00EC1B43">
        <w:rPr>
          <w:rFonts w:ascii="Times New Roman" w:hAnsi="Times New Roman" w:cs="Times New Roman"/>
          <w:color w:val="000000" w:themeColor="text1"/>
        </w:rPr>
        <w:t>Heijer</w:t>
      </w:r>
      <w:proofErr w:type="spellEnd"/>
      <w:r w:rsidR="00DA1E41" w:rsidRPr="00EC1B43">
        <w:rPr>
          <w:rFonts w:ascii="Times New Roman" w:hAnsi="Times New Roman" w:cs="Times New Roman"/>
          <w:color w:val="000000" w:themeColor="text1"/>
        </w:rPr>
        <w:t xml:space="preserve">, </w:t>
      </w:r>
      <w:proofErr w:type="spellStart"/>
      <w:r w:rsidR="00DA1E41" w:rsidRPr="00EC1B43">
        <w:rPr>
          <w:rFonts w:ascii="Times New Roman" w:hAnsi="Times New Roman" w:cs="Times New Roman"/>
          <w:color w:val="000000" w:themeColor="text1"/>
        </w:rPr>
        <w:t>Rijpma</w:t>
      </w:r>
      <w:proofErr w:type="spellEnd"/>
      <w:r w:rsidR="00DA1E41" w:rsidRPr="00EC1B43">
        <w:rPr>
          <w:rFonts w:ascii="Times New Roman" w:hAnsi="Times New Roman" w:cs="Times New Roman"/>
          <w:color w:val="000000" w:themeColor="text1"/>
        </w:rPr>
        <w:t xml:space="preserve"> and </w:t>
      </w:r>
      <w:proofErr w:type="spellStart"/>
      <w:r w:rsidR="00DA1E41" w:rsidRPr="00EC1B43">
        <w:rPr>
          <w:rFonts w:ascii="Times New Roman" w:hAnsi="Times New Roman" w:cs="Times New Roman"/>
          <w:color w:val="000000" w:themeColor="text1"/>
        </w:rPr>
        <w:t>Spijkerboer</w:t>
      </w:r>
      <w:proofErr w:type="spellEnd"/>
      <w:r w:rsidR="00080AD3" w:rsidRPr="00EC1B43">
        <w:rPr>
          <w:rFonts w:ascii="Times New Roman" w:hAnsi="Times New Roman" w:cs="Times New Roman"/>
          <w:color w:val="000000" w:themeColor="text1"/>
        </w:rPr>
        <w:t>,</w:t>
      </w:r>
      <w:r w:rsidR="00DA1E41"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DA1E41"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(2016), </w:t>
      </w:r>
      <w:r w:rsidR="00DA1E41" w:rsidRPr="00EC1B43">
        <w:rPr>
          <w:rFonts w:ascii="Times New Roman" w:hAnsi="Times New Roman" w:cs="Times New Roman"/>
          <w:color w:val="000000" w:themeColor="text1"/>
        </w:rPr>
        <w:t>607</w:t>
      </w:r>
      <w:r w:rsidR="002F7EC4" w:rsidRPr="00EC1B43">
        <w:rPr>
          <w:rFonts w:ascii="Times New Roman" w:hAnsi="Times New Roman" w:cs="Times New Roman"/>
          <w:color w:val="000000" w:themeColor="text1"/>
        </w:rPr>
        <w:t xml:space="preserve">; </w:t>
      </w:r>
      <w:proofErr w:type="spellStart"/>
      <w:r w:rsidR="002F7EC4" w:rsidRPr="00EC1B43">
        <w:rPr>
          <w:rFonts w:ascii="Times New Roman" w:hAnsi="Times New Roman" w:cs="Times New Roman"/>
          <w:color w:val="000000" w:themeColor="text1"/>
        </w:rPr>
        <w:t>Thym</w:t>
      </w:r>
      <w:proofErr w:type="spellEnd"/>
      <w:r w:rsidR="00080AD3" w:rsidRPr="00EC1B43">
        <w:rPr>
          <w:rFonts w:ascii="Times New Roman" w:hAnsi="Times New Roman" w:cs="Times New Roman"/>
          <w:color w:val="000000" w:themeColor="text1"/>
        </w:rPr>
        <w:t>,</w:t>
      </w:r>
      <w:r w:rsidR="002F7EC4"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2F7EC4"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(2016), </w:t>
      </w:r>
      <w:r w:rsidR="002F7EC4" w:rsidRPr="00EC1B43">
        <w:rPr>
          <w:rFonts w:ascii="Times New Roman" w:hAnsi="Times New Roman" w:cs="Times New Roman"/>
          <w:color w:val="000000" w:themeColor="text1"/>
        </w:rPr>
        <w:t>1545</w:t>
      </w:r>
      <w:r w:rsidR="00DF0AAB" w:rsidRPr="00EC1B43">
        <w:rPr>
          <w:rFonts w:ascii="Times New Roman" w:hAnsi="Times New Roman" w:cs="Times New Roman"/>
          <w:color w:val="000000" w:themeColor="text1"/>
        </w:rPr>
        <w:t xml:space="preserve">; de Witte and </w:t>
      </w:r>
      <w:proofErr w:type="spellStart"/>
      <w:r w:rsidR="00DF0AAB" w:rsidRPr="00EC1B43">
        <w:rPr>
          <w:rFonts w:ascii="Times New Roman" w:hAnsi="Times New Roman" w:cs="Times New Roman"/>
          <w:color w:val="000000" w:themeColor="text1"/>
        </w:rPr>
        <w:t>Tsourdi</w:t>
      </w:r>
      <w:proofErr w:type="spellEnd"/>
      <w:r w:rsidR="00080AD3" w:rsidRPr="00EC1B43">
        <w:rPr>
          <w:rFonts w:ascii="Times New Roman" w:hAnsi="Times New Roman" w:cs="Times New Roman"/>
          <w:color w:val="000000" w:themeColor="text1"/>
        </w:rPr>
        <w:t>,</w:t>
      </w:r>
      <w:r w:rsidR="00DF0AAB" w:rsidRPr="00EC1B43">
        <w:rPr>
          <w:rFonts w:ascii="Times New Roman" w:hAnsi="Times New Roman" w:cs="Times New Roman"/>
          <w:color w:val="000000" w:themeColor="text1"/>
        </w:rPr>
        <w:t xml:space="preserve"> 55 </w:t>
      </w:r>
      <w:r w:rsidR="00080AD3" w:rsidRPr="00EC1B43">
        <w:rPr>
          <w:rFonts w:ascii="Times New Roman" w:hAnsi="Times New Roman" w:cs="Times New Roman"/>
          <w:color w:val="000000" w:themeColor="text1"/>
        </w:rPr>
        <w:t>CML Rev.</w:t>
      </w:r>
      <w:r w:rsidR="00DF0AAB"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(2018), </w:t>
      </w:r>
      <w:r w:rsidR="00DF0AAB" w:rsidRPr="00EC1B43">
        <w:rPr>
          <w:rFonts w:ascii="Times New Roman" w:hAnsi="Times New Roman" w:cs="Times New Roman"/>
          <w:color w:val="000000" w:themeColor="text1"/>
        </w:rPr>
        <w:t>1457</w:t>
      </w:r>
      <w:r w:rsidR="009C5815" w:rsidRPr="00EC1B43">
        <w:rPr>
          <w:rFonts w:ascii="Times New Roman" w:hAnsi="Times New Roman" w:cs="Times New Roman"/>
          <w:color w:val="000000" w:themeColor="text1"/>
        </w:rPr>
        <w:t>.</w:t>
      </w:r>
    </w:p>
  </w:footnote>
  <w:footnote w:id="38">
    <w:p w14:paraId="119CAADB" w14:textId="53883276"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DF0AAB" w:rsidRPr="00EC1B43">
        <w:rPr>
          <w:rFonts w:ascii="Times New Roman" w:hAnsi="Times New Roman" w:cs="Times New Roman"/>
          <w:color w:val="000000" w:themeColor="text1"/>
        </w:rPr>
        <w:t xml:space="preserve">Once more, an important topic for research in the pages of this Review.  Consider, </w:t>
      </w:r>
      <w:proofErr w:type="gramStart"/>
      <w:r w:rsidR="00DF0AAB" w:rsidRPr="00EC1B43">
        <w:rPr>
          <w:rFonts w:ascii="Times New Roman" w:hAnsi="Times New Roman" w:cs="Times New Roman"/>
          <w:color w:val="000000" w:themeColor="text1"/>
        </w:rPr>
        <w:t>e.g.</w:t>
      </w:r>
      <w:proofErr w:type="gramEnd"/>
      <w:r w:rsidR="00DF0AAB" w:rsidRPr="00EC1B43">
        <w:rPr>
          <w:rFonts w:ascii="Times New Roman" w:hAnsi="Times New Roman" w:cs="Times New Roman"/>
          <w:color w:val="000000" w:themeColor="text1"/>
        </w:rPr>
        <w:t xml:space="preserve"> Editorial Comments</w:t>
      </w:r>
      <w:r w:rsidR="00080AD3" w:rsidRPr="00EC1B43">
        <w:rPr>
          <w:rFonts w:ascii="Times New Roman" w:hAnsi="Times New Roman" w:cs="Times New Roman"/>
          <w:color w:val="000000" w:themeColor="text1"/>
        </w:rPr>
        <w:t>,</w:t>
      </w:r>
      <w:r w:rsidR="00DF0AAB" w:rsidRPr="00EC1B43">
        <w:rPr>
          <w:rFonts w:ascii="Times New Roman" w:hAnsi="Times New Roman" w:cs="Times New Roman"/>
          <w:color w:val="000000" w:themeColor="text1"/>
        </w:rPr>
        <w:t xml:space="preserve"> </w:t>
      </w:r>
      <w:r w:rsidR="00773D8C" w:rsidRPr="00EC1B43">
        <w:rPr>
          <w:rFonts w:ascii="Times New Roman" w:hAnsi="Times New Roman" w:cs="Times New Roman"/>
          <w:color w:val="000000" w:themeColor="text1"/>
        </w:rPr>
        <w:t xml:space="preserve">57 </w:t>
      </w:r>
      <w:r w:rsidR="00080AD3" w:rsidRPr="00EC1B43">
        <w:rPr>
          <w:rFonts w:ascii="Times New Roman" w:hAnsi="Times New Roman" w:cs="Times New Roman"/>
          <w:color w:val="000000" w:themeColor="text1"/>
        </w:rPr>
        <w:t>CML Rev.</w:t>
      </w:r>
      <w:r w:rsidR="00773D8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(2020), </w:t>
      </w:r>
      <w:r w:rsidR="00773D8C" w:rsidRPr="00EC1B43">
        <w:rPr>
          <w:rFonts w:ascii="Times New Roman" w:hAnsi="Times New Roman" w:cs="Times New Roman"/>
          <w:color w:val="000000" w:themeColor="text1"/>
        </w:rPr>
        <w:t>619; Sokol</w:t>
      </w:r>
      <w:r w:rsidR="00080AD3" w:rsidRPr="00EC1B43">
        <w:rPr>
          <w:rFonts w:ascii="Times New Roman" w:hAnsi="Times New Roman" w:cs="Times New Roman"/>
          <w:color w:val="000000" w:themeColor="text1"/>
        </w:rPr>
        <w:t>,</w:t>
      </w:r>
      <w:r w:rsidR="00773D8C" w:rsidRPr="00EC1B43">
        <w:rPr>
          <w:rFonts w:ascii="Times New Roman" w:hAnsi="Times New Roman" w:cs="Times New Roman"/>
          <w:color w:val="000000" w:themeColor="text1"/>
        </w:rPr>
        <w:t xml:space="preserve"> 57 </w:t>
      </w:r>
      <w:r w:rsidR="00080AD3" w:rsidRPr="00EC1B43">
        <w:rPr>
          <w:rFonts w:ascii="Times New Roman" w:hAnsi="Times New Roman" w:cs="Times New Roman"/>
          <w:color w:val="000000" w:themeColor="text1"/>
        </w:rPr>
        <w:t>CML Rev.</w:t>
      </w:r>
      <w:r w:rsidR="00773D8C"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(2020), </w:t>
      </w:r>
      <w:r w:rsidR="00773D8C" w:rsidRPr="00EC1B43">
        <w:rPr>
          <w:rFonts w:ascii="Times New Roman" w:hAnsi="Times New Roman" w:cs="Times New Roman"/>
          <w:color w:val="000000" w:themeColor="text1"/>
        </w:rPr>
        <w:t>1819</w:t>
      </w:r>
      <w:r w:rsidR="00C770C6" w:rsidRPr="00EC1B43">
        <w:rPr>
          <w:rFonts w:ascii="Times New Roman" w:hAnsi="Times New Roman" w:cs="Times New Roman"/>
          <w:color w:val="000000" w:themeColor="text1"/>
        </w:rPr>
        <w:t>; de Witte</w:t>
      </w:r>
      <w:r w:rsidR="00080AD3" w:rsidRPr="00EC1B43">
        <w:rPr>
          <w:rFonts w:ascii="Times New Roman" w:hAnsi="Times New Roman" w:cs="Times New Roman"/>
          <w:color w:val="000000" w:themeColor="text1"/>
        </w:rPr>
        <w:t>,</w:t>
      </w:r>
      <w:r w:rsidR="00C770C6" w:rsidRPr="00EC1B43">
        <w:rPr>
          <w:rFonts w:ascii="Times New Roman" w:hAnsi="Times New Roman" w:cs="Times New Roman"/>
          <w:color w:val="000000" w:themeColor="text1"/>
        </w:rPr>
        <w:t xml:space="preserve"> 58 </w:t>
      </w:r>
      <w:r w:rsidR="00080AD3" w:rsidRPr="00EC1B43">
        <w:rPr>
          <w:rFonts w:ascii="Times New Roman" w:hAnsi="Times New Roman" w:cs="Times New Roman"/>
          <w:color w:val="000000" w:themeColor="text1"/>
        </w:rPr>
        <w:t>CML Rev.</w:t>
      </w:r>
      <w:r w:rsidR="00C770C6"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(2021), </w:t>
      </w:r>
      <w:r w:rsidR="00C770C6" w:rsidRPr="00EC1B43">
        <w:rPr>
          <w:rFonts w:ascii="Times New Roman" w:hAnsi="Times New Roman" w:cs="Times New Roman"/>
          <w:color w:val="000000" w:themeColor="text1"/>
        </w:rPr>
        <w:t>635</w:t>
      </w:r>
      <w:r w:rsidR="00201658" w:rsidRPr="00EC1B43">
        <w:rPr>
          <w:rFonts w:ascii="Times New Roman" w:hAnsi="Times New Roman" w:cs="Times New Roman"/>
          <w:color w:val="000000" w:themeColor="text1"/>
        </w:rPr>
        <w:t xml:space="preserve">; </w:t>
      </w:r>
      <w:proofErr w:type="spellStart"/>
      <w:r w:rsidR="00201658" w:rsidRPr="00EC1B43">
        <w:rPr>
          <w:rFonts w:ascii="Times New Roman" w:hAnsi="Times New Roman" w:cs="Times New Roman"/>
          <w:color w:val="000000" w:themeColor="text1"/>
        </w:rPr>
        <w:t>Leino</w:t>
      </w:r>
      <w:proofErr w:type="spellEnd"/>
      <w:r w:rsidR="00201658" w:rsidRPr="00EC1B43">
        <w:rPr>
          <w:rFonts w:ascii="Times New Roman" w:hAnsi="Times New Roman" w:cs="Times New Roman"/>
          <w:color w:val="000000" w:themeColor="text1"/>
        </w:rPr>
        <w:t xml:space="preserve">-Sandberg and </w:t>
      </w:r>
      <w:proofErr w:type="spellStart"/>
      <w:r w:rsidR="00201658" w:rsidRPr="00EC1B43">
        <w:rPr>
          <w:rFonts w:ascii="Times New Roman" w:hAnsi="Times New Roman" w:cs="Times New Roman"/>
          <w:color w:val="000000" w:themeColor="text1"/>
        </w:rPr>
        <w:t>Ruffert</w:t>
      </w:r>
      <w:proofErr w:type="spellEnd"/>
      <w:r w:rsidR="00080AD3" w:rsidRPr="00EC1B43">
        <w:rPr>
          <w:rFonts w:ascii="Times New Roman" w:hAnsi="Times New Roman" w:cs="Times New Roman"/>
          <w:color w:val="000000" w:themeColor="text1"/>
        </w:rPr>
        <w:t>,</w:t>
      </w:r>
      <w:r w:rsidR="00201658"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201658"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(2022), </w:t>
      </w:r>
      <w:r w:rsidR="00201658" w:rsidRPr="00EC1B43">
        <w:rPr>
          <w:rFonts w:ascii="Times New Roman" w:hAnsi="Times New Roman" w:cs="Times New Roman"/>
          <w:color w:val="000000" w:themeColor="text1"/>
        </w:rPr>
        <w:t>433</w:t>
      </w:r>
      <w:r w:rsidR="00B632C0" w:rsidRPr="00EC1B43">
        <w:rPr>
          <w:rFonts w:ascii="Times New Roman" w:hAnsi="Times New Roman" w:cs="Times New Roman"/>
          <w:color w:val="000000" w:themeColor="text1"/>
        </w:rPr>
        <w:t>; Petti</w:t>
      </w:r>
      <w:r w:rsidR="00080AD3" w:rsidRPr="00EC1B43">
        <w:rPr>
          <w:rFonts w:ascii="Times New Roman" w:hAnsi="Times New Roman" w:cs="Times New Roman"/>
          <w:color w:val="000000" w:themeColor="text1"/>
        </w:rPr>
        <w:t>,</w:t>
      </w:r>
      <w:r w:rsidR="00B632C0"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B632C0"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(2022), </w:t>
      </w:r>
      <w:r w:rsidR="00B632C0" w:rsidRPr="00EC1B43">
        <w:rPr>
          <w:rFonts w:ascii="Times New Roman" w:hAnsi="Times New Roman" w:cs="Times New Roman"/>
          <w:color w:val="000000" w:themeColor="text1"/>
        </w:rPr>
        <w:t>1333</w:t>
      </w:r>
      <w:r w:rsidR="00773D8C" w:rsidRPr="00EC1B43">
        <w:rPr>
          <w:rFonts w:ascii="Times New Roman" w:hAnsi="Times New Roman" w:cs="Times New Roman"/>
          <w:color w:val="000000" w:themeColor="text1"/>
        </w:rPr>
        <w:t xml:space="preserve">.  </w:t>
      </w:r>
    </w:p>
  </w:footnote>
  <w:footnote w:id="39">
    <w:p w14:paraId="2A57DEAF" w14:textId="35C5E06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B632C0" w:rsidRPr="00EC1B43">
        <w:rPr>
          <w:rFonts w:ascii="Times New Roman" w:hAnsi="Times New Roman" w:cs="Times New Roman"/>
          <w:color w:val="000000" w:themeColor="text1"/>
        </w:rPr>
        <w:t xml:space="preserve">Consider, already in this Review, </w:t>
      </w:r>
      <w:proofErr w:type="gramStart"/>
      <w:r w:rsidR="00B632C0" w:rsidRPr="00EC1B43">
        <w:rPr>
          <w:rFonts w:ascii="Times New Roman" w:hAnsi="Times New Roman" w:cs="Times New Roman"/>
          <w:color w:val="000000" w:themeColor="text1"/>
        </w:rPr>
        <w:t>e.g.</w:t>
      </w:r>
      <w:proofErr w:type="gramEnd"/>
      <w:r w:rsidR="00B632C0" w:rsidRPr="00EC1B43">
        <w:rPr>
          <w:rFonts w:ascii="Times New Roman" w:hAnsi="Times New Roman" w:cs="Times New Roman"/>
          <w:color w:val="000000" w:themeColor="text1"/>
        </w:rPr>
        <w:t xml:space="preserve"> Editorial Comments</w:t>
      </w:r>
      <w:r w:rsidR="00080AD3" w:rsidRPr="00EC1B43">
        <w:rPr>
          <w:rFonts w:ascii="Times New Roman" w:hAnsi="Times New Roman" w:cs="Times New Roman"/>
          <w:color w:val="000000" w:themeColor="text1"/>
        </w:rPr>
        <w:t>,</w:t>
      </w:r>
      <w:r w:rsidR="00B632C0"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B632C0"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(2022), </w:t>
      </w:r>
      <w:r w:rsidR="00B632C0" w:rsidRPr="00EC1B43">
        <w:rPr>
          <w:rFonts w:ascii="Times New Roman" w:hAnsi="Times New Roman" w:cs="Times New Roman"/>
          <w:color w:val="000000" w:themeColor="text1"/>
        </w:rPr>
        <w:t xml:space="preserve">623 and 59 </w:t>
      </w:r>
      <w:r w:rsidR="00080AD3" w:rsidRPr="00EC1B43">
        <w:rPr>
          <w:rFonts w:ascii="Times New Roman" w:hAnsi="Times New Roman" w:cs="Times New Roman"/>
          <w:color w:val="000000" w:themeColor="text1"/>
        </w:rPr>
        <w:t>CML Rev.</w:t>
      </w:r>
      <w:r w:rsidR="00B632C0"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(2022), </w:t>
      </w:r>
      <w:r w:rsidR="00B632C0" w:rsidRPr="00EC1B43">
        <w:rPr>
          <w:rFonts w:ascii="Times New Roman" w:hAnsi="Times New Roman" w:cs="Times New Roman"/>
          <w:color w:val="000000" w:themeColor="text1"/>
        </w:rPr>
        <w:t>1289.</w:t>
      </w:r>
    </w:p>
  </w:footnote>
  <w:footnote w:id="40">
    <w:p w14:paraId="292FCD29" w14:textId="3FB40F6D" w:rsidR="002363F6" w:rsidRPr="00EC1B43" w:rsidRDefault="002363F6"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In </w:t>
      </w:r>
      <w:r w:rsidR="0088096F" w:rsidRPr="00EC1B43">
        <w:rPr>
          <w:color w:val="000000" w:themeColor="text1"/>
          <w:sz w:val="20"/>
          <w:szCs w:val="20"/>
        </w:rPr>
        <w:t xml:space="preserve">the </w:t>
      </w:r>
      <w:r w:rsidRPr="00EC1B43">
        <w:rPr>
          <w:color w:val="000000" w:themeColor="text1"/>
          <w:sz w:val="20"/>
          <w:szCs w:val="20"/>
        </w:rPr>
        <w:t xml:space="preserve">same way that others have sought to </w:t>
      </w:r>
      <w:r w:rsidR="0088096F" w:rsidRPr="00EC1B43">
        <w:rPr>
          <w:color w:val="000000" w:themeColor="text1"/>
          <w:sz w:val="20"/>
          <w:szCs w:val="20"/>
        </w:rPr>
        <w:t xml:space="preserve">identify and examine other cumulative </w:t>
      </w:r>
      <w:r w:rsidRPr="00EC1B43">
        <w:rPr>
          <w:color w:val="000000" w:themeColor="text1"/>
          <w:sz w:val="20"/>
          <w:szCs w:val="20"/>
        </w:rPr>
        <w:t xml:space="preserve">effects </w:t>
      </w:r>
      <w:r w:rsidR="0088096F" w:rsidRPr="00EC1B43">
        <w:rPr>
          <w:color w:val="000000" w:themeColor="text1"/>
          <w:sz w:val="20"/>
          <w:szCs w:val="20"/>
        </w:rPr>
        <w:t>or common characteristics of the various “</w:t>
      </w:r>
      <w:r w:rsidRPr="00EC1B43">
        <w:rPr>
          <w:color w:val="000000" w:themeColor="text1"/>
          <w:sz w:val="20"/>
          <w:szCs w:val="20"/>
        </w:rPr>
        <w:t>crises</w:t>
      </w:r>
      <w:r w:rsidR="0088096F" w:rsidRPr="00EC1B43">
        <w:rPr>
          <w:color w:val="000000" w:themeColor="text1"/>
          <w:sz w:val="20"/>
          <w:szCs w:val="20"/>
        </w:rPr>
        <w:t xml:space="preserve">”, e.g. </w:t>
      </w:r>
      <w:r w:rsidR="00201658" w:rsidRPr="00EC1B43">
        <w:rPr>
          <w:color w:val="000000" w:themeColor="text1"/>
          <w:sz w:val="20"/>
          <w:szCs w:val="20"/>
        </w:rPr>
        <w:t>de Witte, “EU emergency law and its impact on the EU legal order</w:t>
      </w:r>
      <w:r w:rsidR="00080AD3" w:rsidRPr="00EC1B43">
        <w:rPr>
          <w:color w:val="000000" w:themeColor="text1"/>
          <w:sz w:val="20"/>
          <w:szCs w:val="20"/>
        </w:rPr>
        <w:t>”,</w:t>
      </w:r>
      <w:r w:rsidR="00201658" w:rsidRPr="00EC1B43">
        <w:rPr>
          <w:color w:val="000000" w:themeColor="text1"/>
          <w:sz w:val="20"/>
          <w:szCs w:val="20"/>
        </w:rPr>
        <w:t xml:space="preserve"> 59 </w:t>
      </w:r>
      <w:r w:rsidR="00080AD3" w:rsidRPr="00EC1B43">
        <w:rPr>
          <w:color w:val="000000" w:themeColor="text1"/>
          <w:sz w:val="20"/>
          <w:szCs w:val="20"/>
        </w:rPr>
        <w:t>CML Rev.</w:t>
      </w:r>
      <w:r w:rsidR="00201658" w:rsidRPr="00EC1B43">
        <w:rPr>
          <w:color w:val="000000" w:themeColor="text1"/>
          <w:sz w:val="20"/>
          <w:szCs w:val="20"/>
        </w:rPr>
        <w:t xml:space="preserve"> </w:t>
      </w:r>
      <w:r w:rsidR="00080AD3" w:rsidRPr="00EC1B43">
        <w:rPr>
          <w:color w:val="000000" w:themeColor="text1"/>
          <w:sz w:val="20"/>
          <w:szCs w:val="20"/>
        </w:rPr>
        <w:t xml:space="preserve">(2022), </w:t>
      </w:r>
      <w:r w:rsidR="00201658" w:rsidRPr="00EC1B43">
        <w:rPr>
          <w:color w:val="000000" w:themeColor="text1"/>
          <w:sz w:val="20"/>
          <w:szCs w:val="20"/>
        </w:rPr>
        <w:t>3.</w:t>
      </w:r>
      <w:r w:rsidR="004F4371" w:rsidRPr="00EC1B43">
        <w:rPr>
          <w:color w:val="000000" w:themeColor="text1"/>
          <w:sz w:val="20"/>
          <w:szCs w:val="20"/>
        </w:rPr>
        <w:t xml:space="preserve">  See further, e.g. </w:t>
      </w:r>
      <w:r w:rsidR="00BC47D9" w:rsidRPr="00EC1B43">
        <w:rPr>
          <w:color w:val="000000" w:themeColor="text1"/>
          <w:sz w:val="20"/>
          <w:szCs w:val="20"/>
        </w:rPr>
        <w:t xml:space="preserve">Gehring, </w:t>
      </w:r>
      <w:r w:rsidR="00BC47D9" w:rsidRPr="00EC1B43">
        <w:rPr>
          <w:i/>
          <w:iCs/>
          <w:color w:val="000000" w:themeColor="text1"/>
          <w:sz w:val="20"/>
          <w:szCs w:val="20"/>
        </w:rPr>
        <w:t>Europe’s Second Constitution: Crises, Courts and Community</w:t>
      </w:r>
      <w:r w:rsidR="00BC47D9" w:rsidRPr="00EC1B43">
        <w:rPr>
          <w:color w:val="000000" w:themeColor="text1"/>
          <w:sz w:val="20"/>
          <w:szCs w:val="20"/>
        </w:rPr>
        <w:t xml:space="preserve"> (CUP, 2020); </w:t>
      </w:r>
      <w:proofErr w:type="spellStart"/>
      <w:r w:rsidR="000A5638" w:rsidRPr="00EC1B43">
        <w:rPr>
          <w:color w:val="000000" w:themeColor="text1"/>
          <w:sz w:val="20"/>
          <w:szCs w:val="20"/>
        </w:rPr>
        <w:t>Bignami</w:t>
      </w:r>
      <w:proofErr w:type="spellEnd"/>
      <w:r w:rsidR="000A5638" w:rsidRPr="00EC1B43">
        <w:rPr>
          <w:color w:val="000000" w:themeColor="text1"/>
          <w:sz w:val="20"/>
          <w:szCs w:val="20"/>
        </w:rPr>
        <w:t xml:space="preserve"> (ed), </w:t>
      </w:r>
      <w:r w:rsidR="000A5638" w:rsidRPr="00EC1B43">
        <w:rPr>
          <w:i/>
          <w:iCs/>
          <w:color w:val="000000" w:themeColor="text1"/>
          <w:sz w:val="20"/>
          <w:szCs w:val="20"/>
        </w:rPr>
        <w:t>EU Law in Populist Times</w:t>
      </w:r>
      <w:r w:rsidR="000A5638" w:rsidRPr="00EC1B43">
        <w:rPr>
          <w:color w:val="000000" w:themeColor="text1"/>
          <w:sz w:val="20"/>
          <w:szCs w:val="20"/>
        </w:rPr>
        <w:t xml:space="preserve"> (CUP, 2020); </w:t>
      </w:r>
      <w:proofErr w:type="spellStart"/>
      <w:r w:rsidR="000A5638" w:rsidRPr="00EC1B43">
        <w:rPr>
          <w:color w:val="000000" w:themeColor="text1"/>
          <w:sz w:val="20"/>
          <w:szCs w:val="20"/>
        </w:rPr>
        <w:t>Riddervold</w:t>
      </w:r>
      <w:proofErr w:type="spellEnd"/>
      <w:r w:rsidR="000A5638" w:rsidRPr="00EC1B43">
        <w:rPr>
          <w:color w:val="000000" w:themeColor="text1"/>
          <w:sz w:val="20"/>
          <w:szCs w:val="20"/>
        </w:rPr>
        <w:t xml:space="preserve">, </w:t>
      </w:r>
      <w:proofErr w:type="spellStart"/>
      <w:r w:rsidR="000A5638" w:rsidRPr="00EC1B43">
        <w:rPr>
          <w:color w:val="000000" w:themeColor="text1"/>
          <w:sz w:val="20"/>
          <w:szCs w:val="20"/>
        </w:rPr>
        <w:t>Trondal</w:t>
      </w:r>
      <w:proofErr w:type="spellEnd"/>
      <w:r w:rsidR="000A5638" w:rsidRPr="00EC1B43">
        <w:rPr>
          <w:color w:val="000000" w:themeColor="text1"/>
          <w:sz w:val="20"/>
          <w:szCs w:val="20"/>
        </w:rPr>
        <w:t xml:space="preserve"> and Newsome (eds), </w:t>
      </w:r>
      <w:r w:rsidR="00FF79A7" w:rsidRPr="00EC1B43">
        <w:rPr>
          <w:i/>
          <w:iCs/>
          <w:color w:val="000000" w:themeColor="text1"/>
          <w:sz w:val="20"/>
          <w:szCs w:val="20"/>
        </w:rPr>
        <w:t>The Palgrave Handbook of EU Crises</w:t>
      </w:r>
      <w:r w:rsidR="00FF79A7" w:rsidRPr="00EC1B43">
        <w:rPr>
          <w:color w:val="000000" w:themeColor="text1"/>
          <w:sz w:val="20"/>
          <w:szCs w:val="20"/>
        </w:rPr>
        <w:t xml:space="preserve"> (Palgrave Macmillan, 2021</w:t>
      </w:r>
      <w:r w:rsidR="000A5638" w:rsidRPr="00EC1B43">
        <w:rPr>
          <w:color w:val="000000" w:themeColor="text1"/>
          <w:sz w:val="20"/>
          <w:szCs w:val="20"/>
        </w:rPr>
        <w:t xml:space="preserve">); </w:t>
      </w:r>
      <w:r w:rsidR="00F52974" w:rsidRPr="00EC1B43">
        <w:rPr>
          <w:color w:val="000000" w:themeColor="text1"/>
          <w:sz w:val="20"/>
          <w:szCs w:val="20"/>
        </w:rPr>
        <w:t xml:space="preserve">Auer and Scicluna, </w:t>
      </w:r>
      <w:r w:rsidR="00FF79A7" w:rsidRPr="00EC1B43">
        <w:rPr>
          <w:color w:val="000000" w:themeColor="text1"/>
          <w:sz w:val="20"/>
          <w:szCs w:val="20"/>
        </w:rPr>
        <w:t>“The Impossibility of Constitutionalising Emergency Europe”</w:t>
      </w:r>
      <w:r w:rsidR="00080AD3" w:rsidRPr="00EC1B43">
        <w:rPr>
          <w:color w:val="000000" w:themeColor="text1"/>
          <w:sz w:val="20"/>
          <w:szCs w:val="20"/>
        </w:rPr>
        <w:t>,</w:t>
      </w:r>
      <w:r w:rsidR="00FF79A7" w:rsidRPr="00EC1B43">
        <w:rPr>
          <w:color w:val="000000" w:themeColor="text1"/>
          <w:sz w:val="20"/>
          <w:szCs w:val="20"/>
        </w:rPr>
        <w:t xml:space="preserve"> 59 JCMS </w:t>
      </w:r>
      <w:r w:rsidR="00080AD3" w:rsidRPr="00EC1B43">
        <w:rPr>
          <w:color w:val="000000" w:themeColor="text1"/>
          <w:sz w:val="20"/>
          <w:szCs w:val="20"/>
        </w:rPr>
        <w:t xml:space="preserve">(2021), </w:t>
      </w:r>
      <w:r w:rsidR="00FF79A7" w:rsidRPr="00EC1B43">
        <w:rPr>
          <w:color w:val="000000" w:themeColor="text1"/>
          <w:sz w:val="20"/>
          <w:szCs w:val="20"/>
        </w:rPr>
        <w:t>20.</w:t>
      </w:r>
    </w:p>
  </w:footnote>
  <w:footnote w:id="41">
    <w:p w14:paraId="06D5511C" w14:textId="5123C3CD" w:rsidR="001C51B9" w:rsidRPr="00EC1B43" w:rsidRDefault="001C51B9"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further,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w:t>
      </w:r>
      <w:proofErr w:type="spellStart"/>
      <w:r w:rsidR="0086662F" w:rsidRPr="00EC1B43">
        <w:rPr>
          <w:rFonts w:ascii="Times New Roman" w:hAnsi="Times New Roman" w:cs="Times New Roman"/>
          <w:color w:val="000000" w:themeColor="text1"/>
        </w:rPr>
        <w:t>Anghel</w:t>
      </w:r>
      <w:proofErr w:type="spellEnd"/>
      <w:r w:rsidR="0086662F" w:rsidRPr="00EC1B43">
        <w:rPr>
          <w:rFonts w:ascii="Times New Roman" w:hAnsi="Times New Roman" w:cs="Times New Roman"/>
          <w:color w:val="000000" w:themeColor="text1"/>
        </w:rPr>
        <w:t xml:space="preserve"> and Jones, “Is European really forged through crisis?  Pandemic EU and the Russia-Ukraine War”</w:t>
      </w:r>
      <w:r w:rsidR="00080AD3" w:rsidRPr="00EC1B43">
        <w:rPr>
          <w:rFonts w:ascii="Times New Roman" w:hAnsi="Times New Roman" w:cs="Times New Roman"/>
          <w:color w:val="000000" w:themeColor="text1"/>
        </w:rPr>
        <w:t>,</w:t>
      </w:r>
      <w:r w:rsidR="0086662F" w:rsidRPr="00EC1B43">
        <w:rPr>
          <w:rFonts w:ascii="Times New Roman" w:hAnsi="Times New Roman" w:cs="Times New Roman"/>
          <w:color w:val="000000" w:themeColor="text1"/>
        </w:rPr>
        <w:t xml:space="preserve"> 30 </w:t>
      </w:r>
      <w:r w:rsidR="0086662F" w:rsidRPr="00EC1B43">
        <w:rPr>
          <w:rFonts w:ascii="Times New Roman" w:hAnsi="Times New Roman" w:cs="Times New Roman"/>
          <w:i/>
          <w:iCs/>
          <w:color w:val="000000" w:themeColor="text1"/>
        </w:rPr>
        <w:t>Journal of European Public Policy</w:t>
      </w:r>
      <w:r w:rsidR="0086662F"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(2023), </w:t>
      </w:r>
      <w:r w:rsidR="0086662F" w:rsidRPr="00EC1B43">
        <w:rPr>
          <w:rFonts w:ascii="Times New Roman" w:hAnsi="Times New Roman" w:cs="Times New Roman"/>
          <w:color w:val="000000" w:themeColor="text1"/>
        </w:rPr>
        <w:t xml:space="preserve">766; and (more theoretically), </w:t>
      </w:r>
      <w:proofErr w:type="gramStart"/>
      <w:r w:rsidR="0086662F" w:rsidRPr="00EC1B43">
        <w:rPr>
          <w:rFonts w:ascii="Times New Roman" w:hAnsi="Times New Roman" w:cs="Times New Roman"/>
          <w:color w:val="000000" w:themeColor="text1"/>
        </w:rPr>
        <w:t>e.g.</w:t>
      </w:r>
      <w:proofErr w:type="gramEnd"/>
      <w:r w:rsidR="0086662F" w:rsidRPr="00EC1B43">
        <w:rPr>
          <w:rFonts w:ascii="Times New Roman" w:hAnsi="Times New Roman" w:cs="Times New Roman"/>
          <w:color w:val="000000" w:themeColor="text1"/>
        </w:rPr>
        <w:t xml:space="preserve"> Ferrara and </w:t>
      </w:r>
      <w:proofErr w:type="spellStart"/>
      <w:r w:rsidR="0086662F" w:rsidRPr="00EC1B43">
        <w:rPr>
          <w:rFonts w:ascii="Times New Roman" w:hAnsi="Times New Roman" w:cs="Times New Roman"/>
          <w:color w:val="000000" w:themeColor="text1"/>
        </w:rPr>
        <w:t>Kriesi</w:t>
      </w:r>
      <w:proofErr w:type="spellEnd"/>
      <w:r w:rsidR="0086662F" w:rsidRPr="00EC1B43">
        <w:rPr>
          <w:rFonts w:ascii="Times New Roman" w:hAnsi="Times New Roman" w:cs="Times New Roman"/>
          <w:color w:val="000000" w:themeColor="text1"/>
        </w:rPr>
        <w:t>, “Crisis pressures and European integration”</w:t>
      </w:r>
      <w:r w:rsidR="00080AD3" w:rsidRPr="00EC1B43">
        <w:rPr>
          <w:rFonts w:ascii="Times New Roman" w:hAnsi="Times New Roman" w:cs="Times New Roman"/>
          <w:color w:val="000000" w:themeColor="text1"/>
        </w:rPr>
        <w:t>,</w:t>
      </w:r>
      <w:r w:rsidR="0086662F" w:rsidRPr="00EC1B43">
        <w:rPr>
          <w:rFonts w:ascii="Times New Roman" w:hAnsi="Times New Roman" w:cs="Times New Roman"/>
          <w:color w:val="000000" w:themeColor="text1"/>
        </w:rPr>
        <w:t xml:space="preserve"> 29 </w:t>
      </w:r>
      <w:r w:rsidR="0086662F" w:rsidRPr="00EC1B43">
        <w:rPr>
          <w:rFonts w:ascii="Times New Roman" w:hAnsi="Times New Roman" w:cs="Times New Roman"/>
          <w:i/>
          <w:iCs/>
          <w:color w:val="000000" w:themeColor="text1"/>
        </w:rPr>
        <w:t>Journal of European Public Policy</w:t>
      </w:r>
      <w:r w:rsidR="0086662F"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(2022), </w:t>
      </w:r>
      <w:r w:rsidR="0086662F" w:rsidRPr="00EC1B43">
        <w:rPr>
          <w:rFonts w:ascii="Times New Roman" w:hAnsi="Times New Roman" w:cs="Times New Roman"/>
          <w:color w:val="000000" w:themeColor="text1"/>
        </w:rPr>
        <w:t>1351.</w:t>
      </w:r>
    </w:p>
  </w:footnote>
  <w:footnote w:id="42">
    <w:p w14:paraId="42412CD6" w14:textId="287840D1" w:rsidR="002363F6" w:rsidRPr="00EC1B43" w:rsidRDefault="002363F6"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0A5638" w:rsidRPr="00EC1B43">
        <w:rPr>
          <w:rFonts w:ascii="Times New Roman" w:hAnsi="Times New Roman" w:cs="Times New Roman"/>
          <w:color w:val="000000" w:themeColor="text1"/>
        </w:rPr>
        <w:t xml:space="preserve">And the demands of “urgency” can also generate distinctive approaches to policymaking: see, </w:t>
      </w:r>
      <w:proofErr w:type="gramStart"/>
      <w:r w:rsidR="000A5638" w:rsidRPr="00EC1B43">
        <w:rPr>
          <w:rFonts w:ascii="Times New Roman" w:hAnsi="Times New Roman" w:cs="Times New Roman"/>
          <w:color w:val="000000" w:themeColor="text1"/>
        </w:rPr>
        <w:t>e.g.</w:t>
      </w:r>
      <w:proofErr w:type="gramEnd"/>
      <w:r w:rsidR="000A5638" w:rsidRPr="00EC1B43">
        <w:rPr>
          <w:rFonts w:ascii="Times New Roman" w:hAnsi="Times New Roman" w:cs="Times New Roman"/>
          <w:color w:val="000000" w:themeColor="text1"/>
        </w:rPr>
        <w:t xml:space="preserve"> </w:t>
      </w:r>
      <w:proofErr w:type="spellStart"/>
      <w:r w:rsidR="000A5638" w:rsidRPr="00EC1B43">
        <w:rPr>
          <w:rFonts w:ascii="Times New Roman" w:hAnsi="Times New Roman" w:cs="Times New Roman"/>
          <w:color w:val="000000" w:themeColor="text1"/>
        </w:rPr>
        <w:t>Rhinard</w:t>
      </w:r>
      <w:proofErr w:type="spellEnd"/>
      <w:r w:rsidR="000A5638" w:rsidRPr="00EC1B43">
        <w:rPr>
          <w:rFonts w:ascii="Times New Roman" w:hAnsi="Times New Roman" w:cs="Times New Roman"/>
          <w:color w:val="000000" w:themeColor="text1"/>
        </w:rPr>
        <w:t>, “</w:t>
      </w:r>
      <w:r w:rsidR="00A95F36" w:rsidRPr="00EC1B43">
        <w:rPr>
          <w:rFonts w:ascii="Times New Roman" w:hAnsi="Times New Roman" w:cs="Times New Roman"/>
          <w:color w:val="000000" w:themeColor="text1"/>
        </w:rPr>
        <w:t xml:space="preserve">The </w:t>
      </w:r>
      <w:proofErr w:type="spellStart"/>
      <w:r w:rsidR="00A95F36" w:rsidRPr="00EC1B43">
        <w:rPr>
          <w:rFonts w:ascii="Times New Roman" w:hAnsi="Times New Roman" w:cs="Times New Roman"/>
          <w:color w:val="000000" w:themeColor="text1"/>
        </w:rPr>
        <w:t>Crisification</w:t>
      </w:r>
      <w:proofErr w:type="spellEnd"/>
      <w:r w:rsidR="00A95F36" w:rsidRPr="00EC1B43">
        <w:rPr>
          <w:rFonts w:ascii="Times New Roman" w:hAnsi="Times New Roman" w:cs="Times New Roman"/>
          <w:color w:val="000000" w:themeColor="text1"/>
        </w:rPr>
        <w:t xml:space="preserve"> of Policy-Making in the European Union”</w:t>
      </w:r>
      <w:r w:rsidR="00080AD3" w:rsidRPr="00EC1B43">
        <w:rPr>
          <w:rFonts w:ascii="Times New Roman" w:hAnsi="Times New Roman" w:cs="Times New Roman"/>
          <w:color w:val="000000" w:themeColor="text1"/>
        </w:rPr>
        <w:t>,</w:t>
      </w:r>
      <w:r w:rsidR="00A95F36" w:rsidRPr="00EC1B43">
        <w:rPr>
          <w:rFonts w:ascii="Times New Roman" w:hAnsi="Times New Roman" w:cs="Times New Roman"/>
          <w:color w:val="000000" w:themeColor="text1"/>
        </w:rPr>
        <w:t xml:space="preserve"> 57 JCMS </w:t>
      </w:r>
      <w:r w:rsidR="00080AD3" w:rsidRPr="00EC1B43">
        <w:rPr>
          <w:rFonts w:ascii="Times New Roman" w:hAnsi="Times New Roman" w:cs="Times New Roman"/>
          <w:color w:val="000000" w:themeColor="text1"/>
        </w:rPr>
        <w:t xml:space="preserve">(2019), </w:t>
      </w:r>
      <w:r w:rsidR="00A95F36" w:rsidRPr="00EC1B43">
        <w:rPr>
          <w:rFonts w:ascii="Times New Roman" w:hAnsi="Times New Roman" w:cs="Times New Roman"/>
          <w:color w:val="000000" w:themeColor="text1"/>
        </w:rPr>
        <w:t>616.</w:t>
      </w:r>
      <w:r w:rsidR="000A5638" w:rsidRPr="00EC1B43">
        <w:rPr>
          <w:rFonts w:ascii="Times New Roman" w:hAnsi="Times New Roman" w:cs="Times New Roman"/>
          <w:color w:val="000000" w:themeColor="text1"/>
        </w:rPr>
        <w:t xml:space="preserve"> </w:t>
      </w:r>
    </w:p>
  </w:footnote>
  <w:footnote w:id="43">
    <w:p w14:paraId="395C635A" w14:textId="1BBA2B2B" w:rsidR="002363F6" w:rsidRPr="00EC1B43" w:rsidRDefault="002363F6"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E0AA8" w:rsidRPr="00EC1B43">
        <w:rPr>
          <w:rFonts w:ascii="Times New Roman" w:hAnsi="Times New Roman" w:cs="Times New Roman"/>
          <w:color w:val="000000" w:themeColor="text1"/>
        </w:rPr>
        <w:t>On the legal position, see section 4 (below).</w:t>
      </w:r>
    </w:p>
  </w:footnote>
  <w:footnote w:id="44">
    <w:p w14:paraId="7518D21C" w14:textId="5A224122" w:rsidR="00FF79A7" w:rsidRPr="00EC1B43" w:rsidRDefault="00FF79A7"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Including an incentive to engage in more inclusive / cooperative approaches to policy design: consider,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w:t>
      </w:r>
      <w:proofErr w:type="spellStart"/>
      <w:r w:rsidRPr="00EC1B43">
        <w:rPr>
          <w:rFonts w:ascii="Times New Roman" w:hAnsi="Times New Roman" w:cs="Times New Roman"/>
          <w:color w:val="000000" w:themeColor="text1"/>
        </w:rPr>
        <w:t>Ladi</w:t>
      </w:r>
      <w:proofErr w:type="spellEnd"/>
      <w:r w:rsidRPr="00EC1B43">
        <w:rPr>
          <w:rFonts w:ascii="Times New Roman" w:hAnsi="Times New Roman" w:cs="Times New Roman"/>
          <w:color w:val="000000" w:themeColor="text1"/>
        </w:rPr>
        <w:t xml:space="preserve"> and Wolff, “The EU Institutional Architecture in the Covid-19 Response: Coordinative Europeanization in Times of Permanent Emergency”</w:t>
      </w:r>
      <w:r w:rsidR="00080AD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59 JCMS </w:t>
      </w:r>
      <w:r w:rsidR="00080AD3" w:rsidRPr="00EC1B43">
        <w:rPr>
          <w:rFonts w:ascii="Times New Roman" w:hAnsi="Times New Roman" w:cs="Times New Roman"/>
          <w:color w:val="000000" w:themeColor="text1"/>
        </w:rPr>
        <w:t xml:space="preserve">(2021), </w:t>
      </w:r>
      <w:r w:rsidRPr="00EC1B43">
        <w:rPr>
          <w:rFonts w:ascii="Times New Roman" w:hAnsi="Times New Roman" w:cs="Times New Roman"/>
          <w:color w:val="000000" w:themeColor="text1"/>
        </w:rPr>
        <w:t xml:space="preserve">32. </w:t>
      </w:r>
    </w:p>
  </w:footnote>
  <w:footnote w:id="45">
    <w:p w14:paraId="0DA81C48" w14:textId="36434435" w:rsidR="00A94B21" w:rsidRPr="00EC1B43" w:rsidRDefault="00A94B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further,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Meissner and </w:t>
      </w:r>
      <w:proofErr w:type="spellStart"/>
      <w:r w:rsidRPr="00EC1B43">
        <w:rPr>
          <w:rFonts w:ascii="Times New Roman" w:hAnsi="Times New Roman" w:cs="Times New Roman"/>
          <w:color w:val="000000" w:themeColor="text1"/>
        </w:rPr>
        <w:t>Schoeller</w:t>
      </w:r>
      <w:proofErr w:type="spellEnd"/>
      <w:r w:rsidRPr="00EC1B43">
        <w:rPr>
          <w:rFonts w:ascii="Times New Roman" w:hAnsi="Times New Roman" w:cs="Times New Roman"/>
          <w:color w:val="000000" w:themeColor="text1"/>
        </w:rPr>
        <w:t xml:space="preserve">, “Rising despite the </w:t>
      </w:r>
      <w:proofErr w:type="spellStart"/>
      <w:r w:rsidRPr="00EC1B43">
        <w:rPr>
          <w:rFonts w:ascii="Times New Roman" w:hAnsi="Times New Roman" w:cs="Times New Roman"/>
          <w:color w:val="000000" w:themeColor="text1"/>
        </w:rPr>
        <w:t>polycrisis</w:t>
      </w:r>
      <w:proofErr w:type="spellEnd"/>
      <w:r w:rsidRPr="00EC1B43">
        <w:rPr>
          <w:rFonts w:ascii="Times New Roman" w:hAnsi="Times New Roman" w:cs="Times New Roman"/>
          <w:color w:val="000000" w:themeColor="text1"/>
        </w:rPr>
        <w:t>?  The European Parliament’s strategies and self-empowerment after Lisbon”</w:t>
      </w:r>
      <w:r w:rsidR="00080AD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26 </w:t>
      </w:r>
      <w:r w:rsidRPr="00EC1B43">
        <w:rPr>
          <w:rFonts w:ascii="Times New Roman" w:hAnsi="Times New Roman" w:cs="Times New Roman"/>
          <w:i/>
          <w:iCs/>
          <w:color w:val="000000" w:themeColor="text1"/>
        </w:rPr>
        <w:t>Journal of European Public Policy</w:t>
      </w:r>
      <w:r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(2019), </w:t>
      </w:r>
      <w:r w:rsidRPr="00EC1B43">
        <w:rPr>
          <w:rFonts w:ascii="Times New Roman" w:hAnsi="Times New Roman" w:cs="Times New Roman"/>
          <w:color w:val="000000" w:themeColor="text1"/>
        </w:rPr>
        <w:t>1075.</w:t>
      </w:r>
      <w:r w:rsidRPr="00EC1B43">
        <w:rPr>
          <w:rFonts w:ascii="Times New Roman" w:hAnsi="Times New Roman" w:cs="Times New Roman"/>
          <w:i/>
          <w:iCs/>
          <w:color w:val="000000" w:themeColor="text1"/>
        </w:rPr>
        <w:t xml:space="preserve">  </w:t>
      </w:r>
    </w:p>
  </w:footnote>
  <w:footnote w:id="46">
    <w:p w14:paraId="70817C52" w14:textId="68B84FA1" w:rsidR="00E861A9" w:rsidRPr="00EC1B43" w:rsidRDefault="00E861A9"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Particularly within the context of an institution that has a longstanding preference for consensus building, even in areas formally governed by QMV: see further,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Heisenberg, “The institution of ‘consensus’ in the European Union: Formal versus informal decision-making in the Council”</w:t>
      </w:r>
      <w:r w:rsidR="00080AD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44 </w:t>
      </w:r>
      <w:r w:rsidRPr="00EC1B43">
        <w:rPr>
          <w:rFonts w:ascii="Times New Roman" w:hAnsi="Times New Roman" w:cs="Times New Roman"/>
          <w:i/>
          <w:iCs/>
          <w:color w:val="000000" w:themeColor="text1"/>
        </w:rPr>
        <w:t>European Journal of Political Research</w:t>
      </w:r>
      <w:r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(2005), </w:t>
      </w:r>
      <w:r w:rsidRPr="00EC1B43">
        <w:rPr>
          <w:rFonts w:ascii="Times New Roman" w:hAnsi="Times New Roman" w:cs="Times New Roman"/>
          <w:color w:val="000000" w:themeColor="text1"/>
        </w:rPr>
        <w:t xml:space="preserve">65. </w:t>
      </w:r>
    </w:p>
  </w:footnote>
  <w:footnote w:id="47">
    <w:p w14:paraId="62942025" w14:textId="18AEE5F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E0AA8" w:rsidRPr="00EC1B43">
        <w:rPr>
          <w:rFonts w:ascii="Times New Roman" w:hAnsi="Times New Roman" w:cs="Times New Roman"/>
          <w:color w:val="000000" w:themeColor="text1"/>
        </w:rPr>
        <w:t xml:space="preserve">See further, </w:t>
      </w:r>
      <w:proofErr w:type="gramStart"/>
      <w:r w:rsidR="007E0AA8" w:rsidRPr="00EC1B43">
        <w:rPr>
          <w:rFonts w:ascii="Times New Roman" w:hAnsi="Times New Roman" w:cs="Times New Roman"/>
          <w:color w:val="000000" w:themeColor="text1"/>
        </w:rPr>
        <w:t>e.g.</w:t>
      </w:r>
      <w:proofErr w:type="gramEnd"/>
      <w:r w:rsidR="007E0AA8" w:rsidRPr="00EC1B43">
        <w:rPr>
          <w:rFonts w:ascii="Times New Roman" w:hAnsi="Times New Roman" w:cs="Times New Roman"/>
          <w:color w:val="000000" w:themeColor="text1"/>
        </w:rPr>
        <w:t xml:space="preserve"> </w:t>
      </w:r>
      <w:r w:rsidR="00583903" w:rsidRPr="00EC1B43">
        <w:rPr>
          <w:rFonts w:ascii="Times New Roman" w:hAnsi="Times New Roman" w:cs="Times New Roman"/>
          <w:color w:val="000000" w:themeColor="text1"/>
        </w:rPr>
        <w:t>Editorial Comments, “An ever mighty European Council: Some recent institutional developments”</w:t>
      </w:r>
      <w:r w:rsidR="00080AD3" w:rsidRPr="00EC1B43">
        <w:rPr>
          <w:rFonts w:ascii="Times New Roman" w:hAnsi="Times New Roman" w:cs="Times New Roman"/>
          <w:color w:val="000000" w:themeColor="text1"/>
        </w:rPr>
        <w:t>,</w:t>
      </w:r>
      <w:r w:rsidR="00583903" w:rsidRPr="00EC1B43">
        <w:rPr>
          <w:rFonts w:ascii="Times New Roman" w:hAnsi="Times New Roman" w:cs="Times New Roman"/>
          <w:color w:val="000000" w:themeColor="text1"/>
        </w:rPr>
        <w:t xml:space="preserve"> 46 </w:t>
      </w:r>
      <w:r w:rsidR="00080AD3" w:rsidRPr="00EC1B43">
        <w:rPr>
          <w:rFonts w:ascii="Times New Roman" w:hAnsi="Times New Roman" w:cs="Times New Roman"/>
          <w:color w:val="000000" w:themeColor="text1"/>
        </w:rPr>
        <w:t>CML Rev.</w:t>
      </w:r>
      <w:r w:rsidR="00583903"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(2009), </w:t>
      </w:r>
      <w:r w:rsidR="00583903" w:rsidRPr="00EC1B43">
        <w:rPr>
          <w:rFonts w:ascii="Times New Roman" w:hAnsi="Times New Roman" w:cs="Times New Roman"/>
          <w:color w:val="000000" w:themeColor="text1"/>
        </w:rPr>
        <w:t xml:space="preserve">1383; </w:t>
      </w:r>
      <w:r w:rsidR="007E0AA8" w:rsidRPr="00EC1B43">
        <w:rPr>
          <w:rFonts w:ascii="Times New Roman" w:hAnsi="Times New Roman" w:cs="Times New Roman"/>
          <w:color w:val="000000" w:themeColor="text1"/>
        </w:rPr>
        <w:t xml:space="preserve">Dashwood et al, </w:t>
      </w:r>
      <w:r w:rsidR="007E0AA8" w:rsidRPr="00EC1B43">
        <w:rPr>
          <w:rFonts w:ascii="Times New Roman" w:hAnsi="Times New Roman" w:cs="Times New Roman"/>
          <w:i/>
          <w:iCs/>
          <w:color w:val="000000" w:themeColor="text1"/>
        </w:rPr>
        <w:t>Wyatt and Dashwood’s European Union Law</w:t>
      </w:r>
      <w:r w:rsidR="007E0AA8" w:rsidRPr="00EC1B43">
        <w:rPr>
          <w:rFonts w:ascii="Times New Roman" w:hAnsi="Times New Roman" w:cs="Times New Roman"/>
          <w:color w:val="000000" w:themeColor="text1"/>
        </w:rPr>
        <w:t xml:space="preserve"> (Hart, 6</w:t>
      </w:r>
      <w:r w:rsidR="007E0AA8" w:rsidRPr="00EC1B43">
        <w:rPr>
          <w:rFonts w:ascii="Times New Roman" w:hAnsi="Times New Roman" w:cs="Times New Roman"/>
          <w:color w:val="000000" w:themeColor="text1"/>
          <w:vertAlign w:val="superscript"/>
        </w:rPr>
        <w:t>th</w:t>
      </w:r>
      <w:r w:rsidR="007E0AA8" w:rsidRPr="00EC1B43">
        <w:rPr>
          <w:rFonts w:ascii="Times New Roman" w:hAnsi="Times New Roman" w:cs="Times New Roman"/>
          <w:color w:val="000000" w:themeColor="text1"/>
        </w:rPr>
        <w:t xml:space="preserve"> ed, 2011) pp 43-45.</w:t>
      </w:r>
    </w:p>
  </w:footnote>
  <w:footnote w:id="48">
    <w:p w14:paraId="2F5C5607" w14:textId="5C78131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88096F" w:rsidRPr="00EC1B43">
        <w:rPr>
          <w:rFonts w:ascii="Times New Roman" w:hAnsi="Times New Roman" w:cs="Times New Roman"/>
          <w:color w:val="000000" w:themeColor="text1"/>
        </w:rPr>
        <w:t>E.g.</w:t>
      </w:r>
      <w:proofErr w:type="gramEnd"/>
      <w:r w:rsidR="0088096F"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Arts </w:t>
      </w:r>
      <w:r w:rsidR="0088096F" w:rsidRPr="00EC1B43">
        <w:rPr>
          <w:rFonts w:ascii="Times New Roman" w:hAnsi="Times New Roman" w:cs="Times New Roman"/>
          <w:color w:val="000000" w:themeColor="text1"/>
        </w:rPr>
        <w:t xml:space="preserve">82 and 83 TFEU.  </w:t>
      </w:r>
    </w:p>
  </w:footnote>
  <w:footnote w:id="49">
    <w:p w14:paraId="41322847" w14:textId="13F6FF4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080AD3" w:rsidRPr="00EC1B43">
        <w:rPr>
          <w:rFonts w:ascii="Times New Roman" w:hAnsi="Times New Roman" w:cs="Times New Roman"/>
          <w:color w:val="000000" w:themeColor="text1"/>
        </w:rPr>
        <w:t xml:space="preserve">Art </w:t>
      </w:r>
      <w:r w:rsidR="007E0AA8" w:rsidRPr="00EC1B43">
        <w:rPr>
          <w:rFonts w:ascii="Times New Roman" w:hAnsi="Times New Roman" w:cs="Times New Roman"/>
          <w:color w:val="000000" w:themeColor="text1"/>
        </w:rPr>
        <w:t>15(1) TEU.</w:t>
      </w:r>
    </w:p>
  </w:footnote>
  <w:footnote w:id="50">
    <w:p w14:paraId="2FB2313D" w14:textId="1C08388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BC47D9" w:rsidRPr="00EC1B43">
        <w:rPr>
          <w:rFonts w:ascii="Times New Roman" w:hAnsi="Times New Roman" w:cs="Times New Roman"/>
          <w:color w:val="000000" w:themeColor="text1"/>
        </w:rPr>
        <w:t>See further the examples provided in section 4 (below).</w:t>
      </w:r>
    </w:p>
  </w:footnote>
  <w:footnote w:id="51">
    <w:p w14:paraId="672C6C11" w14:textId="4A344DE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 xml:space="preserve">Despite </w:t>
      </w:r>
      <w:r w:rsidR="00773D8C" w:rsidRPr="00EC1B43">
        <w:rPr>
          <w:rFonts w:ascii="Times New Roman" w:hAnsi="Times New Roman" w:cs="Times New Roman"/>
          <w:color w:val="000000" w:themeColor="text1"/>
        </w:rPr>
        <w:t xml:space="preserve">concerns about </w:t>
      </w:r>
      <w:r w:rsidR="006D395A" w:rsidRPr="00EC1B43">
        <w:rPr>
          <w:rFonts w:ascii="Times New Roman" w:hAnsi="Times New Roman" w:cs="Times New Roman"/>
          <w:color w:val="000000" w:themeColor="text1"/>
        </w:rPr>
        <w:t xml:space="preserve">the European Council’s </w:t>
      </w:r>
      <w:r w:rsidR="00773D8C" w:rsidRPr="00EC1B43">
        <w:rPr>
          <w:rFonts w:ascii="Times New Roman" w:hAnsi="Times New Roman" w:cs="Times New Roman"/>
          <w:color w:val="000000" w:themeColor="text1"/>
        </w:rPr>
        <w:t>potential to</w:t>
      </w:r>
      <w:r w:rsidR="006D395A" w:rsidRPr="00EC1B43">
        <w:rPr>
          <w:rFonts w:ascii="Times New Roman" w:hAnsi="Times New Roman" w:cs="Times New Roman"/>
          <w:color w:val="000000" w:themeColor="text1"/>
        </w:rPr>
        <w:t xml:space="preserve"> </w:t>
      </w:r>
      <w:r w:rsidRPr="00EC1B43">
        <w:rPr>
          <w:rFonts w:ascii="Times New Roman" w:hAnsi="Times New Roman" w:cs="Times New Roman"/>
          <w:color w:val="000000" w:themeColor="text1"/>
        </w:rPr>
        <w:t xml:space="preserve">distort </w:t>
      </w:r>
      <w:r w:rsidR="006D395A" w:rsidRPr="00EC1B43">
        <w:rPr>
          <w:rFonts w:ascii="Times New Roman" w:hAnsi="Times New Roman" w:cs="Times New Roman"/>
          <w:color w:val="000000" w:themeColor="text1"/>
        </w:rPr>
        <w:t xml:space="preserve">the institutional balance </w:t>
      </w:r>
      <w:r w:rsidR="00C770C6" w:rsidRPr="00EC1B43">
        <w:rPr>
          <w:rFonts w:ascii="Times New Roman" w:hAnsi="Times New Roman" w:cs="Times New Roman"/>
          <w:color w:val="000000" w:themeColor="text1"/>
        </w:rPr>
        <w:t>(c</w:t>
      </w:r>
      <w:r w:rsidR="00773D8C" w:rsidRPr="00EC1B43">
        <w:rPr>
          <w:rFonts w:ascii="Times New Roman" w:hAnsi="Times New Roman" w:cs="Times New Roman"/>
          <w:color w:val="000000" w:themeColor="text1"/>
        </w:rPr>
        <w:t xml:space="preserve">onsider, </w:t>
      </w:r>
      <w:proofErr w:type="gramStart"/>
      <w:r w:rsidR="00773D8C" w:rsidRPr="00EC1B43">
        <w:rPr>
          <w:rFonts w:ascii="Times New Roman" w:hAnsi="Times New Roman" w:cs="Times New Roman"/>
          <w:color w:val="000000" w:themeColor="text1"/>
        </w:rPr>
        <w:t>e.g.</w:t>
      </w:r>
      <w:proofErr w:type="gramEnd"/>
      <w:r w:rsidR="00773D8C" w:rsidRPr="00EC1B43">
        <w:rPr>
          <w:rFonts w:ascii="Times New Roman" w:hAnsi="Times New Roman" w:cs="Times New Roman"/>
          <w:color w:val="000000" w:themeColor="text1"/>
        </w:rPr>
        <w:t xml:space="preserve"> Editorial Comments, “Compromising (on) the general conditionality mechanism and the rule of law”</w:t>
      </w:r>
      <w:r w:rsidR="00EC1B43" w:rsidRPr="00EC1B43">
        <w:rPr>
          <w:rFonts w:ascii="Times New Roman" w:hAnsi="Times New Roman" w:cs="Times New Roman"/>
          <w:color w:val="000000" w:themeColor="text1"/>
        </w:rPr>
        <w:t>,</w:t>
      </w:r>
      <w:r w:rsidR="00773D8C" w:rsidRPr="00EC1B43">
        <w:rPr>
          <w:rFonts w:ascii="Times New Roman" w:hAnsi="Times New Roman" w:cs="Times New Roman"/>
          <w:color w:val="000000" w:themeColor="text1"/>
        </w:rPr>
        <w:t xml:space="preserve"> 58 </w:t>
      </w:r>
      <w:r w:rsidR="00080AD3" w:rsidRPr="00EC1B43">
        <w:rPr>
          <w:rFonts w:ascii="Times New Roman" w:hAnsi="Times New Roman" w:cs="Times New Roman"/>
          <w:color w:val="000000" w:themeColor="text1"/>
        </w:rPr>
        <w:t>CML Rev.</w:t>
      </w:r>
      <w:r w:rsidR="00773D8C"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(2021), </w:t>
      </w:r>
      <w:r w:rsidR="00773D8C" w:rsidRPr="00EC1B43">
        <w:rPr>
          <w:rFonts w:ascii="Times New Roman" w:hAnsi="Times New Roman" w:cs="Times New Roman"/>
          <w:color w:val="000000" w:themeColor="text1"/>
        </w:rPr>
        <w:t>267</w:t>
      </w:r>
      <w:r w:rsidR="006D395A" w:rsidRPr="00EC1B43">
        <w:rPr>
          <w:rFonts w:ascii="Times New Roman" w:hAnsi="Times New Roman" w:cs="Times New Roman"/>
          <w:color w:val="000000" w:themeColor="text1"/>
        </w:rPr>
        <w:t xml:space="preserve">), note the CJEU’s </w:t>
      </w:r>
      <w:r w:rsidR="00C770C6" w:rsidRPr="00EC1B43">
        <w:rPr>
          <w:rFonts w:ascii="Times New Roman" w:hAnsi="Times New Roman" w:cs="Times New Roman"/>
          <w:color w:val="000000" w:themeColor="text1"/>
        </w:rPr>
        <w:t>relatively</w:t>
      </w:r>
      <w:r w:rsidR="006D395A" w:rsidRPr="00EC1B43">
        <w:rPr>
          <w:rFonts w:ascii="Times New Roman" w:hAnsi="Times New Roman" w:cs="Times New Roman"/>
          <w:color w:val="000000" w:themeColor="text1"/>
        </w:rPr>
        <w:t xml:space="preserve"> accommodating </w:t>
      </w:r>
      <w:r w:rsidR="00C770C6" w:rsidRPr="00EC1B43">
        <w:rPr>
          <w:rFonts w:ascii="Times New Roman" w:hAnsi="Times New Roman" w:cs="Times New Roman"/>
          <w:color w:val="000000" w:themeColor="text1"/>
        </w:rPr>
        <w:t>approach</w:t>
      </w:r>
      <w:r w:rsidRPr="00EC1B43">
        <w:rPr>
          <w:rFonts w:ascii="Times New Roman" w:hAnsi="Times New Roman" w:cs="Times New Roman"/>
          <w:color w:val="000000" w:themeColor="text1"/>
        </w:rPr>
        <w:t xml:space="preserve">, e.g. in Case C-5/16, </w:t>
      </w:r>
      <w:r w:rsidRPr="00EC1B43">
        <w:rPr>
          <w:rFonts w:ascii="Times New Roman" w:hAnsi="Times New Roman" w:cs="Times New Roman"/>
          <w:i/>
          <w:iCs/>
          <w:color w:val="000000" w:themeColor="text1"/>
        </w:rPr>
        <w:t xml:space="preserve">Poland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2018</w:t>
      </w:r>
      <w:r w:rsidR="006D395A" w:rsidRPr="00EC1B43">
        <w:rPr>
          <w:rFonts w:ascii="Times New Roman" w:hAnsi="Times New Roman" w:cs="Times New Roman"/>
          <w:color w:val="000000" w:themeColor="text1"/>
        </w:rPr>
        <w:t>:483</w:t>
      </w:r>
      <w:r w:rsidRPr="00EC1B43">
        <w:rPr>
          <w:rFonts w:ascii="Times New Roman" w:hAnsi="Times New Roman" w:cs="Times New Roman"/>
          <w:color w:val="000000" w:themeColor="text1"/>
        </w:rPr>
        <w:t>.</w:t>
      </w:r>
    </w:p>
  </w:footnote>
  <w:footnote w:id="52">
    <w:p w14:paraId="1EA8CDE2" w14:textId="48199C7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006D395A" w:rsidRPr="00EC1B43">
        <w:rPr>
          <w:rFonts w:ascii="Times New Roman" w:hAnsi="Times New Roman" w:cs="Times New Roman"/>
          <w:color w:val="000000" w:themeColor="text1"/>
        </w:rPr>
        <w:t xml:space="preserve"> </w:t>
      </w:r>
      <w:r w:rsidR="006F1E1E" w:rsidRPr="00EC1B43">
        <w:rPr>
          <w:rFonts w:ascii="Times New Roman" w:hAnsi="Times New Roman" w:cs="Times New Roman"/>
          <w:color w:val="000000" w:themeColor="text1"/>
        </w:rPr>
        <w:t xml:space="preserve">Consider, on climate policy, </w:t>
      </w:r>
      <w:proofErr w:type="gramStart"/>
      <w:r w:rsidR="006F1E1E" w:rsidRPr="00EC1B43">
        <w:rPr>
          <w:rFonts w:ascii="Times New Roman" w:hAnsi="Times New Roman" w:cs="Times New Roman"/>
          <w:color w:val="000000" w:themeColor="text1"/>
        </w:rPr>
        <w:t>e.g.</w:t>
      </w:r>
      <w:proofErr w:type="gramEnd"/>
      <w:r w:rsidR="006F1E1E" w:rsidRPr="00EC1B43">
        <w:rPr>
          <w:rFonts w:ascii="Times New Roman" w:hAnsi="Times New Roman" w:cs="Times New Roman"/>
          <w:color w:val="000000" w:themeColor="text1"/>
        </w:rPr>
        <w:t xml:space="preserve"> </w:t>
      </w:r>
      <w:proofErr w:type="spellStart"/>
      <w:r w:rsidR="00576E13" w:rsidRPr="00EC1B43">
        <w:rPr>
          <w:rFonts w:ascii="Times New Roman" w:hAnsi="Times New Roman" w:cs="Times New Roman"/>
          <w:color w:val="000000" w:themeColor="text1"/>
        </w:rPr>
        <w:t>Kulovesi</w:t>
      </w:r>
      <w:proofErr w:type="spellEnd"/>
      <w:r w:rsidR="00576E13" w:rsidRPr="00EC1B43">
        <w:rPr>
          <w:rFonts w:ascii="Times New Roman" w:hAnsi="Times New Roman" w:cs="Times New Roman"/>
          <w:color w:val="000000" w:themeColor="text1"/>
        </w:rPr>
        <w:t xml:space="preserve">, </w:t>
      </w:r>
      <w:proofErr w:type="spellStart"/>
      <w:r w:rsidR="00576E13" w:rsidRPr="00EC1B43">
        <w:rPr>
          <w:rFonts w:ascii="Times New Roman" w:hAnsi="Times New Roman" w:cs="Times New Roman"/>
          <w:color w:val="000000" w:themeColor="text1"/>
        </w:rPr>
        <w:t>Morgera</w:t>
      </w:r>
      <w:proofErr w:type="spellEnd"/>
      <w:r w:rsidR="00576E13" w:rsidRPr="00EC1B43">
        <w:rPr>
          <w:rFonts w:ascii="Times New Roman" w:hAnsi="Times New Roman" w:cs="Times New Roman"/>
          <w:color w:val="000000" w:themeColor="text1"/>
        </w:rPr>
        <w:t xml:space="preserve"> and Muñoz, “Environmental integration and multi-faceted international dimensions of EU law: Unpacking the EU’s 2009 climate and energy package”</w:t>
      </w:r>
      <w:r w:rsidR="00EC1B43" w:rsidRPr="00EC1B43">
        <w:rPr>
          <w:rFonts w:ascii="Times New Roman" w:hAnsi="Times New Roman" w:cs="Times New Roman"/>
          <w:color w:val="000000" w:themeColor="text1"/>
        </w:rPr>
        <w:t>,</w:t>
      </w:r>
      <w:r w:rsidR="00576E13" w:rsidRPr="00EC1B43">
        <w:rPr>
          <w:rFonts w:ascii="Times New Roman" w:hAnsi="Times New Roman" w:cs="Times New Roman"/>
          <w:color w:val="000000" w:themeColor="text1"/>
        </w:rPr>
        <w:t xml:space="preserve"> 48 </w:t>
      </w:r>
      <w:r w:rsidR="00080AD3" w:rsidRPr="00EC1B43">
        <w:rPr>
          <w:rFonts w:ascii="Times New Roman" w:hAnsi="Times New Roman" w:cs="Times New Roman"/>
          <w:color w:val="000000" w:themeColor="text1"/>
        </w:rPr>
        <w:t>CML Rev.</w:t>
      </w:r>
      <w:r w:rsidR="00576E13"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(2011), </w:t>
      </w:r>
      <w:r w:rsidR="00576E13" w:rsidRPr="00EC1B43">
        <w:rPr>
          <w:rFonts w:ascii="Times New Roman" w:hAnsi="Times New Roman" w:cs="Times New Roman"/>
          <w:color w:val="000000" w:themeColor="text1"/>
        </w:rPr>
        <w:t>829</w:t>
      </w:r>
      <w:r w:rsidR="00201658" w:rsidRPr="00EC1B43">
        <w:rPr>
          <w:rFonts w:ascii="Times New Roman" w:hAnsi="Times New Roman" w:cs="Times New Roman"/>
          <w:color w:val="000000" w:themeColor="text1"/>
        </w:rPr>
        <w:t>; Chiti, “Managing the ecological transition of the EU: The European Green Deal as a regulatory process”</w:t>
      </w:r>
      <w:r w:rsidR="00EC1B43" w:rsidRPr="00EC1B43">
        <w:rPr>
          <w:rFonts w:ascii="Times New Roman" w:hAnsi="Times New Roman" w:cs="Times New Roman"/>
          <w:color w:val="000000" w:themeColor="text1"/>
        </w:rPr>
        <w:t>,</w:t>
      </w:r>
      <w:r w:rsidR="00201658"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201658"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(2022), </w:t>
      </w:r>
      <w:r w:rsidR="00201658" w:rsidRPr="00EC1B43">
        <w:rPr>
          <w:rFonts w:ascii="Times New Roman" w:hAnsi="Times New Roman" w:cs="Times New Roman"/>
          <w:color w:val="000000" w:themeColor="text1"/>
        </w:rPr>
        <w:t>19</w:t>
      </w:r>
      <w:r w:rsidR="00576E13" w:rsidRPr="00EC1B43">
        <w:rPr>
          <w:rFonts w:ascii="Times New Roman" w:hAnsi="Times New Roman" w:cs="Times New Roman"/>
          <w:color w:val="000000" w:themeColor="text1"/>
        </w:rPr>
        <w:t>.</w:t>
      </w:r>
    </w:p>
  </w:footnote>
  <w:footnote w:id="53">
    <w:p w14:paraId="48939131" w14:textId="2ED53C4A" w:rsidR="00552D96" w:rsidRPr="00EC1B43" w:rsidRDefault="00552D96" w:rsidP="00EC1B43">
      <w:pPr>
        <w:pStyle w:val="FootnoteText"/>
        <w:jc w:val="both"/>
        <w:rPr>
          <w:rFonts w:ascii="Times New Roman" w:hAnsi="Times New Roman" w:cs="Times New Roman"/>
        </w:rPr>
      </w:pPr>
      <w:r w:rsidRPr="00EC1B43">
        <w:rPr>
          <w:rStyle w:val="FootnoteReference"/>
          <w:rFonts w:ascii="Times New Roman" w:hAnsi="Times New Roman" w:cs="Times New Roman"/>
        </w:rPr>
        <w:footnoteRef/>
      </w:r>
      <w:r w:rsidRPr="00EC1B43">
        <w:rPr>
          <w:rFonts w:ascii="Times New Roman" w:hAnsi="Times New Roman" w:cs="Times New Roman"/>
        </w:rPr>
        <w:t xml:space="preserve"> As recognised also by the CJEU, </w:t>
      </w:r>
      <w:proofErr w:type="gramStart"/>
      <w:r w:rsidRPr="00EC1B43">
        <w:rPr>
          <w:rFonts w:ascii="Times New Roman" w:hAnsi="Times New Roman" w:cs="Times New Roman"/>
        </w:rPr>
        <w:t>e.g.</w:t>
      </w:r>
      <w:proofErr w:type="gramEnd"/>
      <w:r w:rsidRPr="00EC1B43">
        <w:rPr>
          <w:rFonts w:ascii="Times New Roman" w:hAnsi="Times New Roman" w:cs="Times New Roman"/>
        </w:rPr>
        <w:t xml:space="preserve"> in </w:t>
      </w:r>
      <w:r w:rsidRPr="00EC1B43">
        <w:rPr>
          <w:rFonts w:ascii="Times New Roman" w:hAnsi="Times New Roman" w:cs="Times New Roman"/>
          <w:color w:val="000000" w:themeColor="text1"/>
        </w:rPr>
        <w:t xml:space="preserve">Case C-376/98, </w:t>
      </w:r>
      <w:r w:rsidRPr="00EC1B43">
        <w:rPr>
          <w:rFonts w:ascii="Times New Roman" w:hAnsi="Times New Roman" w:cs="Times New Roman"/>
          <w:i/>
          <w:iCs/>
          <w:color w:val="000000" w:themeColor="text1"/>
        </w:rPr>
        <w:t xml:space="preserve">Germany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EU:C:2000:544.</w:t>
      </w:r>
    </w:p>
  </w:footnote>
  <w:footnote w:id="54">
    <w:p w14:paraId="600FCEB6" w14:textId="48D9FBA0" w:rsidR="00552D96" w:rsidRPr="00EC1B43" w:rsidRDefault="00552D96" w:rsidP="00EC1B43">
      <w:pPr>
        <w:pStyle w:val="FootnoteText"/>
        <w:jc w:val="both"/>
        <w:rPr>
          <w:rFonts w:ascii="Times New Roman" w:hAnsi="Times New Roman" w:cs="Times New Roman"/>
        </w:rPr>
      </w:pPr>
      <w:r w:rsidRPr="00EC1B43">
        <w:rPr>
          <w:rStyle w:val="FootnoteReference"/>
          <w:rFonts w:ascii="Times New Roman" w:hAnsi="Times New Roman" w:cs="Times New Roman"/>
        </w:rPr>
        <w:footnoteRef/>
      </w:r>
      <w:r w:rsidRPr="00EC1B43">
        <w:rPr>
          <w:rFonts w:ascii="Times New Roman" w:hAnsi="Times New Roman" w:cs="Times New Roman"/>
        </w:rPr>
        <w:t xml:space="preserve"> See, </w:t>
      </w:r>
      <w:proofErr w:type="gramStart"/>
      <w:r w:rsidRPr="00EC1B43">
        <w:rPr>
          <w:rFonts w:ascii="Times New Roman" w:hAnsi="Times New Roman" w:cs="Times New Roman"/>
        </w:rPr>
        <w:t>e.g.</w:t>
      </w:r>
      <w:proofErr w:type="gramEnd"/>
      <w:r w:rsidRPr="00EC1B43">
        <w:rPr>
          <w:rFonts w:ascii="Times New Roman" w:hAnsi="Times New Roman" w:cs="Times New Roman"/>
        </w:rPr>
        <w:t xml:space="preserve"> </w:t>
      </w:r>
      <w:r w:rsidR="00545349" w:rsidRPr="00EC1B43">
        <w:rPr>
          <w:rFonts w:ascii="Times New Roman" w:hAnsi="Times New Roman" w:cs="Times New Roman"/>
        </w:rPr>
        <w:t xml:space="preserve">Art 13(1) TEU on the Union’s general institutional framework; </w:t>
      </w:r>
      <w:r w:rsidRPr="00EC1B43">
        <w:rPr>
          <w:rFonts w:ascii="Times New Roman" w:hAnsi="Times New Roman" w:cs="Times New Roman"/>
        </w:rPr>
        <w:t xml:space="preserve">Art 21(3) TEU on </w:t>
      </w:r>
      <w:r w:rsidR="00545349" w:rsidRPr="00EC1B43">
        <w:rPr>
          <w:rFonts w:ascii="Times New Roman" w:hAnsi="Times New Roman" w:cs="Times New Roman"/>
        </w:rPr>
        <w:t xml:space="preserve">Union </w:t>
      </w:r>
      <w:r w:rsidRPr="00EC1B43">
        <w:rPr>
          <w:rFonts w:ascii="Times New Roman" w:hAnsi="Times New Roman" w:cs="Times New Roman"/>
        </w:rPr>
        <w:t>external action</w:t>
      </w:r>
      <w:r w:rsidR="00545349" w:rsidRPr="00EC1B43">
        <w:rPr>
          <w:rFonts w:ascii="Times New Roman" w:hAnsi="Times New Roman" w:cs="Times New Roman"/>
        </w:rPr>
        <w:t>; Art 7 TFEU on the general obligation of consistency</w:t>
      </w:r>
      <w:r w:rsidRPr="00EC1B43">
        <w:rPr>
          <w:rFonts w:ascii="Times New Roman" w:hAnsi="Times New Roman" w:cs="Times New Roman"/>
        </w:rPr>
        <w:t>.</w:t>
      </w:r>
      <w:r w:rsidR="00545349" w:rsidRPr="00EC1B43">
        <w:rPr>
          <w:rFonts w:ascii="Times New Roman" w:hAnsi="Times New Roman" w:cs="Times New Roman"/>
        </w:rPr>
        <w:t xml:space="preserve">  Again, as recognised by the CJEU, </w:t>
      </w:r>
      <w:proofErr w:type="gramStart"/>
      <w:r w:rsidR="00545349" w:rsidRPr="00EC1B43">
        <w:rPr>
          <w:rFonts w:ascii="Times New Roman" w:hAnsi="Times New Roman" w:cs="Times New Roman"/>
        </w:rPr>
        <w:t>e.g.</w:t>
      </w:r>
      <w:proofErr w:type="gramEnd"/>
      <w:r w:rsidR="00545349" w:rsidRPr="00EC1B43">
        <w:rPr>
          <w:rFonts w:ascii="Times New Roman" w:hAnsi="Times New Roman" w:cs="Times New Roman"/>
        </w:rPr>
        <w:t xml:space="preserve"> in </w:t>
      </w:r>
      <w:r w:rsidR="00545349" w:rsidRPr="00EC1B43">
        <w:rPr>
          <w:rFonts w:ascii="Times New Roman" w:hAnsi="Times New Roman" w:cs="Times New Roman"/>
          <w:color w:val="000000" w:themeColor="text1"/>
        </w:rPr>
        <w:t xml:space="preserve">Case C-156/21, </w:t>
      </w:r>
      <w:r w:rsidR="00545349" w:rsidRPr="00EC1B43">
        <w:rPr>
          <w:rFonts w:ascii="Times New Roman" w:hAnsi="Times New Roman" w:cs="Times New Roman"/>
          <w:i/>
          <w:iCs/>
          <w:color w:val="000000" w:themeColor="text1"/>
        </w:rPr>
        <w:t xml:space="preserve">Hungary </w:t>
      </w:r>
      <w:r w:rsidR="00EC1B43" w:rsidRPr="00EC1B43">
        <w:rPr>
          <w:rFonts w:ascii="Times New Roman" w:hAnsi="Times New Roman" w:cs="Times New Roman"/>
          <w:color w:val="000000" w:themeColor="text1"/>
        </w:rPr>
        <w:t xml:space="preserve">v. </w:t>
      </w:r>
      <w:r w:rsidR="00545349" w:rsidRPr="00EC1B43">
        <w:rPr>
          <w:rFonts w:ascii="Times New Roman" w:hAnsi="Times New Roman" w:cs="Times New Roman"/>
          <w:i/>
          <w:iCs/>
          <w:color w:val="000000" w:themeColor="text1"/>
        </w:rPr>
        <w:t>Parliament and Council</w:t>
      </w:r>
      <w:r w:rsidR="00545349" w:rsidRPr="00EC1B43">
        <w:rPr>
          <w:rFonts w:ascii="Times New Roman" w:hAnsi="Times New Roman" w:cs="Times New Roman"/>
          <w:color w:val="000000" w:themeColor="text1"/>
        </w:rPr>
        <w:t>, EU:C:2022:97, especially at para 128.</w:t>
      </w:r>
    </w:p>
  </w:footnote>
  <w:footnote w:id="55">
    <w:p w14:paraId="7B8AEB4A" w14:textId="69E4E97B"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See section 2 (above).</w:t>
      </w:r>
    </w:p>
  </w:footnote>
  <w:footnote w:id="56">
    <w:p w14:paraId="4410923C" w14:textId="54DD1808" w:rsidR="002363F6" w:rsidRPr="00EC1B43" w:rsidRDefault="002363F6"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See section 3 (above)</w:t>
      </w:r>
    </w:p>
  </w:footnote>
  <w:footnote w:id="57">
    <w:p w14:paraId="0788581B" w14:textId="7EE2D841" w:rsidR="0094657F" w:rsidRPr="00EC1B43" w:rsidRDefault="0094657F"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section 6 (below).</w:t>
      </w:r>
    </w:p>
  </w:footnote>
  <w:footnote w:id="58">
    <w:p w14:paraId="6870A5B1" w14:textId="6AE4AAB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See section 2 (above).</w:t>
      </w:r>
    </w:p>
  </w:footnote>
  <w:footnote w:id="59">
    <w:p w14:paraId="0F837D7E" w14:textId="0AED02A4"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See section 2 (above).</w:t>
      </w:r>
    </w:p>
  </w:footnote>
  <w:footnote w:id="60">
    <w:p w14:paraId="6B2F9EA4" w14:textId="5276FAD4" w:rsidR="001D2519" w:rsidRPr="00EC1B43" w:rsidRDefault="001D2519"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C-180/20, </w:t>
      </w:r>
      <w:r w:rsidRPr="00EC1B43">
        <w:rPr>
          <w:rFonts w:ascii="Times New Roman" w:hAnsi="Times New Roman" w:cs="Times New Roman"/>
          <w:i/>
          <w:iCs/>
          <w:color w:val="000000" w:themeColor="text1"/>
        </w:rPr>
        <w:t xml:space="preserve">Commission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2021</w:t>
      </w:r>
      <w:r w:rsidR="006D395A" w:rsidRPr="00EC1B43">
        <w:rPr>
          <w:rFonts w:ascii="Times New Roman" w:hAnsi="Times New Roman" w:cs="Times New Roman"/>
          <w:color w:val="000000" w:themeColor="text1"/>
        </w:rPr>
        <w:t>:658</w:t>
      </w:r>
      <w:r w:rsidRPr="00EC1B43">
        <w:rPr>
          <w:rFonts w:ascii="Times New Roman" w:hAnsi="Times New Roman" w:cs="Times New Roman"/>
          <w:color w:val="000000" w:themeColor="text1"/>
        </w:rPr>
        <w:t xml:space="preserve">: “the context of a measure may certainly also be taken into account in order to determine its legal basis…” (para 54). </w:t>
      </w:r>
    </w:p>
  </w:footnote>
  <w:footnote w:id="61">
    <w:p w14:paraId="6968D5AB" w14:textId="3F33493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Case C-440/05, </w:t>
      </w:r>
      <w:r w:rsidRPr="00EC1B43">
        <w:rPr>
          <w:rFonts w:ascii="Times New Roman" w:hAnsi="Times New Roman" w:cs="Times New Roman"/>
          <w:i/>
          <w:iCs/>
          <w:color w:val="000000" w:themeColor="text1"/>
        </w:rPr>
        <w:t xml:space="preserve">Commission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2007</w:t>
      </w:r>
      <w:r w:rsidR="006D395A" w:rsidRPr="00EC1B43">
        <w:rPr>
          <w:rFonts w:ascii="Times New Roman" w:hAnsi="Times New Roman" w:cs="Times New Roman"/>
          <w:color w:val="000000" w:themeColor="text1"/>
        </w:rPr>
        <w:t>:625</w:t>
      </w:r>
      <w:r w:rsidRPr="00EC1B43">
        <w:rPr>
          <w:rFonts w:ascii="Times New Roman" w:hAnsi="Times New Roman" w:cs="Times New Roman"/>
          <w:color w:val="000000" w:themeColor="text1"/>
        </w:rPr>
        <w:t xml:space="preserve">.  </w:t>
      </w:r>
      <w:r w:rsidR="00F91316" w:rsidRPr="00EC1B43">
        <w:rPr>
          <w:rFonts w:ascii="Times New Roman" w:hAnsi="Times New Roman" w:cs="Times New Roman"/>
          <w:color w:val="000000" w:themeColor="text1"/>
        </w:rPr>
        <w:t xml:space="preserve">See further, </w:t>
      </w:r>
      <w:proofErr w:type="gramStart"/>
      <w:r w:rsidR="00F91316" w:rsidRPr="00EC1B43">
        <w:rPr>
          <w:rFonts w:ascii="Times New Roman" w:hAnsi="Times New Roman" w:cs="Times New Roman"/>
          <w:color w:val="000000" w:themeColor="text1"/>
        </w:rPr>
        <w:t>e.g.</w:t>
      </w:r>
      <w:proofErr w:type="gramEnd"/>
      <w:r w:rsidR="00F91316" w:rsidRPr="00EC1B43">
        <w:rPr>
          <w:rFonts w:ascii="Times New Roman" w:hAnsi="Times New Roman" w:cs="Times New Roman"/>
          <w:color w:val="000000" w:themeColor="text1"/>
        </w:rPr>
        <w:t xml:space="preserve"> Dawes and Lynskey, “The ever-longer arm of EC law: The extension of Community competence into the field of criminal law”</w:t>
      </w:r>
      <w:r w:rsidR="00EC1B43" w:rsidRPr="00EC1B43">
        <w:rPr>
          <w:rFonts w:ascii="Times New Roman" w:hAnsi="Times New Roman" w:cs="Times New Roman"/>
          <w:color w:val="000000" w:themeColor="text1"/>
        </w:rPr>
        <w:t>,</w:t>
      </w:r>
      <w:r w:rsidR="00F91316" w:rsidRPr="00EC1B43">
        <w:rPr>
          <w:rFonts w:ascii="Times New Roman" w:hAnsi="Times New Roman" w:cs="Times New Roman"/>
          <w:color w:val="000000" w:themeColor="text1"/>
        </w:rPr>
        <w:t xml:space="preserve"> 45 </w:t>
      </w:r>
      <w:r w:rsidR="00080AD3" w:rsidRPr="00EC1B43">
        <w:rPr>
          <w:rFonts w:ascii="Times New Roman" w:hAnsi="Times New Roman" w:cs="Times New Roman"/>
          <w:color w:val="000000" w:themeColor="text1"/>
        </w:rPr>
        <w:t>CML Rev.</w:t>
      </w:r>
      <w:r w:rsidR="00F91316"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(2008), </w:t>
      </w:r>
      <w:r w:rsidR="00F91316" w:rsidRPr="00EC1B43">
        <w:rPr>
          <w:rFonts w:ascii="Times New Roman" w:hAnsi="Times New Roman" w:cs="Times New Roman"/>
          <w:color w:val="000000" w:themeColor="text1"/>
        </w:rPr>
        <w:t>131.</w:t>
      </w:r>
    </w:p>
  </w:footnote>
  <w:footnote w:id="62">
    <w:p w14:paraId="5DF35007" w14:textId="29EFBED4"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Framework Decision 2005/667, O</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J</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2005</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L</w:t>
      </w:r>
      <w:r w:rsidR="00EC1B43" w:rsidRPr="00EC1B43">
        <w:rPr>
          <w:rFonts w:ascii="Times New Roman" w:hAnsi="Times New Roman" w:cs="Times New Roman"/>
          <w:color w:val="000000" w:themeColor="text1"/>
        </w:rPr>
        <w:t xml:space="preserve"> </w:t>
      </w:r>
      <w:r w:rsidRPr="00EC1B43">
        <w:rPr>
          <w:rFonts w:ascii="Times New Roman" w:hAnsi="Times New Roman" w:cs="Times New Roman"/>
          <w:color w:val="000000" w:themeColor="text1"/>
        </w:rPr>
        <w:t>255/164; Directive 2005/35, O</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J</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2005</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L</w:t>
      </w:r>
      <w:r w:rsidR="00EC1B43" w:rsidRPr="00EC1B43">
        <w:rPr>
          <w:rFonts w:ascii="Times New Roman" w:hAnsi="Times New Roman" w:cs="Times New Roman"/>
          <w:color w:val="000000" w:themeColor="text1"/>
        </w:rPr>
        <w:t xml:space="preserve"> </w:t>
      </w:r>
      <w:r w:rsidRPr="00EC1B43">
        <w:rPr>
          <w:rFonts w:ascii="Times New Roman" w:hAnsi="Times New Roman" w:cs="Times New Roman"/>
          <w:color w:val="000000" w:themeColor="text1"/>
        </w:rPr>
        <w:t>255/11.</w:t>
      </w:r>
    </w:p>
  </w:footnote>
  <w:footnote w:id="63">
    <w:p w14:paraId="0DEF385E" w14:textId="02609F22" w:rsidR="00AD182F" w:rsidRPr="00EC1B43" w:rsidRDefault="00AD182F"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Following Case C-176/03, </w:t>
      </w:r>
      <w:r w:rsidRPr="00EC1B43">
        <w:rPr>
          <w:rFonts w:ascii="Times New Roman" w:hAnsi="Times New Roman" w:cs="Times New Roman"/>
          <w:i/>
          <w:iCs/>
          <w:color w:val="000000" w:themeColor="text1"/>
        </w:rPr>
        <w:t xml:space="preserve">Commission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Pr="00EC1B43">
        <w:rPr>
          <w:rFonts w:ascii="Times New Roman" w:eastAsia="Times New Roman" w:hAnsi="Times New Roman" w:cs="Times New Roman"/>
          <w:color w:val="000000" w:themeColor="text1"/>
          <w:lang w:eastAsia="en-GB"/>
        </w:rPr>
        <w:t>EU:C:2005:542.</w:t>
      </w:r>
    </w:p>
  </w:footnote>
  <w:footnote w:id="64">
    <w:p w14:paraId="6832FDE5" w14:textId="4E51AC92"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Though </w:t>
      </w:r>
      <w:r w:rsidR="006D395A" w:rsidRPr="00EC1B43">
        <w:rPr>
          <w:rFonts w:ascii="Times New Roman" w:hAnsi="Times New Roman" w:cs="Times New Roman"/>
          <w:color w:val="000000" w:themeColor="text1"/>
        </w:rPr>
        <w:t xml:space="preserve">the offending </w:t>
      </w:r>
      <w:r w:rsidRPr="00EC1B43">
        <w:rPr>
          <w:rFonts w:ascii="Times New Roman" w:hAnsi="Times New Roman" w:cs="Times New Roman"/>
          <w:color w:val="000000" w:themeColor="text1"/>
        </w:rPr>
        <w:t xml:space="preserve">provisions </w:t>
      </w:r>
      <w:r w:rsidR="006D395A" w:rsidRPr="00EC1B43">
        <w:rPr>
          <w:rFonts w:ascii="Times New Roman" w:hAnsi="Times New Roman" w:cs="Times New Roman"/>
          <w:color w:val="000000" w:themeColor="text1"/>
        </w:rPr>
        <w:t xml:space="preserve">were </w:t>
      </w:r>
      <w:r w:rsidRPr="00EC1B43">
        <w:rPr>
          <w:rFonts w:ascii="Times New Roman" w:hAnsi="Times New Roman" w:cs="Times New Roman"/>
          <w:color w:val="000000" w:themeColor="text1"/>
        </w:rPr>
        <w:t>considered non-severable</w:t>
      </w:r>
      <w:r w:rsidR="006D395A"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so </w:t>
      </w:r>
      <w:r w:rsidR="006D395A" w:rsidRPr="00EC1B43">
        <w:rPr>
          <w:rFonts w:ascii="Times New Roman" w:hAnsi="Times New Roman" w:cs="Times New Roman"/>
          <w:color w:val="000000" w:themeColor="text1"/>
        </w:rPr>
        <w:t xml:space="preserve">the </w:t>
      </w:r>
      <w:r w:rsidRPr="00EC1B43">
        <w:rPr>
          <w:rFonts w:ascii="Times New Roman" w:hAnsi="Times New Roman" w:cs="Times New Roman"/>
          <w:color w:val="000000" w:themeColor="text1"/>
        </w:rPr>
        <w:t xml:space="preserve">entire </w:t>
      </w:r>
      <w:r w:rsidR="006D395A" w:rsidRPr="00EC1B43">
        <w:rPr>
          <w:rFonts w:ascii="Times New Roman" w:hAnsi="Times New Roman" w:cs="Times New Roman"/>
          <w:color w:val="000000" w:themeColor="text1"/>
        </w:rPr>
        <w:t xml:space="preserve">Framework Decision </w:t>
      </w:r>
      <w:r w:rsidRPr="00EC1B43">
        <w:rPr>
          <w:rFonts w:ascii="Times New Roman" w:hAnsi="Times New Roman" w:cs="Times New Roman"/>
          <w:color w:val="000000" w:themeColor="text1"/>
        </w:rPr>
        <w:t>was annulled.</w:t>
      </w:r>
    </w:p>
  </w:footnote>
  <w:footnote w:id="65">
    <w:p w14:paraId="3F54A5CB" w14:textId="4F497D56" w:rsidR="001D2519" w:rsidRPr="00EC1B43" w:rsidRDefault="001D2519"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Case C-370/12, </w:t>
      </w:r>
      <w:r w:rsidRPr="00EC1B43">
        <w:rPr>
          <w:rFonts w:ascii="Times New Roman" w:hAnsi="Times New Roman" w:cs="Times New Roman"/>
          <w:i/>
          <w:iCs/>
          <w:color w:val="000000" w:themeColor="text1"/>
        </w:rPr>
        <w:t>Pringle</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2012</w:t>
      </w:r>
      <w:r w:rsidR="006D395A" w:rsidRPr="00EC1B43">
        <w:rPr>
          <w:rFonts w:ascii="Times New Roman" w:hAnsi="Times New Roman" w:cs="Times New Roman"/>
          <w:color w:val="000000" w:themeColor="text1"/>
        </w:rPr>
        <w:t>:756</w:t>
      </w:r>
      <w:r w:rsidRPr="00EC1B43">
        <w:rPr>
          <w:rFonts w:ascii="Times New Roman" w:hAnsi="Times New Roman" w:cs="Times New Roman"/>
          <w:color w:val="000000" w:themeColor="text1"/>
        </w:rPr>
        <w:t xml:space="preserve">.  </w:t>
      </w:r>
      <w:r w:rsidR="00EC03FC" w:rsidRPr="00EC1B43">
        <w:rPr>
          <w:rFonts w:ascii="Times New Roman" w:hAnsi="Times New Roman" w:cs="Times New Roman"/>
          <w:color w:val="000000" w:themeColor="text1"/>
        </w:rPr>
        <w:t xml:space="preserve">See further, </w:t>
      </w:r>
      <w:proofErr w:type="gramStart"/>
      <w:r w:rsidR="00EC03FC" w:rsidRPr="00EC1B43">
        <w:rPr>
          <w:rFonts w:ascii="Times New Roman" w:hAnsi="Times New Roman" w:cs="Times New Roman"/>
          <w:color w:val="000000" w:themeColor="text1"/>
        </w:rPr>
        <w:t>e.g.</w:t>
      </w:r>
      <w:proofErr w:type="gramEnd"/>
      <w:r w:rsidR="00EC03FC" w:rsidRPr="00EC1B43">
        <w:rPr>
          <w:rFonts w:ascii="Times New Roman" w:hAnsi="Times New Roman" w:cs="Times New Roman"/>
          <w:color w:val="000000" w:themeColor="text1"/>
        </w:rPr>
        <w:t xml:space="preserve"> de Witte and </w:t>
      </w:r>
      <w:proofErr w:type="spellStart"/>
      <w:r w:rsidR="00EC03FC" w:rsidRPr="00EC1B43">
        <w:rPr>
          <w:rFonts w:ascii="Times New Roman" w:hAnsi="Times New Roman" w:cs="Times New Roman"/>
          <w:color w:val="000000" w:themeColor="text1"/>
        </w:rPr>
        <w:t>Beukers</w:t>
      </w:r>
      <w:proofErr w:type="spellEnd"/>
      <w:r w:rsidR="00EC03FC" w:rsidRPr="00EC1B43">
        <w:rPr>
          <w:rFonts w:ascii="Times New Roman" w:hAnsi="Times New Roman" w:cs="Times New Roman"/>
          <w:color w:val="000000" w:themeColor="text1"/>
        </w:rPr>
        <w:t xml:space="preserve">, “The Court of Justice approves the creation of the European Stability Mechanism outside the EU legal order: </w:t>
      </w:r>
      <w:r w:rsidR="00EC03FC" w:rsidRPr="00EC1B43">
        <w:rPr>
          <w:rFonts w:ascii="Times New Roman" w:hAnsi="Times New Roman" w:cs="Times New Roman"/>
          <w:i/>
          <w:iCs/>
          <w:color w:val="000000" w:themeColor="text1"/>
        </w:rPr>
        <w:t>Pringle</w:t>
      </w:r>
      <w:r w:rsidR="00EC03FC" w:rsidRPr="00EC1B43">
        <w:rPr>
          <w:rFonts w:ascii="Times New Roman" w:hAnsi="Times New Roman" w:cs="Times New Roman"/>
          <w:color w:val="000000" w:themeColor="text1"/>
        </w:rPr>
        <w:t>”</w:t>
      </w:r>
      <w:r w:rsidR="00EC1B43" w:rsidRPr="00EC1B43">
        <w:rPr>
          <w:rFonts w:ascii="Times New Roman" w:hAnsi="Times New Roman" w:cs="Times New Roman"/>
          <w:color w:val="000000" w:themeColor="text1"/>
        </w:rPr>
        <w:t>,</w:t>
      </w:r>
      <w:r w:rsidR="00EC03FC" w:rsidRPr="00EC1B43">
        <w:rPr>
          <w:rFonts w:ascii="Times New Roman" w:hAnsi="Times New Roman" w:cs="Times New Roman"/>
          <w:color w:val="000000" w:themeColor="text1"/>
        </w:rPr>
        <w:t xml:space="preserve"> 50 </w:t>
      </w:r>
      <w:r w:rsidR="00080AD3" w:rsidRPr="00EC1B43">
        <w:rPr>
          <w:rFonts w:ascii="Times New Roman" w:hAnsi="Times New Roman" w:cs="Times New Roman"/>
          <w:color w:val="000000" w:themeColor="text1"/>
        </w:rPr>
        <w:t>CML Rev.</w:t>
      </w:r>
      <w:r w:rsidR="00EC03FC"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(2013), </w:t>
      </w:r>
      <w:r w:rsidR="00EC03FC" w:rsidRPr="00EC1B43">
        <w:rPr>
          <w:rFonts w:ascii="Times New Roman" w:hAnsi="Times New Roman" w:cs="Times New Roman"/>
          <w:color w:val="000000" w:themeColor="text1"/>
        </w:rPr>
        <w:t>805</w:t>
      </w:r>
      <w:r w:rsidR="00F55AD4" w:rsidRPr="00EC1B43">
        <w:rPr>
          <w:rFonts w:ascii="Times New Roman" w:hAnsi="Times New Roman" w:cs="Times New Roman"/>
          <w:color w:val="000000" w:themeColor="text1"/>
        </w:rPr>
        <w:t xml:space="preserve">; Adam and </w:t>
      </w:r>
      <w:proofErr w:type="spellStart"/>
      <w:r w:rsidR="00F55AD4" w:rsidRPr="00EC1B43">
        <w:rPr>
          <w:rFonts w:ascii="Times New Roman" w:hAnsi="Times New Roman" w:cs="Times New Roman"/>
          <w:color w:val="000000" w:themeColor="text1"/>
        </w:rPr>
        <w:t>Parras</w:t>
      </w:r>
      <w:proofErr w:type="spellEnd"/>
      <w:r w:rsidR="00F55AD4" w:rsidRPr="00EC1B43">
        <w:rPr>
          <w:rFonts w:ascii="Times New Roman" w:hAnsi="Times New Roman" w:cs="Times New Roman"/>
          <w:color w:val="000000" w:themeColor="text1"/>
        </w:rPr>
        <w:t xml:space="preserve">, “The European Stability Mechanism through the legal meanderings of the Union’s constitutionalism: comment on </w:t>
      </w:r>
      <w:r w:rsidR="00F55AD4" w:rsidRPr="00EC1B43">
        <w:rPr>
          <w:rFonts w:ascii="Times New Roman" w:hAnsi="Times New Roman" w:cs="Times New Roman"/>
          <w:i/>
          <w:iCs/>
          <w:color w:val="000000" w:themeColor="text1"/>
        </w:rPr>
        <w:t>Pringle</w:t>
      </w:r>
      <w:r w:rsidR="00F55AD4" w:rsidRPr="00EC1B43">
        <w:rPr>
          <w:rFonts w:ascii="Times New Roman" w:hAnsi="Times New Roman" w:cs="Times New Roman"/>
          <w:color w:val="000000" w:themeColor="text1"/>
        </w:rPr>
        <w:t>”</w:t>
      </w:r>
      <w:r w:rsidR="00EC1B43" w:rsidRPr="00EC1B43">
        <w:rPr>
          <w:rFonts w:ascii="Times New Roman" w:hAnsi="Times New Roman" w:cs="Times New Roman"/>
          <w:color w:val="000000" w:themeColor="text1"/>
        </w:rPr>
        <w:t>,</w:t>
      </w:r>
      <w:r w:rsidR="00F55AD4" w:rsidRPr="00EC1B43">
        <w:rPr>
          <w:rFonts w:ascii="Times New Roman" w:hAnsi="Times New Roman" w:cs="Times New Roman"/>
          <w:color w:val="000000" w:themeColor="text1"/>
        </w:rPr>
        <w:t xml:space="preserve"> 38 </w:t>
      </w:r>
      <w:r w:rsidR="00EC1B43" w:rsidRPr="00EC1B43">
        <w:rPr>
          <w:rFonts w:ascii="Times New Roman" w:hAnsi="Times New Roman" w:cs="Times New Roman"/>
          <w:color w:val="000000" w:themeColor="text1"/>
        </w:rPr>
        <w:t>EL Rev.</w:t>
      </w:r>
      <w:r w:rsidR="00F55AD4"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(2013), </w:t>
      </w:r>
      <w:r w:rsidR="00F55AD4" w:rsidRPr="00EC1B43">
        <w:rPr>
          <w:rFonts w:ascii="Times New Roman" w:hAnsi="Times New Roman" w:cs="Times New Roman"/>
          <w:color w:val="000000" w:themeColor="text1"/>
        </w:rPr>
        <w:t>848</w:t>
      </w:r>
      <w:r w:rsidR="00EC03FC" w:rsidRPr="00EC1B43">
        <w:rPr>
          <w:rFonts w:ascii="Times New Roman" w:hAnsi="Times New Roman" w:cs="Times New Roman"/>
          <w:color w:val="000000" w:themeColor="text1"/>
        </w:rPr>
        <w:t xml:space="preserve">. </w:t>
      </w:r>
    </w:p>
  </w:footnote>
  <w:footnote w:id="66">
    <w:p w14:paraId="5808E9A0" w14:textId="5D27B88E" w:rsidR="002E1877" w:rsidRPr="00EC1B43" w:rsidRDefault="002E1877"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 xml:space="preserve">European Council Decision 2011/199 amending Article 136 TFEU </w:t>
      </w:r>
      <w:proofErr w:type="gramStart"/>
      <w:r w:rsidR="006D395A" w:rsidRPr="00EC1B43">
        <w:rPr>
          <w:rFonts w:ascii="Times New Roman" w:hAnsi="Times New Roman" w:cs="Times New Roman"/>
          <w:color w:val="000000" w:themeColor="text1"/>
        </w:rPr>
        <w:t>with regard to</w:t>
      </w:r>
      <w:proofErr w:type="gramEnd"/>
      <w:r w:rsidR="006D395A" w:rsidRPr="00EC1B43">
        <w:rPr>
          <w:rFonts w:ascii="Times New Roman" w:hAnsi="Times New Roman" w:cs="Times New Roman"/>
          <w:color w:val="000000" w:themeColor="text1"/>
        </w:rPr>
        <w:t xml:space="preserve"> a stability mechanism for Member States whose currency is the euro, </w:t>
      </w:r>
      <w:r w:rsidR="00EC1B43" w:rsidRPr="00EC1B43">
        <w:rPr>
          <w:rFonts w:ascii="Times New Roman" w:hAnsi="Times New Roman" w:cs="Times New Roman"/>
          <w:color w:val="000000" w:themeColor="text1"/>
        </w:rPr>
        <w:t>O.J. 2011,</w:t>
      </w:r>
      <w:r w:rsidR="006D395A" w:rsidRPr="00EC1B43">
        <w:rPr>
          <w:rFonts w:ascii="Times New Roman" w:hAnsi="Times New Roman" w:cs="Times New Roman"/>
          <w:color w:val="000000" w:themeColor="text1"/>
        </w:rPr>
        <w:t xml:space="preserve"> L</w:t>
      </w:r>
      <w:r w:rsidR="00EC1B43"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91/1.</w:t>
      </w:r>
    </w:p>
  </w:footnote>
  <w:footnote w:id="67">
    <w:p w14:paraId="300A4060" w14:textId="41B5F0F6"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In which regard, recall also,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C-62/14, </w:t>
      </w:r>
      <w:proofErr w:type="spellStart"/>
      <w:r w:rsidRPr="00EC1B43">
        <w:rPr>
          <w:rFonts w:ascii="Times New Roman" w:hAnsi="Times New Roman" w:cs="Times New Roman"/>
          <w:i/>
          <w:iCs/>
          <w:color w:val="000000" w:themeColor="text1"/>
        </w:rPr>
        <w:t>Gauweiler</w:t>
      </w:r>
      <w:proofErr w:type="spellEnd"/>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2015</w:t>
      </w:r>
      <w:r w:rsidR="006D395A" w:rsidRPr="00EC1B43">
        <w:rPr>
          <w:rFonts w:ascii="Times New Roman" w:hAnsi="Times New Roman" w:cs="Times New Roman"/>
          <w:color w:val="000000" w:themeColor="text1"/>
        </w:rPr>
        <w:t>:400</w:t>
      </w:r>
      <w:r w:rsidRPr="00EC1B43">
        <w:rPr>
          <w:rFonts w:ascii="Times New Roman" w:hAnsi="Times New Roman" w:cs="Times New Roman"/>
          <w:color w:val="000000" w:themeColor="text1"/>
        </w:rPr>
        <w:t xml:space="preserve">; Case C-493/17, </w:t>
      </w:r>
      <w:r w:rsidRPr="00EC1B43">
        <w:rPr>
          <w:rFonts w:ascii="Times New Roman" w:hAnsi="Times New Roman" w:cs="Times New Roman"/>
          <w:i/>
          <w:iCs/>
          <w:color w:val="000000" w:themeColor="text1"/>
        </w:rPr>
        <w:t>Weiss</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2018</w:t>
      </w:r>
      <w:r w:rsidR="006D395A" w:rsidRPr="00EC1B43">
        <w:rPr>
          <w:rFonts w:ascii="Times New Roman" w:hAnsi="Times New Roman" w:cs="Times New Roman"/>
          <w:color w:val="000000" w:themeColor="text1"/>
        </w:rPr>
        <w:t>:1000</w:t>
      </w:r>
      <w:r w:rsidRPr="00EC1B43">
        <w:rPr>
          <w:rFonts w:ascii="Times New Roman" w:hAnsi="Times New Roman" w:cs="Times New Roman"/>
          <w:color w:val="000000" w:themeColor="text1"/>
        </w:rPr>
        <w:t xml:space="preserve">.  </w:t>
      </w:r>
    </w:p>
  </w:footnote>
  <w:footnote w:id="68">
    <w:p w14:paraId="6C93AFE2" w14:textId="5417D5E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European Council, Conclusions of 16-17 December 2010, paras 1-8.</w:t>
      </w:r>
    </w:p>
  </w:footnote>
  <w:footnote w:id="69">
    <w:p w14:paraId="486EB58B" w14:textId="15DFC76F"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Case C-156/21, </w:t>
      </w:r>
      <w:r w:rsidRPr="00EC1B43">
        <w:rPr>
          <w:rFonts w:ascii="Times New Roman" w:hAnsi="Times New Roman" w:cs="Times New Roman"/>
          <w:i/>
          <w:iCs/>
          <w:color w:val="000000" w:themeColor="text1"/>
        </w:rPr>
        <w:t xml:space="preserve">Hungary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2022</w:t>
      </w:r>
      <w:r w:rsidR="006D395A" w:rsidRPr="00EC1B43">
        <w:rPr>
          <w:rFonts w:ascii="Times New Roman" w:hAnsi="Times New Roman" w:cs="Times New Roman"/>
          <w:color w:val="000000" w:themeColor="text1"/>
        </w:rPr>
        <w:t>:97</w:t>
      </w:r>
      <w:r w:rsidRPr="00EC1B43">
        <w:rPr>
          <w:rFonts w:ascii="Times New Roman" w:hAnsi="Times New Roman" w:cs="Times New Roman"/>
          <w:color w:val="000000" w:themeColor="text1"/>
        </w:rPr>
        <w:t>; Case C-157/21</w:t>
      </w:r>
      <w:r w:rsidR="006D395A" w:rsidRPr="00EC1B43">
        <w:rPr>
          <w:rFonts w:ascii="Times New Roman" w:hAnsi="Times New Roman" w:cs="Times New Roman"/>
          <w:color w:val="000000" w:themeColor="text1"/>
        </w:rPr>
        <w:t xml:space="preserve">, </w:t>
      </w:r>
      <w:r w:rsidRPr="00EC1B43">
        <w:rPr>
          <w:rFonts w:ascii="Times New Roman" w:hAnsi="Times New Roman" w:cs="Times New Roman"/>
          <w:i/>
          <w:iCs/>
          <w:color w:val="000000" w:themeColor="text1"/>
        </w:rPr>
        <w:t xml:space="preserve">Poland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Parliament and Council</w:t>
      </w:r>
      <w:r w:rsidRPr="00EC1B43">
        <w:rPr>
          <w:rFonts w:ascii="Times New Roman" w:hAnsi="Times New Roman" w:cs="Times New Roman"/>
          <w:color w:val="000000" w:themeColor="text1"/>
        </w:rPr>
        <w:t xml:space="preserve">, </w:t>
      </w:r>
      <w:r w:rsidR="006D395A"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2022</w:t>
      </w:r>
      <w:r w:rsidR="006D395A" w:rsidRPr="00EC1B43">
        <w:rPr>
          <w:rFonts w:ascii="Times New Roman" w:hAnsi="Times New Roman" w:cs="Times New Roman"/>
          <w:color w:val="000000" w:themeColor="text1"/>
        </w:rPr>
        <w:t>:98</w:t>
      </w:r>
      <w:r w:rsidRPr="00EC1B43">
        <w:rPr>
          <w:rFonts w:ascii="Times New Roman" w:hAnsi="Times New Roman" w:cs="Times New Roman"/>
          <w:color w:val="000000" w:themeColor="text1"/>
        </w:rPr>
        <w:t>.</w:t>
      </w:r>
      <w:r w:rsidR="00B632C0" w:rsidRPr="00EC1B43">
        <w:rPr>
          <w:rFonts w:ascii="Times New Roman" w:hAnsi="Times New Roman" w:cs="Times New Roman"/>
          <w:color w:val="000000" w:themeColor="text1"/>
        </w:rPr>
        <w:t xml:space="preserve">  See further, e.g. Borger, “Constitutional identity, the rule of law, and the power of the purse: The ECJ approves the conditionality mechanism for the protection of the Union budget”</w:t>
      </w:r>
      <w:r w:rsidR="00EC1B43" w:rsidRPr="00EC1B43">
        <w:rPr>
          <w:rFonts w:ascii="Times New Roman" w:hAnsi="Times New Roman" w:cs="Times New Roman"/>
          <w:color w:val="000000" w:themeColor="text1"/>
        </w:rPr>
        <w:t>,</w:t>
      </w:r>
      <w:r w:rsidR="00B632C0"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B632C0"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(2022), </w:t>
      </w:r>
      <w:r w:rsidR="00B632C0" w:rsidRPr="00EC1B43">
        <w:rPr>
          <w:rFonts w:ascii="Times New Roman" w:hAnsi="Times New Roman" w:cs="Times New Roman"/>
          <w:color w:val="000000" w:themeColor="text1"/>
        </w:rPr>
        <w:t>1771</w:t>
      </w:r>
      <w:r w:rsidR="00472C74" w:rsidRPr="00EC1B43">
        <w:rPr>
          <w:rFonts w:ascii="Times New Roman" w:hAnsi="Times New Roman" w:cs="Times New Roman"/>
          <w:color w:val="000000" w:themeColor="text1"/>
        </w:rPr>
        <w:t xml:space="preserve">; </w:t>
      </w:r>
      <w:proofErr w:type="spellStart"/>
      <w:r w:rsidR="00472C74" w:rsidRPr="00EC1B43">
        <w:rPr>
          <w:rFonts w:ascii="Times New Roman" w:hAnsi="Times New Roman" w:cs="Times New Roman"/>
          <w:color w:val="000000" w:themeColor="text1"/>
        </w:rPr>
        <w:t>Baraggia</w:t>
      </w:r>
      <w:proofErr w:type="spellEnd"/>
      <w:r w:rsidR="00472C74" w:rsidRPr="00EC1B43">
        <w:rPr>
          <w:rFonts w:ascii="Times New Roman" w:hAnsi="Times New Roman" w:cs="Times New Roman"/>
          <w:color w:val="000000" w:themeColor="text1"/>
        </w:rPr>
        <w:t xml:space="preserve">, </w:t>
      </w:r>
      <w:r w:rsidR="00C526DA" w:rsidRPr="00EC1B43">
        <w:rPr>
          <w:rFonts w:ascii="Times New Roman" w:hAnsi="Times New Roman" w:cs="Times New Roman"/>
          <w:color w:val="000000" w:themeColor="text1"/>
        </w:rPr>
        <w:t>“The ‘Conditionality’ Regulation under the ECJ’s Scrutiny: A Constitutional Analysis”</w:t>
      </w:r>
      <w:r w:rsidR="00EC1B43" w:rsidRPr="00EC1B43">
        <w:rPr>
          <w:rFonts w:ascii="Times New Roman" w:hAnsi="Times New Roman" w:cs="Times New Roman"/>
          <w:color w:val="000000" w:themeColor="text1"/>
        </w:rPr>
        <w:t>,</w:t>
      </w:r>
      <w:r w:rsidR="00C526DA" w:rsidRPr="00EC1B43">
        <w:rPr>
          <w:rFonts w:ascii="Times New Roman" w:hAnsi="Times New Roman" w:cs="Times New Roman"/>
          <w:color w:val="000000" w:themeColor="text1"/>
        </w:rPr>
        <w:t xml:space="preserve"> 47 </w:t>
      </w:r>
      <w:r w:rsidR="00EC1B43" w:rsidRPr="00EC1B43">
        <w:rPr>
          <w:rFonts w:ascii="Times New Roman" w:hAnsi="Times New Roman" w:cs="Times New Roman"/>
          <w:color w:val="000000" w:themeColor="text1"/>
        </w:rPr>
        <w:t>EL Rev.</w:t>
      </w:r>
      <w:r w:rsidR="00C526DA"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(2022), </w:t>
      </w:r>
      <w:r w:rsidR="00C526DA" w:rsidRPr="00EC1B43">
        <w:rPr>
          <w:rFonts w:ascii="Times New Roman" w:hAnsi="Times New Roman" w:cs="Times New Roman"/>
          <w:color w:val="000000" w:themeColor="text1"/>
        </w:rPr>
        <w:t>687</w:t>
      </w:r>
      <w:r w:rsidR="00B632C0" w:rsidRPr="00EC1B43">
        <w:rPr>
          <w:rFonts w:ascii="Times New Roman" w:hAnsi="Times New Roman" w:cs="Times New Roman"/>
          <w:color w:val="000000" w:themeColor="text1"/>
        </w:rPr>
        <w:t>.</w:t>
      </w:r>
    </w:p>
  </w:footnote>
  <w:footnote w:id="70">
    <w:p w14:paraId="219626E2" w14:textId="58F6D3C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Regulation 2020/2092, O</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J</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2020</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L</w:t>
      </w:r>
      <w:r w:rsidR="00EC1B43" w:rsidRPr="00EC1B43">
        <w:rPr>
          <w:rFonts w:ascii="Times New Roman" w:hAnsi="Times New Roman" w:cs="Times New Roman"/>
          <w:color w:val="000000" w:themeColor="text1"/>
        </w:rPr>
        <w:t xml:space="preserve"> </w:t>
      </w:r>
      <w:r w:rsidRPr="00EC1B43">
        <w:rPr>
          <w:rFonts w:ascii="Times New Roman" w:hAnsi="Times New Roman" w:cs="Times New Roman"/>
          <w:color w:val="000000" w:themeColor="text1"/>
        </w:rPr>
        <w:t>433I/1 (as corrected by O</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J</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2021</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L</w:t>
      </w:r>
      <w:r w:rsidR="00EC1B43" w:rsidRPr="00EC1B43">
        <w:rPr>
          <w:rFonts w:ascii="Times New Roman" w:hAnsi="Times New Roman" w:cs="Times New Roman"/>
          <w:color w:val="000000" w:themeColor="text1"/>
        </w:rPr>
        <w:t xml:space="preserve"> </w:t>
      </w:r>
      <w:r w:rsidRPr="00EC1B43">
        <w:rPr>
          <w:rFonts w:ascii="Times New Roman" w:hAnsi="Times New Roman" w:cs="Times New Roman"/>
          <w:color w:val="000000" w:themeColor="text1"/>
        </w:rPr>
        <w:t xml:space="preserve">373/94).  </w:t>
      </w:r>
    </w:p>
  </w:footnote>
  <w:footnote w:id="71">
    <w:p w14:paraId="69407BFF" w14:textId="0F1060E2"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European Council, Conclusions of 10-11 December 2020, para 4.</w:t>
      </w:r>
    </w:p>
  </w:footnote>
  <w:footnote w:id="72">
    <w:p w14:paraId="5AA5E9DB" w14:textId="1569ACA3" w:rsidR="00D36CDF" w:rsidRPr="00EC1B43" w:rsidRDefault="00D36CDF"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The Court’s only brief allusion to the wider policy package comes from its direct quotation of the recitals to Regulation 2020/2092, when summarising the contested act at the outset of the ruling: see para</w:t>
      </w:r>
      <w:r w:rsidR="007C1656" w:rsidRPr="00EC1B43">
        <w:rPr>
          <w:rFonts w:ascii="Times New Roman" w:hAnsi="Times New Roman" w:cs="Times New Roman"/>
          <w:color w:val="000000" w:themeColor="text1"/>
        </w:rPr>
        <w:t>s</w:t>
      </w:r>
      <w:r w:rsidRPr="00EC1B43">
        <w:rPr>
          <w:rFonts w:ascii="Times New Roman" w:hAnsi="Times New Roman" w:cs="Times New Roman"/>
          <w:color w:val="000000" w:themeColor="text1"/>
        </w:rPr>
        <w:t xml:space="preserve"> 18 </w:t>
      </w:r>
      <w:r w:rsidR="007C1656" w:rsidRPr="00EC1B43">
        <w:rPr>
          <w:rFonts w:ascii="Times New Roman" w:hAnsi="Times New Roman" w:cs="Times New Roman"/>
          <w:color w:val="000000" w:themeColor="text1"/>
        </w:rPr>
        <w:t xml:space="preserve">and 16 of the </w:t>
      </w:r>
      <w:r w:rsidRPr="00EC1B43">
        <w:rPr>
          <w:rFonts w:ascii="Times New Roman" w:hAnsi="Times New Roman" w:cs="Times New Roman"/>
          <w:i/>
          <w:iCs/>
          <w:color w:val="000000" w:themeColor="text1"/>
        </w:rPr>
        <w:t xml:space="preserve">Hungary </w:t>
      </w:r>
      <w:r w:rsidR="007C1656" w:rsidRPr="00EC1B43">
        <w:rPr>
          <w:rFonts w:ascii="Times New Roman" w:hAnsi="Times New Roman" w:cs="Times New Roman"/>
          <w:color w:val="000000" w:themeColor="text1"/>
        </w:rPr>
        <w:t xml:space="preserve">and </w:t>
      </w:r>
      <w:r w:rsidRPr="00EC1B43">
        <w:rPr>
          <w:rFonts w:ascii="Times New Roman" w:hAnsi="Times New Roman" w:cs="Times New Roman"/>
          <w:i/>
          <w:iCs/>
          <w:color w:val="000000" w:themeColor="text1"/>
        </w:rPr>
        <w:t>Poland</w:t>
      </w:r>
      <w:r w:rsidR="007C1656" w:rsidRPr="00EC1B43">
        <w:rPr>
          <w:rFonts w:ascii="Times New Roman" w:hAnsi="Times New Roman" w:cs="Times New Roman"/>
          <w:i/>
          <w:iCs/>
          <w:color w:val="000000" w:themeColor="text1"/>
        </w:rPr>
        <w:t xml:space="preserve"> </w:t>
      </w:r>
      <w:r w:rsidR="007C1656" w:rsidRPr="00EC1B43">
        <w:rPr>
          <w:rFonts w:ascii="Times New Roman" w:hAnsi="Times New Roman" w:cs="Times New Roman"/>
          <w:color w:val="000000" w:themeColor="text1"/>
        </w:rPr>
        <w:t>rulings (respectively)</w:t>
      </w:r>
      <w:r w:rsidRPr="00EC1B43">
        <w:rPr>
          <w:rFonts w:ascii="Times New Roman" w:hAnsi="Times New Roman" w:cs="Times New Roman"/>
          <w:color w:val="000000" w:themeColor="text1"/>
        </w:rPr>
        <w:t>.</w:t>
      </w:r>
    </w:p>
  </w:footnote>
  <w:footnote w:id="73">
    <w:p w14:paraId="6B0FE3BE" w14:textId="6DE30755" w:rsidR="002E1877" w:rsidRPr="00EC1B43" w:rsidRDefault="002E1877"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We will</w:t>
      </w:r>
      <w:r w:rsidRPr="00EC1B43">
        <w:rPr>
          <w:rFonts w:ascii="Times New Roman" w:hAnsi="Times New Roman" w:cs="Times New Roman"/>
          <w:color w:val="000000" w:themeColor="text1"/>
        </w:rPr>
        <w:t xml:space="preserve"> consider below whether </w:t>
      </w:r>
      <w:r w:rsidR="007C1656" w:rsidRPr="00EC1B43">
        <w:rPr>
          <w:rFonts w:ascii="Times New Roman" w:hAnsi="Times New Roman" w:cs="Times New Roman"/>
          <w:color w:val="000000" w:themeColor="text1"/>
        </w:rPr>
        <w:t xml:space="preserve">the package as such </w:t>
      </w:r>
      <w:r w:rsidRPr="00EC1B43">
        <w:rPr>
          <w:rFonts w:ascii="Times New Roman" w:hAnsi="Times New Roman" w:cs="Times New Roman"/>
          <w:i/>
          <w:iCs/>
          <w:color w:val="000000" w:themeColor="text1"/>
        </w:rPr>
        <w:t>could</w:t>
      </w:r>
      <w:r w:rsidRPr="00EC1B43">
        <w:rPr>
          <w:rFonts w:ascii="Times New Roman" w:hAnsi="Times New Roman" w:cs="Times New Roman"/>
          <w:color w:val="000000" w:themeColor="text1"/>
        </w:rPr>
        <w:t xml:space="preserve"> be </w:t>
      </w:r>
      <w:r w:rsidR="007C1656" w:rsidRPr="00EC1B43">
        <w:rPr>
          <w:rFonts w:ascii="Times New Roman" w:hAnsi="Times New Roman" w:cs="Times New Roman"/>
          <w:color w:val="000000" w:themeColor="text1"/>
        </w:rPr>
        <w:t xml:space="preserve">treated as </w:t>
      </w:r>
      <w:r w:rsidRPr="00EC1B43">
        <w:rPr>
          <w:rFonts w:ascii="Times New Roman" w:hAnsi="Times New Roman" w:cs="Times New Roman"/>
          <w:color w:val="000000" w:themeColor="text1"/>
        </w:rPr>
        <w:t xml:space="preserve">a factor </w:t>
      </w:r>
      <w:r w:rsidR="007C1656" w:rsidRPr="00EC1B43">
        <w:rPr>
          <w:rFonts w:ascii="Times New Roman" w:hAnsi="Times New Roman" w:cs="Times New Roman"/>
          <w:color w:val="000000" w:themeColor="text1"/>
        </w:rPr>
        <w:t xml:space="preserve">relevant to the Court’s </w:t>
      </w:r>
      <w:r w:rsidRPr="00EC1B43">
        <w:rPr>
          <w:rFonts w:ascii="Times New Roman" w:hAnsi="Times New Roman" w:cs="Times New Roman"/>
          <w:color w:val="000000" w:themeColor="text1"/>
        </w:rPr>
        <w:t xml:space="preserve">jurisdiction over </w:t>
      </w:r>
      <w:r w:rsidR="007C1656" w:rsidRPr="00EC1B43">
        <w:rPr>
          <w:rFonts w:ascii="Times New Roman" w:hAnsi="Times New Roman" w:cs="Times New Roman"/>
          <w:color w:val="000000" w:themeColor="text1"/>
        </w:rPr>
        <w:t xml:space="preserve">the </w:t>
      </w:r>
      <w:r w:rsidRPr="00EC1B43">
        <w:rPr>
          <w:rFonts w:ascii="Times New Roman" w:hAnsi="Times New Roman" w:cs="Times New Roman"/>
          <w:color w:val="000000" w:themeColor="text1"/>
        </w:rPr>
        <w:t>consequences</w:t>
      </w:r>
      <w:r w:rsidR="007C1656" w:rsidRPr="00EC1B43">
        <w:rPr>
          <w:rFonts w:ascii="Times New Roman" w:hAnsi="Times New Roman" w:cs="Times New Roman"/>
          <w:color w:val="000000" w:themeColor="text1"/>
        </w:rPr>
        <w:t xml:space="preserve"> of infringement: see section 6.  </w:t>
      </w:r>
    </w:p>
  </w:footnote>
  <w:footnote w:id="74">
    <w:p w14:paraId="40FA9F6D" w14:textId="366EBB80"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E0AA8" w:rsidRPr="00EC1B43">
        <w:rPr>
          <w:rFonts w:ascii="Times New Roman" w:hAnsi="Times New Roman" w:cs="Times New Roman"/>
          <w:color w:val="000000" w:themeColor="text1"/>
        </w:rPr>
        <w:t xml:space="preserve">Consider, </w:t>
      </w:r>
      <w:proofErr w:type="gramStart"/>
      <w:r w:rsidR="007E0AA8" w:rsidRPr="00EC1B43">
        <w:rPr>
          <w:rFonts w:ascii="Times New Roman" w:hAnsi="Times New Roman" w:cs="Times New Roman"/>
          <w:color w:val="000000" w:themeColor="text1"/>
        </w:rPr>
        <w:t>e.g.</w:t>
      </w:r>
      <w:proofErr w:type="gramEnd"/>
      <w:r w:rsidR="007E0AA8" w:rsidRPr="00EC1B43">
        <w:rPr>
          <w:rFonts w:ascii="Times New Roman" w:hAnsi="Times New Roman" w:cs="Times New Roman"/>
          <w:color w:val="000000" w:themeColor="text1"/>
        </w:rPr>
        <w:t xml:space="preserve"> Hervey, “EU Health Law” in Barnard and Peers (eds), </w:t>
      </w:r>
      <w:r w:rsidR="007E0AA8" w:rsidRPr="00EC1B43">
        <w:rPr>
          <w:rFonts w:ascii="Times New Roman" w:hAnsi="Times New Roman" w:cs="Times New Roman"/>
          <w:i/>
          <w:iCs/>
          <w:color w:val="000000" w:themeColor="text1"/>
        </w:rPr>
        <w:t>European Union Law</w:t>
      </w:r>
      <w:r w:rsidR="007E0AA8" w:rsidRPr="00EC1B43">
        <w:rPr>
          <w:rFonts w:ascii="Times New Roman" w:hAnsi="Times New Roman" w:cs="Times New Roman"/>
          <w:color w:val="000000" w:themeColor="text1"/>
        </w:rPr>
        <w:t xml:space="preserve"> (OUP, 4</w:t>
      </w:r>
      <w:r w:rsidR="007E0AA8" w:rsidRPr="00EC1B43">
        <w:rPr>
          <w:rFonts w:ascii="Times New Roman" w:hAnsi="Times New Roman" w:cs="Times New Roman"/>
          <w:color w:val="000000" w:themeColor="text1"/>
          <w:vertAlign w:val="superscript"/>
        </w:rPr>
        <w:t>th</w:t>
      </w:r>
      <w:r w:rsidR="007E0AA8" w:rsidRPr="00EC1B43">
        <w:rPr>
          <w:rFonts w:ascii="Times New Roman" w:hAnsi="Times New Roman" w:cs="Times New Roman"/>
          <w:color w:val="000000" w:themeColor="text1"/>
        </w:rPr>
        <w:t xml:space="preserve"> ed, 2023).</w:t>
      </w:r>
    </w:p>
  </w:footnote>
  <w:footnote w:id="75">
    <w:p w14:paraId="2597033F" w14:textId="7C8007B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Case 242/87, </w:t>
      </w:r>
      <w:r w:rsidRPr="00EC1B43">
        <w:rPr>
          <w:rFonts w:ascii="Times New Roman" w:hAnsi="Times New Roman" w:cs="Times New Roman"/>
          <w:i/>
          <w:iCs/>
          <w:color w:val="000000" w:themeColor="text1"/>
        </w:rPr>
        <w:t xml:space="preserve">Commission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1989</w:t>
      </w:r>
      <w:r w:rsidR="007C1656" w:rsidRPr="00EC1B43">
        <w:rPr>
          <w:rFonts w:ascii="Times New Roman" w:hAnsi="Times New Roman" w:cs="Times New Roman"/>
          <w:color w:val="000000" w:themeColor="text1"/>
        </w:rPr>
        <w:t>:</w:t>
      </w:r>
      <w:r w:rsidR="000E1EBD" w:rsidRPr="00EC1B43">
        <w:rPr>
          <w:rFonts w:ascii="Times New Roman" w:hAnsi="Times New Roman" w:cs="Times New Roman"/>
          <w:color w:val="000000" w:themeColor="text1"/>
        </w:rPr>
        <w:t>217</w:t>
      </w:r>
      <w:r w:rsidRPr="00EC1B43">
        <w:rPr>
          <w:rFonts w:ascii="Times New Roman" w:hAnsi="Times New Roman" w:cs="Times New Roman"/>
          <w:color w:val="000000" w:themeColor="text1"/>
        </w:rPr>
        <w:t xml:space="preserve">; Case C-295/90, </w:t>
      </w:r>
      <w:r w:rsidRPr="00EC1B43">
        <w:rPr>
          <w:rFonts w:ascii="Times New Roman" w:hAnsi="Times New Roman" w:cs="Times New Roman"/>
          <w:i/>
          <w:iCs/>
          <w:color w:val="000000" w:themeColor="text1"/>
        </w:rPr>
        <w:t xml:space="preserve">Parliament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1992</w:t>
      </w:r>
      <w:r w:rsidR="007C1656" w:rsidRPr="00EC1B43">
        <w:rPr>
          <w:rFonts w:ascii="Times New Roman" w:hAnsi="Times New Roman" w:cs="Times New Roman"/>
          <w:color w:val="000000" w:themeColor="text1"/>
        </w:rPr>
        <w:t>:294</w:t>
      </w:r>
      <w:r w:rsidRPr="00EC1B43">
        <w:rPr>
          <w:rFonts w:ascii="Times New Roman" w:hAnsi="Times New Roman" w:cs="Times New Roman"/>
          <w:color w:val="000000" w:themeColor="text1"/>
        </w:rPr>
        <w:t xml:space="preserve">; Case C-440/05, </w:t>
      </w:r>
      <w:r w:rsidRPr="00EC1B43">
        <w:rPr>
          <w:rFonts w:ascii="Times New Roman" w:hAnsi="Times New Roman" w:cs="Times New Roman"/>
          <w:i/>
          <w:iCs/>
          <w:color w:val="000000" w:themeColor="text1"/>
        </w:rPr>
        <w:t xml:space="preserve">Commission </w:t>
      </w:r>
      <w:r w:rsidR="00EC1B43" w:rsidRPr="00EC1B43">
        <w:rPr>
          <w:rFonts w:ascii="Times New Roman" w:hAnsi="Times New Roman" w:cs="Times New Roman"/>
          <w:color w:val="000000" w:themeColor="text1"/>
        </w:rPr>
        <w:t xml:space="preserve">v. </w:t>
      </w:r>
      <w:r w:rsidRPr="00EC1B43">
        <w:rPr>
          <w:rFonts w:ascii="Times New Roman" w:hAnsi="Times New Roman" w:cs="Times New Roman"/>
          <w:i/>
          <w:iCs/>
          <w:color w:val="000000" w:themeColor="text1"/>
        </w:rPr>
        <w:t>Council</w:t>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2007</w:t>
      </w:r>
      <w:r w:rsidR="007C1656" w:rsidRPr="00EC1B43">
        <w:rPr>
          <w:rFonts w:ascii="Times New Roman" w:hAnsi="Times New Roman" w:cs="Times New Roman"/>
          <w:color w:val="000000" w:themeColor="text1"/>
        </w:rPr>
        <w:t>:625</w:t>
      </w:r>
      <w:r w:rsidRPr="00EC1B43">
        <w:rPr>
          <w:rFonts w:ascii="Times New Roman" w:hAnsi="Times New Roman" w:cs="Times New Roman"/>
          <w:color w:val="000000" w:themeColor="text1"/>
        </w:rPr>
        <w:t xml:space="preserve">.  </w:t>
      </w:r>
    </w:p>
  </w:footnote>
  <w:footnote w:id="76">
    <w:p w14:paraId="5E3014A3" w14:textId="55FCC514"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D37A23" w:rsidRPr="00EC1B43">
        <w:rPr>
          <w:rFonts w:ascii="Times New Roman" w:hAnsi="Times New Roman" w:cs="Times New Roman"/>
          <w:color w:val="000000" w:themeColor="text1"/>
        </w:rPr>
        <w:t>E.g.</w:t>
      </w:r>
      <w:proofErr w:type="gramEnd"/>
      <w:r w:rsidR="00D37A23" w:rsidRPr="00EC1B43">
        <w:rPr>
          <w:rFonts w:ascii="Times New Roman" w:hAnsi="Times New Roman" w:cs="Times New Roman"/>
          <w:color w:val="000000" w:themeColor="text1"/>
        </w:rPr>
        <w:t xml:space="preserve"> Joined Cases 281, 283-285 &amp; 287/85, </w:t>
      </w:r>
      <w:r w:rsidR="00D37A23" w:rsidRPr="00EC1B43">
        <w:rPr>
          <w:rFonts w:ascii="Times New Roman" w:hAnsi="Times New Roman" w:cs="Times New Roman"/>
          <w:i/>
          <w:color w:val="000000" w:themeColor="text1"/>
        </w:rPr>
        <w:t xml:space="preserve">Germany </w:t>
      </w:r>
      <w:r w:rsidR="00EC1B43" w:rsidRPr="00EC1B43">
        <w:rPr>
          <w:rFonts w:ascii="Times New Roman" w:hAnsi="Times New Roman" w:cs="Times New Roman"/>
          <w:color w:val="000000" w:themeColor="text1"/>
        </w:rPr>
        <w:t xml:space="preserve">v. </w:t>
      </w:r>
      <w:r w:rsidR="00D37A23" w:rsidRPr="00EC1B43">
        <w:rPr>
          <w:rFonts w:ascii="Times New Roman" w:hAnsi="Times New Roman" w:cs="Times New Roman"/>
          <w:i/>
          <w:color w:val="000000" w:themeColor="text1"/>
        </w:rPr>
        <w:t xml:space="preserve">Commission, </w:t>
      </w:r>
      <w:r w:rsidR="00D37A23" w:rsidRPr="00EC1B43">
        <w:rPr>
          <w:rFonts w:ascii="Times New Roman" w:hAnsi="Times New Roman" w:cs="Times New Roman"/>
          <w:iCs/>
          <w:color w:val="000000" w:themeColor="text1"/>
        </w:rPr>
        <w:t>EU:C:</w:t>
      </w:r>
      <w:r w:rsidR="00D37A23" w:rsidRPr="00EC1B43">
        <w:rPr>
          <w:rFonts w:ascii="Times New Roman" w:hAnsi="Times New Roman" w:cs="Times New Roman"/>
          <w:color w:val="000000" w:themeColor="text1"/>
        </w:rPr>
        <w:t>1987:351.</w:t>
      </w:r>
    </w:p>
  </w:footnote>
  <w:footnote w:id="77">
    <w:p w14:paraId="29BE350D" w14:textId="33B04C5C"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D37A23" w:rsidRPr="00EC1B43">
        <w:rPr>
          <w:rFonts w:ascii="Times New Roman" w:hAnsi="Times New Roman" w:cs="Times New Roman"/>
          <w:color w:val="000000" w:themeColor="text1"/>
        </w:rPr>
        <w:t xml:space="preserve">See further, on the phenomenon of “competence creep”, </w:t>
      </w:r>
      <w:proofErr w:type="gramStart"/>
      <w:r w:rsidR="00D37A23" w:rsidRPr="00EC1B43">
        <w:rPr>
          <w:rFonts w:ascii="Times New Roman" w:hAnsi="Times New Roman" w:cs="Times New Roman"/>
          <w:color w:val="000000" w:themeColor="text1"/>
        </w:rPr>
        <w:t>e.g.</w:t>
      </w:r>
      <w:proofErr w:type="gramEnd"/>
      <w:r w:rsidR="00D37A23" w:rsidRPr="00EC1B43">
        <w:rPr>
          <w:rFonts w:ascii="Times New Roman" w:hAnsi="Times New Roman" w:cs="Times New Roman"/>
          <w:color w:val="000000" w:themeColor="text1"/>
        </w:rPr>
        <w:t xml:space="preserve"> </w:t>
      </w:r>
      <w:proofErr w:type="spellStart"/>
      <w:r w:rsidR="00D37A23" w:rsidRPr="00EC1B43">
        <w:rPr>
          <w:rFonts w:ascii="Times New Roman" w:hAnsi="Times New Roman" w:cs="Times New Roman"/>
          <w:color w:val="000000" w:themeColor="text1"/>
        </w:rPr>
        <w:t>Weatherill</w:t>
      </w:r>
      <w:proofErr w:type="spellEnd"/>
      <w:r w:rsidR="00D37A23" w:rsidRPr="00EC1B43">
        <w:rPr>
          <w:rFonts w:ascii="Times New Roman" w:hAnsi="Times New Roman" w:cs="Times New Roman"/>
          <w:color w:val="000000" w:themeColor="text1"/>
        </w:rPr>
        <w:t>, ‘Competence Creep and Competence Control”</w:t>
      </w:r>
      <w:r w:rsidR="00EC1B43" w:rsidRPr="00EC1B43">
        <w:rPr>
          <w:rFonts w:ascii="Times New Roman" w:hAnsi="Times New Roman" w:cs="Times New Roman"/>
          <w:color w:val="000000" w:themeColor="text1"/>
        </w:rPr>
        <w:t>,</w:t>
      </w:r>
      <w:r w:rsidR="00D37A23" w:rsidRPr="00EC1B43">
        <w:rPr>
          <w:rFonts w:ascii="Times New Roman" w:hAnsi="Times New Roman" w:cs="Times New Roman"/>
          <w:color w:val="000000" w:themeColor="text1"/>
        </w:rPr>
        <w:t xml:space="preserve"> 23 YEL </w:t>
      </w:r>
      <w:r w:rsidR="00EC1B43" w:rsidRPr="00EC1B43">
        <w:rPr>
          <w:rFonts w:ascii="Times New Roman" w:hAnsi="Times New Roman" w:cs="Times New Roman"/>
          <w:color w:val="000000" w:themeColor="text1"/>
        </w:rPr>
        <w:t xml:space="preserve">(2004), </w:t>
      </w:r>
      <w:r w:rsidR="00D37A23" w:rsidRPr="00EC1B43">
        <w:rPr>
          <w:rFonts w:ascii="Times New Roman" w:hAnsi="Times New Roman" w:cs="Times New Roman"/>
          <w:color w:val="000000" w:themeColor="text1"/>
        </w:rPr>
        <w:t xml:space="preserve">1; </w:t>
      </w:r>
      <w:proofErr w:type="spellStart"/>
      <w:r w:rsidR="00D37A23" w:rsidRPr="00EC1B43">
        <w:rPr>
          <w:rFonts w:ascii="Times New Roman" w:hAnsi="Times New Roman" w:cs="Times New Roman"/>
          <w:color w:val="000000" w:themeColor="text1"/>
        </w:rPr>
        <w:t>Garben</w:t>
      </w:r>
      <w:proofErr w:type="spellEnd"/>
      <w:r w:rsidR="00D37A23" w:rsidRPr="00EC1B43">
        <w:rPr>
          <w:rFonts w:ascii="Times New Roman" w:hAnsi="Times New Roman" w:cs="Times New Roman"/>
          <w:color w:val="000000" w:themeColor="text1"/>
        </w:rPr>
        <w:t>, “Competence Creep Revisited”</w:t>
      </w:r>
      <w:r w:rsidR="00EC1B43" w:rsidRPr="00EC1B43">
        <w:rPr>
          <w:rFonts w:ascii="Times New Roman" w:hAnsi="Times New Roman" w:cs="Times New Roman"/>
          <w:color w:val="000000" w:themeColor="text1"/>
        </w:rPr>
        <w:t>,</w:t>
      </w:r>
      <w:r w:rsidR="00D37A23" w:rsidRPr="00EC1B43">
        <w:rPr>
          <w:rFonts w:ascii="Times New Roman" w:hAnsi="Times New Roman" w:cs="Times New Roman"/>
          <w:color w:val="000000" w:themeColor="text1"/>
        </w:rPr>
        <w:t xml:space="preserve"> 57 JCMS </w:t>
      </w:r>
      <w:r w:rsidR="00EC1B43" w:rsidRPr="00EC1B43">
        <w:rPr>
          <w:rFonts w:ascii="Times New Roman" w:hAnsi="Times New Roman" w:cs="Times New Roman"/>
          <w:color w:val="000000" w:themeColor="text1"/>
        </w:rPr>
        <w:t xml:space="preserve">(2019), </w:t>
      </w:r>
      <w:r w:rsidR="00D37A23" w:rsidRPr="00EC1B43">
        <w:rPr>
          <w:rFonts w:ascii="Times New Roman" w:hAnsi="Times New Roman" w:cs="Times New Roman"/>
          <w:color w:val="000000" w:themeColor="text1"/>
        </w:rPr>
        <w:t>205.</w:t>
      </w:r>
    </w:p>
  </w:footnote>
  <w:footnote w:id="78">
    <w:p w14:paraId="447517C8" w14:textId="56DB0523" w:rsidR="00046D28" w:rsidRPr="00EC1B43" w:rsidRDefault="00046D28" w:rsidP="00EC1B43">
      <w:pPr>
        <w:jc w:val="both"/>
        <w:rPr>
          <w:color w:val="000000" w:themeColor="text1"/>
          <w:sz w:val="20"/>
          <w:szCs w:val="20"/>
        </w:rPr>
      </w:pPr>
      <w:r w:rsidRPr="00EC1B43">
        <w:rPr>
          <w:rStyle w:val="FootnoteReference"/>
          <w:color w:val="000000" w:themeColor="text1"/>
          <w:sz w:val="20"/>
          <w:szCs w:val="20"/>
        </w:rPr>
        <w:footnoteRef/>
      </w:r>
      <w:r w:rsidRPr="00EC1B43">
        <w:rPr>
          <w:color w:val="000000" w:themeColor="text1"/>
          <w:sz w:val="20"/>
          <w:szCs w:val="20"/>
        </w:rPr>
        <w:t xml:space="preserve"> </w:t>
      </w:r>
      <w:proofErr w:type="gramStart"/>
      <w:r w:rsidR="00D37A23" w:rsidRPr="00EC1B43">
        <w:rPr>
          <w:color w:val="000000" w:themeColor="text1"/>
          <w:sz w:val="20"/>
          <w:szCs w:val="20"/>
        </w:rPr>
        <w:t>E.g.</w:t>
      </w:r>
      <w:proofErr w:type="gramEnd"/>
      <w:r w:rsidR="00D37A23" w:rsidRPr="00EC1B43">
        <w:rPr>
          <w:color w:val="000000" w:themeColor="text1"/>
          <w:sz w:val="20"/>
          <w:szCs w:val="20"/>
        </w:rPr>
        <w:t xml:space="preserve"> contrast the views of </w:t>
      </w:r>
      <w:r w:rsidR="00C770C6" w:rsidRPr="00EC1B43">
        <w:rPr>
          <w:color w:val="000000" w:themeColor="text1"/>
          <w:sz w:val="20"/>
          <w:szCs w:val="20"/>
        </w:rPr>
        <w:t>de Witte, “The European Union’s COVID-19 recovery plan: The legal engineering of an economic policy shift”</w:t>
      </w:r>
      <w:r w:rsidR="00EC1B43" w:rsidRPr="00EC1B43">
        <w:rPr>
          <w:color w:val="000000" w:themeColor="text1"/>
          <w:sz w:val="20"/>
          <w:szCs w:val="20"/>
        </w:rPr>
        <w:t>,</w:t>
      </w:r>
      <w:r w:rsidR="00C770C6" w:rsidRPr="00EC1B43">
        <w:rPr>
          <w:color w:val="000000" w:themeColor="text1"/>
          <w:sz w:val="20"/>
          <w:szCs w:val="20"/>
        </w:rPr>
        <w:t xml:space="preserve"> 58 </w:t>
      </w:r>
      <w:r w:rsidR="00080AD3" w:rsidRPr="00EC1B43">
        <w:rPr>
          <w:color w:val="000000" w:themeColor="text1"/>
          <w:sz w:val="20"/>
          <w:szCs w:val="20"/>
        </w:rPr>
        <w:t>CML Rev.</w:t>
      </w:r>
      <w:r w:rsidR="00C770C6" w:rsidRPr="00EC1B43">
        <w:rPr>
          <w:color w:val="000000" w:themeColor="text1"/>
          <w:sz w:val="20"/>
          <w:szCs w:val="20"/>
        </w:rPr>
        <w:t xml:space="preserve"> </w:t>
      </w:r>
      <w:r w:rsidR="00EC1B43" w:rsidRPr="00EC1B43">
        <w:rPr>
          <w:color w:val="000000" w:themeColor="text1"/>
          <w:sz w:val="20"/>
          <w:szCs w:val="20"/>
        </w:rPr>
        <w:t xml:space="preserve">(2021), </w:t>
      </w:r>
      <w:r w:rsidR="00C770C6" w:rsidRPr="00EC1B43">
        <w:rPr>
          <w:color w:val="000000" w:themeColor="text1"/>
          <w:sz w:val="20"/>
          <w:szCs w:val="20"/>
        </w:rPr>
        <w:t>635</w:t>
      </w:r>
      <w:r w:rsidR="00D37A23" w:rsidRPr="00EC1B43">
        <w:rPr>
          <w:color w:val="000000" w:themeColor="text1"/>
          <w:sz w:val="20"/>
          <w:szCs w:val="20"/>
        </w:rPr>
        <w:t xml:space="preserve">; with those of </w:t>
      </w:r>
      <w:proofErr w:type="spellStart"/>
      <w:r w:rsidR="00B632C0" w:rsidRPr="00EC1B43">
        <w:rPr>
          <w:color w:val="000000" w:themeColor="text1"/>
          <w:sz w:val="20"/>
          <w:szCs w:val="20"/>
        </w:rPr>
        <w:t>Leino</w:t>
      </w:r>
      <w:proofErr w:type="spellEnd"/>
      <w:r w:rsidR="00B632C0" w:rsidRPr="00EC1B43">
        <w:rPr>
          <w:color w:val="000000" w:themeColor="text1"/>
          <w:sz w:val="20"/>
          <w:szCs w:val="20"/>
        </w:rPr>
        <w:t xml:space="preserve">-Sandberg and </w:t>
      </w:r>
      <w:proofErr w:type="spellStart"/>
      <w:r w:rsidR="00B632C0" w:rsidRPr="00EC1B43">
        <w:rPr>
          <w:color w:val="000000" w:themeColor="text1"/>
          <w:sz w:val="20"/>
          <w:szCs w:val="20"/>
        </w:rPr>
        <w:t>Ruffert</w:t>
      </w:r>
      <w:proofErr w:type="spellEnd"/>
      <w:r w:rsidR="00B632C0" w:rsidRPr="00EC1B43">
        <w:rPr>
          <w:color w:val="000000" w:themeColor="text1"/>
          <w:sz w:val="20"/>
          <w:szCs w:val="20"/>
        </w:rPr>
        <w:t>, “Next Generation EU and its constitutional ramifications: A critical assessment”</w:t>
      </w:r>
      <w:r w:rsidR="00EC1B43" w:rsidRPr="00EC1B43">
        <w:rPr>
          <w:color w:val="000000" w:themeColor="text1"/>
          <w:sz w:val="20"/>
          <w:szCs w:val="20"/>
        </w:rPr>
        <w:t>,</w:t>
      </w:r>
      <w:r w:rsidR="00B632C0" w:rsidRPr="00EC1B43">
        <w:rPr>
          <w:color w:val="000000" w:themeColor="text1"/>
          <w:sz w:val="20"/>
          <w:szCs w:val="20"/>
        </w:rPr>
        <w:t xml:space="preserve"> 59 </w:t>
      </w:r>
      <w:r w:rsidR="00080AD3" w:rsidRPr="00EC1B43">
        <w:rPr>
          <w:color w:val="000000" w:themeColor="text1"/>
          <w:sz w:val="20"/>
          <w:szCs w:val="20"/>
        </w:rPr>
        <w:t>CML Rev.</w:t>
      </w:r>
      <w:r w:rsidR="00B632C0" w:rsidRPr="00EC1B43">
        <w:rPr>
          <w:color w:val="000000" w:themeColor="text1"/>
          <w:sz w:val="20"/>
          <w:szCs w:val="20"/>
        </w:rPr>
        <w:t xml:space="preserve"> </w:t>
      </w:r>
      <w:r w:rsidR="00EC1B43" w:rsidRPr="00EC1B43">
        <w:rPr>
          <w:color w:val="000000" w:themeColor="text1"/>
          <w:sz w:val="20"/>
          <w:szCs w:val="20"/>
        </w:rPr>
        <w:t xml:space="preserve">(2022), </w:t>
      </w:r>
      <w:r w:rsidR="00B632C0" w:rsidRPr="00EC1B43">
        <w:rPr>
          <w:color w:val="000000" w:themeColor="text1"/>
          <w:sz w:val="20"/>
          <w:szCs w:val="20"/>
        </w:rPr>
        <w:t>433</w:t>
      </w:r>
      <w:r w:rsidR="003F5434" w:rsidRPr="00EC1B43">
        <w:rPr>
          <w:color w:val="000000" w:themeColor="text1"/>
          <w:sz w:val="20"/>
          <w:szCs w:val="20"/>
        </w:rPr>
        <w:t xml:space="preserve">.  </w:t>
      </w:r>
    </w:p>
  </w:footnote>
  <w:footnote w:id="79">
    <w:p w14:paraId="3B9D8942" w14:textId="2CAD962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120988" w:rsidRPr="00EC1B43">
        <w:rPr>
          <w:rFonts w:ascii="Times New Roman" w:hAnsi="Times New Roman" w:cs="Times New Roman"/>
          <w:color w:val="000000" w:themeColor="text1"/>
        </w:rPr>
        <w:t xml:space="preserve">One thinks of the damaging impacts of the (legally dubious but politically explosive) </w:t>
      </w:r>
      <w:r w:rsidR="00120988" w:rsidRPr="00EC1B43">
        <w:rPr>
          <w:rFonts w:ascii="Times New Roman" w:hAnsi="Times New Roman" w:cs="Times New Roman"/>
          <w:color w:val="000000" w:themeColor="text1"/>
          <w:lang w:val="en-US"/>
        </w:rPr>
        <w:t xml:space="preserve">ruling of the German Federal Constitutional Court in the </w:t>
      </w:r>
      <w:r w:rsidR="00120988" w:rsidRPr="00EC1B43">
        <w:rPr>
          <w:rFonts w:ascii="Times New Roman" w:hAnsi="Times New Roman" w:cs="Times New Roman"/>
          <w:i/>
          <w:iCs/>
          <w:color w:val="000000" w:themeColor="text1"/>
          <w:lang w:val="en-US"/>
        </w:rPr>
        <w:t xml:space="preserve">Public Sector Purchase </w:t>
      </w:r>
      <w:proofErr w:type="spellStart"/>
      <w:r w:rsidR="00120988" w:rsidRPr="00EC1B43">
        <w:rPr>
          <w:rFonts w:ascii="Times New Roman" w:hAnsi="Times New Roman" w:cs="Times New Roman"/>
          <w:i/>
          <w:iCs/>
          <w:color w:val="000000" w:themeColor="text1"/>
          <w:lang w:val="en-US"/>
        </w:rPr>
        <w:t>Programme</w:t>
      </w:r>
      <w:proofErr w:type="spellEnd"/>
      <w:r w:rsidR="00120988" w:rsidRPr="00EC1B43">
        <w:rPr>
          <w:rFonts w:ascii="Times New Roman" w:hAnsi="Times New Roman" w:cs="Times New Roman"/>
          <w:color w:val="000000" w:themeColor="text1"/>
          <w:lang w:val="en-US"/>
        </w:rPr>
        <w:t xml:space="preserve"> case (Judgment of 5 May 2020).</w:t>
      </w:r>
    </w:p>
  </w:footnote>
  <w:footnote w:id="80">
    <w:p w14:paraId="6A974104" w14:textId="5DDC0B8E" w:rsidR="007B58AB" w:rsidRPr="00EC1B43" w:rsidRDefault="007B58AB"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C770C6" w:rsidRPr="00EC1B43">
        <w:rPr>
          <w:rFonts w:ascii="Times New Roman" w:hAnsi="Times New Roman" w:cs="Times New Roman"/>
          <w:color w:val="000000" w:themeColor="text1"/>
        </w:rPr>
        <w:t xml:space="preserve">A concern expressed, </w:t>
      </w:r>
      <w:proofErr w:type="gramStart"/>
      <w:r w:rsidR="00C770C6" w:rsidRPr="00EC1B43">
        <w:rPr>
          <w:rFonts w:ascii="Times New Roman" w:hAnsi="Times New Roman" w:cs="Times New Roman"/>
          <w:color w:val="000000" w:themeColor="text1"/>
        </w:rPr>
        <w:t>e.g.</w:t>
      </w:r>
      <w:proofErr w:type="gramEnd"/>
      <w:r w:rsidR="00C770C6" w:rsidRPr="00EC1B43">
        <w:rPr>
          <w:rFonts w:ascii="Times New Roman" w:hAnsi="Times New Roman" w:cs="Times New Roman"/>
          <w:color w:val="000000" w:themeColor="text1"/>
        </w:rPr>
        <w:t xml:space="preserve"> in relation to the “generous” interpretation the Union institutions adopted in relation to </w:t>
      </w:r>
      <w:r w:rsidR="00EB151D" w:rsidRPr="00EC1B43">
        <w:rPr>
          <w:rFonts w:ascii="Times New Roman" w:hAnsi="Times New Roman" w:cs="Times New Roman"/>
          <w:color w:val="000000" w:themeColor="text1"/>
        </w:rPr>
        <w:t xml:space="preserve">the “exceptional competence” conferred by </w:t>
      </w:r>
      <w:r w:rsidR="00EC1B43" w:rsidRPr="00EC1B43">
        <w:rPr>
          <w:rFonts w:ascii="Times New Roman" w:hAnsi="Times New Roman" w:cs="Times New Roman"/>
          <w:color w:val="000000" w:themeColor="text1"/>
        </w:rPr>
        <w:t>Art</w:t>
      </w:r>
      <w:r w:rsidR="00C770C6" w:rsidRPr="00EC1B43">
        <w:rPr>
          <w:rFonts w:ascii="Times New Roman" w:hAnsi="Times New Roman" w:cs="Times New Roman"/>
          <w:color w:val="000000" w:themeColor="text1"/>
        </w:rPr>
        <w:t xml:space="preserve"> 122 TFEU, so that the latter could furnish the legal basis for key elements of the NGEU package</w:t>
      </w:r>
      <w:r w:rsidR="00A346DC" w:rsidRPr="00EC1B43">
        <w:rPr>
          <w:rFonts w:ascii="Times New Roman" w:hAnsi="Times New Roman" w:cs="Times New Roman"/>
          <w:color w:val="000000" w:themeColor="text1"/>
        </w:rPr>
        <w:t xml:space="preserve"> – an interpretation that drew scepticism, but ultimately not condemnation, from the German Federal Constitutional Court in its ruling on the </w:t>
      </w:r>
      <w:r w:rsidR="00A346DC" w:rsidRPr="00EC1B43">
        <w:rPr>
          <w:rFonts w:ascii="Times New Roman" w:hAnsi="Times New Roman" w:cs="Times New Roman"/>
          <w:i/>
          <w:iCs/>
          <w:color w:val="000000" w:themeColor="text1"/>
        </w:rPr>
        <w:t>Act Ratifying the EU Own Resources Decision</w:t>
      </w:r>
      <w:r w:rsidR="00A346DC" w:rsidRPr="00EC1B43">
        <w:rPr>
          <w:rFonts w:ascii="Times New Roman" w:hAnsi="Times New Roman" w:cs="Times New Roman"/>
          <w:color w:val="000000" w:themeColor="text1"/>
        </w:rPr>
        <w:t xml:space="preserve"> (Judgment of 6 December 2022)</w:t>
      </w:r>
      <w:r w:rsidR="00C770C6" w:rsidRPr="00EC1B43">
        <w:rPr>
          <w:rFonts w:ascii="Times New Roman" w:hAnsi="Times New Roman" w:cs="Times New Roman"/>
          <w:color w:val="000000" w:themeColor="text1"/>
        </w:rPr>
        <w:t>.</w:t>
      </w:r>
      <w:r w:rsidR="003F5434" w:rsidRPr="00EC1B43">
        <w:rPr>
          <w:rFonts w:ascii="Times New Roman" w:hAnsi="Times New Roman" w:cs="Times New Roman"/>
          <w:color w:val="000000" w:themeColor="text1"/>
        </w:rPr>
        <w:t xml:space="preserve">  See further, </w:t>
      </w:r>
      <w:proofErr w:type="gramStart"/>
      <w:r w:rsidR="003F5434" w:rsidRPr="00EC1B43">
        <w:rPr>
          <w:rFonts w:ascii="Times New Roman" w:hAnsi="Times New Roman" w:cs="Times New Roman"/>
          <w:color w:val="000000" w:themeColor="text1"/>
        </w:rPr>
        <w:t>e.g.</w:t>
      </w:r>
      <w:proofErr w:type="gramEnd"/>
      <w:r w:rsidR="003F5434" w:rsidRPr="00EC1B43">
        <w:rPr>
          <w:rFonts w:ascii="Times New Roman" w:hAnsi="Times New Roman" w:cs="Times New Roman"/>
          <w:color w:val="000000" w:themeColor="text1"/>
        </w:rPr>
        <w:t xml:space="preserve"> </w:t>
      </w:r>
      <w:r w:rsidR="003F5434" w:rsidRPr="00EC1B43">
        <w:rPr>
          <w:rFonts w:ascii="Times New Roman" w:hAnsi="Times New Roman" w:cs="Times New Roman"/>
          <w:color w:val="000000" w:themeColor="text1"/>
          <w:shd w:val="clear" w:color="auto" w:fill="FFFFFF"/>
        </w:rPr>
        <w:t>Porras-Gómez, “</w:t>
      </w:r>
      <w:r w:rsidR="003F5434" w:rsidRPr="00EC1B43">
        <w:rPr>
          <w:rFonts w:ascii="Times New Roman" w:hAnsi="Times New Roman" w:cs="Times New Roman"/>
          <w:color w:val="000000" w:themeColor="text1"/>
        </w:rPr>
        <w:t>The EU Recovery Instrument and the Constitutional Implications of its Expenditure”</w:t>
      </w:r>
      <w:r w:rsidR="00EC1B43" w:rsidRPr="00EC1B43">
        <w:rPr>
          <w:rFonts w:ascii="Times New Roman" w:hAnsi="Times New Roman" w:cs="Times New Roman"/>
          <w:color w:val="000000" w:themeColor="text1"/>
        </w:rPr>
        <w:t>,</w:t>
      </w:r>
      <w:r w:rsidR="003F5434" w:rsidRPr="00EC1B43">
        <w:rPr>
          <w:rFonts w:ascii="Times New Roman" w:hAnsi="Times New Roman" w:cs="Times New Roman"/>
          <w:color w:val="000000" w:themeColor="text1"/>
        </w:rPr>
        <w:t xml:space="preserve"> 19 </w:t>
      </w:r>
      <w:proofErr w:type="spellStart"/>
      <w:r w:rsidR="003F5434" w:rsidRPr="00EC1B43">
        <w:rPr>
          <w:rFonts w:ascii="Times New Roman" w:hAnsi="Times New Roman" w:cs="Times New Roman"/>
          <w:color w:val="000000" w:themeColor="text1"/>
        </w:rPr>
        <w:t>EUConst</w:t>
      </w:r>
      <w:proofErr w:type="spellEnd"/>
      <w:r w:rsidR="003F5434"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(2023), </w:t>
      </w:r>
      <w:r w:rsidR="003F5434" w:rsidRPr="00EC1B43">
        <w:rPr>
          <w:rFonts w:ascii="Times New Roman" w:hAnsi="Times New Roman" w:cs="Times New Roman"/>
          <w:color w:val="000000" w:themeColor="text1"/>
        </w:rPr>
        <w:t>1.</w:t>
      </w:r>
    </w:p>
  </w:footnote>
  <w:footnote w:id="81">
    <w:p w14:paraId="6B773240" w14:textId="0B08C5F1"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C1656" w:rsidRPr="00EC1B43">
        <w:rPr>
          <w:rFonts w:ascii="Times New Roman" w:hAnsi="Times New Roman" w:cs="Times New Roman"/>
          <w:color w:val="000000" w:themeColor="text1"/>
        </w:rPr>
        <w:t>See section 3 (above).</w:t>
      </w:r>
    </w:p>
  </w:footnote>
  <w:footnote w:id="82">
    <w:p w14:paraId="2730407A" w14:textId="11CEA5E2"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7C1656" w:rsidRPr="00EC1B43">
        <w:rPr>
          <w:rFonts w:ascii="Times New Roman" w:hAnsi="Times New Roman" w:cs="Times New Roman"/>
          <w:color w:val="000000" w:themeColor="text1"/>
        </w:rPr>
        <w:t>E.g.</w:t>
      </w:r>
      <w:proofErr w:type="gramEnd"/>
      <w:r w:rsidR="007C1656"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Art</w:t>
      </w:r>
      <w:r w:rsidR="007C1656" w:rsidRPr="00EC1B43">
        <w:rPr>
          <w:rFonts w:ascii="Times New Roman" w:hAnsi="Times New Roman" w:cs="Times New Roman"/>
          <w:color w:val="000000" w:themeColor="text1"/>
        </w:rPr>
        <w:t xml:space="preserve"> 42(2) TEU; </w:t>
      </w:r>
      <w:r w:rsidR="00EC1B43" w:rsidRPr="00EC1B43">
        <w:rPr>
          <w:rFonts w:ascii="Times New Roman" w:hAnsi="Times New Roman" w:cs="Times New Roman"/>
          <w:color w:val="000000" w:themeColor="text1"/>
        </w:rPr>
        <w:t>Arts</w:t>
      </w:r>
      <w:r w:rsidR="007C1656" w:rsidRPr="00EC1B43">
        <w:rPr>
          <w:rFonts w:ascii="Times New Roman" w:hAnsi="Times New Roman" w:cs="Times New Roman"/>
          <w:color w:val="000000" w:themeColor="text1"/>
        </w:rPr>
        <w:t xml:space="preserve"> </w:t>
      </w:r>
      <w:r w:rsidR="00CC5B7B" w:rsidRPr="00EC1B43">
        <w:rPr>
          <w:rFonts w:ascii="Times New Roman" w:hAnsi="Times New Roman" w:cs="Times New Roman"/>
          <w:color w:val="000000" w:themeColor="text1"/>
        </w:rPr>
        <w:t xml:space="preserve">25, 218(8), </w:t>
      </w:r>
      <w:r w:rsidR="007C1656" w:rsidRPr="00EC1B43">
        <w:rPr>
          <w:rFonts w:ascii="Times New Roman" w:hAnsi="Times New Roman" w:cs="Times New Roman"/>
          <w:color w:val="000000" w:themeColor="text1"/>
        </w:rPr>
        <w:t>223(1)</w:t>
      </w:r>
      <w:r w:rsidR="00CC5B7B" w:rsidRPr="00EC1B43">
        <w:rPr>
          <w:rFonts w:ascii="Times New Roman" w:hAnsi="Times New Roman" w:cs="Times New Roman"/>
          <w:color w:val="000000" w:themeColor="text1"/>
        </w:rPr>
        <w:t>, 262</w:t>
      </w:r>
      <w:r w:rsidR="007C1656" w:rsidRPr="00EC1B43">
        <w:rPr>
          <w:rFonts w:ascii="Times New Roman" w:hAnsi="Times New Roman" w:cs="Times New Roman"/>
          <w:color w:val="000000" w:themeColor="text1"/>
        </w:rPr>
        <w:t xml:space="preserve"> and 311 TFEU</w:t>
      </w:r>
      <w:r w:rsidR="00CC5B7B" w:rsidRPr="00EC1B43">
        <w:rPr>
          <w:rFonts w:ascii="Times New Roman" w:hAnsi="Times New Roman" w:cs="Times New Roman"/>
          <w:color w:val="000000" w:themeColor="text1"/>
        </w:rPr>
        <w:t xml:space="preserve">.  </w:t>
      </w:r>
    </w:p>
  </w:footnote>
  <w:footnote w:id="83">
    <w:p w14:paraId="532EFBEC" w14:textId="5ED5D6F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773D8C" w:rsidRPr="00EC1B43">
        <w:rPr>
          <w:rFonts w:ascii="Times New Roman" w:hAnsi="Times New Roman" w:cs="Times New Roman"/>
          <w:color w:val="000000" w:themeColor="text1"/>
        </w:rPr>
        <w:t xml:space="preserve">Consider, </w:t>
      </w:r>
      <w:proofErr w:type="gramStart"/>
      <w:r w:rsidR="00773D8C" w:rsidRPr="00EC1B43">
        <w:rPr>
          <w:rFonts w:ascii="Times New Roman" w:hAnsi="Times New Roman" w:cs="Times New Roman"/>
          <w:color w:val="000000" w:themeColor="text1"/>
        </w:rPr>
        <w:t>e.g.</w:t>
      </w:r>
      <w:proofErr w:type="gramEnd"/>
      <w:r w:rsidR="00773D8C" w:rsidRPr="00EC1B43">
        <w:rPr>
          <w:rFonts w:ascii="Times New Roman" w:hAnsi="Times New Roman" w:cs="Times New Roman"/>
          <w:color w:val="000000" w:themeColor="text1"/>
        </w:rPr>
        <w:t xml:space="preserve"> Editorial Comments, “Compromising (on) the general conditionality mechanism and the rule of law”</w:t>
      </w:r>
      <w:r w:rsidR="00EC1B43" w:rsidRPr="00EC1B43">
        <w:rPr>
          <w:rFonts w:ascii="Times New Roman" w:hAnsi="Times New Roman" w:cs="Times New Roman"/>
          <w:color w:val="000000" w:themeColor="text1"/>
        </w:rPr>
        <w:t>,</w:t>
      </w:r>
      <w:r w:rsidR="00773D8C" w:rsidRPr="00EC1B43">
        <w:rPr>
          <w:rFonts w:ascii="Times New Roman" w:hAnsi="Times New Roman" w:cs="Times New Roman"/>
          <w:color w:val="000000" w:themeColor="text1"/>
        </w:rPr>
        <w:t xml:space="preserve"> 58 </w:t>
      </w:r>
      <w:r w:rsidR="00080AD3" w:rsidRPr="00EC1B43">
        <w:rPr>
          <w:rFonts w:ascii="Times New Roman" w:hAnsi="Times New Roman" w:cs="Times New Roman"/>
          <w:color w:val="000000" w:themeColor="text1"/>
        </w:rPr>
        <w:t>CML Rev.</w:t>
      </w:r>
      <w:r w:rsidR="00773D8C"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(2021), </w:t>
      </w:r>
      <w:r w:rsidR="00773D8C" w:rsidRPr="00EC1B43">
        <w:rPr>
          <w:rFonts w:ascii="Times New Roman" w:hAnsi="Times New Roman" w:cs="Times New Roman"/>
          <w:color w:val="000000" w:themeColor="text1"/>
        </w:rPr>
        <w:t>267.</w:t>
      </w:r>
    </w:p>
  </w:footnote>
  <w:footnote w:id="84">
    <w:p w14:paraId="3C46D091" w14:textId="03549912"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CC5B7B" w:rsidRPr="00EC1B43">
        <w:rPr>
          <w:rFonts w:ascii="Times New Roman" w:hAnsi="Times New Roman" w:cs="Times New Roman"/>
          <w:color w:val="000000" w:themeColor="text1"/>
        </w:rPr>
        <w:t>Note the European Council’s Conclusions of 10-11 December 2020, especially para 2(c).</w:t>
      </w:r>
    </w:p>
  </w:footnote>
  <w:footnote w:id="85">
    <w:p w14:paraId="6BEADA40" w14:textId="7993AD68" w:rsidR="005F1301" w:rsidRPr="00EC1B43" w:rsidRDefault="005F130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See further, in the context of the financial / sovereign debt crisis,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w:t>
      </w:r>
      <w:proofErr w:type="spellStart"/>
      <w:r w:rsidRPr="00EC1B43">
        <w:rPr>
          <w:rFonts w:ascii="Times New Roman" w:hAnsi="Times New Roman" w:cs="Times New Roman"/>
          <w:color w:val="000000" w:themeColor="text1"/>
        </w:rPr>
        <w:t>Dermine</w:t>
      </w:r>
      <w:proofErr w:type="spellEnd"/>
      <w:r w:rsidRPr="00EC1B43">
        <w:rPr>
          <w:rFonts w:ascii="Times New Roman" w:hAnsi="Times New Roman" w:cs="Times New Roman"/>
          <w:color w:val="000000" w:themeColor="text1"/>
        </w:rPr>
        <w:t xml:space="preserve">, </w:t>
      </w:r>
      <w:r w:rsidRPr="00EC1B43">
        <w:rPr>
          <w:rFonts w:ascii="Times New Roman" w:hAnsi="Times New Roman" w:cs="Times New Roman"/>
          <w:i/>
          <w:iCs/>
          <w:color w:val="000000" w:themeColor="text1"/>
        </w:rPr>
        <w:t xml:space="preserve">The New Economic Governance of the Eurozone: A Rule of Law Analysis </w:t>
      </w:r>
      <w:r w:rsidRPr="00EC1B43">
        <w:rPr>
          <w:rFonts w:ascii="Times New Roman" w:hAnsi="Times New Roman" w:cs="Times New Roman"/>
          <w:color w:val="000000" w:themeColor="text1"/>
        </w:rPr>
        <w:t xml:space="preserve">(CUP, 2022). </w:t>
      </w:r>
    </w:p>
  </w:footnote>
  <w:footnote w:id="86">
    <w:p w14:paraId="7C866800" w14:textId="4FEAFAE6"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120988" w:rsidRPr="00EC1B43">
        <w:rPr>
          <w:rFonts w:ascii="Times New Roman" w:hAnsi="Times New Roman" w:cs="Times New Roman"/>
          <w:color w:val="000000" w:themeColor="text1"/>
        </w:rPr>
        <w:t>In particular, under</w:t>
      </w:r>
      <w:proofErr w:type="gramEnd"/>
      <w:r w:rsidR="00120988" w:rsidRPr="00EC1B43">
        <w:rPr>
          <w:rFonts w:ascii="Times New Roman" w:hAnsi="Times New Roman" w:cs="Times New Roman"/>
          <w:color w:val="000000" w:themeColor="text1"/>
        </w:rPr>
        <w:t xml:space="preserve"> Title V, Part 3 TFEU.</w:t>
      </w:r>
    </w:p>
  </w:footnote>
  <w:footnote w:id="87">
    <w:p w14:paraId="5E4F61E5" w14:textId="0C206F35"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2F7EC4" w:rsidRPr="00EC1B43">
        <w:rPr>
          <w:rFonts w:ascii="Times New Roman" w:hAnsi="Times New Roman" w:cs="Times New Roman"/>
          <w:color w:val="000000" w:themeColor="text1"/>
        </w:rPr>
        <w:t xml:space="preserve">See further, </w:t>
      </w:r>
      <w:proofErr w:type="gramStart"/>
      <w:r w:rsidR="002F7EC4" w:rsidRPr="00EC1B43">
        <w:rPr>
          <w:rFonts w:ascii="Times New Roman" w:hAnsi="Times New Roman" w:cs="Times New Roman"/>
          <w:color w:val="000000" w:themeColor="text1"/>
        </w:rPr>
        <w:t>e.g.</w:t>
      </w:r>
      <w:proofErr w:type="gramEnd"/>
      <w:r w:rsidR="002F7EC4" w:rsidRPr="00EC1B43">
        <w:rPr>
          <w:rFonts w:ascii="Times New Roman" w:hAnsi="Times New Roman" w:cs="Times New Roman"/>
          <w:color w:val="000000" w:themeColor="text1"/>
        </w:rPr>
        <w:t xml:space="preserve"> den </w:t>
      </w:r>
      <w:proofErr w:type="spellStart"/>
      <w:r w:rsidR="002F7EC4" w:rsidRPr="00EC1B43">
        <w:rPr>
          <w:rFonts w:ascii="Times New Roman" w:hAnsi="Times New Roman" w:cs="Times New Roman"/>
          <w:color w:val="000000" w:themeColor="text1"/>
        </w:rPr>
        <w:t>Heijer</w:t>
      </w:r>
      <w:proofErr w:type="spellEnd"/>
      <w:r w:rsidR="002F7EC4" w:rsidRPr="00EC1B43">
        <w:rPr>
          <w:rFonts w:ascii="Times New Roman" w:hAnsi="Times New Roman" w:cs="Times New Roman"/>
          <w:color w:val="000000" w:themeColor="text1"/>
        </w:rPr>
        <w:t xml:space="preserve">, </w:t>
      </w:r>
      <w:proofErr w:type="spellStart"/>
      <w:r w:rsidR="002F7EC4" w:rsidRPr="00EC1B43">
        <w:rPr>
          <w:rFonts w:ascii="Times New Roman" w:hAnsi="Times New Roman" w:cs="Times New Roman"/>
          <w:color w:val="000000" w:themeColor="text1"/>
        </w:rPr>
        <w:t>Rijpma</w:t>
      </w:r>
      <w:proofErr w:type="spellEnd"/>
      <w:r w:rsidR="002F7EC4" w:rsidRPr="00EC1B43">
        <w:rPr>
          <w:rFonts w:ascii="Times New Roman" w:hAnsi="Times New Roman" w:cs="Times New Roman"/>
          <w:color w:val="000000" w:themeColor="text1"/>
        </w:rPr>
        <w:t xml:space="preserve"> and </w:t>
      </w:r>
      <w:proofErr w:type="spellStart"/>
      <w:r w:rsidR="002F7EC4" w:rsidRPr="00EC1B43">
        <w:rPr>
          <w:rFonts w:ascii="Times New Roman" w:hAnsi="Times New Roman" w:cs="Times New Roman"/>
          <w:color w:val="000000" w:themeColor="text1"/>
        </w:rPr>
        <w:t>Spijkerboer</w:t>
      </w:r>
      <w:proofErr w:type="spellEnd"/>
      <w:r w:rsidR="002F7EC4" w:rsidRPr="00EC1B43">
        <w:rPr>
          <w:rFonts w:ascii="Times New Roman" w:hAnsi="Times New Roman" w:cs="Times New Roman"/>
          <w:color w:val="000000" w:themeColor="text1"/>
        </w:rPr>
        <w:t>, “Coercion, prohibition and great expectations: The continuing failure of the Common European Asylum System”</w:t>
      </w:r>
      <w:r w:rsidR="00EC1B43" w:rsidRPr="00EC1B43">
        <w:rPr>
          <w:rFonts w:ascii="Times New Roman" w:hAnsi="Times New Roman" w:cs="Times New Roman"/>
          <w:color w:val="000000" w:themeColor="text1"/>
        </w:rPr>
        <w:t>,</w:t>
      </w:r>
      <w:r w:rsidR="002F7EC4"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2F7EC4"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(2016), </w:t>
      </w:r>
      <w:r w:rsidR="002F7EC4" w:rsidRPr="00EC1B43">
        <w:rPr>
          <w:rFonts w:ascii="Times New Roman" w:hAnsi="Times New Roman" w:cs="Times New Roman"/>
          <w:color w:val="000000" w:themeColor="text1"/>
        </w:rPr>
        <w:t xml:space="preserve">607; </w:t>
      </w:r>
      <w:proofErr w:type="spellStart"/>
      <w:r w:rsidR="002F7EC4" w:rsidRPr="00EC1B43">
        <w:rPr>
          <w:rFonts w:ascii="Times New Roman" w:hAnsi="Times New Roman" w:cs="Times New Roman"/>
          <w:color w:val="000000" w:themeColor="text1"/>
        </w:rPr>
        <w:t>Thym</w:t>
      </w:r>
      <w:proofErr w:type="spellEnd"/>
      <w:r w:rsidR="002F7EC4" w:rsidRPr="00EC1B43">
        <w:rPr>
          <w:rFonts w:ascii="Times New Roman" w:hAnsi="Times New Roman" w:cs="Times New Roman"/>
          <w:color w:val="000000" w:themeColor="text1"/>
        </w:rPr>
        <w:t xml:space="preserve">, “The ‘refugee crisis’ as a challenge </w:t>
      </w:r>
      <w:r w:rsidR="00AC5152" w:rsidRPr="00EC1B43">
        <w:rPr>
          <w:rFonts w:ascii="Times New Roman" w:hAnsi="Times New Roman" w:cs="Times New Roman"/>
          <w:color w:val="000000" w:themeColor="text1"/>
        </w:rPr>
        <w:t>of</w:t>
      </w:r>
      <w:r w:rsidR="002F7EC4" w:rsidRPr="00EC1B43">
        <w:rPr>
          <w:rFonts w:ascii="Times New Roman" w:hAnsi="Times New Roman" w:cs="Times New Roman"/>
          <w:color w:val="000000" w:themeColor="text1"/>
        </w:rPr>
        <w:t xml:space="preserve"> legal design and institutional legitimacy”</w:t>
      </w:r>
      <w:r w:rsidR="00EC1B43" w:rsidRPr="00EC1B43">
        <w:rPr>
          <w:rFonts w:ascii="Times New Roman" w:hAnsi="Times New Roman" w:cs="Times New Roman"/>
          <w:color w:val="000000" w:themeColor="text1"/>
        </w:rPr>
        <w:t>,</w:t>
      </w:r>
      <w:r w:rsidR="002F7EC4" w:rsidRPr="00EC1B43">
        <w:rPr>
          <w:rFonts w:ascii="Times New Roman" w:hAnsi="Times New Roman" w:cs="Times New Roman"/>
          <w:color w:val="000000" w:themeColor="text1"/>
        </w:rPr>
        <w:t xml:space="preserve"> 53 </w:t>
      </w:r>
      <w:r w:rsidR="00080AD3" w:rsidRPr="00EC1B43">
        <w:rPr>
          <w:rFonts w:ascii="Times New Roman" w:hAnsi="Times New Roman" w:cs="Times New Roman"/>
          <w:color w:val="000000" w:themeColor="text1"/>
        </w:rPr>
        <w:t>CML Rev.</w:t>
      </w:r>
      <w:r w:rsidR="002F7EC4"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(2016), </w:t>
      </w:r>
      <w:r w:rsidR="002F7EC4" w:rsidRPr="00EC1B43">
        <w:rPr>
          <w:rFonts w:ascii="Times New Roman" w:hAnsi="Times New Roman" w:cs="Times New Roman"/>
          <w:color w:val="000000" w:themeColor="text1"/>
        </w:rPr>
        <w:t>1545.</w:t>
      </w:r>
    </w:p>
  </w:footnote>
  <w:footnote w:id="88">
    <w:p w14:paraId="03B0925A" w14:textId="59326B6E"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CC5B7B" w:rsidRPr="00EC1B43">
        <w:rPr>
          <w:rFonts w:ascii="Times New Roman" w:hAnsi="Times New Roman" w:cs="Times New Roman"/>
          <w:color w:val="000000" w:themeColor="text1"/>
        </w:rPr>
        <w:t>EU-Turkey Statement of 18 March 2016, available via &lt;</w:t>
      </w:r>
      <w:hyperlink r:id="rId1" w:history="1">
        <w:r w:rsidR="00CC5B7B" w:rsidRPr="00EC1B43">
          <w:rPr>
            <w:rStyle w:val="Hyperlink"/>
            <w:rFonts w:ascii="Times New Roman" w:hAnsi="Times New Roman" w:cs="Times New Roman"/>
            <w:color w:val="000000" w:themeColor="text1"/>
          </w:rPr>
          <w:t>https://www.consilium.europa.eu/en/press/press-releases/2016/03/18/eu-turkey-statement/</w:t>
        </w:r>
      </w:hyperlink>
      <w:r w:rsidR="00CC5B7B" w:rsidRPr="00EC1B43">
        <w:rPr>
          <w:rFonts w:ascii="Times New Roman" w:hAnsi="Times New Roman" w:cs="Times New Roman"/>
          <w:color w:val="000000" w:themeColor="text1"/>
        </w:rPr>
        <w:t>&gt;.</w:t>
      </w:r>
    </w:p>
  </w:footnote>
  <w:footnote w:id="89">
    <w:p w14:paraId="26D1CA9C" w14:textId="4AB7493F"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120988" w:rsidRPr="00EC1B43">
        <w:rPr>
          <w:rFonts w:ascii="Times New Roman" w:hAnsi="Times New Roman" w:cs="Times New Roman"/>
          <w:color w:val="000000" w:themeColor="text1"/>
        </w:rPr>
        <w:t xml:space="preserve">See further, </w:t>
      </w:r>
      <w:proofErr w:type="gramStart"/>
      <w:r w:rsidR="00120988" w:rsidRPr="00EC1B43">
        <w:rPr>
          <w:rFonts w:ascii="Times New Roman" w:hAnsi="Times New Roman" w:cs="Times New Roman"/>
          <w:color w:val="000000" w:themeColor="text1"/>
        </w:rPr>
        <w:t>e.g.</w:t>
      </w:r>
      <w:proofErr w:type="gramEnd"/>
      <w:r w:rsidR="00120988" w:rsidRPr="00EC1B43">
        <w:rPr>
          <w:rFonts w:ascii="Times New Roman" w:hAnsi="Times New Roman" w:cs="Times New Roman"/>
          <w:color w:val="000000" w:themeColor="text1"/>
        </w:rPr>
        <w:t xml:space="preserve"> </w:t>
      </w:r>
      <w:r w:rsidR="00E6490C" w:rsidRPr="00EC1B43">
        <w:rPr>
          <w:rFonts w:ascii="Times New Roman" w:hAnsi="Times New Roman" w:cs="Times New Roman"/>
          <w:color w:val="000000" w:themeColor="text1"/>
        </w:rPr>
        <w:t>Molinari, “The EU and its perilous journey through the migration crisis: Informalisation of the EU return policy and rule of law concerns”</w:t>
      </w:r>
      <w:r w:rsidR="00EC1B43" w:rsidRPr="00EC1B43">
        <w:rPr>
          <w:rFonts w:ascii="Times New Roman" w:hAnsi="Times New Roman" w:cs="Times New Roman"/>
          <w:color w:val="000000" w:themeColor="text1"/>
        </w:rPr>
        <w:t>,</w:t>
      </w:r>
      <w:r w:rsidR="00E6490C" w:rsidRPr="00EC1B43">
        <w:rPr>
          <w:rFonts w:ascii="Times New Roman" w:hAnsi="Times New Roman" w:cs="Times New Roman"/>
          <w:color w:val="000000" w:themeColor="text1"/>
        </w:rPr>
        <w:t xml:space="preserve"> 44 </w:t>
      </w:r>
      <w:r w:rsidR="00EC1B43" w:rsidRPr="00EC1B43">
        <w:rPr>
          <w:rFonts w:ascii="Times New Roman" w:hAnsi="Times New Roman" w:cs="Times New Roman"/>
          <w:color w:val="000000" w:themeColor="text1"/>
        </w:rPr>
        <w:t>EL Rev.</w:t>
      </w:r>
      <w:r w:rsidR="00E6490C"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(2019), </w:t>
      </w:r>
      <w:r w:rsidR="00E6490C" w:rsidRPr="00EC1B43">
        <w:rPr>
          <w:rFonts w:ascii="Times New Roman" w:hAnsi="Times New Roman" w:cs="Times New Roman"/>
          <w:color w:val="000000" w:themeColor="text1"/>
        </w:rPr>
        <w:t>824</w:t>
      </w:r>
      <w:r w:rsidR="00120988" w:rsidRPr="00EC1B43">
        <w:rPr>
          <w:rFonts w:ascii="Times New Roman" w:hAnsi="Times New Roman" w:cs="Times New Roman"/>
          <w:color w:val="000000" w:themeColor="text1"/>
        </w:rPr>
        <w:t xml:space="preserve">. </w:t>
      </w:r>
    </w:p>
  </w:footnote>
  <w:footnote w:id="90">
    <w:p w14:paraId="68B2F3F7" w14:textId="79EBAB4D" w:rsidR="006F5523" w:rsidRPr="00EC1B43" w:rsidRDefault="006F5523"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Comparative colleagues could no doubt inform us about parallel experiences,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in the US or Canadian (or indeed German) legal systems.</w:t>
      </w:r>
    </w:p>
  </w:footnote>
  <w:footnote w:id="91">
    <w:p w14:paraId="7E7F815F" w14:textId="299C39C5" w:rsidR="005B7B9F" w:rsidRPr="00EC1B43" w:rsidRDefault="005B7B9F"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Consider further,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w:t>
      </w:r>
      <w:proofErr w:type="spellStart"/>
      <w:r w:rsidRPr="00EC1B43">
        <w:rPr>
          <w:rFonts w:ascii="Times New Roman" w:hAnsi="Times New Roman" w:cs="Times New Roman"/>
          <w:color w:val="000000" w:themeColor="text1"/>
        </w:rPr>
        <w:t>Ruffert</w:t>
      </w:r>
      <w:proofErr w:type="spellEnd"/>
      <w:r w:rsidRPr="00EC1B43">
        <w:rPr>
          <w:rFonts w:ascii="Times New Roman" w:hAnsi="Times New Roman" w:cs="Times New Roman"/>
          <w:color w:val="000000" w:themeColor="text1"/>
        </w:rPr>
        <w:t>, “The European debt crisis and European Union law”</w:t>
      </w:r>
      <w:r w:rsidR="00EC1B43" w:rsidRPr="00EC1B43">
        <w:rPr>
          <w:rFonts w:ascii="Times New Roman" w:hAnsi="Times New Roman" w:cs="Times New Roman"/>
          <w:color w:val="000000" w:themeColor="text1"/>
        </w:rPr>
        <w:t>,</w:t>
      </w:r>
      <w:r w:rsidRPr="00EC1B43">
        <w:rPr>
          <w:rFonts w:ascii="Times New Roman" w:hAnsi="Times New Roman" w:cs="Times New Roman"/>
          <w:color w:val="000000" w:themeColor="text1"/>
        </w:rPr>
        <w:t xml:space="preserve"> 48 </w:t>
      </w:r>
      <w:r w:rsidR="00080AD3" w:rsidRPr="00EC1B43">
        <w:rPr>
          <w:rFonts w:ascii="Times New Roman" w:hAnsi="Times New Roman" w:cs="Times New Roman"/>
          <w:color w:val="000000" w:themeColor="text1"/>
        </w:rPr>
        <w:t>CML Rev.</w:t>
      </w:r>
      <w:r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(2011), </w:t>
      </w:r>
      <w:r w:rsidRPr="00EC1B43">
        <w:rPr>
          <w:rFonts w:ascii="Times New Roman" w:hAnsi="Times New Roman" w:cs="Times New Roman"/>
          <w:color w:val="000000" w:themeColor="text1"/>
        </w:rPr>
        <w:t>1777</w:t>
      </w:r>
      <w:r w:rsidR="00D2158A" w:rsidRPr="00EC1B43">
        <w:rPr>
          <w:rFonts w:ascii="Times New Roman" w:hAnsi="Times New Roman" w:cs="Times New Roman"/>
          <w:color w:val="000000" w:themeColor="text1"/>
        </w:rPr>
        <w:t>; Tuominen, “The European Banking Union: A shift in the internal market paradigm?”</w:t>
      </w:r>
      <w:r w:rsidR="00EC1B43" w:rsidRPr="00EC1B43">
        <w:rPr>
          <w:rFonts w:ascii="Times New Roman" w:hAnsi="Times New Roman" w:cs="Times New Roman"/>
          <w:color w:val="000000" w:themeColor="text1"/>
        </w:rPr>
        <w:t>,</w:t>
      </w:r>
      <w:r w:rsidR="00D2158A" w:rsidRPr="00EC1B43">
        <w:rPr>
          <w:rFonts w:ascii="Times New Roman" w:hAnsi="Times New Roman" w:cs="Times New Roman"/>
          <w:color w:val="000000" w:themeColor="text1"/>
        </w:rPr>
        <w:t xml:space="preserve"> 54 </w:t>
      </w:r>
      <w:r w:rsidR="00080AD3" w:rsidRPr="00EC1B43">
        <w:rPr>
          <w:rFonts w:ascii="Times New Roman" w:hAnsi="Times New Roman" w:cs="Times New Roman"/>
          <w:color w:val="000000" w:themeColor="text1"/>
        </w:rPr>
        <w:t>CML Rev.</w:t>
      </w:r>
      <w:r w:rsidR="00D2158A"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(2017), </w:t>
      </w:r>
      <w:r w:rsidR="00D2158A" w:rsidRPr="00EC1B43">
        <w:rPr>
          <w:rFonts w:ascii="Times New Roman" w:hAnsi="Times New Roman" w:cs="Times New Roman"/>
          <w:color w:val="000000" w:themeColor="text1"/>
        </w:rPr>
        <w:t>1359</w:t>
      </w:r>
      <w:r w:rsidRPr="00EC1B43">
        <w:rPr>
          <w:rFonts w:ascii="Times New Roman" w:hAnsi="Times New Roman" w:cs="Times New Roman"/>
          <w:color w:val="000000" w:themeColor="text1"/>
        </w:rPr>
        <w:t>.</w:t>
      </w:r>
    </w:p>
  </w:footnote>
  <w:footnote w:id="92">
    <w:p w14:paraId="28A157E5" w14:textId="7420602D" w:rsidR="007B58AB" w:rsidRPr="00EC1B43" w:rsidRDefault="007B58AB"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120988" w:rsidRPr="00EC1B43">
        <w:rPr>
          <w:rFonts w:ascii="Times New Roman" w:hAnsi="Times New Roman" w:cs="Times New Roman"/>
          <w:color w:val="000000" w:themeColor="text1"/>
        </w:rPr>
        <w:t xml:space="preserve">In particular: </w:t>
      </w:r>
      <w:r w:rsidR="00EC1B43" w:rsidRPr="00EC1B43">
        <w:rPr>
          <w:rFonts w:ascii="Times New Roman" w:hAnsi="Times New Roman" w:cs="Times New Roman"/>
          <w:color w:val="000000" w:themeColor="text1"/>
        </w:rPr>
        <w:t xml:space="preserve">Arts </w:t>
      </w:r>
      <w:r w:rsidR="00120988" w:rsidRPr="00EC1B43">
        <w:rPr>
          <w:rFonts w:ascii="Times New Roman" w:hAnsi="Times New Roman" w:cs="Times New Roman"/>
          <w:color w:val="000000" w:themeColor="text1"/>
        </w:rPr>
        <w:t>48 (revision) and 49 (accession) TEU.</w:t>
      </w:r>
    </w:p>
  </w:footnote>
  <w:footnote w:id="93">
    <w:p w14:paraId="07B4720E" w14:textId="4280CDB6" w:rsidR="007B58AB" w:rsidRPr="00EC1B43" w:rsidRDefault="007B58AB"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120988" w:rsidRPr="00EC1B43">
        <w:rPr>
          <w:rFonts w:ascii="Times New Roman" w:hAnsi="Times New Roman" w:cs="Times New Roman"/>
          <w:color w:val="000000" w:themeColor="text1"/>
        </w:rPr>
        <w:t xml:space="preserve">Recall, </w:t>
      </w:r>
      <w:proofErr w:type="gramStart"/>
      <w:r w:rsidR="00120988" w:rsidRPr="00EC1B43">
        <w:rPr>
          <w:rFonts w:ascii="Times New Roman" w:hAnsi="Times New Roman" w:cs="Times New Roman"/>
          <w:color w:val="000000" w:themeColor="text1"/>
        </w:rPr>
        <w:t>e.g.</w:t>
      </w:r>
      <w:proofErr w:type="gramEnd"/>
      <w:r w:rsidR="00120988" w:rsidRPr="00EC1B43">
        <w:rPr>
          <w:rFonts w:ascii="Times New Roman" w:hAnsi="Times New Roman" w:cs="Times New Roman"/>
          <w:color w:val="000000" w:themeColor="text1"/>
        </w:rPr>
        <w:t xml:space="preserve"> Opinion 2/94, EU:C:1996:140</w:t>
      </w:r>
      <w:r w:rsidR="00AB3541" w:rsidRPr="00EC1B43">
        <w:rPr>
          <w:rFonts w:ascii="Times New Roman" w:hAnsi="Times New Roman" w:cs="Times New Roman"/>
          <w:color w:val="000000" w:themeColor="text1"/>
        </w:rPr>
        <w:t xml:space="preserve">; Case C-376/98, </w:t>
      </w:r>
      <w:r w:rsidR="00AB3541" w:rsidRPr="00EC1B43">
        <w:rPr>
          <w:rFonts w:ascii="Times New Roman" w:hAnsi="Times New Roman" w:cs="Times New Roman"/>
          <w:i/>
          <w:iCs/>
          <w:color w:val="000000" w:themeColor="text1"/>
        </w:rPr>
        <w:t xml:space="preserve">Germany </w:t>
      </w:r>
      <w:r w:rsidR="00EC1B43" w:rsidRPr="00EC1B43">
        <w:rPr>
          <w:rFonts w:ascii="Times New Roman" w:hAnsi="Times New Roman" w:cs="Times New Roman"/>
          <w:color w:val="000000" w:themeColor="text1"/>
        </w:rPr>
        <w:t xml:space="preserve">v. </w:t>
      </w:r>
      <w:r w:rsidR="00AB3541" w:rsidRPr="00EC1B43">
        <w:rPr>
          <w:rFonts w:ascii="Times New Roman" w:hAnsi="Times New Roman" w:cs="Times New Roman"/>
          <w:i/>
          <w:iCs/>
          <w:color w:val="000000" w:themeColor="text1"/>
        </w:rPr>
        <w:t>Parliament and Council</w:t>
      </w:r>
      <w:r w:rsidR="00AB3541" w:rsidRPr="00EC1B43">
        <w:rPr>
          <w:rFonts w:ascii="Times New Roman" w:hAnsi="Times New Roman" w:cs="Times New Roman"/>
          <w:color w:val="000000" w:themeColor="text1"/>
        </w:rPr>
        <w:t>, EU:C:2000:544</w:t>
      </w:r>
      <w:r w:rsidR="00120988" w:rsidRPr="00EC1B43">
        <w:rPr>
          <w:rFonts w:ascii="Times New Roman" w:hAnsi="Times New Roman" w:cs="Times New Roman"/>
          <w:color w:val="000000" w:themeColor="text1"/>
        </w:rPr>
        <w:t>.</w:t>
      </w:r>
    </w:p>
  </w:footnote>
  <w:footnote w:id="94">
    <w:p w14:paraId="3F3AD977" w14:textId="67AB0645" w:rsidR="007B58AB" w:rsidRPr="00EC1B43" w:rsidRDefault="007B58AB"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Arts</w:t>
      </w:r>
      <w:r w:rsidR="00CC5B7B" w:rsidRPr="00EC1B43">
        <w:rPr>
          <w:rFonts w:ascii="Times New Roman" w:hAnsi="Times New Roman" w:cs="Times New Roman"/>
          <w:color w:val="000000" w:themeColor="text1"/>
        </w:rPr>
        <w:t xml:space="preserve"> 5(</w:t>
      </w:r>
      <w:r w:rsidR="00EA2819" w:rsidRPr="00EC1B43">
        <w:rPr>
          <w:rFonts w:ascii="Times New Roman" w:hAnsi="Times New Roman" w:cs="Times New Roman"/>
          <w:color w:val="000000" w:themeColor="text1"/>
        </w:rPr>
        <w:t>3) and (4)</w:t>
      </w:r>
      <w:r w:rsidR="00CC5B7B" w:rsidRPr="00EC1B43">
        <w:rPr>
          <w:rFonts w:ascii="Times New Roman" w:hAnsi="Times New Roman" w:cs="Times New Roman"/>
          <w:color w:val="000000" w:themeColor="text1"/>
        </w:rPr>
        <w:t xml:space="preserve"> TEU.</w:t>
      </w:r>
    </w:p>
  </w:footnote>
  <w:footnote w:id="95">
    <w:p w14:paraId="007F29AC" w14:textId="7ED36C6A" w:rsidR="007B58AB" w:rsidRPr="00EC1B43" w:rsidRDefault="007B58AB"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AB3541" w:rsidRPr="00EC1B43">
        <w:rPr>
          <w:rFonts w:ascii="Times New Roman" w:hAnsi="Times New Roman" w:cs="Times New Roman"/>
          <w:color w:val="000000" w:themeColor="text1"/>
        </w:rPr>
        <w:t xml:space="preserve">Consider, </w:t>
      </w:r>
      <w:proofErr w:type="gramStart"/>
      <w:r w:rsidR="00AB3541" w:rsidRPr="00EC1B43">
        <w:rPr>
          <w:rFonts w:ascii="Times New Roman" w:hAnsi="Times New Roman" w:cs="Times New Roman"/>
          <w:color w:val="000000" w:themeColor="text1"/>
        </w:rPr>
        <w:t>e.g.</w:t>
      </w:r>
      <w:proofErr w:type="gramEnd"/>
      <w:r w:rsidR="00AB3541" w:rsidRPr="00EC1B43">
        <w:rPr>
          <w:rFonts w:ascii="Times New Roman" w:hAnsi="Times New Roman" w:cs="Times New Roman"/>
          <w:color w:val="000000" w:themeColor="text1"/>
        </w:rPr>
        <w:t xml:space="preserve"> Joined Cases C-402/05 &amp; C-415/05, </w:t>
      </w:r>
      <w:r w:rsidR="00AB3541" w:rsidRPr="00EC1B43">
        <w:rPr>
          <w:rFonts w:ascii="Times New Roman" w:hAnsi="Times New Roman" w:cs="Times New Roman"/>
          <w:i/>
          <w:color w:val="000000" w:themeColor="text1"/>
        </w:rPr>
        <w:t>Kadi</w:t>
      </w:r>
      <w:r w:rsidR="00AB3541" w:rsidRPr="00EC1B43">
        <w:rPr>
          <w:rFonts w:ascii="Times New Roman" w:hAnsi="Times New Roman" w:cs="Times New Roman"/>
          <w:color w:val="000000" w:themeColor="text1"/>
        </w:rPr>
        <w:t xml:space="preserve">, EU:C:2008:461; Case C-236/09, </w:t>
      </w:r>
      <w:r w:rsidR="00AB3541" w:rsidRPr="00EC1B43">
        <w:rPr>
          <w:rFonts w:ascii="Times New Roman" w:hAnsi="Times New Roman" w:cs="Times New Roman"/>
          <w:i/>
          <w:color w:val="000000" w:themeColor="text1"/>
        </w:rPr>
        <w:t>Test-</w:t>
      </w:r>
      <w:proofErr w:type="spellStart"/>
      <w:r w:rsidR="00AB3541" w:rsidRPr="00EC1B43">
        <w:rPr>
          <w:rFonts w:ascii="Times New Roman" w:hAnsi="Times New Roman" w:cs="Times New Roman"/>
          <w:i/>
          <w:color w:val="000000" w:themeColor="text1"/>
        </w:rPr>
        <w:t>Achats</w:t>
      </w:r>
      <w:proofErr w:type="spellEnd"/>
      <w:r w:rsidR="00AB3541" w:rsidRPr="00EC1B43">
        <w:rPr>
          <w:rFonts w:ascii="Times New Roman" w:hAnsi="Times New Roman" w:cs="Times New Roman"/>
          <w:color w:val="000000" w:themeColor="text1"/>
        </w:rPr>
        <w:t xml:space="preserve">, EU:C:2011:100; Case C-362/14, </w:t>
      </w:r>
      <w:proofErr w:type="spellStart"/>
      <w:r w:rsidR="00AB3541" w:rsidRPr="00EC1B43">
        <w:rPr>
          <w:rFonts w:ascii="Times New Roman" w:hAnsi="Times New Roman" w:cs="Times New Roman"/>
          <w:i/>
          <w:color w:val="000000" w:themeColor="text1"/>
        </w:rPr>
        <w:t>Schrems</w:t>
      </w:r>
      <w:proofErr w:type="spellEnd"/>
      <w:r w:rsidR="00AB3541" w:rsidRPr="00EC1B43">
        <w:rPr>
          <w:rFonts w:ascii="Times New Roman" w:hAnsi="Times New Roman" w:cs="Times New Roman"/>
          <w:color w:val="000000" w:themeColor="text1"/>
        </w:rPr>
        <w:t>, EU:C:2015:650.</w:t>
      </w:r>
    </w:p>
  </w:footnote>
  <w:footnote w:id="96">
    <w:p w14:paraId="42D03BAA" w14:textId="4B718D37" w:rsidR="007F2321"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AB3541" w:rsidRPr="00EC1B43">
        <w:rPr>
          <w:rFonts w:ascii="Times New Roman" w:hAnsi="Times New Roman" w:cs="Times New Roman"/>
          <w:color w:val="000000" w:themeColor="text1"/>
        </w:rPr>
        <w:t>On the Court’s current approach, see section 4 (above).</w:t>
      </w:r>
    </w:p>
  </w:footnote>
  <w:footnote w:id="97">
    <w:p w14:paraId="4194DB22" w14:textId="607843F0" w:rsidR="007F2321"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AB3541" w:rsidRPr="00EC1B43">
        <w:rPr>
          <w:rFonts w:ascii="Times New Roman" w:hAnsi="Times New Roman" w:cs="Times New Roman"/>
          <w:color w:val="000000" w:themeColor="text1"/>
        </w:rPr>
        <w:t>On the Court’s current approach, see section 2 (above).</w:t>
      </w:r>
    </w:p>
  </w:footnote>
  <w:footnote w:id="98">
    <w:p w14:paraId="4A5201AE" w14:textId="6566659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A2819" w:rsidRPr="00EC1B43">
        <w:rPr>
          <w:rFonts w:ascii="Times New Roman" w:hAnsi="Times New Roman" w:cs="Times New Roman"/>
          <w:color w:val="000000" w:themeColor="text1"/>
        </w:rPr>
        <w:t xml:space="preserve">See, on </w:t>
      </w:r>
      <w:r w:rsidRPr="00EC1B43">
        <w:rPr>
          <w:rFonts w:ascii="Times New Roman" w:hAnsi="Times New Roman" w:cs="Times New Roman"/>
          <w:color w:val="000000" w:themeColor="text1"/>
        </w:rPr>
        <w:t xml:space="preserve">the purpose and functioning of </w:t>
      </w:r>
      <w:r w:rsidR="00EC1B43" w:rsidRPr="00EC1B43">
        <w:rPr>
          <w:rFonts w:ascii="Times New Roman" w:hAnsi="Times New Roman" w:cs="Times New Roman"/>
          <w:color w:val="000000" w:themeColor="text1"/>
        </w:rPr>
        <w:t>Art</w:t>
      </w:r>
      <w:r w:rsidRPr="00EC1B43">
        <w:rPr>
          <w:rFonts w:ascii="Times New Roman" w:hAnsi="Times New Roman" w:cs="Times New Roman"/>
          <w:color w:val="000000" w:themeColor="text1"/>
        </w:rPr>
        <w:t xml:space="preserve"> 218(11) TFEU, </w:t>
      </w:r>
      <w:proofErr w:type="gramStart"/>
      <w:r w:rsidRPr="00EC1B43">
        <w:rPr>
          <w:rFonts w:ascii="Times New Roman" w:hAnsi="Times New Roman" w:cs="Times New Roman"/>
          <w:color w:val="000000" w:themeColor="text1"/>
        </w:rPr>
        <w:t>e.g.</w:t>
      </w:r>
      <w:proofErr w:type="gramEnd"/>
      <w:r w:rsidRPr="00EC1B43">
        <w:rPr>
          <w:rFonts w:ascii="Times New Roman" w:hAnsi="Times New Roman" w:cs="Times New Roman"/>
          <w:color w:val="000000" w:themeColor="text1"/>
        </w:rPr>
        <w:t xml:space="preserve"> Opinion 2/00, </w:t>
      </w:r>
      <w:r w:rsidR="00EA2819" w:rsidRPr="00EC1B43">
        <w:rPr>
          <w:rFonts w:ascii="Times New Roman" w:hAnsi="Times New Roman" w:cs="Times New Roman"/>
          <w:color w:val="000000" w:themeColor="text1"/>
        </w:rPr>
        <w:t>EU:C:</w:t>
      </w:r>
      <w:r w:rsidRPr="00EC1B43">
        <w:rPr>
          <w:rFonts w:ascii="Times New Roman" w:hAnsi="Times New Roman" w:cs="Times New Roman"/>
          <w:color w:val="000000" w:themeColor="text1"/>
        </w:rPr>
        <w:t>2001</w:t>
      </w:r>
      <w:r w:rsidR="00EA2819" w:rsidRPr="00EC1B43">
        <w:rPr>
          <w:rFonts w:ascii="Times New Roman" w:hAnsi="Times New Roman" w:cs="Times New Roman"/>
          <w:color w:val="000000" w:themeColor="text1"/>
        </w:rPr>
        <w:t>:664</w:t>
      </w:r>
      <w:r w:rsidRPr="00EC1B43">
        <w:rPr>
          <w:rFonts w:ascii="Times New Roman" w:hAnsi="Times New Roman" w:cs="Times New Roman"/>
          <w:color w:val="000000" w:themeColor="text1"/>
        </w:rPr>
        <w:t>.</w:t>
      </w:r>
    </w:p>
  </w:footnote>
  <w:footnote w:id="99">
    <w:p w14:paraId="675EA39A" w14:textId="359BBD3F"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A2819" w:rsidRPr="00EC1B43">
        <w:rPr>
          <w:rFonts w:ascii="Times New Roman" w:hAnsi="Times New Roman" w:cs="Times New Roman"/>
          <w:color w:val="000000" w:themeColor="text1"/>
        </w:rPr>
        <w:t xml:space="preserve">Case C-376/98, </w:t>
      </w:r>
      <w:r w:rsidR="00EA2819" w:rsidRPr="00EC1B43">
        <w:rPr>
          <w:rFonts w:ascii="Times New Roman" w:hAnsi="Times New Roman" w:cs="Times New Roman"/>
          <w:i/>
          <w:iCs/>
          <w:color w:val="000000" w:themeColor="text1"/>
        </w:rPr>
        <w:t xml:space="preserve">Germany </w:t>
      </w:r>
      <w:r w:rsidR="00EC1B43" w:rsidRPr="00EC1B43">
        <w:rPr>
          <w:rFonts w:ascii="Times New Roman" w:hAnsi="Times New Roman" w:cs="Times New Roman"/>
          <w:color w:val="000000" w:themeColor="text1"/>
        </w:rPr>
        <w:t xml:space="preserve">v. </w:t>
      </w:r>
      <w:r w:rsidR="00EA2819" w:rsidRPr="00EC1B43">
        <w:rPr>
          <w:rFonts w:ascii="Times New Roman" w:hAnsi="Times New Roman" w:cs="Times New Roman"/>
          <w:i/>
          <w:iCs/>
          <w:color w:val="000000" w:themeColor="text1"/>
        </w:rPr>
        <w:t>Parliament and Council</w:t>
      </w:r>
      <w:r w:rsidR="00EA2819" w:rsidRPr="00EC1B43">
        <w:rPr>
          <w:rFonts w:ascii="Times New Roman" w:hAnsi="Times New Roman" w:cs="Times New Roman"/>
          <w:color w:val="000000" w:themeColor="text1"/>
        </w:rPr>
        <w:t>, EU:C:2000:544.</w:t>
      </w:r>
    </w:p>
  </w:footnote>
  <w:footnote w:id="100">
    <w:p w14:paraId="16B07879" w14:textId="72CD7B7C"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99292C" w:rsidRPr="00EC1B43">
        <w:rPr>
          <w:rFonts w:ascii="Times New Roman" w:hAnsi="Times New Roman" w:cs="Times New Roman"/>
          <w:color w:val="000000" w:themeColor="text1"/>
        </w:rPr>
        <w:t xml:space="preserve">However, thereby also rekindling concerns that neither the Union’s political institutions, nor the CJEU, take those constraints seriously enough in practice: see, </w:t>
      </w:r>
      <w:proofErr w:type="gramStart"/>
      <w:r w:rsidR="0099292C" w:rsidRPr="00EC1B43">
        <w:rPr>
          <w:rFonts w:ascii="Times New Roman" w:hAnsi="Times New Roman" w:cs="Times New Roman"/>
          <w:color w:val="000000" w:themeColor="text1"/>
        </w:rPr>
        <w:t>e.g.</w:t>
      </w:r>
      <w:proofErr w:type="gramEnd"/>
      <w:r w:rsidR="0099292C" w:rsidRPr="00EC1B43">
        <w:rPr>
          <w:rFonts w:ascii="Times New Roman" w:hAnsi="Times New Roman" w:cs="Times New Roman"/>
          <w:color w:val="000000" w:themeColor="text1"/>
        </w:rPr>
        <w:t xml:space="preserve"> Wyatt, “Is the European Union and Organisation of Limited Powers?” in </w:t>
      </w:r>
      <w:proofErr w:type="spellStart"/>
      <w:r w:rsidR="0099292C" w:rsidRPr="00EC1B43">
        <w:rPr>
          <w:rFonts w:ascii="Times New Roman" w:hAnsi="Times New Roman" w:cs="Times New Roman"/>
          <w:color w:val="000000" w:themeColor="text1"/>
        </w:rPr>
        <w:t>Arnull</w:t>
      </w:r>
      <w:proofErr w:type="spellEnd"/>
      <w:r w:rsidR="0099292C" w:rsidRPr="00EC1B43">
        <w:rPr>
          <w:rFonts w:ascii="Times New Roman" w:hAnsi="Times New Roman" w:cs="Times New Roman"/>
          <w:color w:val="000000" w:themeColor="text1"/>
        </w:rPr>
        <w:t xml:space="preserve"> et al (ed), </w:t>
      </w:r>
      <w:r w:rsidR="0099292C" w:rsidRPr="00EC1B43">
        <w:rPr>
          <w:rFonts w:ascii="Times New Roman" w:hAnsi="Times New Roman" w:cs="Times New Roman"/>
          <w:i/>
          <w:iCs/>
          <w:color w:val="000000" w:themeColor="text1"/>
        </w:rPr>
        <w:t xml:space="preserve">A Constitutional Order of States?  </w:t>
      </w:r>
      <w:r w:rsidR="004700ED" w:rsidRPr="00EC1B43">
        <w:rPr>
          <w:rFonts w:ascii="Times New Roman" w:hAnsi="Times New Roman" w:cs="Times New Roman"/>
          <w:i/>
          <w:iCs/>
          <w:color w:val="000000" w:themeColor="text1"/>
        </w:rPr>
        <w:t>Essays in EU Law in Honour of Alan Dashwood</w:t>
      </w:r>
      <w:r w:rsidR="004700ED" w:rsidRPr="00EC1B43">
        <w:rPr>
          <w:rFonts w:ascii="Times New Roman" w:hAnsi="Times New Roman" w:cs="Times New Roman"/>
          <w:color w:val="000000" w:themeColor="text1"/>
        </w:rPr>
        <w:t xml:space="preserve"> (Hart, 2011).  </w:t>
      </w:r>
    </w:p>
  </w:footnote>
  <w:footnote w:id="101">
    <w:p w14:paraId="177C6F0C" w14:textId="73E7EF2F"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Arts</w:t>
      </w:r>
      <w:r w:rsidR="00BC47D9" w:rsidRPr="00EC1B43">
        <w:rPr>
          <w:rFonts w:ascii="Times New Roman" w:hAnsi="Times New Roman" w:cs="Times New Roman"/>
          <w:color w:val="000000" w:themeColor="text1"/>
        </w:rPr>
        <w:t xml:space="preserve"> 352(3) and (4) TFEU.  </w:t>
      </w:r>
    </w:p>
  </w:footnote>
  <w:footnote w:id="102">
    <w:p w14:paraId="29E66083" w14:textId="6FFA7EB2"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A2819" w:rsidRPr="00EC1B43">
        <w:rPr>
          <w:rFonts w:ascii="Times New Roman" w:hAnsi="Times New Roman" w:cs="Times New Roman"/>
          <w:color w:val="000000" w:themeColor="text1"/>
        </w:rPr>
        <w:t xml:space="preserve">See further, </w:t>
      </w:r>
      <w:proofErr w:type="gramStart"/>
      <w:r w:rsidR="00EA2819" w:rsidRPr="00EC1B43">
        <w:rPr>
          <w:rFonts w:ascii="Times New Roman" w:hAnsi="Times New Roman" w:cs="Times New Roman"/>
          <w:color w:val="000000" w:themeColor="text1"/>
        </w:rPr>
        <w:t>e.g.</w:t>
      </w:r>
      <w:proofErr w:type="gramEnd"/>
      <w:r w:rsidR="00EA2819" w:rsidRPr="00EC1B43">
        <w:rPr>
          <w:rFonts w:ascii="Times New Roman" w:hAnsi="Times New Roman" w:cs="Times New Roman"/>
          <w:color w:val="000000" w:themeColor="text1"/>
        </w:rPr>
        <w:t xml:space="preserve"> Editorial Comments, “From Conference to Convention? Ideas and Prospects for Reform of the EU Treaties”</w:t>
      </w:r>
      <w:r w:rsidR="00EC1B43" w:rsidRPr="00EC1B43">
        <w:rPr>
          <w:rFonts w:ascii="Times New Roman" w:hAnsi="Times New Roman" w:cs="Times New Roman"/>
          <w:color w:val="000000" w:themeColor="text1"/>
        </w:rPr>
        <w:t>,</w:t>
      </w:r>
      <w:r w:rsidR="00EA2819" w:rsidRPr="00EC1B43">
        <w:rPr>
          <w:rFonts w:ascii="Times New Roman" w:hAnsi="Times New Roman" w:cs="Times New Roman"/>
          <w:color w:val="000000" w:themeColor="text1"/>
        </w:rPr>
        <w:t xml:space="preserve"> 59 </w:t>
      </w:r>
      <w:r w:rsidR="00080AD3" w:rsidRPr="00EC1B43">
        <w:rPr>
          <w:rFonts w:ascii="Times New Roman" w:hAnsi="Times New Roman" w:cs="Times New Roman"/>
          <w:color w:val="000000" w:themeColor="text1"/>
        </w:rPr>
        <w:t>CML Rev.</w:t>
      </w:r>
      <w:r w:rsidR="00EA2819"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 xml:space="preserve">(2022), </w:t>
      </w:r>
      <w:r w:rsidR="00EA2819" w:rsidRPr="00EC1B43">
        <w:rPr>
          <w:rFonts w:ascii="Times New Roman" w:hAnsi="Times New Roman" w:cs="Times New Roman"/>
          <w:color w:val="000000" w:themeColor="text1"/>
        </w:rPr>
        <w:t>1583.</w:t>
      </w:r>
    </w:p>
  </w:footnote>
  <w:footnote w:id="103">
    <w:p w14:paraId="172F8747" w14:textId="1B5F81F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81019F" w:rsidRPr="00EC1B43">
        <w:rPr>
          <w:rFonts w:ascii="Times New Roman" w:hAnsi="Times New Roman" w:cs="Times New Roman"/>
          <w:color w:val="000000" w:themeColor="text1"/>
        </w:rPr>
        <w:t xml:space="preserve">See further, </w:t>
      </w:r>
      <w:proofErr w:type="gramStart"/>
      <w:r w:rsidR="0081019F" w:rsidRPr="00EC1B43">
        <w:rPr>
          <w:rFonts w:ascii="Times New Roman" w:hAnsi="Times New Roman" w:cs="Times New Roman"/>
          <w:color w:val="000000" w:themeColor="text1"/>
        </w:rPr>
        <w:t>e.g.</w:t>
      </w:r>
      <w:proofErr w:type="gramEnd"/>
      <w:r w:rsidR="0081019F" w:rsidRPr="00EC1B43">
        <w:rPr>
          <w:rFonts w:ascii="Times New Roman" w:hAnsi="Times New Roman" w:cs="Times New Roman"/>
          <w:color w:val="000000" w:themeColor="text1"/>
        </w:rPr>
        <w:t xml:space="preserve"> </w:t>
      </w:r>
      <w:proofErr w:type="spellStart"/>
      <w:r w:rsidR="001A4C6E" w:rsidRPr="00EC1B43">
        <w:rPr>
          <w:rFonts w:ascii="Times New Roman" w:hAnsi="Times New Roman" w:cs="Times New Roman"/>
          <w:color w:val="000000" w:themeColor="text1"/>
        </w:rPr>
        <w:t>Hillion</w:t>
      </w:r>
      <w:proofErr w:type="spellEnd"/>
      <w:r w:rsidR="001A4C6E" w:rsidRPr="00EC1B43">
        <w:rPr>
          <w:rFonts w:ascii="Times New Roman" w:hAnsi="Times New Roman" w:cs="Times New Roman"/>
          <w:color w:val="000000" w:themeColor="text1"/>
        </w:rPr>
        <w:t xml:space="preserve"> and </w:t>
      </w:r>
      <w:proofErr w:type="spellStart"/>
      <w:r w:rsidR="0081019F" w:rsidRPr="00EC1B43">
        <w:rPr>
          <w:rFonts w:ascii="Times New Roman" w:hAnsi="Times New Roman" w:cs="Times New Roman"/>
          <w:color w:val="000000" w:themeColor="text1"/>
        </w:rPr>
        <w:t>Koutrakos</w:t>
      </w:r>
      <w:proofErr w:type="spellEnd"/>
      <w:r w:rsidR="0081019F" w:rsidRPr="00EC1B43">
        <w:rPr>
          <w:rFonts w:ascii="Times New Roman" w:hAnsi="Times New Roman" w:cs="Times New Roman"/>
          <w:color w:val="000000" w:themeColor="text1"/>
        </w:rPr>
        <w:t xml:space="preserve"> (ed</w:t>
      </w:r>
      <w:r w:rsidR="001A4C6E" w:rsidRPr="00EC1B43">
        <w:rPr>
          <w:rFonts w:ascii="Times New Roman" w:hAnsi="Times New Roman" w:cs="Times New Roman"/>
          <w:color w:val="000000" w:themeColor="text1"/>
        </w:rPr>
        <w:t>s</w:t>
      </w:r>
      <w:r w:rsidR="0081019F" w:rsidRPr="00EC1B43">
        <w:rPr>
          <w:rFonts w:ascii="Times New Roman" w:hAnsi="Times New Roman" w:cs="Times New Roman"/>
          <w:color w:val="000000" w:themeColor="text1"/>
        </w:rPr>
        <w:t xml:space="preserve">), </w:t>
      </w:r>
      <w:r w:rsidR="0081019F" w:rsidRPr="00EC1B43">
        <w:rPr>
          <w:rFonts w:ascii="Times New Roman" w:hAnsi="Times New Roman" w:cs="Times New Roman"/>
          <w:i/>
          <w:color w:val="000000" w:themeColor="text1"/>
        </w:rPr>
        <w:t>Mixed Agreements Revisited: The EU and Its Member States in the World</w:t>
      </w:r>
      <w:r w:rsidR="0081019F" w:rsidRPr="00EC1B43">
        <w:rPr>
          <w:rFonts w:ascii="Times New Roman" w:hAnsi="Times New Roman" w:cs="Times New Roman"/>
          <w:color w:val="000000" w:themeColor="text1"/>
        </w:rPr>
        <w:t xml:space="preserve"> (Hart, 2010).</w:t>
      </w:r>
    </w:p>
  </w:footnote>
  <w:footnote w:id="104">
    <w:p w14:paraId="2E4D7AF6" w14:textId="59ACB04C" w:rsidR="007F2321"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81019F" w:rsidRPr="00EC1B43">
        <w:rPr>
          <w:rFonts w:ascii="Times New Roman" w:hAnsi="Times New Roman" w:cs="Times New Roman"/>
          <w:color w:val="000000" w:themeColor="text1"/>
        </w:rPr>
        <w:t>A feature, in particular, of the EU’s collective response to the Covid-19 pandemic</w:t>
      </w:r>
      <w:r w:rsidR="00846C4A" w:rsidRPr="00EC1B43">
        <w:rPr>
          <w:rFonts w:ascii="Times New Roman" w:hAnsi="Times New Roman" w:cs="Times New Roman"/>
          <w:color w:val="000000" w:themeColor="text1"/>
        </w:rPr>
        <w:t xml:space="preserve">: see further, e.g. Delhomme and Hervey, “The European Union’s response to the Covid-19 crisis and (the legitimacy of) the Union’s legal order” [2023] </w:t>
      </w:r>
      <w:r w:rsidR="00846C4A" w:rsidRPr="00EC1B43">
        <w:rPr>
          <w:rFonts w:ascii="Times New Roman" w:hAnsi="Times New Roman" w:cs="Times New Roman"/>
          <w:i/>
          <w:iCs/>
          <w:color w:val="000000" w:themeColor="text1"/>
        </w:rPr>
        <w:t>Yearbook of European Law</w:t>
      </w:r>
      <w:r w:rsidR="00846C4A" w:rsidRPr="00EC1B43">
        <w:rPr>
          <w:rFonts w:ascii="Times New Roman" w:hAnsi="Times New Roman" w:cs="Times New Roman"/>
          <w:color w:val="000000" w:themeColor="text1"/>
        </w:rPr>
        <w:t xml:space="preserve"> (forthcoming but already available online via &lt;</w:t>
      </w:r>
      <w:hyperlink r:id="rId2" w:history="1">
        <w:r w:rsidR="00846C4A" w:rsidRPr="00EC1B43">
          <w:rPr>
            <w:rStyle w:val="Hyperlink"/>
            <w:rFonts w:ascii="Times New Roman" w:hAnsi="Times New Roman" w:cs="Times New Roman"/>
            <w:color w:val="000000" w:themeColor="text1"/>
          </w:rPr>
          <w:t>https://academic.oup.com/yel/advance-article/doi/10.1093/yel/yeac011/7008320</w:t>
        </w:r>
      </w:hyperlink>
      <w:r w:rsidR="00846C4A" w:rsidRPr="00EC1B43">
        <w:rPr>
          <w:rFonts w:ascii="Times New Roman" w:hAnsi="Times New Roman" w:cs="Times New Roman"/>
          <w:color w:val="000000" w:themeColor="text1"/>
        </w:rPr>
        <w:t>&gt;)</w:t>
      </w:r>
      <w:r w:rsidR="0081019F" w:rsidRPr="00EC1B43">
        <w:rPr>
          <w:rFonts w:ascii="Times New Roman" w:hAnsi="Times New Roman" w:cs="Times New Roman"/>
          <w:color w:val="000000" w:themeColor="text1"/>
        </w:rPr>
        <w:t xml:space="preserve">.  </w:t>
      </w:r>
    </w:p>
  </w:footnote>
  <w:footnote w:id="105">
    <w:p w14:paraId="5E5939E1" w14:textId="36256BE7" w:rsidR="00046D28" w:rsidRPr="00EC1B43" w:rsidRDefault="00046D28" w:rsidP="00EC1B43">
      <w:pPr>
        <w:pStyle w:val="FootnoteText"/>
        <w:jc w:val="both"/>
        <w:rPr>
          <w:rFonts w:ascii="Times New Roman" w:hAnsi="Times New Roman" w:cs="Times New Roman"/>
          <w:b/>
          <w:bCs/>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81019F" w:rsidRPr="00EC1B43">
        <w:rPr>
          <w:rFonts w:ascii="Times New Roman" w:hAnsi="Times New Roman" w:cs="Times New Roman"/>
          <w:color w:val="000000" w:themeColor="text1"/>
        </w:rPr>
        <w:t xml:space="preserve">See further, </w:t>
      </w:r>
      <w:proofErr w:type="gramStart"/>
      <w:r w:rsidR="0081019F" w:rsidRPr="00EC1B43">
        <w:rPr>
          <w:rFonts w:ascii="Times New Roman" w:hAnsi="Times New Roman" w:cs="Times New Roman"/>
          <w:color w:val="000000" w:themeColor="text1"/>
        </w:rPr>
        <w:t>e.g.</w:t>
      </w:r>
      <w:proofErr w:type="gramEnd"/>
      <w:r w:rsidR="0081019F" w:rsidRPr="00EC1B43">
        <w:rPr>
          <w:rFonts w:ascii="Times New Roman" w:hAnsi="Times New Roman" w:cs="Times New Roman"/>
          <w:color w:val="000000" w:themeColor="text1"/>
        </w:rPr>
        <w:t xml:space="preserve"> </w:t>
      </w:r>
      <w:proofErr w:type="spellStart"/>
      <w:r w:rsidR="0081019F" w:rsidRPr="00EC1B43">
        <w:rPr>
          <w:rFonts w:ascii="Times New Roman" w:hAnsi="Times New Roman" w:cs="Times New Roman"/>
          <w:color w:val="000000" w:themeColor="text1"/>
        </w:rPr>
        <w:t>Spaventa</w:t>
      </w:r>
      <w:proofErr w:type="spellEnd"/>
      <w:r w:rsidR="0081019F" w:rsidRPr="00EC1B43">
        <w:rPr>
          <w:rFonts w:ascii="Times New Roman" w:hAnsi="Times New Roman" w:cs="Times New Roman"/>
          <w:color w:val="000000" w:themeColor="text1"/>
        </w:rPr>
        <w:t>, “Constitutional creativity or constitutional deception?  Acts of the Member States collectively and jurisdiction of the Court of Justice”, 58 CML Rev. (2021), 1697.</w:t>
      </w:r>
    </w:p>
  </w:footnote>
  <w:footnote w:id="106">
    <w:p w14:paraId="4BE3BD21" w14:textId="227733B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Art</w:t>
      </w:r>
      <w:r w:rsidR="00EA2819" w:rsidRPr="00EC1B43">
        <w:rPr>
          <w:rFonts w:ascii="Times New Roman" w:hAnsi="Times New Roman" w:cs="Times New Roman"/>
          <w:color w:val="000000" w:themeColor="text1"/>
        </w:rPr>
        <w:t xml:space="preserve"> 4(3) TEU.</w:t>
      </w:r>
    </w:p>
  </w:footnote>
  <w:footnote w:id="107">
    <w:p w14:paraId="3F8CA4FD" w14:textId="76B73BD7"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A2819" w:rsidRPr="00EC1B43">
        <w:rPr>
          <w:rFonts w:ascii="Times New Roman" w:hAnsi="Times New Roman" w:cs="Times New Roman"/>
          <w:color w:val="000000" w:themeColor="text1"/>
        </w:rPr>
        <w:t xml:space="preserve">See further, </w:t>
      </w:r>
      <w:proofErr w:type="gramStart"/>
      <w:r w:rsidR="00EA2819" w:rsidRPr="00EC1B43">
        <w:rPr>
          <w:rFonts w:ascii="Times New Roman" w:hAnsi="Times New Roman" w:cs="Times New Roman"/>
          <w:color w:val="000000" w:themeColor="text1"/>
        </w:rPr>
        <w:t>e.g.</w:t>
      </w:r>
      <w:proofErr w:type="gramEnd"/>
      <w:r w:rsidR="00EA2819" w:rsidRPr="00EC1B43">
        <w:rPr>
          <w:rFonts w:ascii="Times New Roman" w:hAnsi="Times New Roman" w:cs="Times New Roman"/>
          <w:color w:val="000000" w:themeColor="text1"/>
        </w:rPr>
        <w:t xml:space="preserve"> Dashwood et al, </w:t>
      </w:r>
      <w:r w:rsidR="00EA2819" w:rsidRPr="00EC1B43">
        <w:rPr>
          <w:rFonts w:ascii="Times New Roman" w:hAnsi="Times New Roman" w:cs="Times New Roman"/>
          <w:i/>
          <w:iCs/>
          <w:color w:val="000000" w:themeColor="text1"/>
        </w:rPr>
        <w:t>Wyatt and Dashwood’s European Union Law</w:t>
      </w:r>
      <w:r w:rsidR="00EA2819" w:rsidRPr="00EC1B43">
        <w:rPr>
          <w:rFonts w:ascii="Times New Roman" w:hAnsi="Times New Roman" w:cs="Times New Roman"/>
          <w:color w:val="000000" w:themeColor="text1"/>
        </w:rPr>
        <w:t xml:space="preserve"> (Hart, 6</w:t>
      </w:r>
      <w:r w:rsidR="00EA2819" w:rsidRPr="00EC1B43">
        <w:rPr>
          <w:rFonts w:ascii="Times New Roman" w:hAnsi="Times New Roman" w:cs="Times New Roman"/>
          <w:color w:val="000000" w:themeColor="text1"/>
          <w:vertAlign w:val="superscript"/>
        </w:rPr>
        <w:t>th</w:t>
      </w:r>
      <w:r w:rsidR="00EA2819" w:rsidRPr="00EC1B43">
        <w:rPr>
          <w:rFonts w:ascii="Times New Roman" w:hAnsi="Times New Roman" w:cs="Times New Roman"/>
          <w:color w:val="000000" w:themeColor="text1"/>
        </w:rPr>
        <w:t xml:space="preserve"> ed, 2011)</w:t>
      </w:r>
      <w:r w:rsidR="00EC1B43" w:rsidRPr="00EC1B43">
        <w:rPr>
          <w:rFonts w:ascii="Times New Roman" w:hAnsi="Times New Roman" w:cs="Times New Roman"/>
          <w:color w:val="000000" w:themeColor="text1"/>
        </w:rPr>
        <w:t>,</w:t>
      </w:r>
      <w:r w:rsidR="00EA2819" w:rsidRPr="00EC1B43">
        <w:rPr>
          <w:rFonts w:ascii="Times New Roman" w:hAnsi="Times New Roman" w:cs="Times New Roman"/>
          <w:color w:val="000000" w:themeColor="text1"/>
        </w:rPr>
        <w:t xml:space="preserve"> p</w:t>
      </w:r>
      <w:r w:rsidR="00EC1B43" w:rsidRPr="00EC1B43">
        <w:rPr>
          <w:rFonts w:ascii="Times New Roman" w:hAnsi="Times New Roman" w:cs="Times New Roman"/>
          <w:color w:val="000000" w:themeColor="text1"/>
        </w:rPr>
        <w:t>.</w:t>
      </w:r>
      <w:r w:rsidR="00EA2819" w:rsidRPr="00EC1B43">
        <w:rPr>
          <w:rFonts w:ascii="Times New Roman" w:hAnsi="Times New Roman" w:cs="Times New Roman"/>
          <w:color w:val="000000" w:themeColor="text1"/>
        </w:rPr>
        <w:t xml:space="preserve"> 80.</w:t>
      </w:r>
    </w:p>
  </w:footnote>
  <w:footnote w:id="108">
    <w:p w14:paraId="1EBBEF37" w14:textId="7C7A63F9" w:rsidR="00EB151D" w:rsidRPr="00EC1B43" w:rsidRDefault="00EB151D"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proofErr w:type="gramStart"/>
      <w:r w:rsidR="00133A2B" w:rsidRPr="00EC1B43">
        <w:rPr>
          <w:rFonts w:ascii="Times New Roman" w:hAnsi="Times New Roman" w:cs="Times New Roman"/>
          <w:color w:val="000000" w:themeColor="text1"/>
        </w:rPr>
        <w:t>Thus</w:t>
      </w:r>
      <w:proofErr w:type="gramEnd"/>
      <w:r w:rsidR="00133A2B" w:rsidRPr="00EC1B43">
        <w:rPr>
          <w:rFonts w:ascii="Times New Roman" w:hAnsi="Times New Roman" w:cs="Times New Roman"/>
          <w:color w:val="000000" w:themeColor="text1"/>
        </w:rPr>
        <w:t xml:space="preserve"> going further than our current understanding of the Treaties’ existing organic law procedures, i.e. since domestic ratification </w:t>
      </w:r>
      <w:r w:rsidR="00A862CD" w:rsidRPr="00EC1B43">
        <w:rPr>
          <w:rFonts w:ascii="Times New Roman" w:hAnsi="Times New Roman" w:cs="Times New Roman"/>
          <w:color w:val="000000" w:themeColor="text1"/>
        </w:rPr>
        <w:t xml:space="preserve">under the latter provisions </w:t>
      </w:r>
      <w:r w:rsidR="00133A2B" w:rsidRPr="00EC1B43">
        <w:rPr>
          <w:rFonts w:ascii="Times New Roman" w:hAnsi="Times New Roman" w:cs="Times New Roman"/>
          <w:color w:val="000000" w:themeColor="text1"/>
        </w:rPr>
        <w:t xml:space="preserve">cannot </w:t>
      </w:r>
      <w:r w:rsidR="00A862CD" w:rsidRPr="00EC1B43">
        <w:rPr>
          <w:rFonts w:ascii="Times New Roman" w:hAnsi="Times New Roman" w:cs="Times New Roman"/>
          <w:color w:val="000000" w:themeColor="text1"/>
        </w:rPr>
        <w:t xml:space="preserve">somehow </w:t>
      </w:r>
      <w:r w:rsidR="00133A2B" w:rsidRPr="00EC1B43">
        <w:rPr>
          <w:rFonts w:ascii="Times New Roman" w:hAnsi="Times New Roman" w:cs="Times New Roman"/>
          <w:color w:val="000000" w:themeColor="text1"/>
        </w:rPr>
        <w:t xml:space="preserve">cure an a priori lack of </w:t>
      </w:r>
      <w:r w:rsidR="00A862CD" w:rsidRPr="00EC1B43">
        <w:rPr>
          <w:rFonts w:ascii="Times New Roman" w:hAnsi="Times New Roman" w:cs="Times New Roman"/>
          <w:color w:val="000000" w:themeColor="text1"/>
        </w:rPr>
        <w:t xml:space="preserve">Union </w:t>
      </w:r>
      <w:r w:rsidR="00133A2B" w:rsidRPr="00EC1B43">
        <w:rPr>
          <w:rFonts w:ascii="Times New Roman" w:hAnsi="Times New Roman" w:cs="Times New Roman"/>
          <w:color w:val="000000" w:themeColor="text1"/>
        </w:rPr>
        <w:t xml:space="preserve">competence – a view also reflected by the </w:t>
      </w:r>
      <w:r w:rsidRPr="00EC1B43">
        <w:rPr>
          <w:rFonts w:ascii="Times New Roman" w:hAnsi="Times New Roman" w:cs="Times New Roman"/>
          <w:color w:val="000000" w:themeColor="text1"/>
        </w:rPr>
        <w:t xml:space="preserve">German Federal Constitutional Court in its ruling on the </w:t>
      </w:r>
      <w:r w:rsidRPr="00EC1B43">
        <w:rPr>
          <w:rFonts w:ascii="Times New Roman" w:hAnsi="Times New Roman" w:cs="Times New Roman"/>
          <w:i/>
          <w:iCs/>
          <w:color w:val="000000" w:themeColor="text1"/>
        </w:rPr>
        <w:t>Act Ratifying the EU Own Resources Decision</w:t>
      </w:r>
      <w:r w:rsidRPr="00EC1B43">
        <w:rPr>
          <w:rFonts w:ascii="Times New Roman" w:hAnsi="Times New Roman" w:cs="Times New Roman"/>
          <w:color w:val="000000" w:themeColor="text1"/>
        </w:rPr>
        <w:t xml:space="preserve"> (Judgment of 6 December 2022), especially at paras 159-160. </w:t>
      </w:r>
    </w:p>
  </w:footnote>
  <w:footnote w:id="109">
    <w:p w14:paraId="71684D69" w14:textId="34934447" w:rsidR="003A31C7"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3A31C7" w:rsidRPr="00EC1B43">
        <w:rPr>
          <w:rFonts w:ascii="Times New Roman" w:hAnsi="Times New Roman" w:cs="Times New Roman"/>
          <w:color w:val="000000" w:themeColor="text1"/>
        </w:rPr>
        <w:t xml:space="preserve">Recall </w:t>
      </w:r>
      <w:r w:rsidR="00AB3541" w:rsidRPr="00EC1B43">
        <w:rPr>
          <w:rFonts w:ascii="Times New Roman" w:hAnsi="Times New Roman" w:cs="Times New Roman"/>
          <w:color w:val="000000" w:themeColor="text1"/>
        </w:rPr>
        <w:t xml:space="preserve">the </w:t>
      </w:r>
      <w:r w:rsidR="003A31C7" w:rsidRPr="00EC1B43">
        <w:rPr>
          <w:rFonts w:ascii="Times New Roman" w:hAnsi="Times New Roman" w:cs="Times New Roman"/>
          <w:color w:val="000000" w:themeColor="text1"/>
        </w:rPr>
        <w:t xml:space="preserve">Union’s </w:t>
      </w:r>
      <w:r w:rsidR="00AB3541" w:rsidRPr="00EC1B43">
        <w:rPr>
          <w:rFonts w:ascii="Times New Roman" w:hAnsi="Times New Roman" w:cs="Times New Roman"/>
          <w:color w:val="000000" w:themeColor="text1"/>
        </w:rPr>
        <w:t xml:space="preserve">efforts </w:t>
      </w:r>
      <w:r w:rsidR="003A31C7" w:rsidRPr="00EC1B43">
        <w:rPr>
          <w:rFonts w:ascii="Times New Roman" w:hAnsi="Times New Roman" w:cs="Times New Roman"/>
          <w:color w:val="000000" w:themeColor="text1"/>
        </w:rPr>
        <w:t xml:space="preserve">to </w:t>
      </w:r>
      <w:r w:rsidR="00AB3541" w:rsidRPr="00EC1B43">
        <w:rPr>
          <w:rFonts w:ascii="Times New Roman" w:hAnsi="Times New Roman" w:cs="Times New Roman"/>
          <w:color w:val="000000" w:themeColor="text1"/>
        </w:rPr>
        <w:t>ensur</w:t>
      </w:r>
      <w:r w:rsidR="003A31C7" w:rsidRPr="00EC1B43">
        <w:rPr>
          <w:rFonts w:ascii="Times New Roman" w:hAnsi="Times New Roman" w:cs="Times New Roman"/>
          <w:color w:val="000000" w:themeColor="text1"/>
        </w:rPr>
        <w:t>e</w:t>
      </w:r>
      <w:r w:rsidR="00AB3541" w:rsidRPr="00EC1B43">
        <w:rPr>
          <w:rFonts w:ascii="Times New Roman" w:hAnsi="Times New Roman" w:cs="Times New Roman"/>
          <w:color w:val="000000" w:themeColor="text1"/>
        </w:rPr>
        <w:t xml:space="preserve"> that the key agreements relat</w:t>
      </w:r>
      <w:r w:rsidR="003A31C7" w:rsidRPr="00EC1B43">
        <w:rPr>
          <w:rFonts w:ascii="Times New Roman" w:hAnsi="Times New Roman" w:cs="Times New Roman"/>
          <w:color w:val="000000" w:themeColor="text1"/>
        </w:rPr>
        <w:t>ing</w:t>
      </w:r>
      <w:r w:rsidR="00AB3541" w:rsidRPr="00EC1B43">
        <w:rPr>
          <w:rFonts w:ascii="Times New Roman" w:hAnsi="Times New Roman" w:cs="Times New Roman"/>
          <w:color w:val="000000" w:themeColor="text1"/>
        </w:rPr>
        <w:t xml:space="preserve"> to UK withdrawal (Withdrawal Agreement; Trade and Cooperation Agreement) </w:t>
      </w:r>
      <w:r w:rsidR="003A31C7" w:rsidRPr="00EC1B43">
        <w:rPr>
          <w:rFonts w:ascii="Times New Roman" w:hAnsi="Times New Roman" w:cs="Times New Roman"/>
          <w:color w:val="000000" w:themeColor="text1"/>
        </w:rPr>
        <w:t xml:space="preserve">were not consider mixed and so did not require national ratification.  See further, </w:t>
      </w:r>
      <w:proofErr w:type="gramStart"/>
      <w:r w:rsidR="003A31C7" w:rsidRPr="00EC1B43">
        <w:rPr>
          <w:rFonts w:ascii="Times New Roman" w:hAnsi="Times New Roman" w:cs="Times New Roman"/>
          <w:color w:val="000000" w:themeColor="text1"/>
        </w:rPr>
        <w:t>e.g.</w:t>
      </w:r>
      <w:proofErr w:type="gramEnd"/>
      <w:r w:rsidR="003A31C7" w:rsidRPr="00EC1B43">
        <w:rPr>
          <w:rFonts w:ascii="Times New Roman" w:hAnsi="Times New Roman" w:cs="Times New Roman"/>
          <w:color w:val="000000" w:themeColor="text1"/>
        </w:rPr>
        <w:t xml:space="preserve"> Dougan, </w:t>
      </w:r>
      <w:r w:rsidR="003A31C7" w:rsidRPr="00EC1B43">
        <w:rPr>
          <w:rFonts w:ascii="Times New Roman" w:hAnsi="Times New Roman" w:cs="Times New Roman"/>
          <w:i/>
          <w:iCs/>
          <w:color w:val="000000" w:themeColor="text1"/>
        </w:rPr>
        <w:t>The UK’s Withdrawal from the EU: A Legal Analysis</w:t>
      </w:r>
      <w:r w:rsidR="003A31C7" w:rsidRPr="00EC1B43">
        <w:rPr>
          <w:rFonts w:ascii="Times New Roman" w:hAnsi="Times New Roman" w:cs="Times New Roman"/>
          <w:color w:val="000000" w:themeColor="text1"/>
        </w:rPr>
        <w:t xml:space="preserve"> (OUP, 2022).</w:t>
      </w:r>
    </w:p>
  </w:footnote>
  <w:footnote w:id="110">
    <w:p w14:paraId="04AEC45C" w14:textId="0F742A84" w:rsidR="007F2321"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3A31C7" w:rsidRPr="00EC1B43">
        <w:rPr>
          <w:rFonts w:ascii="Times New Roman" w:hAnsi="Times New Roman" w:cs="Times New Roman"/>
          <w:color w:val="000000" w:themeColor="text1"/>
        </w:rPr>
        <w:t xml:space="preserve">Recall the experience of both the proposed Treaty establishing a Constitution for Europe (negative French and Dutch referenda in 2005) and the </w:t>
      </w:r>
      <w:r w:rsidRPr="00EC1B43">
        <w:rPr>
          <w:rFonts w:ascii="Times New Roman" w:hAnsi="Times New Roman" w:cs="Times New Roman"/>
          <w:color w:val="000000" w:themeColor="text1"/>
        </w:rPr>
        <w:t xml:space="preserve">Lisbon </w:t>
      </w:r>
      <w:r w:rsidR="003A31C7" w:rsidRPr="00EC1B43">
        <w:rPr>
          <w:rFonts w:ascii="Times New Roman" w:hAnsi="Times New Roman" w:cs="Times New Roman"/>
          <w:color w:val="000000" w:themeColor="text1"/>
        </w:rPr>
        <w:t>Treaty (negative Irish referendum in 2008 followed by second, positive, referendum in 2009).</w:t>
      </w:r>
    </w:p>
  </w:footnote>
  <w:footnote w:id="111">
    <w:p w14:paraId="079FA565" w14:textId="3BA78848"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C1B43" w:rsidRPr="00EC1B43">
        <w:rPr>
          <w:rFonts w:ascii="Times New Roman" w:hAnsi="Times New Roman" w:cs="Times New Roman"/>
          <w:color w:val="000000" w:themeColor="text1"/>
        </w:rPr>
        <w:t>Art</w:t>
      </w:r>
      <w:r w:rsidR="00EA2819" w:rsidRPr="00EC1B43">
        <w:rPr>
          <w:rFonts w:ascii="Times New Roman" w:hAnsi="Times New Roman" w:cs="Times New Roman"/>
          <w:color w:val="000000" w:themeColor="text1"/>
        </w:rPr>
        <w:t xml:space="preserve"> 20 TEU and </w:t>
      </w:r>
      <w:r w:rsidR="00EC1B43" w:rsidRPr="00EC1B43">
        <w:rPr>
          <w:rFonts w:ascii="Times New Roman" w:hAnsi="Times New Roman" w:cs="Times New Roman"/>
          <w:color w:val="000000" w:themeColor="text1"/>
        </w:rPr>
        <w:t xml:space="preserve">Arts </w:t>
      </w:r>
      <w:r w:rsidR="00EA2819" w:rsidRPr="00EC1B43">
        <w:rPr>
          <w:rFonts w:ascii="Times New Roman" w:hAnsi="Times New Roman" w:cs="Times New Roman"/>
          <w:color w:val="000000" w:themeColor="text1"/>
        </w:rPr>
        <w:t xml:space="preserve">326-334 TFEU. </w:t>
      </w:r>
    </w:p>
  </w:footnote>
  <w:footnote w:id="112">
    <w:p w14:paraId="6B40C200" w14:textId="3755A0D3" w:rsidR="00046D28" w:rsidRPr="00EC1B43" w:rsidRDefault="00046D28"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EA2819" w:rsidRPr="00EC1B43">
        <w:rPr>
          <w:rFonts w:ascii="Times New Roman" w:hAnsi="Times New Roman" w:cs="Times New Roman"/>
          <w:color w:val="000000" w:themeColor="text1"/>
        </w:rPr>
        <w:t xml:space="preserve">In particular: </w:t>
      </w:r>
      <w:r w:rsidR="00EC1B43" w:rsidRPr="00EC1B43">
        <w:rPr>
          <w:rFonts w:ascii="Times New Roman" w:hAnsi="Times New Roman" w:cs="Times New Roman"/>
          <w:color w:val="000000" w:themeColor="text1"/>
        </w:rPr>
        <w:t>Art</w:t>
      </w:r>
      <w:r w:rsidR="00EA2819" w:rsidRPr="00EC1B43">
        <w:rPr>
          <w:rFonts w:ascii="Times New Roman" w:hAnsi="Times New Roman" w:cs="Times New Roman"/>
          <w:color w:val="000000" w:themeColor="text1"/>
        </w:rPr>
        <w:t xml:space="preserve"> 20(1) TEU</w:t>
      </w:r>
      <w:r w:rsidR="00077AD8" w:rsidRPr="00EC1B43">
        <w:rPr>
          <w:rFonts w:ascii="Times New Roman" w:hAnsi="Times New Roman" w:cs="Times New Roman"/>
          <w:color w:val="000000" w:themeColor="text1"/>
        </w:rPr>
        <w:t xml:space="preserve"> and </w:t>
      </w:r>
      <w:r w:rsidR="00EC1B43" w:rsidRPr="00EC1B43">
        <w:rPr>
          <w:rFonts w:ascii="Times New Roman" w:hAnsi="Times New Roman" w:cs="Times New Roman"/>
          <w:color w:val="000000" w:themeColor="text1"/>
        </w:rPr>
        <w:t xml:space="preserve">Art </w:t>
      </w:r>
      <w:r w:rsidR="00077AD8" w:rsidRPr="00EC1B43">
        <w:rPr>
          <w:rFonts w:ascii="Times New Roman" w:hAnsi="Times New Roman" w:cs="Times New Roman"/>
          <w:color w:val="000000" w:themeColor="text1"/>
        </w:rPr>
        <w:t xml:space="preserve">326 TFEU. </w:t>
      </w:r>
    </w:p>
  </w:footnote>
  <w:footnote w:id="113">
    <w:p w14:paraId="714FC480" w14:textId="6C695980" w:rsidR="007F2321" w:rsidRPr="00EC1B43" w:rsidRDefault="007F2321" w:rsidP="00EC1B43">
      <w:pPr>
        <w:pStyle w:val="FootnoteText"/>
        <w:jc w:val="both"/>
        <w:rPr>
          <w:rFonts w:ascii="Times New Roman" w:hAnsi="Times New Roman" w:cs="Times New Roman"/>
          <w:color w:val="000000" w:themeColor="text1"/>
        </w:rPr>
      </w:pPr>
      <w:r w:rsidRPr="00EC1B43">
        <w:rPr>
          <w:rStyle w:val="FootnoteReference"/>
          <w:rFonts w:ascii="Times New Roman" w:hAnsi="Times New Roman" w:cs="Times New Roman"/>
          <w:color w:val="000000" w:themeColor="text1"/>
        </w:rPr>
        <w:footnoteRef/>
      </w:r>
      <w:r w:rsidRPr="00EC1B43">
        <w:rPr>
          <w:rFonts w:ascii="Times New Roman" w:hAnsi="Times New Roman" w:cs="Times New Roman"/>
          <w:color w:val="000000" w:themeColor="text1"/>
        </w:rPr>
        <w:t xml:space="preserve"> </w:t>
      </w:r>
      <w:r w:rsidR="00077AD8" w:rsidRPr="00EC1B43">
        <w:rPr>
          <w:rFonts w:ascii="Times New Roman" w:hAnsi="Times New Roman" w:cs="Times New Roman"/>
          <w:color w:val="000000" w:themeColor="text1"/>
        </w:rPr>
        <w:t xml:space="preserve">The gradual expansion of an existing enhanced cooperation raises similar problems, </w:t>
      </w:r>
      <w:proofErr w:type="gramStart"/>
      <w:r w:rsidR="00077AD8" w:rsidRPr="00EC1B43">
        <w:rPr>
          <w:rFonts w:ascii="Times New Roman" w:hAnsi="Times New Roman" w:cs="Times New Roman"/>
          <w:color w:val="000000" w:themeColor="text1"/>
        </w:rPr>
        <w:t>e.g.</w:t>
      </w:r>
      <w:proofErr w:type="gramEnd"/>
      <w:r w:rsidR="00077AD8" w:rsidRPr="00EC1B43">
        <w:rPr>
          <w:rFonts w:ascii="Times New Roman" w:hAnsi="Times New Roman" w:cs="Times New Roman"/>
          <w:color w:val="000000" w:themeColor="text1"/>
        </w:rPr>
        <w:t xml:space="preserve"> where the restricted formation of the </w:t>
      </w:r>
      <w:r w:rsidRPr="00EC1B43">
        <w:rPr>
          <w:rFonts w:ascii="Times New Roman" w:hAnsi="Times New Roman" w:cs="Times New Roman"/>
          <w:color w:val="000000" w:themeColor="text1"/>
        </w:rPr>
        <w:t>Council</w:t>
      </w:r>
      <w:r w:rsidR="00077AD8" w:rsidRPr="00EC1B43">
        <w:rPr>
          <w:rFonts w:ascii="Times New Roman" w:hAnsi="Times New Roman" w:cs="Times New Roman"/>
          <w:color w:val="000000" w:themeColor="text1"/>
        </w:rPr>
        <w:t xml:space="preserve"> </w:t>
      </w:r>
      <w:r w:rsidR="003A31C7" w:rsidRPr="00EC1B43">
        <w:rPr>
          <w:rFonts w:ascii="Times New Roman" w:hAnsi="Times New Roman" w:cs="Times New Roman"/>
          <w:color w:val="000000" w:themeColor="text1"/>
        </w:rPr>
        <w:t xml:space="preserve">might already have </w:t>
      </w:r>
      <w:r w:rsidR="00077AD8" w:rsidRPr="00EC1B43">
        <w:rPr>
          <w:rFonts w:ascii="Times New Roman" w:hAnsi="Times New Roman" w:cs="Times New Roman"/>
          <w:color w:val="000000" w:themeColor="text1"/>
        </w:rPr>
        <w:t>agreed to change its</w:t>
      </w:r>
      <w:r w:rsidRPr="00EC1B43">
        <w:rPr>
          <w:rFonts w:ascii="Times New Roman" w:hAnsi="Times New Roman" w:cs="Times New Roman"/>
          <w:color w:val="000000" w:themeColor="text1"/>
        </w:rPr>
        <w:t xml:space="preserve"> </w:t>
      </w:r>
      <w:r w:rsidR="00077AD8" w:rsidRPr="00EC1B43">
        <w:rPr>
          <w:rFonts w:ascii="Times New Roman" w:hAnsi="Times New Roman" w:cs="Times New Roman"/>
          <w:color w:val="000000" w:themeColor="text1"/>
        </w:rPr>
        <w:t xml:space="preserve">internal </w:t>
      </w:r>
      <w:r w:rsidRPr="00EC1B43">
        <w:rPr>
          <w:rFonts w:ascii="Times New Roman" w:hAnsi="Times New Roman" w:cs="Times New Roman"/>
          <w:color w:val="000000" w:themeColor="text1"/>
        </w:rPr>
        <w:t>voting rules</w:t>
      </w:r>
      <w:r w:rsidR="00077AD8" w:rsidRPr="00EC1B43">
        <w:rPr>
          <w:rFonts w:ascii="Times New Roman" w:hAnsi="Times New Roman" w:cs="Times New Roman"/>
          <w:color w:val="000000" w:themeColor="text1"/>
        </w:rPr>
        <w:t xml:space="preserve"> using the simplified procedure available under Article 333(1) TFEU.  See further, </w:t>
      </w:r>
      <w:proofErr w:type="gramStart"/>
      <w:r w:rsidR="00077AD8" w:rsidRPr="00EC1B43">
        <w:rPr>
          <w:rFonts w:ascii="Times New Roman" w:hAnsi="Times New Roman" w:cs="Times New Roman"/>
          <w:color w:val="000000" w:themeColor="text1"/>
        </w:rPr>
        <w:t>e.g.</w:t>
      </w:r>
      <w:proofErr w:type="gramEnd"/>
      <w:r w:rsidR="00077AD8" w:rsidRPr="00EC1B43">
        <w:rPr>
          <w:rFonts w:ascii="Times New Roman" w:hAnsi="Times New Roman" w:cs="Times New Roman"/>
          <w:color w:val="000000" w:themeColor="text1"/>
        </w:rPr>
        <w:t xml:space="preserve"> </w:t>
      </w:r>
      <w:r w:rsidR="003A31C7" w:rsidRPr="00EC1B43">
        <w:rPr>
          <w:rFonts w:ascii="Times New Roman" w:hAnsi="Times New Roman" w:cs="Times New Roman"/>
          <w:color w:val="000000" w:themeColor="text1"/>
        </w:rPr>
        <w:t xml:space="preserve">Dougan, “The Unfinished Business of Enhanced Cooperation: Some Institutional Questions and their Constitutional Implications” in Ott and Vos (eds), </w:t>
      </w:r>
      <w:r w:rsidR="003A31C7" w:rsidRPr="00EC1B43">
        <w:rPr>
          <w:rFonts w:ascii="Times New Roman" w:hAnsi="Times New Roman" w:cs="Times New Roman"/>
          <w:i/>
          <w:color w:val="000000" w:themeColor="text1"/>
        </w:rPr>
        <w:t xml:space="preserve">Fifty Years of European Integration: Foundations and Perspectives </w:t>
      </w:r>
      <w:r w:rsidR="003A31C7" w:rsidRPr="00EC1B43">
        <w:rPr>
          <w:rFonts w:ascii="Times New Roman" w:hAnsi="Times New Roman" w:cs="Times New Roman"/>
          <w:color w:val="000000" w:themeColor="text1"/>
        </w:rPr>
        <w:t>(TMC Asser Press, 2009)</w:t>
      </w:r>
      <w:r w:rsidR="00077AD8" w:rsidRPr="00EC1B43">
        <w:rPr>
          <w:rFonts w:ascii="Times New Roman" w:hAnsi="Times New Roman" w:cs="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4D1B"/>
    <w:multiLevelType w:val="hybridMultilevel"/>
    <w:tmpl w:val="6C7096D2"/>
    <w:lvl w:ilvl="0" w:tplc="813EA5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B85CE2"/>
    <w:multiLevelType w:val="hybridMultilevel"/>
    <w:tmpl w:val="C754812C"/>
    <w:lvl w:ilvl="0" w:tplc="8542D72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04C39"/>
    <w:multiLevelType w:val="hybridMultilevel"/>
    <w:tmpl w:val="F45E63AE"/>
    <w:lvl w:ilvl="0" w:tplc="525A976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183312">
    <w:abstractNumId w:val="2"/>
  </w:num>
  <w:num w:numId="2" w16cid:durableId="1897469422">
    <w:abstractNumId w:val="1"/>
  </w:num>
  <w:num w:numId="3" w16cid:durableId="191346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99"/>
    <w:rsid w:val="000067A3"/>
    <w:rsid w:val="000071C8"/>
    <w:rsid w:val="00011AAA"/>
    <w:rsid w:val="0001440B"/>
    <w:rsid w:val="0001654F"/>
    <w:rsid w:val="000173F6"/>
    <w:rsid w:val="000233E7"/>
    <w:rsid w:val="00031724"/>
    <w:rsid w:val="00033108"/>
    <w:rsid w:val="0004369A"/>
    <w:rsid w:val="000439EA"/>
    <w:rsid w:val="00046D28"/>
    <w:rsid w:val="00046DD4"/>
    <w:rsid w:val="00047781"/>
    <w:rsid w:val="00061DD1"/>
    <w:rsid w:val="0006483F"/>
    <w:rsid w:val="00065D3F"/>
    <w:rsid w:val="000677F9"/>
    <w:rsid w:val="00077615"/>
    <w:rsid w:val="00077868"/>
    <w:rsid w:val="00077AD8"/>
    <w:rsid w:val="00080AD3"/>
    <w:rsid w:val="00082E8A"/>
    <w:rsid w:val="000847BD"/>
    <w:rsid w:val="00086A40"/>
    <w:rsid w:val="00093A50"/>
    <w:rsid w:val="0009423B"/>
    <w:rsid w:val="00095281"/>
    <w:rsid w:val="000A0159"/>
    <w:rsid w:val="000A0936"/>
    <w:rsid w:val="000A09E4"/>
    <w:rsid w:val="000A1102"/>
    <w:rsid w:val="000A12D9"/>
    <w:rsid w:val="000A5638"/>
    <w:rsid w:val="000B0EC1"/>
    <w:rsid w:val="000B4ED0"/>
    <w:rsid w:val="000C4AF8"/>
    <w:rsid w:val="000D2CCB"/>
    <w:rsid w:val="000D4333"/>
    <w:rsid w:val="000D551A"/>
    <w:rsid w:val="000D5B93"/>
    <w:rsid w:val="000D5CD8"/>
    <w:rsid w:val="000E1EBD"/>
    <w:rsid w:val="000E6F87"/>
    <w:rsid w:val="000F5AD2"/>
    <w:rsid w:val="001008A8"/>
    <w:rsid w:val="00100FEF"/>
    <w:rsid w:val="00101099"/>
    <w:rsid w:val="001107C8"/>
    <w:rsid w:val="00110E62"/>
    <w:rsid w:val="0011487E"/>
    <w:rsid w:val="00117923"/>
    <w:rsid w:val="00120988"/>
    <w:rsid w:val="00127081"/>
    <w:rsid w:val="00131774"/>
    <w:rsid w:val="00133A2B"/>
    <w:rsid w:val="001345FE"/>
    <w:rsid w:val="00136FE9"/>
    <w:rsid w:val="00153B86"/>
    <w:rsid w:val="00156BC7"/>
    <w:rsid w:val="0016464B"/>
    <w:rsid w:val="00177F66"/>
    <w:rsid w:val="00182F50"/>
    <w:rsid w:val="001856F2"/>
    <w:rsid w:val="00186280"/>
    <w:rsid w:val="001919C5"/>
    <w:rsid w:val="00192FF9"/>
    <w:rsid w:val="001A1563"/>
    <w:rsid w:val="001A354C"/>
    <w:rsid w:val="001A4C6E"/>
    <w:rsid w:val="001A5F57"/>
    <w:rsid w:val="001B0ACB"/>
    <w:rsid w:val="001B14D2"/>
    <w:rsid w:val="001B1535"/>
    <w:rsid w:val="001B1F94"/>
    <w:rsid w:val="001C28E1"/>
    <w:rsid w:val="001C51B9"/>
    <w:rsid w:val="001D2519"/>
    <w:rsid w:val="001E1BD2"/>
    <w:rsid w:val="001E50CF"/>
    <w:rsid w:val="001F142E"/>
    <w:rsid w:val="001F1DC6"/>
    <w:rsid w:val="001F56CA"/>
    <w:rsid w:val="00201658"/>
    <w:rsid w:val="002051FE"/>
    <w:rsid w:val="00213184"/>
    <w:rsid w:val="00216A3C"/>
    <w:rsid w:val="002234CE"/>
    <w:rsid w:val="0023161D"/>
    <w:rsid w:val="002327EB"/>
    <w:rsid w:val="002330D7"/>
    <w:rsid w:val="00234021"/>
    <w:rsid w:val="002363F6"/>
    <w:rsid w:val="00245485"/>
    <w:rsid w:val="002467DF"/>
    <w:rsid w:val="0025008B"/>
    <w:rsid w:val="00252A8A"/>
    <w:rsid w:val="00254EFF"/>
    <w:rsid w:val="002621AF"/>
    <w:rsid w:val="002627FD"/>
    <w:rsid w:val="00280DD7"/>
    <w:rsid w:val="00296724"/>
    <w:rsid w:val="002A1273"/>
    <w:rsid w:val="002A1A6B"/>
    <w:rsid w:val="002B06FA"/>
    <w:rsid w:val="002B2AFB"/>
    <w:rsid w:val="002B5415"/>
    <w:rsid w:val="002B775E"/>
    <w:rsid w:val="002C2808"/>
    <w:rsid w:val="002C5663"/>
    <w:rsid w:val="002D0203"/>
    <w:rsid w:val="002D0303"/>
    <w:rsid w:val="002D5132"/>
    <w:rsid w:val="002E1877"/>
    <w:rsid w:val="002E3E5F"/>
    <w:rsid w:val="002E6FB5"/>
    <w:rsid w:val="002E7CED"/>
    <w:rsid w:val="002F5487"/>
    <w:rsid w:val="002F7EC4"/>
    <w:rsid w:val="00300F62"/>
    <w:rsid w:val="003017F1"/>
    <w:rsid w:val="00310CD7"/>
    <w:rsid w:val="00310D5C"/>
    <w:rsid w:val="00314186"/>
    <w:rsid w:val="00316D57"/>
    <w:rsid w:val="0031790A"/>
    <w:rsid w:val="003210CA"/>
    <w:rsid w:val="003211FE"/>
    <w:rsid w:val="003218CE"/>
    <w:rsid w:val="0032276F"/>
    <w:rsid w:val="003360B5"/>
    <w:rsid w:val="00340C33"/>
    <w:rsid w:val="003473DB"/>
    <w:rsid w:val="00351108"/>
    <w:rsid w:val="00351F97"/>
    <w:rsid w:val="0035288A"/>
    <w:rsid w:val="0035464B"/>
    <w:rsid w:val="00357005"/>
    <w:rsid w:val="00361A57"/>
    <w:rsid w:val="00365A1F"/>
    <w:rsid w:val="0038096E"/>
    <w:rsid w:val="00380BC3"/>
    <w:rsid w:val="00382A1B"/>
    <w:rsid w:val="00384072"/>
    <w:rsid w:val="0038716B"/>
    <w:rsid w:val="00390558"/>
    <w:rsid w:val="00390EF8"/>
    <w:rsid w:val="00395691"/>
    <w:rsid w:val="00396FC6"/>
    <w:rsid w:val="003A0FD9"/>
    <w:rsid w:val="003A31C7"/>
    <w:rsid w:val="003A31E6"/>
    <w:rsid w:val="003A321D"/>
    <w:rsid w:val="003A385B"/>
    <w:rsid w:val="003A74F0"/>
    <w:rsid w:val="003B232E"/>
    <w:rsid w:val="003B3FAF"/>
    <w:rsid w:val="003B4833"/>
    <w:rsid w:val="003B699C"/>
    <w:rsid w:val="003B71D8"/>
    <w:rsid w:val="003C00BE"/>
    <w:rsid w:val="003D4F06"/>
    <w:rsid w:val="003E1E6F"/>
    <w:rsid w:val="003F186E"/>
    <w:rsid w:val="003F2524"/>
    <w:rsid w:val="003F4682"/>
    <w:rsid w:val="003F5434"/>
    <w:rsid w:val="003F62E6"/>
    <w:rsid w:val="0040670A"/>
    <w:rsid w:val="00406BDD"/>
    <w:rsid w:val="0041366D"/>
    <w:rsid w:val="00426862"/>
    <w:rsid w:val="00432AC9"/>
    <w:rsid w:val="00433846"/>
    <w:rsid w:val="0043557C"/>
    <w:rsid w:val="0043642F"/>
    <w:rsid w:val="004364EB"/>
    <w:rsid w:val="00437A6E"/>
    <w:rsid w:val="0044054C"/>
    <w:rsid w:val="00442592"/>
    <w:rsid w:val="004426F1"/>
    <w:rsid w:val="004436DF"/>
    <w:rsid w:val="004443E9"/>
    <w:rsid w:val="00444D7F"/>
    <w:rsid w:val="0044502C"/>
    <w:rsid w:val="004520E9"/>
    <w:rsid w:val="00454750"/>
    <w:rsid w:val="00454B97"/>
    <w:rsid w:val="00456101"/>
    <w:rsid w:val="00465066"/>
    <w:rsid w:val="00467AD5"/>
    <w:rsid w:val="004700ED"/>
    <w:rsid w:val="00472C74"/>
    <w:rsid w:val="004746E0"/>
    <w:rsid w:val="004873E6"/>
    <w:rsid w:val="00487CDB"/>
    <w:rsid w:val="00487E09"/>
    <w:rsid w:val="00490E3E"/>
    <w:rsid w:val="00490F92"/>
    <w:rsid w:val="00491FD0"/>
    <w:rsid w:val="004922D3"/>
    <w:rsid w:val="004A4981"/>
    <w:rsid w:val="004A79AF"/>
    <w:rsid w:val="004B1DF8"/>
    <w:rsid w:val="004C51E6"/>
    <w:rsid w:val="004C6DDD"/>
    <w:rsid w:val="004D0A11"/>
    <w:rsid w:val="004F4371"/>
    <w:rsid w:val="004F7242"/>
    <w:rsid w:val="00500BB3"/>
    <w:rsid w:val="005050D7"/>
    <w:rsid w:val="00507B2A"/>
    <w:rsid w:val="005250BA"/>
    <w:rsid w:val="005362E5"/>
    <w:rsid w:val="00536DC2"/>
    <w:rsid w:val="00543CB3"/>
    <w:rsid w:val="00544AA4"/>
    <w:rsid w:val="00544C62"/>
    <w:rsid w:val="00545349"/>
    <w:rsid w:val="005461C2"/>
    <w:rsid w:val="00547147"/>
    <w:rsid w:val="00551C9B"/>
    <w:rsid w:val="00552D96"/>
    <w:rsid w:val="00555488"/>
    <w:rsid w:val="00555829"/>
    <w:rsid w:val="0055786A"/>
    <w:rsid w:val="005654AE"/>
    <w:rsid w:val="005658C0"/>
    <w:rsid w:val="00567812"/>
    <w:rsid w:val="00570ABF"/>
    <w:rsid w:val="00572E7B"/>
    <w:rsid w:val="00576E13"/>
    <w:rsid w:val="005802AD"/>
    <w:rsid w:val="0058189C"/>
    <w:rsid w:val="00583903"/>
    <w:rsid w:val="0058489B"/>
    <w:rsid w:val="0058777D"/>
    <w:rsid w:val="0059002F"/>
    <w:rsid w:val="0059594E"/>
    <w:rsid w:val="005A68CF"/>
    <w:rsid w:val="005A6AA1"/>
    <w:rsid w:val="005B04E9"/>
    <w:rsid w:val="005B6679"/>
    <w:rsid w:val="005B7B9F"/>
    <w:rsid w:val="005C19BB"/>
    <w:rsid w:val="005C774D"/>
    <w:rsid w:val="005D206D"/>
    <w:rsid w:val="005D712E"/>
    <w:rsid w:val="005E104F"/>
    <w:rsid w:val="005E5699"/>
    <w:rsid w:val="005E777D"/>
    <w:rsid w:val="005F1277"/>
    <w:rsid w:val="005F1301"/>
    <w:rsid w:val="005F5E71"/>
    <w:rsid w:val="00600C59"/>
    <w:rsid w:val="00604199"/>
    <w:rsid w:val="00604E74"/>
    <w:rsid w:val="00607269"/>
    <w:rsid w:val="00624C61"/>
    <w:rsid w:val="006339C7"/>
    <w:rsid w:val="006347ED"/>
    <w:rsid w:val="006405C5"/>
    <w:rsid w:val="006437F3"/>
    <w:rsid w:val="006521F6"/>
    <w:rsid w:val="00657FBF"/>
    <w:rsid w:val="00661E3F"/>
    <w:rsid w:val="0067074C"/>
    <w:rsid w:val="006743ED"/>
    <w:rsid w:val="00674E34"/>
    <w:rsid w:val="006832CD"/>
    <w:rsid w:val="0068345E"/>
    <w:rsid w:val="00685D5C"/>
    <w:rsid w:val="006874D0"/>
    <w:rsid w:val="006875B3"/>
    <w:rsid w:val="006952D5"/>
    <w:rsid w:val="00695320"/>
    <w:rsid w:val="006A2410"/>
    <w:rsid w:val="006A3765"/>
    <w:rsid w:val="006A54EA"/>
    <w:rsid w:val="006A5CFD"/>
    <w:rsid w:val="006B0A15"/>
    <w:rsid w:val="006B6685"/>
    <w:rsid w:val="006C265B"/>
    <w:rsid w:val="006C640C"/>
    <w:rsid w:val="006D395A"/>
    <w:rsid w:val="006D5F74"/>
    <w:rsid w:val="006E0A7D"/>
    <w:rsid w:val="006E2934"/>
    <w:rsid w:val="006E2992"/>
    <w:rsid w:val="006E787E"/>
    <w:rsid w:val="006F1AC6"/>
    <w:rsid w:val="006F1E1E"/>
    <w:rsid w:val="006F4143"/>
    <w:rsid w:val="006F5523"/>
    <w:rsid w:val="00703DC4"/>
    <w:rsid w:val="007044D2"/>
    <w:rsid w:val="00715FD1"/>
    <w:rsid w:val="007234BC"/>
    <w:rsid w:val="00731818"/>
    <w:rsid w:val="007356E1"/>
    <w:rsid w:val="00736569"/>
    <w:rsid w:val="007418B5"/>
    <w:rsid w:val="00754209"/>
    <w:rsid w:val="00765486"/>
    <w:rsid w:val="00766123"/>
    <w:rsid w:val="00766420"/>
    <w:rsid w:val="00770AEB"/>
    <w:rsid w:val="00771295"/>
    <w:rsid w:val="00773D8C"/>
    <w:rsid w:val="00777C18"/>
    <w:rsid w:val="0078045B"/>
    <w:rsid w:val="00781F42"/>
    <w:rsid w:val="007915DF"/>
    <w:rsid w:val="007A02DC"/>
    <w:rsid w:val="007A0ACD"/>
    <w:rsid w:val="007A3C23"/>
    <w:rsid w:val="007A5725"/>
    <w:rsid w:val="007B2C56"/>
    <w:rsid w:val="007B58AB"/>
    <w:rsid w:val="007B5F53"/>
    <w:rsid w:val="007C0467"/>
    <w:rsid w:val="007C1656"/>
    <w:rsid w:val="007D370C"/>
    <w:rsid w:val="007D5E75"/>
    <w:rsid w:val="007E0556"/>
    <w:rsid w:val="007E0AA8"/>
    <w:rsid w:val="007E66F1"/>
    <w:rsid w:val="007F06C1"/>
    <w:rsid w:val="007F2321"/>
    <w:rsid w:val="007F2AA4"/>
    <w:rsid w:val="007F791B"/>
    <w:rsid w:val="0081019F"/>
    <w:rsid w:val="0081701B"/>
    <w:rsid w:val="008230CE"/>
    <w:rsid w:val="00830FC9"/>
    <w:rsid w:val="00834A82"/>
    <w:rsid w:val="00841622"/>
    <w:rsid w:val="00846C4A"/>
    <w:rsid w:val="008508C5"/>
    <w:rsid w:val="0086662F"/>
    <w:rsid w:val="008666E5"/>
    <w:rsid w:val="00866C1D"/>
    <w:rsid w:val="00867327"/>
    <w:rsid w:val="00875A3A"/>
    <w:rsid w:val="0088096F"/>
    <w:rsid w:val="00880989"/>
    <w:rsid w:val="00882055"/>
    <w:rsid w:val="00883486"/>
    <w:rsid w:val="00883E47"/>
    <w:rsid w:val="008914FC"/>
    <w:rsid w:val="008B0712"/>
    <w:rsid w:val="008B1D8C"/>
    <w:rsid w:val="008B24C8"/>
    <w:rsid w:val="008B7CE4"/>
    <w:rsid w:val="008C05BF"/>
    <w:rsid w:val="008C42D7"/>
    <w:rsid w:val="008D02C7"/>
    <w:rsid w:val="008D550F"/>
    <w:rsid w:val="008D5553"/>
    <w:rsid w:val="008E0D04"/>
    <w:rsid w:val="008F008A"/>
    <w:rsid w:val="008F06DD"/>
    <w:rsid w:val="008F3631"/>
    <w:rsid w:val="0090038C"/>
    <w:rsid w:val="0090205B"/>
    <w:rsid w:val="009045C8"/>
    <w:rsid w:val="00904FBF"/>
    <w:rsid w:val="009061A1"/>
    <w:rsid w:val="0090663F"/>
    <w:rsid w:val="0091347E"/>
    <w:rsid w:val="0092751A"/>
    <w:rsid w:val="0094657F"/>
    <w:rsid w:val="00951AD2"/>
    <w:rsid w:val="00962D69"/>
    <w:rsid w:val="009656E5"/>
    <w:rsid w:val="0096666A"/>
    <w:rsid w:val="009709AC"/>
    <w:rsid w:val="00976196"/>
    <w:rsid w:val="0099292C"/>
    <w:rsid w:val="009946A1"/>
    <w:rsid w:val="0099657B"/>
    <w:rsid w:val="00996C37"/>
    <w:rsid w:val="009A38C8"/>
    <w:rsid w:val="009A39D9"/>
    <w:rsid w:val="009B0DDE"/>
    <w:rsid w:val="009B12DB"/>
    <w:rsid w:val="009B1B50"/>
    <w:rsid w:val="009B5136"/>
    <w:rsid w:val="009C5815"/>
    <w:rsid w:val="009C6CC1"/>
    <w:rsid w:val="009C78D6"/>
    <w:rsid w:val="009D12D4"/>
    <w:rsid w:val="009D3C64"/>
    <w:rsid w:val="009D544F"/>
    <w:rsid w:val="009E1D5A"/>
    <w:rsid w:val="009E44D3"/>
    <w:rsid w:val="009E507E"/>
    <w:rsid w:val="009F4C96"/>
    <w:rsid w:val="00A0422D"/>
    <w:rsid w:val="00A06014"/>
    <w:rsid w:val="00A10104"/>
    <w:rsid w:val="00A11DF5"/>
    <w:rsid w:val="00A15375"/>
    <w:rsid w:val="00A17B2E"/>
    <w:rsid w:val="00A20AC3"/>
    <w:rsid w:val="00A228C5"/>
    <w:rsid w:val="00A22930"/>
    <w:rsid w:val="00A25454"/>
    <w:rsid w:val="00A25E5E"/>
    <w:rsid w:val="00A26733"/>
    <w:rsid w:val="00A31EDB"/>
    <w:rsid w:val="00A335A3"/>
    <w:rsid w:val="00A346DC"/>
    <w:rsid w:val="00A35941"/>
    <w:rsid w:val="00A35EAE"/>
    <w:rsid w:val="00A3650E"/>
    <w:rsid w:val="00A41935"/>
    <w:rsid w:val="00A46575"/>
    <w:rsid w:val="00A5295B"/>
    <w:rsid w:val="00A64B1B"/>
    <w:rsid w:val="00A70CEB"/>
    <w:rsid w:val="00A71C00"/>
    <w:rsid w:val="00A77762"/>
    <w:rsid w:val="00A80224"/>
    <w:rsid w:val="00A862CD"/>
    <w:rsid w:val="00A871F0"/>
    <w:rsid w:val="00A92657"/>
    <w:rsid w:val="00A94B21"/>
    <w:rsid w:val="00A95F36"/>
    <w:rsid w:val="00A97689"/>
    <w:rsid w:val="00AB0169"/>
    <w:rsid w:val="00AB1B6B"/>
    <w:rsid w:val="00AB3541"/>
    <w:rsid w:val="00AB6392"/>
    <w:rsid w:val="00AB7B10"/>
    <w:rsid w:val="00AC49C9"/>
    <w:rsid w:val="00AC5152"/>
    <w:rsid w:val="00AC6F67"/>
    <w:rsid w:val="00AC7087"/>
    <w:rsid w:val="00AD182F"/>
    <w:rsid w:val="00AD2229"/>
    <w:rsid w:val="00AD2902"/>
    <w:rsid w:val="00AD3C63"/>
    <w:rsid w:val="00AD5083"/>
    <w:rsid w:val="00AE2F5A"/>
    <w:rsid w:val="00AF7B9F"/>
    <w:rsid w:val="00B07244"/>
    <w:rsid w:val="00B1059E"/>
    <w:rsid w:val="00B111B1"/>
    <w:rsid w:val="00B12B57"/>
    <w:rsid w:val="00B14F8F"/>
    <w:rsid w:val="00B40C01"/>
    <w:rsid w:val="00B42080"/>
    <w:rsid w:val="00B52B91"/>
    <w:rsid w:val="00B632C0"/>
    <w:rsid w:val="00B636DA"/>
    <w:rsid w:val="00B637C7"/>
    <w:rsid w:val="00B766E5"/>
    <w:rsid w:val="00B85ED4"/>
    <w:rsid w:val="00B90406"/>
    <w:rsid w:val="00B92D50"/>
    <w:rsid w:val="00B94327"/>
    <w:rsid w:val="00B9649D"/>
    <w:rsid w:val="00BA12E1"/>
    <w:rsid w:val="00BA28E8"/>
    <w:rsid w:val="00BA4867"/>
    <w:rsid w:val="00BA6649"/>
    <w:rsid w:val="00BB49BF"/>
    <w:rsid w:val="00BC24A2"/>
    <w:rsid w:val="00BC47D9"/>
    <w:rsid w:val="00BC5E87"/>
    <w:rsid w:val="00BC7388"/>
    <w:rsid w:val="00BD14F6"/>
    <w:rsid w:val="00BE15BD"/>
    <w:rsid w:val="00BE5864"/>
    <w:rsid w:val="00BE60E3"/>
    <w:rsid w:val="00BF07C6"/>
    <w:rsid w:val="00C2419F"/>
    <w:rsid w:val="00C26F4A"/>
    <w:rsid w:val="00C27B2B"/>
    <w:rsid w:val="00C314E0"/>
    <w:rsid w:val="00C33987"/>
    <w:rsid w:val="00C43795"/>
    <w:rsid w:val="00C44382"/>
    <w:rsid w:val="00C45248"/>
    <w:rsid w:val="00C45A71"/>
    <w:rsid w:val="00C526DA"/>
    <w:rsid w:val="00C570A9"/>
    <w:rsid w:val="00C63610"/>
    <w:rsid w:val="00C64E99"/>
    <w:rsid w:val="00C65FE5"/>
    <w:rsid w:val="00C66FE2"/>
    <w:rsid w:val="00C73212"/>
    <w:rsid w:val="00C735B7"/>
    <w:rsid w:val="00C75C0B"/>
    <w:rsid w:val="00C76317"/>
    <w:rsid w:val="00C770C6"/>
    <w:rsid w:val="00C8527A"/>
    <w:rsid w:val="00C85C43"/>
    <w:rsid w:val="00C8767C"/>
    <w:rsid w:val="00C877A4"/>
    <w:rsid w:val="00C92020"/>
    <w:rsid w:val="00CA3F6C"/>
    <w:rsid w:val="00CA4D41"/>
    <w:rsid w:val="00CA50AD"/>
    <w:rsid w:val="00CB55FB"/>
    <w:rsid w:val="00CB7B4C"/>
    <w:rsid w:val="00CC3ED3"/>
    <w:rsid w:val="00CC5B7B"/>
    <w:rsid w:val="00CD111C"/>
    <w:rsid w:val="00CD2684"/>
    <w:rsid w:val="00CD31D9"/>
    <w:rsid w:val="00CD451C"/>
    <w:rsid w:val="00CD7526"/>
    <w:rsid w:val="00CD7810"/>
    <w:rsid w:val="00CE6C63"/>
    <w:rsid w:val="00CE7593"/>
    <w:rsid w:val="00CF07D6"/>
    <w:rsid w:val="00CF1970"/>
    <w:rsid w:val="00D00C16"/>
    <w:rsid w:val="00D0235F"/>
    <w:rsid w:val="00D14BAA"/>
    <w:rsid w:val="00D159F5"/>
    <w:rsid w:val="00D177BD"/>
    <w:rsid w:val="00D2158A"/>
    <w:rsid w:val="00D27CCB"/>
    <w:rsid w:val="00D27DFA"/>
    <w:rsid w:val="00D30DC5"/>
    <w:rsid w:val="00D33A7F"/>
    <w:rsid w:val="00D36CDF"/>
    <w:rsid w:val="00D37A23"/>
    <w:rsid w:val="00D40E84"/>
    <w:rsid w:val="00D44DF8"/>
    <w:rsid w:val="00D47868"/>
    <w:rsid w:val="00D5309C"/>
    <w:rsid w:val="00D619BA"/>
    <w:rsid w:val="00D6254B"/>
    <w:rsid w:val="00D6282C"/>
    <w:rsid w:val="00D667B2"/>
    <w:rsid w:val="00D713B8"/>
    <w:rsid w:val="00D757BD"/>
    <w:rsid w:val="00D83157"/>
    <w:rsid w:val="00D91B11"/>
    <w:rsid w:val="00D93C29"/>
    <w:rsid w:val="00DA1893"/>
    <w:rsid w:val="00DA1E41"/>
    <w:rsid w:val="00DA2EE0"/>
    <w:rsid w:val="00DA58F1"/>
    <w:rsid w:val="00DB0014"/>
    <w:rsid w:val="00DB0BD0"/>
    <w:rsid w:val="00DB1300"/>
    <w:rsid w:val="00DB720E"/>
    <w:rsid w:val="00DC0C40"/>
    <w:rsid w:val="00DC7529"/>
    <w:rsid w:val="00DD5656"/>
    <w:rsid w:val="00DD5837"/>
    <w:rsid w:val="00DD5B1E"/>
    <w:rsid w:val="00DD7D9A"/>
    <w:rsid w:val="00DE726D"/>
    <w:rsid w:val="00DF0AAB"/>
    <w:rsid w:val="00E00639"/>
    <w:rsid w:val="00E00DC6"/>
    <w:rsid w:val="00E02139"/>
    <w:rsid w:val="00E021CF"/>
    <w:rsid w:val="00E07CEB"/>
    <w:rsid w:val="00E11CFB"/>
    <w:rsid w:val="00E127DB"/>
    <w:rsid w:val="00E12D21"/>
    <w:rsid w:val="00E150B0"/>
    <w:rsid w:val="00E15C0E"/>
    <w:rsid w:val="00E21B97"/>
    <w:rsid w:val="00E25EF6"/>
    <w:rsid w:val="00E308BC"/>
    <w:rsid w:val="00E320CE"/>
    <w:rsid w:val="00E40CF0"/>
    <w:rsid w:val="00E437E9"/>
    <w:rsid w:val="00E60325"/>
    <w:rsid w:val="00E6490C"/>
    <w:rsid w:val="00E6662E"/>
    <w:rsid w:val="00E6796C"/>
    <w:rsid w:val="00E72B0C"/>
    <w:rsid w:val="00E7644B"/>
    <w:rsid w:val="00E81598"/>
    <w:rsid w:val="00E85AE8"/>
    <w:rsid w:val="00E861A9"/>
    <w:rsid w:val="00E938D8"/>
    <w:rsid w:val="00EA0EF2"/>
    <w:rsid w:val="00EA2819"/>
    <w:rsid w:val="00EA37A8"/>
    <w:rsid w:val="00EA41E9"/>
    <w:rsid w:val="00EA5C40"/>
    <w:rsid w:val="00EA7A14"/>
    <w:rsid w:val="00EB151D"/>
    <w:rsid w:val="00EB6390"/>
    <w:rsid w:val="00EC03FC"/>
    <w:rsid w:val="00EC1B43"/>
    <w:rsid w:val="00EC2BDC"/>
    <w:rsid w:val="00EC5998"/>
    <w:rsid w:val="00EE1713"/>
    <w:rsid w:val="00EE2614"/>
    <w:rsid w:val="00EE75E4"/>
    <w:rsid w:val="00EE7721"/>
    <w:rsid w:val="00EF31AE"/>
    <w:rsid w:val="00F0000B"/>
    <w:rsid w:val="00F0147D"/>
    <w:rsid w:val="00F06939"/>
    <w:rsid w:val="00F07B7B"/>
    <w:rsid w:val="00F16CB3"/>
    <w:rsid w:val="00F218A9"/>
    <w:rsid w:val="00F237FB"/>
    <w:rsid w:val="00F368CC"/>
    <w:rsid w:val="00F41833"/>
    <w:rsid w:val="00F45F70"/>
    <w:rsid w:val="00F460D5"/>
    <w:rsid w:val="00F50C22"/>
    <w:rsid w:val="00F52974"/>
    <w:rsid w:val="00F54005"/>
    <w:rsid w:val="00F55AD4"/>
    <w:rsid w:val="00F7348D"/>
    <w:rsid w:val="00F738C2"/>
    <w:rsid w:val="00F80F69"/>
    <w:rsid w:val="00F8235D"/>
    <w:rsid w:val="00F823B7"/>
    <w:rsid w:val="00F836E8"/>
    <w:rsid w:val="00F84E47"/>
    <w:rsid w:val="00F91316"/>
    <w:rsid w:val="00F93D71"/>
    <w:rsid w:val="00F95394"/>
    <w:rsid w:val="00F954DA"/>
    <w:rsid w:val="00FA191B"/>
    <w:rsid w:val="00FA4F59"/>
    <w:rsid w:val="00FB0A20"/>
    <w:rsid w:val="00FC2777"/>
    <w:rsid w:val="00FC473F"/>
    <w:rsid w:val="00FC578C"/>
    <w:rsid w:val="00FD1D74"/>
    <w:rsid w:val="00FD4D10"/>
    <w:rsid w:val="00FD7A66"/>
    <w:rsid w:val="00FE3429"/>
    <w:rsid w:val="00FE5626"/>
    <w:rsid w:val="00FE5628"/>
    <w:rsid w:val="00FE70F8"/>
    <w:rsid w:val="00FF5C3A"/>
    <w:rsid w:val="00FF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7B3A2"/>
  <w15:chartTrackingRefBased/>
  <w15:docId w15:val="{44058831-CE97-C444-B44B-0FA63309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2F"/>
    <w:rPr>
      <w:rFonts w:ascii="Times New Roman" w:eastAsia="Times New Roman" w:hAnsi="Times New Roman" w:cs="Times New Roman"/>
      <w:lang w:eastAsia="en-GB"/>
    </w:rPr>
  </w:style>
  <w:style w:type="paragraph" w:styleId="Heading1">
    <w:name w:val="heading 1"/>
    <w:basedOn w:val="Normal"/>
    <w:link w:val="Heading1Char"/>
    <w:uiPriority w:val="9"/>
    <w:qFormat/>
    <w:rsid w:val="003F543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C3"/>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FB0A2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B0A20"/>
  </w:style>
  <w:style w:type="character" w:styleId="PageNumber">
    <w:name w:val="page number"/>
    <w:basedOn w:val="DefaultParagraphFont"/>
    <w:uiPriority w:val="99"/>
    <w:semiHidden/>
    <w:unhideWhenUsed/>
    <w:rsid w:val="00FB0A20"/>
  </w:style>
  <w:style w:type="paragraph" w:styleId="FootnoteText">
    <w:name w:val="footnote text"/>
    <w:basedOn w:val="Normal"/>
    <w:link w:val="FootnoteTextChar"/>
    <w:uiPriority w:val="99"/>
    <w:semiHidden/>
    <w:unhideWhenUsed/>
    <w:rsid w:val="001E1BD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1BD2"/>
    <w:rPr>
      <w:sz w:val="20"/>
      <w:szCs w:val="20"/>
    </w:rPr>
  </w:style>
  <w:style w:type="character" w:styleId="FootnoteReference">
    <w:name w:val="footnote reference"/>
    <w:basedOn w:val="DefaultParagraphFont"/>
    <w:uiPriority w:val="99"/>
    <w:semiHidden/>
    <w:unhideWhenUsed/>
    <w:rsid w:val="001E1BD2"/>
    <w:rPr>
      <w:vertAlign w:val="superscript"/>
    </w:rPr>
  </w:style>
  <w:style w:type="paragraph" w:styleId="BalloonText">
    <w:name w:val="Balloon Text"/>
    <w:basedOn w:val="Normal"/>
    <w:link w:val="BalloonTextChar"/>
    <w:uiPriority w:val="99"/>
    <w:semiHidden/>
    <w:unhideWhenUsed/>
    <w:rsid w:val="0012708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27081"/>
    <w:rPr>
      <w:rFonts w:ascii="Times New Roman" w:hAnsi="Times New Roman" w:cs="Times New Roman"/>
      <w:sz w:val="18"/>
      <w:szCs w:val="18"/>
    </w:rPr>
  </w:style>
  <w:style w:type="character" w:customStyle="1" w:styleId="apple-converted-space">
    <w:name w:val="apple-converted-space"/>
    <w:basedOn w:val="DefaultParagraphFont"/>
    <w:rsid w:val="009A39D9"/>
  </w:style>
  <w:style w:type="character" w:styleId="Hyperlink">
    <w:name w:val="Hyperlink"/>
    <w:basedOn w:val="DefaultParagraphFont"/>
    <w:uiPriority w:val="99"/>
    <w:unhideWhenUsed/>
    <w:rsid w:val="00CC5B7B"/>
    <w:rPr>
      <w:color w:val="0563C1" w:themeColor="hyperlink"/>
      <w:u w:val="single"/>
    </w:rPr>
  </w:style>
  <w:style w:type="character" w:styleId="UnresolvedMention">
    <w:name w:val="Unresolved Mention"/>
    <w:basedOn w:val="DefaultParagraphFont"/>
    <w:uiPriority w:val="99"/>
    <w:semiHidden/>
    <w:unhideWhenUsed/>
    <w:rsid w:val="00CC5B7B"/>
    <w:rPr>
      <w:color w:val="605E5C"/>
      <w:shd w:val="clear" w:color="auto" w:fill="E1DFDD"/>
    </w:rPr>
  </w:style>
  <w:style w:type="character" w:styleId="Emphasis">
    <w:name w:val="Emphasis"/>
    <w:basedOn w:val="DefaultParagraphFont"/>
    <w:uiPriority w:val="20"/>
    <w:qFormat/>
    <w:rsid w:val="00F52974"/>
    <w:rPr>
      <w:i/>
      <w:iCs/>
    </w:rPr>
  </w:style>
  <w:style w:type="character" w:customStyle="1" w:styleId="updated-short-citation">
    <w:name w:val="updated-short-citation"/>
    <w:basedOn w:val="DefaultParagraphFont"/>
    <w:rsid w:val="00F52974"/>
  </w:style>
  <w:style w:type="paragraph" w:styleId="NormalWeb">
    <w:name w:val="Normal (Web)"/>
    <w:basedOn w:val="Normal"/>
    <w:uiPriority w:val="99"/>
    <w:unhideWhenUsed/>
    <w:rsid w:val="00FF79A7"/>
    <w:pPr>
      <w:spacing w:before="100" w:beforeAutospacing="1" w:after="100" w:afterAutospacing="1"/>
    </w:pPr>
  </w:style>
  <w:style w:type="character" w:customStyle="1" w:styleId="Heading1Char">
    <w:name w:val="Heading 1 Char"/>
    <w:basedOn w:val="DefaultParagraphFont"/>
    <w:link w:val="Heading1"/>
    <w:uiPriority w:val="9"/>
    <w:rsid w:val="003F54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7467">
      <w:bodyDiv w:val="1"/>
      <w:marLeft w:val="0"/>
      <w:marRight w:val="0"/>
      <w:marTop w:val="0"/>
      <w:marBottom w:val="0"/>
      <w:divBdr>
        <w:top w:val="none" w:sz="0" w:space="0" w:color="auto"/>
        <w:left w:val="none" w:sz="0" w:space="0" w:color="auto"/>
        <w:bottom w:val="none" w:sz="0" w:space="0" w:color="auto"/>
        <w:right w:val="none" w:sz="0" w:space="0" w:color="auto"/>
      </w:divBdr>
    </w:div>
    <w:div w:id="346489626">
      <w:bodyDiv w:val="1"/>
      <w:marLeft w:val="0"/>
      <w:marRight w:val="0"/>
      <w:marTop w:val="0"/>
      <w:marBottom w:val="0"/>
      <w:divBdr>
        <w:top w:val="none" w:sz="0" w:space="0" w:color="auto"/>
        <w:left w:val="none" w:sz="0" w:space="0" w:color="auto"/>
        <w:bottom w:val="none" w:sz="0" w:space="0" w:color="auto"/>
        <w:right w:val="none" w:sz="0" w:space="0" w:color="auto"/>
      </w:divBdr>
    </w:div>
    <w:div w:id="382562509">
      <w:bodyDiv w:val="1"/>
      <w:marLeft w:val="0"/>
      <w:marRight w:val="0"/>
      <w:marTop w:val="0"/>
      <w:marBottom w:val="0"/>
      <w:divBdr>
        <w:top w:val="none" w:sz="0" w:space="0" w:color="auto"/>
        <w:left w:val="none" w:sz="0" w:space="0" w:color="auto"/>
        <w:bottom w:val="none" w:sz="0" w:space="0" w:color="auto"/>
        <w:right w:val="none" w:sz="0" w:space="0" w:color="auto"/>
      </w:divBdr>
    </w:div>
    <w:div w:id="839736615">
      <w:bodyDiv w:val="1"/>
      <w:marLeft w:val="0"/>
      <w:marRight w:val="0"/>
      <w:marTop w:val="0"/>
      <w:marBottom w:val="0"/>
      <w:divBdr>
        <w:top w:val="none" w:sz="0" w:space="0" w:color="auto"/>
        <w:left w:val="none" w:sz="0" w:space="0" w:color="auto"/>
        <w:bottom w:val="none" w:sz="0" w:space="0" w:color="auto"/>
        <w:right w:val="none" w:sz="0" w:space="0" w:color="auto"/>
      </w:divBdr>
    </w:div>
    <w:div w:id="922571151">
      <w:bodyDiv w:val="1"/>
      <w:marLeft w:val="0"/>
      <w:marRight w:val="0"/>
      <w:marTop w:val="0"/>
      <w:marBottom w:val="0"/>
      <w:divBdr>
        <w:top w:val="none" w:sz="0" w:space="0" w:color="auto"/>
        <w:left w:val="none" w:sz="0" w:space="0" w:color="auto"/>
        <w:bottom w:val="none" w:sz="0" w:space="0" w:color="auto"/>
        <w:right w:val="none" w:sz="0" w:space="0" w:color="auto"/>
      </w:divBdr>
    </w:div>
    <w:div w:id="997660055">
      <w:bodyDiv w:val="1"/>
      <w:marLeft w:val="0"/>
      <w:marRight w:val="0"/>
      <w:marTop w:val="0"/>
      <w:marBottom w:val="0"/>
      <w:divBdr>
        <w:top w:val="none" w:sz="0" w:space="0" w:color="auto"/>
        <w:left w:val="none" w:sz="0" w:space="0" w:color="auto"/>
        <w:bottom w:val="none" w:sz="0" w:space="0" w:color="auto"/>
        <w:right w:val="none" w:sz="0" w:space="0" w:color="auto"/>
      </w:divBdr>
    </w:div>
    <w:div w:id="1326861924">
      <w:bodyDiv w:val="1"/>
      <w:marLeft w:val="0"/>
      <w:marRight w:val="0"/>
      <w:marTop w:val="0"/>
      <w:marBottom w:val="0"/>
      <w:divBdr>
        <w:top w:val="none" w:sz="0" w:space="0" w:color="auto"/>
        <w:left w:val="none" w:sz="0" w:space="0" w:color="auto"/>
        <w:bottom w:val="none" w:sz="0" w:space="0" w:color="auto"/>
        <w:right w:val="none" w:sz="0" w:space="0" w:color="auto"/>
      </w:divBdr>
    </w:div>
    <w:div w:id="1848398413">
      <w:bodyDiv w:val="1"/>
      <w:marLeft w:val="0"/>
      <w:marRight w:val="0"/>
      <w:marTop w:val="0"/>
      <w:marBottom w:val="0"/>
      <w:divBdr>
        <w:top w:val="none" w:sz="0" w:space="0" w:color="auto"/>
        <w:left w:val="none" w:sz="0" w:space="0" w:color="auto"/>
        <w:bottom w:val="none" w:sz="0" w:space="0" w:color="auto"/>
        <w:right w:val="none" w:sz="0" w:space="0" w:color="auto"/>
      </w:divBdr>
    </w:div>
    <w:div w:id="2053797443">
      <w:bodyDiv w:val="1"/>
      <w:marLeft w:val="0"/>
      <w:marRight w:val="0"/>
      <w:marTop w:val="0"/>
      <w:marBottom w:val="0"/>
      <w:divBdr>
        <w:top w:val="none" w:sz="0" w:space="0" w:color="auto"/>
        <w:left w:val="none" w:sz="0" w:space="0" w:color="auto"/>
        <w:bottom w:val="none" w:sz="0" w:space="0" w:color="auto"/>
        <w:right w:val="none" w:sz="0" w:space="0" w:color="auto"/>
      </w:divBdr>
      <w:divsChild>
        <w:div w:id="1239827113">
          <w:marLeft w:val="0"/>
          <w:marRight w:val="0"/>
          <w:marTop w:val="0"/>
          <w:marBottom w:val="0"/>
          <w:divBdr>
            <w:top w:val="none" w:sz="0" w:space="0" w:color="auto"/>
            <w:left w:val="none" w:sz="0" w:space="0" w:color="auto"/>
            <w:bottom w:val="none" w:sz="0" w:space="0" w:color="auto"/>
            <w:right w:val="none" w:sz="0" w:space="0" w:color="auto"/>
          </w:divBdr>
          <w:divsChild>
            <w:div w:id="2032298670">
              <w:marLeft w:val="0"/>
              <w:marRight w:val="0"/>
              <w:marTop w:val="0"/>
              <w:marBottom w:val="0"/>
              <w:divBdr>
                <w:top w:val="none" w:sz="0" w:space="0" w:color="auto"/>
                <w:left w:val="none" w:sz="0" w:space="0" w:color="auto"/>
                <w:bottom w:val="none" w:sz="0" w:space="0" w:color="auto"/>
                <w:right w:val="none" w:sz="0" w:space="0" w:color="auto"/>
              </w:divBdr>
              <w:divsChild>
                <w:div w:id="1324309477">
                  <w:marLeft w:val="0"/>
                  <w:marRight w:val="0"/>
                  <w:marTop w:val="0"/>
                  <w:marBottom w:val="0"/>
                  <w:divBdr>
                    <w:top w:val="none" w:sz="0" w:space="0" w:color="auto"/>
                    <w:left w:val="none" w:sz="0" w:space="0" w:color="auto"/>
                    <w:bottom w:val="none" w:sz="0" w:space="0" w:color="auto"/>
                    <w:right w:val="none" w:sz="0" w:space="0" w:color="auto"/>
                  </w:divBdr>
                  <w:divsChild>
                    <w:div w:id="14418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cademic.oup.com/yel/advance-article/doi/10.1093/yel/yeac011/7008320" TargetMode="External"/><Relationship Id="rId1" Type="http://schemas.openxmlformats.org/officeDocument/2006/relationships/hyperlink" Target="https://www.consilium.europa.eu/en/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CE38-DD01-224A-A990-A0FB379A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31</Pages>
  <Words>16005</Words>
  <Characters>91235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Michael</dc:creator>
  <cp:keywords/>
  <dc:description/>
  <cp:lastModifiedBy>Dougan, Michael</cp:lastModifiedBy>
  <cp:revision>20</cp:revision>
  <dcterms:created xsi:type="dcterms:W3CDTF">2023-09-22T14:59:00Z</dcterms:created>
  <dcterms:modified xsi:type="dcterms:W3CDTF">2023-09-26T10:55:00Z</dcterms:modified>
</cp:coreProperties>
</file>