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3155" w14:textId="77777777" w:rsidR="00F7199A" w:rsidRDefault="00F7199A" w:rsidP="00D61DA7">
      <w:pPr>
        <w:jc w:val="both"/>
        <w:rPr>
          <w:b/>
        </w:rPr>
      </w:pPr>
      <w:bookmarkStart w:id="0" w:name="_GoBack"/>
      <w:bookmarkEnd w:id="0"/>
      <w:r w:rsidRPr="009F39F8">
        <w:rPr>
          <w:b/>
        </w:rPr>
        <w:t>EXTRACELLULAR VESICLE MICRORNA CROSSTALK BETWEEN</w:t>
      </w:r>
      <w:r w:rsidR="00BE65F7">
        <w:rPr>
          <w:b/>
        </w:rPr>
        <w:t xml:space="preserve"> EQUINE</w:t>
      </w:r>
      <w:r w:rsidRPr="009F39F8">
        <w:rPr>
          <w:b/>
        </w:rPr>
        <w:t xml:space="preserve"> CHONDROCYTES AND SYNOVIOCYTES</w:t>
      </w:r>
      <w:r>
        <w:rPr>
          <w:b/>
        </w:rPr>
        <w:t xml:space="preserve"> – AN </w:t>
      </w:r>
      <w:r>
        <w:rPr>
          <w:b/>
          <w:i/>
        </w:rPr>
        <w:t>IN VITRO</w:t>
      </w:r>
      <w:r>
        <w:rPr>
          <w:b/>
        </w:rPr>
        <w:t xml:space="preserve"> APPROACH</w:t>
      </w:r>
    </w:p>
    <w:p w14:paraId="21F13E1B" w14:textId="5154E06A" w:rsidR="008C39C4" w:rsidRDefault="008C39C4" w:rsidP="008C39C4">
      <w:pPr>
        <w:jc w:val="both"/>
      </w:pPr>
      <w:r w:rsidRPr="00017549">
        <w:t>Catarina I. G. D. Castanheira</w:t>
      </w:r>
      <w:r w:rsidRPr="001D210F">
        <w:rPr>
          <w:vertAlign w:val="superscript"/>
        </w:rPr>
        <w:t>1</w:t>
      </w:r>
      <w:r>
        <w:rPr>
          <w:vertAlign w:val="superscript"/>
        </w:rPr>
        <w:t>*</w:t>
      </w:r>
      <w:r w:rsidRPr="00017549">
        <w:t xml:space="preserve">, </w:t>
      </w:r>
      <w:r w:rsidRPr="00FF2357">
        <w:t>James R. Anderson</w:t>
      </w:r>
      <w:r w:rsidR="00DE7EEF" w:rsidRPr="00FF2357">
        <w:rPr>
          <w:vertAlign w:val="superscript"/>
        </w:rPr>
        <w:t>1</w:t>
      </w:r>
      <w:r w:rsidRPr="00017549">
        <w:t xml:space="preserve">, </w:t>
      </w:r>
      <w:r w:rsidRPr="00F75396">
        <w:t>Emily J. Clarke</w:t>
      </w:r>
      <w:r w:rsidRPr="00F75396">
        <w:rPr>
          <w:vertAlign w:val="superscript"/>
        </w:rPr>
        <w:t>1</w:t>
      </w:r>
      <w:r w:rsidRPr="00017549">
        <w:t>, Sarah Taylor</w:t>
      </w:r>
      <w:r w:rsidRPr="001D210F">
        <w:rPr>
          <w:vertAlign w:val="superscript"/>
        </w:rPr>
        <w:t>4</w:t>
      </w:r>
      <w:r w:rsidRPr="00017549">
        <w:t>,</w:t>
      </w:r>
      <w:r>
        <w:t xml:space="preserve"> Matthias Hackl</w:t>
      </w:r>
      <w:r w:rsidRPr="001D210F">
        <w:rPr>
          <w:vertAlign w:val="superscript"/>
        </w:rPr>
        <w:t>5</w:t>
      </w:r>
      <w:r>
        <w:t>,</w:t>
      </w:r>
      <w:r w:rsidRPr="00017549">
        <w:t xml:space="preserve"> Peter Clegg</w:t>
      </w:r>
      <w:r w:rsidRPr="001D210F">
        <w:rPr>
          <w:vertAlign w:val="superscript"/>
        </w:rPr>
        <w:t>1</w:t>
      </w:r>
      <w:r w:rsidRPr="00017549">
        <w:t>, Victoria James</w:t>
      </w:r>
      <w:r w:rsidRPr="001D210F">
        <w:rPr>
          <w:vertAlign w:val="superscript"/>
        </w:rPr>
        <w:t>6</w:t>
      </w:r>
      <w:r>
        <w:t xml:space="preserve"> and </w:t>
      </w:r>
      <w:r w:rsidRPr="00017549">
        <w:t xml:space="preserve">Mandy </w:t>
      </w:r>
      <w:r>
        <w:t xml:space="preserve">J. </w:t>
      </w:r>
      <w:r w:rsidRPr="00017549">
        <w:t>Peffers</w:t>
      </w:r>
      <w:r w:rsidRPr="001D210F">
        <w:rPr>
          <w:vertAlign w:val="superscript"/>
        </w:rPr>
        <w:t>1</w:t>
      </w:r>
    </w:p>
    <w:p w14:paraId="3EE85C70" w14:textId="77777777" w:rsidR="008C39C4" w:rsidRPr="007C6832" w:rsidRDefault="008C39C4" w:rsidP="008C39C4">
      <w:pPr>
        <w:spacing w:after="0"/>
        <w:rPr>
          <w:sz w:val="18"/>
        </w:rPr>
      </w:pPr>
      <w:r w:rsidRPr="007C6832">
        <w:rPr>
          <w:sz w:val="18"/>
          <w:vertAlign w:val="superscript"/>
        </w:rPr>
        <w:t xml:space="preserve">1 </w:t>
      </w:r>
      <w:r w:rsidRPr="007C6832">
        <w:rPr>
          <w:sz w:val="18"/>
        </w:rPr>
        <w:t>Institute of Life Course and Medical Sciences, University of Liverpool, West Derby Street, Liverpool, L7 8TX, UK</w:t>
      </w:r>
    </w:p>
    <w:p w14:paraId="6ECEA867" w14:textId="3885C411" w:rsidR="008C39C4" w:rsidRPr="007C6832" w:rsidRDefault="00DE7EEF" w:rsidP="008C39C4">
      <w:pPr>
        <w:spacing w:after="0"/>
        <w:rPr>
          <w:sz w:val="18"/>
        </w:rPr>
      </w:pPr>
      <w:r>
        <w:rPr>
          <w:sz w:val="18"/>
          <w:vertAlign w:val="superscript"/>
        </w:rPr>
        <w:t>2</w:t>
      </w:r>
      <w:r w:rsidR="008C39C4" w:rsidRPr="007C6832">
        <w:rPr>
          <w:sz w:val="18"/>
        </w:rPr>
        <w:t xml:space="preserve"> </w:t>
      </w:r>
      <w:r w:rsidR="008C39C4" w:rsidRPr="007C6832">
        <w:rPr>
          <w:rFonts w:cstheme="minorHAnsi"/>
          <w:sz w:val="18"/>
        </w:rPr>
        <w:t>Philip Leverhulme Equine Hospital, University of Liverpool, Leahurst Campus, Chester High Road, Neston CH64 7TE, UK</w:t>
      </w:r>
    </w:p>
    <w:p w14:paraId="091F6CD6" w14:textId="7EBF8B53" w:rsidR="008C39C4" w:rsidRPr="007C6832" w:rsidRDefault="00DE7EEF" w:rsidP="008C39C4">
      <w:pPr>
        <w:spacing w:after="0"/>
        <w:rPr>
          <w:sz w:val="18"/>
        </w:rPr>
      </w:pPr>
      <w:r>
        <w:rPr>
          <w:sz w:val="18"/>
          <w:vertAlign w:val="superscript"/>
        </w:rPr>
        <w:t>3</w:t>
      </w:r>
      <w:r w:rsidR="008C39C4" w:rsidRPr="007C6832">
        <w:rPr>
          <w:sz w:val="18"/>
          <w:vertAlign w:val="superscript"/>
        </w:rPr>
        <w:t xml:space="preserve"> </w:t>
      </w:r>
      <w:r w:rsidR="008C39C4" w:rsidRPr="007C6832">
        <w:rPr>
          <w:sz w:val="18"/>
        </w:rPr>
        <w:t>The Royal (Dick) School of Veterinary Studies and The Roslin Institute, Eater Bush Campus, Midlothian EH25 9RG, UK</w:t>
      </w:r>
    </w:p>
    <w:p w14:paraId="159EF322" w14:textId="1550F67A" w:rsidR="008C39C4" w:rsidRPr="007C6832" w:rsidRDefault="00DE7EEF" w:rsidP="008C39C4">
      <w:pPr>
        <w:spacing w:after="0"/>
        <w:rPr>
          <w:sz w:val="18"/>
        </w:rPr>
      </w:pPr>
      <w:r>
        <w:rPr>
          <w:sz w:val="18"/>
          <w:vertAlign w:val="superscript"/>
        </w:rPr>
        <w:t>4</w:t>
      </w:r>
      <w:r w:rsidR="008C39C4" w:rsidRPr="007C6832">
        <w:rPr>
          <w:sz w:val="18"/>
          <w:vertAlign w:val="superscript"/>
        </w:rPr>
        <w:t xml:space="preserve"> </w:t>
      </w:r>
      <w:proofErr w:type="spellStart"/>
      <w:r w:rsidR="008C39C4" w:rsidRPr="007C6832">
        <w:rPr>
          <w:sz w:val="18"/>
        </w:rPr>
        <w:t>T</w:t>
      </w:r>
      <w:r w:rsidR="008C39C4" w:rsidRPr="007C6832">
        <w:rPr>
          <w:rFonts w:cstheme="minorHAnsi"/>
          <w:color w:val="000000" w:themeColor="text1"/>
          <w:sz w:val="18"/>
        </w:rPr>
        <w:t>AmiRNA</w:t>
      </w:r>
      <w:proofErr w:type="spellEnd"/>
      <w:r w:rsidR="008C39C4" w:rsidRPr="007C6832">
        <w:rPr>
          <w:rFonts w:cstheme="minorHAnsi"/>
          <w:color w:val="000000" w:themeColor="text1"/>
          <w:sz w:val="18"/>
        </w:rPr>
        <w:t xml:space="preserve"> GmbH, Department of Research, </w:t>
      </w:r>
      <w:proofErr w:type="spellStart"/>
      <w:r w:rsidR="008C39C4" w:rsidRPr="007C6832">
        <w:rPr>
          <w:rFonts w:cstheme="minorHAnsi"/>
          <w:color w:val="000000" w:themeColor="text1"/>
          <w:sz w:val="18"/>
        </w:rPr>
        <w:t>Leberstrasse</w:t>
      </w:r>
      <w:proofErr w:type="spellEnd"/>
      <w:r w:rsidR="008C39C4" w:rsidRPr="007C6832">
        <w:rPr>
          <w:rFonts w:cstheme="minorHAnsi"/>
          <w:color w:val="000000" w:themeColor="text1"/>
          <w:sz w:val="18"/>
        </w:rPr>
        <w:t xml:space="preserve"> 20, 1110 Vienna, Austria</w:t>
      </w:r>
    </w:p>
    <w:p w14:paraId="0DE22B55" w14:textId="5E0C5B98" w:rsidR="008C39C4" w:rsidRPr="007C6832" w:rsidRDefault="00DE7EEF" w:rsidP="008C39C4">
      <w:pPr>
        <w:spacing w:after="0"/>
        <w:rPr>
          <w:sz w:val="18"/>
        </w:rPr>
      </w:pPr>
      <w:r>
        <w:rPr>
          <w:sz w:val="18"/>
          <w:vertAlign w:val="superscript"/>
        </w:rPr>
        <w:t>5</w:t>
      </w:r>
      <w:r w:rsidR="008C39C4" w:rsidRPr="007C6832">
        <w:rPr>
          <w:sz w:val="18"/>
          <w:vertAlign w:val="superscript"/>
        </w:rPr>
        <w:t xml:space="preserve"> </w:t>
      </w:r>
      <w:r w:rsidR="008C39C4" w:rsidRPr="007C6832">
        <w:rPr>
          <w:sz w:val="18"/>
        </w:rPr>
        <w:t>School of Veterinary Medicine and Science, University of Nottingham, Nottingham LE12 5RD, UK</w:t>
      </w:r>
    </w:p>
    <w:p w14:paraId="38A51666" w14:textId="77777777" w:rsidR="008C39C4" w:rsidRPr="007C6832" w:rsidRDefault="008C39C4" w:rsidP="008C39C4">
      <w:pPr>
        <w:spacing w:after="0"/>
        <w:rPr>
          <w:b/>
          <w:bCs/>
          <w:sz w:val="18"/>
          <w:lang w:val="pt-PT"/>
        </w:rPr>
      </w:pPr>
    </w:p>
    <w:p w14:paraId="30591B93" w14:textId="77777777" w:rsidR="008C39C4" w:rsidRPr="007C6832" w:rsidRDefault="008C39C4" w:rsidP="008C39C4">
      <w:pPr>
        <w:spacing w:after="0"/>
        <w:rPr>
          <w:b/>
          <w:bCs/>
          <w:sz w:val="18"/>
          <w:lang w:val="pt-PT"/>
        </w:rPr>
      </w:pPr>
      <w:r w:rsidRPr="007C6832">
        <w:rPr>
          <w:b/>
          <w:bCs/>
          <w:sz w:val="18"/>
          <w:lang w:val="pt-PT"/>
        </w:rPr>
        <w:t xml:space="preserve">*Corresponding Author: </w:t>
      </w:r>
    </w:p>
    <w:p w14:paraId="6583AC0B" w14:textId="77777777" w:rsidR="008C39C4" w:rsidRPr="007C6832" w:rsidRDefault="008C39C4" w:rsidP="008C39C4">
      <w:pPr>
        <w:spacing w:after="0"/>
        <w:rPr>
          <w:sz w:val="18"/>
        </w:rPr>
      </w:pPr>
      <w:r w:rsidRPr="007C6832">
        <w:rPr>
          <w:sz w:val="18"/>
          <w:lang w:val="pt-PT"/>
        </w:rPr>
        <w:t xml:space="preserve">Catarina I. G. D. Castanheira (C.Castanheira@liverpool.ac.uk) </w:t>
      </w:r>
    </w:p>
    <w:p w14:paraId="076C1371" w14:textId="77777777" w:rsidR="008C39C4" w:rsidRPr="008C39C4" w:rsidRDefault="008C39C4" w:rsidP="00D61DA7">
      <w:pPr>
        <w:jc w:val="both"/>
      </w:pPr>
    </w:p>
    <w:p w14:paraId="583289AD" w14:textId="77777777" w:rsidR="009F39F8" w:rsidRDefault="009F39F8" w:rsidP="00D61DA7">
      <w:pPr>
        <w:jc w:val="both"/>
        <w:rPr>
          <w:b/>
        </w:rPr>
      </w:pPr>
      <w:r>
        <w:rPr>
          <w:b/>
        </w:rPr>
        <w:t>Purpose</w:t>
      </w:r>
    </w:p>
    <w:p w14:paraId="25D89175" w14:textId="0A1E0C92" w:rsidR="004D7D71" w:rsidRDefault="00F7199A" w:rsidP="004D7D71">
      <w:pPr>
        <w:spacing w:after="0"/>
        <w:jc w:val="both"/>
      </w:pPr>
      <w:r>
        <w:t xml:space="preserve">Extracellular </w:t>
      </w:r>
      <w:proofErr w:type="spellStart"/>
      <w:r>
        <w:t>vesicles</w:t>
      </w:r>
      <w:proofErr w:type="spellEnd"/>
      <w:r>
        <w:t xml:space="preserve"> (EVs)</w:t>
      </w:r>
      <w:r w:rsidR="0085339E">
        <w:t xml:space="preserve"> </w:t>
      </w:r>
      <w:r w:rsidR="00907476">
        <w:t>are crucial</w:t>
      </w:r>
      <w:r w:rsidR="0085339E">
        <w:t xml:space="preserve"> in cell-to-cell communication</w:t>
      </w:r>
      <w:r w:rsidR="0052424E">
        <w:t xml:space="preserve"> </w:t>
      </w:r>
      <w:r w:rsidR="0075597C">
        <w:t>influenc</w:t>
      </w:r>
      <w:r w:rsidR="00C573F8">
        <w:t>ing</w:t>
      </w:r>
      <w:r w:rsidR="0075597C">
        <w:t xml:space="preserve"> </w:t>
      </w:r>
      <w:r w:rsidR="005D0115">
        <w:t xml:space="preserve">the </w:t>
      </w:r>
      <w:r w:rsidR="0075597C">
        <w:t>joint microenvironment</w:t>
      </w:r>
      <w:r w:rsidR="00907476">
        <w:t xml:space="preserve">. </w:t>
      </w:r>
      <w:r w:rsidR="00B27340">
        <w:t>EVs derived from diseased synovial tissue</w:t>
      </w:r>
      <w:r w:rsidR="0052424E">
        <w:t xml:space="preserve"> can</w:t>
      </w:r>
      <w:r w:rsidR="00B27340">
        <w:t xml:space="preserve"> </w:t>
      </w:r>
      <w:r w:rsidR="00907476">
        <w:t>contribute to osteoarthritis</w:t>
      </w:r>
      <w:r w:rsidR="00C573F8">
        <w:t xml:space="preserve"> (OA)</w:t>
      </w:r>
      <w:r w:rsidR="00907476">
        <w:t xml:space="preserve"> progression by</w:t>
      </w:r>
      <w:r w:rsidR="00B27340">
        <w:t xml:space="preserve"> induc</w:t>
      </w:r>
      <w:r w:rsidR="00907476">
        <w:t>ing</w:t>
      </w:r>
      <w:r w:rsidR="00B27340">
        <w:t xml:space="preserve"> </w:t>
      </w:r>
      <w:r w:rsidR="00907476">
        <w:t>inflammat</w:t>
      </w:r>
      <w:r w:rsidR="0052424E">
        <w:t xml:space="preserve">ion and </w:t>
      </w:r>
      <w:r w:rsidR="00907476">
        <w:t xml:space="preserve">cartilage </w:t>
      </w:r>
      <w:r w:rsidR="00B27340">
        <w:t xml:space="preserve">degradation. </w:t>
      </w:r>
      <w:r w:rsidR="00C573F8">
        <w:t>M</w:t>
      </w:r>
      <w:r w:rsidR="00B27340">
        <w:t>esenchymal stem cell-derived EVs</w:t>
      </w:r>
      <w:r w:rsidR="00DF5128">
        <w:t xml:space="preserve"> can</w:t>
      </w:r>
      <w:r w:rsidR="00907476">
        <w:t xml:space="preserve"> </w:t>
      </w:r>
      <w:r w:rsidR="00B27340">
        <w:t xml:space="preserve">enhance cartilage regeneration and prevent </w:t>
      </w:r>
      <w:r w:rsidR="00C573F8">
        <w:t>OA</w:t>
      </w:r>
      <w:r w:rsidR="00B27340">
        <w:t>, suggesting</w:t>
      </w:r>
      <w:r w:rsidR="001111D5">
        <w:t xml:space="preserve"> </w:t>
      </w:r>
      <w:r w:rsidR="00B27340">
        <w:t xml:space="preserve">the effect of EV </w:t>
      </w:r>
      <w:r w:rsidR="004D7D71">
        <w:t xml:space="preserve">exchange </w:t>
      </w:r>
      <w:r w:rsidR="00B27340">
        <w:t xml:space="preserve">is highly dependent on </w:t>
      </w:r>
      <w:r w:rsidR="00C573F8">
        <w:t xml:space="preserve">EV-donor cell </w:t>
      </w:r>
      <w:r w:rsidR="00B27340">
        <w:t>characteristics</w:t>
      </w:r>
      <w:r w:rsidR="00C573F8">
        <w:t xml:space="preserve">. </w:t>
      </w:r>
      <w:r w:rsidR="003A4DFA">
        <w:t>Thus, the</w:t>
      </w:r>
      <w:r w:rsidR="0052424E">
        <w:t xml:space="preserve"> exact </w:t>
      </w:r>
      <w:r w:rsidR="003A4DFA">
        <w:t>role</w:t>
      </w:r>
      <w:r w:rsidR="00DF5128">
        <w:t xml:space="preserve"> of EVs</w:t>
      </w:r>
      <w:r w:rsidR="003A4DFA">
        <w:t xml:space="preserve"> </w:t>
      </w:r>
      <w:r w:rsidR="00DF5128">
        <w:t xml:space="preserve">in </w:t>
      </w:r>
      <w:r w:rsidR="0052424E">
        <w:t xml:space="preserve">joint tissues </w:t>
      </w:r>
      <w:r w:rsidR="00907476">
        <w:t>warrants further investigation</w:t>
      </w:r>
      <w:r w:rsidR="00DF5128">
        <w:t>.</w:t>
      </w:r>
    </w:p>
    <w:p w14:paraId="005106A8" w14:textId="0D48864F" w:rsidR="00C62659" w:rsidRDefault="003A4DFA" w:rsidP="00907476">
      <w:pPr>
        <w:spacing w:after="0"/>
        <w:jc w:val="both"/>
      </w:pPr>
      <w:r>
        <w:t>EVs contain microRNAs</w:t>
      </w:r>
      <w:r w:rsidR="00C573F8">
        <w:t xml:space="preserve"> (</w:t>
      </w:r>
      <w:proofErr w:type="spellStart"/>
      <w:r w:rsidR="00C573F8">
        <w:t>miRs</w:t>
      </w:r>
      <w:proofErr w:type="spellEnd"/>
      <w:r w:rsidR="00C573F8">
        <w:t xml:space="preserve">); </w:t>
      </w:r>
      <w:r>
        <w:t xml:space="preserve">powerful regulators of gene expression. </w:t>
      </w:r>
      <w:r w:rsidR="002D55EA">
        <w:t xml:space="preserve">To comprehend how </w:t>
      </w:r>
      <w:r w:rsidR="0052424E">
        <w:t>they might regulat</w:t>
      </w:r>
      <w:r w:rsidR="00C573F8">
        <w:t>e</w:t>
      </w:r>
      <w:r w:rsidR="002D55EA">
        <w:t xml:space="preserve"> joint homeostasis, we</w:t>
      </w:r>
      <w:r>
        <w:t xml:space="preserve"> explored</w:t>
      </w:r>
      <w:r w:rsidR="002D55EA">
        <w:t xml:space="preserve"> the EV-mediated microRNA exchange </w:t>
      </w:r>
      <w:r w:rsidR="00DF5128">
        <w:t>in the joint</w:t>
      </w:r>
      <w:r w:rsidR="002D55EA">
        <w:t xml:space="preserve">. </w:t>
      </w:r>
      <w:proofErr w:type="gramStart"/>
      <w:r w:rsidR="00C573F8">
        <w:t xml:space="preserve">Our </w:t>
      </w:r>
      <w:r w:rsidR="002D55EA">
        <w:t xml:space="preserve"> study</w:t>
      </w:r>
      <w:proofErr w:type="gramEnd"/>
      <w:r w:rsidR="002D55EA">
        <w:t xml:space="preserve"> investigate</w:t>
      </w:r>
      <w:r w:rsidR="00C573F8">
        <w:t>d</w:t>
      </w:r>
      <w:r w:rsidR="002D55EA">
        <w:t xml:space="preserve"> the EV microRNA crosstalk between equine chondrocytes and synoviocytes</w:t>
      </w:r>
      <w:r w:rsidR="00C62659">
        <w:t xml:space="preserve"> </w:t>
      </w:r>
      <w:r w:rsidR="00C62659">
        <w:rPr>
          <w:i/>
        </w:rPr>
        <w:t>in vitro</w:t>
      </w:r>
      <w:r w:rsidR="00072F84">
        <w:rPr>
          <w:i/>
        </w:rPr>
        <w:t>,</w:t>
      </w:r>
      <w:r w:rsidR="002D55EA">
        <w:t xml:space="preserve"> using </w:t>
      </w:r>
      <w:r w:rsidR="00C62659">
        <w:t>RNA tracking and sequencing.</w:t>
      </w:r>
    </w:p>
    <w:p w14:paraId="3F7903A5" w14:textId="77777777" w:rsidR="00C62659" w:rsidRPr="00907476" w:rsidRDefault="00C62659" w:rsidP="00907476">
      <w:pPr>
        <w:spacing w:after="0"/>
        <w:jc w:val="both"/>
      </w:pPr>
    </w:p>
    <w:p w14:paraId="208D95A8" w14:textId="77777777" w:rsidR="009F39F8" w:rsidRDefault="009F39F8" w:rsidP="00D61DA7">
      <w:pPr>
        <w:jc w:val="both"/>
        <w:rPr>
          <w:b/>
        </w:rPr>
      </w:pPr>
      <w:r>
        <w:rPr>
          <w:b/>
        </w:rPr>
        <w:t>Methods</w:t>
      </w:r>
    </w:p>
    <w:p w14:paraId="72B2FF2E" w14:textId="43A0F86C" w:rsidR="00B24045" w:rsidRDefault="00DD44E2" w:rsidP="00D61DA7">
      <w:pPr>
        <w:jc w:val="both"/>
      </w:pPr>
      <w:r>
        <w:t>Cartilage</w:t>
      </w:r>
      <w:r w:rsidR="00A01E63">
        <w:t xml:space="preserve"> (n=8)</w:t>
      </w:r>
      <w:r w:rsidR="00A53982">
        <w:t xml:space="preserve"> </w:t>
      </w:r>
      <w:r>
        <w:t>and synovial membrane</w:t>
      </w:r>
      <w:r w:rsidR="00A01E63">
        <w:t xml:space="preserve"> (n=9)</w:t>
      </w:r>
      <w:r w:rsidR="00A53982">
        <w:t xml:space="preserve"> </w:t>
      </w:r>
      <w:r w:rsidR="00BE65F7">
        <w:t xml:space="preserve">were </w:t>
      </w:r>
      <w:r>
        <w:t>collected</w:t>
      </w:r>
      <w:r w:rsidR="00BE65F7">
        <w:t xml:space="preserve"> from</w:t>
      </w:r>
      <w:r w:rsidR="00021D34">
        <w:t xml:space="preserve"> </w:t>
      </w:r>
      <w:r w:rsidR="00AB2B82">
        <w:t xml:space="preserve">grossly normal </w:t>
      </w:r>
      <w:r w:rsidR="003A4DFA">
        <w:t xml:space="preserve">equine </w:t>
      </w:r>
      <w:r w:rsidR="00BE65F7">
        <w:t>metacarpophalangeal joint</w:t>
      </w:r>
      <w:r w:rsidR="00A53982">
        <w:t>s</w:t>
      </w:r>
      <w:r w:rsidR="003A4DFA">
        <w:t xml:space="preserve"> obtained</w:t>
      </w:r>
      <w:r w:rsidR="00BE65F7">
        <w:t xml:space="preserve"> from</w:t>
      </w:r>
      <w:r w:rsidR="00AB2B82">
        <w:t xml:space="preserve"> an</w:t>
      </w:r>
      <w:r w:rsidR="00BE65F7">
        <w:t xml:space="preserve"> </w:t>
      </w:r>
      <w:r>
        <w:t>abattoir</w:t>
      </w:r>
      <w:r w:rsidR="00C62659">
        <w:t xml:space="preserve">, </w:t>
      </w:r>
      <w:r w:rsidR="002A4F9B">
        <w:t>and chondrocytes and synoviocytes</w:t>
      </w:r>
      <w:r w:rsidR="00C573F8">
        <w:t xml:space="preserve"> isolated</w:t>
      </w:r>
      <w:r w:rsidR="00BE65F7">
        <w:t xml:space="preserve">. </w:t>
      </w:r>
      <w:r w:rsidR="00C62659">
        <w:t>Cells</w:t>
      </w:r>
      <w:r w:rsidR="002A4F9B">
        <w:t xml:space="preserve"> were</w:t>
      </w:r>
      <w:r w:rsidR="00C62659">
        <w:t xml:space="preserve"> incubated with a 5-Ethynyl Uridine tag that </w:t>
      </w:r>
      <w:proofErr w:type="spellStart"/>
      <w:r w:rsidR="00DE7EEF">
        <w:t>label</w:t>
      </w:r>
      <w:r w:rsidR="00C573F8">
        <w:t>ed</w:t>
      </w:r>
      <w:proofErr w:type="spellEnd"/>
      <w:r w:rsidR="00DE7EEF">
        <w:t xml:space="preserve"> </w:t>
      </w:r>
      <w:r w:rsidR="00C62659">
        <w:t>newly synthesised RNA</w:t>
      </w:r>
      <w:r w:rsidR="00AB2B82">
        <w:t xml:space="preserve">. </w:t>
      </w:r>
      <w:r w:rsidR="002A4F9B">
        <w:t>C</w:t>
      </w:r>
      <w:r w:rsidR="00A53982">
        <w:t xml:space="preserve">ontrol </w:t>
      </w:r>
      <w:r w:rsidR="00D61DA7">
        <w:t>EV-</w:t>
      </w:r>
      <w:r w:rsidR="00A53982">
        <w:t>donor cells</w:t>
      </w:r>
      <w:r w:rsidR="00D61DA7">
        <w:t xml:space="preserve"> </w:t>
      </w:r>
      <w:r w:rsidR="00A53982">
        <w:t xml:space="preserve">were </w:t>
      </w:r>
      <w:r w:rsidR="003A4DFA">
        <w:t>cultured</w:t>
      </w:r>
      <w:r w:rsidR="00C62659">
        <w:t xml:space="preserve"> in parallel</w:t>
      </w:r>
      <w:r w:rsidR="00D61DA7">
        <w:t xml:space="preserve"> </w:t>
      </w:r>
      <w:r w:rsidR="00A53982">
        <w:t xml:space="preserve">and processed </w:t>
      </w:r>
      <w:r w:rsidR="002A4F9B">
        <w:t xml:space="preserve">in </w:t>
      </w:r>
      <w:r w:rsidR="00C62659">
        <w:t xml:space="preserve">a similar way </w:t>
      </w:r>
      <w:r w:rsidR="00C573F8">
        <w:t xml:space="preserve">but without </w:t>
      </w:r>
      <w:r w:rsidR="00C62659">
        <w:t>tag</w:t>
      </w:r>
      <w:r w:rsidR="00D61DA7">
        <w:t>.</w:t>
      </w:r>
      <w:r w:rsidR="004463AA" w:rsidRPr="004463AA">
        <w:t xml:space="preserve"> </w:t>
      </w:r>
      <w:r w:rsidR="004463AA">
        <w:t>EVs were isolated from culture media using size exclusion chromatography</w:t>
      </w:r>
      <w:r w:rsidR="00493A7C">
        <w:t xml:space="preserve"> and characterised by nanoparticle tracking analysis.</w:t>
      </w:r>
      <w:r w:rsidR="00C62659">
        <w:t xml:space="preserve"> </w:t>
      </w:r>
      <w:r w:rsidR="00A91148" w:rsidRPr="00D61DA7">
        <w:t>Recipient cells</w:t>
      </w:r>
      <w:r w:rsidR="00B24045" w:rsidRPr="00D61DA7">
        <w:t xml:space="preserve"> (chondrocytes, n=5; synoviocytes, n=4)</w:t>
      </w:r>
      <w:r w:rsidR="00A91148" w:rsidRPr="00D61DA7">
        <w:t xml:space="preserve"> </w:t>
      </w:r>
      <w:r w:rsidR="00C62659">
        <w:t xml:space="preserve">were </w:t>
      </w:r>
      <w:r w:rsidR="00A91148" w:rsidRPr="00D61DA7">
        <w:t>incubated wit</w:t>
      </w:r>
      <w:r w:rsidR="00A53982" w:rsidRPr="00D61DA7">
        <w:t>h</w:t>
      </w:r>
      <w:r w:rsidRPr="00D61DA7">
        <w:t xml:space="preserve"> freshly isolated</w:t>
      </w:r>
      <w:r w:rsidR="00A91148" w:rsidRPr="00D61DA7">
        <w:t xml:space="preserve"> </w:t>
      </w:r>
      <w:r w:rsidR="00AB2B82">
        <w:t xml:space="preserve">tagged </w:t>
      </w:r>
      <w:r w:rsidR="00A91148" w:rsidRPr="00D61DA7">
        <w:t xml:space="preserve">EVs, </w:t>
      </w:r>
      <w:r w:rsidR="003A4DFA">
        <w:t>ensuring</w:t>
      </w:r>
      <w:r w:rsidR="00A91148" w:rsidRPr="00D61DA7">
        <w:t xml:space="preserve"> that recipient chondrocytes were incubated with synoviocyte</w:t>
      </w:r>
      <w:r w:rsidR="003A4DFA">
        <w:t>-derived</w:t>
      </w:r>
      <w:r w:rsidR="00A91148" w:rsidRPr="00D61DA7">
        <w:t xml:space="preserve"> EVs</w:t>
      </w:r>
      <w:r w:rsidRPr="00D61DA7">
        <w:t>,</w:t>
      </w:r>
      <w:r w:rsidR="00A91148" w:rsidRPr="00D61DA7">
        <w:t xml:space="preserve"> and recipient synoviocytes were incubated with chondrocyte</w:t>
      </w:r>
      <w:r w:rsidR="00A01E63">
        <w:t>-derived</w:t>
      </w:r>
      <w:r w:rsidR="00A91148" w:rsidRPr="00D61DA7">
        <w:t xml:space="preserve"> EVs.</w:t>
      </w:r>
      <w:r w:rsidRPr="00D61DA7">
        <w:t xml:space="preserve"> </w:t>
      </w:r>
      <w:r w:rsidR="009078F9" w:rsidRPr="00D61DA7">
        <w:t xml:space="preserve">Control recipient samples </w:t>
      </w:r>
      <w:r w:rsidR="009078F9">
        <w:t>were</w:t>
      </w:r>
      <w:r w:rsidR="009078F9" w:rsidRPr="00D61DA7">
        <w:t xml:space="preserve"> incubated with control</w:t>
      </w:r>
      <w:r w:rsidR="002A4F9B">
        <w:t>-derived</w:t>
      </w:r>
      <w:r w:rsidR="009078F9" w:rsidRPr="00D61DA7">
        <w:t xml:space="preserve"> EVs. </w:t>
      </w:r>
      <w:r w:rsidR="00AB2B82">
        <w:t>Following</w:t>
      </w:r>
      <w:r w:rsidRPr="00D61DA7">
        <w:t xml:space="preserve"> incubation, </w:t>
      </w:r>
      <w:r w:rsidR="00C62659">
        <w:t xml:space="preserve">all </w:t>
      </w:r>
      <w:r w:rsidRPr="00D61DA7">
        <w:t xml:space="preserve">recipient cells were </w:t>
      </w:r>
      <w:proofErr w:type="spellStart"/>
      <w:proofErr w:type="gramStart"/>
      <w:r w:rsidRPr="00D61DA7">
        <w:t>trypsinised</w:t>
      </w:r>
      <w:proofErr w:type="spellEnd"/>
      <w:r w:rsidR="00C573F8">
        <w:t xml:space="preserve">, </w:t>
      </w:r>
      <w:r w:rsidRPr="00D61DA7">
        <w:t xml:space="preserve"> total</w:t>
      </w:r>
      <w:proofErr w:type="gramEnd"/>
      <w:r w:rsidRPr="00D61DA7">
        <w:t xml:space="preserve"> RNA</w:t>
      </w:r>
      <w:r w:rsidR="00C573F8">
        <w:t xml:space="preserve"> </w:t>
      </w:r>
      <w:r w:rsidRPr="00D61DA7">
        <w:t>extracted</w:t>
      </w:r>
      <w:r w:rsidR="00C573F8">
        <w:t xml:space="preserve"> and </w:t>
      </w:r>
      <w:r w:rsidR="00FA6D40">
        <w:t>5-EU labelled RNA</w:t>
      </w:r>
      <w:r w:rsidR="00B24045">
        <w:t xml:space="preserve"> recovered using a</w:t>
      </w:r>
      <w:r w:rsidR="00134E3A">
        <w:t>n affinity recovery kit</w:t>
      </w:r>
      <w:r w:rsidR="00072F84">
        <w:t>,</w:t>
      </w:r>
      <w:r w:rsidR="00A01E63">
        <w:t xml:space="preserve"> </w:t>
      </w:r>
      <w:r w:rsidR="00C573F8">
        <w:t>then</w:t>
      </w:r>
      <w:r w:rsidR="00A01E63">
        <w:t xml:space="preserve"> sequenced</w:t>
      </w:r>
      <w:r w:rsidR="00747CCA">
        <w:t xml:space="preserve"> (Fig. 1).</w:t>
      </w:r>
    </w:p>
    <w:p w14:paraId="57F48DE8" w14:textId="26B29F13" w:rsidR="00C04D80" w:rsidRDefault="0052424E" w:rsidP="00C04D80">
      <w:pPr>
        <w:jc w:val="both"/>
      </w:pPr>
      <w:r>
        <w:t xml:space="preserve">Processed </w:t>
      </w:r>
      <w:r w:rsidR="00072F84">
        <w:t>sequencing</w:t>
      </w:r>
      <w:r w:rsidR="00A01E63">
        <w:t xml:space="preserve"> r</w:t>
      </w:r>
      <w:r w:rsidR="002A16A7" w:rsidRPr="002A16A7">
        <w:t xml:space="preserve">eads were mapped first against the genomic reference EquCab.3.0 and subsequently </w:t>
      </w:r>
      <w:proofErr w:type="spellStart"/>
      <w:r w:rsidR="002A16A7" w:rsidRPr="002A16A7">
        <w:t>miRBase</w:t>
      </w:r>
      <w:proofErr w:type="spellEnd"/>
      <w:r w:rsidR="002A16A7" w:rsidRPr="002A16A7">
        <w:t xml:space="preserve"> v22.1, filtered for </w:t>
      </w:r>
      <w:proofErr w:type="spellStart"/>
      <w:r w:rsidR="002A16A7" w:rsidRPr="002A16A7">
        <w:t>miRs</w:t>
      </w:r>
      <w:proofErr w:type="spellEnd"/>
      <w:r w:rsidR="002A16A7" w:rsidRPr="002A16A7">
        <w:t xml:space="preserve"> of </w:t>
      </w:r>
      <w:r w:rsidR="00AB2B82">
        <w:t>horse</w:t>
      </w:r>
      <w:r w:rsidR="002A16A7" w:rsidRPr="002A16A7">
        <w:t xml:space="preserve"> only.</w:t>
      </w:r>
      <w:r w:rsidR="002A16A7" w:rsidRPr="00280A4A">
        <w:rPr>
          <w:color w:val="FF0000"/>
        </w:rPr>
        <w:t xml:space="preserve"> </w:t>
      </w:r>
      <w:r w:rsidR="002A16A7">
        <w:t xml:space="preserve">Data </w:t>
      </w:r>
      <w:r w:rsidR="00CB57FB">
        <w:t xml:space="preserve">variation was assessed through </w:t>
      </w:r>
      <w:r w:rsidR="000C4BE9" w:rsidRPr="000C4BE9">
        <w:t>principal component analysis</w:t>
      </w:r>
      <w:r w:rsidR="00AB2B82">
        <w:t xml:space="preserve"> (PCA)</w:t>
      </w:r>
      <w:r w:rsidR="00CB57FB">
        <w:t>. D</w:t>
      </w:r>
      <w:r w:rsidR="002A16A7" w:rsidRPr="002A16A7">
        <w:t>ifferential expression</w:t>
      </w:r>
      <w:r w:rsidR="00CB57FB">
        <w:t xml:space="preserve"> </w:t>
      </w:r>
      <w:r w:rsidR="00D821B0">
        <w:t xml:space="preserve">(DE) </w:t>
      </w:r>
      <w:r w:rsidR="00CB57FB">
        <w:t>was analysed</w:t>
      </w:r>
      <w:r w:rsidR="002A16A7" w:rsidRPr="002A16A7">
        <w:t xml:space="preserve"> </w:t>
      </w:r>
      <w:r w:rsidR="00AB2B82">
        <w:t>using</w:t>
      </w:r>
      <w:r w:rsidR="00AB2B82" w:rsidRPr="002A16A7">
        <w:t xml:space="preserve"> </w:t>
      </w:r>
      <w:proofErr w:type="spellStart"/>
      <w:r w:rsidR="002A16A7" w:rsidRPr="002A16A7">
        <w:t>edgeR</w:t>
      </w:r>
      <w:proofErr w:type="spellEnd"/>
      <w:r w:rsidR="002A16A7" w:rsidRPr="002A16A7">
        <w:t xml:space="preserve"> v3.</w:t>
      </w:r>
      <w:r w:rsidR="002A16A7">
        <w:t>32</w:t>
      </w:r>
      <w:r w:rsidR="002A16A7" w:rsidRPr="002A16A7">
        <w:t xml:space="preserve"> </w:t>
      </w:r>
      <w:r w:rsidR="00AB2B82">
        <w:t>and</w:t>
      </w:r>
      <w:r w:rsidR="00AB2B82" w:rsidRPr="002A16A7">
        <w:t xml:space="preserve"> </w:t>
      </w:r>
      <w:r w:rsidR="002A16A7" w:rsidRPr="002A16A7">
        <w:t>the quasi-likelihood negative binomial generalized log-linear model function</w:t>
      </w:r>
      <w:r w:rsidR="00AB2B82">
        <w:t>. R</w:t>
      </w:r>
      <w:r w:rsidR="00B902C2">
        <w:t>esults</w:t>
      </w:r>
      <w:r w:rsidR="00C04D80">
        <w:t xml:space="preserve"> </w:t>
      </w:r>
      <w:r w:rsidR="00AB2B82">
        <w:t xml:space="preserve">were </w:t>
      </w:r>
      <w:r w:rsidR="00C04D80">
        <w:t>used for pathway analysis</w:t>
      </w:r>
      <w:r w:rsidR="00AB2B82">
        <w:t xml:space="preserve"> (IPA)</w:t>
      </w:r>
      <w:r w:rsidR="00C04D80">
        <w:t xml:space="preserve"> and target predictio</w:t>
      </w:r>
      <w:r w:rsidR="00CB57FB">
        <w:t>n</w:t>
      </w:r>
      <w:r w:rsidR="00AB2B82">
        <w:t xml:space="preserve"> (</w:t>
      </w:r>
      <w:proofErr w:type="spellStart"/>
      <w:r w:rsidR="00AB2B82">
        <w:t>Targetfilter</w:t>
      </w:r>
      <w:proofErr w:type="spellEnd"/>
      <w:r w:rsidR="00AB2B82">
        <w:t>)</w:t>
      </w:r>
      <w:r w:rsidR="00C573F8">
        <w:t xml:space="preserve"> with</w:t>
      </w:r>
      <w:r w:rsidR="00C04D80">
        <w:t xml:space="preserve"> </w:t>
      </w:r>
      <w:r w:rsidR="00C573F8">
        <w:t>d</w:t>
      </w:r>
      <w:r w:rsidR="00B902C2">
        <w:t>ata</w:t>
      </w:r>
      <w:r w:rsidR="00C04D80">
        <w:t xml:space="preserve"> filtered to include only experimentally observed </w:t>
      </w:r>
      <w:r w:rsidR="00C573F8">
        <w:t xml:space="preserve">target mRNA </w:t>
      </w:r>
      <w:r w:rsidR="00C04D80">
        <w:t xml:space="preserve">in chondrocytes, osteoblasts and </w:t>
      </w:r>
      <w:r w:rsidR="00EA34B7">
        <w:t>cartilage.</w:t>
      </w:r>
    </w:p>
    <w:p w14:paraId="5BF4E368" w14:textId="77777777" w:rsidR="009D2D08" w:rsidRDefault="009D2D08" w:rsidP="00D61DA7">
      <w:pPr>
        <w:jc w:val="both"/>
        <w:rPr>
          <w:b/>
        </w:rPr>
      </w:pPr>
    </w:p>
    <w:p w14:paraId="5CC4FCB9" w14:textId="77777777" w:rsidR="00132669" w:rsidRDefault="009F39F8" w:rsidP="00D61DA7">
      <w:pPr>
        <w:jc w:val="both"/>
        <w:rPr>
          <w:b/>
        </w:rPr>
      </w:pPr>
      <w:r>
        <w:rPr>
          <w:b/>
        </w:rPr>
        <w:t>Results</w:t>
      </w:r>
    </w:p>
    <w:p w14:paraId="0C202D49" w14:textId="20115C7C" w:rsidR="004917A1" w:rsidRDefault="00AB2B82" w:rsidP="004917A1">
      <w:pPr>
        <w:jc w:val="both"/>
      </w:pPr>
      <w:r>
        <w:lastRenderedPageBreak/>
        <w:t>PCA</w:t>
      </w:r>
      <w:r w:rsidR="00132669">
        <w:t xml:space="preserve"> </w:t>
      </w:r>
      <w:r w:rsidR="00CB57FB">
        <w:t>revealed</w:t>
      </w:r>
      <w:r w:rsidR="00C348DF">
        <w:t xml:space="preserve"> </w:t>
      </w:r>
      <w:r w:rsidR="000C4BE9">
        <w:t>separation between</w:t>
      </w:r>
      <w:r w:rsidR="00C348DF">
        <w:t xml:space="preserve"> chondrocyte and synoviocyte-derived EV</w:t>
      </w:r>
      <w:r w:rsidR="00134E3A">
        <w:t xml:space="preserve"> groups</w:t>
      </w:r>
      <w:r w:rsidR="00C348DF">
        <w:t xml:space="preserve"> (Fig. 2A)</w:t>
      </w:r>
      <w:r w:rsidR="00EA34B7">
        <w:t>.</w:t>
      </w:r>
      <w:r w:rsidR="00132669">
        <w:t xml:space="preserve"> </w:t>
      </w:r>
      <w:r w:rsidR="00493A7C">
        <w:t xml:space="preserve">198 </w:t>
      </w:r>
      <w:proofErr w:type="spellStart"/>
      <w:r w:rsidR="00493A7C" w:rsidRPr="00D109C1">
        <w:t>mi</w:t>
      </w:r>
      <w:r w:rsidR="00C573F8">
        <w:t>R</w:t>
      </w:r>
      <w:r w:rsidR="00493A7C" w:rsidRPr="00D109C1">
        <w:t>s</w:t>
      </w:r>
      <w:proofErr w:type="spellEnd"/>
      <w:r w:rsidR="00493A7C">
        <w:t xml:space="preserve"> </w:t>
      </w:r>
      <w:r w:rsidR="00DE7EEF">
        <w:t xml:space="preserve">were identified in synoviocytes (Fig.1c), corresponding to the 5-EU labelled RNA in chondrocyte-derived EVs (Fig.1b). 26 of these were unique to chondrocyte-derived EVs. A total of 213 </w:t>
      </w:r>
      <w:proofErr w:type="spellStart"/>
      <w:r w:rsidR="00DE7EEF">
        <w:t>miRs</w:t>
      </w:r>
      <w:proofErr w:type="spellEnd"/>
      <w:r w:rsidR="00DE7EEF">
        <w:t xml:space="preserve"> were identified in chondrocytes (Fig.1f), corresponding to 5-EU labelled RNA in synoviocyte-derived EVs (Fig. 1e)</w:t>
      </w:r>
      <w:r w:rsidR="00C573F8">
        <w:t xml:space="preserve"> with </w:t>
      </w:r>
      <w:proofErr w:type="gramStart"/>
      <w:r w:rsidR="00DE7EEF">
        <w:t>41  unique</w:t>
      </w:r>
      <w:proofErr w:type="gramEnd"/>
      <w:r w:rsidR="00DE7EEF">
        <w:t xml:space="preserve"> to synoviocyte-derived EVs. </w:t>
      </w:r>
      <w:r w:rsidR="00132669">
        <w:t>T</w:t>
      </w:r>
      <w:r w:rsidR="004917A1">
        <w:t>he top 5</w:t>
      </w:r>
      <w:r w:rsidR="003B338C">
        <w:t xml:space="preserve"> abundant </w:t>
      </w:r>
      <w:proofErr w:type="spellStart"/>
      <w:r w:rsidR="003B338C">
        <w:t>miRs</w:t>
      </w:r>
      <w:proofErr w:type="spellEnd"/>
      <w:r w:rsidR="004917A1">
        <w:t xml:space="preserve"> were similar for both chondrocyte and synoviocyte-derived EVs</w:t>
      </w:r>
      <w:r w:rsidR="00EA34B7">
        <w:t xml:space="preserve">: </w:t>
      </w:r>
      <w:r w:rsidR="004917A1">
        <w:t>miR-21, m</w:t>
      </w:r>
      <w:r w:rsidR="00493A7C">
        <w:t>i</w:t>
      </w:r>
      <w:r w:rsidR="004917A1">
        <w:t>R-221, miR-222, miR-100 and miR-26a.</w:t>
      </w:r>
    </w:p>
    <w:p w14:paraId="49760876" w14:textId="49937E6B" w:rsidR="00EA34B7" w:rsidRDefault="00D821B0" w:rsidP="0052424E">
      <w:pPr>
        <w:jc w:val="both"/>
      </w:pPr>
      <w:r>
        <w:t>DE</w:t>
      </w:r>
      <w:r w:rsidR="00A046A3">
        <w:t xml:space="preserve"> analysis revealed a total of 9 </w:t>
      </w:r>
      <w:proofErr w:type="spellStart"/>
      <w:r w:rsidR="00A046A3">
        <w:t>miR</w:t>
      </w:r>
      <w:r w:rsidR="00EA34B7">
        <w:t>s</w:t>
      </w:r>
      <w:proofErr w:type="spellEnd"/>
      <w:r w:rsidR="0091338D">
        <w:t xml:space="preserve">, </w:t>
      </w:r>
      <w:r w:rsidR="00C30797">
        <w:t>4</w:t>
      </w:r>
      <w:r w:rsidR="0091338D">
        <w:t xml:space="preserve"> of at FDR</w:t>
      </w:r>
      <w:r w:rsidR="00CB2F41">
        <w:t>&lt;0.05</w:t>
      </w:r>
      <w:r w:rsidR="0091338D">
        <w:t>.</w:t>
      </w:r>
      <w:r w:rsidR="00A046A3">
        <w:t xml:space="preserve"> miR-27b, miR-23b, </w:t>
      </w:r>
      <w:r w:rsidR="0091338D">
        <w:t xml:space="preserve">miR-31, miR-191a and miR-199a-5p, were increased in synoviocyte-derived EVs, while </w:t>
      </w:r>
      <w:r w:rsidR="00A046A3">
        <w:t>miR-143, miR-21, miR-181a</w:t>
      </w:r>
      <w:r w:rsidR="0091338D">
        <w:t xml:space="preserve"> and </w:t>
      </w:r>
      <w:r w:rsidR="00A046A3">
        <w:t>miR-181b</w:t>
      </w:r>
      <w:r w:rsidR="0091338D">
        <w:t xml:space="preserve"> were increased in chondrocyte-derived EVs.</w:t>
      </w:r>
      <w:r w:rsidR="00D5756C">
        <w:t xml:space="preserve"> </w:t>
      </w:r>
      <w:r w:rsidR="00BE09F5" w:rsidRPr="00BE09F5">
        <w:t xml:space="preserve">A </w:t>
      </w:r>
      <w:r w:rsidR="00EA34B7">
        <w:t xml:space="preserve">filtered </w:t>
      </w:r>
      <w:r w:rsidR="00BE09F5" w:rsidRPr="00BE09F5">
        <w:t>list</w:t>
      </w:r>
      <w:r w:rsidR="00BE09F5">
        <w:t xml:space="preserve"> of 23</w:t>
      </w:r>
      <w:r w:rsidR="00EA34B7">
        <w:t xml:space="preserve"> experimentally observed targets was obtained, and p</w:t>
      </w:r>
      <w:r w:rsidR="00C348DF">
        <w:t xml:space="preserve">athway analysis revealed </w:t>
      </w:r>
      <w:r w:rsidR="00EA34B7">
        <w:t xml:space="preserve">significant links to </w:t>
      </w:r>
      <w:r w:rsidR="00D5756C">
        <w:t>migration of cells (p=3.53x10</w:t>
      </w:r>
      <w:r w:rsidR="00D5756C" w:rsidRPr="00D5756C">
        <w:rPr>
          <w:vertAlign w:val="superscript"/>
        </w:rPr>
        <w:t>-19</w:t>
      </w:r>
      <w:r w:rsidR="00D5756C">
        <w:t>), angiogenesis (p=7.79x10</w:t>
      </w:r>
      <w:r w:rsidR="00D5756C" w:rsidRPr="00D5756C">
        <w:rPr>
          <w:vertAlign w:val="superscript"/>
        </w:rPr>
        <w:t>-17</w:t>
      </w:r>
      <w:r w:rsidR="00D5756C">
        <w:t>) and a</w:t>
      </w:r>
      <w:r w:rsidR="00EA34B7">
        <w:t>poptosis (p=1.11</w:t>
      </w:r>
      <w:r w:rsidR="00D5756C">
        <w:t>x10</w:t>
      </w:r>
      <w:r w:rsidR="00D5756C" w:rsidRPr="00D5756C">
        <w:rPr>
          <w:vertAlign w:val="superscript"/>
        </w:rPr>
        <w:t>-14</w:t>
      </w:r>
      <w:r w:rsidR="00EA34B7">
        <w:t>). Other relevant processes included cell viability of connective tissue cells, inflammation of joint and rheumatoid arthritis (Fig.2B).</w:t>
      </w:r>
    </w:p>
    <w:p w14:paraId="502F6085" w14:textId="77777777" w:rsidR="0094314B" w:rsidRDefault="0094314B" w:rsidP="0052424E">
      <w:pPr>
        <w:jc w:val="both"/>
        <w:rPr>
          <w:b/>
        </w:rPr>
      </w:pPr>
    </w:p>
    <w:p w14:paraId="4496BD5C" w14:textId="77777777" w:rsidR="00907476" w:rsidRPr="00907476" w:rsidRDefault="009F39F8" w:rsidP="0052424E">
      <w:pPr>
        <w:jc w:val="both"/>
        <w:rPr>
          <w:b/>
        </w:rPr>
      </w:pPr>
      <w:r>
        <w:rPr>
          <w:b/>
        </w:rPr>
        <w:t>Conclusions</w:t>
      </w:r>
    </w:p>
    <w:p w14:paraId="65EB539A" w14:textId="43DD5655" w:rsidR="00021D34" w:rsidRDefault="00CB2F41" w:rsidP="00F75396">
      <w:pPr>
        <w:jc w:val="both"/>
      </w:pPr>
      <w:r>
        <w:t>There were</w:t>
      </w:r>
      <w:r w:rsidR="00D5756C">
        <w:t xml:space="preserve"> a h</w:t>
      </w:r>
      <w:r w:rsidR="00D67025" w:rsidRPr="00D67025">
        <w:t xml:space="preserve">igher number of </w:t>
      </w:r>
      <w:proofErr w:type="spellStart"/>
      <w:r w:rsidR="00D67025" w:rsidRPr="00D67025">
        <w:t>miRs</w:t>
      </w:r>
      <w:proofErr w:type="spellEnd"/>
      <w:r w:rsidR="006E71D3">
        <w:t xml:space="preserve"> </w:t>
      </w:r>
      <w:proofErr w:type="spellStart"/>
      <w:r w:rsidR="00DE7EEF">
        <w:t>uptaken</w:t>
      </w:r>
      <w:proofErr w:type="spellEnd"/>
      <w:r w:rsidR="00DE7EEF">
        <w:t xml:space="preserve"> by the chondrocytes from synoviocyte-derived EVs</w:t>
      </w:r>
      <w:r w:rsidR="00132669">
        <w:t>,</w:t>
      </w:r>
      <w:r w:rsidR="00D5756C">
        <w:t xml:space="preserve"> as well as a higher number of </w:t>
      </w:r>
      <w:r w:rsidR="00B902C2">
        <w:t>synoviocyte-</w:t>
      </w:r>
      <w:r w:rsidR="00D5756C">
        <w:t xml:space="preserve">specific </w:t>
      </w:r>
      <w:proofErr w:type="spellStart"/>
      <w:r w:rsidR="00D5756C">
        <w:t>miRs</w:t>
      </w:r>
      <w:proofErr w:type="spellEnd"/>
      <w:r w:rsidR="00132669">
        <w:t xml:space="preserve">. This </w:t>
      </w:r>
      <w:r w:rsidR="00B902C2">
        <w:t>could</w:t>
      </w:r>
      <w:r w:rsidR="00D67025">
        <w:t xml:space="preserve"> reflect the increased metabolic activity of synoviocytes when compared to chondrocytes.</w:t>
      </w:r>
      <w:r w:rsidR="00D5756C">
        <w:t xml:space="preserve"> We </w:t>
      </w:r>
      <w:r w:rsidR="00132669">
        <w:t>also</w:t>
      </w:r>
      <w:r w:rsidR="0052424E">
        <w:t xml:space="preserve"> found</w:t>
      </w:r>
      <w:r w:rsidR="00132669">
        <w:t xml:space="preserve"> different patterns of </w:t>
      </w:r>
      <w:proofErr w:type="spellStart"/>
      <w:r w:rsidR="00132669">
        <w:t>mi</w:t>
      </w:r>
      <w:r w:rsidR="00D821B0">
        <w:t>R</w:t>
      </w:r>
      <w:proofErr w:type="spellEnd"/>
      <w:r w:rsidR="00132669">
        <w:t xml:space="preserve"> vesicle cargo depending on cell origin, as previously </w:t>
      </w:r>
      <w:r>
        <w:t xml:space="preserve">described </w:t>
      </w:r>
      <w:r w:rsidR="00132669">
        <w:t xml:space="preserve">in </w:t>
      </w:r>
      <w:r>
        <w:t xml:space="preserve">the </w:t>
      </w:r>
      <w:r w:rsidR="00132669">
        <w:t xml:space="preserve">literature. </w:t>
      </w:r>
      <w:r w:rsidR="00D821B0">
        <w:t>DE</w:t>
      </w:r>
      <w:r w:rsidR="00B902C2">
        <w:t xml:space="preserve"> </w:t>
      </w:r>
      <w:proofErr w:type="spellStart"/>
      <w:r w:rsidR="00B902C2">
        <w:t>m</w:t>
      </w:r>
      <w:r w:rsidR="00D821B0">
        <w:t>i</w:t>
      </w:r>
      <w:r w:rsidR="00B902C2">
        <w:t>Rs</w:t>
      </w:r>
      <w:proofErr w:type="spellEnd"/>
      <w:r w:rsidR="00B902C2">
        <w:t xml:space="preserve"> appear to be related to cell viability and inflammation, and might reflect the specific contributions of the joint tissues to these processes. </w:t>
      </w:r>
      <w:r w:rsidR="00DE7EEF">
        <w:t xml:space="preserve">Some of these molecules have also been suggested as potential biomarkers for </w:t>
      </w:r>
      <w:r w:rsidR="00D821B0">
        <w:t>OA</w:t>
      </w:r>
      <w:r w:rsidR="00DE7EEF">
        <w:t>, indicat</w:t>
      </w:r>
      <w:r w:rsidR="00D821B0">
        <w:t>ing</w:t>
      </w:r>
      <w:r w:rsidR="00DE7EEF">
        <w:t xml:space="preserve"> EVs may play a</w:t>
      </w:r>
      <w:r w:rsidR="00D821B0">
        <w:t>n</w:t>
      </w:r>
      <w:r w:rsidR="00DE7EEF">
        <w:t xml:space="preserve"> </w:t>
      </w:r>
      <w:r w:rsidR="00D821B0">
        <w:t xml:space="preserve">important </w:t>
      </w:r>
      <w:r w:rsidR="00DE7EEF">
        <w:t xml:space="preserve">role in disease progression. </w:t>
      </w:r>
      <w:r w:rsidR="00B902C2">
        <w:t>Still, t</w:t>
      </w:r>
      <w:r w:rsidR="00132669">
        <w:t xml:space="preserve">he </w:t>
      </w:r>
      <w:r w:rsidR="00907476">
        <w:t xml:space="preserve">most abundant </w:t>
      </w:r>
      <w:proofErr w:type="spellStart"/>
      <w:r w:rsidR="00907476">
        <w:t>miRs</w:t>
      </w:r>
      <w:proofErr w:type="spellEnd"/>
      <w:r w:rsidR="00907476">
        <w:t xml:space="preserve"> </w:t>
      </w:r>
      <w:r w:rsidR="00D821B0">
        <w:t>were</w:t>
      </w:r>
      <w:r w:rsidR="00907476">
        <w:t xml:space="preserve"> similar between both cell types</w:t>
      </w:r>
      <w:r w:rsidR="008C39C4">
        <w:t xml:space="preserve"> and some were</w:t>
      </w:r>
      <w:r w:rsidR="00021D34">
        <w:t xml:space="preserve"> previously shown to regulate extracellular matrix maintenance</w:t>
      </w:r>
      <w:r w:rsidR="0052424E">
        <w:t xml:space="preserve"> and</w:t>
      </w:r>
      <w:r w:rsidR="00021D34">
        <w:t xml:space="preserve"> respond to mechanical </w:t>
      </w:r>
      <w:r w:rsidR="0052424E">
        <w:t>loading</w:t>
      </w:r>
      <w:r w:rsidR="008C39C4">
        <w:t>. W</w:t>
      </w:r>
      <w:r w:rsidR="00F75396">
        <w:t xml:space="preserve">e hypothesise they </w:t>
      </w:r>
      <w:r>
        <w:t xml:space="preserve">may </w:t>
      </w:r>
      <w:r w:rsidR="00F75396">
        <w:t xml:space="preserve">be implicated in preserving </w:t>
      </w:r>
      <w:r>
        <w:t xml:space="preserve">healthy joint </w:t>
      </w:r>
      <w:r w:rsidR="00F75396">
        <w:t>homeostasis</w:t>
      </w:r>
      <w:r w:rsidR="00CB57FB">
        <w:t xml:space="preserve">. </w:t>
      </w:r>
    </w:p>
    <w:p w14:paraId="7ED26DC3" w14:textId="0988DB13" w:rsidR="00907476" w:rsidRDefault="00907476" w:rsidP="00017549">
      <w:pPr>
        <w:jc w:val="both"/>
      </w:pPr>
    </w:p>
    <w:p w14:paraId="6249183B" w14:textId="77777777" w:rsidR="00FF2357" w:rsidRDefault="00FF2357" w:rsidP="00017549">
      <w:pPr>
        <w:jc w:val="both"/>
      </w:pPr>
    </w:p>
    <w:p w14:paraId="0D87BBA7" w14:textId="5A8E4117" w:rsidR="00DE7EEF" w:rsidRDefault="00DE7EEF" w:rsidP="00017549">
      <w:pPr>
        <w:jc w:val="both"/>
      </w:pPr>
      <w:r>
        <w:rPr>
          <w:noProof/>
        </w:rPr>
        <w:drawing>
          <wp:inline distT="0" distB="0" distL="0" distR="0" wp14:anchorId="3ED4706B" wp14:editId="76E996C1">
            <wp:extent cx="5730875" cy="251953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2" b="19647"/>
                    <a:stretch/>
                  </pic:blipFill>
                  <pic:spPr bwMode="auto">
                    <a:xfrm>
                      <a:off x="0" y="0"/>
                      <a:ext cx="5731510" cy="251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9C4C7" w14:textId="55FAB1E7" w:rsidR="00017549" w:rsidRDefault="0094314B" w:rsidP="00017549">
      <w:pPr>
        <w:jc w:val="both"/>
      </w:pPr>
      <w:r>
        <w:rPr>
          <w:noProof/>
        </w:rPr>
        <w:lastRenderedPageBreak/>
        <w:drawing>
          <wp:inline distT="0" distB="0" distL="0" distR="0" wp14:anchorId="6D07BD44" wp14:editId="5CF4C646">
            <wp:extent cx="5730415" cy="280898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6" b="10462"/>
                    <a:stretch/>
                  </pic:blipFill>
                  <pic:spPr bwMode="auto">
                    <a:xfrm>
                      <a:off x="0" y="0"/>
                      <a:ext cx="5731510" cy="280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EF8B5" w14:textId="77777777" w:rsidR="00F7199A" w:rsidRPr="008C39C4" w:rsidRDefault="00F7199A"/>
    <w:p w14:paraId="13E81F9C" w14:textId="77777777" w:rsidR="00F75396" w:rsidRPr="009F39F8" w:rsidRDefault="00F75396">
      <w:pPr>
        <w:rPr>
          <w:b/>
        </w:rPr>
      </w:pPr>
    </w:p>
    <w:sectPr w:rsidR="00F75396" w:rsidRPr="009F3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F8"/>
    <w:rsid w:val="0001135B"/>
    <w:rsid w:val="00017549"/>
    <w:rsid w:val="00021D34"/>
    <w:rsid w:val="00054042"/>
    <w:rsid w:val="00072F84"/>
    <w:rsid w:val="000C4BE9"/>
    <w:rsid w:val="001111D5"/>
    <w:rsid w:val="00113C1C"/>
    <w:rsid w:val="00132669"/>
    <w:rsid w:val="00134E3A"/>
    <w:rsid w:val="001D210F"/>
    <w:rsid w:val="00213D67"/>
    <w:rsid w:val="00280A4A"/>
    <w:rsid w:val="002A16A7"/>
    <w:rsid w:val="002A4F9B"/>
    <w:rsid w:val="002C5927"/>
    <w:rsid w:val="002D55EA"/>
    <w:rsid w:val="003A4DFA"/>
    <w:rsid w:val="003B338C"/>
    <w:rsid w:val="003F0689"/>
    <w:rsid w:val="004463AA"/>
    <w:rsid w:val="004868E2"/>
    <w:rsid w:val="004917A1"/>
    <w:rsid w:val="00493A7C"/>
    <w:rsid w:val="004D7D71"/>
    <w:rsid w:val="0052424E"/>
    <w:rsid w:val="0055200C"/>
    <w:rsid w:val="005D0115"/>
    <w:rsid w:val="005D69AB"/>
    <w:rsid w:val="006E45FA"/>
    <w:rsid w:val="006E71D3"/>
    <w:rsid w:val="00747CCA"/>
    <w:rsid w:val="0075597C"/>
    <w:rsid w:val="007C6832"/>
    <w:rsid w:val="0085339E"/>
    <w:rsid w:val="00883274"/>
    <w:rsid w:val="008C39C4"/>
    <w:rsid w:val="008C3F56"/>
    <w:rsid w:val="00907476"/>
    <w:rsid w:val="009078F9"/>
    <w:rsid w:val="0091338D"/>
    <w:rsid w:val="00933767"/>
    <w:rsid w:val="0094314B"/>
    <w:rsid w:val="009D023D"/>
    <w:rsid w:val="009D2D08"/>
    <w:rsid w:val="009F39F8"/>
    <w:rsid w:val="00A01E63"/>
    <w:rsid w:val="00A046A3"/>
    <w:rsid w:val="00A07AC4"/>
    <w:rsid w:val="00A31A27"/>
    <w:rsid w:val="00A418AE"/>
    <w:rsid w:val="00A53982"/>
    <w:rsid w:val="00A56249"/>
    <w:rsid w:val="00A74A7C"/>
    <w:rsid w:val="00A91148"/>
    <w:rsid w:val="00AB2B82"/>
    <w:rsid w:val="00B12FB5"/>
    <w:rsid w:val="00B24045"/>
    <w:rsid w:val="00B27340"/>
    <w:rsid w:val="00B53E2D"/>
    <w:rsid w:val="00B902C2"/>
    <w:rsid w:val="00BC5602"/>
    <w:rsid w:val="00BE09F5"/>
    <w:rsid w:val="00BE65F7"/>
    <w:rsid w:val="00C04D80"/>
    <w:rsid w:val="00C30797"/>
    <w:rsid w:val="00C348DF"/>
    <w:rsid w:val="00C573F8"/>
    <w:rsid w:val="00C62659"/>
    <w:rsid w:val="00C84EC8"/>
    <w:rsid w:val="00CB2F41"/>
    <w:rsid w:val="00CB57FB"/>
    <w:rsid w:val="00CC5602"/>
    <w:rsid w:val="00CE5C48"/>
    <w:rsid w:val="00D109C1"/>
    <w:rsid w:val="00D5756C"/>
    <w:rsid w:val="00D61DA7"/>
    <w:rsid w:val="00D667D4"/>
    <w:rsid w:val="00D67025"/>
    <w:rsid w:val="00D821B0"/>
    <w:rsid w:val="00D85B66"/>
    <w:rsid w:val="00DD44E2"/>
    <w:rsid w:val="00DE7EEF"/>
    <w:rsid w:val="00DF5128"/>
    <w:rsid w:val="00EA34B7"/>
    <w:rsid w:val="00EC3915"/>
    <w:rsid w:val="00F7199A"/>
    <w:rsid w:val="00F75396"/>
    <w:rsid w:val="00FA6D40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1DAC"/>
  <w15:chartTrackingRefBased/>
  <w15:docId w15:val="{AD325291-FE23-4B5B-B538-7D7D05CD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9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2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7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Castanheira, Catarina</dc:creator>
  <cp:keywords/>
  <dc:description/>
  <cp:lastModifiedBy>Peffers, Mandy</cp:lastModifiedBy>
  <cp:revision>4</cp:revision>
  <dcterms:created xsi:type="dcterms:W3CDTF">2022-10-17T07:31:00Z</dcterms:created>
  <dcterms:modified xsi:type="dcterms:W3CDTF">2023-11-09T12:38:00Z</dcterms:modified>
</cp:coreProperties>
</file>