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CC8C" w14:textId="1E0C32AA" w:rsidR="00415C4C" w:rsidRPr="00415C4C" w:rsidRDefault="00747B73" w:rsidP="00BB0EA4">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 xml:space="preserve"> </w:t>
      </w:r>
      <w:r w:rsidR="00415C4C" w:rsidRPr="00415C4C">
        <w:rPr>
          <w:rFonts w:ascii="Times New Roman" w:hAnsi="Times New Roman" w:cs="Times New Roman"/>
          <w:b/>
          <w:bCs/>
          <w:sz w:val="28"/>
          <w:szCs w:val="24"/>
        </w:rPr>
        <w:t>Internal Market Governance by Consensus rather than Conflict?</w:t>
      </w:r>
    </w:p>
    <w:p w14:paraId="66841B41" w14:textId="1CC46D87" w:rsidR="00415C4C" w:rsidRPr="00415C4C" w:rsidRDefault="00415C4C" w:rsidP="00BB0EA4">
      <w:pPr>
        <w:spacing w:after="0" w:line="240" w:lineRule="auto"/>
        <w:jc w:val="center"/>
        <w:rPr>
          <w:rFonts w:ascii="Times New Roman" w:hAnsi="Times New Roman" w:cs="Times New Roman"/>
          <w:b/>
          <w:bCs/>
          <w:sz w:val="28"/>
          <w:szCs w:val="24"/>
        </w:rPr>
      </w:pPr>
      <w:r w:rsidRPr="00415C4C">
        <w:rPr>
          <w:rFonts w:ascii="Times New Roman" w:hAnsi="Times New Roman" w:cs="Times New Roman"/>
          <w:b/>
          <w:bCs/>
          <w:sz w:val="28"/>
          <w:szCs w:val="24"/>
        </w:rPr>
        <w:t>Common Frameworks and the Potential for Positive Harmonisation</w:t>
      </w:r>
    </w:p>
    <w:p w14:paraId="41C6AF7B" w14:textId="7E46D8D2" w:rsidR="001E145D" w:rsidRDefault="001E145D" w:rsidP="00414AFE">
      <w:pPr>
        <w:spacing w:after="0" w:line="360" w:lineRule="auto"/>
        <w:rPr>
          <w:rFonts w:ascii="Times New Roman" w:hAnsi="Times New Roman" w:cs="Times New Roman"/>
          <w:sz w:val="24"/>
          <w:szCs w:val="24"/>
        </w:rPr>
      </w:pPr>
    </w:p>
    <w:p w14:paraId="0E841335" w14:textId="464EC8FA" w:rsidR="0073285C" w:rsidRPr="0073285C" w:rsidRDefault="0073285C" w:rsidP="001E145D">
      <w:pPr>
        <w:spacing w:after="0" w:line="276" w:lineRule="auto"/>
        <w:jc w:val="both"/>
        <w:rPr>
          <w:rFonts w:ascii="Times New Roman" w:hAnsi="Times New Roman" w:cs="Times New Roman"/>
          <w:b/>
          <w:sz w:val="24"/>
          <w:szCs w:val="24"/>
        </w:rPr>
      </w:pPr>
      <w:r w:rsidRPr="0073285C">
        <w:rPr>
          <w:rFonts w:ascii="Times New Roman" w:hAnsi="Times New Roman" w:cs="Times New Roman"/>
          <w:b/>
          <w:sz w:val="24"/>
          <w:szCs w:val="24"/>
        </w:rPr>
        <w:t>Abstract</w:t>
      </w:r>
    </w:p>
    <w:p w14:paraId="19359A07" w14:textId="77777777" w:rsidR="0073285C" w:rsidRDefault="0073285C" w:rsidP="001E145D">
      <w:pPr>
        <w:spacing w:after="0" w:line="276" w:lineRule="auto"/>
        <w:jc w:val="both"/>
        <w:rPr>
          <w:rFonts w:ascii="Times New Roman" w:hAnsi="Times New Roman" w:cs="Times New Roman"/>
          <w:i/>
          <w:sz w:val="24"/>
          <w:szCs w:val="24"/>
        </w:rPr>
      </w:pPr>
    </w:p>
    <w:p w14:paraId="7CEB822E" w14:textId="58284175" w:rsidR="00415C4C" w:rsidRDefault="001E145D" w:rsidP="00305BA2">
      <w:pPr>
        <w:spacing w:after="0" w:line="276" w:lineRule="auto"/>
        <w:jc w:val="both"/>
        <w:rPr>
          <w:rFonts w:ascii="Times New Roman" w:hAnsi="Times New Roman" w:cs="Times New Roman"/>
          <w:i/>
          <w:color w:val="212121"/>
          <w:sz w:val="24"/>
          <w:szCs w:val="24"/>
        </w:rPr>
      </w:pPr>
      <w:r w:rsidRPr="0073285C">
        <w:rPr>
          <w:rFonts w:ascii="Times New Roman" w:hAnsi="Times New Roman" w:cs="Times New Roman"/>
          <w:i/>
          <w:sz w:val="24"/>
          <w:szCs w:val="24"/>
        </w:rPr>
        <w:t xml:space="preserve">This article </w:t>
      </w:r>
      <w:r w:rsidR="009D7D4B">
        <w:rPr>
          <w:rFonts w:ascii="Times New Roman" w:hAnsi="Times New Roman" w:cs="Times New Roman"/>
          <w:i/>
          <w:color w:val="212121"/>
          <w:sz w:val="24"/>
          <w:szCs w:val="24"/>
        </w:rPr>
        <w:t>connects</w:t>
      </w:r>
      <w:r w:rsidR="0073285C">
        <w:rPr>
          <w:rFonts w:ascii="Times New Roman" w:hAnsi="Times New Roman" w:cs="Times New Roman"/>
          <w:i/>
          <w:color w:val="212121"/>
          <w:sz w:val="24"/>
          <w:szCs w:val="24"/>
        </w:rPr>
        <w:t xml:space="preserve"> </w:t>
      </w:r>
      <w:r w:rsidR="00F27593">
        <w:rPr>
          <w:rFonts w:ascii="Times New Roman" w:hAnsi="Times New Roman" w:cs="Times New Roman"/>
          <w:i/>
          <w:color w:val="212121"/>
          <w:sz w:val="24"/>
          <w:szCs w:val="24"/>
        </w:rPr>
        <w:t>theories of</w:t>
      </w:r>
      <w:r w:rsidRPr="0073285C">
        <w:rPr>
          <w:rFonts w:ascii="Times New Roman" w:hAnsi="Times New Roman" w:cs="Times New Roman"/>
          <w:i/>
          <w:color w:val="212121"/>
          <w:sz w:val="24"/>
          <w:szCs w:val="24"/>
        </w:rPr>
        <w:t xml:space="preserve"> positive and negative harmonisation with</w:t>
      </w:r>
      <w:r w:rsidR="0073285C">
        <w:rPr>
          <w:rFonts w:ascii="Times New Roman" w:hAnsi="Times New Roman" w:cs="Times New Roman"/>
          <w:i/>
          <w:color w:val="212121"/>
          <w:sz w:val="24"/>
          <w:szCs w:val="24"/>
        </w:rPr>
        <w:t xml:space="preserve"> </w:t>
      </w:r>
      <w:r w:rsidR="00F27593">
        <w:rPr>
          <w:rFonts w:ascii="Times New Roman" w:hAnsi="Times New Roman" w:cs="Times New Roman"/>
          <w:i/>
          <w:color w:val="212121"/>
          <w:sz w:val="24"/>
          <w:szCs w:val="24"/>
        </w:rPr>
        <w:t>perspectives</w:t>
      </w:r>
      <w:r w:rsidRPr="0073285C">
        <w:rPr>
          <w:rFonts w:ascii="Times New Roman" w:hAnsi="Times New Roman" w:cs="Times New Roman"/>
          <w:i/>
          <w:color w:val="212121"/>
          <w:sz w:val="24"/>
          <w:szCs w:val="24"/>
        </w:rPr>
        <w:t xml:space="preserve"> </w:t>
      </w:r>
      <w:r w:rsidR="00F27593">
        <w:rPr>
          <w:rFonts w:ascii="Times New Roman" w:hAnsi="Times New Roman" w:cs="Times New Roman"/>
          <w:i/>
          <w:color w:val="212121"/>
          <w:sz w:val="24"/>
          <w:szCs w:val="24"/>
        </w:rPr>
        <w:t>on</w:t>
      </w:r>
      <w:r w:rsidRPr="0073285C">
        <w:rPr>
          <w:rFonts w:ascii="Times New Roman" w:hAnsi="Times New Roman" w:cs="Times New Roman"/>
          <w:i/>
          <w:color w:val="212121"/>
          <w:sz w:val="24"/>
          <w:szCs w:val="24"/>
        </w:rPr>
        <w:t xml:space="preserve"> self- and shared rule to examine emerging approaches to </w:t>
      </w:r>
      <w:r w:rsidR="005F51D7">
        <w:rPr>
          <w:rFonts w:ascii="Times New Roman" w:hAnsi="Times New Roman" w:cs="Times New Roman"/>
          <w:i/>
          <w:color w:val="212121"/>
          <w:sz w:val="24"/>
          <w:szCs w:val="24"/>
        </w:rPr>
        <w:t>managing</w:t>
      </w:r>
      <w:r w:rsidRPr="0073285C">
        <w:rPr>
          <w:rFonts w:ascii="Times New Roman" w:hAnsi="Times New Roman" w:cs="Times New Roman"/>
          <w:i/>
          <w:color w:val="212121"/>
          <w:sz w:val="24"/>
          <w:szCs w:val="24"/>
        </w:rPr>
        <w:t xml:space="preserve"> domestic (i.e. intra-UK) trade post-Brexit. </w:t>
      </w:r>
      <w:r w:rsidR="0073285C" w:rsidRPr="0073285C">
        <w:rPr>
          <w:rFonts w:ascii="Times New Roman" w:hAnsi="Times New Roman" w:cs="Times New Roman"/>
          <w:i/>
          <w:color w:val="212121"/>
          <w:sz w:val="24"/>
          <w:szCs w:val="24"/>
        </w:rPr>
        <w:t>Our particular focus is on a new tool of governance</w:t>
      </w:r>
      <w:r w:rsidR="005F51D7">
        <w:rPr>
          <w:rFonts w:ascii="Times New Roman" w:hAnsi="Times New Roman" w:cs="Times New Roman"/>
          <w:i/>
          <w:color w:val="212121"/>
          <w:sz w:val="24"/>
          <w:szCs w:val="24"/>
        </w:rPr>
        <w:t xml:space="preserve">: </w:t>
      </w:r>
      <w:proofErr w:type="gramStart"/>
      <w:r w:rsidR="0073285C" w:rsidRPr="0073285C">
        <w:rPr>
          <w:rFonts w:ascii="Times New Roman" w:hAnsi="Times New Roman" w:cs="Times New Roman"/>
          <w:i/>
          <w:color w:val="212121"/>
          <w:sz w:val="24"/>
          <w:szCs w:val="24"/>
        </w:rPr>
        <w:t>the</w:t>
      </w:r>
      <w:proofErr w:type="gramEnd"/>
      <w:r w:rsidR="0073285C" w:rsidRPr="0073285C">
        <w:rPr>
          <w:rFonts w:ascii="Times New Roman" w:hAnsi="Times New Roman" w:cs="Times New Roman"/>
          <w:i/>
          <w:color w:val="212121"/>
          <w:sz w:val="24"/>
          <w:szCs w:val="24"/>
        </w:rPr>
        <w:t xml:space="preserve"> </w:t>
      </w:r>
      <w:r w:rsidR="001D26C8">
        <w:rPr>
          <w:rFonts w:ascii="Times New Roman" w:hAnsi="Times New Roman" w:cs="Times New Roman"/>
          <w:i/>
          <w:color w:val="212121"/>
          <w:sz w:val="24"/>
          <w:szCs w:val="24"/>
        </w:rPr>
        <w:t>C</w:t>
      </w:r>
      <w:r w:rsidR="0073285C" w:rsidRPr="0073285C">
        <w:rPr>
          <w:rFonts w:ascii="Times New Roman" w:hAnsi="Times New Roman" w:cs="Times New Roman"/>
          <w:i/>
          <w:color w:val="212121"/>
          <w:sz w:val="24"/>
          <w:szCs w:val="24"/>
        </w:rPr>
        <w:t xml:space="preserve">ommon </w:t>
      </w:r>
      <w:r w:rsidR="001D26C8">
        <w:rPr>
          <w:rFonts w:ascii="Times New Roman" w:hAnsi="Times New Roman" w:cs="Times New Roman"/>
          <w:i/>
          <w:color w:val="212121"/>
          <w:sz w:val="24"/>
          <w:szCs w:val="24"/>
        </w:rPr>
        <w:t>F</w:t>
      </w:r>
      <w:r w:rsidR="0073285C" w:rsidRPr="0073285C">
        <w:rPr>
          <w:rFonts w:ascii="Times New Roman" w:hAnsi="Times New Roman" w:cs="Times New Roman"/>
          <w:i/>
          <w:color w:val="212121"/>
          <w:sz w:val="24"/>
          <w:szCs w:val="24"/>
        </w:rPr>
        <w:t>rameworks</w:t>
      </w:r>
      <w:r w:rsidR="005F51D7">
        <w:rPr>
          <w:rFonts w:ascii="Times New Roman" w:hAnsi="Times New Roman" w:cs="Times New Roman"/>
          <w:i/>
          <w:color w:val="212121"/>
          <w:sz w:val="24"/>
          <w:szCs w:val="24"/>
        </w:rPr>
        <w:t xml:space="preserve"> – </w:t>
      </w:r>
      <w:r w:rsidR="0073285C" w:rsidRPr="0073285C">
        <w:rPr>
          <w:rFonts w:ascii="Times New Roman" w:hAnsi="Times New Roman" w:cs="Times New Roman"/>
          <w:i/>
          <w:color w:val="212121"/>
          <w:sz w:val="24"/>
          <w:szCs w:val="24"/>
        </w:rPr>
        <w:t>a consensus-based collaborative intergovernmental approach to polic</w:t>
      </w:r>
      <w:r w:rsidR="005F51D7">
        <w:rPr>
          <w:rFonts w:ascii="Times New Roman" w:hAnsi="Times New Roman" w:cs="Times New Roman"/>
          <w:i/>
          <w:color w:val="212121"/>
          <w:sz w:val="24"/>
          <w:szCs w:val="24"/>
        </w:rPr>
        <w:t>y</w:t>
      </w:r>
      <w:r w:rsidR="0073285C" w:rsidRPr="0073285C">
        <w:rPr>
          <w:rFonts w:ascii="Times New Roman" w:hAnsi="Times New Roman" w:cs="Times New Roman"/>
          <w:i/>
          <w:color w:val="212121"/>
          <w:sz w:val="24"/>
          <w:szCs w:val="24"/>
        </w:rPr>
        <w:t>making in areas of devolved competence previously falling within the scope of the EU Treaties</w:t>
      </w:r>
      <w:r w:rsidR="0073285C">
        <w:rPr>
          <w:rFonts w:ascii="Times New Roman" w:hAnsi="Times New Roman" w:cs="Times New Roman"/>
          <w:i/>
          <w:color w:val="212121"/>
          <w:sz w:val="24"/>
          <w:szCs w:val="24"/>
        </w:rPr>
        <w:t>.</w:t>
      </w:r>
      <w:r w:rsidR="001D26C8">
        <w:rPr>
          <w:rFonts w:ascii="Times New Roman" w:hAnsi="Times New Roman" w:cs="Times New Roman"/>
          <w:i/>
          <w:color w:val="212121"/>
          <w:sz w:val="24"/>
          <w:szCs w:val="24"/>
        </w:rPr>
        <w:t xml:space="preserve"> We explore the</w:t>
      </w:r>
      <w:r w:rsidR="00305BA2">
        <w:rPr>
          <w:rFonts w:ascii="Times New Roman" w:hAnsi="Times New Roman" w:cs="Times New Roman"/>
          <w:i/>
          <w:color w:val="212121"/>
          <w:sz w:val="24"/>
          <w:szCs w:val="24"/>
        </w:rPr>
        <w:t xml:space="preserve"> potential of the</w:t>
      </w:r>
      <w:r w:rsidR="001D26C8">
        <w:rPr>
          <w:rFonts w:ascii="Times New Roman" w:hAnsi="Times New Roman" w:cs="Times New Roman"/>
          <w:i/>
          <w:color w:val="212121"/>
          <w:sz w:val="24"/>
          <w:szCs w:val="24"/>
        </w:rPr>
        <w:t xml:space="preserve"> Frameworks as </w:t>
      </w:r>
      <w:r w:rsidR="00305BA2">
        <w:rPr>
          <w:rFonts w:ascii="Times New Roman" w:hAnsi="Times New Roman" w:cs="Times New Roman"/>
          <w:i/>
          <w:color w:val="212121"/>
          <w:sz w:val="24"/>
          <w:szCs w:val="24"/>
        </w:rPr>
        <w:t>instruments</w:t>
      </w:r>
      <w:r w:rsidR="001D26C8">
        <w:rPr>
          <w:rFonts w:ascii="Times New Roman" w:hAnsi="Times New Roman" w:cs="Times New Roman"/>
          <w:i/>
          <w:color w:val="212121"/>
          <w:sz w:val="24"/>
          <w:szCs w:val="24"/>
        </w:rPr>
        <w:t xml:space="preserve"> of positive harmonisation</w:t>
      </w:r>
      <w:r w:rsidR="00305BA2">
        <w:rPr>
          <w:rFonts w:ascii="Times New Roman" w:hAnsi="Times New Roman" w:cs="Times New Roman"/>
          <w:i/>
          <w:color w:val="212121"/>
          <w:sz w:val="24"/>
          <w:szCs w:val="24"/>
        </w:rPr>
        <w:t xml:space="preserve"> with reference to emerging practice </w:t>
      </w:r>
      <w:r w:rsidR="00A779D1">
        <w:rPr>
          <w:rFonts w:ascii="Times New Roman" w:hAnsi="Times New Roman" w:cs="Times New Roman"/>
          <w:i/>
          <w:color w:val="212121"/>
          <w:sz w:val="24"/>
          <w:szCs w:val="24"/>
        </w:rPr>
        <w:t>and consider their relationship</w:t>
      </w:r>
      <w:r w:rsidR="00305BA2">
        <w:rPr>
          <w:rFonts w:ascii="Times New Roman" w:hAnsi="Times New Roman" w:cs="Times New Roman"/>
          <w:i/>
          <w:color w:val="212121"/>
          <w:sz w:val="24"/>
          <w:szCs w:val="24"/>
        </w:rPr>
        <w:t xml:space="preserve"> </w:t>
      </w:r>
      <w:r w:rsidR="005F51D7">
        <w:rPr>
          <w:rFonts w:ascii="Times New Roman" w:hAnsi="Times New Roman" w:cs="Times New Roman"/>
          <w:i/>
          <w:color w:val="212121"/>
          <w:sz w:val="24"/>
          <w:szCs w:val="24"/>
        </w:rPr>
        <w:t>with</w:t>
      </w:r>
      <w:r w:rsidR="00305BA2">
        <w:rPr>
          <w:rFonts w:ascii="Times New Roman" w:hAnsi="Times New Roman" w:cs="Times New Roman"/>
          <w:i/>
          <w:color w:val="212121"/>
          <w:sz w:val="24"/>
          <w:szCs w:val="24"/>
        </w:rPr>
        <w:t xml:space="preserve"> </w:t>
      </w:r>
      <w:r w:rsidR="005F51D7">
        <w:rPr>
          <w:rFonts w:ascii="Times New Roman" w:hAnsi="Times New Roman" w:cs="Times New Roman"/>
          <w:i/>
          <w:color w:val="212121"/>
          <w:sz w:val="24"/>
          <w:szCs w:val="24"/>
        </w:rPr>
        <w:t>the</w:t>
      </w:r>
      <w:r w:rsidR="00305BA2">
        <w:rPr>
          <w:rFonts w:ascii="Times New Roman" w:hAnsi="Times New Roman" w:cs="Times New Roman"/>
          <w:i/>
          <w:color w:val="212121"/>
          <w:sz w:val="24"/>
          <w:szCs w:val="24"/>
        </w:rPr>
        <w:t xml:space="preserve"> United Kingdom Internal Market Act 2020. Our analysis unmasks internal market governance post-Brexit as a contested space, reflecting deepening divisions between the UK and devolved governments </w:t>
      </w:r>
      <w:r w:rsidR="005F51D7">
        <w:rPr>
          <w:rFonts w:ascii="Times New Roman" w:hAnsi="Times New Roman" w:cs="Times New Roman"/>
          <w:i/>
          <w:color w:val="212121"/>
          <w:sz w:val="24"/>
          <w:szCs w:val="24"/>
        </w:rPr>
        <w:t>regarding</w:t>
      </w:r>
      <w:r w:rsidR="00305BA2">
        <w:rPr>
          <w:rFonts w:ascii="Times New Roman" w:hAnsi="Times New Roman" w:cs="Times New Roman"/>
          <w:i/>
          <w:color w:val="212121"/>
          <w:sz w:val="24"/>
          <w:szCs w:val="24"/>
        </w:rPr>
        <w:t xml:space="preserve"> self- and shared rule </w:t>
      </w:r>
      <w:r w:rsidR="00E82E17">
        <w:rPr>
          <w:rFonts w:ascii="Times New Roman" w:hAnsi="Times New Roman" w:cs="Times New Roman"/>
          <w:i/>
          <w:color w:val="212121"/>
          <w:sz w:val="24"/>
          <w:szCs w:val="24"/>
        </w:rPr>
        <w:t>under</w:t>
      </w:r>
      <w:r w:rsidR="00305BA2">
        <w:rPr>
          <w:rFonts w:ascii="Times New Roman" w:hAnsi="Times New Roman" w:cs="Times New Roman"/>
          <w:i/>
          <w:color w:val="212121"/>
          <w:sz w:val="24"/>
          <w:szCs w:val="24"/>
        </w:rPr>
        <w:t xml:space="preserve"> the UK’s</w:t>
      </w:r>
      <w:r w:rsidR="00E82E17">
        <w:rPr>
          <w:rFonts w:ascii="Times New Roman" w:hAnsi="Times New Roman" w:cs="Times New Roman"/>
          <w:i/>
          <w:color w:val="212121"/>
          <w:sz w:val="24"/>
          <w:szCs w:val="24"/>
        </w:rPr>
        <w:t xml:space="preserve"> </w:t>
      </w:r>
      <w:r w:rsidR="00305BA2">
        <w:rPr>
          <w:rFonts w:ascii="Times New Roman" w:hAnsi="Times New Roman" w:cs="Times New Roman"/>
          <w:i/>
          <w:color w:val="212121"/>
          <w:sz w:val="24"/>
          <w:szCs w:val="24"/>
        </w:rPr>
        <w:t xml:space="preserve">territorial constitution. </w:t>
      </w:r>
      <w:r w:rsidR="007C1316">
        <w:rPr>
          <w:rFonts w:ascii="Times New Roman" w:hAnsi="Times New Roman" w:cs="Times New Roman"/>
          <w:i/>
          <w:color w:val="212121"/>
          <w:sz w:val="24"/>
          <w:szCs w:val="24"/>
        </w:rPr>
        <w:t>We identify three key drivers of contestation: a lack of consensus on the UK internal market as a regulatory object; changes in political context; and enduring structural and attitudinal imbalances favouring political control from the centre.</w:t>
      </w:r>
    </w:p>
    <w:p w14:paraId="1B641560" w14:textId="6994BE9E" w:rsidR="00C64A91" w:rsidRDefault="00C64A91" w:rsidP="00305BA2">
      <w:pPr>
        <w:spacing w:after="0" w:line="276" w:lineRule="auto"/>
        <w:jc w:val="both"/>
        <w:rPr>
          <w:rFonts w:ascii="Times New Roman" w:hAnsi="Times New Roman" w:cs="Times New Roman"/>
          <w:i/>
          <w:color w:val="212121"/>
          <w:sz w:val="24"/>
          <w:szCs w:val="24"/>
        </w:rPr>
      </w:pPr>
    </w:p>
    <w:p w14:paraId="2C6B8407" w14:textId="237C3ADF" w:rsidR="00C64A91" w:rsidRDefault="00C64A91" w:rsidP="00C64A91">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Keywords</w:t>
      </w:r>
    </w:p>
    <w:p w14:paraId="6FEB51FA" w14:textId="31B4E346" w:rsidR="00C64A91" w:rsidRDefault="00C64A91" w:rsidP="00C64A91">
      <w:pPr>
        <w:spacing w:after="0" w:line="276" w:lineRule="auto"/>
        <w:jc w:val="both"/>
        <w:rPr>
          <w:rFonts w:ascii="Times New Roman" w:hAnsi="Times New Roman" w:cs="Times New Roman"/>
          <w:b/>
          <w:sz w:val="24"/>
          <w:szCs w:val="24"/>
        </w:rPr>
      </w:pPr>
    </w:p>
    <w:p w14:paraId="0A619CD3" w14:textId="243A19AB" w:rsidR="00C64A91" w:rsidRPr="00C64A91" w:rsidRDefault="00C64A91" w:rsidP="00305BA2">
      <w:pPr>
        <w:spacing w:after="0" w:line="276" w:lineRule="auto"/>
        <w:jc w:val="both"/>
        <w:rPr>
          <w:rFonts w:ascii="Times New Roman" w:hAnsi="Times New Roman" w:cs="Times New Roman"/>
          <w:sz w:val="24"/>
          <w:szCs w:val="24"/>
        </w:rPr>
      </w:pPr>
      <w:r w:rsidRPr="00C64A91">
        <w:rPr>
          <w:rFonts w:ascii="Times New Roman" w:hAnsi="Times New Roman" w:cs="Times New Roman"/>
          <w:sz w:val="24"/>
          <w:szCs w:val="24"/>
        </w:rPr>
        <w:t xml:space="preserve">Common Frameworks; </w:t>
      </w:r>
      <w:r>
        <w:rPr>
          <w:rFonts w:ascii="Times New Roman" w:hAnsi="Times New Roman" w:cs="Times New Roman"/>
          <w:sz w:val="24"/>
          <w:szCs w:val="24"/>
        </w:rPr>
        <w:t>UK</w:t>
      </w:r>
      <w:r w:rsidRPr="00C64A91">
        <w:rPr>
          <w:rFonts w:ascii="Times New Roman" w:hAnsi="Times New Roman" w:cs="Times New Roman"/>
          <w:sz w:val="24"/>
          <w:szCs w:val="24"/>
        </w:rPr>
        <w:t xml:space="preserve"> Internal Market</w:t>
      </w:r>
      <w:r>
        <w:rPr>
          <w:rFonts w:ascii="Times New Roman" w:hAnsi="Times New Roman" w:cs="Times New Roman"/>
          <w:sz w:val="24"/>
          <w:szCs w:val="24"/>
        </w:rPr>
        <w:t xml:space="preserve"> Act</w:t>
      </w:r>
      <w:r w:rsidRPr="00C64A91">
        <w:rPr>
          <w:rFonts w:ascii="Times New Roman" w:hAnsi="Times New Roman" w:cs="Times New Roman"/>
          <w:sz w:val="24"/>
          <w:szCs w:val="24"/>
        </w:rPr>
        <w:t>;</w:t>
      </w:r>
      <w:r w:rsidR="003409DA">
        <w:rPr>
          <w:rFonts w:ascii="Times New Roman" w:hAnsi="Times New Roman" w:cs="Times New Roman"/>
          <w:sz w:val="24"/>
          <w:szCs w:val="24"/>
        </w:rPr>
        <w:t xml:space="preserve"> UK Internal Market;</w:t>
      </w:r>
      <w:r w:rsidRPr="00C64A91">
        <w:rPr>
          <w:rFonts w:ascii="Times New Roman" w:hAnsi="Times New Roman" w:cs="Times New Roman"/>
          <w:sz w:val="24"/>
          <w:szCs w:val="24"/>
        </w:rPr>
        <w:t xml:space="preserve"> Devolution; Shared </w:t>
      </w:r>
      <w:r w:rsidR="003409DA">
        <w:rPr>
          <w:rFonts w:ascii="Times New Roman" w:hAnsi="Times New Roman" w:cs="Times New Roman"/>
          <w:sz w:val="24"/>
          <w:szCs w:val="24"/>
        </w:rPr>
        <w:t>R</w:t>
      </w:r>
      <w:r w:rsidRPr="00C64A91">
        <w:rPr>
          <w:rFonts w:ascii="Times New Roman" w:hAnsi="Times New Roman" w:cs="Times New Roman"/>
          <w:sz w:val="24"/>
          <w:szCs w:val="24"/>
        </w:rPr>
        <w:t>ule</w:t>
      </w:r>
      <w:r w:rsidR="000F39FE">
        <w:rPr>
          <w:rFonts w:ascii="Times New Roman" w:hAnsi="Times New Roman" w:cs="Times New Roman"/>
          <w:sz w:val="24"/>
          <w:szCs w:val="24"/>
        </w:rPr>
        <w:t>;</w:t>
      </w:r>
      <w:r w:rsidRPr="00C64A91">
        <w:rPr>
          <w:rFonts w:ascii="Times New Roman" w:hAnsi="Times New Roman" w:cs="Times New Roman"/>
          <w:sz w:val="24"/>
          <w:szCs w:val="24"/>
        </w:rPr>
        <w:t xml:space="preserve"> Harmonisation</w:t>
      </w:r>
      <w:r>
        <w:rPr>
          <w:rFonts w:ascii="Times New Roman" w:hAnsi="Times New Roman" w:cs="Times New Roman"/>
          <w:sz w:val="24"/>
          <w:szCs w:val="24"/>
        </w:rPr>
        <w:t>; Brexit</w:t>
      </w:r>
      <w:r w:rsidR="000F39FE">
        <w:rPr>
          <w:rFonts w:ascii="Times New Roman" w:hAnsi="Times New Roman" w:cs="Times New Roman"/>
          <w:sz w:val="24"/>
          <w:szCs w:val="24"/>
        </w:rPr>
        <w:t>; UK Constitution.</w:t>
      </w:r>
    </w:p>
    <w:p w14:paraId="3FEEF103" w14:textId="77777777" w:rsidR="00305BA2" w:rsidRPr="00305BA2" w:rsidRDefault="00305BA2" w:rsidP="00305BA2">
      <w:pPr>
        <w:spacing w:after="0" w:line="276" w:lineRule="auto"/>
        <w:jc w:val="both"/>
        <w:rPr>
          <w:rFonts w:ascii="Times New Roman" w:hAnsi="Times New Roman" w:cs="Times New Roman"/>
          <w:i/>
          <w:color w:val="212121"/>
          <w:sz w:val="24"/>
          <w:szCs w:val="24"/>
        </w:rPr>
      </w:pPr>
    </w:p>
    <w:p w14:paraId="71EE244E" w14:textId="4C08D258" w:rsidR="00415C4C" w:rsidRPr="00415C4C" w:rsidRDefault="00415C4C" w:rsidP="00415C4C">
      <w:pPr>
        <w:spacing w:line="360" w:lineRule="auto"/>
        <w:jc w:val="both"/>
        <w:rPr>
          <w:rFonts w:ascii="Times New Roman" w:hAnsi="Times New Roman" w:cs="Times New Roman"/>
          <w:b/>
          <w:bCs/>
          <w:color w:val="212121"/>
          <w:sz w:val="24"/>
          <w:szCs w:val="24"/>
        </w:rPr>
      </w:pPr>
      <w:r w:rsidRPr="00415C4C">
        <w:rPr>
          <w:rFonts w:ascii="Times New Roman" w:hAnsi="Times New Roman" w:cs="Times New Roman"/>
          <w:b/>
          <w:bCs/>
          <w:color w:val="212121"/>
          <w:sz w:val="24"/>
          <w:szCs w:val="24"/>
        </w:rPr>
        <w:t>Introduction</w:t>
      </w:r>
    </w:p>
    <w:p w14:paraId="1C052C38" w14:textId="5D7B44F4" w:rsidR="00CE7501" w:rsidRDefault="00415C4C" w:rsidP="00DD1F3A">
      <w:pPr>
        <w:spacing w:after="0" w:line="360" w:lineRule="auto"/>
        <w:jc w:val="both"/>
        <w:rPr>
          <w:rFonts w:ascii="Times New Roman" w:hAnsi="Times New Roman" w:cs="Times New Roman"/>
          <w:color w:val="212121"/>
          <w:sz w:val="24"/>
          <w:szCs w:val="24"/>
        </w:rPr>
      </w:pPr>
      <w:r w:rsidRPr="00415C4C">
        <w:rPr>
          <w:rFonts w:ascii="Times New Roman" w:hAnsi="Times New Roman" w:cs="Times New Roman"/>
          <w:color w:val="212121"/>
          <w:sz w:val="24"/>
          <w:szCs w:val="24"/>
        </w:rPr>
        <w:t>Any multilevel governance system in which competence is distributed across different legislative sites</w:t>
      </w:r>
      <w:r w:rsidR="00E46510">
        <w:rPr>
          <w:rFonts w:ascii="Times New Roman" w:hAnsi="Times New Roman" w:cs="Times New Roman"/>
          <w:color w:val="212121"/>
          <w:sz w:val="24"/>
          <w:szCs w:val="24"/>
        </w:rPr>
        <w:t xml:space="preserve"> </w:t>
      </w:r>
      <w:r w:rsidRPr="00415C4C">
        <w:rPr>
          <w:rFonts w:ascii="Times New Roman" w:hAnsi="Times New Roman" w:cs="Times New Roman"/>
          <w:color w:val="212121"/>
          <w:sz w:val="24"/>
          <w:szCs w:val="24"/>
        </w:rPr>
        <w:t xml:space="preserve">will confront the issue of internal regulatory divergence. The extent to which this is perceived as a problem to be solved and the mechanisms available to do so will depend on the specific constitutional arrangements and political choices made within that system. In its </w:t>
      </w:r>
      <w:r w:rsidR="004431E1" w:rsidRPr="00415C4C">
        <w:rPr>
          <w:rFonts w:ascii="Times New Roman" w:hAnsi="Times New Roman" w:cs="Times New Roman"/>
          <w:color w:val="212121"/>
          <w:sz w:val="24"/>
          <w:szCs w:val="24"/>
        </w:rPr>
        <w:t>five-decade</w:t>
      </w:r>
      <w:r w:rsidRPr="00415C4C">
        <w:rPr>
          <w:rFonts w:ascii="Times New Roman" w:hAnsi="Times New Roman" w:cs="Times New Roman"/>
          <w:color w:val="212121"/>
          <w:sz w:val="24"/>
          <w:szCs w:val="24"/>
        </w:rPr>
        <w:t xml:space="preserve"> exercise in market</w:t>
      </w:r>
      <w:r w:rsidR="00496806">
        <w:rPr>
          <w:rFonts w:ascii="Times New Roman" w:hAnsi="Times New Roman" w:cs="Times New Roman"/>
          <w:color w:val="212121"/>
          <w:sz w:val="24"/>
          <w:szCs w:val="24"/>
        </w:rPr>
        <w:t>-</w:t>
      </w:r>
      <w:r w:rsidRPr="00415C4C">
        <w:rPr>
          <w:rFonts w:ascii="Times New Roman" w:hAnsi="Times New Roman" w:cs="Times New Roman"/>
          <w:color w:val="212121"/>
          <w:sz w:val="24"/>
          <w:szCs w:val="24"/>
        </w:rPr>
        <w:t xml:space="preserve">making, the European Union has served as a test bed for the development of governance tools and theorising about internal markets in systems of multilevel governance. </w:t>
      </w:r>
    </w:p>
    <w:p w14:paraId="57F3BF71" w14:textId="4284CC9E" w:rsidR="00415C4C" w:rsidRDefault="00415C4C" w:rsidP="00742547">
      <w:pPr>
        <w:spacing w:after="0" w:line="360" w:lineRule="auto"/>
        <w:ind w:firstLine="720"/>
        <w:jc w:val="both"/>
        <w:rPr>
          <w:rFonts w:ascii="Times New Roman" w:hAnsi="Times New Roman" w:cs="Times New Roman"/>
          <w:color w:val="2A2A2A"/>
          <w:sz w:val="24"/>
          <w:szCs w:val="24"/>
          <w:shd w:val="clear" w:color="auto" w:fill="FFFFFF"/>
        </w:rPr>
      </w:pPr>
      <w:proofErr w:type="spellStart"/>
      <w:r w:rsidRPr="00415C4C">
        <w:rPr>
          <w:rFonts w:ascii="Times New Roman" w:hAnsi="Times New Roman" w:cs="Times New Roman"/>
          <w:color w:val="212121"/>
          <w:sz w:val="24"/>
          <w:szCs w:val="24"/>
        </w:rPr>
        <w:t>Scharpf</w:t>
      </w:r>
      <w:proofErr w:type="spellEnd"/>
      <w:r w:rsidRPr="00415C4C">
        <w:rPr>
          <w:rFonts w:ascii="Times New Roman" w:hAnsi="Times New Roman" w:cs="Times New Roman"/>
          <w:color w:val="212121"/>
          <w:sz w:val="24"/>
          <w:szCs w:val="24"/>
        </w:rPr>
        <w:t xml:space="preserve"> famously identified two main mechanisms for market</w:t>
      </w:r>
      <w:r w:rsidR="00496806">
        <w:rPr>
          <w:rFonts w:ascii="Times New Roman" w:hAnsi="Times New Roman" w:cs="Times New Roman"/>
          <w:color w:val="212121"/>
          <w:sz w:val="24"/>
          <w:szCs w:val="24"/>
        </w:rPr>
        <w:t>-</w:t>
      </w:r>
      <w:r w:rsidRPr="00415C4C">
        <w:rPr>
          <w:rFonts w:ascii="Times New Roman" w:hAnsi="Times New Roman" w:cs="Times New Roman"/>
          <w:color w:val="212121"/>
          <w:sz w:val="24"/>
          <w:szCs w:val="24"/>
        </w:rPr>
        <w:t>making, and diagnosed in the EU an imbalance between the two.</w:t>
      </w:r>
      <w:r w:rsidRPr="00415C4C">
        <w:rPr>
          <w:rStyle w:val="FootnoteReference"/>
          <w:rFonts w:ascii="Times New Roman" w:hAnsi="Times New Roman" w:cs="Times New Roman"/>
          <w:color w:val="212121"/>
          <w:sz w:val="24"/>
          <w:szCs w:val="24"/>
        </w:rPr>
        <w:footnoteReference w:id="2"/>
      </w:r>
      <w:r w:rsidRPr="00415C4C">
        <w:rPr>
          <w:rFonts w:ascii="Times New Roman" w:hAnsi="Times New Roman" w:cs="Times New Roman"/>
          <w:color w:val="212121"/>
          <w:sz w:val="24"/>
          <w:szCs w:val="24"/>
        </w:rPr>
        <w:t xml:space="preserve"> The deregulatory impulse of negative harmonisation, which involves the removal of national rules violating the free movement imperative, accompanies re</w:t>
      </w:r>
      <w:r w:rsidR="00810EF6">
        <w:rPr>
          <w:rFonts w:ascii="Times New Roman" w:hAnsi="Times New Roman" w:cs="Times New Roman"/>
          <w:color w:val="212121"/>
          <w:sz w:val="24"/>
          <w:szCs w:val="24"/>
        </w:rPr>
        <w:t>-</w:t>
      </w:r>
      <w:r w:rsidRPr="00415C4C">
        <w:rPr>
          <w:rFonts w:ascii="Times New Roman" w:hAnsi="Times New Roman" w:cs="Times New Roman"/>
          <w:color w:val="212121"/>
          <w:sz w:val="24"/>
          <w:szCs w:val="24"/>
        </w:rPr>
        <w:t xml:space="preserve">regulatory positive harmonisation, which involves the joint adoption of new, </w:t>
      </w:r>
      <w:r w:rsidRPr="00415C4C">
        <w:rPr>
          <w:rFonts w:ascii="Times New Roman" w:hAnsi="Times New Roman" w:cs="Times New Roman"/>
          <w:color w:val="212121"/>
          <w:sz w:val="24"/>
          <w:szCs w:val="24"/>
        </w:rPr>
        <w:lastRenderedPageBreak/>
        <w:t>common EU wide regulatory standards.</w:t>
      </w:r>
      <w:r w:rsidRPr="00415C4C">
        <w:rPr>
          <w:rStyle w:val="FootnoteReference"/>
          <w:rFonts w:ascii="Times New Roman" w:hAnsi="Times New Roman" w:cs="Times New Roman"/>
          <w:color w:val="212121"/>
          <w:sz w:val="24"/>
          <w:szCs w:val="24"/>
        </w:rPr>
        <w:footnoteReference w:id="3"/>
      </w:r>
      <w:r w:rsidRPr="00415C4C">
        <w:rPr>
          <w:rFonts w:ascii="Times New Roman" w:hAnsi="Times New Roman" w:cs="Times New Roman"/>
          <w:color w:val="212121"/>
          <w:sz w:val="24"/>
          <w:szCs w:val="24"/>
        </w:rPr>
        <w:t xml:space="preserve"> However, as a consequence of ‘the </w:t>
      </w:r>
      <w:r w:rsidRPr="00415C4C">
        <w:rPr>
          <w:rFonts w:ascii="Times New Roman" w:hAnsi="Times New Roman" w:cs="Times New Roman"/>
          <w:color w:val="2A2A2A"/>
          <w:sz w:val="24"/>
          <w:szCs w:val="24"/>
          <w:shd w:val="clear" w:color="auto" w:fill="FFFFFF"/>
        </w:rPr>
        <w:t>combined impediments facing consensual intergovernmental</w:t>
      </w:r>
      <w:r w:rsidRPr="00415C4C">
        <w:rPr>
          <w:rStyle w:val="apple-converted-space"/>
          <w:rFonts w:ascii="Times New Roman" w:hAnsi="Times New Roman" w:cs="Times New Roman"/>
          <w:color w:val="2A2A2A"/>
          <w:sz w:val="24"/>
          <w:szCs w:val="24"/>
          <w:shd w:val="clear" w:color="auto" w:fill="FFFFFF"/>
        </w:rPr>
        <w:t> </w:t>
      </w:r>
      <w:r w:rsidRPr="00415C4C">
        <w:rPr>
          <w:rFonts w:ascii="Times New Roman" w:hAnsi="Times New Roman" w:cs="Times New Roman"/>
          <w:color w:val="2A2A2A"/>
          <w:sz w:val="24"/>
          <w:szCs w:val="24"/>
          <w:shd w:val="clear" w:color="auto" w:fill="FFFFFF"/>
        </w:rPr>
        <w:t>and pluralist policy-making’,</w:t>
      </w:r>
      <w:r w:rsidRPr="00415C4C">
        <w:rPr>
          <w:rStyle w:val="FootnoteReference"/>
          <w:rFonts w:ascii="Times New Roman" w:hAnsi="Times New Roman" w:cs="Times New Roman"/>
          <w:color w:val="2A2A2A"/>
          <w:sz w:val="24"/>
          <w:szCs w:val="24"/>
          <w:shd w:val="clear" w:color="auto" w:fill="FFFFFF"/>
        </w:rPr>
        <w:footnoteReference w:id="4"/>
      </w:r>
      <w:r w:rsidRPr="00415C4C">
        <w:rPr>
          <w:rFonts w:ascii="Times New Roman" w:hAnsi="Times New Roman" w:cs="Times New Roman"/>
          <w:color w:val="2A2A2A"/>
          <w:sz w:val="24"/>
          <w:szCs w:val="24"/>
          <w:shd w:val="clear" w:color="auto" w:fill="FFFFFF"/>
        </w:rPr>
        <w:t xml:space="preserve"> positive harmonisation in the EU was for many years relatively underutilised and underdeveloped, in contrast to negative harmonisation.</w:t>
      </w:r>
      <w:r w:rsidR="00747B73">
        <w:rPr>
          <w:rStyle w:val="FootnoteReference"/>
          <w:rFonts w:ascii="Times New Roman" w:hAnsi="Times New Roman" w:cs="Times New Roman"/>
          <w:color w:val="2A2A2A"/>
          <w:sz w:val="24"/>
          <w:szCs w:val="24"/>
          <w:shd w:val="clear" w:color="auto" w:fill="FFFFFF"/>
        </w:rPr>
        <w:footnoteReference w:id="5"/>
      </w:r>
      <w:r w:rsidRPr="00415C4C">
        <w:rPr>
          <w:rFonts w:ascii="Times New Roman" w:hAnsi="Times New Roman" w:cs="Times New Roman"/>
          <w:color w:val="2A2A2A"/>
          <w:sz w:val="24"/>
          <w:szCs w:val="24"/>
          <w:shd w:val="clear" w:color="auto" w:fill="FFFFFF"/>
        </w:rPr>
        <w:t xml:space="preserve"> In other multilevel systems, meanwhile, particular institutional and constitutional factors have sometimes meant there has been less opportunity for a </w:t>
      </w:r>
      <w:r w:rsidR="003F500E">
        <w:rPr>
          <w:rFonts w:ascii="Times New Roman" w:hAnsi="Times New Roman" w:cs="Times New Roman"/>
          <w:color w:val="2A2A2A"/>
          <w:sz w:val="24"/>
          <w:szCs w:val="24"/>
          <w:shd w:val="clear" w:color="auto" w:fill="FFFFFF"/>
        </w:rPr>
        <w:t>clear</w:t>
      </w:r>
      <w:r w:rsidRPr="00415C4C">
        <w:rPr>
          <w:rFonts w:ascii="Times New Roman" w:hAnsi="Times New Roman" w:cs="Times New Roman"/>
          <w:color w:val="2A2A2A"/>
          <w:sz w:val="24"/>
          <w:szCs w:val="24"/>
          <w:shd w:val="clear" w:color="auto" w:fill="FFFFFF"/>
        </w:rPr>
        <w:t xml:space="preserve"> negative harmonisation dynamic to take hold.</w:t>
      </w:r>
      <w:r w:rsidRPr="00415C4C">
        <w:rPr>
          <w:rStyle w:val="FootnoteReference"/>
          <w:rFonts w:ascii="Times New Roman" w:hAnsi="Times New Roman" w:cs="Times New Roman"/>
          <w:color w:val="2A2A2A"/>
          <w:sz w:val="24"/>
          <w:szCs w:val="24"/>
          <w:shd w:val="clear" w:color="auto" w:fill="FFFFFF"/>
        </w:rPr>
        <w:footnoteReference w:id="6"/>
      </w:r>
      <w:r w:rsidRPr="00415C4C">
        <w:rPr>
          <w:rFonts w:ascii="Times New Roman" w:hAnsi="Times New Roman" w:cs="Times New Roman"/>
          <w:color w:val="2A2A2A"/>
          <w:sz w:val="24"/>
          <w:szCs w:val="24"/>
          <w:shd w:val="clear" w:color="auto" w:fill="FFFFFF"/>
        </w:rPr>
        <w:t xml:space="preserve"> Strong traditions of sub-state constitutional autonomy in Canada</w:t>
      </w:r>
      <w:r w:rsidR="00D364DD">
        <w:rPr>
          <w:rFonts w:ascii="Times New Roman" w:hAnsi="Times New Roman" w:cs="Times New Roman"/>
          <w:color w:val="2A2A2A"/>
          <w:sz w:val="24"/>
          <w:szCs w:val="24"/>
          <w:shd w:val="clear" w:color="auto" w:fill="FFFFFF"/>
        </w:rPr>
        <w:t>,</w:t>
      </w:r>
      <w:r w:rsidRPr="00415C4C">
        <w:rPr>
          <w:rFonts w:ascii="Times New Roman" w:hAnsi="Times New Roman" w:cs="Times New Roman"/>
          <w:color w:val="2A2A2A"/>
          <w:sz w:val="24"/>
          <w:szCs w:val="24"/>
          <w:shd w:val="clear" w:color="auto" w:fill="FFFFFF"/>
        </w:rPr>
        <w:t xml:space="preserve"> for example, accompany narrower readings of their federal inter-state free movement clause than seen in other systems, leaving more space for local policy choices to be maintained.</w:t>
      </w:r>
      <w:r w:rsidRPr="00940706">
        <w:rPr>
          <w:rStyle w:val="FootnoteReference"/>
          <w:rFonts w:ascii="Times New Roman" w:hAnsi="Times New Roman" w:cs="Times New Roman"/>
          <w:color w:val="2A2A2A"/>
          <w:sz w:val="24"/>
          <w:szCs w:val="24"/>
          <w:shd w:val="clear" w:color="auto" w:fill="FFFFFF"/>
        </w:rPr>
        <w:footnoteReference w:id="7"/>
      </w:r>
      <w:r w:rsidRPr="00415C4C">
        <w:rPr>
          <w:rFonts w:ascii="Times New Roman" w:hAnsi="Times New Roman" w:cs="Times New Roman"/>
          <w:color w:val="2A2A2A"/>
          <w:sz w:val="24"/>
          <w:szCs w:val="24"/>
          <w:shd w:val="clear" w:color="auto" w:fill="FFFFFF"/>
        </w:rPr>
        <w:t xml:space="preserve">  </w:t>
      </w:r>
    </w:p>
    <w:p w14:paraId="3B9C7153" w14:textId="26A549DB" w:rsidR="00F60264" w:rsidRDefault="004E5F80" w:rsidP="003D208A">
      <w:pPr>
        <w:spacing w:after="0" w:line="360" w:lineRule="auto"/>
        <w:ind w:firstLine="720"/>
        <w:jc w:val="both"/>
        <w:rPr>
          <w:rFonts w:ascii="Times New Roman" w:hAnsi="Times New Roman" w:cs="Times New Roman"/>
          <w:color w:val="2A2A2A"/>
          <w:sz w:val="24"/>
          <w:szCs w:val="24"/>
          <w:shd w:val="clear" w:color="auto" w:fill="FFFFFF"/>
        </w:rPr>
      </w:pPr>
      <w:r w:rsidRPr="0027333D">
        <w:rPr>
          <w:rFonts w:ascii="Times New Roman" w:hAnsi="Times New Roman" w:cs="Times New Roman"/>
          <w:color w:val="2A2A2A"/>
          <w:sz w:val="24"/>
          <w:szCs w:val="24"/>
          <w:shd w:val="clear" w:color="auto" w:fill="FFFFFF"/>
        </w:rPr>
        <w:t>Theorising</w:t>
      </w:r>
      <w:r w:rsidR="000C5988" w:rsidRPr="0027333D">
        <w:rPr>
          <w:rFonts w:ascii="Times New Roman" w:hAnsi="Times New Roman" w:cs="Times New Roman"/>
          <w:color w:val="2A2A2A"/>
          <w:sz w:val="24"/>
          <w:szCs w:val="24"/>
          <w:shd w:val="clear" w:color="auto" w:fill="FFFFFF"/>
        </w:rPr>
        <w:t xml:space="preserve"> internal regulatory divergence with reference to</w:t>
      </w:r>
      <w:r w:rsidR="00597ED4" w:rsidRPr="0027333D">
        <w:rPr>
          <w:rFonts w:ascii="Times New Roman" w:hAnsi="Times New Roman" w:cs="Times New Roman"/>
          <w:color w:val="2A2A2A"/>
          <w:sz w:val="24"/>
          <w:szCs w:val="24"/>
          <w:shd w:val="clear" w:color="auto" w:fill="FFFFFF"/>
        </w:rPr>
        <w:t xml:space="preserve"> p</w:t>
      </w:r>
      <w:r w:rsidR="003D208A" w:rsidRPr="0027333D">
        <w:rPr>
          <w:rFonts w:ascii="Times New Roman" w:hAnsi="Times New Roman" w:cs="Times New Roman"/>
          <w:color w:val="2A2A2A"/>
          <w:sz w:val="24"/>
          <w:szCs w:val="24"/>
          <w:shd w:val="clear" w:color="auto" w:fill="FFFFFF"/>
        </w:rPr>
        <w:t>ositive and negative harmonisation (and</w:t>
      </w:r>
      <w:r w:rsidR="00237AB2" w:rsidRPr="0027333D">
        <w:rPr>
          <w:rFonts w:ascii="Times New Roman" w:hAnsi="Times New Roman" w:cs="Times New Roman"/>
          <w:color w:val="2A2A2A"/>
          <w:sz w:val="24"/>
          <w:szCs w:val="24"/>
          <w:shd w:val="clear" w:color="auto" w:fill="FFFFFF"/>
        </w:rPr>
        <w:t xml:space="preserve"> the</w:t>
      </w:r>
      <w:r w:rsidR="003D208A" w:rsidRPr="0027333D">
        <w:rPr>
          <w:rFonts w:ascii="Times New Roman" w:hAnsi="Times New Roman" w:cs="Times New Roman"/>
          <w:color w:val="2A2A2A"/>
          <w:sz w:val="24"/>
          <w:szCs w:val="24"/>
          <w:shd w:val="clear" w:color="auto" w:fill="FFFFFF"/>
        </w:rPr>
        <w:t xml:space="preserve"> balance between them) </w:t>
      </w:r>
      <w:r w:rsidR="000C5988" w:rsidRPr="0027333D">
        <w:rPr>
          <w:rFonts w:ascii="Times New Roman" w:hAnsi="Times New Roman" w:cs="Times New Roman"/>
          <w:color w:val="2A2A2A"/>
          <w:sz w:val="24"/>
          <w:szCs w:val="24"/>
          <w:shd w:val="clear" w:color="auto" w:fill="FFFFFF"/>
        </w:rPr>
        <w:t xml:space="preserve">intersects with </w:t>
      </w:r>
      <w:r w:rsidR="009E6837" w:rsidRPr="0027333D">
        <w:rPr>
          <w:rFonts w:ascii="Times New Roman" w:hAnsi="Times New Roman" w:cs="Times New Roman"/>
          <w:color w:val="2A2A2A"/>
          <w:sz w:val="24"/>
          <w:szCs w:val="24"/>
          <w:shd w:val="clear" w:color="auto" w:fill="FFFFFF"/>
        </w:rPr>
        <w:t>ideas</w:t>
      </w:r>
      <w:r w:rsidR="003D208A" w:rsidRPr="0027333D">
        <w:rPr>
          <w:rFonts w:ascii="Times New Roman" w:hAnsi="Times New Roman" w:cs="Times New Roman"/>
          <w:color w:val="2A2A2A"/>
          <w:sz w:val="24"/>
          <w:szCs w:val="24"/>
          <w:shd w:val="clear" w:color="auto" w:fill="FFFFFF"/>
        </w:rPr>
        <w:t xml:space="preserve"> of</w:t>
      </w:r>
      <w:r w:rsidR="003D208A" w:rsidRPr="0027333D">
        <w:t xml:space="preserve"> </w:t>
      </w:r>
      <w:r w:rsidR="003D208A" w:rsidRPr="0027333D">
        <w:rPr>
          <w:rFonts w:ascii="Times New Roman" w:hAnsi="Times New Roman" w:cs="Times New Roman"/>
          <w:color w:val="2A2A2A"/>
          <w:sz w:val="24"/>
          <w:szCs w:val="24"/>
          <w:shd w:val="clear" w:color="auto" w:fill="FFFFFF"/>
        </w:rPr>
        <w:t>self- and shared rule</w:t>
      </w:r>
      <w:r w:rsidRPr="0027333D">
        <w:rPr>
          <w:rFonts w:ascii="Times New Roman" w:hAnsi="Times New Roman" w:cs="Times New Roman"/>
          <w:color w:val="2A2A2A"/>
          <w:sz w:val="24"/>
          <w:szCs w:val="24"/>
          <w:shd w:val="clear" w:color="auto" w:fill="FFFFFF"/>
        </w:rPr>
        <w:t xml:space="preserve"> with</w:t>
      </w:r>
      <w:r w:rsidR="009E6837" w:rsidRPr="0027333D">
        <w:rPr>
          <w:rFonts w:ascii="Times New Roman" w:hAnsi="Times New Roman" w:cs="Times New Roman"/>
          <w:color w:val="2A2A2A"/>
          <w:sz w:val="24"/>
          <w:szCs w:val="24"/>
          <w:shd w:val="clear" w:color="auto" w:fill="FFFFFF"/>
        </w:rPr>
        <w:t xml:space="preserve">in </w:t>
      </w:r>
      <w:r w:rsidRPr="0027333D">
        <w:rPr>
          <w:rFonts w:ascii="Times New Roman" w:hAnsi="Times New Roman" w:cs="Times New Roman"/>
          <w:color w:val="2A2A2A"/>
          <w:sz w:val="24"/>
          <w:szCs w:val="24"/>
          <w:shd w:val="clear" w:color="auto" w:fill="FFFFFF"/>
        </w:rPr>
        <w:t>systems recognising distinct layers of political authority.</w:t>
      </w:r>
      <w:r w:rsidR="003D208A" w:rsidRPr="0027333D">
        <w:rPr>
          <w:rFonts w:ascii="Times New Roman" w:hAnsi="Times New Roman" w:cs="Times New Roman"/>
          <w:color w:val="2A2A2A"/>
          <w:sz w:val="24"/>
          <w:szCs w:val="24"/>
          <w:shd w:val="clear" w:color="auto" w:fill="FFFFFF"/>
        </w:rPr>
        <w:t xml:space="preserve"> </w:t>
      </w:r>
      <w:r w:rsidR="00654B82" w:rsidRPr="0027333D">
        <w:rPr>
          <w:rFonts w:ascii="Times New Roman" w:hAnsi="Times New Roman" w:cs="Times New Roman"/>
          <w:color w:val="2A2A2A"/>
          <w:sz w:val="24"/>
          <w:szCs w:val="24"/>
          <w:shd w:val="clear" w:color="auto" w:fill="FFFFFF"/>
        </w:rPr>
        <w:t>S</w:t>
      </w:r>
      <w:r w:rsidR="003D208A" w:rsidRPr="0027333D">
        <w:rPr>
          <w:rFonts w:ascii="Times New Roman" w:hAnsi="Times New Roman" w:cs="Times New Roman"/>
          <w:color w:val="2A2A2A"/>
          <w:sz w:val="24"/>
          <w:szCs w:val="24"/>
          <w:shd w:val="clear" w:color="auto" w:fill="FFFFFF"/>
        </w:rPr>
        <w:t xml:space="preserve">elf-rule </w:t>
      </w:r>
      <w:r w:rsidR="00654B82" w:rsidRPr="0027333D">
        <w:rPr>
          <w:rFonts w:ascii="Times New Roman" w:hAnsi="Times New Roman" w:cs="Times New Roman"/>
          <w:color w:val="2A2A2A"/>
          <w:sz w:val="24"/>
          <w:szCs w:val="24"/>
          <w:shd w:val="clear" w:color="auto" w:fill="FFFFFF"/>
        </w:rPr>
        <w:t>references</w:t>
      </w:r>
      <w:r w:rsidR="003D208A" w:rsidRPr="0027333D">
        <w:rPr>
          <w:rFonts w:ascii="Times New Roman" w:hAnsi="Times New Roman" w:cs="Times New Roman"/>
          <w:color w:val="2A2A2A"/>
          <w:sz w:val="24"/>
          <w:szCs w:val="24"/>
          <w:shd w:val="clear" w:color="auto" w:fill="FFFFFF"/>
        </w:rPr>
        <w:t xml:space="preserve"> the capacity in federal, and federal-type orders for each level to determine matters itself, whilst shared rule relates to the arrangements for the different levels of government to work together in the interests of the state overall.</w:t>
      </w:r>
      <w:r w:rsidR="00D364DD" w:rsidRPr="00726949">
        <w:rPr>
          <w:rStyle w:val="FootnoteReference"/>
        </w:rPr>
        <w:footnoteReference w:id="8"/>
      </w:r>
      <w:r w:rsidR="003D208A" w:rsidRPr="0027333D">
        <w:rPr>
          <w:rFonts w:ascii="Times New Roman" w:hAnsi="Times New Roman" w:cs="Times New Roman"/>
          <w:color w:val="2A2A2A"/>
          <w:sz w:val="24"/>
          <w:szCs w:val="24"/>
          <w:shd w:val="clear" w:color="auto" w:fill="FFFFFF"/>
        </w:rPr>
        <w:t xml:space="preserve"> Negative </w:t>
      </w:r>
      <w:r w:rsidR="005346C9" w:rsidRPr="0027333D">
        <w:rPr>
          <w:rFonts w:ascii="Times New Roman" w:hAnsi="Times New Roman" w:cs="Times New Roman"/>
          <w:color w:val="2A2A2A"/>
          <w:sz w:val="24"/>
          <w:szCs w:val="24"/>
          <w:shd w:val="clear" w:color="auto" w:fill="FFFFFF"/>
        </w:rPr>
        <w:t>harmonisation</w:t>
      </w:r>
      <w:r w:rsidR="003D208A" w:rsidRPr="0027333D">
        <w:rPr>
          <w:rFonts w:ascii="Times New Roman" w:hAnsi="Times New Roman" w:cs="Times New Roman"/>
          <w:color w:val="2A2A2A"/>
          <w:sz w:val="24"/>
          <w:szCs w:val="24"/>
          <w:shd w:val="clear" w:color="auto" w:fill="FFFFFF"/>
        </w:rPr>
        <w:t>, involving the removal of barriers to free movement, presents</w:t>
      </w:r>
      <w:r w:rsidRPr="0027333D">
        <w:rPr>
          <w:rFonts w:ascii="Times New Roman" w:hAnsi="Times New Roman" w:cs="Times New Roman"/>
          <w:color w:val="2A2A2A"/>
          <w:sz w:val="24"/>
          <w:szCs w:val="24"/>
          <w:shd w:val="clear" w:color="auto" w:fill="FFFFFF"/>
        </w:rPr>
        <w:t xml:space="preserve"> </w:t>
      </w:r>
      <w:r w:rsidR="003D208A" w:rsidRPr="0027333D">
        <w:rPr>
          <w:rFonts w:ascii="Times New Roman" w:hAnsi="Times New Roman" w:cs="Times New Roman"/>
          <w:color w:val="2A2A2A"/>
          <w:sz w:val="24"/>
          <w:szCs w:val="24"/>
          <w:shd w:val="clear" w:color="auto" w:fill="FFFFFF"/>
        </w:rPr>
        <w:t xml:space="preserve">as a challenge for self-rule, requiring </w:t>
      </w:r>
      <w:r w:rsidR="000C5988" w:rsidRPr="0027333D">
        <w:rPr>
          <w:rFonts w:ascii="Times New Roman" w:hAnsi="Times New Roman" w:cs="Times New Roman"/>
          <w:color w:val="2A2A2A"/>
          <w:sz w:val="24"/>
          <w:szCs w:val="24"/>
          <w:shd w:val="clear" w:color="auto" w:fill="FFFFFF"/>
        </w:rPr>
        <w:t>political</w:t>
      </w:r>
      <w:r w:rsidR="003D208A" w:rsidRPr="0027333D">
        <w:rPr>
          <w:rFonts w:ascii="Times New Roman" w:hAnsi="Times New Roman" w:cs="Times New Roman"/>
          <w:color w:val="2A2A2A"/>
          <w:sz w:val="24"/>
          <w:szCs w:val="24"/>
          <w:shd w:val="clear" w:color="auto" w:fill="FFFFFF"/>
        </w:rPr>
        <w:t xml:space="preserve"> institutions to justify policies against a set of </w:t>
      </w:r>
      <w:r w:rsidR="000C5988" w:rsidRPr="0027333D">
        <w:rPr>
          <w:rFonts w:ascii="Times New Roman" w:hAnsi="Times New Roman" w:cs="Times New Roman"/>
          <w:color w:val="2A2A2A"/>
          <w:sz w:val="24"/>
          <w:szCs w:val="24"/>
          <w:shd w:val="clear" w:color="auto" w:fill="FFFFFF"/>
        </w:rPr>
        <w:t>recognised</w:t>
      </w:r>
      <w:r w:rsidR="003D208A" w:rsidRPr="0027333D">
        <w:rPr>
          <w:rFonts w:ascii="Times New Roman" w:hAnsi="Times New Roman" w:cs="Times New Roman"/>
          <w:color w:val="2A2A2A"/>
          <w:sz w:val="24"/>
          <w:szCs w:val="24"/>
          <w:shd w:val="clear" w:color="auto" w:fill="FFFFFF"/>
        </w:rPr>
        <w:t xml:space="preserve"> overriding public interest requirements</w:t>
      </w:r>
      <w:r w:rsidR="00F60264" w:rsidRPr="0027333D">
        <w:rPr>
          <w:rFonts w:ascii="Times New Roman" w:hAnsi="Times New Roman" w:cs="Times New Roman"/>
          <w:color w:val="2A2A2A"/>
          <w:sz w:val="24"/>
          <w:szCs w:val="24"/>
          <w:shd w:val="clear" w:color="auto" w:fill="FFFFFF"/>
        </w:rPr>
        <w:t>.</w:t>
      </w:r>
      <w:r w:rsidR="000C5988" w:rsidRPr="0027333D">
        <w:rPr>
          <w:rFonts w:ascii="Times New Roman" w:hAnsi="Times New Roman" w:cs="Times New Roman"/>
          <w:color w:val="2A2A2A"/>
          <w:sz w:val="24"/>
          <w:szCs w:val="24"/>
          <w:shd w:val="clear" w:color="auto" w:fill="FFFFFF"/>
        </w:rPr>
        <w:t xml:space="preserve"> </w:t>
      </w:r>
      <w:r w:rsidR="00F60264" w:rsidRPr="0027333D">
        <w:rPr>
          <w:rFonts w:ascii="Times New Roman" w:hAnsi="Times New Roman" w:cs="Times New Roman"/>
          <w:color w:val="2A2A2A"/>
          <w:sz w:val="24"/>
          <w:szCs w:val="24"/>
          <w:shd w:val="clear" w:color="auto" w:fill="FFFFFF"/>
        </w:rPr>
        <w:t>This</w:t>
      </w:r>
      <w:r w:rsidR="000C5988" w:rsidRPr="0027333D">
        <w:rPr>
          <w:rFonts w:ascii="Times New Roman" w:hAnsi="Times New Roman" w:cs="Times New Roman"/>
          <w:color w:val="2A2A2A"/>
          <w:sz w:val="24"/>
          <w:szCs w:val="24"/>
          <w:shd w:val="clear" w:color="auto" w:fill="FFFFFF"/>
        </w:rPr>
        <w:t xml:space="preserve"> is designed to</w:t>
      </w:r>
      <w:r w:rsidR="003D208A" w:rsidRPr="0027333D">
        <w:rPr>
          <w:rFonts w:ascii="Times New Roman" w:hAnsi="Times New Roman" w:cs="Times New Roman"/>
          <w:color w:val="2A2A2A"/>
          <w:sz w:val="24"/>
          <w:szCs w:val="24"/>
          <w:shd w:val="clear" w:color="auto" w:fill="FFFFFF"/>
        </w:rPr>
        <w:t xml:space="preserve"> ensure the representation of external interest</w:t>
      </w:r>
      <w:r w:rsidR="00654B82" w:rsidRPr="0027333D">
        <w:rPr>
          <w:rFonts w:ascii="Times New Roman" w:hAnsi="Times New Roman" w:cs="Times New Roman"/>
          <w:color w:val="2A2A2A"/>
          <w:sz w:val="24"/>
          <w:szCs w:val="24"/>
          <w:shd w:val="clear" w:color="auto" w:fill="FFFFFF"/>
        </w:rPr>
        <w:t>s</w:t>
      </w:r>
      <w:r w:rsidR="003D208A" w:rsidRPr="0027333D">
        <w:rPr>
          <w:rFonts w:ascii="Times New Roman" w:hAnsi="Times New Roman" w:cs="Times New Roman"/>
          <w:color w:val="2A2A2A"/>
          <w:sz w:val="24"/>
          <w:szCs w:val="24"/>
          <w:shd w:val="clear" w:color="auto" w:fill="FFFFFF"/>
        </w:rPr>
        <w:t xml:space="preserve"> </w:t>
      </w:r>
      <w:r w:rsidR="00F60264" w:rsidRPr="0027333D">
        <w:rPr>
          <w:rFonts w:ascii="Times New Roman" w:hAnsi="Times New Roman" w:cs="Times New Roman"/>
          <w:color w:val="2A2A2A"/>
          <w:sz w:val="24"/>
          <w:szCs w:val="24"/>
          <w:shd w:val="clear" w:color="auto" w:fill="FFFFFF"/>
        </w:rPr>
        <w:t>within</w:t>
      </w:r>
      <w:r w:rsidR="003D208A" w:rsidRPr="0027333D">
        <w:rPr>
          <w:rFonts w:ascii="Times New Roman" w:hAnsi="Times New Roman" w:cs="Times New Roman"/>
          <w:color w:val="2A2A2A"/>
          <w:sz w:val="24"/>
          <w:szCs w:val="24"/>
          <w:shd w:val="clear" w:color="auto" w:fill="FFFFFF"/>
        </w:rPr>
        <w:t xml:space="preserve"> </w:t>
      </w:r>
      <w:r w:rsidR="000C5988" w:rsidRPr="0027333D">
        <w:rPr>
          <w:rFonts w:ascii="Times New Roman" w:hAnsi="Times New Roman" w:cs="Times New Roman"/>
          <w:color w:val="2A2A2A"/>
          <w:sz w:val="24"/>
          <w:szCs w:val="24"/>
          <w:shd w:val="clear" w:color="auto" w:fill="FFFFFF"/>
        </w:rPr>
        <w:t>national (or sub-national)</w:t>
      </w:r>
      <w:r w:rsidR="003D208A" w:rsidRPr="0027333D">
        <w:rPr>
          <w:rFonts w:ascii="Times New Roman" w:hAnsi="Times New Roman" w:cs="Times New Roman"/>
          <w:color w:val="2A2A2A"/>
          <w:sz w:val="24"/>
          <w:szCs w:val="24"/>
          <w:shd w:val="clear" w:color="auto" w:fill="FFFFFF"/>
        </w:rPr>
        <w:t xml:space="preserve"> political processes.</w:t>
      </w:r>
      <w:r w:rsidR="00F60264" w:rsidRPr="0027333D">
        <w:rPr>
          <w:rStyle w:val="FootnoteReference"/>
          <w:rFonts w:ascii="Times New Roman" w:hAnsi="Times New Roman" w:cs="Times New Roman"/>
          <w:color w:val="2A2A2A"/>
          <w:sz w:val="24"/>
          <w:szCs w:val="24"/>
          <w:shd w:val="clear" w:color="auto" w:fill="FFFFFF"/>
        </w:rPr>
        <w:footnoteReference w:id="9"/>
      </w:r>
      <w:r w:rsidR="003D208A" w:rsidRPr="0027333D">
        <w:rPr>
          <w:rFonts w:ascii="Times New Roman" w:hAnsi="Times New Roman" w:cs="Times New Roman"/>
          <w:color w:val="2A2A2A"/>
          <w:sz w:val="24"/>
          <w:szCs w:val="24"/>
          <w:shd w:val="clear" w:color="auto" w:fill="FFFFFF"/>
        </w:rPr>
        <w:t xml:space="preserve"> With its focus on coordination from the centre, positive </w:t>
      </w:r>
      <w:r w:rsidR="00F1182B" w:rsidRPr="0027333D">
        <w:rPr>
          <w:rFonts w:ascii="Times New Roman" w:hAnsi="Times New Roman" w:cs="Times New Roman"/>
          <w:color w:val="2A2A2A"/>
          <w:sz w:val="24"/>
          <w:szCs w:val="24"/>
          <w:shd w:val="clear" w:color="auto" w:fill="FFFFFF"/>
        </w:rPr>
        <w:t>harmonisation</w:t>
      </w:r>
      <w:r w:rsidR="000C5988" w:rsidRPr="0027333D">
        <w:rPr>
          <w:rFonts w:ascii="Times New Roman" w:hAnsi="Times New Roman" w:cs="Times New Roman"/>
          <w:color w:val="2A2A2A"/>
          <w:sz w:val="24"/>
          <w:szCs w:val="24"/>
          <w:shd w:val="clear" w:color="auto" w:fill="FFFFFF"/>
        </w:rPr>
        <w:t>, in contrast,</w:t>
      </w:r>
      <w:r w:rsidR="003D208A" w:rsidRPr="0027333D">
        <w:rPr>
          <w:rFonts w:ascii="Times New Roman" w:hAnsi="Times New Roman" w:cs="Times New Roman"/>
          <w:color w:val="2A2A2A"/>
          <w:sz w:val="24"/>
          <w:szCs w:val="24"/>
          <w:shd w:val="clear" w:color="auto" w:fill="FFFFFF"/>
        </w:rPr>
        <w:t xml:space="preserve"> speaks</w:t>
      </w:r>
      <w:r w:rsidR="000C5988" w:rsidRPr="0027333D">
        <w:rPr>
          <w:rFonts w:ascii="Times New Roman" w:hAnsi="Times New Roman" w:cs="Times New Roman"/>
          <w:color w:val="2A2A2A"/>
          <w:sz w:val="24"/>
          <w:szCs w:val="24"/>
          <w:shd w:val="clear" w:color="auto" w:fill="FFFFFF"/>
        </w:rPr>
        <w:t xml:space="preserve"> primarily</w:t>
      </w:r>
      <w:r w:rsidR="003D208A" w:rsidRPr="0027333D">
        <w:rPr>
          <w:rFonts w:ascii="Times New Roman" w:hAnsi="Times New Roman" w:cs="Times New Roman"/>
          <w:color w:val="2A2A2A"/>
          <w:sz w:val="24"/>
          <w:szCs w:val="24"/>
          <w:shd w:val="clear" w:color="auto" w:fill="FFFFFF"/>
        </w:rPr>
        <w:t xml:space="preserve"> to the dynamics of shared rule.</w:t>
      </w:r>
      <w:r w:rsidR="00654B82" w:rsidRPr="0027333D">
        <w:rPr>
          <w:rFonts w:ascii="Times New Roman" w:hAnsi="Times New Roman" w:cs="Times New Roman"/>
          <w:color w:val="2A2A2A"/>
          <w:sz w:val="24"/>
          <w:szCs w:val="24"/>
          <w:shd w:val="clear" w:color="auto" w:fill="FFFFFF"/>
        </w:rPr>
        <w:t xml:space="preserve"> </w:t>
      </w:r>
      <w:r w:rsidR="000C5988" w:rsidRPr="0027333D">
        <w:rPr>
          <w:rFonts w:ascii="Times New Roman" w:hAnsi="Times New Roman" w:cs="Times New Roman"/>
          <w:color w:val="2A2A2A"/>
          <w:sz w:val="24"/>
          <w:szCs w:val="24"/>
          <w:shd w:val="clear" w:color="auto" w:fill="FFFFFF"/>
        </w:rPr>
        <w:t>N</w:t>
      </w:r>
      <w:r w:rsidR="00F60264" w:rsidRPr="0027333D">
        <w:rPr>
          <w:rFonts w:ascii="Times New Roman" w:hAnsi="Times New Roman" w:cs="Times New Roman"/>
          <w:color w:val="2A2A2A"/>
          <w:sz w:val="24"/>
          <w:szCs w:val="24"/>
          <w:shd w:val="clear" w:color="auto" w:fill="FFFFFF"/>
        </w:rPr>
        <w:t>ational</w:t>
      </w:r>
      <w:r w:rsidR="000C5988" w:rsidRPr="0027333D">
        <w:rPr>
          <w:rFonts w:ascii="Times New Roman" w:hAnsi="Times New Roman" w:cs="Times New Roman"/>
          <w:color w:val="2A2A2A"/>
          <w:sz w:val="24"/>
          <w:szCs w:val="24"/>
          <w:shd w:val="clear" w:color="auto" w:fill="FFFFFF"/>
        </w:rPr>
        <w:t xml:space="preserve"> (or sub-national)</w:t>
      </w:r>
      <w:r w:rsidR="00F60264" w:rsidRPr="0027333D">
        <w:rPr>
          <w:rFonts w:ascii="Times New Roman" w:hAnsi="Times New Roman" w:cs="Times New Roman"/>
          <w:color w:val="2A2A2A"/>
          <w:sz w:val="24"/>
          <w:szCs w:val="24"/>
          <w:shd w:val="clear" w:color="auto" w:fill="FFFFFF"/>
        </w:rPr>
        <w:t xml:space="preserve"> actors</w:t>
      </w:r>
      <w:r w:rsidR="003D208A" w:rsidRPr="0027333D">
        <w:rPr>
          <w:rFonts w:ascii="Times New Roman" w:hAnsi="Times New Roman" w:cs="Times New Roman"/>
          <w:color w:val="2A2A2A"/>
          <w:sz w:val="24"/>
          <w:szCs w:val="24"/>
          <w:shd w:val="clear" w:color="auto" w:fill="FFFFFF"/>
        </w:rPr>
        <w:t xml:space="preserve"> are brought </w:t>
      </w:r>
      <w:r w:rsidR="003D208A" w:rsidRPr="0027333D">
        <w:rPr>
          <w:rFonts w:ascii="Times New Roman" w:hAnsi="Times New Roman" w:cs="Times New Roman"/>
          <w:color w:val="2A2A2A"/>
          <w:sz w:val="24"/>
          <w:szCs w:val="24"/>
          <w:shd w:val="clear" w:color="auto" w:fill="FFFFFF"/>
        </w:rPr>
        <w:lastRenderedPageBreak/>
        <w:t>together</w:t>
      </w:r>
      <w:r w:rsidR="002E42E2" w:rsidRPr="0027333D">
        <w:rPr>
          <w:rFonts w:ascii="Times New Roman" w:hAnsi="Times New Roman" w:cs="Times New Roman"/>
          <w:color w:val="2A2A2A"/>
          <w:sz w:val="24"/>
          <w:szCs w:val="24"/>
          <w:shd w:val="clear" w:color="auto" w:fill="FFFFFF"/>
        </w:rPr>
        <w:t xml:space="preserve"> at the centre</w:t>
      </w:r>
      <w:r w:rsidR="003D208A" w:rsidRPr="0027333D">
        <w:rPr>
          <w:rFonts w:ascii="Times New Roman" w:hAnsi="Times New Roman" w:cs="Times New Roman"/>
          <w:color w:val="2A2A2A"/>
          <w:sz w:val="24"/>
          <w:szCs w:val="24"/>
          <w:shd w:val="clear" w:color="auto" w:fill="FFFFFF"/>
        </w:rPr>
        <w:t xml:space="preserve"> to agree on common approaches (or the limits of divergence) in </w:t>
      </w:r>
      <w:r w:rsidR="00654B82" w:rsidRPr="0027333D">
        <w:rPr>
          <w:rFonts w:ascii="Times New Roman" w:hAnsi="Times New Roman" w:cs="Times New Roman"/>
          <w:color w:val="2A2A2A"/>
          <w:sz w:val="24"/>
          <w:szCs w:val="24"/>
          <w:shd w:val="clear" w:color="auto" w:fill="FFFFFF"/>
        </w:rPr>
        <w:t>policy</w:t>
      </w:r>
      <w:r w:rsidR="003D208A" w:rsidRPr="0027333D">
        <w:rPr>
          <w:rFonts w:ascii="Times New Roman" w:hAnsi="Times New Roman" w:cs="Times New Roman"/>
          <w:color w:val="2A2A2A"/>
          <w:sz w:val="24"/>
          <w:szCs w:val="24"/>
          <w:shd w:val="clear" w:color="auto" w:fill="FFFFFF"/>
        </w:rPr>
        <w:t xml:space="preserve"> areas affecting cross-border activity.</w:t>
      </w:r>
      <w:r w:rsidR="003D208A" w:rsidRPr="003D208A">
        <w:rPr>
          <w:rFonts w:ascii="Times New Roman" w:hAnsi="Times New Roman" w:cs="Times New Roman"/>
          <w:color w:val="2A2A2A"/>
          <w:sz w:val="24"/>
          <w:szCs w:val="24"/>
          <w:shd w:val="clear" w:color="auto" w:fill="FFFFFF"/>
        </w:rPr>
        <w:t xml:space="preserve"> </w:t>
      </w:r>
    </w:p>
    <w:p w14:paraId="6FAA1279" w14:textId="23AEA838" w:rsidR="00DD1F3A" w:rsidRPr="003D208A" w:rsidRDefault="00CC7F5E" w:rsidP="003D208A">
      <w:pPr>
        <w:spacing w:after="0" w:line="360" w:lineRule="auto"/>
        <w:ind w:firstLine="720"/>
        <w:jc w:val="both"/>
        <w:rPr>
          <w:rFonts w:ascii="Times New Roman" w:hAnsi="Times New Roman" w:cs="Times New Roman"/>
          <w:color w:val="2A2A2A"/>
          <w:sz w:val="24"/>
          <w:szCs w:val="24"/>
          <w:shd w:val="clear" w:color="auto" w:fill="FFFFFF"/>
        </w:rPr>
      </w:pPr>
      <w:r w:rsidRPr="003D208A">
        <w:rPr>
          <w:rFonts w:ascii="Times New Roman" w:hAnsi="Times New Roman" w:cs="Times New Roman"/>
          <w:color w:val="212121"/>
          <w:sz w:val="24"/>
          <w:szCs w:val="24"/>
        </w:rPr>
        <w:t>In this contribution, we engage positive</w:t>
      </w:r>
      <w:r w:rsidR="00E84BA2">
        <w:rPr>
          <w:rFonts w:ascii="Times New Roman" w:hAnsi="Times New Roman" w:cs="Times New Roman"/>
          <w:color w:val="212121"/>
          <w:sz w:val="24"/>
          <w:szCs w:val="24"/>
        </w:rPr>
        <w:t xml:space="preserve"> and negative</w:t>
      </w:r>
      <w:r w:rsidRPr="003D208A">
        <w:rPr>
          <w:rFonts w:ascii="Times New Roman" w:hAnsi="Times New Roman" w:cs="Times New Roman"/>
          <w:color w:val="212121"/>
          <w:sz w:val="24"/>
          <w:szCs w:val="24"/>
        </w:rPr>
        <w:t xml:space="preserve"> harmonisation</w:t>
      </w:r>
      <w:r w:rsidR="00E84BA2">
        <w:rPr>
          <w:rFonts w:ascii="Times New Roman" w:hAnsi="Times New Roman" w:cs="Times New Roman"/>
          <w:color w:val="212121"/>
          <w:sz w:val="24"/>
          <w:szCs w:val="24"/>
        </w:rPr>
        <w:t xml:space="preserve"> alongside discussion of </w:t>
      </w:r>
      <w:r w:rsidR="003D208A" w:rsidRPr="003D208A">
        <w:rPr>
          <w:rFonts w:ascii="Times New Roman" w:hAnsi="Times New Roman" w:cs="Times New Roman"/>
          <w:color w:val="212121"/>
          <w:sz w:val="24"/>
          <w:szCs w:val="24"/>
        </w:rPr>
        <w:t>self- and shared rule</w:t>
      </w:r>
      <w:r w:rsidRPr="003D208A">
        <w:rPr>
          <w:rFonts w:ascii="Times New Roman" w:hAnsi="Times New Roman" w:cs="Times New Roman"/>
          <w:color w:val="212121"/>
          <w:sz w:val="24"/>
          <w:szCs w:val="24"/>
        </w:rPr>
        <w:t xml:space="preserve"> to </w:t>
      </w:r>
      <w:r w:rsidR="00CE7501" w:rsidRPr="003D208A">
        <w:rPr>
          <w:rFonts w:ascii="Times New Roman" w:hAnsi="Times New Roman" w:cs="Times New Roman"/>
          <w:color w:val="212121"/>
          <w:sz w:val="24"/>
          <w:szCs w:val="24"/>
        </w:rPr>
        <w:t>examine</w:t>
      </w:r>
      <w:r w:rsidRPr="003D208A">
        <w:rPr>
          <w:rFonts w:ascii="Times New Roman" w:hAnsi="Times New Roman" w:cs="Times New Roman"/>
          <w:color w:val="212121"/>
          <w:sz w:val="24"/>
          <w:szCs w:val="24"/>
        </w:rPr>
        <w:t xml:space="preserve"> </w:t>
      </w:r>
      <w:r w:rsidR="00E84BA2">
        <w:rPr>
          <w:rFonts w:ascii="Times New Roman" w:hAnsi="Times New Roman" w:cs="Times New Roman"/>
          <w:color w:val="212121"/>
          <w:sz w:val="24"/>
          <w:szCs w:val="24"/>
        </w:rPr>
        <w:t xml:space="preserve">emerging </w:t>
      </w:r>
      <w:r w:rsidR="00CE7501" w:rsidRPr="003D208A">
        <w:rPr>
          <w:rFonts w:ascii="Times New Roman" w:hAnsi="Times New Roman" w:cs="Times New Roman"/>
          <w:color w:val="212121"/>
          <w:sz w:val="24"/>
          <w:szCs w:val="24"/>
        </w:rPr>
        <w:t>approaches</w:t>
      </w:r>
      <w:r w:rsidRPr="003D208A">
        <w:rPr>
          <w:rFonts w:ascii="Times New Roman" w:hAnsi="Times New Roman" w:cs="Times New Roman"/>
          <w:color w:val="212121"/>
          <w:sz w:val="24"/>
          <w:szCs w:val="24"/>
        </w:rPr>
        <w:t xml:space="preserve"> </w:t>
      </w:r>
      <w:r w:rsidR="00CE7501" w:rsidRPr="003D208A">
        <w:rPr>
          <w:rFonts w:ascii="Times New Roman" w:hAnsi="Times New Roman" w:cs="Times New Roman"/>
          <w:color w:val="212121"/>
          <w:sz w:val="24"/>
          <w:szCs w:val="24"/>
        </w:rPr>
        <w:t>to</w:t>
      </w:r>
      <w:r w:rsidRPr="003D208A">
        <w:rPr>
          <w:rFonts w:ascii="Times New Roman" w:hAnsi="Times New Roman" w:cs="Times New Roman"/>
          <w:color w:val="212121"/>
          <w:sz w:val="24"/>
          <w:szCs w:val="24"/>
        </w:rPr>
        <w:t xml:space="preserve"> </w:t>
      </w:r>
      <w:r w:rsidR="00BD2A82" w:rsidRPr="003D208A">
        <w:rPr>
          <w:rFonts w:ascii="Times New Roman" w:hAnsi="Times New Roman" w:cs="Times New Roman"/>
          <w:color w:val="212121"/>
          <w:sz w:val="24"/>
          <w:szCs w:val="24"/>
        </w:rPr>
        <w:t>regulat</w:t>
      </w:r>
      <w:r w:rsidR="00CE7501" w:rsidRPr="003D208A">
        <w:rPr>
          <w:rFonts w:ascii="Times New Roman" w:hAnsi="Times New Roman" w:cs="Times New Roman"/>
          <w:color w:val="212121"/>
          <w:sz w:val="24"/>
          <w:szCs w:val="24"/>
        </w:rPr>
        <w:t>ing</w:t>
      </w:r>
      <w:r w:rsidR="00BD2A82" w:rsidRPr="003D208A">
        <w:rPr>
          <w:rFonts w:ascii="Times New Roman" w:hAnsi="Times New Roman" w:cs="Times New Roman"/>
          <w:color w:val="212121"/>
          <w:sz w:val="24"/>
          <w:szCs w:val="24"/>
        </w:rPr>
        <w:t xml:space="preserve"> domestic (i.e. intra-UK) trade </w:t>
      </w:r>
      <w:r w:rsidRPr="003D208A">
        <w:rPr>
          <w:rFonts w:ascii="Times New Roman" w:hAnsi="Times New Roman" w:cs="Times New Roman"/>
          <w:color w:val="212121"/>
          <w:sz w:val="24"/>
          <w:szCs w:val="24"/>
        </w:rPr>
        <w:t>post-Brexit.</w:t>
      </w:r>
      <w:r w:rsidR="002F797B">
        <w:rPr>
          <w:rFonts w:ascii="Times New Roman" w:hAnsi="Times New Roman" w:cs="Times New Roman"/>
          <w:color w:val="212121"/>
          <w:sz w:val="24"/>
          <w:szCs w:val="24"/>
        </w:rPr>
        <w:t xml:space="preserve"> </w:t>
      </w:r>
      <w:r w:rsidR="00DD1F3A" w:rsidRPr="003D208A">
        <w:rPr>
          <w:rFonts w:ascii="Times New Roman" w:hAnsi="Times New Roman" w:cs="Times New Roman"/>
          <w:color w:val="212121"/>
          <w:sz w:val="24"/>
          <w:szCs w:val="24"/>
        </w:rPr>
        <w:t>A</w:t>
      </w:r>
      <w:r w:rsidR="00CE7501" w:rsidRPr="003D208A">
        <w:rPr>
          <w:rFonts w:ascii="Times New Roman" w:hAnsi="Times New Roman" w:cs="Times New Roman"/>
          <w:color w:val="212121"/>
          <w:sz w:val="24"/>
          <w:szCs w:val="24"/>
        </w:rPr>
        <w:t>dopting</w:t>
      </w:r>
      <w:r w:rsidR="00BD2A82" w:rsidRPr="003D208A">
        <w:rPr>
          <w:rFonts w:ascii="Times New Roman" w:hAnsi="Times New Roman" w:cs="Times New Roman"/>
          <w:color w:val="212121"/>
          <w:sz w:val="24"/>
          <w:szCs w:val="24"/>
        </w:rPr>
        <w:t xml:space="preserve"> </w:t>
      </w:r>
      <w:r w:rsidRPr="003D208A">
        <w:rPr>
          <w:rFonts w:ascii="Times New Roman" w:hAnsi="Times New Roman" w:cs="Times New Roman"/>
          <w:color w:val="212121"/>
          <w:sz w:val="24"/>
          <w:szCs w:val="24"/>
        </w:rPr>
        <w:t xml:space="preserve">this </w:t>
      </w:r>
      <w:r w:rsidR="00C15863">
        <w:rPr>
          <w:rFonts w:ascii="Times New Roman" w:hAnsi="Times New Roman" w:cs="Times New Roman"/>
          <w:color w:val="212121"/>
          <w:sz w:val="24"/>
          <w:szCs w:val="24"/>
        </w:rPr>
        <w:t>perspective</w:t>
      </w:r>
      <w:r w:rsidR="00CE7501" w:rsidRPr="003D208A">
        <w:rPr>
          <w:rFonts w:ascii="Times New Roman" w:hAnsi="Times New Roman" w:cs="Times New Roman"/>
          <w:color w:val="212121"/>
          <w:sz w:val="24"/>
          <w:szCs w:val="24"/>
        </w:rPr>
        <w:t xml:space="preserve">, we </w:t>
      </w:r>
      <w:r w:rsidR="00BD2A82" w:rsidRPr="003D208A">
        <w:rPr>
          <w:rFonts w:ascii="Times New Roman" w:hAnsi="Times New Roman" w:cs="Times New Roman"/>
          <w:color w:val="212121"/>
          <w:sz w:val="24"/>
          <w:szCs w:val="24"/>
        </w:rPr>
        <w:t>look</w:t>
      </w:r>
      <w:r w:rsidR="00CE7501" w:rsidRPr="003D208A">
        <w:rPr>
          <w:rFonts w:ascii="Times New Roman" w:hAnsi="Times New Roman" w:cs="Times New Roman"/>
          <w:color w:val="212121"/>
          <w:sz w:val="24"/>
          <w:szCs w:val="24"/>
        </w:rPr>
        <w:t xml:space="preserve"> </w:t>
      </w:r>
      <w:r w:rsidR="00BD2A82" w:rsidRPr="003D208A">
        <w:rPr>
          <w:rFonts w:ascii="Times New Roman" w:hAnsi="Times New Roman" w:cs="Times New Roman"/>
          <w:color w:val="212121"/>
          <w:sz w:val="24"/>
          <w:szCs w:val="24"/>
        </w:rPr>
        <w:t>beyond</w:t>
      </w:r>
      <w:r w:rsidRPr="003D208A">
        <w:rPr>
          <w:rFonts w:ascii="Times New Roman" w:hAnsi="Times New Roman" w:cs="Times New Roman"/>
          <w:color w:val="212121"/>
          <w:sz w:val="24"/>
          <w:szCs w:val="24"/>
        </w:rPr>
        <w:t xml:space="preserve"> the</w:t>
      </w:r>
      <w:r w:rsidR="00BD2A82" w:rsidRPr="003D208A">
        <w:rPr>
          <w:rFonts w:ascii="Times New Roman" w:hAnsi="Times New Roman" w:cs="Times New Roman"/>
          <w:color w:val="212121"/>
          <w:sz w:val="24"/>
          <w:szCs w:val="24"/>
        </w:rPr>
        <w:t xml:space="preserve"> enduring</w:t>
      </w:r>
      <w:r w:rsidRPr="003D208A">
        <w:rPr>
          <w:rFonts w:ascii="Times New Roman" w:hAnsi="Times New Roman" w:cs="Times New Roman"/>
          <w:color w:val="212121"/>
          <w:sz w:val="24"/>
          <w:szCs w:val="24"/>
        </w:rPr>
        <w:t xml:space="preserve"> lawyerly concern with questions of legislative competence</w:t>
      </w:r>
      <w:r w:rsidR="00ED5A7B">
        <w:rPr>
          <w:rStyle w:val="FootnoteReference"/>
          <w:rFonts w:ascii="Times New Roman" w:hAnsi="Times New Roman" w:cs="Times New Roman"/>
          <w:color w:val="212121"/>
          <w:sz w:val="24"/>
          <w:szCs w:val="24"/>
        </w:rPr>
        <w:footnoteReference w:id="10"/>
      </w:r>
      <w:r w:rsidR="00BD2A82" w:rsidRPr="003D208A">
        <w:rPr>
          <w:rFonts w:ascii="Times New Roman" w:hAnsi="Times New Roman" w:cs="Times New Roman"/>
          <w:color w:val="212121"/>
          <w:sz w:val="24"/>
          <w:szCs w:val="24"/>
        </w:rPr>
        <w:t xml:space="preserve"> </w:t>
      </w:r>
      <w:r w:rsidR="00E84BA2">
        <w:rPr>
          <w:rFonts w:ascii="Times New Roman" w:hAnsi="Times New Roman" w:cs="Times New Roman"/>
          <w:color w:val="212121"/>
          <w:sz w:val="24"/>
          <w:szCs w:val="24"/>
        </w:rPr>
        <w:t>and</w:t>
      </w:r>
      <w:r w:rsidRPr="003D208A">
        <w:rPr>
          <w:rFonts w:ascii="Times New Roman" w:hAnsi="Times New Roman" w:cs="Times New Roman"/>
          <w:color w:val="212121"/>
          <w:sz w:val="24"/>
          <w:szCs w:val="24"/>
        </w:rPr>
        <w:t xml:space="preserve"> the political scientists’ primary interest in the study of devolution through the prism of intergovernmental relations.</w:t>
      </w:r>
      <w:r w:rsidR="00496806">
        <w:rPr>
          <w:rStyle w:val="FootnoteReference"/>
          <w:rFonts w:ascii="Times New Roman" w:hAnsi="Times New Roman" w:cs="Times New Roman"/>
          <w:color w:val="212121"/>
          <w:sz w:val="24"/>
          <w:szCs w:val="24"/>
        </w:rPr>
        <w:footnoteReference w:id="11"/>
      </w:r>
      <w:r w:rsidRPr="003D208A">
        <w:rPr>
          <w:rFonts w:ascii="Times New Roman" w:hAnsi="Times New Roman" w:cs="Times New Roman"/>
          <w:color w:val="212121"/>
          <w:sz w:val="24"/>
          <w:szCs w:val="24"/>
        </w:rPr>
        <w:t xml:space="preserve"> Our particular focus </w:t>
      </w:r>
      <w:r w:rsidR="00BD2A82" w:rsidRPr="003D208A">
        <w:rPr>
          <w:rFonts w:ascii="Times New Roman" w:hAnsi="Times New Roman" w:cs="Times New Roman"/>
          <w:color w:val="212121"/>
          <w:sz w:val="24"/>
          <w:szCs w:val="24"/>
        </w:rPr>
        <w:t xml:space="preserve">is on a new tool of governance for the UK – the </w:t>
      </w:r>
      <w:r w:rsidR="00C439DA">
        <w:rPr>
          <w:rFonts w:ascii="Times New Roman" w:hAnsi="Times New Roman" w:cs="Times New Roman"/>
          <w:color w:val="212121"/>
          <w:sz w:val="24"/>
          <w:szCs w:val="24"/>
        </w:rPr>
        <w:t>C</w:t>
      </w:r>
      <w:r w:rsidR="00BD2A82" w:rsidRPr="003D208A">
        <w:rPr>
          <w:rFonts w:ascii="Times New Roman" w:hAnsi="Times New Roman" w:cs="Times New Roman"/>
          <w:color w:val="212121"/>
          <w:sz w:val="24"/>
          <w:szCs w:val="24"/>
        </w:rPr>
        <w:t xml:space="preserve">ommon </w:t>
      </w:r>
      <w:r w:rsidR="00C439DA">
        <w:rPr>
          <w:rFonts w:ascii="Times New Roman" w:hAnsi="Times New Roman" w:cs="Times New Roman"/>
          <w:color w:val="212121"/>
          <w:sz w:val="24"/>
          <w:szCs w:val="24"/>
        </w:rPr>
        <w:t>F</w:t>
      </w:r>
      <w:r w:rsidR="00BD2A82" w:rsidRPr="003D208A">
        <w:rPr>
          <w:rFonts w:ascii="Times New Roman" w:hAnsi="Times New Roman" w:cs="Times New Roman"/>
          <w:color w:val="212121"/>
          <w:sz w:val="24"/>
          <w:szCs w:val="24"/>
        </w:rPr>
        <w:t xml:space="preserve">rameworks, </w:t>
      </w:r>
      <w:r w:rsidR="00BD2A82" w:rsidRPr="003D208A">
        <w:rPr>
          <w:rFonts w:ascii="Times New Roman" w:hAnsi="Times New Roman" w:cs="Times New Roman"/>
          <w:sz w:val="24"/>
          <w:szCs w:val="24"/>
        </w:rPr>
        <w:t>a consensus-based collaborative intergovernmental approach to policymaking in areas of devolved competence</w:t>
      </w:r>
      <w:r w:rsidR="00E84BA2">
        <w:rPr>
          <w:rFonts w:ascii="Times New Roman" w:hAnsi="Times New Roman" w:cs="Times New Roman"/>
          <w:sz w:val="24"/>
          <w:szCs w:val="24"/>
        </w:rPr>
        <w:t xml:space="preserve"> previously falling within the scope of </w:t>
      </w:r>
      <w:r w:rsidR="00B14F5F">
        <w:rPr>
          <w:rFonts w:ascii="Times New Roman" w:hAnsi="Times New Roman" w:cs="Times New Roman"/>
          <w:sz w:val="24"/>
          <w:szCs w:val="24"/>
        </w:rPr>
        <w:t xml:space="preserve">the EU </w:t>
      </w:r>
      <w:r w:rsidR="00FA56CE">
        <w:rPr>
          <w:rFonts w:ascii="Times New Roman" w:hAnsi="Times New Roman" w:cs="Times New Roman"/>
          <w:sz w:val="24"/>
          <w:szCs w:val="24"/>
        </w:rPr>
        <w:t>Treaties</w:t>
      </w:r>
      <w:r w:rsidR="00BD2A82" w:rsidRPr="003D208A">
        <w:rPr>
          <w:rFonts w:ascii="Times New Roman" w:hAnsi="Times New Roman" w:cs="Times New Roman"/>
          <w:sz w:val="24"/>
          <w:szCs w:val="24"/>
        </w:rPr>
        <w:t xml:space="preserve">. The </w:t>
      </w:r>
      <w:r w:rsidR="00C439DA">
        <w:rPr>
          <w:rFonts w:ascii="Times New Roman" w:hAnsi="Times New Roman" w:cs="Times New Roman"/>
          <w:sz w:val="24"/>
          <w:szCs w:val="24"/>
        </w:rPr>
        <w:t>F</w:t>
      </w:r>
      <w:r w:rsidR="00BD2A82" w:rsidRPr="003D208A">
        <w:rPr>
          <w:rFonts w:ascii="Times New Roman" w:hAnsi="Times New Roman" w:cs="Times New Roman"/>
          <w:sz w:val="24"/>
          <w:szCs w:val="24"/>
        </w:rPr>
        <w:t>rameworks approach</w:t>
      </w:r>
      <w:r w:rsidR="003D0002" w:rsidRPr="003D208A">
        <w:rPr>
          <w:rFonts w:ascii="Times New Roman" w:hAnsi="Times New Roman" w:cs="Times New Roman"/>
          <w:sz w:val="24"/>
          <w:szCs w:val="24"/>
        </w:rPr>
        <w:t xml:space="preserve"> to managing intra-UK trade post-Brexit</w:t>
      </w:r>
      <w:r w:rsidR="00BD2A82" w:rsidRPr="003D208A">
        <w:rPr>
          <w:rFonts w:ascii="Times New Roman" w:hAnsi="Times New Roman" w:cs="Times New Roman"/>
          <w:sz w:val="24"/>
          <w:szCs w:val="24"/>
        </w:rPr>
        <w:t xml:space="preserve"> was introduced by intergovernmental agreement in 2017,</w:t>
      </w:r>
      <w:r w:rsidR="00D364DD">
        <w:rPr>
          <w:rStyle w:val="FootnoteReference"/>
          <w:rFonts w:ascii="Times New Roman" w:hAnsi="Times New Roman" w:cs="Times New Roman"/>
          <w:sz w:val="24"/>
          <w:szCs w:val="24"/>
        </w:rPr>
        <w:footnoteReference w:id="12"/>
      </w:r>
      <w:r w:rsidR="00BD2A82" w:rsidRPr="003D208A">
        <w:rPr>
          <w:rFonts w:ascii="Times New Roman" w:hAnsi="Times New Roman" w:cs="Times New Roman"/>
          <w:sz w:val="24"/>
          <w:szCs w:val="24"/>
        </w:rPr>
        <w:t xml:space="preserve"> and subsequently joined, and challenged, in this governance space by</w:t>
      </w:r>
      <w:r w:rsidR="00396DEE">
        <w:rPr>
          <w:rFonts w:ascii="Times New Roman" w:hAnsi="Times New Roman" w:cs="Times New Roman"/>
          <w:sz w:val="24"/>
          <w:szCs w:val="24"/>
        </w:rPr>
        <w:t xml:space="preserve"> the United Kingdom Internal Market Act 2020</w:t>
      </w:r>
      <w:r w:rsidR="00BD2A82" w:rsidRPr="003D208A">
        <w:rPr>
          <w:rFonts w:ascii="Times New Roman" w:hAnsi="Times New Roman" w:cs="Times New Roman"/>
          <w:sz w:val="24"/>
          <w:szCs w:val="24"/>
        </w:rPr>
        <w:t xml:space="preserve"> </w:t>
      </w:r>
      <w:r w:rsidR="00396DEE">
        <w:rPr>
          <w:rFonts w:ascii="Times New Roman" w:hAnsi="Times New Roman" w:cs="Times New Roman"/>
          <w:sz w:val="24"/>
          <w:szCs w:val="24"/>
        </w:rPr>
        <w:t>(</w:t>
      </w:r>
      <w:r w:rsidR="00BD2A82" w:rsidRPr="003D208A">
        <w:rPr>
          <w:rFonts w:ascii="Times New Roman" w:hAnsi="Times New Roman" w:cs="Times New Roman"/>
          <w:sz w:val="24"/>
          <w:szCs w:val="24"/>
        </w:rPr>
        <w:t>UKIMA</w:t>
      </w:r>
      <w:r w:rsidR="00396DEE">
        <w:rPr>
          <w:rFonts w:ascii="Times New Roman" w:hAnsi="Times New Roman" w:cs="Times New Roman"/>
          <w:sz w:val="24"/>
          <w:szCs w:val="24"/>
        </w:rPr>
        <w:t>)</w:t>
      </w:r>
      <w:r w:rsidR="00BD2A82" w:rsidRPr="003D208A">
        <w:rPr>
          <w:rFonts w:ascii="Times New Roman" w:hAnsi="Times New Roman" w:cs="Times New Roman"/>
          <w:sz w:val="24"/>
          <w:szCs w:val="24"/>
        </w:rPr>
        <w:t xml:space="preserve">. The latter Act, </w:t>
      </w:r>
      <w:r w:rsidR="00BD2A82" w:rsidRPr="003D208A">
        <w:rPr>
          <w:rFonts w:ascii="Times New Roman" w:hAnsi="Times New Roman" w:cs="Times New Roman"/>
          <w:color w:val="212121"/>
          <w:sz w:val="24"/>
          <w:szCs w:val="24"/>
        </w:rPr>
        <w:t>presented</w:t>
      </w:r>
      <w:r w:rsidR="003D0002" w:rsidRPr="003D208A">
        <w:rPr>
          <w:rFonts w:ascii="Times New Roman" w:hAnsi="Times New Roman" w:cs="Times New Roman"/>
          <w:color w:val="212121"/>
          <w:sz w:val="24"/>
          <w:szCs w:val="24"/>
        </w:rPr>
        <w:t xml:space="preserve"> by the Johnson government</w:t>
      </w:r>
      <w:r w:rsidR="00BD2A82" w:rsidRPr="003D208A">
        <w:rPr>
          <w:rFonts w:ascii="Times New Roman" w:hAnsi="Times New Roman" w:cs="Times New Roman"/>
          <w:color w:val="212121"/>
          <w:sz w:val="24"/>
          <w:szCs w:val="24"/>
        </w:rPr>
        <w:t xml:space="preserve"> as </w:t>
      </w:r>
      <w:r w:rsidR="00E84BA2">
        <w:rPr>
          <w:rFonts w:ascii="Times New Roman" w:hAnsi="Times New Roman" w:cs="Times New Roman"/>
          <w:color w:val="212121"/>
          <w:sz w:val="24"/>
          <w:szCs w:val="24"/>
        </w:rPr>
        <w:t>a</w:t>
      </w:r>
      <w:r w:rsidR="00BD2A82" w:rsidRPr="003D208A">
        <w:rPr>
          <w:rFonts w:ascii="Times New Roman" w:hAnsi="Times New Roman" w:cs="Times New Roman"/>
          <w:color w:val="212121"/>
          <w:sz w:val="24"/>
          <w:szCs w:val="24"/>
        </w:rPr>
        <w:t xml:space="preserve"> necessary solution to an assumed problem of potential regulatory divergence within </w:t>
      </w:r>
      <w:r w:rsidR="009603FF">
        <w:rPr>
          <w:rFonts w:ascii="Times New Roman" w:hAnsi="Times New Roman" w:cs="Times New Roman"/>
          <w:color w:val="212121"/>
          <w:sz w:val="24"/>
          <w:szCs w:val="24"/>
        </w:rPr>
        <w:t xml:space="preserve">the </w:t>
      </w:r>
      <w:r w:rsidR="00BD2A82" w:rsidRPr="003D208A">
        <w:rPr>
          <w:rFonts w:ascii="Times New Roman" w:hAnsi="Times New Roman" w:cs="Times New Roman"/>
          <w:color w:val="212121"/>
          <w:sz w:val="24"/>
          <w:szCs w:val="24"/>
        </w:rPr>
        <w:t>UK, is a stark example of market</w:t>
      </w:r>
      <w:r w:rsidR="00496806">
        <w:rPr>
          <w:rFonts w:ascii="Times New Roman" w:hAnsi="Times New Roman" w:cs="Times New Roman"/>
          <w:color w:val="212121"/>
          <w:sz w:val="24"/>
          <w:szCs w:val="24"/>
        </w:rPr>
        <w:t>-</w:t>
      </w:r>
      <w:r w:rsidR="00BD2A82" w:rsidRPr="003D208A">
        <w:rPr>
          <w:rFonts w:ascii="Times New Roman" w:hAnsi="Times New Roman" w:cs="Times New Roman"/>
          <w:color w:val="212121"/>
          <w:sz w:val="24"/>
          <w:szCs w:val="24"/>
        </w:rPr>
        <w:t>making through negative harmonisation, and one with profound consequences for the effective policy choices available to the</w:t>
      </w:r>
      <w:r w:rsidR="00E84BA2">
        <w:rPr>
          <w:rFonts w:ascii="Times New Roman" w:hAnsi="Times New Roman" w:cs="Times New Roman"/>
          <w:color w:val="212121"/>
          <w:sz w:val="24"/>
          <w:szCs w:val="24"/>
        </w:rPr>
        <w:t xml:space="preserve"> devolved governments at the</w:t>
      </w:r>
      <w:r w:rsidR="00BD2A82" w:rsidRPr="003D208A">
        <w:rPr>
          <w:rFonts w:ascii="Times New Roman" w:hAnsi="Times New Roman" w:cs="Times New Roman"/>
          <w:color w:val="212121"/>
          <w:sz w:val="24"/>
          <w:szCs w:val="24"/>
        </w:rPr>
        <w:t xml:space="preserve"> sub-state level. </w:t>
      </w:r>
    </w:p>
    <w:p w14:paraId="68787E80" w14:textId="34EC70B5" w:rsidR="00324902" w:rsidRPr="00CD1B0E" w:rsidRDefault="00324902" w:rsidP="00142246">
      <w:pPr>
        <w:pStyle w:val="NormalWeb"/>
        <w:shd w:val="clear" w:color="auto" w:fill="FFFFFF"/>
        <w:spacing w:before="0" w:beforeAutospacing="0" w:after="0" w:afterAutospacing="0" w:line="360" w:lineRule="auto"/>
        <w:ind w:firstLine="720"/>
        <w:jc w:val="both"/>
        <w:rPr>
          <w:color w:val="212121"/>
        </w:rPr>
      </w:pPr>
      <w:r>
        <w:t xml:space="preserve">In Section 1, we explore </w:t>
      </w:r>
      <w:r w:rsidRPr="00415C4C">
        <w:t xml:space="preserve">the practice of positive harmonisation in the EU context and its </w:t>
      </w:r>
      <w:r w:rsidR="00891825">
        <w:t>impact</w:t>
      </w:r>
      <w:r w:rsidRPr="00415C4C">
        <w:t xml:space="preserve"> </w:t>
      </w:r>
      <w:r w:rsidR="00891825">
        <w:t>on</w:t>
      </w:r>
      <w:r w:rsidRPr="00415C4C">
        <w:t xml:space="preserve"> the devolution settlements in the UK, before</w:t>
      </w:r>
      <w:r>
        <w:t xml:space="preserve"> </w:t>
      </w:r>
      <w:r w:rsidR="00E4092B">
        <w:t>examining</w:t>
      </w:r>
      <w:r w:rsidRPr="00415C4C">
        <w:t xml:space="preserve"> </w:t>
      </w:r>
      <w:r w:rsidR="00E4092B">
        <w:t>existing domestic</w:t>
      </w:r>
      <w:r w:rsidRPr="00415C4C">
        <w:t xml:space="preserve"> mechanisms for positive </w:t>
      </w:r>
      <w:r w:rsidR="00424DC8" w:rsidRPr="00EB5075">
        <w:t>harmonisation</w:t>
      </w:r>
      <w:r w:rsidRPr="00EB5075">
        <w:t xml:space="preserve">. </w:t>
      </w:r>
      <w:r w:rsidR="00FE05E3" w:rsidRPr="00EB5075">
        <w:t>Section</w:t>
      </w:r>
      <w:r w:rsidRPr="00EB5075">
        <w:t xml:space="preserve"> 2 turns to explore the Common Frameworks as </w:t>
      </w:r>
      <w:r w:rsidR="00237AB2" w:rsidRPr="00EB5075">
        <w:t>tools</w:t>
      </w:r>
      <w:r w:rsidRPr="00EB5075">
        <w:t xml:space="preserve"> of positive harmonisation, drawing</w:t>
      </w:r>
      <w:r>
        <w:t xml:space="preserve"> attention to their potential</w:t>
      </w:r>
      <w:r w:rsidR="00237AB2">
        <w:t xml:space="preserve"> functioning</w:t>
      </w:r>
      <w:r>
        <w:t xml:space="preserve"> as instruments </w:t>
      </w:r>
      <w:r w:rsidR="00237AB2">
        <w:t>for</w:t>
      </w:r>
      <w:r>
        <w:t xml:space="preserve"> shared rule in areas of devolved policymaking that were previously within the scope of the EU Treaties. </w:t>
      </w:r>
      <w:r w:rsidRPr="00CE7501">
        <w:t xml:space="preserve">In </w:t>
      </w:r>
      <w:r w:rsidR="00FE05E3">
        <w:t>S</w:t>
      </w:r>
      <w:r w:rsidRPr="00CE7501">
        <w:t xml:space="preserve">ection 3, we place the Frameworks alongside the UKIMA as an instrument of negative </w:t>
      </w:r>
      <w:r w:rsidR="00681A2F">
        <w:t>harmonisation</w:t>
      </w:r>
      <w:r w:rsidRPr="00CE7501">
        <w:t xml:space="preserve"> and consider the emerging balance being struck between negative and positive harmonisation post-Brexi</w:t>
      </w:r>
      <w:r>
        <w:t>t. Section 4</w:t>
      </w:r>
      <w:r w:rsidR="00A73789">
        <w:t xml:space="preserve"> then</w:t>
      </w:r>
      <w:r>
        <w:t xml:space="preserve"> reflects on </w:t>
      </w:r>
      <w:r w:rsidRPr="00184F0B">
        <w:rPr>
          <w:color w:val="212121"/>
        </w:rPr>
        <w:t xml:space="preserve">factors conditioning the operation of the Common Frameworks as positive </w:t>
      </w:r>
      <w:r w:rsidR="00681A2F">
        <w:rPr>
          <w:color w:val="212121"/>
        </w:rPr>
        <w:t>harmonisation</w:t>
      </w:r>
      <w:r w:rsidRPr="00184F0B">
        <w:rPr>
          <w:color w:val="212121"/>
        </w:rPr>
        <w:t xml:space="preserve"> </w:t>
      </w:r>
      <w:r w:rsidRPr="00016842">
        <w:rPr>
          <w:color w:val="212121"/>
        </w:rPr>
        <w:t>tools</w:t>
      </w:r>
      <w:r w:rsidR="00A73789">
        <w:rPr>
          <w:color w:val="212121"/>
        </w:rPr>
        <w:t>. Here</w:t>
      </w:r>
      <w:r w:rsidRPr="00016842">
        <w:rPr>
          <w:color w:val="212121"/>
        </w:rPr>
        <w:t xml:space="preserve"> </w:t>
      </w:r>
      <w:r>
        <w:rPr>
          <w:color w:val="212121"/>
        </w:rPr>
        <w:t>we</w:t>
      </w:r>
      <w:r w:rsidR="00A73789">
        <w:rPr>
          <w:color w:val="212121"/>
        </w:rPr>
        <w:t xml:space="preserve"> identify three issues</w:t>
      </w:r>
      <w:r>
        <w:rPr>
          <w:color w:val="212121"/>
        </w:rPr>
        <w:t xml:space="preserve"> </w:t>
      </w:r>
      <w:r w:rsidRPr="00016842">
        <w:rPr>
          <w:color w:val="212121"/>
        </w:rPr>
        <w:t xml:space="preserve">restricting their </w:t>
      </w:r>
      <w:r>
        <w:rPr>
          <w:color w:val="212121"/>
        </w:rPr>
        <w:t xml:space="preserve">potential </w:t>
      </w:r>
      <w:r w:rsidRPr="00016842">
        <w:rPr>
          <w:color w:val="212121"/>
        </w:rPr>
        <w:t>as instruments for effective substantive policy coordination between the UK and devolved governments</w:t>
      </w:r>
      <w:r w:rsidR="00A73789">
        <w:rPr>
          <w:color w:val="212121"/>
        </w:rPr>
        <w:t xml:space="preserve">: a lack of consensus around the UK </w:t>
      </w:r>
      <w:r w:rsidR="00A73789">
        <w:rPr>
          <w:color w:val="212121"/>
        </w:rPr>
        <w:lastRenderedPageBreak/>
        <w:t xml:space="preserve">internal market as a regulatory object; the polarising effect of changes in political context post-Brexit; and the </w:t>
      </w:r>
      <w:r w:rsidR="00A73789" w:rsidRPr="00CD1B0E">
        <w:rPr>
          <w:color w:val="212121"/>
        </w:rPr>
        <w:t xml:space="preserve">enduring problem of structural imbalances privileging UK </w:t>
      </w:r>
      <w:r w:rsidR="00EF6705" w:rsidRPr="00CD1B0E">
        <w:rPr>
          <w:color w:val="212121"/>
        </w:rPr>
        <w:t>government influence</w:t>
      </w:r>
      <w:r w:rsidR="00A73789" w:rsidRPr="00CD1B0E">
        <w:rPr>
          <w:color w:val="212121"/>
        </w:rPr>
        <w:t xml:space="preserve"> in mechanisms for shared rule, including the Common Frameworks.</w:t>
      </w:r>
      <w:r w:rsidR="002644F0" w:rsidRPr="00CD1B0E">
        <w:rPr>
          <w:color w:val="212121"/>
        </w:rPr>
        <w:t xml:space="preserve"> </w:t>
      </w:r>
      <w:r w:rsidR="00B94910" w:rsidRPr="00CD1B0E">
        <w:rPr>
          <w:color w:val="212121"/>
        </w:rPr>
        <w:t xml:space="preserve">Whilst the Common Frameworks involve all four governments, </w:t>
      </w:r>
      <w:r w:rsidR="0097674B" w:rsidRPr="00CD1B0E">
        <w:rPr>
          <w:color w:val="212121"/>
        </w:rPr>
        <w:t xml:space="preserve">the position of Northern Ireland is especially complex, </w:t>
      </w:r>
      <w:r w:rsidR="007C20A8" w:rsidRPr="00CD1B0E">
        <w:rPr>
          <w:color w:val="212121"/>
        </w:rPr>
        <w:t xml:space="preserve">given the shifting application of aspects of EU law under the Northern Ireland Protocol/Windsor Framework, and the </w:t>
      </w:r>
      <w:r w:rsidR="003851F3" w:rsidRPr="00CD1B0E">
        <w:rPr>
          <w:color w:val="212121"/>
        </w:rPr>
        <w:t>absence of elected representatives a</w:t>
      </w:r>
      <w:r w:rsidR="00300B34" w:rsidRPr="00CD1B0E">
        <w:rPr>
          <w:color w:val="212121"/>
        </w:rPr>
        <w:t>t</w:t>
      </w:r>
      <w:r w:rsidR="003851F3" w:rsidRPr="00CD1B0E">
        <w:rPr>
          <w:color w:val="212121"/>
        </w:rPr>
        <w:t xml:space="preserve"> S</w:t>
      </w:r>
      <w:r w:rsidR="00252733" w:rsidRPr="00CD1B0E">
        <w:rPr>
          <w:color w:val="212121"/>
        </w:rPr>
        <w:t>tormont</w:t>
      </w:r>
      <w:r w:rsidR="00300B34" w:rsidRPr="00CD1B0E">
        <w:rPr>
          <w:color w:val="212121"/>
        </w:rPr>
        <w:t xml:space="preserve">. </w:t>
      </w:r>
      <w:r w:rsidR="006A2B16" w:rsidRPr="00CD1B0E">
        <w:rPr>
          <w:color w:val="212121"/>
        </w:rPr>
        <w:t xml:space="preserve">Our focus in this contribution </w:t>
      </w:r>
      <w:r w:rsidR="005314F7" w:rsidRPr="00CD1B0E">
        <w:rPr>
          <w:color w:val="212121"/>
        </w:rPr>
        <w:t xml:space="preserve">thus </w:t>
      </w:r>
      <w:r w:rsidR="006A2B16" w:rsidRPr="00CD1B0E">
        <w:rPr>
          <w:color w:val="212121"/>
        </w:rPr>
        <w:t xml:space="preserve">rests particularly on the narrower GB operation of the </w:t>
      </w:r>
      <w:r w:rsidR="005314F7" w:rsidRPr="00CD1B0E">
        <w:rPr>
          <w:color w:val="212121"/>
        </w:rPr>
        <w:t xml:space="preserve">domestic internal market. </w:t>
      </w:r>
    </w:p>
    <w:p w14:paraId="5E5B837D" w14:textId="7CF8DD86" w:rsidR="002F797B" w:rsidRDefault="00DF6E75" w:rsidP="002F797B">
      <w:pPr>
        <w:pStyle w:val="NormalWeb"/>
        <w:shd w:val="clear" w:color="auto" w:fill="FFFFFF"/>
        <w:spacing w:before="0" w:beforeAutospacing="0" w:after="0" w:afterAutospacing="0" w:line="360" w:lineRule="auto"/>
        <w:ind w:firstLine="720"/>
        <w:jc w:val="both"/>
        <w:rPr>
          <w:color w:val="212121"/>
        </w:rPr>
      </w:pPr>
      <w:r w:rsidRPr="00CD1B0E">
        <w:rPr>
          <w:color w:val="212121"/>
        </w:rPr>
        <w:t>As a point of departure</w:t>
      </w:r>
      <w:r w:rsidR="00053D8B" w:rsidRPr="00CD1B0E">
        <w:rPr>
          <w:color w:val="212121"/>
        </w:rPr>
        <w:t>, t</w:t>
      </w:r>
      <w:r w:rsidR="000E4F10" w:rsidRPr="00CD1B0E">
        <w:rPr>
          <w:color w:val="212121"/>
        </w:rPr>
        <w:t>he UK’s</w:t>
      </w:r>
      <w:r w:rsidR="000E4F10" w:rsidRPr="00EB5075">
        <w:rPr>
          <w:color w:val="212121"/>
        </w:rPr>
        <w:t xml:space="preserve"> experience of devolution</w:t>
      </w:r>
      <w:r w:rsidR="004536B8" w:rsidRPr="00EB5075">
        <w:rPr>
          <w:color w:val="212121"/>
        </w:rPr>
        <w:t xml:space="preserve"> </w:t>
      </w:r>
      <w:r w:rsidR="000E4F10" w:rsidRPr="00EB5075">
        <w:rPr>
          <w:color w:val="212121"/>
        </w:rPr>
        <w:t xml:space="preserve">is distinctive in </w:t>
      </w:r>
      <w:r w:rsidR="004536B8" w:rsidRPr="00EB5075">
        <w:rPr>
          <w:color w:val="212121"/>
        </w:rPr>
        <w:t>that, pre-Brexit,</w:t>
      </w:r>
      <w:r w:rsidR="000E4F10" w:rsidRPr="00EB5075">
        <w:rPr>
          <w:color w:val="212121"/>
        </w:rPr>
        <w:t xml:space="preserve"> it did not </w:t>
      </w:r>
      <w:r w:rsidR="00A73789" w:rsidRPr="00EB5075">
        <w:rPr>
          <w:color w:val="212121"/>
        </w:rPr>
        <w:t>involve</w:t>
      </w:r>
      <w:r w:rsidR="000E4F10" w:rsidRPr="00EB5075">
        <w:rPr>
          <w:color w:val="212121"/>
        </w:rPr>
        <w:t xml:space="preserve"> the creation of specific domestic instruments for positive or negative</w:t>
      </w:r>
      <w:r w:rsidR="000E4F10">
        <w:rPr>
          <w:color w:val="212121"/>
        </w:rPr>
        <w:t xml:space="preserve"> harmonisation.</w:t>
      </w:r>
      <w:r w:rsidR="00BA5AD7">
        <w:rPr>
          <w:rStyle w:val="FootnoteReference"/>
          <w:color w:val="212121"/>
        </w:rPr>
        <w:footnoteReference w:id="13"/>
      </w:r>
      <w:r w:rsidR="000E4F10">
        <w:rPr>
          <w:color w:val="212121"/>
        </w:rPr>
        <w:t xml:space="preserve"> In policy terms, the approach</w:t>
      </w:r>
      <w:r w:rsidR="00A73789">
        <w:rPr>
          <w:color w:val="212121"/>
        </w:rPr>
        <w:t xml:space="preserve"> </w:t>
      </w:r>
      <w:r w:rsidR="000E4F10">
        <w:rPr>
          <w:color w:val="212121"/>
        </w:rPr>
        <w:t xml:space="preserve">was essentially one of ‘devolve and forget’ rather than devolve and coordinate jointly. </w:t>
      </w:r>
      <w:r w:rsidR="00546A99">
        <w:rPr>
          <w:color w:val="212121"/>
        </w:rPr>
        <w:t>Devolution was also inherently asymmetrical, not extending to cover England as the largest and economically most powerful of the four UK nations.</w:t>
      </w:r>
      <w:r w:rsidR="00F85C36">
        <w:rPr>
          <w:rStyle w:val="FootnoteReference"/>
          <w:color w:val="212121"/>
        </w:rPr>
        <w:footnoteReference w:id="14"/>
      </w:r>
      <w:r w:rsidR="00546A99">
        <w:rPr>
          <w:color w:val="212121"/>
        </w:rPr>
        <w:t xml:space="preserve"> </w:t>
      </w:r>
      <w:r w:rsidR="000E4F10">
        <w:rPr>
          <w:color w:val="212121"/>
        </w:rPr>
        <w:t>The space to balance self-and shared rule was</w:t>
      </w:r>
      <w:r w:rsidR="00DB2713">
        <w:rPr>
          <w:color w:val="212121"/>
        </w:rPr>
        <w:t xml:space="preserve"> instead</w:t>
      </w:r>
      <w:r w:rsidR="000E4F10">
        <w:rPr>
          <w:color w:val="212121"/>
        </w:rPr>
        <w:t xml:space="preserve"> largely occupied by EU principles and structures, including in relation to the management of intra-</w:t>
      </w:r>
      <w:r w:rsidR="00053D8B">
        <w:rPr>
          <w:color w:val="212121"/>
        </w:rPr>
        <w:t>UK</w:t>
      </w:r>
      <w:r w:rsidR="000E4F10">
        <w:rPr>
          <w:color w:val="212121"/>
        </w:rPr>
        <w:t xml:space="preserve"> trade.</w:t>
      </w:r>
      <w:r w:rsidR="007669E5">
        <w:rPr>
          <w:rStyle w:val="FootnoteReference"/>
          <w:color w:val="212121"/>
        </w:rPr>
        <w:footnoteReference w:id="15"/>
      </w:r>
      <w:r w:rsidR="000E4F10">
        <w:rPr>
          <w:color w:val="212121"/>
        </w:rPr>
        <w:t xml:space="preserve"> Brexit decoupled the UK’s territorial constitution from this architecture</w:t>
      </w:r>
      <w:r w:rsidR="00D129F6">
        <w:rPr>
          <w:color w:val="212121"/>
        </w:rPr>
        <w:t xml:space="preserve">, requiring the UK and devolved governments to </w:t>
      </w:r>
      <w:r w:rsidR="00546A99">
        <w:rPr>
          <w:color w:val="212121"/>
        </w:rPr>
        <w:t>arrive at</w:t>
      </w:r>
      <w:r w:rsidR="00D129F6">
        <w:rPr>
          <w:color w:val="212121"/>
        </w:rPr>
        <w:t xml:space="preserve"> a </w:t>
      </w:r>
      <w:r w:rsidR="00546A99">
        <w:rPr>
          <w:color w:val="212121"/>
        </w:rPr>
        <w:t>fresh</w:t>
      </w:r>
      <w:r w:rsidR="00D129F6">
        <w:rPr>
          <w:color w:val="212121"/>
        </w:rPr>
        <w:t xml:space="preserve"> consensus regarding the </w:t>
      </w:r>
      <w:r w:rsidR="00B2512E">
        <w:rPr>
          <w:color w:val="212121"/>
        </w:rPr>
        <w:t xml:space="preserve">principles and structures of </w:t>
      </w:r>
      <w:r w:rsidR="007C115E">
        <w:rPr>
          <w:color w:val="212121"/>
        </w:rPr>
        <w:t>a</w:t>
      </w:r>
      <w:r w:rsidR="00557318">
        <w:rPr>
          <w:color w:val="212121"/>
        </w:rPr>
        <w:t xml:space="preserve"> </w:t>
      </w:r>
      <w:r w:rsidR="00546A99">
        <w:rPr>
          <w:color w:val="212121"/>
        </w:rPr>
        <w:t xml:space="preserve">newly </w:t>
      </w:r>
      <w:r w:rsidR="00B2512E">
        <w:rPr>
          <w:color w:val="212121"/>
        </w:rPr>
        <w:t xml:space="preserve">reconstituted domestic </w:t>
      </w:r>
      <w:r w:rsidR="008B0A54">
        <w:rPr>
          <w:color w:val="212121"/>
        </w:rPr>
        <w:t xml:space="preserve">internal market. </w:t>
      </w:r>
      <w:r w:rsidR="00CA06CA">
        <w:rPr>
          <w:color w:val="212121"/>
        </w:rPr>
        <w:t xml:space="preserve">Our analysis of the Common Frameworks and UKIMA as instruments of positive and negative harmonisation, respectively, (and their interaction) evidences </w:t>
      </w:r>
      <w:r w:rsidR="00053D8B">
        <w:rPr>
          <w:color w:val="212121"/>
        </w:rPr>
        <w:t>the</w:t>
      </w:r>
      <w:r w:rsidR="009952BE">
        <w:rPr>
          <w:color w:val="212121"/>
        </w:rPr>
        <w:t xml:space="preserve"> struggle to do so </w:t>
      </w:r>
      <w:r w:rsidR="002F797B">
        <w:rPr>
          <w:color w:val="212121"/>
        </w:rPr>
        <w:t xml:space="preserve">effectively </w:t>
      </w:r>
      <w:r w:rsidR="000A3BFA">
        <w:rPr>
          <w:color w:val="212121"/>
        </w:rPr>
        <w:t>thus</w:t>
      </w:r>
      <w:r w:rsidR="009952BE">
        <w:rPr>
          <w:color w:val="212121"/>
        </w:rPr>
        <w:t xml:space="preserve"> far.</w:t>
      </w:r>
    </w:p>
    <w:p w14:paraId="14875BF3" w14:textId="31151DE3" w:rsidR="004E5F80" w:rsidRDefault="005B3481" w:rsidP="00F26EEA">
      <w:pPr>
        <w:pStyle w:val="NormalWeb"/>
        <w:shd w:val="clear" w:color="auto" w:fill="FFFFFF"/>
        <w:spacing w:before="0" w:beforeAutospacing="0" w:after="0" w:afterAutospacing="0" w:line="360" w:lineRule="auto"/>
        <w:ind w:firstLine="720"/>
        <w:jc w:val="both"/>
      </w:pPr>
      <w:r>
        <w:rPr>
          <w:color w:val="212121"/>
        </w:rPr>
        <w:t xml:space="preserve">The space that the Common Frameworks and UKIMA now occupy remains politically </w:t>
      </w:r>
      <w:r w:rsidR="00597C4F">
        <w:rPr>
          <w:color w:val="212121"/>
        </w:rPr>
        <w:t xml:space="preserve">contested, with Brexit </w:t>
      </w:r>
      <w:r w:rsidR="00220129">
        <w:rPr>
          <w:color w:val="212121"/>
        </w:rPr>
        <w:t xml:space="preserve">exacerbating </w:t>
      </w:r>
      <w:r w:rsidR="0009797B">
        <w:rPr>
          <w:color w:val="212121"/>
        </w:rPr>
        <w:t>rather than reducing</w:t>
      </w:r>
      <w:r w:rsidR="000A3BFA">
        <w:rPr>
          <w:color w:val="212121"/>
        </w:rPr>
        <w:t xml:space="preserve"> political</w:t>
      </w:r>
      <w:r w:rsidR="0009797B">
        <w:rPr>
          <w:color w:val="212121"/>
        </w:rPr>
        <w:t xml:space="preserve"> </w:t>
      </w:r>
      <w:r w:rsidR="00340850">
        <w:rPr>
          <w:color w:val="212121"/>
        </w:rPr>
        <w:t>tension</w:t>
      </w:r>
      <w:r w:rsidR="000A3BFA">
        <w:rPr>
          <w:color w:val="212121"/>
        </w:rPr>
        <w:t>s</w:t>
      </w:r>
      <w:r w:rsidR="00340850">
        <w:rPr>
          <w:color w:val="212121"/>
        </w:rPr>
        <w:t xml:space="preserve"> between the UK and devolved governments</w:t>
      </w:r>
      <w:r w:rsidR="004700E6">
        <w:rPr>
          <w:color w:val="212121"/>
        </w:rPr>
        <w:t>.</w:t>
      </w:r>
      <w:r w:rsidR="000E060A" w:rsidRPr="000E060A">
        <w:t xml:space="preserve"> </w:t>
      </w:r>
      <w:r w:rsidR="002F797B">
        <w:t>Viewed from Cardiff and Edinburgh</w:t>
      </w:r>
      <w:r w:rsidR="002F797B" w:rsidRPr="002F797B">
        <w:t xml:space="preserve">, the repatriation of EU </w:t>
      </w:r>
      <w:r w:rsidR="002F797B">
        <w:t xml:space="preserve">powers </w:t>
      </w:r>
      <w:r w:rsidR="002F797B" w:rsidRPr="002F797B">
        <w:t xml:space="preserve">marks </w:t>
      </w:r>
      <w:r w:rsidR="002F797B">
        <w:t>the</w:t>
      </w:r>
      <w:r w:rsidR="002F797B" w:rsidRPr="002F797B">
        <w:t xml:space="preserve"> point at which </w:t>
      </w:r>
      <w:r w:rsidR="002F797B">
        <w:t xml:space="preserve">regulatory control </w:t>
      </w:r>
      <w:r w:rsidR="002F797B" w:rsidRPr="002F797B">
        <w:t xml:space="preserve">in areas </w:t>
      </w:r>
      <w:r w:rsidR="00C777D0">
        <w:t xml:space="preserve">of devolved competence </w:t>
      </w:r>
      <w:r w:rsidR="002F797B" w:rsidRPr="002F797B">
        <w:t>previously governed by EU law should incre</w:t>
      </w:r>
      <w:r w:rsidR="002F797B">
        <w:t xml:space="preserve">ase </w:t>
      </w:r>
      <w:r w:rsidR="002F797B" w:rsidRPr="002F797B">
        <w:t xml:space="preserve">to </w:t>
      </w:r>
      <w:r w:rsidR="000A3BFA">
        <w:t>expand</w:t>
      </w:r>
      <w:r w:rsidR="00053D8B">
        <w:t xml:space="preserve"> the scope for</w:t>
      </w:r>
      <w:r w:rsidR="000A3BFA">
        <w:t xml:space="preserve"> </w:t>
      </w:r>
      <w:r w:rsidR="002F797B" w:rsidRPr="002F797B">
        <w:t>democratic self-rule.</w:t>
      </w:r>
      <w:r w:rsidR="002F797B">
        <w:t xml:space="preserve"> </w:t>
      </w:r>
      <w:r w:rsidR="00D22C03">
        <w:t>Contrastingly</w:t>
      </w:r>
      <w:r w:rsidR="000E060A">
        <w:t xml:space="preserve">, the UK government </w:t>
      </w:r>
      <w:r w:rsidR="002F797B">
        <w:t>appears</w:t>
      </w:r>
      <w:r w:rsidR="00053D8B">
        <w:t xml:space="preserve"> </w:t>
      </w:r>
      <w:r w:rsidR="00CC2C9B">
        <w:t>inten</w:t>
      </w:r>
      <w:r w:rsidR="002F797B">
        <w:t>t</w:t>
      </w:r>
      <w:r w:rsidR="00053D8B">
        <w:t>, post-Brexit,</w:t>
      </w:r>
      <w:r w:rsidR="00CC2C9B">
        <w:t xml:space="preserve"> on coordinating</w:t>
      </w:r>
      <w:r w:rsidR="000A3BFA">
        <w:t xml:space="preserve"> </w:t>
      </w:r>
      <w:r w:rsidR="00CC2C9B">
        <w:t xml:space="preserve">intra-UK regulatory policy </w:t>
      </w:r>
      <w:r w:rsidR="000A3BFA">
        <w:t xml:space="preserve">prospectively </w:t>
      </w:r>
      <w:r w:rsidR="00CC2C9B">
        <w:t xml:space="preserve">as an exercise </w:t>
      </w:r>
      <w:r w:rsidR="00053D8B">
        <w:t>in</w:t>
      </w:r>
      <w:r w:rsidR="00CC2C9B">
        <w:t xml:space="preserve"> shared</w:t>
      </w:r>
      <w:r w:rsidR="00053D8B">
        <w:t>, not self-</w:t>
      </w:r>
      <w:r w:rsidR="00CC2C9B">
        <w:t>rule. But without</w:t>
      </w:r>
      <w:r w:rsidR="00E9207B">
        <w:t xml:space="preserve"> </w:t>
      </w:r>
      <w:r w:rsidR="00053D8B">
        <w:t>the</w:t>
      </w:r>
      <w:r w:rsidR="00E9207B">
        <w:t xml:space="preserve"> principles and structures</w:t>
      </w:r>
      <w:r w:rsidR="00053D8B">
        <w:t xml:space="preserve"> of the EU internal market</w:t>
      </w:r>
      <w:r w:rsidR="000A3BFA">
        <w:t xml:space="preserve"> in place</w:t>
      </w:r>
      <w:r w:rsidR="00C20C24">
        <w:t xml:space="preserve"> </w:t>
      </w:r>
      <w:r w:rsidR="00E9207B">
        <w:t>as constitutional guardrails</w:t>
      </w:r>
      <w:r w:rsidR="00CC2C9B">
        <w:t xml:space="preserve">, its </w:t>
      </w:r>
      <w:r w:rsidR="00CC2C9B">
        <w:lastRenderedPageBreak/>
        <w:t xml:space="preserve">efforts </w:t>
      </w:r>
      <w:r w:rsidR="00E9207B">
        <w:t xml:space="preserve">to achieve this, including through the Common Frameworks, </w:t>
      </w:r>
      <w:r w:rsidR="000A3BFA">
        <w:t xml:space="preserve">are </w:t>
      </w:r>
      <w:r w:rsidR="00200511">
        <w:t>collaps</w:t>
      </w:r>
      <w:r w:rsidR="000A3BFA">
        <w:t>ing</w:t>
      </w:r>
      <w:r w:rsidR="00200511">
        <w:t xml:space="preserve"> under the weight of its attachment to a theory of the UK’s territorial constitution</w:t>
      </w:r>
      <w:r w:rsidR="000F06E6">
        <w:t xml:space="preserve"> that</w:t>
      </w:r>
      <w:r w:rsidR="005A2D2E">
        <w:t xml:space="preserve">, by default, prioritises </w:t>
      </w:r>
      <w:r w:rsidR="00053D8B">
        <w:t>control from the centre</w:t>
      </w:r>
      <w:r w:rsidR="005A2D2E">
        <w:t xml:space="preserve">. </w:t>
      </w:r>
      <w:r w:rsidR="00C777D0">
        <w:t>The UK government’s</w:t>
      </w:r>
      <w:r w:rsidR="000A3BFA">
        <w:t xml:space="preserve"> controlling</w:t>
      </w:r>
      <w:r w:rsidR="00C777D0">
        <w:t xml:space="preserve"> impulse</w:t>
      </w:r>
      <w:r w:rsidR="000A3BFA">
        <w:t>s</w:t>
      </w:r>
      <w:r w:rsidR="00C777D0">
        <w:t xml:space="preserve"> </w:t>
      </w:r>
      <w:r w:rsidR="000A3BFA">
        <w:t>are</w:t>
      </w:r>
      <w:r w:rsidR="00C777D0">
        <w:t xml:space="preserve"> evident not only through its enactment of the UKIMA </w:t>
      </w:r>
      <w:r w:rsidR="00F26EEA">
        <w:t>without</w:t>
      </w:r>
      <w:r w:rsidR="00053D8B">
        <w:t xml:space="preserve"> </w:t>
      </w:r>
      <w:r w:rsidR="00F26EEA">
        <w:t>the consent of</w:t>
      </w:r>
      <w:r w:rsidR="00C777D0">
        <w:t xml:space="preserve"> the devolved governments</w:t>
      </w:r>
      <w:r w:rsidR="00C20C24">
        <w:t xml:space="preserve">, but also in its </w:t>
      </w:r>
      <w:r w:rsidR="000A3BFA">
        <w:t>emerging</w:t>
      </w:r>
      <w:r w:rsidR="00C20C24">
        <w:t xml:space="preserve"> approach to</w:t>
      </w:r>
      <w:r w:rsidR="000A3BFA">
        <w:t xml:space="preserve"> policy coordination through</w:t>
      </w:r>
      <w:r w:rsidR="00C20C24">
        <w:t xml:space="preserve"> the Common Framework</w:t>
      </w:r>
      <w:r w:rsidR="000A3BFA">
        <w:t>s as instruments of shared rule.</w:t>
      </w:r>
      <w:r w:rsidR="009E0AA8">
        <w:t xml:space="preserve"> </w:t>
      </w:r>
      <w:r w:rsidR="004835C3">
        <w:t xml:space="preserve">As we conclude, </w:t>
      </w:r>
      <w:r w:rsidR="00F26EEA">
        <w:t xml:space="preserve">internal market governance will remain contested </w:t>
      </w:r>
      <w:r w:rsidR="00C20C24">
        <w:t xml:space="preserve">for as long as the UK remains tied to a constitutional framework that </w:t>
      </w:r>
      <w:r w:rsidR="00F128AE">
        <w:t>requires mechanisms for positive (and negative) harmonisation to operate under the shadow of the</w:t>
      </w:r>
      <w:r w:rsidR="00107A45">
        <w:t xml:space="preserve"> </w:t>
      </w:r>
      <w:r w:rsidR="00F26EEA">
        <w:t xml:space="preserve">present </w:t>
      </w:r>
      <w:r w:rsidR="00F128AE">
        <w:t>constitution</w:t>
      </w:r>
      <w:r w:rsidR="004E60C5">
        <w:t>.</w:t>
      </w:r>
    </w:p>
    <w:p w14:paraId="033AFE67" w14:textId="1A7010DF" w:rsidR="00415C4C" w:rsidRPr="00415C4C" w:rsidRDefault="00237AB2" w:rsidP="007A41E1">
      <w:pPr>
        <w:pStyle w:val="NormalWeb"/>
        <w:shd w:val="clear" w:color="auto" w:fill="FFFFFF"/>
        <w:spacing w:before="240" w:beforeAutospacing="0" w:after="240" w:afterAutospacing="0" w:line="360" w:lineRule="auto"/>
        <w:jc w:val="both"/>
        <w:rPr>
          <w:b/>
          <w:bCs/>
        </w:rPr>
      </w:pPr>
      <w:r>
        <w:rPr>
          <w:b/>
          <w:bCs/>
        </w:rPr>
        <w:t xml:space="preserve">1. </w:t>
      </w:r>
      <w:r w:rsidR="00415C4C" w:rsidRPr="00415C4C">
        <w:rPr>
          <w:b/>
          <w:bCs/>
        </w:rPr>
        <w:t>Positive Harmonisation</w:t>
      </w:r>
      <w:r w:rsidR="007D0B88">
        <w:rPr>
          <w:b/>
          <w:bCs/>
        </w:rPr>
        <w:t xml:space="preserve">: The EU, Devolution and the UK Constitution </w:t>
      </w:r>
    </w:p>
    <w:p w14:paraId="26403540" w14:textId="724E8220" w:rsidR="009E4564" w:rsidRPr="009E4564" w:rsidRDefault="009E4564" w:rsidP="00B26506">
      <w:pPr>
        <w:pStyle w:val="NormalWeb"/>
        <w:shd w:val="clear" w:color="auto" w:fill="FFFFFF"/>
        <w:spacing w:before="0" w:beforeAutospacing="0" w:after="240" w:afterAutospacing="0" w:line="360" w:lineRule="auto"/>
        <w:jc w:val="both"/>
        <w:rPr>
          <w:i/>
        </w:rPr>
      </w:pPr>
      <w:r w:rsidRPr="009E4564">
        <w:rPr>
          <w:i/>
        </w:rPr>
        <w:t>1.</w:t>
      </w:r>
      <w:r>
        <w:rPr>
          <w:i/>
        </w:rPr>
        <w:t xml:space="preserve">1. </w:t>
      </w:r>
      <w:r w:rsidRPr="009E4564">
        <w:rPr>
          <w:i/>
        </w:rPr>
        <w:t>Positive Harmonisation</w:t>
      </w:r>
      <w:r>
        <w:rPr>
          <w:i/>
        </w:rPr>
        <w:t xml:space="preserve"> and </w:t>
      </w:r>
      <w:r w:rsidRPr="009E4564">
        <w:rPr>
          <w:i/>
        </w:rPr>
        <w:t>EU Integration</w:t>
      </w:r>
      <w:r>
        <w:rPr>
          <w:i/>
        </w:rPr>
        <w:t xml:space="preserve"> </w:t>
      </w:r>
    </w:p>
    <w:p w14:paraId="093E647A" w14:textId="5FEFAEA6" w:rsidR="00415C4C" w:rsidRPr="00415C4C" w:rsidRDefault="00415C4C" w:rsidP="003B3FE7">
      <w:pPr>
        <w:pStyle w:val="NormalWeb"/>
        <w:shd w:val="clear" w:color="auto" w:fill="FFFFFF"/>
        <w:spacing w:before="0" w:beforeAutospacing="0" w:after="0" w:afterAutospacing="0" w:line="360" w:lineRule="auto"/>
        <w:jc w:val="both"/>
      </w:pPr>
      <w:r w:rsidRPr="00415C4C">
        <w:t>Writing in the context of EU market integration</w:t>
      </w:r>
      <w:r w:rsidR="00F27593">
        <w:t xml:space="preserve"> and</w:t>
      </w:r>
      <w:r w:rsidR="00F27593" w:rsidRPr="00F27593">
        <w:t xml:space="preserve"> </w:t>
      </w:r>
      <w:r w:rsidR="00F27593">
        <w:t xml:space="preserve">drawing on </w:t>
      </w:r>
      <w:r w:rsidR="00F27593" w:rsidRPr="00415C4C">
        <w:t>Tinbergen</w:t>
      </w:r>
      <w:r w:rsidR="00F27593">
        <w:t>’s earlier work</w:t>
      </w:r>
      <w:r w:rsidR="00F27593" w:rsidRPr="00415C4C">
        <w:t xml:space="preserve"> on economic policy,</w:t>
      </w:r>
      <w:r w:rsidR="00F27593">
        <w:rPr>
          <w:rStyle w:val="FootnoteReference"/>
        </w:rPr>
        <w:footnoteReference w:id="16"/>
      </w:r>
      <w:r w:rsidRPr="00415C4C">
        <w:t xml:space="preserve"> </w:t>
      </w:r>
      <w:proofErr w:type="spellStart"/>
      <w:r w:rsidRPr="00415C4C">
        <w:t>Scharpf</w:t>
      </w:r>
      <w:proofErr w:type="spellEnd"/>
      <w:r w:rsidRPr="00415C4C">
        <w:t>, explains how ‘</w:t>
      </w:r>
      <w:r w:rsidRPr="00415C4C">
        <w:rPr>
          <w:i/>
          <w:iCs/>
        </w:rPr>
        <w:t>negative</w:t>
      </w:r>
      <w:r w:rsidRPr="00415C4C">
        <w:t xml:space="preserve"> integration refers to the removal of tariffs, quantitative restrictions, and other barriers to trade or obstacles to free and undistorted competition. </w:t>
      </w:r>
      <w:r w:rsidRPr="00415C4C">
        <w:rPr>
          <w:i/>
          <w:iCs/>
        </w:rPr>
        <w:t xml:space="preserve">Positive </w:t>
      </w:r>
      <w:r w:rsidRPr="001D2C8B">
        <w:t>integration</w:t>
      </w:r>
      <w:r w:rsidRPr="00415C4C">
        <w:t>, by contrast, refers to the reconstruction of a system of economic regulation at the level of the larger economic unit’.</w:t>
      </w:r>
      <w:r w:rsidRPr="00415C4C">
        <w:rPr>
          <w:rStyle w:val="FootnoteReference"/>
        </w:rPr>
        <w:footnoteReference w:id="17"/>
      </w:r>
      <w:r w:rsidRPr="00415C4C">
        <w:t xml:space="preserve"> Negative integration</w:t>
      </w:r>
      <w:r w:rsidR="00810EF6">
        <w:t xml:space="preserve"> (or </w:t>
      </w:r>
      <w:r w:rsidR="00AA2A02">
        <w:t xml:space="preserve">negative </w:t>
      </w:r>
      <w:r w:rsidR="00810EF6">
        <w:t>harmonisation)</w:t>
      </w:r>
      <w:r w:rsidR="00810EF6">
        <w:rPr>
          <w:rStyle w:val="FootnoteReference"/>
        </w:rPr>
        <w:footnoteReference w:id="18"/>
      </w:r>
      <w:r w:rsidRPr="00415C4C">
        <w:t xml:space="preserve"> is exclusively a mechanism for market</w:t>
      </w:r>
      <w:r w:rsidR="00496806">
        <w:t>-</w:t>
      </w:r>
      <w:r w:rsidRPr="00415C4C">
        <w:t xml:space="preserve">making, and is inherently deregulatory. Positive </w:t>
      </w:r>
      <w:r w:rsidR="00F1182B">
        <w:t>harmonisation</w:t>
      </w:r>
      <w:r w:rsidRPr="00415C4C">
        <w:t xml:space="preserve"> meanwhile can contribute both to the creation of a new, wider market through the harmonisation of divergent national norms, as well to securing social protections, through market</w:t>
      </w:r>
      <w:r w:rsidR="007457E5">
        <w:t>-</w:t>
      </w:r>
      <w:r w:rsidRPr="00415C4C">
        <w:t>correcting initiatives. Here, common policies may be adopted to set baseline standards for matters such as employee and environmental rights, for reasons other than the potential impact on freedom of movement created by any inter-state divergence of these rules.</w:t>
      </w:r>
    </w:p>
    <w:p w14:paraId="39A1527F" w14:textId="5D1128AB" w:rsidR="00415C4C" w:rsidRPr="00415C4C" w:rsidRDefault="00415C4C" w:rsidP="003B3FE7">
      <w:pPr>
        <w:pStyle w:val="NormalWeb"/>
        <w:shd w:val="clear" w:color="auto" w:fill="FFFFFF"/>
        <w:spacing w:before="0" w:beforeAutospacing="0" w:after="0" w:afterAutospacing="0" w:line="360" w:lineRule="auto"/>
        <w:ind w:firstLine="720"/>
        <w:jc w:val="both"/>
      </w:pPr>
      <w:r w:rsidRPr="00415C4C">
        <w:t xml:space="preserve">The complexities in reaching intergovernmental agreement on positive harmonisation measures is the main factor explaining the relative success of negative </w:t>
      </w:r>
      <w:r w:rsidR="00F1182B">
        <w:t>harmonisation</w:t>
      </w:r>
      <w:r w:rsidRPr="00415C4C">
        <w:t xml:space="preserve"> in the EU context, with its strong system of court-based enforcement operating at both a supranational and a national level.</w:t>
      </w:r>
      <w:r w:rsidR="00F85C36">
        <w:rPr>
          <w:rStyle w:val="FootnoteReference"/>
        </w:rPr>
        <w:footnoteReference w:id="19"/>
      </w:r>
      <w:r w:rsidRPr="00415C4C">
        <w:t xml:space="preserve"> This was especially the case in the first decades of the EU when decision </w:t>
      </w:r>
      <w:r w:rsidRPr="00415C4C">
        <w:lastRenderedPageBreak/>
        <w:t>making in Council by the Member States’ government representatives required unanimity. Though those restrictions have lessened through successive treaty amendments,</w:t>
      </w:r>
      <w:r w:rsidRPr="00415C4C">
        <w:rPr>
          <w:rStyle w:val="FootnoteReference"/>
        </w:rPr>
        <w:footnoteReference w:id="20"/>
      </w:r>
      <w:r w:rsidRPr="00415C4C">
        <w:t xml:space="preserve"> the successful adoption of harmonising legislation meanwhile still requires the measure, proposed by the European Commission, to navigate the demands of a multi-actor process with significant checks and balances. These include rules on competence, human rights considerations, proportionality and, significantly, subsidiarity – </w:t>
      </w:r>
      <w:r w:rsidR="00AA2A02">
        <w:t>the requirement that</w:t>
      </w:r>
      <w:r w:rsidRPr="00415C4C">
        <w:t xml:space="preserve"> measures should be taken at the lowest effective level within the system of multi-level governance.</w:t>
      </w:r>
      <w:r w:rsidRPr="00415C4C">
        <w:rPr>
          <w:rStyle w:val="FootnoteReference"/>
        </w:rPr>
        <w:footnoteReference w:id="21"/>
      </w:r>
      <w:r w:rsidRPr="00415C4C">
        <w:t xml:space="preserve"> To secure respect for this principle, national parliaments have formally been co-opted into the EU legislative institutional matrix, and they are directed to consult subnational representative institutions with legislative powers when taking their positions</w:t>
      </w:r>
      <w:r w:rsidR="00E7704C">
        <w:t>.</w:t>
      </w:r>
      <w:r w:rsidRPr="00415C4C">
        <w:rPr>
          <w:rStyle w:val="FootnoteReference"/>
        </w:rPr>
        <w:footnoteReference w:id="22"/>
      </w:r>
      <w:r w:rsidRPr="00415C4C">
        <w:t xml:space="preserve"> Legislation will ultimately rest on support from the European Parliament, and a sufficient number of Member State governments in the Council of Ministers – and here too the UK Government engaged with devolved governments in developing the UK</w:t>
      </w:r>
      <w:r w:rsidR="001336E6">
        <w:t>’</w:t>
      </w:r>
      <w:r w:rsidRPr="00415C4C">
        <w:t>s line on EU matters in devolved areas</w:t>
      </w:r>
      <w:r w:rsidR="00FC4266">
        <w:t>.</w:t>
      </w:r>
      <w:r w:rsidR="009E4564">
        <w:rPr>
          <w:rStyle w:val="FootnoteReference"/>
        </w:rPr>
        <w:footnoteReference w:id="23"/>
      </w:r>
      <w:r w:rsidR="00AA2A02">
        <w:t xml:space="preserve"> </w:t>
      </w:r>
    </w:p>
    <w:p w14:paraId="24B0BBE6" w14:textId="1B9E8722" w:rsidR="001336E6" w:rsidRDefault="00415C4C" w:rsidP="003B3FE7">
      <w:pPr>
        <w:pStyle w:val="NormalWeb"/>
        <w:spacing w:before="0" w:beforeAutospacing="0" w:after="0" w:afterAutospacing="0" w:line="360" w:lineRule="auto"/>
        <w:ind w:firstLine="720"/>
        <w:jc w:val="both"/>
      </w:pPr>
      <w:r w:rsidRPr="00415C4C">
        <w:t xml:space="preserve">The </w:t>
      </w:r>
      <w:r w:rsidR="00AA2A02">
        <w:t xml:space="preserve">EU’s </w:t>
      </w:r>
      <w:r w:rsidRPr="00415C4C">
        <w:t xml:space="preserve">regulatory outputs include measures that are both </w:t>
      </w:r>
      <w:r w:rsidR="00A938B4">
        <w:t>market-</w:t>
      </w:r>
      <w:r w:rsidRPr="00415C4C">
        <w:t>making, and market</w:t>
      </w:r>
      <w:r w:rsidR="00A938B4">
        <w:t>-</w:t>
      </w:r>
      <w:r w:rsidRPr="00415C4C">
        <w:t xml:space="preserve">correcting, including </w:t>
      </w:r>
      <w:r w:rsidR="00A938B4">
        <w:t>a</w:t>
      </w:r>
      <w:r w:rsidRPr="00415C4C">
        <w:t xml:space="preserve"> competition law regime, subsidy regulation, market organisation rules and support for agricultural products, and measures for worker, consumer, and environmental protection. </w:t>
      </w:r>
      <w:r w:rsidR="00AA2A02">
        <w:t>When</w:t>
      </w:r>
      <w:r w:rsidRPr="00415C4C">
        <w:t xml:space="preserve"> legislative devolution was</w:t>
      </w:r>
      <w:r w:rsidR="00AA2A02">
        <w:t xml:space="preserve"> </w:t>
      </w:r>
      <w:r w:rsidRPr="00415C4C">
        <w:t xml:space="preserve">introduced into the United Kingdom, these EU regulations </w:t>
      </w:r>
      <w:r w:rsidR="00AA2A02">
        <w:t>became</w:t>
      </w:r>
      <w:r w:rsidRPr="00415C4C">
        <w:t xml:space="preserve"> to a greater or lesser extent prescriptive frameworks that maintained commonality in the approach of the different legislatures in the UK. Such commonality did not</w:t>
      </w:r>
      <w:r w:rsidR="009E4564">
        <w:t>, however,</w:t>
      </w:r>
      <w:r w:rsidRPr="00415C4C">
        <w:t xml:space="preserve"> necessarily mean uniformity.</w:t>
      </w:r>
      <w:r w:rsidR="00197130">
        <w:rPr>
          <w:rStyle w:val="FootnoteReference"/>
        </w:rPr>
        <w:footnoteReference w:id="24"/>
      </w:r>
      <w:r w:rsidRPr="00415C4C">
        <w:t xml:space="preserve"> </w:t>
      </w:r>
    </w:p>
    <w:p w14:paraId="2584B4F0" w14:textId="2D0BFB41" w:rsidR="00BB1587" w:rsidRDefault="00415C4C" w:rsidP="003B3FE7">
      <w:pPr>
        <w:pStyle w:val="NormalWeb"/>
        <w:spacing w:before="0" w:beforeAutospacing="0" w:after="0" w:afterAutospacing="0" w:line="360" w:lineRule="auto"/>
        <w:ind w:firstLine="720"/>
        <w:jc w:val="both"/>
      </w:pPr>
      <w:r w:rsidRPr="00415C4C">
        <w:t>In an EU context, the Treat</w:t>
      </w:r>
      <w:r w:rsidR="009E4564">
        <w:t>ies</w:t>
      </w:r>
      <w:r w:rsidRPr="00415C4C">
        <w:t xml:space="preserve"> recognise that in some policy areas (generally those where competence between the EU and its Member States is shared, rather than resting </w:t>
      </w:r>
      <w:r w:rsidRPr="00415C4C">
        <w:lastRenderedPageBreak/>
        <w:t>exclusively with the EU</w:t>
      </w:r>
      <w:r w:rsidR="009E4564">
        <w:t xml:space="preserve">; for example, </w:t>
      </w:r>
      <w:r w:rsidRPr="00415C4C">
        <w:t>social policy and environmental policy)</w:t>
      </w:r>
      <w:r w:rsidR="008C2A68">
        <w:t>,</w:t>
      </w:r>
      <w:r w:rsidR="001336E6">
        <w:rPr>
          <w:rStyle w:val="FootnoteReference"/>
        </w:rPr>
        <w:footnoteReference w:id="25"/>
      </w:r>
      <w:r w:rsidRPr="00415C4C">
        <w:t xml:space="preserve"> the EU can set minimum standards, leaving to the Member States the decision whether to offer additional regulatory protections above this level.</w:t>
      </w:r>
      <w:r w:rsidRPr="00415C4C">
        <w:rPr>
          <w:rStyle w:val="FootnoteReference"/>
        </w:rPr>
        <w:footnoteReference w:id="26"/>
      </w:r>
      <w:r w:rsidRPr="00415C4C">
        <w:t xml:space="preserve"> In others, full harmonisation is the norm. Even in these situations</w:t>
      </w:r>
      <w:r w:rsidR="009E4564">
        <w:t>,</w:t>
      </w:r>
      <w:r w:rsidRPr="00415C4C">
        <w:t xml:space="preserve"> however, EU legislative instruments might explicitly build in local implementation and with it, possible variation, as seen in agricultural policy.</w:t>
      </w:r>
      <w:r w:rsidRPr="00415C4C">
        <w:rPr>
          <w:rStyle w:val="FootnoteReference"/>
        </w:rPr>
        <w:footnoteReference w:id="27"/>
      </w:r>
      <w:r w:rsidRPr="00415C4C">
        <w:t xml:space="preserve"> There is a greater tendency for maximum harmoni</w:t>
      </w:r>
      <w:r w:rsidR="00F1182B">
        <w:t>s</w:t>
      </w:r>
      <w:r w:rsidRPr="00415C4C">
        <w:t>ation and uniformity to operate in relation to product standards, and more tolerance for variation in relation to process standards – the surrounding circumstances in which economic activity takes place. Along with other regulatory activity by a Member State or its constituent parts within the scope of EU law, any advance on minimum harmonization standards is subject to the overriding negative harmonisation requirement that it does not present an unlawful restriction in free movement – however, the availability of public policy justifications assists in maintaining possible divergence.</w:t>
      </w:r>
      <w:r w:rsidRPr="00415C4C">
        <w:rPr>
          <w:rStyle w:val="FootnoteReference"/>
        </w:rPr>
        <w:footnoteReference w:id="28"/>
      </w:r>
      <w:r w:rsidRPr="00415C4C">
        <w:t xml:space="preserve"> </w:t>
      </w:r>
      <w:r w:rsidR="00BB1587">
        <w:t xml:space="preserve">That obligation, imposed on the UK as a matter of EU law, was reinforced domestically. The </w:t>
      </w:r>
      <w:r w:rsidR="00A95D56">
        <w:t>Devolution Acts</w:t>
      </w:r>
      <w:r w:rsidR="00BB1587">
        <w:t xml:space="preserve"> mandated devolved legislation comply with EU law as a condition of legality.</w:t>
      </w:r>
      <w:r w:rsidR="001A16E9">
        <w:rPr>
          <w:rStyle w:val="FootnoteReference"/>
        </w:rPr>
        <w:footnoteReference w:id="29"/>
      </w:r>
    </w:p>
    <w:p w14:paraId="637C00FF" w14:textId="273F2CE0" w:rsidR="009E4564" w:rsidRDefault="009E4564" w:rsidP="003B3FE7">
      <w:pPr>
        <w:pStyle w:val="NormalWeb"/>
        <w:spacing w:before="0" w:beforeAutospacing="0" w:after="0" w:afterAutospacing="0" w:line="360" w:lineRule="auto"/>
        <w:ind w:firstLine="720"/>
        <w:jc w:val="both"/>
      </w:pPr>
    </w:p>
    <w:p w14:paraId="3DA958FA" w14:textId="22D8039D" w:rsidR="009E4564" w:rsidRPr="00B26506" w:rsidRDefault="009E4564" w:rsidP="00B26506">
      <w:pPr>
        <w:pStyle w:val="NormalWeb"/>
        <w:shd w:val="clear" w:color="auto" w:fill="FFFFFF"/>
        <w:spacing w:before="0" w:beforeAutospacing="0" w:after="240" w:afterAutospacing="0" w:line="360" w:lineRule="auto"/>
        <w:jc w:val="both"/>
        <w:rPr>
          <w:i/>
        </w:rPr>
      </w:pPr>
      <w:r w:rsidRPr="009E4564">
        <w:rPr>
          <w:i/>
        </w:rPr>
        <w:t>1.</w:t>
      </w:r>
      <w:r>
        <w:rPr>
          <w:i/>
        </w:rPr>
        <w:t xml:space="preserve">2. </w:t>
      </w:r>
      <w:r w:rsidRPr="009E4564">
        <w:rPr>
          <w:i/>
        </w:rPr>
        <w:t xml:space="preserve">Positive Harmonisation </w:t>
      </w:r>
      <w:r>
        <w:rPr>
          <w:i/>
        </w:rPr>
        <w:t xml:space="preserve">and the UK Constitution </w:t>
      </w:r>
    </w:p>
    <w:p w14:paraId="7E3083B8" w14:textId="55703537" w:rsidR="002B1BA1" w:rsidRDefault="00415C4C" w:rsidP="009E4564">
      <w:pPr>
        <w:pStyle w:val="NormalWeb"/>
        <w:spacing w:before="0" w:beforeAutospacing="0" w:after="0" w:afterAutospacing="0" w:line="360" w:lineRule="auto"/>
        <w:jc w:val="both"/>
      </w:pPr>
      <w:r w:rsidRPr="009E4564">
        <w:t>On the UK</w:t>
      </w:r>
      <w:r w:rsidR="009E4564" w:rsidRPr="009E4564">
        <w:t>’</w:t>
      </w:r>
      <w:r w:rsidRPr="009E4564">
        <w:t>s departure from the EU, the issue of how to manage the exercise of legislative power across the UK in the absence of common EU regulator took on a significant political resonance</w:t>
      </w:r>
      <w:r w:rsidR="004D2D45" w:rsidRPr="009E4564">
        <w:t xml:space="preserve"> – and urgency</w:t>
      </w:r>
      <w:r w:rsidRPr="009E4564">
        <w:t xml:space="preserve">. </w:t>
      </w:r>
      <w:r w:rsidR="004D2D45" w:rsidRPr="009E4564">
        <w:t>In this</w:t>
      </w:r>
      <w:r w:rsidR="00BB1587" w:rsidRPr="009E4564">
        <w:t xml:space="preserve"> contribution</w:t>
      </w:r>
      <w:r w:rsidR="004D2D45" w:rsidRPr="009E4564">
        <w:t>, we explore how</w:t>
      </w:r>
      <w:r w:rsidR="00BB1587" w:rsidRPr="009E4564">
        <w:t xml:space="preserve"> this is being achieved, </w:t>
      </w:r>
      <w:r w:rsidR="004D2D45" w:rsidRPr="009E4564">
        <w:t>focussing on</w:t>
      </w:r>
      <w:r w:rsidR="00BB1587" w:rsidRPr="009E4564">
        <w:t xml:space="preserve"> the Common Frameworks and UKIMA as new instruments for internal market governance post-Brexit. Before considering these new mechanisms (and their interaction), however, </w:t>
      </w:r>
      <w:r w:rsidR="00F1182B" w:rsidRPr="009E4564">
        <w:t>this Section considers</w:t>
      </w:r>
      <w:r w:rsidR="00BB1587" w:rsidRPr="009E4564">
        <w:t xml:space="preserve"> the scope for positive harmonisation under pre-existing devolution arrangements, drawing attention</w:t>
      </w:r>
      <w:r w:rsidR="004D2D45" w:rsidRPr="009E4564">
        <w:t>, in particular,</w:t>
      </w:r>
      <w:r w:rsidR="00BB1587" w:rsidRPr="009E4564">
        <w:t xml:space="preserve"> to the facilitative qualities</w:t>
      </w:r>
      <w:r w:rsidR="004D2D45" w:rsidRPr="009E4564">
        <w:t xml:space="preserve"> (and limits)</w:t>
      </w:r>
      <w:r w:rsidR="00BB1587" w:rsidRPr="009E4564">
        <w:t xml:space="preserve"> of the Sewel </w:t>
      </w:r>
      <w:r w:rsidR="00616727">
        <w:t>C</w:t>
      </w:r>
      <w:r w:rsidR="00BB1587" w:rsidRPr="009E4564">
        <w:t>onvention</w:t>
      </w:r>
      <w:r w:rsidR="004D2D45" w:rsidRPr="009E4564">
        <w:t xml:space="preserve"> </w:t>
      </w:r>
      <w:r w:rsidR="00BB1587" w:rsidRPr="009E4564">
        <w:t>as a potential</w:t>
      </w:r>
      <w:r w:rsidR="004D2D45" w:rsidRPr="009E4564">
        <w:t xml:space="preserve"> replacement</w:t>
      </w:r>
      <w:r w:rsidR="00BB1587" w:rsidRPr="009E4564">
        <w:t xml:space="preserve"> tool </w:t>
      </w:r>
      <w:r w:rsidR="00616727">
        <w:t>for</w:t>
      </w:r>
      <w:r w:rsidR="00BB1587" w:rsidRPr="009E4564">
        <w:t xml:space="preserve"> UK-wide market management</w:t>
      </w:r>
      <w:r w:rsidR="004D2D45" w:rsidRPr="009E4564">
        <w:t xml:space="preserve"> post-Brexit</w:t>
      </w:r>
      <w:r w:rsidR="00BB1587" w:rsidRPr="009E4564">
        <w:t>.</w:t>
      </w:r>
      <w:r w:rsidR="00BB1587">
        <w:t xml:space="preserve"> </w:t>
      </w:r>
    </w:p>
    <w:p w14:paraId="187266E6" w14:textId="1E2FC919" w:rsidR="00DF6D7D" w:rsidRPr="00F353B6" w:rsidRDefault="00BB1587" w:rsidP="003B3FE7">
      <w:pPr>
        <w:pStyle w:val="NormalWeb"/>
        <w:spacing w:before="0" w:beforeAutospacing="0" w:after="0" w:afterAutospacing="0" w:line="360" w:lineRule="auto"/>
        <w:ind w:firstLine="720"/>
        <w:jc w:val="both"/>
      </w:pPr>
      <w:r>
        <w:lastRenderedPageBreak/>
        <w:t xml:space="preserve">By the time of Brexit, </w:t>
      </w:r>
      <w:r w:rsidR="003E3CB9">
        <w:t>both Scotland and Wales</w:t>
      </w:r>
      <w:r w:rsidR="00415C4C" w:rsidRPr="00415C4C">
        <w:t xml:space="preserve"> were operating under a reserved powers model, which enumerates those powers that lie with Westminster, beyond devolved </w:t>
      </w:r>
      <w:r w:rsidR="00415C4C" w:rsidRPr="009D13E5">
        <w:t>competence</w:t>
      </w:r>
      <w:r w:rsidR="00BA62A8" w:rsidRPr="009D13E5">
        <w:t>.</w:t>
      </w:r>
      <w:r w:rsidR="00BA62A8" w:rsidRPr="009D13E5">
        <w:rPr>
          <w:rStyle w:val="FootnoteReference"/>
        </w:rPr>
        <w:footnoteReference w:id="30"/>
      </w:r>
      <w:r w:rsidR="00415C4C" w:rsidRPr="009D13E5">
        <w:t xml:space="preserve"> However</w:t>
      </w:r>
      <w:r w:rsidR="00415C4C" w:rsidRPr="00415C4C">
        <w:t xml:space="preserve">, whilst reserved powers are legally protected from incursion by devolved legislatures, there is no such legal prohibition against Westminster acting in devolved areas. Instead, </w:t>
      </w:r>
      <w:r w:rsidR="00666637">
        <w:t>a</w:t>
      </w:r>
      <w:r w:rsidR="00415C4C" w:rsidRPr="00415C4C">
        <w:t xml:space="preserve"> constitutional </w:t>
      </w:r>
      <w:r w:rsidR="00415C4C" w:rsidRPr="00F353B6">
        <w:t>convention developed that Westminster, whilst retaining</w:t>
      </w:r>
      <w:r w:rsidR="00666637" w:rsidRPr="00F353B6">
        <w:t xml:space="preserve"> </w:t>
      </w:r>
      <w:r w:rsidR="00415C4C" w:rsidRPr="00F353B6">
        <w:t>sovereignty, would not normally legislate on devolved matters without the consent of the relevant devolved legislature – the Sewel Convention</w:t>
      </w:r>
      <w:r w:rsidR="00D83976">
        <w:t>.</w:t>
      </w:r>
      <w:r w:rsidR="00D83976">
        <w:rPr>
          <w:rStyle w:val="FootnoteReference"/>
        </w:rPr>
        <w:footnoteReference w:id="31"/>
      </w:r>
      <w:r w:rsidR="00415C4C" w:rsidRPr="00F353B6">
        <w:t xml:space="preserve"> This commitment was later included in the Memorandum of Understanding reached between the governments on intergovernmental relations</w:t>
      </w:r>
      <w:r w:rsidR="00DE60B5" w:rsidRPr="00F353B6">
        <w:t>,</w:t>
      </w:r>
      <w:r w:rsidR="00415C4C" w:rsidRPr="00F353B6">
        <w:rPr>
          <w:rStyle w:val="FootnoteReference"/>
        </w:rPr>
        <w:footnoteReference w:id="32"/>
      </w:r>
      <w:r w:rsidR="00415C4C" w:rsidRPr="00F353B6">
        <w:t xml:space="preserve"> before being included in statutory (though non-legally enforceable) form in the Scotland Act and Government of Wales Act.</w:t>
      </w:r>
      <w:r w:rsidR="00415C4C" w:rsidRPr="00F353B6">
        <w:rPr>
          <w:rStyle w:val="FootnoteReference"/>
        </w:rPr>
        <w:footnoteReference w:id="33"/>
      </w:r>
      <w:r w:rsidR="00415C4C" w:rsidRPr="00F353B6">
        <w:t xml:space="preserve"> </w:t>
      </w:r>
    </w:p>
    <w:p w14:paraId="37F2D065" w14:textId="765214C4" w:rsidR="00415C4C" w:rsidRPr="00F353B6" w:rsidRDefault="00415C4C" w:rsidP="003B3FE7">
      <w:pPr>
        <w:pStyle w:val="NormalWeb"/>
        <w:spacing w:before="0" w:beforeAutospacing="0" w:after="0" w:afterAutospacing="0" w:line="360" w:lineRule="auto"/>
        <w:ind w:firstLine="720"/>
        <w:jc w:val="both"/>
      </w:pPr>
      <w:r w:rsidRPr="00F353B6">
        <w:t>Very clearly then, Westminster could in theory</w:t>
      </w:r>
      <w:r w:rsidR="00DF6D7D" w:rsidRPr="00F353B6">
        <w:t xml:space="preserve"> </w:t>
      </w:r>
      <w:r w:rsidRPr="00F353B6">
        <w:t xml:space="preserve">replace the EU legislator </w:t>
      </w:r>
      <w:r w:rsidR="00DF6D7D" w:rsidRPr="00F353B6">
        <w:t xml:space="preserve">post-Brexit </w:t>
      </w:r>
      <w:r w:rsidRPr="00F353B6">
        <w:t>as a possible source of positive harmonisation</w:t>
      </w:r>
      <w:r w:rsidR="00DF6D7D" w:rsidRPr="00F353B6">
        <w:t>; in other words, as an institution</w:t>
      </w:r>
      <w:r w:rsidR="00666637" w:rsidRPr="00F353B6">
        <w:t xml:space="preserve"> positioned to</w:t>
      </w:r>
      <w:r w:rsidR="00DF6D7D" w:rsidRPr="00F353B6">
        <w:t xml:space="preserve"> adopt</w:t>
      </w:r>
      <w:r w:rsidRPr="00F353B6">
        <w:t xml:space="preserve"> UK-wide legislative measures</w:t>
      </w:r>
      <w:r w:rsidR="00DF6D7D" w:rsidRPr="00F353B6">
        <w:t xml:space="preserve"> in areas of </w:t>
      </w:r>
      <w:r w:rsidR="00F1182B" w:rsidRPr="00F353B6">
        <w:t>devolved</w:t>
      </w:r>
      <w:r w:rsidR="00DF6D7D" w:rsidRPr="00F353B6">
        <w:t xml:space="preserve"> competence</w:t>
      </w:r>
      <w:r w:rsidRPr="00F353B6">
        <w:t>.</w:t>
      </w:r>
      <w:r w:rsidR="00AA5197">
        <w:rPr>
          <w:rStyle w:val="FootnoteReference"/>
        </w:rPr>
        <w:footnoteReference w:id="34"/>
      </w:r>
      <w:r w:rsidRPr="00F353B6">
        <w:t xml:space="preserve"> As </w:t>
      </w:r>
      <w:r w:rsidR="00DF6D7D" w:rsidRPr="00F353B6">
        <w:t>the</w:t>
      </w:r>
      <w:r w:rsidRPr="00F353B6">
        <w:t xml:space="preserve"> EU regulator</w:t>
      </w:r>
      <w:r w:rsidR="00DF6D7D" w:rsidRPr="00F353B6">
        <w:t xml:space="preserve"> had done previously</w:t>
      </w:r>
      <w:r w:rsidRPr="00F353B6">
        <w:t xml:space="preserve">, such measures </w:t>
      </w:r>
      <w:r w:rsidR="00666637" w:rsidRPr="00F353B6">
        <w:t xml:space="preserve">could </w:t>
      </w:r>
      <w:r w:rsidRPr="00F353B6">
        <w:t xml:space="preserve">leave more or less space for local variation. </w:t>
      </w:r>
      <w:r w:rsidR="00666637" w:rsidRPr="00F353B6">
        <w:t>The Agriculture Act 2020 – a UK statute – provides a recent example of this. That Act established</w:t>
      </w:r>
      <w:r w:rsidRPr="00F353B6">
        <w:t xml:space="preserve"> a</w:t>
      </w:r>
      <w:r w:rsidR="00666637" w:rsidRPr="00F353B6">
        <w:t xml:space="preserve"> regulatory</w:t>
      </w:r>
      <w:r w:rsidRPr="00F353B6">
        <w:t xml:space="preserve"> framework</w:t>
      </w:r>
      <w:r w:rsidR="00666637" w:rsidRPr="00F353B6">
        <w:t xml:space="preserve"> on agricultural subsid</w:t>
      </w:r>
      <w:r w:rsidR="00AD382B">
        <w:t>ies</w:t>
      </w:r>
      <w:r w:rsidR="00666637" w:rsidRPr="00F353B6">
        <w:t xml:space="preserve"> which </w:t>
      </w:r>
      <w:r w:rsidRPr="00F353B6">
        <w:t xml:space="preserve">Welsh Ministers </w:t>
      </w:r>
      <w:r w:rsidR="00666637" w:rsidRPr="00F353B6">
        <w:t xml:space="preserve">may modify </w:t>
      </w:r>
      <w:r w:rsidR="000B00FB" w:rsidRPr="00F353B6">
        <w:t>so far as it operates in relation</w:t>
      </w:r>
      <w:r w:rsidR="00666637" w:rsidRPr="00F353B6">
        <w:t xml:space="preserve"> </w:t>
      </w:r>
      <w:r w:rsidR="000B00FB" w:rsidRPr="00F353B6">
        <w:t>to</w:t>
      </w:r>
      <w:r w:rsidR="00666637" w:rsidRPr="00F353B6">
        <w:t xml:space="preserve"> </w:t>
      </w:r>
      <w:r w:rsidR="00666637" w:rsidRPr="009D13E5">
        <w:t>Wale</w:t>
      </w:r>
      <w:r w:rsidRPr="009D13E5">
        <w:t>s.</w:t>
      </w:r>
      <w:r w:rsidR="000B00FB" w:rsidRPr="009D13E5">
        <w:rPr>
          <w:rStyle w:val="FootnoteReference"/>
        </w:rPr>
        <w:footnoteReference w:id="35"/>
      </w:r>
      <w:r w:rsidRPr="00F353B6">
        <w:t xml:space="preserve"> Significantly, </w:t>
      </w:r>
      <w:r w:rsidR="002B1BA1" w:rsidRPr="00F353B6">
        <w:t xml:space="preserve">in this example, </w:t>
      </w:r>
      <w:r w:rsidRPr="00F353B6">
        <w:t>the Welsh Government and Senedd were clear that this arrangement was temporary, whilst work was undertaken to develop Wales’ own primary legislative Agriculture Bill.</w:t>
      </w:r>
      <w:r w:rsidR="000B00FB" w:rsidRPr="00F353B6">
        <w:rPr>
          <w:rStyle w:val="FootnoteReference"/>
        </w:rPr>
        <w:footnoteReference w:id="36"/>
      </w:r>
      <w:r w:rsidR="002F68AF">
        <w:t xml:space="preserve"> </w:t>
      </w:r>
      <w:r w:rsidRPr="00F353B6">
        <w:t>Constitutionally, the Westminster legislation will not otherwise pre-empt the later exercise of autonomous devolved legislative activity on policy issues that are not reserved.</w:t>
      </w:r>
    </w:p>
    <w:p w14:paraId="19850C4A" w14:textId="45F38B94" w:rsidR="00157A7B" w:rsidRPr="000B00FB" w:rsidRDefault="00415C4C" w:rsidP="00157A7B">
      <w:pPr>
        <w:pStyle w:val="NormalWeb"/>
        <w:spacing w:before="0" w:beforeAutospacing="0" w:after="0" w:afterAutospacing="0" w:line="360" w:lineRule="auto"/>
        <w:ind w:firstLine="720"/>
        <w:jc w:val="both"/>
      </w:pPr>
      <w:r w:rsidRPr="00F353B6">
        <w:t xml:space="preserve">Of course, </w:t>
      </w:r>
      <w:r w:rsidR="002B1BA1" w:rsidRPr="00F353B6">
        <w:t>whilst the possibility for the adoption of</w:t>
      </w:r>
      <w:r w:rsidRPr="00F353B6">
        <w:t xml:space="preserve"> UK</w:t>
      </w:r>
      <w:r w:rsidR="002B1BA1" w:rsidRPr="00F353B6">
        <w:t>-</w:t>
      </w:r>
      <w:r w:rsidRPr="00F353B6">
        <w:t>wide legislation across devolved areas of competence exists</w:t>
      </w:r>
      <w:r w:rsidR="002B1BA1" w:rsidRPr="00F353B6">
        <w:t xml:space="preserve"> in the above terms</w:t>
      </w:r>
      <w:r w:rsidRPr="00F353B6">
        <w:t xml:space="preserve">, its actual use will encounter a range of constitutional and political considerations that should give pause to viewing it as an effective </w:t>
      </w:r>
      <w:r w:rsidRPr="00F353B6">
        <w:lastRenderedPageBreak/>
        <w:t xml:space="preserve">shared governance instrument of positive harmonisation. </w:t>
      </w:r>
      <w:proofErr w:type="spellStart"/>
      <w:r w:rsidRPr="00F353B6">
        <w:t>Winetrobe</w:t>
      </w:r>
      <w:proofErr w:type="spellEnd"/>
      <w:r w:rsidRPr="00F353B6">
        <w:t xml:space="preserve"> suggests that the original purpose of Sewel was as ‘a safeguard against sudden, unilateral use of Westminster’s sovereign legislative power’.</w:t>
      </w:r>
      <w:r w:rsidRPr="00F353B6">
        <w:rPr>
          <w:rStyle w:val="FootnoteReference"/>
        </w:rPr>
        <w:footnoteReference w:id="37"/>
      </w:r>
      <w:r w:rsidRPr="00F353B6">
        <w:t xml:space="preserve"> Taken on these terms, recent practice certainly throws into question the effectiveness of Sewel in achieving its original purpose.</w:t>
      </w:r>
      <w:r w:rsidRPr="00F353B6">
        <w:rPr>
          <w:rStyle w:val="FootnoteReference"/>
        </w:rPr>
        <w:footnoteReference w:id="38"/>
      </w:r>
      <w:r w:rsidR="00AB3BFE">
        <w:t xml:space="preserve"> </w:t>
      </w:r>
      <w:r w:rsidR="002B1BA1" w:rsidRPr="00F353B6">
        <w:t>That</w:t>
      </w:r>
      <w:r w:rsidRPr="00F353B6">
        <w:t xml:space="preserve"> purpose</w:t>
      </w:r>
      <w:r w:rsidR="002B1BA1" w:rsidRPr="00F353B6">
        <w:t xml:space="preserve">, </w:t>
      </w:r>
      <w:r w:rsidRPr="00F353B6">
        <w:t xml:space="preserve">according to </w:t>
      </w:r>
      <w:proofErr w:type="spellStart"/>
      <w:r w:rsidRPr="00F353B6">
        <w:t>Winetrobe</w:t>
      </w:r>
      <w:proofErr w:type="spellEnd"/>
      <w:r w:rsidR="002B1BA1" w:rsidRPr="00F353B6">
        <w:t xml:space="preserve">, </w:t>
      </w:r>
      <w:r w:rsidRPr="00F353B6">
        <w:t xml:space="preserve">was </w:t>
      </w:r>
      <w:r w:rsidR="002B1BA1" w:rsidRPr="00F353B6">
        <w:t xml:space="preserve">also </w:t>
      </w:r>
      <w:r w:rsidRPr="00F353B6">
        <w:t xml:space="preserve">far </w:t>
      </w:r>
      <w:r w:rsidR="000B00FB" w:rsidRPr="00F353B6">
        <w:t xml:space="preserve">removed </w:t>
      </w:r>
      <w:r w:rsidRPr="00F353B6">
        <w:t>from</w:t>
      </w:r>
      <w:r w:rsidR="002B1BA1" w:rsidRPr="00F353B6">
        <w:t xml:space="preserve"> </w:t>
      </w:r>
      <w:r w:rsidR="00157A7B" w:rsidRPr="00F353B6">
        <w:t>any idea of the Convention as</w:t>
      </w:r>
      <w:r w:rsidRPr="00F353B6">
        <w:t xml:space="preserve"> a positive instrument to trigger </w:t>
      </w:r>
      <w:r w:rsidR="000B00FB" w:rsidRPr="00F353B6">
        <w:t>UK-wide legislative</w:t>
      </w:r>
      <w:r w:rsidRPr="00F353B6">
        <w:t xml:space="preserve"> activity</w:t>
      </w:r>
      <w:r w:rsidR="000B00FB" w:rsidRPr="00F353B6">
        <w:t xml:space="preserve"> by the Westminster Parliament</w:t>
      </w:r>
      <w:r w:rsidRPr="00F353B6">
        <w:t>. It was still less a mechanism to facilitate policy co-operation and shared governance</w:t>
      </w:r>
      <w:r w:rsidR="00157A7B" w:rsidRPr="00F353B6">
        <w:t xml:space="preserve"> between the UK and devolved governments</w:t>
      </w:r>
      <w:r w:rsidRPr="00F353B6">
        <w:t>. Nonetheless,</w:t>
      </w:r>
      <w:r w:rsidR="00157A7B" w:rsidRPr="00F353B6">
        <w:t xml:space="preserve"> in practice,</w:t>
      </w:r>
      <w:r w:rsidRPr="00F353B6">
        <w:t xml:space="preserve"> this </w:t>
      </w:r>
      <w:r w:rsidRPr="00F353B6">
        <w:rPr>
          <w:i/>
        </w:rPr>
        <w:t>facilitative</w:t>
      </w:r>
      <w:r w:rsidRPr="00F353B6">
        <w:t xml:space="preserve"> function of Sewel </w:t>
      </w:r>
      <w:r w:rsidR="002B1BA1" w:rsidRPr="00F353B6">
        <w:t>has become</w:t>
      </w:r>
      <w:r w:rsidRPr="00F353B6">
        <w:t xml:space="preserve"> one of its twin purposes, and has been variously described in terms such as enabling policy co-operation</w:t>
      </w:r>
      <w:r w:rsidR="00F36F13" w:rsidRPr="00F353B6">
        <w:t>,</w:t>
      </w:r>
      <w:r w:rsidRPr="00F353B6">
        <w:rPr>
          <w:rStyle w:val="FootnoteReference"/>
        </w:rPr>
        <w:footnoteReference w:id="39"/>
      </w:r>
      <w:r w:rsidRPr="00F353B6">
        <w:t xml:space="preserve"> and providing for shared governance.</w:t>
      </w:r>
      <w:r w:rsidRPr="00F353B6">
        <w:rPr>
          <w:rStyle w:val="FootnoteReference"/>
        </w:rPr>
        <w:footnoteReference w:id="40"/>
      </w:r>
      <w:r w:rsidR="00D50197">
        <w:t xml:space="preserve"> </w:t>
      </w:r>
      <w:r w:rsidRPr="00F353B6">
        <w:t>That said, whilst examples of positive co-operation may exist</w:t>
      </w:r>
      <w:r w:rsidR="00157A7B" w:rsidRPr="00F353B6">
        <w:t xml:space="preserve"> (including the Agriculture </w:t>
      </w:r>
      <w:r w:rsidR="00157A7B" w:rsidRPr="00A8040D">
        <w:t>Act</w:t>
      </w:r>
      <w:r w:rsidR="000B00FB" w:rsidRPr="00A8040D">
        <w:t xml:space="preserve"> 2020</w:t>
      </w:r>
      <w:r w:rsidR="00157A7B" w:rsidRPr="00A8040D">
        <w:t>)</w:t>
      </w:r>
      <w:r w:rsidRPr="00A8040D">
        <w:t>, and be seen in UK-wide legislative outputs,</w:t>
      </w:r>
      <w:r w:rsidRPr="00A8040D">
        <w:rPr>
          <w:rStyle w:val="FootnoteReference"/>
        </w:rPr>
        <w:footnoteReference w:id="41"/>
      </w:r>
      <w:r w:rsidRPr="00A8040D">
        <w:t xml:space="preserve"> </w:t>
      </w:r>
      <w:r w:rsidR="003D5698" w:rsidRPr="00A8040D">
        <w:t xml:space="preserve">the process might </w:t>
      </w:r>
      <w:r w:rsidR="008F6378" w:rsidRPr="00A8040D">
        <w:t xml:space="preserve">also </w:t>
      </w:r>
      <w:r w:rsidR="00307BCF" w:rsidRPr="00A8040D">
        <w:t xml:space="preserve">involve no more than </w:t>
      </w:r>
      <w:r w:rsidR="00B95FD2" w:rsidRPr="00A8040D">
        <w:t>the extension of</w:t>
      </w:r>
      <w:r w:rsidR="00307BCF" w:rsidRPr="00A8040D">
        <w:t xml:space="preserve"> </w:t>
      </w:r>
      <w:r w:rsidR="00B95FD2" w:rsidRPr="00A8040D">
        <w:rPr>
          <w:color w:val="000000"/>
        </w:rPr>
        <w:t>English-centric proposal to devolved territories</w:t>
      </w:r>
      <w:r w:rsidR="002F22DD" w:rsidRPr="00A8040D">
        <w:rPr>
          <w:color w:val="000000"/>
        </w:rPr>
        <w:t>.</w:t>
      </w:r>
      <w:r w:rsidR="002F22DD" w:rsidRPr="00A8040D">
        <w:rPr>
          <w:rStyle w:val="FootnoteReference"/>
          <w:color w:val="000000"/>
        </w:rPr>
        <w:footnoteReference w:id="42"/>
      </w:r>
      <w:r w:rsidR="00F16745" w:rsidRPr="00A8040D">
        <w:rPr>
          <w:color w:val="000000"/>
        </w:rPr>
        <w:t xml:space="preserve"> In short, </w:t>
      </w:r>
      <w:r w:rsidR="00A8040D" w:rsidRPr="00A8040D">
        <w:rPr>
          <w:color w:val="000000"/>
        </w:rPr>
        <w:t xml:space="preserve">the Westminster </w:t>
      </w:r>
      <w:r w:rsidRPr="00A8040D">
        <w:t xml:space="preserve">Parliament and the Sewel Convention are </w:t>
      </w:r>
      <w:r w:rsidR="00157A7B" w:rsidRPr="00A8040D">
        <w:t>inherent</w:t>
      </w:r>
      <w:r w:rsidR="000B00FB" w:rsidRPr="00A8040D">
        <w:t>ly</w:t>
      </w:r>
      <w:r w:rsidR="00157A7B" w:rsidRPr="00A8040D">
        <w:t xml:space="preserve"> </w:t>
      </w:r>
      <w:r w:rsidRPr="00A8040D">
        <w:t>limited as an institutional forum</w:t>
      </w:r>
      <w:r w:rsidR="000B00FB" w:rsidRPr="00A8040D">
        <w:t>s</w:t>
      </w:r>
      <w:r w:rsidRPr="00A8040D">
        <w:t xml:space="preserve"> for </w:t>
      </w:r>
      <w:r w:rsidR="00157A7B" w:rsidRPr="00A8040D">
        <w:t xml:space="preserve">genuine </w:t>
      </w:r>
      <w:r w:rsidRPr="00A8040D">
        <w:t>shared governance</w:t>
      </w:r>
      <w:r w:rsidR="004606B0" w:rsidRPr="00A8040D">
        <w:t>.</w:t>
      </w:r>
      <w:r w:rsidR="004606B0">
        <w:t xml:space="preserve"> </w:t>
      </w:r>
    </w:p>
    <w:p w14:paraId="7D000E0A" w14:textId="077E9234" w:rsidR="00415C4C" w:rsidRPr="00415C4C" w:rsidRDefault="00415C4C" w:rsidP="00157A7B">
      <w:pPr>
        <w:pStyle w:val="NormalWeb"/>
        <w:spacing w:before="0" w:beforeAutospacing="0" w:after="0" w:afterAutospacing="0" w:line="360" w:lineRule="auto"/>
        <w:ind w:firstLine="720"/>
        <w:jc w:val="both"/>
      </w:pPr>
      <w:r w:rsidRPr="000B00FB">
        <w:t xml:space="preserve">The </w:t>
      </w:r>
      <w:r w:rsidR="00A95D56" w:rsidRPr="00A95D56">
        <w:t>Devolution Acts</w:t>
      </w:r>
      <w:r w:rsidRPr="00A95D56">
        <w:t xml:space="preserve"> reflect a democratically endorsed recognition that primary policy responsibility lies with the devolved governments for non-reserved matters, with lines of accountability to their own parliaments</w:t>
      </w:r>
      <w:r w:rsidRPr="000B00FB">
        <w:t>. The</w:t>
      </w:r>
      <w:r w:rsidR="00936B80">
        <w:t>se</w:t>
      </w:r>
      <w:r w:rsidRPr="000B00FB">
        <w:t xml:space="preserve"> lines of democratic accountability </w:t>
      </w:r>
      <w:r w:rsidR="00936B80">
        <w:t>are inevitably</w:t>
      </w:r>
      <w:r w:rsidRPr="000B00FB">
        <w:t xml:space="preserve"> undermined by Westminster legislation that incorporates devolved matters in the absence of full and effective involvement by these devolved institutions. Institutionally, Westminster does not include a strong second chamber </w:t>
      </w:r>
      <w:r w:rsidR="00197130">
        <w:t>to enable the</w:t>
      </w:r>
      <w:r w:rsidRPr="000B00FB">
        <w:t xml:space="preserve"> input of regional concerns – as seen</w:t>
      </w:r>
      <w:r w:rsidR="00936B80">
        <w:t>,</w:t>
      </w:r>
      <w:r w:rsidRPr="000B00FB">
        <w:t xml:space="preserve"> for example</w:t>
      </w:r>
      <w:r w:rsidR="00936B80">
        <w:t>,</w:t>
      </w:r>
      <w:r w:rsidRPr="000B00FB">
        <w:t xml:space="preserve"> in Germany. Further, the</w:t>
      </w:r>
      <w:r w:rsidRPr="00415C4C">
        <w:t xml:space="preserve"> Sewel Convention itself makes no effective provision for devolved </w:t>
      </w:r>
      <w:r w:rsidRPr="00415C4C">
        <w:rPr>
          <w:i/>
          <w:iCs/>
        </w:rPr>
        <w:t>legislative</w:t>
      </w:r>
      <w:r w:rsidRPr="00415C4C">
        <w:t xml:space="preserve"> collaboration.</w:t>
      </w:r>
      <w:r w:rsidR="00107F1F" w:rsidRPr="00107F1F">
        <w:rPr>
          <w:rStyle w:val="FootnoteReference"/>
        </w:rPr>
        <w:t xml:space="preserve"> </w:t>
      </w:r>
      <w:r w:rsidR="00107F1F">
        <w:rPr>
          <w:rStyle w:val="FootnoteReference"/>
        </w:rPr>
        <w:footnoteReference w:id="43"/>
      </w:r>
      <w:r w:rsidRPr="00415C4C">
        <w:t xml:space="preserve"> Though the devolved legislatures have clear processes for </w:t>
      </w:r>
      <w:r w:rsidRPr="00415C4C">
        <w:lastRenderedPageBreak/>
        <w:t xml:space="preserve">their side of the process, there are in Westminster no formalised mechanisms for interparliamentary engagement associated with the Convention, and nothing in the Standing Orders of the two Houses that make it a requirement for any Parliamentary committee, or the floor of the House, to consider the motions from devolved parliaments granting, or withholding legislative consent. </w:t>
      </w:r>
    </w:p>
    <w:p w14:paraId="06279AEF" w14:textId="77777777" w:rsidR="00415C4C" w:rsidRPr="00540FCD" w:rsidRDefault="00415C4C" w:rsidP="00970652">
      <w:pPr>
        <w:pStyle w:val="NormalWeb"/>
        <w:spacing w:before="0" w:beforeAutospacing="0" w:after="0" w:afterAutospacing="0" w:line="360" w:lineRule="auto"/>
        <w:ind w:firstLine="720"/>
        <w:jc w:val="both"/>
      </w:pPr>
      <w:r w:rsidRPr="00415C4C">
        <w:t>The operation of Sewel relies instead on the existence of a system of intergovernmental relations. The suggested contours of these processes are foreseen in the separate Devolution Guidance Notes (DGN)</w:t>
      </w:r>
      <w:r w:rsidRPr="00415C4C">
        <w:rPr>
          <w:rStyle w:val="FootnoteReference"/>
        </w:rPr>
        <w:footnoteReference w:id="44"/>
      </w:r>
      <w:r w:rsidRPr="00415C4C">
        <w:t xml:space="preserve"> which supplement the Memorandum of Understanding. For example, the DGN covering Westminster parliamentary legislation affecting matters devolved to Scotland recognises that ‘although the [Sewel] convention refers to the Scottish Parliament, UK departments will in practice deal with the Scottish Executive’.</w:t>
      </w:r>
      <w:r w:rsidRPr="00415C4C">
        <w:rPr>
          <w:rStyle w:val="FootnoteReference"/>
        </w:rPr>
        <w:footnoteReference w:id="45"/>
      </w:r>
      <w:r w:rsidRPr="00415C4C">
        <w:t xml:space="preserve"> The DGN generally presuppose early, ongoing, effective engagement at officials and ministerial level in the development of Westminster legislation </w:t>
      </w:r>
      <w:r w:rsidRPr="00540FCD">
        <w:t xml:space="preserve">incorporating matters that are otherwise devolved. </w:t>
      </w:r>
    </w:p>
    <w:p w14:paraId="5F1D2D73" w14:textId="76D0B777" w:rsidR="00221FE4" w:rsidRDefault="00936B80" w:rsidP="00221FE4">
      <w:pPr>
        <w:pStyle w:val="NormalWeb"/>
        <w:spacing w:before="0" w:beforeAutospacing="0" w:after="0" w:afterAutospacing="0" w:line="360" w:lineRule="auto"/>
        <w:ind w:firstLine="720"/>
        <w:jc w:val="both"/>
      </w:pPr>
      <w:r w:rsidRPr="00540FCD">
        <w:t>The UK has generally failed to establish such a system of effective</w:t>
      </w:r>
      <w:r w:rsidR="001A16E9">
        <w:t xml:space="preserve"> intergovernmental relations (</w:t>
      </w:r>
      <w:r w:rsidRPr="00540FCD">
        <w:t>IGR</w:t>
      </w:r>
      <w:r w:rsidR="001A16E9">
        <w:t>)</w:t>
      </w:r>
      <w:r w:rsidRPr="00540FCD">
        <w:t xml:space="preserve"> that has the confidence of all parties.</w:t>
      </w:r>
      <w:r w:rsidR="00197130" w:rsidRPr="00540FCD">
        <w:rPr>
          <w:rStyle w:val="FootnoteReference"/>
        </w:rPr>
        <w:footnoteReference w:id="46"/>
      </w:r>
      <w:r w:rsidRPr="00540FCD">
        <w:t xml:space="preserve"> This is an obvious matter of concern given the reliance on effective intergovernmental relations for the Sewel process to reach its potential as a defensive and facilitative tool. </w:t>
      </w:r>
      <w:r w:rsidR="00415C4C" w:rsidRPr="00540FCD">
        <w:t xml:space="preserve">Under the Memorandum of Understanding, a suite of Joint Ministerial Committees </w:t>
      </w:r>
      <w:r w:rsidR="00041AB8">
        <w:t xml:space="preserve">(JMCs) </w:t>
      </w:r>
      <w:r w:rsidR="00B26506" w:rsidRPr="00540FCD">
        <w:t>was</w:t>
      </w:r>
      <w:r w:rsidR="00415C4C" w:rsidRPr="00540FCD">
        <w:t xml:space="preserve"> established, and foreseen as the key forum for intergovernmental relations. These included a Plenary format, that was to meet annually and involving the </w:t>
      </w:r>
      <w:r w:rsidR="00221FE4" w:rsidRPr="00540FCD">
        <w:t>highest-level</w:t>
      </w:r>
      <w:r w:rsidR="00415C4C" w:rsidRPr="00540FCD">
        <w:t xml:space="preserve"> political representation, along with an EU-focused configuration, and a domestic JMC. However, only JMC(Europe), with a mandate to determine the UK line ahead of upcoming Council meetings</w:t>
      </w:r>
      <w:r w:rsidR="00041AB8">
        <w:t>,</w:t>
      </w:r>
      <w:r w:rsidR="00415C4C" w:rsidRPr="00540FCD">
        <w:t xml:space="preserve"> met regularly and consistently. </w:t>
      </w:r>
      <w:r w:rsidR="00BF60B9" w:rsidRPr="00540FCD">
        <w:t xml:space="preserve">As </w:t>
      </w:r>
      <w:r w:rsidR="00540FCD" w:rsidRPr="00540FCD">
        <w:t>the former</w:t>
      </w:r>
      <w:r w:rsidR="00540FCD" w:rsidRPr="005D015A">
        <w:t xml:space="preserve"> Director General for Devolution in the UK Cabinet Office, Jim Gallagher reported</w:t>
      </w:r>
      <w:r w:rsidR="00BF60B9" w:rsidRPr="005D015A">
        <w:t>,</w:t>
      </w:r>
      <w:r w:rsidR="00970652">
        <w:t xml:space="preserve"> </w:t>
      </w:r>
      <w:r w:rsidR="007F646D" w:rsidRPr="005D015A">
        <w:t>‘</w:t>
      </w:r>
      <w:r w:rsidR="00540FCD" w:rsidRPr="00540FCD">
        <w:t>m</w:t>
      </w:r>
      <w:r w:rsidR="007F646D" w:rsidRPr="00540FCD">
        <w:t>ost intergovernmental relations happen below the political radar, as officials deal with day-to-day mat</w:t>
      </w:r>
      <w:r w:rsidR="00540FCD">
        <w:t>t</w:t>
      </w:r>
      <w:r w:rsidR="007F646D" w:rsidRPr="00540FCD">
        <w:t>ers</w:t>
      </w:r>
      <w:r w:rsidR="00540FCD" w:rsidRPr="00540FCD">
        <w:t>’.</w:t>
      </w:r>
      <w:r w:rsidR="005D015A">
        <w:rPr>
          <w:rStyle w:val="FootnoteReference"/>
        </w:rPr>
        <w:footnoteReference w:id="47"/>
      </w:r>
      <w:r w:rsidR="007F646D" w:rsidRPr="00540FCD">
        <w:t xml:space="preserve"> </w:t>
      </w:r>
      <w:r w:rsidR="00415C4C" w:rsidRPr="00540FCD">
        <w:t>Below the level of the JMC, networks of inter</w:t>
      </w:r>
      <w:r w:rsidR="005D015A">
        <w:t>-official</w:t>
      </w:r>
      <w:r w:rsidR="00415C4C" w:rsidRPr="00540FCD">
        <w:t xml:space="preserve"> interactions have operated</w:t>
      </w:r>
      <w:r w:rsidR="005D015A">
        <w:t xml:space="preserve">, </w:t>
      </w:r>
      <w:r w:rsidR="00415C4C" w:rsidRPr="00540FCD">
        <w:t>necessitated for example by the cross-border provision of public services, by the overlap of responsibilities for matters such as tax and welfare, and for the coordination of activity required under particular EU</w:t>
      </w:r>
      <w:r w:rsidR="00415C4C" w:rsidRPr="00415C4C">
        <w:t xml:space="preserve"> measures, especially in relation to agriculture and environment.</w:t>
      </w:r>
      <w:r w:rsidR="006C684E">
        <w:t xml:space="preserve"> </w:t>
      </w:r>
      <w:r w:rsidR="00415C4C" w:rsidRPr="00415C4C">
        <w:t xml:space="preserve">As </w:t>
      </w:r>
      <w:r w:rsidR="00415C4C" w:rsidRPr="00415C4C">
        <w:lastRenderedPageBreak/>
        <w:t>Keating observes, ‘[</w:t>
      </w:r>
      <w:proofErr w:type="spellStart"/>
      <w:r w:rsidR="00415C4C" w:rsidRPr="00415C4C">
        <w:t>i</w:t>
      </w:r>
      <w:proofErr w:type="spellEnd"/>
      <w:r w:rsidR="00415C4C" w:rsidRPr="00415C4C">
        <w:t>]</w:t>
      </w:r>
      <w:proofErr w:type="spellStart"/>
      <w:r w:rsidR="00415C4C" w:rsidRPr="00415C4C">
        <w:t>ntergovernmental</w:t>
      </w:r>
      <w:proofErr w:type="spellEnd"/>
      <w:r w:rsidR="00415C4C" w:rsidRPr="00415C4C">
        <w:t xml:space="preserve"> relations in devolved and federal systems serve two purposes: to make policy jointly where that is desired; to manage conflicts between </w:t>
      </w:r>
      <w:r w:rsidR="00221FE4" w:rsidRPr="00415C4C">
        <w:t>governments</w:t>
      </w:r>
      <w:r w:rsidR="00415C4C" w:rsidRPr="00415C4C">
        <w:t>.</w:t>
      </w:r>
      <w:r w:rsidR="00221FE4">
        <w:t>’</w:t>
      </w:r>
      <w:r w:rsidR="00415C4C" w:rsidRPr="00415C4C">
        <w:rPr>
          <w:rStyle w:val="FootnoteReference"/>
        </w:rPr>
        <w:footnoteReference w:id="48"/>
      </w:r>
      <w:r w:rsidR="00415C4C" w:rsidRPr="00415C4C">
        <w:t xml:space="preserve"> The domestic UK IGR system was not constructed to facilitate joint policymaking, and the JMC were not </w:t>
      </w:r>
      <w:r w:rsidR="00221FE4" w:rsidRPr="00415C4C">
        <w:t>decision-making</w:t>
      </w:r>
      <w:r w:rsidR="00415C4C" w:rsidRPr="00415C4C">
        <w:t xml:space="preserve"> bodies, but instead at most, for a ‘for communication and shared learning’,</w:t>
      </w:r>
      <w:r w:rsidR="00415C4C" w:rsidRPr="00415C4C">
        <w:rPr>
          <w:rStyle w:val="FootnoteReference"/>
        </w:rPr>
        <w:footnoteReference w:id="49"/>
      </w:r>
      <w:r w:rsidR="00415C4C" w:rsidRPr="00415C4C">
        <w:t xml:space="preserve"> and offering a dispute resolution mechanism wholly skewed in the UK government’s favour.</w:t>
      </w:r>
    </w:p>
    <w:p w14:paraId="735BC236" w14:textId="587A18FB" w:rsidR="00AD3645" w:rsidRDefault="00415C4C" w:rsidP="00221FE4">
      <w:pPr>
        <w:pStyle w:val="NormalWeb"/>
        <w:spacing w:before="0" w:beforeAutospacing="0" w:after="0" w:afterAutospacing="0" w:line="360" w:lineRule="auto"/>
        <w:ind w:firstLine="720"/>
        <w:jc w:val="both"/>
      </w:pPr>
      <w:r w:rsidRPr="00415C4C">
        <w:t>These limitations in the UK</w:t>
      </w:r>
      <w:r w:rsidR="00936B80">
        <w:t>’</w:t>
      </w:r>
      <w:r w:rsidRPr="00415C4C">
        <w:t>s system of IGR</w:t>
      </w:r>
      <w:r w:rsidR="00936B80">
        <w:t xml:space="preserve"> present barriers to </w:t>
      </w:r>
      <w:r w:rsidR="00936B80" w:rsidRPr="00415C4C">
        <w:t>effective policy cooperation across areas of devolved competence</w:t>
      </w:r>
      <w:r w:rsidR="00936B80">
        <w:t xml:space="preserve">. This applies both </w:t>
      </w:r>
      <w:r w:rsidRPr="00415C4C">
        <w:t xml:space="preserve">where Westminster legislates for the whole UK, or, alternatively, through the possible coordination of the separate regulatory activities of the different governments and parliaments. </w:t>
      </w:r>
      <w:r w:rsidR="00936B80">
        <w:t xml:space="preserve">The removal of </w:t>
      </w:r>
      <w:r w:rsidR="00936B80" w:rsidRPr="00415C4C">
        <w:t>the rules, governance structures and principles from the EU, which previously operated to connect the centre and the devolved governments</w:t>
      </w:r>
      <w:r w:rsidR="002B2040">
        <w:t xml:space="preserve">, has brought </w:t>
      </w:r>
      <w:r w:rsidR="002B2040" w:rsidRPr="00415C4C">
        <w:t>the weaknesses in shared rule</w:t>
      </w:r>
      <w:r w:rsidR="002B2040">
        <w:t xml:space="preserve"> </w:t>
      </w:r>
      <w:r w:rsidR="002B2040" w:rsidRPr="00415C4C">
        <w:t>into extremely sharp relief</w:t>
      </w:r>
      <w:r w:rsidR="002B2040">
        <w:t>.</w:t>
      </w:r>
      <w:r w:rsidR="002B2040">
        <w:rPr>
          <w:rStyle w:val="FootnoteReference"/>
        </w:rPr>
        <w:footnoteReference w:id="50"/>
      </w:r>
      <w:r w:rsidR="002B2040">
        <w:t xml:space="preserve"> This </w:t>
      </w:r>
      <w:r w:rsidR="00A76549">
        <w:t xml:space="preserve">has </w:t>
      </w:r>
      <w:r w:rsidR="002B2040">
        <w:t>triggered</w:t>
      </w:r>
      <w:r w:rsidR="00937DC6">
        <w:t xml:space="preserve"> </w:t>
      </w:r>
      <w:r w:rsidR="002B2040">
        <w:t xml:space="preserve">reviews of, and adjustments to, key aspects of IGR functioning, </w:t>
      </w:r>
      <w:r w:rsidR="00A76549">
        <w:t>most significantly, as a result of the four government joint review of Intergovernmental Relations, which reported in January 2022.</w:t>
      </w:r>
      <w:r w:rsidR="00A76549">
        <w:rPr>
          <w:rStyle w:val="FootnoteReference"/>
        </w:rPr>
        <w:footnoteReference w:id="51"/>
      </w:r>
      <w:r w:rsidR="00A76549" w:rsidRPr="00415C4C">
        <w:t xml:space="preserve"> </w:t>
      </w:r>
      <w:r w:rsidR="00A76549">
        <w:t xml:space="preserve"> </w:t>
      </w:r>
      <w:r w:rsidR="00350069">
        <w:t xml:space="preserve">The Review has led to </w:t>
      </w:r>
      <w:r w:rsidR="00AD3645">
        <w:t>the</w:t>
      </w:r>
      <w:r w:rsidR="00AD3645" w:rsidRPr="00415C4C">
        <w:t xml:space="preserve"> establishment of new, three-level hierarchy of intergovernmental machinery, from the Prime Minister and Heads of Governments Council to mid-tier </w:t>
      </w:r>
      <w:proofErr w:type="spellStart"/>
      <w:r w:rsidR="00AD3645" w:rsidRPr="00415C4C">
        <w:t>Interministerial</w:t>
      </w:r>
      <w:proofErr w:type="spellEnd"/>
      <w:r w:rsidR="00AD3645" w:rsidRPr="00415C4C">
        <w:t xml:space="preserve"> Groups, to portfolio level engagement, as well as a new orientation, with an apparent greater emphasis on shared governance.</w:t>
      </w:r>
      <w:r w:rsidR="00AD3645">
        <w:t xml:space="preserve"> </w:t>
      </w:r>
    </w:p>
    <w:p w14:paraId="42A859A0" w14:textId="15790E0E" w:rsidR="002B2040" w:rsidRDefault="00AD3645" w:rsidP="00970652">
      <w:pPr>
        <w:pStyle w:val="NormalWeb"/>
        <w:spacing w:before="0" w:beforeAutospacing="0" w:after="0" w:afterAutospacing="0" w:line="360" w:lineRule="auto"/>
        <w:ind w:firstLine="720"/>
        <w:jc w:val="both"/>
      </w:pPr>
      <w:r w:rsidRPr="00415C4C">
        <w:t>The new system breaks from its predecessor in that the previous dominance of central government is challenged, through measures including the rotation of the location and chairs for IMG meetings, and significantly, in the creation of a standing IGR Secretariat. This is staffed from across the different governments, and it demonstrates a degree of independence previously absent from the IGR system. This independence is also apparent in a new dispute resolution procedure, which was previously fully under the control of the UK government.</w:t>
      </w:r>
      <w:r>
        <w:t xml:space="preserve">  As the House of Lords Constitution Committee observes, however, success depends on whether the governments are ‘committed to using the new structures to cooperate on achieving shared </w:t>
      </w:r>
      <w:r>
        <w:lastRenderedPageBreak/>
        <w:t>objectives, rather than simply managing—or taking opportunities to accentuate—their differences’.</w:t>
      </w:r>
      <w:r>
        <w:rPr>
          <w:rStyle w:val="FootnoteReference"/>
        </w:rPr>
        <w:footnoteReference w:id="52"/>
      </w:r>
      <w:r>
        <w:t xml:space="preserve"> </w:t>
      </w:r>
    </w:p>
    <w:p w14:paraId="023AE8BE" w14:textId="77777777" w:rsidR="00A15CCF" w:rsidRDefault="00753538" w:rsidP="00970652">
      <w:pPr>
        <w:shd w:val="clear" w:color="auto" w:fill="FFFFFF"/>
        <w:spacing w:before="100" w:beforeAutospacing="1" w:after="0" w:line="360" w:lineRule="auto"/>
        <w:jc w:val="both"/>
        <w:rPr>
          <w:rFonts w:ascii="Times New Roman" w:eastAsia="Times New Roman" w:hAnsi="Times New Roman" w:cs="Times New Roman"/>
          <w:b/>
          <w:sz w:val="24"/>
          <w:szCs w:val="24"/>
          <w:lang w:eastAsia="en-GB"/>
        </w:rPr>
      </w:pPr>
      <w:r w:rsidRPr="00687485">
        <w:rPr>
          <w:rFonts w:ascii="Times New Roman" w:eastAsia="Times New Roman" w:hAnsi="Times New Roman" w:cs="Times New Roman"/>
          <w:b/>
          <w:sz w:val="24"/>
          <w:szCs w:val="24"/>
          <w:lang w:eastAsia="en-GB"/>
        </w:rPr>
        <w:t xml:space="preserve">2. The Common Frameworks, Positive </w:t>
      </w:r>
      <w:r w:rsidR="00F1182B" w:rsidRPr="00687485">
        <w:rPr>
          <w:rFonts w:ascii="Times New Roman" w:eastAsia="Times New Roman" w:hAnsi="Times New Roman" w:cs="Times New Roman"/>
          <w:b/>
          <w:sz w:val="24"/>
          <w:szCs w:val="24"/>
          <w:lang w:eastAsia="en-GB"/>
        </w:rPr>
        <w:t>Harmonisation</w:t>
      </w:r>
      <w:r w:rsidRPr="00687485">
        <w:rPr>
          <w:rFonts w:ascii="Times New Roman" w:eastAsia="Times New Roman" w:hAnsi="Times New Roman" w:cs="Times New Roman"/>
          <w:b/>
          <w:sz w:val="24"/>
          <w:szCs w:val="24"/>
          <w:lang w:eastAsia="en-GB"/>
        </w:rPr>
        <w:t xml:space="preserve"> and Shared Rule</w:t>
      </w:r>
    </w:p>
    <w:p w14:paraId="5FDA0352" w14:textId="1C34578F" w:rsidR="0071100F" w:rsidRDefault="00753538" w:rsidP="00970652">
      <w:pPr>
        <w:shd w:val="clear" w:color="auto" w:fill="FFFFFF"/>
        <w:spacing w:before="100" w:beforeAutospacing="1" w:after="0" w:line="360" w:lineRule="auto"/>
        <w:jc w:val="both"/>
        <w:rPr>
          <w:rFonts w:ascii="Times New Roman" w:hAnsi="Times New Roman" w:cs="Times New Roman"/>
          <w:sz w:val="24"/>
        </w:rPr>
      </w:pPr>
      <w:r w:rsidRPr="00753538">
        <w:rPr>
          <w:rFonts w:ascii="Times New Roman" w:hAnsi="Times New Roman" w:cs="Times New Roman"/>
          <w:sz w:val="24"/>
        </w:rPr>
        <w:t>The</w:t>
      </w:r>
      <w:r w:rsidR="000E1867">
        <w:rPr>
          <w:rFonts w:ascii="Times New Roman" w:hAnsi="Times New Roman" w:cs="Times New Roman"/>
          <w:sz w:val="24"/>
        </w:rPr>
        <w:t xml:space="preserve"> conclusions of the UK and devolved governments’ joint r</w:t>
      </w:r>
      <w:r w:rsidRPr="004B04C3">
        <w:rPr>
          <w:rFonts w:ascii="Times New Roman" w:hAnsi="Times New Roman" w:cs="Times New Roman"/>
          <w:sz w:val="24"/>
        </w:rPr>
        <w:t>eview of Intergovernmental Relations</w:t>
      </w:r>
      <w:r w:rsidR="000E1867">
        <w:rPr>
          <w:rFonts w:ascii="Times New Roman" w:hAnsi="Times New Roman" w:cs="Times New Roman"/>
          <w:sz w:val="24"/>
        </w:rPr>
        <w:t xml:space="preserve"> </w:t>
      </w:r>
      <w:r w:rsidRPr="004B04C3">
        <w:rPr>
          <w:rFonts w:ascii="Times New Roman" w:hAnsi="Times New Roman" w:cs="Times New Roman"/>
          <w:sz w:val="24"/>
        </w:rPr>
        <w:t>reflects a commitment – on paper at least – to more effective structures and institutions of shared governance.</w:t>
      </w:r>
      <w:r w:rsidR="000E1867">
        <w:rPr>
          <w:rStyle w:val="FootnoteReference"/>
          <w:rFonts w:ascii="Times New Roman" w:hAnsi="Times New Roman" w:cs="Times New Roman"/>
          <w:sz w:val="24"/>
        </w:rPr>
        <w:footnoteReference w:id="53"/>
      </w:r>
      <w:r w:rsidRPr="004B04C3">
        <w:rPr>
          <w:rFonts w:ascii="Times New Roman" w:hAnsi="Times New Roman" w:cs="Times New Roman"/>
          <w:sz w:val="24"/>
        </w:rPr>
        <w:t xml:space="preserve"> </w:t>
      </w:r>
      <w:r w:rsidR="0071100F">
        <w:rPr>
          <w:rFonts w:ascii="Times New Roman" w:hAnsi="Times New Roman" w:cs="Times New Roman"/>
          <w:sz w:val="24"/>
        </w:rPr>
        <w:t>R</w:t>
      </w:r>
      <w:r w:rsidR="0071100F" w:rsidRPr="004B04C3">
        <w:rPr>
          <w:rFonts w:ascii="Times New Roman" w:hAnsi="Times New Roman" w:cs="Times New Roman"/>
          <w:sz w:val="24"/>
        </w:rPr>
        <w:t>eflect</w:t>
      </w:r>
      <w:r w:rsidR="0071100F">
        <w:rPr>
          <w:rFonts w:ascii="Times New Roman" w:hAnsi="Times New Roman" w:cs="Times New Roman"/>
          <w:sz w:val="24"/>
        </w:rPr>
        <w:t>ing</w:t>
      </w:r>
      <w:r w:rsidR="0071100F" w:rsidRPr="004B04C3">
        <w:rPr>
          <w:rFonts w:ascii="Times New Roman" w:hAnsi="Times New Roman" w:cs="Times New Roman"/>
          <w:sz w:val="24"/>
        </w:rPr>
        <w:t xml:space="preserve"> this </w:t>
      </w:r>
      <w:r w:rsidR="0071100F">
        <w:rPr>
          <w:rFonts w:ascii="Times New Roman" w:hAnsi="Times New Roman" w:cs="Times New Roman"/>
          <w:sz w:val="24"/>
        </w:rPr>
        <w:t xml:space="preserve">orientation </w:t>
      </w:r>
      <w:r w:rsidR="007732FC">
        <w:rPr>
          <w:rFonts w:ascii="Times New Roman" w:hAnsi="Times New Roman" w:cs="Times New Roman"/>
          <w:sz w:val="24"/>
        </w:rPr>
        <w:t>towards</w:t>
      </w:r>
      <w:r w:rsidR="0071100F" w:rsidRPr="004B04C3">
        <w:rPr>
          <w:rFonts w:ascii="Times New Roman" w:hAnsi="Times New Roman" w:cs="Times New Roman"/>
          <w:sz w:val="24"/>
        </w:rPr>
        <w:t xml:space="preserve"> </w:t>
      </w:r>
      <w:r w:rsidR="0071100F">
        <w:rPr>
          <w:rFonts w:ascii="Times New Roman" w:hAnsi="Times New Roman" w:cs="Times New Roman"/>
          <w:sz w:val="24"/>
        </w:rPr>
        <w:t>more</w:t>
      </w:r>
      <w:r w:rsidR="0071100F" w:rsidRPr="004B04C3">
        <w:rPr>
          <w:rFonts w:ascii="Times New Roman" w:hAnsi="Times New Roman" w:cs="Times New Roman"/>
          <w:sz w:val="24"/>
        </w:rPr>
        <w:t xml:space="preserve"> effective shared rule</w:t>
      </w:r>
      <w:r w:rsidR="0071100F">
        <w:rPr>
          <w:rFonts w:ascii="Times New Roman" w:hAnsi="Times New Roman" w:cs="Times New Roman"/>
          <w:sz w:val="24"/>
        </w:rPr>
        <w:t xml:space="preserve">, this Section introduces discussion of the </w:t>
      </w:r>
      <w:r w:rsidR="0071100F" w:rsidRPr="004B04C3">
        <w:rPr>
          <w:rFonts w:ascii="Times New Roman" w:hAnsi="Times New Roman" w:cs="Times New Roman"/>
          <w:sz w:val="24"/>
        </w:rPr>
        <w:t xml:space="preserve">Common Frameworks as </w:t>
      </w:r>
      <w:r w:rsidR="0071100F" w:rsidRPr="004B04C3">
        <w:rPr>
          <w:rFonts w:ascii="Times New Roman" w:hAnsi="Times New Roman" w:cs="Times New Roman"/>
          <w:sz w:val="24"/>
          <w:szCs w:val="24"/>
        </w:rPr>
        <w:t xml:space="preserve">consensus-based </w:t>
      </w:r>
      <w:r w:rsidR="0071100F" w:rsidRPr="004B04C3">
        <w:rPr>
          <w:rFonts w:ascii="Times New Roman" w:hAnsi="Times New Roman" w:cs="Times New Roman"/>
          <w:sz w:val="24"/>
        </w:rPr>
        <w:t>instruments for the coordination of policy between the UK and devolved governments</w:t>
      </w:r>
      <w:r w:rsidR="0071100F">
        <w:rPr>
          <w:rFonts w:ascii="Times New Roman" w:hAnsi="Times New Roman" w:cs="Times New Roman"/>
          <w:sz w:val="24"/>
        </w:rPr>
        <w:t>. We explore the potential</w:t>
      </w:r>
      <w:r w:rsidR="000B6D21">
        <w:rPr>
          <w:rFonts w:ascii="Times New Roman" w:hAnsi="Times New Roman" w:cs="Times New Roman"/>
          <w:sz w:val="24"/>
        </w:rPr>
        <w:t xml:space="preserve"> </w:t>
      </w:r>
      <w:r w:rsidR="000E1867">
        <w:rPr>
          <w:rFonts w:ascii="Times New Roman" w:hAnsi="Times New Roman" w:cs="Times New Roman"/>
          <w:sz w:val="24"/>
        </w:rPr>
        <w:t>contribution</w:t>
      </w:r>
      <w:r w:rsidR="0071100F">
        <w:rPr>
          <w:rFonts w:ascii="Times New Roman" w:hAnsi="Times New Roman" w:cs="Times New Roman"/>
          <w:sz w:val="24"/>
        </w:rPr>
        <w:t xml:space="preserve"> and emerging limits of the Frameworks as </w:t>
      </w:r>
      <w:r w:rsidR="0071100F" w:rsidRPr="004B04C3">
        <w:rPr>
          <w:rFonts w:ascii="Times New Roman" w:hAnsi="Times New Roman" w:cs="Times New Roman"/>
          <w:sz w:val="24"/>
        </w:rPr>
        <w:t>tools for positive harmonisation</w:t>
      </w:r>
      <w:r w:rsidR="0071100F">
        <w:rPr>
          <w:rFonts w:ascii="Times New Roman" w:hAnsi="Times New Roman" w:cs="Times New Roman"/>
          <w:sz w:val="24"/>
        </w:rPr>
        <w:t xml:space="preserve"> in relation to the management of devolved competences previously falling within the scope of the EU Treaties.</w:t>
      </w:r>
    </w:p>
    <w:p w14:paraId="7DEA609E" w14:textId="72C4C115" w:rsidR="00B26506" w:rsidRPr="00B26506" w:rsidRDefault="00B26506" w:rsidP="00FA55E5">
      <w:pPr>
        <w:shd w:val="clear" w:color="auto" w:fill="FFFFFF"/>
        <w:spacing w:before="100" w:beforeAutospacing="1" w:line="360" w:lineRule="auto"/>
        <w:jc w:val="both"/>
        <w:rPr>
          <w:rFonts w:ascii="Times New Roman" w:eastAsia="Times New Roman" w:hAnsi="Times New Roman" w:cs="Times New Roman"/>
          <w:i/>
          <w:sz w:val="24"/>
          <w:szCs w:val="24"/>
          <w:lang w:eastAsia="en-GB"/>
        </w:rPr>
      </w:pPr>
      <w:r w:rsidRPr="00B26506">
        <w:rPr>
          <w:rFonts w:ascii="Times New Roman" w:eastAsia="Times New Roman" w:hAnsi="Times New Roman" w:cs="Times New Roman"/>
          <w:i/>
          <w:sz w:val="24"/>
          <w:szCs w:val="24"/>
          <w:lang w:eastAsia="en-GB"/>
        </w:rPr>
        <w:t>2.1 Origins, Rationale and Development</w:t>
      </w:r>
    </w:p>
    <w:p w14:paraId="45AE723B" w14:textId="4CF8EFD6" w:rsidR="00E51DD9" w:rsidRDefault="00753538" w:rsidP="00E51DD9">
      <w:pPr>
        <w:pStyle w:val="NormalWeb"/>
        <w:shd w:val="clear" w:color="auto" w:fill="FFFFFF"/>
        <w:spacing w:after="0" w:afterAutospacing="0" w:line="360" w:lineRule="auto"/>
        <w:jc w:val="both"/>
      </w:pPr>
      <w:r w:rsidRPr="004B04C3">
        <w:t xml:space="preserve">The </w:t>
      </w:r>
      <w:r w:rsidR="00350069" w:rsidRPr="004B04C3">
        <w:t>underpinning principles</w:t>
      </w:r>
      <w:r w:rsidR="00350069" w:rsidRPr="00753538">
        <w:t xml:space="preserve"> </w:t>
      </w:r>
      <w:r w:rsidRPr="004B04C3">
        <w:t xml:space="preserve">of the </w:t>
      </w:r>
      <w:r w:rsidR="004B04C3">
        <w:t>F</w:t>
      </w:r>
      <w:r w:rsidRPr="004B04C3">
        <w:t>rameworks approach</w:t>
      </w:r>
      <w:r w:rsidR="004B04C3">
        <w:t xml:space="preserve"> to cooperation on policy</w:t>
      </w:r>
      <w:r w:rsidRPr="004B04C3">
        <w:t xml:space="preserve"> </w:t>
      </w:r>
      <w:r w:rsidRPr="00753538">
        <w:t>were first set out in a JMC (EN) Communiqu</w:t>
      </w:r>
      <w:r w:rsidRPr="00753538">
        <w:rPr>
          <w:color w:val="0B0C0C"/>
        </w:rPr>
        <w:t xml:space="preserve">é </w:t>
      </w:r>
      <w:r w:rsidRPr="00753538">
        <w:t>from October 2017.</w:t>
      </w:r>
      <w:r w:rsidRPr="00753538">
        <w:rPr>
          <w:vertAlign w:val="superscript"/>
        </w:rPr>
        <w:footnoteReference w:id="54"/>
      </w:r>
      <w:r w:rsidRPr="00753538">
        <w:t xml:space="preserve"> The </w:t>
      </w:r>
      <w:r w:rsidR="00197130" w:rsidRPr="00753538">
        <w:t>Communiqu</w:t>
      </w:r>
      <w:r w:rsidR="00197130" w:rsidRPr="00753538">
        <w:rPr>
          <w:color w:val="0B0C0C"/>
        </w:rPr>
        <w:t xml:space="preserve">é </w:t>
      </w:r>
      <w:r w:rsidRPr="00753538">
        <w:t xml:space="preserve">recognises a commitment on the part of all governments ‘to work together to establish common approaches in some areas that are currently governed by EU law’ within areas of devolved competence. First amongst the reasons for establishing </w:t>
      </w:r>
      <w:r w:rsidR="00EA3950">
        <w:t>F</w:t>
      </w:r>
      <w:r w:rsidRPr="00753538">
        <w:t>rameworks is ‘the need to enable the functioning of the UK internal market, while acknowledging policy divergence</w:t>
      </w:r>
      <w:r w:rsidR="00EA3950">
        <w:t>.’</w:t>
      </w:r>
      <w:r w:rsidRPr="00753538">
        <w:t xml:space="preserve"> Additionally, </w:t>
      </w:r>
      <w:r w:rsidR="00C439DA">
        <w:t>F</w:t>
      </w:r>
      <w:r w:rsidRPr="00753538">
        <w:t>rameworks are to be established where necessary to ‘ensure compliance with international obligations; to ensure the UK can negotiate, enter into and implement new trade agreements and international treaties; to enable the management of common resources; to administer and provide access to justice in cases with a cross border element; and to safeguard the security of the UK</w:t>
      </w:r>
      <w:r w:rsidR="00874613">
        <w:t>’</w:t>
      </w:r>
      <w:r w:rsidRPr="00753538">
        <w:t>.</w:t>
      </w:r>
      <w:r w:rsidRPr="00753538">
        <w:rPr>
          <w:vertAlign w:val="superscript"/>
        </w:rPr>
        <w:footnoteReference w:id="55"/>
      </w:r>
      <w:r w:rsidRPr="00753538">
        <w:t xml:space="preserve"> </w:t>
      </w:r>
    </w:p>
    <w:p w14:paraId="5BD54B31" w14:textId="328B2154" w:rsidR="00EA3950" w:rsidRPr="00B255B3" w:rsidRDefault="00085707" w:rsidP="00E51DD9">
      <w:pPr>
        <w:pStyle w:val="NormalWeb"/>
        <w:shd w:val="clear" w:color="auto" w:fill="FFFFFF"/>
        <w:spacing w:before="0" w:beforeAutospacing="0" w:after="0" w:afterAutospacing="0" w:line="360" w:lineRule="auto"/>
        <w:ind w:firstLine="720"/>
        <w:jc w:val="both"/>
      </w:pPr>
      <w:r>
        <w:t xml:space="preserve">Commitment to proceed through the Frameworks approach was part of a compromise </w:t>
      </w:r>
      <w:r w:rsidR="000251E4">
        <w:t xml:space="preserve">deal reached through intergovernmental </w:t>
      </w:r>
      <w:r w:rsidR="00E51DD9">
        <w:t>negotiations</w:t>
      </w:r>
      <w:r w:rsidR="000251E4">
        <w:t xml:space="preserve"> </w:t>
      </w:r>
      <w:r w:rsidR="00EC2233">
        <w:t>around the passage of what would become the EU (Withdrawal) Act 2018</w:t>
      </w:r>
      <w:r w:rsidR="00A65EE7">
        <w:t xml:space="preserve">. </w:t>
      </w:r>
      <w:r w:rsidR="00BE7EF6">
        <w:t>As introduced, the</w:t>
      </w:r>
      <w:r w:rsidR="00A65EE7">
        <w:t xml:space="preserve"> Bill had</w:t>
      </w:r>
      <w:r w:rsidR="00962110">
        <w:t xml:space="preserve"> originally proposed</w:t>
      </w:r>
      <w:r w:rsidR="00A65EE7">
        <w:t xml:space="preserve"> a</w:t>
      </w:r>
      <w:r w:rsidR="00962110">
        <w:t xml:space="preserve"> </w:t>
      </w:r>
      <w:r w:rsidR="00962110">
        <w:lastRenderedPageBreak/>
        <w:t xml:space="preserve">blanket </w:t>
      </w:r>
      <w:r w:rsidR="00D92AB2">
        <w:t>re</w:t>
      </w:r>
      <w:r w:rsidR="000251E4">
        <w:t>striction on the exercise of devolved competence</w:t>
      </w:r>
      <w:r w:rsidR="007929B2">
        <w:t>s</w:t>
      </w:r>
      <w:r w:rsidR="000251E4">
        <w:t xml:space="preserve"> </w:t>
      </w:r>
      <w:r w:rsidR="009F0C58">
        <w:t>falling within the scope of</w:t>
      </w:r>
      <w:r w:rsidR="00FA55E5">
        <w:t xml:space="preserve"> </w:t>
      </w:r>
      <w:r w:rsidR="009F0C58" w:rsidRPr="00B255B3">
        <w:t xml:space="preserve">returning EU </w:t>
      </w:r>
      <w:r w:rsidR="00D92AB2" w:rsidRPr="00B255B3">
        <w:t>powers</w:t>
      </w:r>
      <w:r w:rsidR="007929B2">
        <w:t xml:space="preserve">. That restriction would bind the devolved governments </w:t>
      </w:r>
      <w:r w:rsidR="00D92AB2" w:rsidRPr="00B255B3">
        <w:t xml:space="preserve">unless and until </w:t>
      </w:r>
      <w:r w:rsidR="007929B2">
        <w:t>specific powers were</w:t>
      </w:r>
      <w:r w:rsidR="00EA2F9D" w:rsidRPr="00B255B3">
        <w:t xml:space="preserve"> </w:t>
      </w:r>
      <w:r w:rsidR="00D92AB2" w:rsidRPr="00B255B3">
        <w:t>release</w:t>
      </w:r>
      <w:r w:rsidR="007929B2">
        <w:t>d</w:t>
      </w:r>
      <w:r w:rsidR="00D92AB2" w:rsidRPr="00B255B3">
        <w:t xml:space="preserve"> </w:t>
      </w:r>
      <w:r w:rsidR="007929B2">
        <w:t>under</w:t>
      </w:r>
      <w:r w:rsidR="00D92AB2" w:rsidRPr="00B255B3">
        <w:t xml:space="preserve"> </w:t>
      </w:r>
      <w:r w:rsidR="00EA2F9D" w:rsidRPr="00B255B3">
        <w:t>Orders in Council</w:t>
      </w:r>
      <w:r w:rsidR="00DF43E0">
        <w:t xml:space="preserve"> from Whitehall</w:t>
      </w:r>
      <w:r w:rsidR="00231024" w:rsidRPr="00B255B3">
        <w:t>.</w:t>
      </w:r>
      <w:r w:rsidR="000D4933">
        <w:rPr>
          <w:rStyle w:val="FootnoteReference"/>
        </w:rPr>
        <w:footnoteReference w:id="56"/>
      </w:r>
      <w:r w:rsidR="00231024" w:rsidRPr="00B255B3">
        <w:t xml:space="preserve"> </w:t>
      </w:r>
      <w:r w:rsidR="00636486" w:rsidRPr="00B255B3">
        <w:t>In its place, an agreement was reached tha</w:t>
      </w:r>
      <w:r w:rsidR="0098506A">
        <w:t xml:space="preserve">t </w:t>
      </w:r>
      <w:r w:rsidR="008B5EFB">
        <w:t xml:space="preserve">the default </w:t>
      </w:r>
      <w:r w:rsidR="007929B2">
        <w:t>position would be the</w:t>
      </w:r>
      <w:r w:rsidR="0098506A">
        <w:t xml:space="preserve"> ‘return’ of powers to the</w:t>
      </w:r>
      <w:r w:rsidR="008B5EFB">
        <w:t xml:space="preserve"> devolved </w:t>
      </w:r>
      <w:r w:rsidR="00B8427E">
        <w:t xml:space="preserve">legislatures, with the potential for </w:t>
      </w:r>
      <w:r w:rsidR="00636486" w:rsidRPr="00B255B3">
        <w:t xml:space="preserve">temporary freezes </w:t>
      </w:r>
      <w:r w:rsidR="00B8427E">
        <w:t xml:space="preserve">to be placed </w:t>
      </w:r>
      <w:r w:rsidR="00636486" w:rsidRPr="00B255B3">
        <w:t xml:space="preserve">on regulatory activity </w:t>
      </w:r>
      <w:r w:rsidR="00323CE7" w:rsidRPr="00B255B3">
        <w:t>in areas where divergence might be problematic</w:t>
      </w:r>
      <w:r w:rsidR="00DA29DD">
        <w:t xml:space="preserve">, and where </w:t>
      </w:r>
      <w:r w:rsidR="002341AD">
        <w:t>common frameworks would be needed</w:t>
      </w:r>
      <w:r w:rsidR="00323CE7" w:rsidRPr="00B255B3">
        <w:t>. The</w:t>
      </w:r>
      <w:r w:rsidR="00C66BE0" w:rsidRPr="00B255B3">
        <w:t xml:space="preserve"> power </w:t>
      </w:r>
      <w:r w:rsidR="008C2954">
        <w:t xml:space="preserve">for UK ministers </w:t>
      </w:r>
      <w:r w:rsidR="00C66BE0" w:rsidRPr="00B255B3">
        <w:t>to introduce these</w:t>
      </w:r>
      <w:r w:rsidR="00323CE7" w:rsidRPr="00B255B3">
        <w:t xml:space="preserve"> freezes </w:t>
      </w:r>
      <w:r w:rsidR="00C66BE0" w:rsidRPr="00B255B3">
        <w:t xml:space="preserve">over devolved legislation </w:t>
      </w:r>
      <w:r w:rsidR="00323CE7" w:rsidRPr="00B255B3">
        <w:t>w</w:t>
      </w:r>
      <w:r w:rsidR="00C66BE0" w:rsidRPr="00B255B3">
        <w:t>as included in the EU (Withdrawal) Act</w:t>
      </w:r>
      <w:r w:rsidR="00306BEB">
        <w:t xml:space="preserve">, and made </w:t>
      </w:r>
      <w:r w:rsidR="00C66BE0" w:rsidRPr="00B255B3">
        <w:t xml:space="preserve">subject to </w:t>
      </w:r>
      <w:r w:rsidR="00D21ED9" w:rsidRPr="00B255B3">
        <w:t xml:space="preserve">a </w:t>
      </w:r>
      <w:r w:rsidR="00306BEB">
        <w:t xml:space="preserve">devolved </w:t>
      </w:r>
      <w:r w:rsidR="00D21ED9" w:rsidRPr="00B255B3">
        <w:t>consent request requirement</w:t>
      </w:r>
      <w:r w:rsidR="00306BEB">
        <w:t xml:space="preserve"> – </w:t>
      </w:r>
      <w:r w:rsidR="00AE1CFB">
        <w:t xml:space="preserve">though the absence of consent was not an absolute block to action. </w:t>
      </w:r>
      <w:r w:rsidR="0012452E">
        <w:t>For</w:t>
      </w:r>
      <w:r w:rsidR="00D21ED9" w:rsidRPr="00B255B3">
        <w:t xml:space="preserve"> England, a political restriction was </w:t>
      </w:r>
      <w:r w:rsidR="0034656A" w:rsidRPr="00B255B3">
        <w:t xml:space="preserve">accepted as applying on Westminster and Whitehall. This was </w:t>
      </w:r>
      <w:r w:rsidR="00410D96" w:rsidRPr="00B255B3">
        <w:t xml:space="preserve">all </w:t>
      </w:r>
      <w:r w:rsidR="0034656A" w:rsidRPr="00B255B3">
        <w:t xml:space="preserve">contained in </w:t>
      </w:r>
      <w:r w:rsidR="0084116E" w:rsidRPr="00632889">
        <w:t>an Intergovernmental Agreement</w:t>
      </w:r>
      <w:r w:rsidR="00331C38" w:rsidRPr="00632889">
        <w:t xml:space="preserve"> </w:t>
      </w:r>
      <w:r w:rsidR="00410D96" w:rsidRPr="00632889">
        <w:t xml:space="preserve">(IGA) </w:t>
      </w:r>
      <w:r w:rsidR="0084116E" w:rsidRPr="00632889">
        <w:t>between the Welsh and UK governments</w:t>
      </w:r>
      <w:r w:rsidR="00354424" w:rsidRPr="00632889">
        <w:t>,</w:t>
      </w:r>
      <w:r w:rsidR="0051226E">
        <w:rPr>
          <w:rStyle w:val="FootnoteReference"/>
        </w:rPr>
        <w:footnoteReference w:id="57"/>
      </w:r>
      <w:r w:rsidR="0084116E" w:rsidRPr="00632889">
        <w:t xml:space="preserve"> </w:t>
      </w:r>
      <w:r w:rsidR="008A21A5" w:rsidRPr="00632889">
        <w:t xml:space="preserve">which </w:t>
      </w:r>
      <w:r w:rsidR="0031112C">
        <w:t>committed the parties to</w:t>
      </w:r>
      <w:r w:rsidR="00B255B3" w:rsidRPr="00632889">
        <w:t xml:space="preserve"> ‘</w:t>
      </w:r>
      <w:r w:rsidR="004071EC" w:rsidRPr="00632889">
        <w:t>continue to ​work together to create future common frameworks where they are necessary</w:t>
      </w:r>
      <w:r w:rsidR="00B255B3" w:rsidRPr="00632889">
        <w:t>’</w:t>
      </w:r>
      <w:r w:rsidR="004071EC" w:rsidRPr="00632889">
        <w:t>.</w:t>
      </w:r>
      <w:r w:rsidR="00F6207F">
        <w:rPr>
          <w:rStyle w:val="FootnoteReference"/>
        </w:rPr>
        <w:footnoteReference w:id="58"/>
      </w:r>
      <w:r w:rsidR="00B255B3" w:rsidRPr="00632889">
        <w:t xml:space="preserve"> </w:t>
      </w:r>
      <w:r w:rsidR="00F67660">
        <w:t xml:space="preserve">Whilst the agreement was sufficient for the Welsh Government to </w:t>
      </w:r>
      <w:r w:rsidR="00310C18">
        <w:t>give consent to the Bill, the Scottish</w:t>
      </w:r>
      <w:r w:rsidR="00D17470">
        <w:t xml:space="preserve"> Government </w:t>
      </w:r>
      <w:r w:rsidR="00310C18">
        <w:t xml:space="preserve">refused both to </w:t>
      </w:r>
      <w:r w:rsidR="0084116E" w:rsidRPr="00B255B3">
        <w:t xml:space="preserve">sign up to the IGA, </w:t>
      </w:r>
      <w:r w:rsidR="00B216BB" w:rsidRPr="00B255B3">
        <w:t>or to give its consent</w:t>
      </w:r>
      <w:r w:rsidR="00D17470">
        <w:t xml:space="preserve">. Nonetheless, it </w:t>
      </w:r>
      <w:r w:rsidR="00B216BB" w:rsidRPr="00B255B3">
        <w:t>has</w:t>
      </w:r>
      <w:r w:rsidR="0084116E" w:rsidRPr="00B255B3">
        <w:t xml:space="preserve"> participated in th</w:t>
      </w:r>
      <w:r w:rsidR="00B216BB" w:rsidRPr="00B255B3">
        <w:t xml:space="preserve">e development of Common Frameworks </w:t>
      </w:r>
      <w:r w:rsidR="00E256D0" w:rsidRPr="00B255B3">
        <w:t xml:space="preserve">alongside the other governments. </w:t>
      </w:r>
    </w:p>
    <w:p w14:paraId="5D2450A2" w14:textId="4B86EA63" w:rsidR="00753538" w:rsidRPr="004B04C3" w:rsidRDefault="00753538" w:rsidP="004B04C3">
      <w:pPr>
        <w:spacing w:after="0" w:line="360" w:lineRule="auto"/>
        <w:ind w:firstLine="720"/>
        <w:jc w:val="both"/>
        <w:rPr>
          <w:rFonts w:ascii="Times New Roman" w:hAnsi="Times New Roman" w:cs="Times New Roman"/>
          <w:sz w:val="24"/>
          <w:highlight w:val="green"/>
        </w:rPr>
      </w:pPr>
      <w:r w:rsidRPr="00B255B3">
        <w:rPr>
          <w:rFonts w:ascii="Times New Roman" w:eastAsia="Times New Roman" w:hAnsi="Times New Roman" w:cs="Times New Roman"/>
          <w:sz w:val="24"/>
          <w:szCs w:val="24"/>
          <w:lang w:eastAsia="en-GB"/>
        </w:rPr>
        <w:t>The Common Frameworks establish a new</w:t>
      </w:r>
      <w:r w:rsidRPr="00753538">
        <w:rPr>
          <w:rFonts w:ascii="Times New Roman" w:eastAsia="Times New Roman" w:hAnsi="Times New Roman" w:cs="Times New Roman"/>
          <w:sz w:val="24"/>
          <w:szCs w:val="24"/>
          <w:lang w:eastAsia="en-GB"/>
        </w:rPr>
        <w:t xml:space="preserve"> and potentially far-reaching intergovernmental platform for policy coordination and introduce a layer of </w:t>
      </w:r>
      <w:r w:rsidRPr="00753538">
        <w:rPr>
          <w:rFonts w:ascii="Times New Roman" w:eastAsia="Times New Roman" w:hAnsi="Times New Roman" w:cs="Times New Roman"/>
          <w:i/>
          <w:iCs/>
          <w:sz w:val="24"/>
          <w:szCs w:val="24"/>
          <w:lang w:eastAsia="en-GB"/>
        </w:rPr>
        <w:t>political</w:t>
      </w:r>
      <w:r w:rsidRPr="00753538">
        <w:rPr>
          <w:rFonts w:ascii="Times New Roman" w:eastAsia="Times New Roman" w:hAnsi="Times New Roman" w:cs="Times New Roman"/>
          <w:sz w:val="24"/>
          <w:szCs w:val="24"/>
          <w:lang w:eastAsia="en-GB"/>
        </w:rPr>
        <w:t xml:space="preserve"> obligation on law makers when exercising their </w:t>
      </w:r>
      <w:r w:rsidRPr="00753538">
        <w:rPr>
          <w:rFonts w:ascii="Times New Roman" w:eastAsia="Times New Roman" w:hAnsi="Times New Roman" w:cs="Times New Roman"/>
          <w:i/>
          <w:iCs/>
          <w:sz w:val="24"/>
          <w:szCs w:val="24"/>
          <w:lang w:eastAsia="en-GB"/>
        </w:rPr>
        <w:t>legislative</w:t>
      </w:r>
      <w:r w:rsidRPr="00753538">
        <w:rPr>
          <w:rFonts w:ascii="Times New Roman" w:eastAsia="Times New Roman" w:hAnsi="Times New Roman" w:cs="Times New Roman"/>
          <w:sz w:val="24"/>
          <w:szCs w:val="24"/>
          <w:lang w:eastAsia="en-GB"/>
        </w:rPr>
        <w:t xml:space="preserve"> powers – sometimes to act jointly, sometimes to cooperate and collaborate, and at the very least, to have regard to the possible consequences of proposed regulatory choices on others.</w:t>
      </w:r>
      <w:r w:rsidRPr="00753538">
        <w:rPr>
          <w:rFonts w:ascii="Times New Roman" w:eastAsia="Times New Roman" w:hAnsi="Times New Roman" w:cs="Times New Roman"/>
          <w:bCs/>
          <w:sz w:val="24"/>
          <w:szCs w:val="24"/>
          <w:lang w:eastAsia="en-GB"/>
        </w:rPr>
        <w:t xml:space="preserve"> Legally, these processes are non-binding, with each of the four governments retaining its right to exercise its respective competences in particular policy areas in accordance with the devolution legislation.</w:t>
      </w:r>
      <w:r w:rsidRPr="00753538">
        <w:rPr>
          <w:rFonts w:ascii="Times New Roman" w:eastAsia="Times New Roman" w:hAnsi="Times New Roman" w:cs="Times New Roman"/>
          <w:bCs/>
          <w:sz w:val="24"/>
          <w:szCs w:val="24"/>
          <w:vertAlign w:val="superscript"/>
          <w:lang w:eastAsia="en-GB"/>
        </w:rPr>
        <w:footnoteReference w:id="59"/>
      </w:r>
      <w:r w:rsidRPr="00753538">
        <w:rPr>
          <w:rFonts w:ascii="Times New Roman" w:eastAsia="Times New Roman" w:hAnsi="Times New Roman" w:cs="Times New Roman"/>
          <w:bCs/>
          <w:sz w:val="24"/>
          <w:szCs w:val="24"/>
          <w:lang w:eastAsia="en-GB"/>
        </w:rPr>
        <w:t xml:space="preserve"> The success (or failure) of the Common Frameworks thus turns, to a great extent, on the strength of political relationships between the four governments</w:t>
      </w:r>
      <w:r w:rsidR="00446A7A">
        <w:rPr>
          <w:rFonts w:ascii="Times New Roman" w:eastAsia="Times New Roman" w:hAnsi="Times New Roman" w:cs="Times New Roman"/>
          <w:bCs/>
          <w:sz w:val="24"/>
          <w:szCs w:val="24"/>
          <w:lang w:eastAsia="en-GB"/>
        </w:rPr>
        <w:t>.</w:t>
      </w:r>
      <w:r w:rsidRPr="00753538">
        <w:rPr>
          <w:rFonts w:ascii="Times New Roman" w:eastAsia="Times New Roman" w:hAnsi="Times New Roman" w:cs="Times New Roman"/>
          <w:bCs/>
          <w:sz w:val="24"/>
          <w:szCs w:val="24"/>
          <w:lang w:eastAsia="en-GB"/>
        </w:rPr>
        <w:t xml:space="preserve"> </w:t>
      </w:r>
      <w:r w:rsidR="00446A7A">
        <w:rPr>
          <w:rFonts w:ascii="Times New Roman" w:eastAsia="Times New Roman" w:hAnsi="Times New Roman" w:cs="Times New Roman"/>
          <w:bCs/>
          <w:sz w:val="24"/>
          <w:szCs w:val="24"/>
          <w:lang w:eastAsia="en-GB"/>
        </w:rPr>
        <w:t>In that regard, t</w:t>
      </w:r>
      <w:r w:rsidRPr="00753538">
        <w:rPr>
          <w:rFonts w:ascii="Times New Roman" w:eastAsia="Times New Roman" w:hAnsi="Times New Roman" w:cs="Times New Roman"/>
          <w:bCs/>
          <w:sz w:val="24"/>
          <w:szCs w:val="24"/>
          <w:lang w:eastAsia="en-GB"/>
        </w:rPr>
        <w:t>he Frameworks extend the reach of the evolving IGR structures into an underdeveloped aspect of the UK’s territorial constitution</w:t>
      </w:r>
      <w:r w:rsidR="00D06CB9">
        <w:rPr>
          <w:rFonts w:ascii="Times New Roman" w:eastAsia="Times New Roman" w:hAnsi="Times New Roman" w:cs="Times New Roman"/>
          <w:bCs/>
          <w:sz w:val="24"/>
          <w:szCs w:val="24"/>
          <w:lang w:eastAsia="en-GB"/>
        </w:rPr>
        <w:t>, its internal market</w:t>
      </w:r>
      <w:r w:rsidRPr="00753538">
        <w:rPr>
          <w:rFonts w:ascii="Times New Roman" w:eastAsia="Times New Roman" w:hAnsi="Times New Roman" w:cs="Times New Roman"/>
          <w:bCs/>
          <w:sz w:val="24"/>
          <w:szCs w:val="24"/>
          <w:lang w:eastAsia="en-GB"/>
        </w:rPr>
        <w:t>.</w:t>
      </w:r>
    </w:p>
    <w:p w14:paraId="175B5B26" w14:textId="23382BAA" w:rsidR="00753538" w:rsidRPr="00753538" w:rsidRDefault="00753538" w:rsidP="00713609">
      <w:pPr>
        <w:spacing w:after="0" w:line="360" w:lineRule="auto"/>
        <w:ind w:firstLine="720"/>
        <w:jc w:val="both"/>
        <w:outlineLvl w:val="0"/>
        <w:rPr>
          <w:rFonts w:ascii="Times New Roman" w:eastAsia="Times New Roman" w:hAnsi="Times New Roman" w:cs="Times New Roman"/>
          <w:kern w:val="36"/>
          <w:sz w:val="24"/>
          <w:szCs w:val="24"/>
          <w:lang w:eastAsia="en-GB"/>
        </w:rPr>
      </w:pPr>
      <w:r w:rsidRPr="00753538">
        <w:rPr>
          <w:rFonts w:ascii="Times New Roman" w:eastAsia="Times New Roman" w:hAnsi="Times New Roman" w:cs="Times New Roman"/>
          <w:kern w:val="36"/>
          <w:sz w:val="24"/>
          <w:szCs w:val="24"/>
          <w:lang w:eastAsia="en-GB"/>
        </w:rPr>
        <w:lastRenderedPageBreak/>
        <w:t xml:space="preserve">Input from the different Whitehall ministries produced an initial list of over 150 areas of EU and devolved competence overlap, where </w:t>
      </w:r>
      <w:r w:rsidR="00C439DA">
        <w:rPr>
          <w:rFonts w:ascii="Times New Roman" w:eastAsia="Times New Roman" w:hAnsi="Times New Roman" w:cs="Times New Roman"/>
          <w:kern w:val="36"/>
          <w:sz w:val="24"/>
          <w:szCs w:val="24"/>
          <w:lang w:eastAsia="en-GB"/>
        </w:rPr>
        <w:t>F</w:t>
      </w:r>
      <w:r w:rsidRPr="00753538">
        <w:rPr>
          <w:rFonts w:ascii="Times New Roman" w:eastAsia="Times New Roman" w:hAnsi="Times New Roman" w:cs="Times New Roman"/>
          <w:kern w:val="36"/>
          <w:sz w:val="24"/>
          <w:szCs w:val="24"/>
          <w:lang w:eastAsia="en-GB"/>
        </w:rPr>
        <w:t>rameworks might be required.</w:t>
      </w:r>
      <w:r w:rsidRPr="00753538">
        <w:rPr>
          <w:rFonts w:ascii="Times New Roman" w:eastAsia="Times New Roman" w:hAnsi="Times New Roman" w:cs="Times New Roman"/>
          <w:kern w:val="36"/>
          <w:sz w:val="24"/>
          <w:szCs w:val="24"/>
          <w:vertAlign w:val="superscript"/>
          <w:lang w:eastAsia="en-GB"/>
        </w:rPr>
        <w:footnoteReference w:id="60"/>
      </w:r>
      <w:r w:rsidRPr="00753538">
        <w:rPr>
          <w:rFonts w:ascii="Times New Roman" w:eastAsia="Times New Roman" w:hAnsi="Times New Roman" w:cs="Times New Roman"/>
          <w:kern w:val="36"/>
          <w:sz w:val="24"/>
          <w:szCs w:val="24"/>
          <w:lang w:eastAsia="en-GB"/>
        </w:rPr>
        <w:t xml:space="preserve"> This original list of measures was subsequently revised and refined – to there now being a total of 32 </w:t>
      </w:r>
      <w:r w:rsidR="00C439DA">
        <w:rPr>
          <w:rFonts w:ascii="Times New Roman" w:eastAsia="Times New Roman" w:hAnsi="Times New Roman" w:cs="Times New Roman"/>
          <w:kern w:val="36"/>
          <w:sz w:val="24"/>
          <w:szCs w:val="24"/>
          <w:lang w:eastAsia="en-GB"/>
        </w:rPr>
        <w:t>C</w:t>
      </w:r>
      <w:r w:rsidRPr="00753538">
        <w:rPr>
          <w:rFonts w:ascii="Times New Roman" w:eastAsia="Times New Roman" w:hAnsi="Times New Roman" w:cs="Times New Roman"/>
          <w:kern w:val="36"/>
          <w:sz w:val="24"/>
          <w:szCs w:val="24"/>
          <w:lang w:eastAsia="en-GB"/>
        </w:rPr>
        <w:t xml:space="preserve">ommon </w:t>
      </w:r>
      <w:r w:rsidR="00C439DA">
        <w:rPr>
          <w:rFonts w:ascii="Times New Roman" w:eastAsia="Times New Roman" w:hAnsi="Times New Roman" w:cs="Times New Roman"/>
          <w:kern w:val="36"/>
          <w:sz w:val="24"/>
          <w:szCs w:val="24"/>
          <w:lang w:eastAsia="en-GB"/>
        </w:rPr>
        <w:t>F</w:t>
      </w:r>
      <w:r w:rsidRPr="00753538">
        <w:rPr>
          <w:rFonts w:ascii="Times New Roman" w:eastAsia="Times New Roman" w:hAnsi="Times New Roman" w:cs="Times New Roman"/>
          <w:kern w:val="36"/>
          <w:sz w:val="24"/>
          <w:szCs w:val="24"/>
          <w:lang w:eastAsia="en-GB"/>
        </w:rPr>
        <w:t>rameworks – 26 bringing together the four governments of the UK, the remaining six involving only the governments in Belfast and London.</w:t>
      </w:r>
      <w:r w:rsidRPr="00753538">
        <w:rPr>
          <w:rFonts w:ascii="Times New Roman" w:eastAsia="Times New Roman" w:hAnsi="Times New Roman" w:cs="Times New Roman"/>
          <w:kern w:val="36"/>
          <w:sz w:val="24"/>
          <w:szCs w:val="24"/>
          <w:vertAlign w:val="superscript"/>
          <w:lang w:eastAsia="en-GB"/>
        </w:rPr>
        <w:footnoteReference w:id="61"/>
      </w:r>
      <w:r w:rsidRPr="00753538">
        <w:rPr>
          <w:rFonts w:ascii="Times New Roman" w:eastAsia="Times New Roman" w:hAnsi="Times New Roman" w:cs="Times New Roman"/>
          <w:kern w:val="36"/>
          <w:sz w:val="24"/>
          <w:szCs w:val="24"/>
          <w:lang w:eastAsia="en-GB"/>
        </w:rPr>
        <w:t xml:space="preserve"> As of June 2023, only one of the Frameworks had passed all stages of legislative scrutiny from the four parliaments demanded of it,</w:t>
      </w:r>
      <w:r w:rsidRPr="00753538">
        <w:rPr>
          <w:rFonts w:ascii="Times New Roman" w:eastAsia="Times New Roman" w:hAnsi="Times New Roman" w:cs="Times New Roman"/>
          <w:kern w:val="36"/>
          <w:sz w:val="24"/>
          <w:szCs w:val="24"/>
          <w:vertAlign w:val="superscript"/>
          <w:lang w:eastAsia="en-GB"/>
        </w:rPr>
        <w:footnoteReference w:id="62"/>
      </w:r>
      <w:r w:rsidRPr="00753538">
        <w:rPr>
          <w:rFonts w:ascii="Times New Roman" w:eastAsia="Times New Roman" w:hAnsi="Times New Roman" w:cs="Times New Roman"/>
          <w:kern w:val="36"/>
          <w:sz w:val="24"/>
          <w:szCs w:val="24"/>
          <w:lang w:eastAsia="en-GB"/>
        </w:rPr>
        <w:t xml:space="preserve"> long after the target date of January 2021 for the completion of the process.</w:t>
      </w:r>
      <w:r w:rsidR="000E1867">
        <w:rPr>
          <w:rStyle w:val="FootnoteReference"/>
          <w:rFonts w:ascii="Times New Roman" w:eastAsia="Times New Roman" w:hAnsi="Times New Roman" w:cs="Times New Roman"/>
          <w:kern w:val="36"/>
          <w:sz w:val="24"/>
          <w:szCs w:val="24"/>
          <w:lang w:eastAsia="en-GB"/>
        </w:rPr>
        <w:footnoteReference w:id="63"/>
      </w:r>
      <w:r w:rsidRPr="00753538">
        <w:rPr>
          <w:rFonts w:ascii="Times New Roman" w:eastAsia="Times New Roman" w:hAnsi="Times New Roman" w:cs="Times New Roman"/>
          <w:kern w:val="36"/>
          <w:sz w:val="24"/>
          <w:szCs w:val="24"/>
          <w:lang w:eastAsia="en-GB"/>
        </w:rPr>
        <w:t xml:space="preserve"> In the meantime, the remaining frameworks have been operating on a provisional basis. Frameworks exist in particular in the areas of agricultural and environmental regulation, as well as food standards and safety, procurement, and professional qualifications. Where there is limited potential for divergence, or where the significance of any divergence is minimal for internal or international trade, it has been decided that no framework is required.</w:t>
      </w:r>
      <w:r w:rsidRPr="00753538">
        <w:rPr>
          <w:rFonts w:ascii="Times New Roman" w:eastAsia="Times New Roman" w:hAnsi="Times New Roman" w:cs="Times New Roman"/>
          <w:kern w:val="36"/>
          <w:sz w:val="24"/>
          <w:szCs w:val="24"/>
          <w:vertAlign w:val="superscript"/>
          <w:lang w:eastAsia="en-GB"/>
        </w:rPr>
        <w:footnoteReference w:id="64"/>
      </w:r>
      <w:r w:rsidRPr="00753538">
        <w:rPr>
          <w:rFonts w:ascii="Times New Roman" w:eastAsia="Times New Roman" w:hAnsi="Times New Roman" w:cs="Times New Roman"/>
          <w:kern w:val="36"/>
          <w:sz w:val="24"/>
          <w:szCs w:val="24"/>
          <w:lang w:eastAsia="en-GB"/>
        </w:rPr>
        <w:t xml:space="preserve"> For a very small number of </w:t>
      </w:r>
      <w:r w:rsidR="00197130">
        <w:rPr>
          <w:rFonts w:ascii="Times New Roman" w:eastAsia="Times New Roman" w:hAnsi="Times New Roman" w:cs="Times New Roman"/>
          <w:kern w:val="36"/>
          <w:sz w:val="24"/>
          <w:szCs w:val="24"/>
          <w:lang w:eastAsia="en-GB"/>
        </w:rPr>
        <w:t>Fr</w:t>
      </w:r>
      <w:r w:rsidRPr="00753538">
        <w:rPr>
          <w:rFonts w:ascii="Times New Roman" w:eastAsia="Times New Roman" w:hAnsi="Times New Roman" w:cs="Times New Roman"/>
          <w:kern w:val="36"/>
          <w:sz w:val="24"/>
          <w:szCs w:val="24"/>
          <w:lang w:eastAsia="en-GB"/>
        </w:rPr>
        <w:t xml:space="preserve">amework areas, for example, Fisheries Management, there is agreement that cooperation will in part be managed through new primary, Westminster legislation. For the most part however, frameworks are mechanisms to coordinate the regulatory activity of the different legislatures within the UK. </w:t>
      </w:r>
    </w:p>
    <w:p w14:paraId="36D7A9A5" w14:textId="31D7ECA9" w:rsidR="00446A7A" w:rsidRDefault="00753538" w:rsidP="00512123">
      <w:pPr>
        <w:spacing w:after="0" w:line="360" w:lineRule="auto"/>
        <w:ind w:firstLine="720"/>
        <w:jc w:val="both"/>
        <w:rPr>
          <w:rFonts w:ascii="Times New Roman" w:eastAsia="Times New Roman" w:hAnsi="Times New Roman" w:cs="Times New Roman"/>
          <w:sz w:val="24"/>
          <w:szCs w:val="24"/>
          <w:lang w:eastAsia="en-GB"/>
        </w:rPr>
      </w:pPr>
      <w:r w:rsidRPr="00753538">
        <w:rPr>
          <w:rFonts w:ascii="Times New Roman" w:eastAsia="Times New Roman" w:hAnsi="Times New Roman" w:cs="Times New Roman"/>
          <w:sz w:val="24"/>
          <w:szCs w:val="24"/>
          <w:lang w:eastAsia="en-GB"/>
        </w:rPr>
        <w:t>A broad understanding of policy coordination is employed under the Common Frameworks which, depending on the policy area, can include common minimum (or maximum) regulatory standards, along with setting common goals, placing limits on policy divergence or requiring mutual recognition.</w:t>
      </w:r>
      <w:r w:rsidRPr="00753538">
        <w:rPr>
          <w:rFonts w:ascii="Times New Roman" w:eastAsia="Times New Roman" w:hAnsi="Times New Roman" w:cs="Times New Roman"/>
          <w:sz w:val="24"/>
          <w:szCs w:val="24"/>
          <w:vertAlign w:val="superscript"/>
          <w:lang w:eastAsia="en-GB"/>
        </w:rPr>
        <w:footnoteReference w:id="65"/>
      </w:r>
      <w:r w:rsidRPr="00753538">
        <w:rPr>
          <w:rFonts w:ascii="Times New Roman" w:eastAsia="Times New Roman" w:hAnsi="Times New Roman" w:cs="Times New Roman"/>
          <w:sz w:val="24"/>
          <w:szCs w:val="24"/>
          <w:lang w:eastAsia="en-GB"/>
        </w:rPr>
        <w:t xml:space="preserve"> Whilst frameworks differ from issue to issue, there are some commonalities. Each consists of a general overview of the issue and the principles which necessitate the framework – whether the demands of the internal market, or some other reason. They detail any relevant underpinning legislation, and include a concordat or memorandum of understanding signed by the parties which set out how the governments are to cooperate in policy development, and how they are to manage any proposed divergence in regulation. The Resources and Waste Common Framework</w:t>
      </w:r>
      <w:r w:rsidR="003A2ED9">
        <w:rPr>
          <w:rFonts w:ascii="Times New Roman" w:eastAsia="Times New Roman" w:hAnsi="Times New Roman" w:cs="Times New Roman"/>
          <w:sz w:val="24"/>
          <w:szCs w:val="24"/>
          <w:lang w:eastAsia="en-GB"/>
        </w:rPr>
        <w:t>,</w:t>
      </w:r>
      <w:r w:rsidRPr="00753538">
        <w:rPr>
          <w:rFonts w:ascii="Times New Roman" w:eastAsia="Times New Roman" w:hAnsi="Times New Roman" w:cs="Times New Roman"/>
          <w:sz w:val="24"/>
          <w:szCs w:val="24"/>
          <w:lang w:eastAsia="en-GB"/>
        </w:rPr>
        <w:t xml:space="preserve"> for example</w:t>
      </w:r>
      <w:r w:rsidR="003A2ED9">
        <w:rPr>
          <w:rFonts w:ascii="Times New Roman" w:eastAsia="Times New Roman" w:hAnsi="Times New Roman" w:cs="Times New Roman"/>
          <w:sz w:val="24"/>
          <w:szCs w:val="24"/>
          <w:lang w:eastAsia="en-GB"/>
        </w:rPr>
        <w:t>,</w:t>
      </w:r>
      <w:r w:rsidRPr="00753538">
        <w:rPr>
          <w:rFonts w:ascii="Times New Roman" w:eastAsia="Times New Roman" w:hAnsi="Times New Roman" w:cs="Times New Roman"/>
          <w:sz w:val="24"/>
          <w:szCs w:val="24"/>
          <w:lang w:eastAsia="en-GB"/>
        </w:rPr>
        <w:t xml:space="preserve"> envisages UK-wide </w:t>
      </w:r>
      <w:r w:rsidRPr="00753538">
        <w:rPr>
          <w:rFonts w:ascii="Times New Roman" w:eastAsia="Times New Roman" w:hAnsi="Times New Roman" w:cs="Times New Roman"/>
          <w:sz w:val="24"/>
          <w:szCs w:val="24"/>
          <w:lang w:eastAsia="en-GB"/>
        </w:rPr>
        <w:lastRenderedPageBreak/>
        <w:t>discussion of policy decisions, including new policy creation, regulatory change, and operational issues.</w:t>
      </w:r>
      <w:r w:rsidR="00EA3950">
        <w:rPr>
          <w:rStyle w:val="FootnoteReference"/>
          <w:rFonts w:ascii="Times New Roman" w:eastAsia="Times New Roman" w:hAnsi="Times New Roman" w:cs="Times New Roman"/>
          <w:sz w:val="24"/>
          <w:szCs w:val="24"/>
          <w:lang w:eastAsia="en-GB"/>
        </w:rPr>
        <w:footnoteReference w:id="66"/>
      </w:r>
      <w:r w:rsidR="0034474F">
        <w:rPr>
          <w:rFonts w:ascii="Times New Roman" w:eastAsia="Times New Roman" w:hAnsi="Times New Roman" w:cs="Times New Roman"/>
          <w:sz w:val="24"/>
          <w:szCs w:val="24"/>
          <w:lang w:eastAsia="en-GB"/>
        </w:rPr>
        <w:t xml:space="preserve"> These might lead to </w:t>
      </w:r>
      <w:r w:rsidR="007A6933">
        <w:rPr>
          <w:rFonts w:ascii="Times New Roman" w:eastAsia="Times New Roman" w:hAnsi="Times New Roman" w:cs="Times New Roman"/>
          <w:sz w:val="24"/>
          <w:szCs w:val="24"/>
          <w:lang w:eastAsia="en-GB"/>
        </w:rPr>
        <w:t xml:space="preserve">UK-wide measures, or a coordinated multinational approach. </w:t>
      </w:r>
      <w:r w:rsidRPr="00753538">
        <w:rPr>
          <w:rFonts w:ascii="Times New Roman" w:eastAsia="Times New Roman" w:hAnsi="Times New Roman" w:cs="Times New Roman"/>
          <w:sz w:val="24"/>
          <w:szCs w:val="24"/>
          <w:lang w:eastAsia="en-GB"/>
        </w:rPr>
        <w:t xml:space="preserve">The Food and Feed Safety and Hygiene Common Framework meanwhile includes </w:t>
      </w:r>
      <w:r w:rsidRPr="00753538">
        <w:rPr>
          <w:rFonts w:ascii="Times New Roman" w:eastAsia="Times New Roman" w:hAnsi="Times New Roman" w:cs="Times New Roman"/>
          <w:i/>
          <w:iCs/>
          <w:sz w:val="24"/>
          <w:szCs w:val="24"/>
          <w:lang w:eastAsia="en-GB"/>
        </w:rPr>
        <w:t>inter alia</w:t>
      </w:r>
      <w:r w:rsidRPr="00753538">
        <w:rPr>
          <w:rFonts w:ascii="Times New Roman" w:eastAsia="Times New Roman" w:hAnsi="Times New Roman" w:cs="Times New Roman"/>
          <w:sz w:val="24"/>
          <w:szCs w:val="24"/>
          <w:lang w:eastAsia="en-GB"/>
        </w:rPr>
        <w:t xml:space="preserve"> a commitment to identify where concurrent powers could be available so one statutory instrument could be used to implement consistent decisions (with consent) across the UK;</w:t>
      </w:r>
      <w:r w:rsidR="00197130">
        <w:rPr>
          <w:rStyle w:val="FootnoteReference"/>
          <w:rFonts w:ascii="Times New Roman" w:eastAsia="Times New Roman" w:hAnsi="Times New Roman" w:cs="Times New Roman"/>
          <w:sz w:val="24"/>
          <w:szCs w:val="24"/>
          <w:lang w:eastAsia="en-GB"/>
        </w:rPr>
        <w:footnoteReference w:id="67"/>
      </w:r>
      <w:r w:rsidRPr="00753538">
        <w:rPr>
          <w:rFonts w:ascii="Times New Roman" w:eastAsia="Times New Roman" w:hAnsi="Times New Roman" w:cs="Times New Roman"/>
          <w:sz w:val="24"/>
          <w:szCs w:val="24"/>
          <w:lang w:eastAsia="en-GB"/>
        </w:rPr>
        <w:t xml:space="preserve"> whilst the Nutrition Related Labelling, Composition and Standards Common Framework establishes a commitment to share policy proposals in primary, secondary and non-statutory measures in good time to allow for full consideration and the agreement of a common approach wherever possible.</w:t>
      </w:r>
      <w:r w:rsidR="00EA3950">
        <w:rPr>
          <w:rStyle w:val="FootnoteReference"/>
          <w:rFonts w:ascii="Times New Roman" w:eastAsia="Times New Roman" w:hAnsi="Times New Roman" w:cs="Times New Roman"/>
          <w:sz w:val="24"/>
          <w:szCs w:val="24"/>
          <w:lang w:eastAsia="en-GB"/>
        </w:rPr>
        <w:footnoteReference w:id="68"/>
      </w:r>
      <w:r w:rsidRPr="00753538">
        <w:rPr>
          <w:rFonts w:ascii="Times New Roman" w:eastAsia="Times New Roman" w:hAnsi="Times New Roman" w:cs="Times New Roman"/>
          <w:sz w:val="24"/>
          <w:szCs w:val="24"/>
          <w:lang w:eastAsia="en-GB"/>
        </w:rPr>
        <w:t xml:space="preserve">  </w:t>
      </w:r>
    </w:p>
    <w:p w14:paraId="738C7AED" w14:textId="3807AAE9" w:rsidR="005A7AF0" w:rsidRPr="00B26506" w:rsidRDefault="005A7AF0" w:rsidP="005A7AF0">
      <w:pPr>
        <w:shd w:val="clear" w:color="auto" w:fill="FFFFFF"/>
        <w:spacing w:before="100" w:beforeAutospacing="1" w:line="360" w:lineRule="auto"/>
        <w:jc w:val="both"/>
        <w:rPr>
          <w:rFonts w:ascii="Times New Roman" w:eastAsia="Times New Roman" w:hAnsi="Times New Roman" w:cs="Times New Roman"/>
          <w:i/>
          <w:sz w:val="24"/>
          <w:szCs w:val="24"/>
          <w:lang w:eastAsia="en-GB"/>
        </w:rPr>
      </w:pPr>
      <w:r w:rsidRPr="00B26506">
        <w:rPr>
          <w:rFonts w:ascii="Times New Roman" w:eastAsia="Times New Roman" w:hAnsi="Times New Roman" w:cs="Times New Roman"/>
          <w:i/>
          <w:sz w:val="24"/>
          <w:szCs w:val="24"/>
          <w:lang w:eastAsia="en-GB"/>
        </w:rPr>
        <w:t>2.</w:t>
      </w:r>
      <w:r>
        <w:rPr>
          <w:rFonts w:ascii="Times New Roman" w:eastAsia="Times New Roman" w:hAnsi="Times New Roman" w:cs="Times New Roman"/>
          <w:i/>
          <w:sz w:val="24"/>
          <w:szCs w:val="24"/>
          <w:lang w:eastAsia="en-GB"/>
        </w:rPr>
        <w:t>2</w:t>
      </w:r>
      <w:r w:rsidRPr="00B26506">
        <w:rPr>
          <w:rFonts w:ascii="Times New Roman" w:eastAsia="Times New Roman" w:hAnsi="Times New Roman" w:cs="Times New Roman"/>
          <w:i/>
          <w:sz w:val="24"/>
          <w:szCs w:val="24"/>
          <w:lang w:eastAsia="en-GB"/>
        </w:rPr>
        <w:t xml:space="preserve"> </w:t>
      </w:r>
      <w:r w:rsidR="00D43BD9">
        <w:rPr>
          <w:rFonts w:ascii="Times New Roman" w:eastAsia="Times New Roman" w:hAnsi="Times New Roman" w:cs="Times New Roman"/>
          <w:i/>
          <w:sz w:val="24"/>
          <w:szCs w:val="24"/>
          <w:lang w:eastAsia="en-GB"/>
        </w:rPr>
        <w:t>Coordinating Policy, Managing Divergence</w:t>
      </w:r>
      <w:r w:rsidR="00554F79">
        <w:rPr>
          <w:rFonts w:ascii="Times New Roman" w:eastAsia="Times New Roman" w:hAnsi="Times New Roman" w:cs="Times New Roman"/>
          <w:i/>
          <w:sz w:val="24"/>
          <w:szCs w:val="24"/>
          <w:lang w:eastAsia="en-GB"/>
        </w:rPr>
        <w:t xml:space="preserve"> </w:t>
      </w:r>
    </w:p>
    <w:p w14:paraId="55845A18" w14:textId="3227D439" w:rsidR="00753538" w:rsidRPr="00753538" w:rsidRDefault="00753538" w:rsidP="005A7AF0">
      <w:pPr>
        <w:spacing w:after="0" w:line="360" w:lineRule="auto"/>
        <w:jc w:val="both"/>
        <w:rPr>
          <w:rFonts w:ascii="Times New Roman" w:eastAsia="Times New Roman" w:hAnsi="Times New Roman" w:cs="Times New Roman"/>
          <w:sz w:val="24"/>
          <w:szCs w:val="24"/>
          <w:lang w:eastAsia="en-GB"/>
        </w:rPr>
      </w:pPr>
      <w:r w:rsidRPr="00753538">
        <w:rPr>
          <w:rFonts w:ascii="Times New Roman" w:eastAsia="Times New Roman" w:hAnsi="Times New Roman" w:cs="Times New Roman"/>
          <w:bCs/>
          <w:sz w:val="24"/>
          <w:szCs w:val="24"/>
          <w:lang w:eastAsia="en-GB"/>
        </w:rPr>
        <w:t>A fundamental and, as yet, unanswered question is whether the</w:t>
      </w:r>
      <w:r w:rsidR="00B80EA5">
        <w:rPr>
          <w:rFonts w:ascii="Times New Roman" w:eastAsia="Times New Roman" w:hAnsi="Times New Roman" w:cs="Times New Roman"/>
          <w:bCs/>
          <w:sz w:val="24"/>
          <w:szCs w:val="24"/>
          <w:lang w:eastAsia="en-GB"/>
        </w:rPr>
        <w:t xml:space="preserve"> frameworks</w:t>
      </w:r>
      <w:r w:rsidRPr="00753538">
        <w:rPr>
          <w:rFonts w:ascii="Times New Roman" w:eastAsia="Times New Roman" w:hAnsi="Times New Roman" w:cs="Times New Roman"/>
          <w:bCs/>
          <w:sz w:val="24"/>
          <w:szCs w:val="24"/>
          <w:lang w:eastAsia="en-GB"/>
        </w:rPr>
        <w:t xml:space="preserve"> will actually reach full maturity as instruments of positive </w:t>
      </w:r>
      <w:r w:rsidR="00F1182B">
        <w:rPr>
          <w:rFonts w:ascii="Times New Roman" w:eastAsia="Times New Roman" w:hAnsi="Times New Roman" w:cs="Times New Roman"/>
          <w:bCs/>
          <w:sz w:val="24"/>
          <w:szCs w:val="24"/>
          <w:lang w:eastAsia="en-GB"/>
        </w:rPr>
        <w:t>harmonisation</w:t>
      </w:r>
      <w:r w:rsidRPr="00753538">
        <w:rPr>
          <w:rFonts w:ascii="Times New Roman" w:eastAsia="Times New Roman" w:hAnsi="Times New Roman" w:cs="Times New Roman"/>
          <w:bCs/>
          <w:sz w:val="24"/>
          <w:szCs w:val="24"/>
          <w:lang w:eastAsia="en-GB"/>
        </w:rPr>
        <w:t>, especially given the nascent state of improved UK intergovernmental relations.</w:t>
      </w:r>
      <w:r w:rsidRPr="00753538">
        <w:rPr>
          <w:rFonts w:ascii="Times New Roman" w:eastAsia="Times New Roman" w:hAnsi="Times New Roman" w:cs="Times New Roman"/>
          <w:bCs/>
          <w:sz w:val="24"/>
          <w:szCs w:val="24"/>
          <w:vertAlign w:val="superscript"/>
          <w:lang w:eastAsia="en-GB"/>
        </w:rPr>
        <w:footnoteReference w:id="69"/>
      </w:r>
      <w:r w:rsidRPr="00753538">
        <w:rPr>
          <w:rFonts w:ascii="Times New Roman" w:eastAsia="Times New Roman" w:hAnsi="Times New Roman" w:cs="Times New Roman"/>
          <w:bCs/>
          <w:sz w:val="24"/>
          <w:szCs w:val="24"/>
          <w:lang w:eastAsia="en-GB"/>
        </w:rPr>
        <w:t xml:space="preserve"> A defining feature of their functioning thus far has been their rather ‘thin’ approach to policy coordination. Presently, policy coordination appears to </w:t>
      </w:r>
      <w:r w:rsidR="00E82444">
        <w:rPr>
          <w:rFonts w:ascii="Times New Roman" w:eastAsia="Times New Roman" w:hAnsi="Times New Roman" w:cs="Times New Roman"/>
          <w:bCs/>
          <w:sz w:val="24"/>
          <w:szCs w:val="24"/>
          <w:lang w:eastAsia="en-GB"/>
        </w:rPr>
        <w:t xml:space="preserve">have proceeded only to the extent of </w:t>
      </w:r>
      <w:r w:rsidRPr="00753538">
        <w:rPr>
          <w:rFonts w:ascii="Times New Roman" w:eastAsia="Times New Roman" w:hAnsi="Times New Roman" w:cs="Times New Roman"/>
          <w:bCs/>
          <w:sz w:val="24"/>
          <w:szCs w:val="24"/>
          <w:lang w:eastAsia="en-GB"/>
        </w:rPr>
        <w:t>the UK and devolved governments reaching agreement that specific regulatory objectives – including, for example, the regulation of single use plastics; the introduction of deposit return schemes and the regulation of food and drink that is high in fat, sugar and salt – fall within the scope of specific Frameworks.</w:t>
      </w:r>
      <w:r w:rsidRPr="00753538">
        <w:rPr>
          <w:rFonts w:ascii="Times New Roman" w:eastAsia="Times New Roman" w:hAnsi="Times New Roman" w:cs="Times New Roman"/>
          <w:bCs/>
          <w:sz w:val="24"/>
          <w:szCs w:val="24"/>
          <w:vertAlign w:val="superscript"/>
          <w:lang w:eastAsia="en-GB"/>
        </w:rPr>
        <w:footnoteReference w:id="70"/>
      </w:r>
      <w:r w:rsidRPr="00753538">
        <w:rPr>
          <w:rFonts w:ascii="Times New Roman" w:eastAsia="Times New Roman" w:hAnsi="Times New Roman" w:cs="Times New Roman"/>
          <w:bCs/>
          <w:sz w:val="24"/>
          <w:szCs w:val="24"/>
          <w:lang w:eastAsia="en-GB"/>
        </w:rPr>
        <w:t xml:space="preserve"> Beyond this, there is as yet little evidence of policy coordination in ‘thicker’ substantive terms; for example, through joint agreement on minimum standards or rules on mutual recognition. This is despite strong demand-side interest from stakeholders in the use of the Common Frameworks more substantively to prevent the emergence of future barriers to trade within the UK internal market.</w:t>
      </w:r>
      <w:r w:rsidRPr="00753538">
        <w:rPr>
          <w:rFonts w:ascii="Times New Roman" w:eastAsia="Times New Roman" w:hAnsi="Times New Roman" w:cs="Times New Roman"/>
          <w:bCs/>
          <w:sz w:val="24"/>
          <w:szCs w:val="24"/>
          <w:vertAlign w:val="superscript"/>
          <w:lang w:eastAsia="en-GB"/>
        </w:rPr>
        <w:footnoteReference w:id="71"/>
      </w:r>
      <w:r w:rsidRPr="00753538">
        <w:rPr>
          <w:rFonts w:ascii="Times New Roman" w:eastAsia="Times New Roman" w:hAnsi="Times New Roman" w:cs="Times New Roman"/>
          <w:bCs/>
          <w:sz w:val="24"/>
          <w:szCs w:val="24"/>
          <w:lang w:eastAsia="en-GB"/>
        </w:rPr>
        <w:t xml:space="preserve"> A review of formative practice gives the distinct impression of (as yet) ‘unfulfilled’ regulatory potential in that regard. Indeed, initial practice points to development of the Common Frameworks primarily as mechanisms that impose largely procedural obligations (eg </w:t>
      </w:r>
      <w:r w:rsidRPr="00753538">
        <w:rPr>
          <w:rFonts w:ascii="Times New Roman" w:eastAsia="Times New Roman" w:hAnsi="Times New Roman" w:cs="Times New Roman"/>
          <w:bCs/>
          <w:sz w:val="24"/>
          <w:szCs w:val="24"/>
          <w:lang w:eastAsia="en-GB"/>
        </w:rPr>
        <w:lastRenderedPageBreak/>
        <w:t>to share details on parallel regulatory initiatives), rather than as forums to negotiate more substantive policy coordination.</w:t>
      </w:r>
      <w:r w:rsidRPr="00753538">
        <w:rPr>
          <w:rFonts w:ascii="Times New Roman" w:eastAsia="Times New Roman" w:hAnsi="Times New Roman" w:cs="Times New Roman"/>
          <w:bCs/>
          <w:sz w:val="24"/>
          <w:szCs w:val="24"/>
          <w:vertAlign w:val="superscript"/>
          <w:lang w:eastAsia="en-GB"/>
        </w:rPr>
        <w:footnoteReference w:id="72"/>
      </w:r>
      <w:r w:rsidRPr="00753538">
        <w:rPr>
          <w:rFonts w:ascii="Times New Roman" w:eastAsia="Times New Roman" w:hAnsi="Times New Roman" w:cs="Times New Roman"/>
          <w:bCs/>
          <w:sz w:val="24"/>
          <w:szCs w:val="24"/>
          <w:lang w:eastAsia="en-GB"/>
        </w:rPr>
        <w:t xml:space="preserve"> </w:t>
      </w:r>
    </w:p>
    <w:p w14:paraId="670222DC" w14:textId="1F0FCF02" w:rsidR="00713609" w:rsidRDefault="00753538" w:rsidP="00713609">
      <w:pPr>
        <w:spacing w:after="0" w:line="360" w:lineRule="auto"/>
        <w:ind w:firstLine="720"/>
        <w:jc w:val="both"/>
        <w:rPr>
          <w:rFonts w:ascii="Times New Roman" w:eastAsia="Times New Roman" w:hAnsi="Times New Roman" w:cs="Times New Roman"/>
          <w:bCs/>
          <w:sz w:val="24"/>
          <w:szCs w:val="24"/>
          <w:lang w:eastAsia="en-GB"/>
        </w:rPr>
      </w:pPr>
      <w:r w:rsidRPr="00753538">
        <w:rPr>
          <w:rFonts w:ascii="Times New Roman" w:eastAsia="Times New Roman" w:hAnsi="Times New Roman" w:cs="Times New Roman"/>
          <w:bCs/>
          <w:sz w:val="24"/>
          <w:szCs w:val="24"/>
          <w:lang w:eastAsia="en-GB"/>
        </w:rPr>
        <w:t xml:space="preserve">The </w:t>
      </w:r>
      <w:r w:rsidR="00EA3950">
        <w:rPr>
          <w:rFonts w:ascii="Times New Roman" w:eastAsia="Times New Roman" w:hAnsi="Times New Roman" w:cs="Times New Roman"/>
          <w:bCs/>
          <w:sz w:val="24"/>
          <w:szCs w:val="24"/>
          <w:lang w:eastAsia="en-GB"/>
        </w:rPr>
        <w:t>F</w:t>
      </w:r>
      <w:r w:rsidRPr="00753538">
        <w:rPr>
          <w:rFonts w:ascii="Times New Roman" w:eastAsia="Times New Roman" w:hAnsi="Times New Roman" w:cs="Times New Roman"/>
          <w:bCs/>
          <w:sz w:val="24"/>
          <w:szCs w:val="24"/>
          <w:lang w:eastAsia="en-GB"/>
        </w:rPr>
        <w:t xml:space="preserve">rameworks effectively cast the UK internal market as being a shared regulatory space. In theory, there is scope for cooperative, consensual joint policymaking in this space, in line with the JMC (EN) Principles, and their declared respect for the devolution settlements and the democratic accountability of the devolved legislatures. However, </w:t>
      </w:r>
      <w:r w:rsidR="00554789">
        <w:rPr>
          <w:rFonts w:ascii="Times New Roman" w:eastAsia="Times New Roman" w:hAnsi="Times New Roman" w:cs="Times New Roman"/>
          <w:bCs/>
          <w:sz w:val="24"/>
          <w:szCs w:val="24"/>
          <w:lang w:eastAsia="en-GB"/>
        </w:rPr>
        <w:t>the</w:t>
      </w:r>
      <w:r w:rsidRPr="00753538">
        <w:rPr>
          <w:rFonts w:ascii="Times New Roman" w:eastAsia="Times New Roman" w:hAnsi="Times New Roman" w:cs="Times New Roman"/>
          <w:bCs/>
          <w:sz w:val="24"/>
          <w:szCs w:val="24"/>
          <w:lang w:eastAsia="en-GB"/>
        </w:rPr>
        <w:t xml:space="preserve"> Common Frameworks speak not just to policy coordination, but also to the management of regulatory divergence, and to the defence of legislative autonomy. It should be recalled that the first of the grounds for </w:t>
      </w:r>
      <w:r w:rsidR="00C439DA">
        <w:rPr>
          <w:rFonts w:ascii="Times New Roman" w:eastAsia="Times New Roman" w:hAnsi="Times New Roman" w:cs="Times New Roman"/>
          <w:bCs/>
          <w:sz w:val="24"/>
          <w:szCs w:val="24"/>
          <w:lang w:eastAsia="en-GB"/>
        </w:rPr>
        <w:t>C</w:t>
      </w:r>
      <w:r w:rsidRPr="00753538">
        <w:rPr>
          <w:rFonts w:ascii="Times New Roman" w:eastAsia="Times New Roman" w:hAnsi="Times New Roman" w:cs="Times New Roman"/>
          <w:bCs/>
          <w:sz w:val="24"/>
          <w:szCs w:val="24"/>
          <w:lang w:eastAsia="en-GB"/>
        </w:rPr>
        <w:t xml:space="preserve">ommon </w:t>
      </w:r>
      <w:r w:rsidR="00C439DA">
        <w:rPr>
          <w:rFonts w:ascii="Times New Roman" w:eastAsia="Times New Roman" w:hAnsi="Times New Roman" w:cs="Times New Roman"/>
          <w:bCs/>
          <w:sz w:val="24"/>
          <w:szCs w:val="24"/>
          <w:lang w:eastAsia="en-GB"/>
        </w:rPr>
        <w:t>F</w:t>
      </w:r>
      <w:r w:rsidRPr="00753538">
        <w:rPr>
          <w:rFonts w:ascii="Times New Roman" w:eastAsia="Times New Roman" w:hAnsi="Times New Roman" w:cs="Times New Roman"/>
          <w:bCs/>
          <w:sz w:val="24"/>
          <w:szCs w:val="24"/>
          <w:lang w:eastAsia="en-GB"/>
        </w:rPr>
        <w:t xml:space="preserve">rameworks – enabling the functioning of the UK internal market – explicitly includes acknowledging the potential for policy divergence. How much divergence can be accommodated in less clear. </w:t>
      </w:r>
      <w:r w:rsidRPr="00753538">
        <w:rPr>
          <w:rFonts w:ascii="Times New Roman" w:eastAsia="Times New Roman" w:hAnsi="Times New Roman" w:cs="Times New Roman"/>
          <w:sz w:val="24"/>
          <w:szCs w:val="24"/>
          <w:lang w:eastAsia="en-GB"/>
        </w:rPr>
        <w:t>The 2017 principles give very little guidance. They foresee frameworks ‘maintaining, at a minimum, the same degree of flexibility for differentiated policy solutions as was provided under the relevant EU law instruments</w:t>
      </w:r>
      <w:r w:rsidR="00A15CCF">
        <w:rPr>
          <w:rFonts w:ascii="Times New Roman" w:eastAsia="Times New Roman" w:hAnsi="Times New Roman" w:cs="Times New Roman"/>
          <w:sz w:val="24"/>
          <w:szCs w:val="24"/>
          <w:lang w:eastAsia="en-GB"/>
        </w:rPr>
        <w:t>.</w:t>
      </w:r>
      <w:r w:rsidRPr="00753538">
        <w:rPr>
          <w:rFonts w:ascii="Times New Roman" w:eastAsia="Times New Roman" w:hAnsi="Times New Roman" w:cs="Times New Roman"/>
          <w:sz w:val="24"/>
          <w:szCs w:val="24"/>
          <w:lang w:eastAsia="en-GB"/>
        </w:rPr>
        <w:t>’</w:t>
      </w:r>
      <w:r w:rsidR="00554789">
        <w:rPr>
          <w:rStyle w:val="FootnoteReference"/>
          <w:rFonts w:ascii="Times New Roman" w:eastAsia="Times New Roman" w:hAnsi="Times New Roman" w:cs="Times New Roman"/>
          <w:sz w:val="24"/>
          <w:szCs w:val="24"/>
          <w:lang w:eastAsia="en-GB"/>
        </w:rPr>
        <w:footnoteReference w:id="73"/>
      </w:r>
      <w:r w:rsidRPr="00753538">
        <w:rPr>
          <w:rFonts w:ascii="Times New Roman" w:eastAsia="Times New Roman" w:hAnsi="Times New Roman" w:cs="Times New Roman"/>
          <w:sz w:val="24"/>
          <w:szCs w:val="24"/>
          <w:lang w:eastAsia="en-GB"/>
        </w:rPr>
        <w:t xml:space="preserve"> This is effectively backward looking and gives little guidance on how to manage new policy developments, or to determine how much of, for example, an interference in trade will be deemed too much, and how much can be accommodated. It also makes no attempt to build in a commitment to subsidiarity, such as the one that applies to EU governance, and acknowledges and protects the position of subnational regions.</w:t>
      </w:r>
      <w:r w:rsidRPr="00753538">
        <w:rPr>
          <w:rFonts w:ascii="Times New Roman" w:eastAsia="Times New Roman" w:hAnsi="Times New Roman" w:cs="Times New Roman"/>
          <w:bCs/>
          <w:sz w:val="24"/>
          <w:szCs w:val="24"/>
          <w:lang w:eastAsia="en-GB"/>
        </w:rPr>
        <w:t xml:space="preserve"> </w:t>
      </w:r>
    </w:p>
    <w:p w14:paraId="3A4AF0F3" w14:textId="612A1430" w:rsidR="00713609" w:rsidRDefault="00753538" w:rsidP="00713609">
      <w:pPr>
        <w:spacing w:after="0" w:line="360" w:lineRule="auto"/>
        <w:ind w:firstLine="720"/>
        <w:jc w:val="both"/>
        <w:rPr>
          <w:rFonts w:ascii="Times New Roman" w:eastAsia="Times New Roman" w:hAnsi="Times New Roman" w:cs="Times New Roman"/>
          <w:bCs/>
          <w:sz w:val="24"/>
          <w:szCs w:val="24"/>
          <w:lang w:eastAsia="en-GB"/>
        </w:rPr>
      </w:pPr>
      <w:r w:rsidRPr="00753538">
        <w:rPr>
          <w:rFonts w:ascii="Times New Roman" w:eastAsia="Times New Roman" w:hAnsi="Times New Roman" w:cs="Times New Roman"/>
          <w:bCs/>
          <w:sz w:val="24"/>
          <w:szCs w:val="24"/>
          <w:lang w:eastAsia="en-GB"/>
        </w:rPr>
        <w:t>The newly defined UK internal market reads in new limits to devolved competence, tied to the realisation of the shared functional objective of regulating intra-UK trade. For the devolved governments, this challenges the traditional view of devolution as an expression of political self-rule. Despite its agreement to participate in the frameworks process, the Scottish government</w:t>
      </w:r>
      <w:r w:rsidR="00D43BD9">
        <w:rPr>
          <w:rFonts w:ascii="Times New Roman" w:eastAsia="Times New Roman" w:hAnsi="Times New Roman" w:cs="Times New Roman"/>
          <w:bCs/>
          <w:sz w:val="24"/>
          <w:szCs w:val="24"/>
          <w:lang w:eastAsia="en-GB"/>
        </w:rPr>
        <w:t>,</w:t>
      </w:r>
      <w:r w:rsidRPr="00753538">
        <w:rPr>
          <w:rFonts w:ascii="Times New Roman" w:eastAsia="Times New Roman" w:hAnsi="Times New Roman" w:cs="Times New Roman"/>
          <w:bCs/>
          <w:sz w:val="24"/>
          <w:szCs w:val="24"/>
          <w:lang w:eastAsia="en-GB"/>
        </w:rPr>
        <w:t xml:space="preserve"> in particular</w:t>
      </w:r>
      <w:r w:rsidR="00D43BD9">
        <w:rPr>
          <w:rFonts w:ascii="Times New Roman" w:eastAsia="Times New Roman" w:hAnsi="Times New Roman" w:cs="Times New Roman"/>
          <w:bCs/>
          <w:sz w:val="24"/>
          <w:szCs w:val="24"/>
          <w:lang w:eastAsia="en-GB"/>
        </w:rPr>
        <w:t>,</w:t>
      </w:r>
      <w:r w:rsidRPr="00753538">
        <w:rPr>
          <w:rFonts w:ascii="Times New Roman" w:eastAsia="Times New Roman" w:hAnsi="Times New Roman" w:cs="Times New Roman"/>
          <w:bCs/>
          <w:sz w:val="24"/>
          <w:szCs w:val="24"/>
          <w:lang w:eastAsia="en-GB"/>
        </w:rPr>
        <w:t xml:space="preserve"> has voiced dissatisfaction at the prospect of additional interference with its devolved competences imposed by the political commitment to work together</w:t>
      </w:r>
      <w:r w:rsidR="001917F4">
        <w:rPr>
          <w:rFonts w:ascii="Times New Roman" w:eastAsia="Times New Roman" w:hAnsi="Times New Roman" w:cs="Times New Roman"/>
          <w:bCs/>
          <w:sz w:val="24"/>
          <w:szCs w:val="24"/>
          <w:lang w:eastAsia="en-GB"/>
        </w:rPr>
        <w:t xml:space="preserve"> under the Frameworks</w:t>
      </w:r>
      <w:r w:rsidRPr="00753538">
        <w:rPr>
          <w:rFonts w:ascii="Times New Roman" w:eastAsia="Times New Roman" w:hAnsi="Times New Roman" w:cs="Times New Roman"/>
          <w:bCs/>
          <w:sz w:val="24"/>
          <w:szCs w:val="24"/>
          <w:lang w:eastAsia="en-GB"/>
        </w:rPr>
        <w:t>. T</w:t>
      </w:r>
      <w:r w:rsidRPr="00753538">
        <w:rPr>
          <w:rFonts w:ascii="Times New Roman" w:eastAsia="Times New Roman" w:hAnsi="Times New Roman" w:cs="Times New Roman"/>
          <w:sz w:val="24"/>
          <w:szCs w:val="24"/>
          <w:lang w:eastAsia="en-GB"/>
        </w:rPr>
        <w:t>his can be seen explicitly in the text of the Feed and Food Safety Framework</w:t>
      </w:r>
      <w:r w:rsidR="00107F1F">
        <w:rPr>
          <w:rFonts w:ascii="Times New Roman" w:eastAsia="Times New Roman" w:hAnsi="Times New Roman" w:cs="Times New Roman"/>
          <w:sz w:val="24"/>
          <w:szCs w:val="24"/>
          <w:lang w:eastAsia="en-GB"/>
        </w:rPr>
        <w:t>,</w:t>
      </w:r>
      <w:r w:rsidRPr="00753538">
        <w:rPr>
          <w:rFonts w:ascii="Times New Roman" w:eastAsia="Times New Roman" w:hAnsi="Times New Roman" w:cs="Times New Roman"/>
          <w:sz w:val="24"/>
          <w:szCs w:val="24"/>
          <w:lang w:eastAsia="en-GB"/>
        </w:rPr>
        <w:t xml:space="preserve"> for example, which acknowledges the refusal by Scottish Government to defining common approaches here as </w:t>
      </w:r>
      <w:r w:rsidRPr="00753538">
        <w:rPr>
          <w:rFonts w:ascii="Times New Roman" w:eastAsia="Times New Roman" w:hAnsi="Times New Roman" w:cs="Times New Roman"/>
          <w:i/>
          <w:iCs/>
          <w:sz w:val="24"/>
          <w:szCs w:val="24"/>
          <w:lang w:eastAsia="en-GB"/>
        </w:rPr>
        <w:t>necessary</w:t>
      </w:r>
      <w:r w:rsidRPr="00753538">
        <w:rPr>
          <w:rFonts w:ascii="Times New Roman" w:eastAsia="Times New Roman" w:hAnsi="Times New Roman" w:cs="Times New Roman"/>
          <w:sz w:val="24"/>
          <w:szCs w:val="24"/>
          <w:lang w:eastAsia="en-GB"/>
        </w:rPr>
        <w:t xml:space="preserve"> as this could mean that a harmonised approach was required.</w:t>
      </w:r>
      <w:r w:rsidR="00107F1F">
        <w:rPr>
          <w:rStyle w:val="FootnoteReference"/>
          <w:rFonts w:ascii="Times New Roman" w:eastAsia="Times New Roman" w:hAnsi="Times New Roman" w:cs="Times New Roman"/>
          <w:sz w:val="24"/>
          <w:szCs w:val="24"/>
          <w:lang w:eastAsia="en-GB"/>
        </w:rPr>
        <w:footnoteReference w:id="74"/>
      </w:r>
      <w:r w:rsidRPr="00753538">
        <w:rPr>
          <w:rFonts w:ascii="Times New Roman" w:eastAsia="Times New Roman" w:hAnsi="Times New Roman" w:cs="Times New Roman"/>
          <w:sz w:val="24"/>
          <w:szCs w:val="24"/>
          <w:lang w:eastAsia="en-GB"/>
        </w:rPr>
        <w:t xml:space="preserve"> Instead, there is agreement that a common approach is ‘at least desirable’, and permitting ‘evidence-based divergence where this is considered appropriate.’</w:t>
      </w:r>
      <w:r w:rsidR="002E312C">
        <w:rPr>
          <w:rStyle w:val="FootnoteReference"/>
          <w:rFonts w:ascii="Times New Roman" w:eastAsia="Times New Roman" w:hAnsi="Times New Roman" w:cs="Times New Roman"/>
          <w:sz w:val="24"/>
          <w:szCs w:val="24"/>
          <w:lang w:eastAsia="en-GB"/>
        </w:rPr>
        <w:footnoteReference w:id="75"/>
      </w:r>
    </w:p>
    <w:p w14:paraId="6B19A4B0" w14:textId="4F199626" w:rsidR="00A15CCF" w:rsidRDefault="00753538" w:rsidP="00713609">
      <w:pPr>
        <w:spacing w:after="0" w:line="360" w:lineRule="auto"/>
        <w:ind w:firstLine="720"/>
        <w:jc w:val="both"/>
        <w:rPr>
          <w:rFonts w:ascii="Times New Roman" w:eastAsia="Times New Roman" w:hAnsi="Times New Roman" w:cs="Times New Roman"/>
          <w:bCs/>
          <w:sz w:val="24"/>
          <w:szCs w:val="24"/>
          <w:lang w:eastAsia="en-GB"/>
        </w:rPr>
      </w:pPr>
      <w:r w:rsidRPr="00753538">
        <w:rPr>
          <w:rFonts w:ascii="Times New Roman" w:eastAsia="Times New Roman" w:hAnsi="Times New Roman" w:cs="Times New Roman"/>
          <w:sz w:val="24"/>
          <w:szCs w:val="24"/>
          <w:lang w:eastAsia="en-GB"/>
        </w:rPr>
        <w:lastRenderedPageBreak/>
        <w:t>The texts of the Frameworks thus incorporate commitments both to pursue harmonisation, as well as to accommodate divergence.</w:t>
      </w:r>
      <w:r w:rsidRPr="00753538">
        <w:rPr>
          <w:rFonts w:ascii="Times New Roman" w:eastAsia="Times New Roman" w:hAnsi="Times New Roman" w:cs="Times New Roman"/>
          <w:bCs/>
          <w:sz w:val="24"/>
          <w:szCs w:val="24"/>
          <w:lang w:eastAsia="en-GB"/>
        </w:rPr>
        <w:t xml:space="preserve"> Just as the frameworks differ in the emphasis they place on the need for harmonisation, they also differ in the space recognised for divergence. Whilst the Food, Feed Safety and Hygiene Framework foresees the possibility of divergence ‘where risk analysis shows divergence to be both necessary and proportionate to the risk to provide appropriate consumer protection’,</w:t>
      </w:r>
      <w:r w:rsidR="003A2836">
        <w:rPr>
          <w:rStyle w:val="FootnoteReference"/>
          <w:rFonts w:ascii="Times New Roman" w:eastAsia="Times New Roman" w:hAnsi="Times New Roman" w:cs="Times New Roman"/>
          <w:bCs/>
          <w:sz w:val="24"/>
          <w:szCs w:val="24"/>
          <w:lang w:eastAsia="en-GB"/>
        </w:rPr>
        <w:footnoteReference w:id="76"/>
      </w:r>
      <w:r w:rsidRPr="00753538">
        <w:rPr>
          <w:rFonts w:ascii="Times New Roman" w:eastAsia="Times New Roman" w:hAnsi="Times New Roman" w:cs="Times New Roman"/>
          <w:bCs/>
          <w:sz w:val="24"/>
          <w:szCs w:val="24"/>
          <w:lang w:eastAsia="en-GB"/>
        </w:rPr>
        <w:t xml:space="preserve"> the Resources and Waste Framework reads as being particularly positive and open to divergence.</w:t>
      </w:r>
      <w:r w:rsidR="00EA3950">
        <w:rPr>
          <w:rStyle w:val="FootnoteReference"/>
          <w:rFonts w:ascii="Times New Roman" w:eastAsia="Times New Roman" w:hAnsi="Times New Roman" w:cs="Times New Roman"/>
          <w:bCs/>
          <w:sz w:val="24"/>
          <w:szCs w:val="24"/>
          <w:lang w:eastAsia="en-GB"/>
        </w:rPr>
        <w:footnoteReference w:id="77"/>
      </w:r>
      <w:r w:rsidRPr="00753538">
        <w:rPr>
          <w:rFonts w:ascii="Times New Roman" w:eastAsia="Times New Roman" w:hAnsi="Times New Roman" w:cs="Times New Roman"/>
          <w:bCs/>
          <w:sz w:val="24"/>
          <w:szCs w:val="24"/>
          <w:lang w:eastAsia="en-GB"/>
        </w:rPr>
        <w:t xml:space="preserve"> Divergence under this Framework is acknowledged as potentially providing ‘key benefits, such as driving higher standards, [and] generating innovation’. ‘Divergence on policy’ is ‘an acceptable outcome’ that can be referred on for ‘review and approval’.</w:t>
      </w:r>
      <w:r w:rsidR="00EA3950">
        <w:rPr>
          <w:rStyle w:val="FootnoteReference"/>
          <w:rFonts w:ascii="Times New Roman" w:eastAsia="Times New Roman" w:hAnsi="Times New Roman" w:cs="Times New Roman"/>
          <w:bCs/>
          <w:sz w:val="24"/>
          <w:szCs w:val="24"/>
          <w:lang w:eastAsia="en-GB"/>
        </w:rPr>
        <w:footnoteReference w:id="78"/>
      </w:r>
      <w:r w:rsidRPr="00753538">
        <w:rPr>
          <w:rFonts w:ascii="Times New Roman" w:eastAsia="Times New Roman" w:hAnsi="Times New Roman" w:cs="Times New Roman"/>
          <w:bCs/>
          <w:sz w:val="24"/>
          <w:szCs w:val="24"/>
          <w:lang w:eastAsia="en-GB"/>
        </w:rPr>
        <w:t xml:space="preserve"> </w:t>
      </w:r>
      <w:r w:rsidR="00866E8D">
        <w:rPr>
          <w:rFonts w:ascii="Times New Roman" w:eastAsia="Times New Roman" w:hAnsi="Times New Roman" w:cs="Times New Roman"/>
          <w:bCs/>
          <w:sz w:val="24"/>
          <w:szCs w:val="24"/>
          <w:lang w:eastAsia="en-GB"/>
        </w:rPr>
        <w:t>Consistency is not a feature across the Frameworks.</w:t>
      </w:r>
      <w:r w:rsidR="004D7BBE" w:rsidRPr="004D7BBE">
        <w:rPr>
          <w:rFonts w:ascii="Times New Roman" w:eastAsia="Times New Roman" w:hAnsi="Times New Roman" w:cs="Times New Roman"/>
          <w:sz w:val="24"/>
          <w:szCs w:val="24"/>
          <w:lang w:eastAsia="en-GB"/>
        </w:rPr>
        <w:t xml:space="preserve"> </w:t>
      </w:r>
      <w:r w:rsidR="0007421D">
        <w:rPr>
          <w:rFonts w:ascii="Times New Roman" w:eastAsia="Times New Roman" w:hAnsi="Times New Roman" w:cs="Times New Roman"/>
          <w:sz w:val="24"/>
          <w:szCs w:val="24"/>
          <w:lang w:eastAsia="en-GB"/>
        </w:rPr>
        <w:t xml:space="preserve">Whilst the </w:t>
      </w:r>
      <w:r w:rsidR="004D7BBE">
        <w:rPr>
          <w:rFonts w:ascii="Times New Roman" w:eastAsia="Times New Roman" w:hAnsi="Times New Roman" w:cs="Times New Roman"/>
          <w:sz w:val="24"/>
          <w:szCs w:val="24"/>
          <w:lang w:eastAsia="en-GB"/>
        </w:rPr>
        <w:t>variety of models may be criticised for complexity</w:t>
      </w:r>
      <w:r w:rsidR="0007421D">
        <w:rPr>
          <w:rFonts w:ascii="Times New Roman" w:eastAsia="Times New Roman" w:hAnsi="Times New Roman" w:cs="Times New Roman"/>
          <w:sz w:val="24"/>
          <w:szCs w:val="24"/>
          <w:lang w:eastAsia="en-GB"/>
        </w:rPr>
        <w:t xml:space="preserve">, </w:t>
      </w:r>
      <w:r w:rsidR="004D7BBE">
        <w:rPr>
          <w:rFonts w:ascii="Times New Roman" w:eastAsia="Times New Roman" w:hAnsi="Times New Roman" w:cs="Times New Roman"/>
          <w:sz w:val="24"/>
          <w:szCs w:val="24"/>
          <w:lang w:eastAsia="en-GB"/>
        </w:rPr>
        <w:t>it is not inconsistent with the breadth of practices that fall under the banner of harmonisation under EU law, and also differ from (and within) policy sector to policy sector.</w:t>
      </w:r>
    </w:p>
    <w:p w14:paraId="6DDD9794" w14:textId="7CB772D9" w:rsidR="003B3FE7" w:rsidRPr="00713609" w:rsidRDefault="00753538" w:rsidP="00713609">
      <w:pPr>
        <w:spacing w:after="0" w:line="360" w:lineRule="auto"/>
        <w:ind w:firstLine="720"/>
        <w:jc w:val="both"/>
        <w:rPr>
          <w:rFonts w:ascii="Times New Roman" w:eastAsia="Times New Roman" w:hAnsi="Times New Roman" w:cs="Times New Roman"/>
          <w:bCs/>
          <w:sz w:val="24"/>
          <w:szCs w:val="24"/>
          <w:lang w:eastAsia="en-GB"/>
        </w:rPr>
      </w:pPr>
      <w:r w:rsidRPr="00753538">
        <w:rPr>
          <w:rFonts w:ascii="Times New Roman" w:eastAsia="Times New Roman" w:hAnsi="Times New Roman" w:cs="Times New Roman"/>
          <w:bCs/>
          <w:sz w:val="24"/>
          <w:szCs w:val="24"/>
          <w:lang w:eastAsia="en-GB"/>
        </w:rPr>
        <w:t>Individual Frameworks establish procedures for resolving disputes where the UK and devolved governments are unable to reach agreement on regulatory divergence. These procedures are of particular significance where policy divergence would impact negatively on JMC (EN) principles; for example, where policy divergence is considered liable to create new barriers to intra-UK trade.</w:t>
      </w:r>
      <w:r w:rsidRPr="00753538">
        <w:rPr>
          <w:rFonts w:ascii="Times New Roman" w:eastAsia="Times New Roman" w:hAnsi="Times New Roman" w:cs="Times New Roman"/>
          <w:bCs/>
          <w:sz w:val="24"/>
          <w:szCs w:val="24"/>
          <w:vertAlign w:val="superscript"/>
          <w:lang w:eastAsia="en-GB"/>
        </w:rPr>
        <w:footnoteReference w:id="79"/>
      </w:r>
      <w:r w:rsidRPr="00753538">
        <w:rPr>
          <w:rFonts w:ascii="Times New Roman" w:eastAsia="Times New Roman" w:hAnsi="Times New Roman" w:cs="Times New Roman"/>
          <w:sz w:val="24"/>
          <w:szCs w:val="24"/>
          <w:lang w:eastAsia="en-GB"/>
        </w:rPr>
        <w:t xml:space="preserve"> The dispute resolution process, which starts at </w:t>
      </w:r>
      <w:r w:rsidR="00A15CCF">
        <w:rPr>
          <w:rFonts w:ascii="Times New Roman" w:eastAsia="Times New Roman" w:hAnsi="Times New Roman" w:cs="Times New Roman"/>
          <w:sz w:val="24"/>
          <w:szCs w:val="24"/>
          <w:lang w:eastAsia="en-GB"/>
        </w:rPr>
        <w:t xml:space="preserve">the </w:t>
      </w:r>
      <w:r w:rsidRPr="00753538">
        <w:rPr>
          <w:rFonts w:ascii="Times New Roman" w:eastAsia="Times New Roman" w:hAnsi="Times New Roman" w:cs="Times New Roman"/>
          <w:sz w:val="24"/>
          <w:szCs w:val="24"/>
          <w:lang w:eastAsia="en-GB"/>
        </w:rPr>
        <w:t>level</w:t>
      </w:r>
      <w:r w:rsidR="00A15CCF">
        <w:rPr>
          <w:rFonts w:ascii="Times New Roman" w:eastAsia="Times New Roman" w:hAnsi="Times New Roman" w:cs="Times New Roman"/>
          <w:sz w:val="24"/>
          <w:szCs w:val="24"/>
          <w:lang w:eastAsia="en-GB"/>
        </w:rPr>
        <w:t xml:space="preserve"> of officials</w:t>
      </w:r>
      <w:r w:rsidRPr="00753538">
        <w:rPr>
          <w:rFonts w:ascii="Times New Roman" w:eastAsia="Times New Roman" w:hAnsi="Times New Roman" w:cs="Times New Roman"/>
          <w:sz w:val="24"/>
          <w:szCs w:val="24"/>
          <w:lang w:eastAsia="en-GB"/>
        </w:rPr>
        <w:t xml:space="preserve"> </w:t>
      </w:r>
      <w:r w:rsidR="00A15CCF">
        <w:rPr>
          <w:rFonts w:ascii="Times New Roman" w:eastAsia="Times New Roman" w:hAnsi="Times New Roman" w:cs="Times New Roman"/>
          <w:sz w:val="24"/>
          <w:szCs w:val="24"/>
          <w:lang w:eastAsia="en-GB"/>
        </w:rPr>
        <w:t>but</w:t>
      </w:r>
      <w:r w:rsidRPr="00753538">
        <w:rPr>
          <w:rFonts w:ascii="Times New Roman" w:eastAsia="Times New Roman" w:hAnsi="Times New Roman" w:cs="Times New Roman"/>
          <w:sz w:val="24"/>
          <w:szCs w:val="24"/>
          <w:lang w:eastAsia="en-GB"/>
        </w:rPr>
        <w:t xml:space="preserve"> can escalate to ministerial level</w:t>
      </w:r>
      <w:r w:rsidRPr="00753538">
        <w:rPr>
          <w:rFonts w:ascii="Times New Roman" w:eastAsia="Times New Roman" w:hAnsi="Times New Roman" w:cs="Times New Roman"/>
          <w:bCs/>
          <w:sz w:val="24"/>
          <w:szCs w:val="24"/>
          <w:lang w:eastAsia="en-GB"/>
        </w:rPr>
        <w:t xml:space="preserve"> </w:t>
      </w:r>
      <w:r w:rsidR="00FA346C">
        <w:rPr>
          <w:rFonts w:ascii="Times New Roman" w:eastAsia="Times New Roman" w:hAnsi="Times New Roman" w:cs="Times New Roman"/>
          <w:bCs/>
          <w:sz w:val="24"/>
          <w:szCs w:val="24"/>
          <w:lang w:eastAsia="en-GB"/>
        </w:rPr>
        <w:t>operates solely through political channels.</w:t>
      </w:r>
      <w:r w:rsidRPr="00753538">
        <w:rPr>
          <w:rFonts w:ascii="Times New Roman" w:eastAsia="Times New Roman" w:hAnsi="Times New Roman" w:cs="Times New Roman"/>
          <w:bCs/>
          <w:sz w:val="24"/>
          <w:szCs w:val="24"/>
          <w:lang w:eastAsia="en-GB"/>
        </w:rPr>
        <w:t xml:space="preserve"> Whilst this may not be out of alignment with the approach to UK intergovernmental relations generally, it represents an obvious conceptual gap in relation to the regulation of policy divergence within the UK internal market. Alongside</w:t>
      </w:r>
      <w:r w:rsidR="003B5E4E">
        <w:rPr>
          <w:rFonts w:ascii="Times New Roman" w:eastAsia="Times New Roman" w:hAnsi="Times New Roman" w:cs="Times New Roman"/>
          <w:bCs/>
          <w:sz w:val="24"/>
          <w:szCs w:val="24"/>
          <w:lang w:eastAsia="en-GB"/>
        </w:rPr>
        <w:t xml:space="preserve"> the positive harmonisation</w:t>
      </w:r>
      <w:r w:rsidRPr="00753538">
        <w:rPr>
          <w:rFonts w:ascii="Times New Roman" w:eastAsia="Times New Roman" w:hAnsi="Times New Roman" w:cs="Times New Roman"/>
          <w:bCs/>
          <w:sz w:val="24"/>
          <w:szCs w:val="24"/>
          <w:lang w:eastAsia="en-GB"/>
        </w:rPr>
        <w:t xml:space="preserve"> framework to coordinate policies, we might expect the Common Frameworks – and, in particular, their dispute resolutions structures – to prescribe a set of thicker substantive principles against which the effects of disputed policy initiatives may be assessed. Multi-level structures governing cross-border trade typically engage the principles of non-discrimination, mutual recognition and market access to that end as instruments of negative </w:t>
      </w:r>
      <w:r w:rsidR="00F1182B">
        <w:rPr>
          <w:rFonts w:ascii="Times New Roman" w:eastAsia="Times New Roman" w:hAnsi="Times New Roman" w:cs="Times New Roman"/>
          <w:bCs/>
          <w:sz w:val="24"/>
          <w:szCs w:val="24"/>
          <w:lang w:eastAsia="en-GB"/>
        </w:rPr>
        <w:t>harmonisation</w:t>
      </w:r>
      <w:r w:rsidRPr="00753538">
        <w:rPr>
          <w:rFonts w:ascii="Times New Roman" w:eastAsia="Times New Roman" w:hAnsi="Times New Roman" w:cs="Times New Roman"/>
          <w:bCs/>
          <w:sz w:val="24"/>
          <w:szCs w:val="24"/>
          <w:lang w:eastAsia="en-GB"/>
        </w:rPr>
        <w:t xml:space="preserve">. Their inclusion within a system of shared rule complements mechanisms for joint or coordinated policymaking. UKIMA was to bring a set of negative </w:t>
      </w:r>
      <w:r w:rsidR="00F1182B">
        <w:rPr>
          <w:rFonts w:ascii="Times New Roman" w:eastAsia="Times New Roman" w:hAnsi="Times New Roman" w:cs="Times New Roman"/>
          <w:bCs/>
          <w:sz w:val="24"/>
          <w:szCs w:val="24"/>
          <w:lang w:eastAsia="en-GB"/>
        </w:rPr>
        <w:t>harmonisation</w:t>
      </w:r>
      <w:r w:rsidRPr="00753538">
        <w:rPr>
          <w:rFonts w:ascii="Times New Roman" w:eastAsia="Times New Roman" w:hAnsi="Times New Roman" w:cs="Times New Roman"/>
          <w:bCs/>
          <w:sz w:val="24"/>
          <w:szCs w:val="24"/>
          <w:lang w:eastAsia="en-GB"/>
        </w:rPr>
        <w:t xml:space="preserve"> principles into the same space as the positive </w:t>
      </w:r>
      <w:r w:rsidR="00F1182B">
        <w:rPr>
          <w:rFonts w:ascii="Times New Roman" w:eastAsia="Times New Roman" w:hAnsi="Times New Roman" w:cs="Times New Roman"/>
          <w:bCs/>
          <w:sz w:val="24"/>
          <w:szCs w:val="24"/>
          <w:lang w:eastAsia="en-GB"/>
        </w:rPr>
        <w:t>harmonisation</w:t>
      </w:r>
      <w:r w:rsidRPr="00753538">
        <w:rPr>
          <w:rFonts w:ascii="Times New Roman" w:eastAsia="Times New Roman" w:hAnsi="Times New Roman" w:cs="Times New Roman"/>
          <w:bCs/>
          <w:sz w:val="24"/>
          <w:szCs w:val="24"/>
          <w:lang w:eastAsia="en-GB"/>
        </w:rPr>
        <w:t xml:space="preserve"> – though in a highly confrontational and disruptive way.</w:t>
      </w:r>
    </w:p>
    <w:p w14:paraId="0E6BBD20" w14:textId="0C5A45D4" w:rsidR="002C43D6" w:rsidRPr="00184F0B" w:rsidRDefault="002C43D6" w:rsidP="002C43D6">
      <w:pPr>
        <w:pStyle w:val="NormalWeb"/>
        <w:shd w:val="clear" w:color="auto" w:fill="FFFFFF"/>
        <w:spacing w:after="0" w:afterAutospacing="0" w:line="360" w:lineRule="auto"/>
        <w:jc w:val="both"/>
        <w:rPr>
          <w:b/>
        </w:rPr>
      </w:pPr>
      <w:r w:rsidRPr="00184F0B">
        <w:rPr>
          <w:b/>
        </w:rPr>
        <w:lastRenderedPageBreak/>
        <w:t xml:space="preserve">3. </w:t>
      </w:r>
      <w:r>
        <w:rPr>
          <w:b/>
        </w:rPr>
        <w:t>The</w:t>
      </w:r>
      <w:r w:rsidR="00E679D2">
        <w:rPr>
          <w:b/>
        </w:rPr>
        <w:t xml:space="preserve"> UKIMA</w:t>
      </w:r>
      <w:r>
        <w:rPr>
          <w:b/>
        </w:rPr>
        <w:t>: Enter</w:t>
      </w:r>
      <w:r w:rsidRPr="00184F0B">
        <w:rPr>
          <w:b/>
        </w:rPr>
        <w:t xml:space="preserve"> Negative </w:t>
      </w:r>
      <w:r w:rsidR="00F1182B">
        <w:rPr>
          <w:b/>
        </w:rPr>
        <w:t>Harmonisation</w:t>
      </w:r>
    </w:p>
    <w:p w14:paraId="5643342A" w14:textId="5FDA3D16" w:rsidR="002C43D6" w:rsidRDefault="002C43D6" w:rsidP="002C43D6">
      <w:pPr>
        <w:pStyle w:val="NormalWeb"/>
        <w:shd w:val="clear" w:color="auto" w:fill="FFFFFF"/>
        <w:spacing w:after="0" w:afterAutospacing="0" w:line="360" w:lineRule="auto"/>
        <w:jc w:val="both"/>
        <w:rPr>
          <w:bCs/>
        </w:rPr>
      </w:pPr>
      <w:r w:rsidRPr="00184F0B">
        <w:rPr>
          <w:bCs/>
        </w:rPr>
        <w:t xml:space="preserve">The previous section explored the operation of the Common Frameworks as potential instruments of positive </w:t>
      </w:r>
      <w:r w:rsidR="00396DEE">
        <w:rPr>
          <w:bCs/>
        </w:rPr>
        <w:t>harmonisation</w:t>
      </w:r>
      <w:r w:rsidRPr="00184F0B">
        <w:rPr>
          <w:bCs/>
        </w:rPr>
        <w:t xml:space="preserve">. This section turns to consider intervening changes to managing intra-UK policy divergence as a result of the UK government’s introduction of </w:t>
      </w:r>
      <w:r w:rsidR="00396DEE">
        <w:rPr>
          <w:bCs/>
        </w:rPr>
        <w:t>a second instrument: the UKIMA</w:t>
      </w:r>
      <w:r w:rsidRPr="00184F0B">
        <w:rPr>
          <w:bCs/>
        </w:rPr>
        <w:t>. We examine the UKIMA as a tool of negative harmonisation, and then turn to consider its interaction with the pre-existing Common Frameworks.</w:t>
      </w:r>
    </w:p>
    <w:p w14:paraId="35C2C7CE" w14:textId="0DCFB931" w:rsidR="00687485" w:rsidRPr="00687485" w:rsidRDefault="00687485" w:rsidP="00687485">
      <w:pPr>
        <w:pStyle w:val="NormalWeb"/>
        <w:shd w:val="clear" w:color="auto" w:fill="FFFFFF"/>
        <w:spacing w:after="240" w:afterAutospacing="0" w:line="360" w:lineRule="auto"/>
        <w:jc w:val="both"/>
        <w:rPr>
          <w:bCs/>
          <w:i/>
        </w:rPr>
      </w:pPr>
      <w:r w:rsidRPr="00687485">
        <w:rPr>
          <w:bCs/>
          <w:i/>
        </w:rPr>
        <w:t xml:space="preserve">3.1 Objectives and Principles </w:t>
      </w:r>
    </w:p>
    <w:p w14:paraId="6B350A4B" w14:textId="19D2305B" w:rsidR="002C43D6" w:rsidRPr="00184F0B" w:rsidRDefault="002C43D6" w:rsidP="00687485">
      <w:pPr>
        <w:pStyle w:val="NormalWeb"/>
        <w:shd w:val="clear" w:color="auto" w:fill="FFFFFF"/>
        <w:spacing w:before="0" w:beforeAutospacing="0" w:after="0" w:afterAutospacing="0" w:line="360" w:lineRule="auto"/>
        <w:jc w:val="both"/>
        <w:rPr>
          <w:bCs/>
        </w:rPr>
      </w:pPr>
      <w:r w:rsidRPr="00184F0B">
        <w:rPr>
          <w:bCs/>
        </w:rPr>
        <w:t>The UKIMA has four main objectives: first, to make provision for an internal market for goods and services within the UK, including in relation to the recognition of qualifications; secondly, to address the specific position of Northern Ireland post-Brexit; thirdly, to authorise the provision of financial assistance by the UK government to support, among other things, economic development and infrastructure projects throughout the UK; and finally, to reserve to the UK government exclusive competence to regulate the provision of state aid within the UK post-Brexit.</w:t>
      </w:r>
      <w:r w:rsidR="00D25EF1">
        <w:rPr>
          <w:rStyle w:val="FootnoteReference"/>
          <w:bCs/>
        </w:rPr>
        <w:footnoteReference w:id="80"/>
      </w:r>
      <w:r w:rsidRPr="00184F0B">
        <w:rPr>
          <w:bCs/>
        </w:rPr>
        <w:t xml:space="preserve"> The UK government maintained that legislation was necessary to address each of these objectives as a means to secure frictionless trade across the four nations of the UK following the UK’s exit from the EU internal market.</w:t>
      </w:r>
      <w:r>
        <w:rPr>
          <w:rStyle w:val="FootnoteReference"/>
          <w:bCs/>
        </w:rPr>
        <w:footnoteReference w:id="81"/>
      </w:r>
      <w:r w:rsidRPr="00184F0B">
        <w:rPr>
          <w:bCs/>
        </w:rPr>
        <w:t xml:space="preserve"> In relation to Northern Ireland, the UKIMA served an additional important function in the implementation of the Protocol on Northern Ireland annexed to the EU/UK Withdrawal Agreement.</w:t>
      </w:r>
      <w:r>
        <w:rPr>
          <w:rStyle w:val="FootnoteReference"/>
          <w:bCs/>
        </w:rPr>
        <w:footnoteReference w:id="82"/>
      </w:r>
    </w:p>
    <w:p w14:paraId="6CD8D3AF" w14:textId="142DF565" w:rsidR="002C43D6" w:rsidRPr="00184F0B" w:rsidRDefault="002C43D6" w:rsidP="002C43D6">
      <w:pPr>
        <w:pStyle w:val="NormalWeb"/>
        <w:shd w:val="clear" w:color="auto" w:fill="FFFFFF"/>
        <w:spacing w:before="0" w:beforeAutospacing="0" w:after="0" w:afterAutospacing="0" w:line="360" w:lineRule="auto"/>
        <w:jc w:val="both"/>
        <w:rPr>
          <w:bCs/>
        </w:rPr>
      </w:pPr>
      <w:r w:rsidRPr="00184F0B">
        <w:rPr>
          <w:bCs/>
        </w:rPr>
        <w:tab/>
        <w:t xml:space="preserve">With respect to the internal market, Parts 1 and 2 of the UKIMA guarantee the free movement of in-scope goods and services between the four nations of the UK. This is achieved by mandating the prospective application of two fundamental principles—mutual recognition and non-discrimination—to all commercial transactions that fall within its scope. Accordingly, section 2 </w:t>
      </w:r>
      <w:r w:rsidR="00E82620">
        <w:rPr>
          <w:bCs/>
        </w:rPr>
        <w:t xml:space="preserve">UKIMA </w:t>
      </w:r>
      <w:r w:rsidRPr="00184F0B">
        <w:rPr>
          <w:bCs/>
        </w:rPr>
        <w:t>provides that goods lawfully produced in, or imported into, one part of the UK where they may also</w:t>
      </w:r>
      <w:r w:rsidRPr="00184F0B">
        <w:t xml:space="preserve"> </w:t>
      </w:r>
      <w:r w:rsidRPr="00184F0B">
        <w:rPr>
          <w:bCs/>
        </w:rPr>
        <w:t xml:space="preserve">be lawfully sold should, in principle, be able to be lawfully sold in all </w:t>
      </w:r>
      <w:r w:rsidRPr="00184F0B">
        <w:rPr>
          <w:bCs/>
        </w:rPr>
        <w:lastRenderedPageBreak/>
        <w:t>other nations of the UK. Statutory provisions that impose ‘relevant requirements’ that speak, among other things, to the particular characteristics of those goods or, likewise, to their production, presentation or packaging are prohibited. Parallel frameworks govern the application of the principle of non-discrimination in relation to goods</w:t>
      </w:r>
      <w:r w:rsidR="000132B1">
        <w:rPr>
          <w:bCs/>
        </w:rPr>
        <w:t xml:space="preserve"> </w:t>
      </w:r>
      <w:r w:rsidRPr="00184F0B">
        <w:rPr>
          <w:bCs/>
        </w:rPr>
        <w:t>and, by analogy, the application of mutual recognition and non-discrimination to the provisions of in-scope services</w:t>
      </w:r>
      <w:r w:rsidR="000132B1">
        <w:rPr>
          <w:bCs/>
        </w:rPr>
        <w:t>.</w:t>
      </w:r>
      <w:r w:rsidR="000132B1">
        <w:rPr>
          <w:rStyle w:val="FootnoteReference"/>
          <w:bCs/>
        </w:rPr>
        <w:footnoteReference w:id="83"/>
      </w:r>
    </w:p>
    <w:p w14:paraId="553DC4E7" w14:textId="72111C79" w:rsidR="002C43D6" w:rsidRPr="00184F0B" w:rsidRDefault="002C43D6" w:rsidP="002C43D6">
      <w:pPr>
        <w:pStyle w:val="NormalWeb"/>
        <w:shd w:val="clear" w:color="auto" w:fill="FFFFFF"/>
        <w:spacing w:before="0" w:beforeAutospacing="0" w:after="0" w:afterAutospacing="0" w:line="360" w:lineRule="auto"/>
        <w:ind w:firstLine="720"/>
        <w:jc w:val="both"/>
        <w:rPr>
          <w:bCs/>
        </w:rPr>
      </w:pPr>
      <w:r w:rsidRPr="00184F0B">
        <w:rPr>
          <w:bCs/>
        </w:rPr>
        <w:t>Mutual recognition and non-discrimination (the ‘market access principles’ under the UKIMA) may be considered to replace the EU Treaty provisions guaranteeing the free movement of goods and services within the EU internal market (eg Art 34 TEFU on goods and Art 56 TFEU on services).</w:t>
      </w:r>
      <w:r w:rsidR="004F35E0">
        <w:rPr>
          <w:rStyle w:val="FootnoteReference"/>
          <w:bCs/>
        </w:rPr>
        <w:footnoteReference w:id="84"/>
      </w:r>
      <w:r w:rsidRPr="00184F0B">
        <w:rPr>
          <w:bCs/>
        </w:rPr>
        <w:t xml:space="preserve"> These provisions applied, pre-Brexit, as</w:t>
      </w:r>
      <w:r w:rsidR="00E36DCB">
        <w:rPr>
          <w:bCs/>
        </w:rPr>
        <w:t xml:space="preserve"> </w:t>
      </w:r>
      <w:r w:rsidRPr="00184F0B">
        <w:rPr>
          <w:bCs/>
        </w:rPr>
        <w:t>enforceable limits on the exercise of competences by both the UK and devolved</w:t>
      </w:r>
      <w:r w:rsidR="00E36DCB">
        <w:rPr>
          <w:bCs/>
        </w:rPr>
        <w:t xml:space="preserve"> governments</w:t>
      </w:r>
      <w:r w:rsidRPr="00184F0B">
        <w:rPr>
          <w:bCs/>
        </w:rPr>
        <w:t xml:space="preserve">, including in relation to intra-UK trade. For example, in </w:t>
      </w:r>
      <w:proofErr w:type="spellStart"/>
      <w:r w:rsidRPr="00184F0B">
        <w:rPr>
          <w:bCs/>
          <w:i/>
          <w:iCs/>
        </w:rPr>
        <w:t>Petsafe</w:t>
      </w:r>
      <w:proofErr w:type="spellEnd"/>
      <w:r w:rsidRPr="00184F0B">
        <w:rPr>
          <w:bCs/>
          <w:i/>
          <w:iCs/>
        </w:rPr>
        <w:t xml:space="preserve"> Ltd,</w:t>
      </w:r>
      <w:r w:rsidRPr="00184F0B">
        <w:rPr>
          <w:bCs/>
        </w:rPr>
        <w:t xml:space="preserve"> Art 34 TFEU was invoked to challenge</w:t>
      </w:r>
      <w:r w:rsidR="005370F8">
        <w:rPr>
          <w:bCs/>
        </w:rPr>
        <w:t xml:space="preserve">, </w:t>
      </w:r>
      <w:r w:rsidR="005370F8" w:rsidRPr="00184F0B">
        <w:rPr>
          <w:bCs/>
        </w:rPr>
        <w:t>as a restriction on the free movement of goods</w:t>
      </w:r>
      <w:r w:rsidR="005370F8">
        <w:rPr>
          <w:bCs/>
        </w:rPr>
        <w:t>,</w:t>
      </w:r>
      <w:r w:rsidRPr="00184F0B">
        <w:rPr>
          <w:bCs/>
        </w:rPr>
        <w:t xml:space="preserve"> a ban on the use of electric collars on cats and dogs in Wales under the Animal Welfare (Electronic Collars (Wales)) Regulations 2010.</w:t>
      </w:r>
      <w:r>
        <w:rPr>
          <w:rStyle w:val="FootnoteReference"/>
          <w:bCs/>
        </w:rPr>
        <w:footnoteReference w:id="85"/>
      </w:r>
      <w:r w:rsidRPr="00184F0B">
        <w:rPr>
          <w:bCs/>
        </w:rPr>
        <w:t xml:space="preserve"> As replacements for the EU Treaty rules on intra-EU movement, the market access principles speak conceptually to the dynamics of negative </w:t>
      </w:r>
      <w:r w:rsidR="00F1182B">
        <w:rPr>
          <w:bCs/>
        </w:rPr>
        <w:t>harmonisation</w:t>
      </w:r>
      <w:r w:rsidRPr="00184F0B">
        <w:rPr>
          <w:bCs/>
        </w:rPr>
        <w:t>. Whereas the Common Frameworks exist to coordinate policy divergence politically by consensus, the UKIMA establishes a legal framework to scrutinise the regulatory preferences of individual governments for compliance with a set of</w:t>
      </w:r>
      <w:r w:rsidR="00133CD8">
        <w:rPr>
          <w:bCs/>
        </w:rPr>
        <w:t xml:space="preserve"> directly</w:t>
      </w:r>
      <w:r w:rsidRPr="00184F0B">
        <w:rPr>
          <w:bCs/>
        </w:rPr>
        <w:t xml:space="preserve"> enforceable norms: non-discrimination and mutual recognition. </w:t>
      </w:r>
    </w:p>
    <w:p w14:paraId="3DB7B426" w14:textId="237AB6E8" w:rsidR="002C43D6" w:rsidRDefault="00955EE2" w:rsidP="002C43D6">
      <w:pPr>
        <w:pStyle w:val="NormalWeb"/>
        <w:shd w:val="clear" w:color="auto" w:fill="FFFFFF"/>
        <w:spacing w:before="0" w:beforeAutospacing="0" w:after="0" w:afterAutospacing="0" w:line="360" w:lineRule="auto"/>
        <w:ind w:firstLine="720"/>
        <w:jc w:val="both"/>
        <w:rPr>
          <w:bCs/>
        </w:rPr>
      </w:pPr>
      <w:r>
        <w:rPr>
          <w:bCs/>
        </w:rPr>
        <w:t>Domesticating</w:t>
      </w:r>
      <w:r w:rsidR="002C43D6" w:rsidRPr="00184F0B">
        <w:rPr>
          <w:bCs/>
        </w:rPr>
        <w:t xml:space="preserve"> EU legal principles, the UKIMA is a paradigmatic example of a what comparative scholars would recognise as a legal transplant.</w:t>
      </w:r>
      <w:r w:rsidR="002C43D6">
        <w:rPr>
          <w:rStyle w:val="FootnoteReference"/>
          <w:bCs/>
        </w:rPr>
        <w:footnoteReference w:id="86"/>
      </w:r>
      <w:r w:rsidR="002C43D6" w:rsidRPr="00184F0B">
        <w:rPr>
          <w:bCs/>
        </w:rPr>
        <w:t xml:space="preserve"> The UK government’s enacting the UKIMA represents an attempt to transpose legal principles and structures from one legal system to another; in this case, from the European Union as a quasi-federal supranational ‘new legal order’ to the UK as a nation state combining a cornerstone principle of parliamentary sovereignty with a territorial constitution incorporating an advanced framework for the devolution of government power internally.</w:t>
      </w:r>
      <w:r w:rsidR="00D64A7F">
        <w:rPr>
          <w:rStyle w:val="FootnoteReference"/>
          <w:bCs/>
        </w:rPr>
        <w:footnoteReference w:id="87"/>
      </w:r>
      <w:r w:rsidR="002C43D6" w:rsidRPr="00184F0B">
        <w:rPr>
          <w:bCs/>
        </w:rPr>
        <w:t xml:space="preserve"> The transplantation analogy extends beyond the </w:t>
      </w:r>
      <w:r w:rsidR="002C43D6" w:rsidRPr="00184F0B">
        <w:rPr>
          <w:bCs/>
        </w:rPr>
        <w:lastRenderedPageBreak/>
        <w:t xml:space="preserve">domestication of the market access principles. Notably, the UKIMA also </w:t>
      </w:r>
      <w:r w:rsidR="00943025">
        <w:rPr>
          <w:bCs/>
        </w:rPr>
        <w:t xml:space="preserve">takes inspiration from </w:t>
      </w:r>
      <w:r w:rsidR="002C43D6" w:rsidRPr="00184F0B">
        <w:rPr>
          <w:bCs/>
        </w:rPr>
        <w:t xml:space="preserve">EU internal market’s </w:t>
      </w:r>
      <w:r w:rsidR="00943025">
        <w:rPr>
          <w:bCs/>
        </w:rPr>
        <w:t>procedures</w:t>
      </w:r>
      <w:r w:rsidR="002C43D6" w:rsidRPr="00184F0B">
        <w:rPr>
          <w:bCs/>
        </w:rPr>
        <w:t xml:space="preserve"> for the </w:t>
      </w:r>
      <w:r w:rsidR="005370F8">
        <w:rPr>
          <w:bCs/>
        </w:rPr>
        <w:t xml:space="preserve">ex-ante </w:t>
      </w:r>
      <w:r w:rsidR="002C43D6" w:rsidRPr="00184F0B">
        <w:rPr>
          <w:bCs/>
        </w:rPr>
        <w:t>review of</w:t>
      </w:r>
      <w:r w:rsidR="00943025">
        <w:rPr>
          <w:bCs/>
        </w:rPr>
        <w:t xml:space="preserve"> Member State</w:t>
      </w:r>
      <w:r w:rsidR="002C43D6" w:rsidRPr="00184F0B">
        <w:rPr>
          <w:bCs/>
        </w:rPr>
        <w:t xml:space="preserve"> legislati</w:t>
      </w:r>
      <w:r w:rsidR="00943025">
        <w:rPr>
          <w:bCs/>
        </w:rPr>
        <w:t>on</w:t>
      </w:r>
      <w:r w:rsidR="002C43D6" w:rsidRPr="00184F0B">
        <w:rPr>
          <w:bCs/>
        </w:rPr>
        <w:t xml:space="preserve"> introducing </w:t>
      </w:r>
      <w:r w:rsidR="00943025">
        <w:rPr>
          <w:bCs/>
        </w:rPr>
        <w:t xml:space="preserve">new </w:t>
      </w:r>
      <w:r w:rsidR="002C43D6" w:rsidRPr="00184F0B">
        <w:rPr>
          <w:bCs/>
        </w:rPr>
        <w:t xml:space="preserve">technical standards. Under EU law, Member States are obliged to notify the EU Commission of </w:t>
      </w:r>
      <w:r w:rsidR="009C64E2">
        <w:rPr>
          <w:bCs/>
        </w:rPr>
        <w:t>draft</w:t>
      </w:r>
      <w:r w:rsidR="002C43D6" w:rsidRPr="00184F0B">
        <w:rPr>
          <w:bCs/>
        </w:rPr>
        <w:t xml:space="preserve"> measure</w:t>
      </w:r>
      <w:r w:rsidR="00943025">
        <w:rPr>
          <w:bCs/>
        </w:rPr>
        <w:t>s</w:t>
      </w:r>
      <w:r w:rsidR="002C43D6" w:rsidRPr="00184F0B">
        <w:rPr>
          <w:bCs/>
        </w:rPr>
        <w:t xml:space="preserve">, facilitating, where necessary, prior scrutiny for compliance </w:t>
      </w:r>
      <w:r w:rsidR="005370F8">
        <w:rPr>
          <w:bCs/>
        </w:rPr>
        <w:t xml:space="preserve">with </w:t>
      </w:r>
      <w:r w:rsidR="002C43D6" w:rsidRPr="00184F0B">
        <w:rPr>
          <w:bCs/>
        </w:rPr>
        <w:t xml:space="preserve">the Treaty </w:t>
      </w:r>
      <w:r w:rsidR="00943025">
        <w:rPr>
          <w:bCs/>
        </w:rPr>
        <w:t>provisions</w:t>
      </w:r>
      <w:r w:rsidR="002C43D6" w:rsidRPr="00184F0B">
        <w:rPr>
          <w:bCs/>
        </w:rPr>
        <w:t xml:space="preserve"> on intra-EU movement.</w:t>
      </w:r>
      <w:r w:rsidR="002C43D6">
        <w:rPr>
          <w:rStyle w:val="FootnoteReference"/>
          <w:bCs/>
        </w:rPr>
        <w:footnoteReference w:id="88"/>
      </w:r>
      <w:r w:rsidR="002C43D6" w:rsidRPr="00184F0B">
        <w:rPr>
          <w:bCs/>
        </w:rPr>
        <w:t xml:space="preserve"> </w:t>
      </w:r>
      <w:r w:rsidR="00943025">
        <w:rPr>
          <w:bCs/>
        </w:rPr>
        <w:t>Under the UKIMA, the notification requirement is modified. Rather</w:t>
      </w:r>
      <w:r w:rsidR="002C43D6" w:rsidRPr="00184F0B">
        <w:rPr>
          <w:bCs/>
        </w:rPr>
        <w:t xml:space="preserve"> than impose notification requirements on the devolved governments</w:t>
      </w:r>
      <w:r w:rsidR="00943025">
        <w:rPr>
          <w:bCs/>
        </w:rPr>
        <w:t>,</w:t>
      </w:r>
      <w:r w:rsidR="002C43D6" w:rsidRPr="00184F0B">
        <w:rPr>
          <w:bCs/>
        </w:rPr>
        <w:t xml:space="preserve"> the UKIMA tasks a newly-established Office </w:t>
      </w:r>
      <w:r w:rsidR="003C1A48">
        <w:rPr>
          <w:bCs/>
        </w:rPr>
        <w:t>for</w:t>
      </w:r>
      <w:r w:rsidR="002C43D6" w:rsidRPr="00184F0B">
        <w:rPr>
          <w:bCs/>
        </w:rPr>
        <w:t xml:space="preserve"> the Internal Market (OIM) to provide independent guidance on the potential economic impact of proposed legislation at the request of the UK or</w:t>
      </w:r>
      <w:r w:rsidR="00943025">
        <w:rPr>
          <w:bCs/>
        </w:rPr>
        <w:t xml:space="preserve"> one of the</w:t>
      </w:r>
      <w:r w:rsidR="002C43D6" w:rsidRPr="00184F0B">
        <w:rPr>
          <w:bCs/>
        </w:rPr>
        <w:t xml:space="preserve"> devolved governments.</w:t>
      </w:r>
      <w:r w:rsidR="002C43D6">
        <w:rPr>
          <w:rStyle w:val="FootnoteReference"/>
          <w:bCs/>
        </w:rPr>
        <w:footnoteReference w:id="89"/>
      </w:r>
      <w:r w:rsidR="002C43D6" w:rsidRPr="00184F0B">
        <w:rPr>
          <w:bCs/>
        </w:rPr>
        <w:t xml:space="preserve"> </w:t>
      </w:r>
    </w:p>
    <w:p w14:paraId="35C7AB6A" w14:textId="05EC2A47" w:rsidR="00687485" w:rsidRDefault="00687485" w:rsidP="00687485">
      <w:pPr>
        <w:pStyle w:val="NormalWeb"/>
        <w:shd w:val="clear" w:color="auto" w:fill="FFFFFF"/>
        <w:spacing w:before="0" w:beforeAutospacing="0" w:after="0" w:afterAutospacing="0" w:line="360" w:lineRule="auto"/>
        <w:jc w:val="both"/>
        <w:rPr>
          <w:bCs/>
        </w:rPr>
      </w:pPr>
    </w:p>
    <w:p w14:paraId="6A9FB4EB" w14:textId="314B167F" w:rsidR="00687485" w:rsidRPr="00687485" w:rsidRDefault="00687485" w:rsidP="00687485">
      <w:pPr>
        <w:pStyle w:val="NormalWeb"/>
        <w:shd w:val="clear" w:color="auto" w:fill="FFFFFF"/>
        <w:spacing w:before="0" w:beforeAutospacing="0" w:after="240" w:afterAutospacing="0" w:line="360" w:lineRule="auto"/>
        <w:jc w:val="both"/>
        <w:rPr>
          <w:bCs/>
          <w:i/>
        </w:rPr>
      </w:pPr>
      <w:r w:rsidRPr="00687485">
        <w:rPr>
          <w:bCs/>
          <w:i/>
        </w:rPr>
        <w:t>3.2. The UKIMA and the Common Frameworks</w:t>
      </w:r>
    </w:p>
    <w:p w14:paraId="0F29ED6A" w14:textId="2A4A3D1D" w:rsidR="002E4E34" w:rsidRDefault="002C43D6" w:rsidP="00687485">
      <w:pPr>
        <w:pStyle w:val="NormalWeb"/>
        <w:shd w:val="clear" w:color="auto" w:fill="FFFFFF"/>
        <w:spacing w:before="0" w:beforeAutospacing="0" w:after="0" w:afterAutospacing="0" w:line="360" w:lineRule="auto"/>
        <w:jc w:val="both"/>
        <w:rPr>
          <w:bCs/>
        </w:rPr>
      </w:pPr>
      <w:r w:rsidRPr="00184F0B">
        <w:rPr>
          <w:bCs/>
        </w:rPr>
        <w:t xml:space="preserve">As negative </w:t>
      </w:r>
      <w:r w:rsidR="00F1182B">
        <w:rPr>
          <w:bCs/>
        </w:rPr>
        <w:t>harmonisation</w:t>
      </w:r>
      <w:r w:rsidRPr="00184F0B">
        <w:rPr>
          <w:bCs/>
        </w:rPr>
        <w:t xml:space="preserve"> instruments, the UKIMA’s market access principles occupy the same space as the Common Frameworks. Whereas the Frameworks seek to manage diversity by reaching agreement on the coordination of regulatory policies in specific substantive areas, the UKIMA addresses regulatory diversity by scrutinising measures that interfere with the free movement of goods and services within the UK internal market. The distinction</w:t>
      </w:r>
      <w:r w:rsidR="00943025">
        <w:rPr>
          <w:bCs/>
        </w:rPr>
        <w:t xml:space="preserve"> here between regulatory approaches</w:t>
      </w:r>
      <w:r w:rsidRPr="00184F0B">
        <w:rPr>
          <w:bCs/>
        </w:rPr>
        <w:t xml:space="preserve"> </w:t>
      </w:r>
      <w:r w:rsidR="00943025">
        <w:rPr>
          <w:bCs/>
        </w:rPr>
        <w:t>connects with</w:t>
      </w:r>
      <w:r w:rsidRPr="00184F0B">
        <w:rPr>
          <w:bCs/>
        </w:rPr>
        <w:t xml:space="preserve"> </w:t>
      </w:r>
      <w:r w:rsidR="00943025">
        <w:rPr>
          <w:bCs/>
        </w:rPr>
        <w:t>the dynamics</w:t>
      </w:r>
      <w:r w:rsidRPr="00184F0B">
        <w:rPr>
          <w:bCs/>
        </w:rPr>
        <w:t xml:space="preserve"> of self- and shared rule. The Common Frameworks reflect the dynamics of shared rule as instruments that provide a potential structure for the UK and</w:t>
      </w:r>
      <w:r w:rsidR="00943025">
        <w:rPr>
          <w:bCs/>
        </w:rPr>
        <w:t xml:space="preserve"> (in particular)</w:t>
      </w:r>
      <w:r w:rsidRPr="00184F0B">
        <w:rPr>
          <w:bCs/>
        </w:rPr>
        <w:t xml:space="preserve"> devolved governments to enhance self-rule through cooperation on policy.</w:t>
      </w:r>
      <w:r w:rsidR="00943025">
        <w:rPr>
          <w:rStyle w:val="FootnoteReference"/>
          <w:bCs/>
        </w:rPr>
        <w:footnoteReference w:id="90"/>
      </w:r>
      <w:r w:rsidRPr="00184F0B">
        <w:rPr>
          <w:bCs/>
        </w:rPr>
        <w:t xml:space="preserve"> Contrastingly, the market access principles present as potential threats to self-rule. For the Scottish, Welsh and Northern Ireland governments, in particular, their operation targets the exercise of devolved competences</w:t>
      </w:r>
      <w:r w:rsidR="00646C5C">
        <w:rPr>
          <w:bCs/>
        </w:rPr>
        <w:t xml:space="preserve"> as tools to regulate</w:t>
      </w:r>
      <w:r w:rsidR="005370F8">
        <w:rPr>
          <w:bCs/>
        </w:rPr>
        <w:t>,</w:t>
      </w:r>
      <w:r w:rsidR="00646C5C">
        <w:rPr>
          <w:bCs/>
        </w:rPr>
        <w:t xml:space="preserve"> without</w:t>
      </w:r>
      <w:r w:rsidR="005370F8">
        <w:rPr>
          <w:bCs/>
        </w:rPr>
        <w:t xml:space="preserve"> external</w:t>
      </w:r>
      <w:r w:rsidR="00646C5C">
        <w:rPr>
          <w:bCs/>
        </w:rPr>
        <w:t xml:space="preserve"> interference</w:t>
      </w:r>
      <w:r w:rsidR="005370F8">
        <w:rPr>
          <w:bCs/>
        </w:rPr>
        <w:t>,</w:t>
      </w:r>
      <w:r w:rsidR="00646C5C">
        <w:rPr>
          <w:bCs/>
        </w:rPr>
        <w:t xml:space="preserve"> economic (and non-economic) activity within their respective territories – the primary</w:t>
      </w:r>
      <w:r w:rsidRPr="00184F0B">
        <w:rPr>
          <w:bCs/>
        </w:rPr>
        <w:t xml:space="preserve"> expression of </w:t>
      </w:r>
      <w:r w:rsidR="005370F8">
        <w:rPr>
          <w:bCs/>
        </w:rPr>
        <w:t xml:space="preserve">democratic </w:t>
      </w:r>
      <w:r w:rsidRPr="00184F0B">
        <w:rPr>
          <w:bCs/>
        </w:rPr>
        <w:t xml:space="preserve">self-rule. </w:t>
      </w:r>
    </w:p>
    <w:p w14:paraId="50ABC8D0" w14:textId="1A94A087" w:rsidR="00E73035" w:rsidRPr="00184F0B" w:rsidRDefault="00646C5C" w:rsidP="009E79EB">
      <w:pPr>
        <w:pStyle w:val="NormalWeb"/>
        <w:shd w:val="clear" w:color="auto" w:fill="FFFFFF"/>
        <w:spacing w:before="0" w:beforeAutospacing="0" w:after="0" w:afterAutospacing="0" w:line="360" w:lineRule="auto"/>
        <w:ind w:firstLine="720"/>
        <w:jc w:val="both"/>
        <w:rPr>
          <w:bCs/>
        </w:rPr>
      </w:pPr>
      <w:r>
        <w:rPr>
          <w:bCs/>
        </w:rPr>
        <w:t>Concerns about</w:t>
      </w:r>
      <w:r w:rsidR="002C43D6" w:rsidRPr="00184F0B">
        <w:rPr>
          <w:bCs/>
        </w:rPr>
        <w:t xml:space="preserve"> the practical </w:t>
      </w:r>
      <w:r>
        <w:rPr>
          <w:bCs/>
        </w:rPr>
        <w:t>effects</w:t>
      </w:r>
      <w:r w:rsidR="002C43D6" w:rsidRPr="00184F0B">
        <w:rPr>
          <w:bCs/>
        </w:rPr>
        <w:t xml:space="preserve"> of the market access principles on the ability of devolved governments to regulate </w:t>
      </w:r>
      <w:r>
        <w:rPr>
          <w:bCs/>
        </w:rPr>
        <w:t>independently</w:t>
      </w:r>
      <w:r w:rsidR="002C43D6" w:rsidRPr="00184F0B">
        <w:rPr>
          <w:bCs/>
        </w:rPr>
        <w:t xml:space="preserve"> </w:t>
      </w:r>
      <w:r>
        <w:rPr>
          <w:bCs/>
        </w:rPr>
        <w:t>underscored</w:t>
      </w:r>
      <w:r w:rsidR="002C43D6" w:rsidRPr="00184F0B">
        <w:rPr>
          <w:bCs/>
        </w:rPr>
        <w:t xml:space="preserve"> the Welsh government’s</w:t>
      </w:r>
      <w:r>
        <w:rPr>
          <w:bCs/>
        </w:rPr>
        <w:t xml:space="preserve"> (as yet unsuccessful)</w:t>
      </w:r>
      <w:r w:rsidR="002C43D6" w:rsidRPr="00184F0B">
        <w:rPr>
          <w:bCs/>
        </w:rPr>
        <w:t xml:space="preserve"> efforts to seek judicial review of the UKIMA</w:t>
      </w:r>
      <w:r w:rsidR="00E73035">
        <w:rPr>
          <w:bCs/>
        </w:rPr>
        <w:t>.</w:t>
      </w:r>
      <w:r w:rsidR="009E79EB">
        <w:rPr>
          <w:rStyle w:val="FootnoteReference"/>
          <w:bCs/>
        </w:rPr>
        <w:footnoteReference w:id="91"/>
      </w:r>
      <w:r w:rsidR="00E73035">
        <w:rPr>
          <w:bCs/>
        </w:rPr>
        <w:t xml:space="preserve"> </w:t>
      </w:r>
      <w:r w:rsidR="002E4E34">
        <w:rPr>
          <w:bCs/>
        </w:rPr>
        <w:t xml:space="preserve">Counsel for the Welsh </w:t>
      </w:r>
      <w:r w:rsidR="002E4E34">
        <w:rPr>
          <w:bCs/>
        </w:rPr>
        <w:lastRenderedPageBreak/>
        <w:t>government argued that s54(2) of the Act (adding the UKIMA to the list of instruments protected from modification by the Welsh Senedd) had ‘</w:t>
      </w:r>
      <w:r w:rsidR="002E4E34" w:rsidRPr="002E4E34">
        <w:rPr>
          <w:bCs/>
        </w:rPr>
        <w:t>the effect of extinguishing the practical effect of devolved competence in areas which include food standards and environmental protection</w:t>
      </w:r>
      <w:r w:rsidR="002E4E34">
        <w:rPr>
          <w:bCs/>
        </w:rPr>
        <w:t>.’</w:t>
      </w:r>
      <w:r w:rsidR="009E79EB">
        <w:rPr>
          <w:rStyle w:val="FootnoteReference"/>
          <w:bCs/>
        </w:rPr>
        <w:footnoteReference w:id="92"/>
      </w:r>
      <w:r w:rsidR="002E4E34">
        <w:rPr>
          <w:bCs/>
        </w:rPr>
        <w:t xml:space="preserve"> </w:t>
      </w:r>
      <w:r w:rsidR="009E79EB">
        <w:rPr>
          <w:bCs/>
        </w:rPr>
        <w:t xml:space="preserve">Future </w:t>
      </w:r>
      <w:r>
        <w:rPr>
          <w:bCs/>
        </w:rPr>
        <w:t xml:space="preserve">Senedd </w:t>
      </w:r>
      <w:r w:rsidR="009E79EB">
        <w:rPr>
          <w:bCs/>
        </w:rPr>
        <w:t>legislation</w:t>
      </w:r>
      <w:r>
        <w:rPr>
          <w:bCs/>
        </w:rPr>
        <w:t xml:space="preserve"> in key areas of devolved competence, it was argued, </w:t>
      </w:r>
      <w:r w:rsidR="009E79EB">
        <w:rPr>
          <w:bCs/>
        </w:rPr>
        <w:t>would be subject to compliance with the market access principles and, accordingly, potentially unenforceable against goods and services entering Wales from elsewhere within the UK where they may be lawfully sold and provided. In a judgment upheld on appeal, the Divisional Court (Lewis LJ</w:t>
      </w:r>
      <w:r w:rsidR="00A70E4D">
        <w:rPr>
          <w:bCs/>
        </w:rPr>
        <w:t xml:space="preserve"> and Steyn J</w:t>
      </w:r>
      <w:r w:rsidR="009E79EB">
        <w:rPr>
          <w:bCs/>
        </w:rPr>
        <w:t>) rejected the judicial review</w:t>
      </w:r>
      <w:r>
        <w:rPr>
          <w:bCs/>
        </w:rPr>
        <w:t xml:space="preserve"> application</w:t>
      </w:r>
      <w:r w:rsidR="009E79EB">
        <w:rPr>
          <w:bCs/>
        </w:rPr>
        <w:t xml:space="preserve"> on the grounds that, in the absence of specific legislation, it was premature.</w:t>
      </w:r>
      <w:r w:rsidR="00A70E4D">
        <w:rPr>
          <w:rStyle w:val="FootnoteReference"/>
          <w:bCs/>
        </w:rPr>
        <w:footnoteReference w:id="93"/>
      </w:r>
      <w:r w:rsidR="009E79EB">
        <w:rPr>
          <w:bCs/>
        </w:rPr>
        <w:t xml:space="preserve"> But the substance of the Welsh government’s </w:t>
      </w:r>
      <w:r w:rsidR="0048006E">
        <w:rPr>
          <w:bCs/>
        </w:rPr>
        <w:t xml:space="preserve">abstract </w:t>
      </w:r>
      <w:r w:rsidR="009E79EB">
        <w:rPr>
          <w:bCs/>
        </w:rPr>
        <w:t xml:space="preserve">argument, namely that the UKIMA imposes new restrictions on the exercise of devolved legislative competences, </w:t>
      </w:r>
      <w:r w:rsidR="00AD3DA1">
        <w:rPr>
          <w:bCs/>
        </w:rPr>
        <w:t>is</w:t>
      </w:r>
      <w:r w:rsidR="009E79EB">
        <w:rPr>
          <w:bCs/>
        </w:rPr>
        <w:t xml:space="preserve"> intellectually sound.</w:t>
      </w:r>
    </w:p>
    <w:p w14:paraId="1364F5F4" w14:textId="3C855332" w:rsidR="002C43D6" w:rsidRPr="00184F0B" w:rsidRDefault="002C43D6" w:rsidP="002C43D6">
      <w:pPr>
        <w:pStyle w:val="NormalWeb"/>
        <w:shd w:val="clear" w:color="auto" w:fill="FFFFFF"/>
        <w:spacing w:before="0" w:beforeAutospacing="0" w:after="0" w:afterAutospacing="0" w:line="360" w:lineRule="auto"/>
        <w:ind w:firstLine="720"/>
        <w:jc w:val="both"/>
      </w:pPr>
      <w:r w:rsidRPr="00184F0B">
        <w:rPr>
          <w:bCs/>
        </w:rPr>
        <w:t xml:space="preserve">Despite the fact that </w:t>
      </w:r>
      <w:r w:rsidR="002C3006">
        <w:rPr>
          <w:bCs/>
        </w:rPr>
        <w:t xml:space="preserve">they </w:t>
      </w:r>
      <w:r w:rsidRPr="00184F0B">
        <w:rPr>
          <w:bCs/>
        </w:rPr>
        <w:t>occupy the same space (the regulation of the UK internal market), there was never any serious political intention on the part of the UK government to align the UKIMA with the pre-existing Common Framework</w:t>
      </w:r>
      <w:r w:rsidR="00091FED">
        <w:rPr>
          <w:bCs/>
        </w:rPr>
        <w:t>s</w:t>
      </w:r>
      <w:r w:rsidRPr="00184F0B">
        <w:rPr>
          <w:bCs/>
        </w:rPr>
        <w:t xml:space="preserve"> Programme.</w:t>
      </w:r>
      <w:r w:rsidR="002C3006">
        <w:rPr>
          <w:bCs/>
        </w:rPr>
        <w:t xml:space="preserve"> Indeed, i</w:t>
      </w:r>
      <w:r w:rsidR="002C3006" w:rsidRPr="00184F0B">
        <w:rPr>
          <w:bCs/>
        </w:rPr>
        <w:t xml:space="preserve">n its original form, the </w:t>
      </w:r>
      <w:r w:rsidR="002C3006">
        <w:rPr>
          <w:bCs/>
        </w:rPr>
        <w:t>UKIM</w:t>
      </w:r>
      <w:r w:rsidR="002C3006" w:rsidRPr="00184F0B">
        <w:rPr>
          <w:bCs/>
        </w:rPr>
        <w:t xml:space="preserve"> Bill made no reference at all to the Frameworks.</w:t>
      </w:r>
      <w:r w:rsidRPr="00184F0B">
        <w:rPr>
          <w:bCs/>
        </w:rPr>
        <w:t xml:space="preserve"> The two mechanisms were enacted by different (Conservative) governments with very different visions </w:t>
      </w:r>
      <w:r w:rsidR="00E33C5A">
        <w:rPr>
          <w:bCs/>
        </w:rPr>
        <w:t xml:space="preserve">of </w:t>
      </w:r>
      <w:r w:rsidR="00F35A6A">
        <w:rPr>
          <w:bCs/>
        </w:rPr>
        <w:t>internal regulatory governance</w:t>
      </w:r>
      <w:r w:rsidRPr="00184F0B">
        <w:rPr>
          <w:bCs/>
        </w:rPr>
        <w:t xml:space="preserve"> post-Brexi</w:t>
      </w:r>
      <w:r w:rsidR="00F35A6A">
        <w:rPr>
          <w:bCs/>
        </w:rPr>
        <w:t>t</w:t>
      </w:r>
      <w:r w:rsidRPr="00184F0B">
        <w:rPr>
          <w:bCs/>
        </w:rPr>
        <w:t>. The UK government’s rationale for introducing the UKIMA was based on its contention that the Common Frameworks did not sufficiently address the potential economic ‘spill over’ effects for business and consumers of future regulatory divergence between the four nations.</w:t>
      </w:r>
      <w:r>
        <w:rPr>
          <w:rStyle w:val="FootnoteReference"/>
          <w:bCs/>
        </w:rPr>
        <w:footnoteReference w:id="94"/>
      </w:r>
      <w:r w:rsidRPr="00184F0B">
        <w:rPr>
          <w:bCs/>
        </w:rPr>
        <w:t xml:space="preserve"> The Lords Constitution Committee contested that claim, arguing that, with sufficient political buy-in from all four governments, the Frameworks were perfectly capable, as matter of principle, of managing regulatory divergence within the UK.</w:t>
      </w:r>
      <w:r w:rsidRPr="00184F0B">
        <w:rPr>
          <w:rStyle w:val="FootnoteReference"/>
          <w:bCs/>
        </w:rPr>
        <w:footnoteReference w:id="95"/>
      </w:r>
      <w:r w:rsidRPr="00184F0B">
        <w:rPr>
          <w:bCs/>
        </w:rPr>
        <w:t xml:space="preserve"> </w:t>
      </w:r>
      <w:r w:rsidR="00DD4D60">
        <w:rPr>
          <w:bCs/>
        </w:rPr>
        <w:t>The</w:t>
      </w:r>
      <w:r w:rsidRPr="00184F0B">
        <w:rPr>
          <w:bCs/>
        </w:rPr>
        <w:t xml:space="preserve"> Scottish government </w:t>
      </w:r>
      <w:r w:rsidR="002C3006">
        <w:rPr>
          <w:bCs/>
        </w:rPr>
        <w:t>also</w:t>
      </w:r>
      <w:r w:rsidRPr="00184F0B">
        <w:rPr>
          <w:bCs/>
        </w:rPr>
        <w:t xml:space="preserve"> </w:t>
      </w:r>
      <w:r w:rsidR="00AD382B">
        <w:rPr>
          <w:bCs/>
        </w:rPr>
        <w:t>disputed</w:t>
      </w:r>
      <w:r w:rsidR="00AD382B" w:rsidRPr="00184F0B">
        <w:rPr>
          <w:bCs/>
        </w:rPr>
        <w:t xml:space="preserve"> </w:t>
      </w:r>
      <w:r w:rsidRPr="00184F0B">
        <w:rPr>
          <w:bCs/>
        </w:rPr>
        <w:t xml:space="preserve">the UK government’s diagnosis that the market access principles were necessary to prevent the emergence of future obstacles to intra-UK trade. </w:t>
      </w:r>
      <w:r w:rsidR="00064950">
        <w:rPr>
          <w:bCs/>
        </w:rPr>
        <w:t>Together with the Welsh Senedd, it refused to grant</w:t>
      </w:r>
      <w:r w:rsidR="00DD4D60">
        <w:rPr>
          <w:bCs/>
        </w:rPr>
        <w:t xml:space="preserve"> its</w:t>
      </w:r>
      <w:r w:rsidR="00064950">
        <w:rPr>
          <w:bCs/>
        </w:rPr>
        <w:t xml:space="preserve"> legislative consent to the</w:t>
      </w:r>
      <w:r w:rsidR="002C3006">
        <w:rPr>
          <w:bCs/>
        </w:rPr>
        <w:t xml:space="preserve"> UKIMA’s</w:t>
      </w:r>
      <w:r w:rsidR="00064950">
        <w:rPr>
          <w:bCs/>
        </w:rPr>
        <w:t xml:space="preserve"> enactment.</w:t>
      </w:r>
      <w:r w:rsidR="00947FBD">
        <w:rPr>
          <w:bCs/>
        </w:rPr>
        <w:t xml:space="preserve"> </w:t>
      </w:r>
    </w:p>
    <w:p w14:paraId="44EB725A" w14:textId="77777777" w:rsidR="00221FE4" w:rsidRDefault="00B50FEC" w:rsidP="00413E87">
      <w:pPr>
        <w:pStyle w:val="NormalWeb"/>
        <w:shd w:val="clear" w:color="auto" w:fill="FFFFFF"/>
        <w:spacing w:before="0" w:beforeAutospacing="0" w:after="0" w:afterAutospacing="0" w:line="360" w:lineRule="auto"/>
        <w:ind w:firstLine="720"/>
        <w:jc w:val="both"/>
        <w:rPr>
          <w:color w:val="212121"/>
        </w:rPr>
      </w:pPr>
      <w:r w:rsidRPr="00413E87">
        <w:rPr>
          <w:bCs/>
        </w:rPr>
        <w:lastRenderedPageBreak/>
        <w:t>In substantive terms, t</w:t>
      </w:r>
      <w:r w:rsidR="002C43D6" w:rsidRPr="00413E87">
        <w:rPr>
          <w:bCs/>
        </w:rPr>
        <w:t xml:space="preserve">he domestication of the EU principles of non-discrimination and mutual recognition under the UKIMA injects </w:t>
      </w:r>
      <w:r w:rsidR="00E33C5A" w:rsidRPr="00413E87">
        <w:rPr>
          <w:bCs/>
        </w:rPr>
        <w:t xml:space="preserve">what might be considered </w:t>
      </w:r>
      <w:r w:rsidR="00BC7416" w:rsidRPr="00413E87">
        <w:rPr>
          <w:bCs/>
        </w:rPr>
        <w:t xml:space="preserve">a </w:t>
      </w:r>
      <w:r w:rsidR="002C43D6" w:rsidRPr="00413E87">
        <w:rPr>
          <w:bCs/>
        </w:rPr>
        <w:t xml:space="preserve">missing </w:t>
      </w:r>
      <w:r w:rsidR="00BC7416" w:rsidRPr="00413E87">
        <w:rPr>
          <w:bCs/>
        </w:rPr>
        <w:t>element</w:t>
      </w:r>
      <w:r w:rsidR="002C43D6" w:rsidRPr="00413E87">
        <w:rPr>
          <w:bCs/>
        </w:rPr>
        <w:t xml:space="preserve"> into the newly</w:t>
      </w:r>
      <w:r w:rsidRPr="00413E87">
        <w:rPr>
          <w:bCs/>
        </w:rPr>
        <w:t xml:space="preserve"> </w:t>
      </w:r>
      <w:r w:rsidR="002C43D6" w:rsidRPr="00413E87">
        <w:rPr>
          <w:bCs/>
        </w:rPr>
        <w:t>reconstituted UK internal market</w:t>
      </w:r>
      <w:r w:rsidR="00BC7416" w:rsidRPr="00413E87">
        <w:rPr>
          <w:bCs/>
        </w:rPr>
        <w:t xml:space="preserve"> – an instrument of negative harmonisation</w:t>
      </w:r>
      <w:r w:rsidR="002C43D6" w:rsidRPr="00413E87">
        <w:rPr>
          <w:bCs/>
        </w:rPr>
        <w:t>. In contrast to the Common Frameworks, the market access principles</w:t>
      </w:r>
      <w:r w:rsidRPr="00413E87">
        <w:rPr>
          <w:bCs/>
        </w:rPr>
        <w:t xml:space="preserve"> actually</w:t>
      </w:r>
      <w:r w:rsidR="002C43D6" w:rsidRPr="00413E87">
        <w:rPr>
          <w:bCs/>
        </w:rPr>
        <w:t xml:space="preserve"> prescribe substantive limits on the space for policy divergence in relation to intra-UK trade. Their effect is to impose a set of </w:t>
      </w:r>
      <w:r w:rsidR="00CC2203" w:rsidRPr="00413E87">
        <w:rPr>
          <w:bCs/>
        </w:rPr>
        <w:t>directly enforceable</w:t>
      </w:r>
      <w:r w:rsidR="002C43D6" w:rsidRPr="00413E87">
        <w:rPr>
          <w:bCs/>
        </w:rPr>
        <w:t xml:space="preserve"> limits on the exercise of devolved competences. This represents a </w:t>
      </w:r>
      <w:r w:rsidR="00222AD5" w:rsidRPr="00413E87">
        <w:rPr>
          <w:bCs/>
        </w:rPr>
        <w:t>partial replication</w:t>
      </w:r>
      <w:r w:rsidR="002C43D6" w:rsidRPr="00413E87">
        <w:rPr>
          <w:bCs/>
        </w:rPr>
        <w:t xml:space="preserve">, in </w:t>
      </w:r>
      <w:r w:rsidR="00687485" w:rsidRPr="00413E87">
        <w:rPr>
          <w:bCs/>
        </w:rPr>
        <w:t>a new domesticated</w:t>
      </w:r>
      <w:r w:rsidR="002C43D6" w:rsidRPr="00413E87">
        <w:rPr>
          <w:bCs/>
        </w:rPr>
        <w:t xml:space="preserve"> form, of the limits that EU law previously placed on the </w:t>
      </w:r>
      <w:r w:rsidR="002C43D6" w:rsidRPr="00413E87">
        <w:rPr>
          <w:color w:val="212121"/>
        </w:rPr>
        <w:t xml:space="preserve">power of the devolved governments to exercise full control over the regulation of economic activity within their respective territories, including in relation to the management of intra-UK trade. </w:t>
      </w:r>
      <w:r w:rsidR="007B0858" w:rsidRPr="00413E87">
        <w:rPr>
          <w:color w:val="212121"/>
        </w:rPr>
        <w:t>They do this in a more absolute, unconditional way than operated under EU law</w:t>
      </w:r>
      <w:r w:rsidR="00413E87" w:rsidRPr="00413E87">
        <w:rPr>
          <w:color w:val="212121"/>
        </w:rPr>
        <w:t xml:space="preserve">. </w:t>
      </w:r>
    </w:p>
    <w:p w14:paraId="255064E7" w14:textId="301A4CD8" w:rsidR="00221FE4" w:rsidRDefault="00413E87" w:rsidP="00221FE4">
      <w:pPr>
        <w:pStyle w:val="NormalWeb"/>
        <w:shd w:val="clear" w:color="auto" w:fill="FFFFFF"/>
        <w:spacing w:before="0" w:beforeAutospacing="0" w:after="0" w:afterAutospacing="0" w:line="360" w:lineRule="auto"/>
        <w:ind w:firstLine="720"/>
        <w:jc w:val="both"/>
        <w:rPr>
          <w:bCs/>
        </w:rPr>
      </w:pPr>
      <w:r w:rsidRPr="00413E87">
        <w:rPr>
          <w:color w:val="212121"/>
        </w:rPr>
        <w:t xml:space="preserve">In particular, </w:t>
      </w:r>
      <w:r w:rsidRPr="00413E87">
        <w:rPr>
          <w:bCs/>
        </w:rPr>
        <w:t>t</w:t>
      </w:r>
      <w:r w:rsidR="002C43D6" w:rsidRPr="00413E87">
        <w:rPr>
          <w:bCs/>
        </w:rPr>
        <w:t xml:space="preserve">he UKIMA defines exceptions to the principles of non-discrimination and mutual recognition </w:t>
      </w:r>
      <w:r w:rsidR="007A0ABA" w:rsidRPr="00413E87">
        <w:rPr>
          <w:bCs/>
        </w:rPr>
        <w:t xml:space="preserve">considerably </w:t>
      </w:r>
      <w:r w:rsidR="002C43D6" w:rsidRPr="00413E87">
        <w:rPr>
          <w:bCs/>
        </w:rPr>
        <w:t>more narrowly</w:t>
      </w:r>
      <w:r w:rsidR="002C43D6" w:rsidRPr="00184F0B">
        <w:rPr>
          <w:bCs/>
        </w:rPr>
        <w:t xml:space="preserve"> than under the EU Treaties. For example, with respect to goods, s8</w:t>
      </w:r>
      <w:r w:rsidR="0067596E">
        <w:rPr>
          <w:bCs/>
        </w:rPr>
        <w:t>(6) UKIMA</w:t>
      </w:r>
      <w:r w:rsidR="002C43D6" w:rsidRPr="00184F0B">
        <w:rPr>
          <w:bCs/>
        </w:rPr>
        <w:t xml:space="preserve"> permits only the justification of indirectly discriminatory regulatory measures that are considered necessary to protect public safety or security</w:t>
      </w:r>
      <w:r w:rsidR="004D5C64">
        <w:rPr>
          <w:bCs/>
        </w:rPr>
        <w:t>, and/</w:t>
      </w:r>
      <w:r w:rsidR="002C43D6" w:rsidRPr="00184F0B">
        <w:rPr>
          <w:bCs/>
        </w:rPr>
        <w:t xml:space="preserve">or </w:t>
      </w:r>
      <w:r w:rsidR="004D5C64">
        <w:rPr>
          <w:bCs/>
        </w:rPr>
        <w:t xml:space="preserve">the </w:t>
      </w:r>
      <w:r w:rsidR="002C43D6" w:rsidRPr="00184F0B">
        <w:rPr>
          <w:bCs/>
        </w:rPr>
        <w:t>protection of the life or health of humans, animals or plants. Previously, under EU law, it was open to the devolved governments to justify policies that interfered with the Treaty provisions on intra-EU movement, including in relation to intra-UK trade</w:t>
      </w:r>
      <w:r w:rsidR="004D5C64">
        <w:rPr>
          <w:bCs/>
        </w:rPr>
        <w:t xml:space="preserve">, </w:t>
      </w:r>
      <w:r w:rsidR="00437270">
        <w:rPr>
          <w:bCs/>
        </w:rPr>
        <w:t>using</w:t>
      </w:r>
      <w:r w:rsidR="004D5C64">
        <w:rPr>
          <w:bCs/>
        </w:rPr>
        <w:t xml:space="preserve"> a more expansive framework of </w:t>
      </w:r>
      <w:r w:rsidR="002C43D6" w:rsidRPr="00184F0B">
        <w:rPr>
          <w:bCs/>
        </w:rPr>
        <w:t xml:space="preserve">express derogations </w:t>
      </w:r>
      <w:r w:rsidR="00B1465E">
        <w:rPr>
          <w:bCs/>
        </w:rPr>
        <w:t xml:space="preserve">(Art 36 TFEU) or </w:t>
      </w:r>
      <w:r w:rsidR="002C43D6" w:rsidRPr="00184F0B">
        <w:rPr>
          <w:bCs/>
        </w:rPr>
        <w:t>an open-ended list of overriding public interest requirements recognised by the EU Court.</w:t>
      </w:r>
      <w:r w:rsidR="00133CD8">
        <w:rPr>
          <w:rStyle w:val="FootnoteReference"/>
          <w:bCs/>
        </w:rPr>
        <w:footnoteReference w:id="96"/>
      </w:r>
      <w:r w:rsidR="002C43D6" w:rsidRPr="00184F0B">
        <w:rPr>
          <w:bCs/>
        </w:rPr>
        <w:t xml:space="preserve"> It was on that basis that the Welsh government in </w:t>
      </w:r>
      <w:proofErr w:type="spellStart"/>
      <w:r w:rsidR="002C43D6" w:rsidRPr="00184F0B">
        <w:rPr>
          <w:bCs/>
          <w:i/>
          <w:iCs/>
        </w:rPr>
        <w:t>Petsafe</w:t>
      </w:r>
      <w:proofErr w:type="spellEnd"/>
      <w:r w:rsidR="002C43D6" w:rsidRPr="00184F0B">
        <w:rPr>
          <w:bCs/>
          <w:i/>
          <w:iCs/>
        </w:rPr>
        <w:t xml:space="preserve"> Ltd</w:t>
      </w:r>
      <w:r w:rsidR="002C43D6" w:rsidRPr="00184F0B">
        <w:rPr>
          <w:bCs/>
        </w:rPr>
        <w:t xml:space="preserve"> successfully argued that the Welsh ban on the use of electric collars on cats and dogs was justified on social policy grounds as a proportionate restriction on the free movement of goods under Art 34 TFEU.</w:t>
      </w:r>
      <w:r w:rsidR="002C43D6">
        <w:rPr>
          <w:rStyle w:val="FootnoteReference"/>
          <w:bCs/>
        </w:rPr>
        <w:footnoteReference w:id="97"/>
      </w:r>
      <w:r w:rsidR="002C43D6" w:rsidRPr="00184F0B">
        <w:rPr>
          <w:bCs/>
        </w:rPr>
        <w:t xml:space="preserve"> The effect of </w:t>
      </w:r>
      <w:r w:rsidR="00437270">
        <w:rPr>
          <w:bCs/>
        </w:rPr>
        <w:t>the UKIMA’s</w:t>
      </w:r>
      <w:r w:rsidR="002C43D6" w:rsidRPr="00184F0B">
        <w:rPr>
          <w:bCs/>
        </w:rPr>
        <w:t xml:space="preserve"> narrowing of justification grounds is to prioritise</w:t>
      </w:r>
      <w:r w:rsidR="00437270">
        <w:rPr>
          <w:bCs/>
        </w:rPr>
        <w:t xml:space="preserve"> economic efficiency over competing public interest concerns, accentuating</w:t>
      </w:r>
      <w:r w:rsidR="002C43D6" w:rsidRPr="00184F0B">
        <w:rPr>
          <w:bCs/>
        </w:rPr>
        <w:t xml:space="preserve"> the deregulatory qualities of the UK internal market</w:t>
      </w:r>
      <w:r w:rsidR="00437270">
        <w:rPr>
          <w:bCs/>
        </w:rPr>
        <w:t xml:space="preserve"> post-Brexit</w:t>
      </w:r>
      <w:r w:rsidR="002C43D6" w:rsidRPr="00184F0B">
        <w:rPr>
          <w:bCs/>
        </w:rPr>
        <w:t xml:space="preserve">. </w:t>
      </w:r>
    </w:p>
    <w:p w14:paraId="331B9843" w14:textId="77777777" w:rsidR="00413E87" w:rsidRPr="00413E87" w:rsidRDefault="00413E87" w:rsidP="00413E87">
      <w:pPr>
        <w:pStyle w:val="NormalWeb"/>
        <w:shd w:val="clear" w:color="auto" w:fill="FFFFFF"/>
        <w:spacing w:before="0" w:beforeAutospacing="0" w:after="0" w:afterAutospacing="0" w:line="360" w:lineRule="auto"/>
        <w:ind w:firstLine="720"/>
        <w:jc w:val="both"/>
        <w:rPr>
          <w:bCs/>
        </w:rPr>
      </w:pPr>
    </w:p>
    <w:p w14:paraId="6C54E698" w14:textId="1BF65F0B" w:rsidR="00687485" w:rsidRDefault="00687485" w:rsidP="00687485">
      <w:pPr>
        <w:pStyle w:val="NormalWeb"/>
        <w:shd w:val="clear" w:color="auto" w:fill="FFFFFF"/>
        <w:spacing w:before="0" w:beforeAutospacing="0" w:after="240" w:afterAutospacing="0" w:line="360" w:lineRule="auto"/>
        <w:jc w:val="both"/>
        <w:rPr>
          <w:i/>
          <w:color w:val="212121"/>
        </w:rPr>
      </w:pPr>
      <w:r w:rsidRPr="00687485">
        <w:rPr>
          <w:i/>
          <w:color w:val="212121"/>
        </w:rPr>
        <w:t>3.3. Alignment</w:t>
      </w:r>
      <w:r>
        <w:rPr>
          <w:i/>
          <w:color w:val="212121"/>
        </w:rPr>
        <w:t xml:space="preserve"> under UKIMA</w:t>
      </w:r>
      <w:r w:rsidR="00DC47C9">
        <w:rPr>
          <w:i/>
          <w:color w:val="212121"/>
        </w:rPr>
        <w:t xml:space="preserve"> Principles</w:t>
      </w:r>
    </w:p>
    <w:p w14:paraId="0F21B522" w14:textId="7510A2C0" w:rsidR="002C43D6" w:rsidRPr="00184F0B" w:rsidRDefault="002C43D6" w:rsidP="00687485">
      <w:pPr>
        <w:pStyle w:val="NormalWeb"/>
        <w:shd w:val="clear" w:color="auto" w:fill="FFFFFF"/>
        <w:spacing w:before="0" w:beforeAutospacing="0" w:after="0" w:afterAutospacing="0" w:line="360" w:lineRule="auto"/>
        <w:jc w:val="both"/>
        <w:rPr>
          <w:bCs/>
        </w:rPr>
      </w:pPr>
      <w:r w:rsidRPr="00184F0B">
        <w:rPr>
          <w:bCs/>
        </w:rPr>
        <w:t>During its passage through</w:t>
      </w:r>
      <w:r w:rsidR="00437270">
        <w:rPr>
          <w:bCs/>
        </w:rPr>
        <w:t xml:space="preserve"> the UK</w:t>
      </w:r>
      <w:r w:rsidRPr="00184F0B">
        <w:rPr>
          <w:bCs/>
        </w:rPr>
        <w:t xml:space="preserve"> Parliament, the UKIM Bill was amended to take express account of the Common Frameworks</w:t>
      </w:r>
      <w:r w:rsidR="00221FE4">
        <w:rPr>
          <w:bCs/>
        </w:rPr>
        <w:t>, which remain the devolved government</w:t>
      </w:r>
      <w:r w:rsidR="007422CE">
        <w:rPr>
          <w:bCs/>
        </w:rPr>
        <w:t xml:space="preserve">s’ </w:t>
      </w:r>
      <w:r w:rsidR="00221FE4">
        <w:rPr>
          <w:bCs/>
        </w:rPr>
        <w:t>preferred instruments for the management of intra-</w:t>
      </w:r>
      <w:r w:rsidR="007422CE">
        <w:rPr>
          <w:bCs/>
        </w:rPr>
        <w:t>UK</w:t>
      </w:r>
      <w:r w:rsidR="00221FE4">
        <w:rPr>
          <w:bCs/>
        </w:rPr>
        <w:t xml:space="preserve"> regulatory diversity post-Brexit</w:t>
      </w:r>
      <w:r w:rsidRPr="00184F0B">
        <w:rPr>
          <w:bCs/>
        </w:rPr>
        <w:t xml:space="preserve">. </w:t>
      </w:r>
      <w:r w:rsidR="00437270">
        <w:rPr>
          <w:bCs/>
        </w:rPr>
        <w:t xml:space="preserve">As a result of </w:t>
      </w:r>
      <w:r w:rsidR="00437270">
        <w:rPr>
          <w:bCs/>
        </w:rPr>
        <w:lastRenderedPageBreak/>
        <w:t>this</w:t>
      </w:r>
      <w:r w:rsidRPr="00184F0B">
        <w:rPr>
          <w:bCs/>
        </w:rPr>
        <w:t>, the Act now makes it possible to exempt so-called ‘Common Framework Agreements’</w:t>
      </w:r>
      <w:r>
        <w:rPr>
          <w:rStyle w:val="FootnoteReference"/>
          <w:bCs/>
        </w:rPr>
        <w:footnoteReference w:id="98"/>
      </w:r>
      <w:r w:rsidRPr="00184F0B">
        <w:rPr>
          <w:bCs/>
        </w:rPr>
        <w:t xml:space="preserve"> from the application of the market access principles. </w:t>
      </w:r>
      <w:r w:rsidR="008A6EA2">
        <w:rPr>
          <w:bCs/>
        </w:rPr>
        <w:t>Under the UKIMA,</w:t>
      </w:r>
      <w:r w:rsidRPr="00184F0B">
        <w:rPr>
          <w:bCs/>
        </w:rPr>
        <w:t xml:space="preserve"> the power to grant exemptions is reserved to UK government ministers.</w:t>
      </w:r>
      <w:r>
        <w:rPr>
          <w:rStyle w:val="FootnoteReference"/>
          <w:bCs/>
        </w:rPr>
        <w:footnoteReference w:id="99"/>
      </w:r>
      <w:r>
        <w:rPr>
          <w:bCs/>
        </w:rPr>
        <w:t xml:space="preserve"> </w:t>
      </w:r>
      <w:r w:rsidR="008A6EA2">
        <w:rPr>
          <w:bCs/>
        </w:rPr>
        <w:t>However, i</w:t>
      </w:r>
      <w:r w:rsidRPr="00184F0B">
        <w:rPr>
          <w:bCs/>
        </w:rPr>
        <w:t xml:space="preserve">n a concession to </w:t>
      </w:r>
      <w:r w:rsidR="008A6EA2">
        <w:rPr>
          <w:bCs/>
        </w:rPr>
        <w:t>a</w:t>
      </w:r>
      <w:r w:rsidRPr="00184F0B">
        <w:rPr>
          <w:bCs/>
        </w:rPr>
        <w:t xml:space="preserve"> consensus-based approach to intergovernmental relations</w:t>
      </w:r>
      <w:r w:rsidR="00D92B08">
        <w:rPr>
          <w:bCs/>
        </w:rPr>
        <w:t xml:space="preserve"> (and meaningful shared rule)</w:t>
      </w:r>
      <w:r w:rsidRPr="00184F0B">
        <w:rPr>
          <w:bCs/>
        </w:rPr>
        <w:t>, the UK and devolved governments</w:t>
      </w:r>
      <w:r w:rsidR="008A6EA2">
        <w:rPr>
          <w:bCs/>
        </w:rPr>
        <w:t xml:space="preserve"> reached agreement on a</w:t>
      </w:r>
      <w:r w:rsidRPr="00184F0B">
        <w:rPr>
          <w:bCs/>
        </w:rPr>
        <w:t xml:space="preserve"> process for considering exemptions pursuant to s10 (for goods) and s18 (for services) UKIMA.</w:t>
      </w:r>
      <w:r>
        <w:rPr>
          <w:rStyle w:val="FootnoteReference"/>
          <w:bCs/>
        </w:rPr>
        <w:footnoteReference w:id="100"/>
      </w:r>
      <w:r w:rsidRPr="00184F0B">
        <w:rPr>
          <w:bCs/>
        </w:rPr>
        <w:t xml:space="preserve"> </w:t>
      </w:r>
      <w:r w:rsidR="008A6EA2">
        <w:rPr>
          <w:bCs/>
        </w:rPr>
        <w:t>That</w:t>
      </w:r>
      <w:r w:rsidRPr="00184F0B">
        <w:rPr>
          <w:bCs/>
        </w:rPr>
        <w:t xml:space="preserve"> agreement</w:t>
      </w:r>
      <w:r w:rsidR="00D92B08">
        <w:rPr>
          <w:bCs/>
        </w:rPr>
        <w:t>, however,</w:t>
      </w:r>
      <w:r w:rsidRPr="00184F0B">
        <w:rPr>
          <w:bCs/>
        </w:rPr>
        <w:t xml:space="preserve"> </w:t>
      </w:r>
      <w:r w:rsidR="00D92B08">
        <w:rPr>
          <w:bCs/>
        </w:rPr>
        <w:t xml:space="preserve">remains political and, as such, has </w:t>
      </w:r>
      <w:r w:rsidRPr="00184F0B">
        <w:rPr>
          <w:bCs/>
        </w:rPr>
        <w:t>no effect on the Secretary of State’s legal powers under that Act.</w:t>
      </w:r>
      <w:r>
        <w:rPr>
          <w:rStyle w:val="FootnoteReference"/>
          <w:bCs/>
        </w:rPr>
        <w:footnoteReference w:id="101"/>
      </w:r>
      <w:r w:rsidRPr="00184F0B">
        <w:rPr>
          <w:bCs/>
        </w:rPr>
        <w:t xml:space="preserve">  </w:t>
      </w:r>
    </w:p>
    <w:p w14:paraId="1B2E7F7E" w14:textId="6DD65FEF" w:rsidR="002C43D6" w:rsidRPr="00184F0B" w:rsidRDefault="002C43D6" w:rsidP="002C43D6">
      <w:pPr>
        <w:pStyle w:val="NormalWeb"/>
        <w:shd w:val="clear" w:color="auto" w:fill="FFFFFF"/>
        <w:spacing w:before="0" w:beforeAutospacing="0" w:after="0" w:afterAutospacing="0" w:line="360" w:lineRule="auto"/>
        <w:ind w:firstLine="720"/>
        <w:jc w:val="both"/>
        <w:rPr>
          <w:bCs/>
        </w:rPr>
      </w:pPr>
      <w:r w:rsidRPr="00184F0B">
        <w:rPr>
          <w:bCs/>
        </w:rPr>
        <w:t>The intergovernmental agreement</w:t>
      </w:r>
      <w:r w:rsidR="008A6EA2">
        <w:rPr>
          <w:bCs/>
        </w:rPr>
        <w:t xml:space="preserve"> on process</w:t>
      </w:r>
      <w:r w:rsidRPr="00184F0B">
        <w:rPr>
          <w:bCs/>
        </w:rPr>
        <w:t xml:space="preserve"> outlines that it is the responsibility of the nation (or nations) seeking an exemption</w:t>
      </w:r>
      <w:r w:rsidR="008A6EA2">
        <w:rPr>
          <w:bCs/>
        </w:rPr>
        <w:t xml:space="preserve"> from the market access principles</w:t>
      </w:r>
      <w:r w:rsidRPr="00184F0B">
        <w:rPr>
          <w:bCs/>
        </w:rPr>
        <w:t xml:space="preserve"> to set out the scope and rationale for the proposed exemption with supporting evidence. The </w:t>
      </w:r>
      <w:r w:rsidR="008A6EA2">
        <w:rPr>
          <w:bCs/>
        </w:rPr>
        <w:t>proposal</w:t>
      </w:r>
      <w:r w:rsidR="008A6EA2">
        <w:rPr>
          <w:rStyle w:val="FootnoteReference"/>
          <w:bCs/>
        </w:rPr>
        <w:footnoteReference w:id="102"/>
      </w:r>
      <w:r w:rsidRPr="00184F0B">
        <w:rPr>
          <w:bCs/>
        </w:rPr>
        <w:t xml:space="preserve"> is to be considered within the relevant Common Framework in accordance with the prescribed decision-making processes set out therein. Where agreement is reach, this is to be notified and recorded within the Common Framework; for example, through an exchange of letters. It is then the responsibility of the relevant Secretary of State to introduce </w:t>
      </w:r>
      <w:r w:rsidR="008A6EA2">
        <w:rPr>
          <w:bCs/>
        </w:rPr>
        <w:t>a</w:t>
      </w:r>
      <w:r w:rsidRPr="00184F0B">
        <w:rPr>
          <w:bCs/>
        </w:rPr>
        <w:t xml:space="preserve"> statutory instrument</w:t>
      </w:r>
      <w:r w:rsidR="008A6EA2">
        <w:rPr>
          <w:bCs/>
        </w:rPr>
        <w:t xml:space="preserve"> </w:t>
      </w:r>
      <w:r w:rsidR="00520C71" w:rsidRPr="00184F0B">
        <w:rPr>
          <w:bCs/>
        </w:rPr>
        <w:t xml:space="preserve">into Parliament </w:t>
      </w:r>
      <w:r w:rsidR="008A6EA2">
        <w:rPr>
          <w:bCs/>
        </w:rPr>
        <w:t>giv</w:t>
      </w:r>
      <w:r w:rsidR="00520C71">
        <w:rPr>
          <w:bCs/>
        </w:rPr>
        <w:t>ing</w:t>
      </w:r>
      <w:r w:rsidR="008A6EA2">
        <w:rPr>
          <w:bCs/>
        </w:rPr>
        <w:t xml:space="preserve"> effect to the agreement</w:t>
      </w:r>
      <w:r w:rsidRPr="00184F0B">
        <w:rPr>
          <w:bCs/>
        </w:rPr>
        <w:t xml:space="preserve"> for approval under the affirmative resolution procedure. Substantively, exemptions to the market access principles are not tied to the specifics of the </w:t>
      </w:r>
      <w:r w:rsidR="00520C71">
        <w:rPr>
          <w:bCs/>
        </w:rPr>
        <w:t>proposing</w:t>
      </w:r>
      <w:r w:rsidRPr="00184F0B">
        <w:rPr>
          <w:bCs/>
        </w:rPr>
        <w:t xml:space="preserve"> government’s particular policy framework, but instead directed towards the removal of defined categories of products (or services) from the scope of the UKIMA generally.</w:t>
      </w:r>
      <w:r>
        <w:rPr>
          <w:rStyle w:val="FootnoteReference"/>
          <w:bCs/>
        </w:rPr>
        <w:footnoteReference w:id="103"/>
      </w:r>
      <w:r w:rsidRPr="00184F0B">
        <w:rPr>
          <w:bCs/>
        </w:rPr>
        <w:t xml:space="preserve">  </w:t>
      </w:r>
    </w:p>
    <w:p w14:paraId="61DDC9B5" w14:textId="0DF19A6E" w:rsidR="002C43D6" w:rsidRPr="00184F0B" w:rsidRDefault="002C43D6" w:rsidP="002C43D6">
      <w:pPr>
        <w:pStyle w:val="NormalWeb"/>
        <w:shd w:val="clear" w:color="auto" w:fill="FFFFFF"/>
        <w:spacing w:before="0" w:beforeAutospacing="0" w:after="0" w:afterAutospacing="0" w:line="360" w:lineRule="auto"/>
        <w:ind w:firstLine="720"/>
        <w:jc w:val="both"/>
        <w:rPr>
          <w:bCs/>
        </w:rPr>
      </w:pPr>
      <w:r w:rsidRPr="00184F0B">
        <w:rPr>
          <w:bCs/>
        </w:rPr>
        <w:t xml:space="preserve">The process for exempting agreements </w:t>
      </w:r>
      <w:r w:rsidR="008978CB">
        <w:rPr>
          <w:bCs/>
        </w:rPr>
        <w:t>reached</w:t>
      </w:r>
      <w:r w:rsidRPr="00184F0B">
        <w:rPr>
          <w:bCs/>
        </w:rPr>
        <w:t xml:space="preserve"> through</w:t>
      </w:r>
      <w:r w:rsidR="008978CB">
        <w:rPr>
          <w:bCs/>
        </w:rPr>
        <w:t xml:space="preserve"> the</w:t>
      </w:r>
      <w:r w:rsidRPr="00184F0B">
        <w:rPr>
          <w:bCs/>
        </w:rPr>
        <w:t xml:space="preserve"> Common Frameworks</w:t>
      </w:r>
      <w:r w:rsidR="008978CB">
        <w:rPr>
          <w:bCs/>
        </w:rPr>
        <w:t xml:space="preserve"> from the UKIMA</w:t>
      </w:r>
      <w:r w:rsidR="00D92B08">
        <w:rPr>
          <w:bCs/>
        </w:rPr>
        <w:t>’s</w:t>
      </w:r>
      <w:r w:rsidR="008978CB">
        <w:rPr>
          <w:bCs/>
        </w:rPr>
        <w:t xml:space="preserve"> market access principles</w:t>
      </w:r>
      <w:r w:rsidRPr="00184F0B">
        <w:rPr>
          <w:bCs/>
        </w:rPr>
        <w:t xml:space="preserve"> was first activated in relation to legislation on single use plastics (SUP).  </w:t>
      </w:r>
      <w:r w:rsidR="008978CB">
        <w:rPr>
          <w:bCs/>
        </w:rPr>
        <w:t>In 2021, t</w:t>
      </w:r>
      <w:r w:rsidRPr="00184F0B">
        <w:rPr>
          <w:bCs/>
        </w:rPr>
        <w:t xml:space="preserve">he Scottish </w:t>
      </w:r>
      <w:r w:rsidR="008978CB">
        <w:rPr>
          <w:bCs/>
        </w:rPr>
        <w:t>Parliament</w:t>
      </w:r>
      <w:r w:rsidRPr="00184F0B">
        <w:rPr>
          <w:bCs/>
        </w:rPr>
        <w:t xml:space="preserve"> enacted a ban on the supply and, in certain instances, manufacture of SUPs which entered into force on 1 June 2022.</w:t>
      </w:r>
      <w:r w:rsidR="008978CB">
        <w:rPr>
          <w:rStyle w:val="FootnoteReference"/>
          <w:bCs/>
        </w:rPr>
        <w:footnoteReference w:id="104"/>
      </w:r>
      <w:r w:rsidRPr="00184F0B">
        <w:rPr>
          <w:bCs/>
        </w:rPr>
        <w:t xml:space="preserve"> The Scottish government succeed in securing agreement on an exemption through the Resources and Waste Common Framework – resulting in the UK government’s enactment of the United Kingdom Internal Market Act 2020 (Exclusions from Market Access Principles: Single-Use Plastics) </w:t>
      </w:r>
      <w:r w:rsidRPr="00184F0B">
        <w:rPr>
          <w:bCs/>
        </w:rPr>
        <w:lastRenderedPageBreak/>
        <w:t>Regulations 2022, amending Schedule 1 of the UKIMA. The Scottish government is on record criticising both the narrowness of that amendment and the delay in securing it through the agreed</w:t>
      </w:r>
      <w:r w:rsidR="008978CB">
        <w:rPr>
          <w:bCs/>
        </w:rPr>
        <w:t xml:space="preserve"> intergovernmental</w:t>
      </w:r>
      <w:r w:rsidRPr="00184F0B">
        <w:rPr>
          <w:bCs/>
        </w:rPr>
        <w:t xml:space="preserve"> process. Indeed, two months elapsed prior to the enactment of the 2022 Regulations during which the Scottish </w:t>
      </w:r>
      <w:r w:rsidR="008978CB">
        <w:rPr>
          <w:bCs/>
        </w:rPr>
        <w:t>SUP regulations</w:t>
      </w:r>
      <w:r w:rsidRPr="00184F0B">
        <w:rPr>
          <w:bCs/>
        </w:rPr>
        <w:t xml:space="preserve"> </w:t>
      </w:r>
      <w:r w:rsidR="008978CB">
        <w:rPr>
          <w:bCs/>
        </w:rPr>
        <w:t>were</w:t>
      </w:r>
      <w:r w:rsidRPr="00184F0B">
        <w:rPr>
          <w:bCs/>
        </w:rPr>
        <w:t xml:space="preserve"> in force and</w:t>
      </w:r>
      <w:r w:rsidR="008978CB">
        <w:rPr>
          <w:bCs/>
        </w:rPr>
        <w:t>, as such,</w:t>
      </w:r>
      <w:r w:rsidRPr="00184F0B">
        <w:rPr>
          <w:bCs/>
        </w:rPr>
        <w:t xml:space="preserve"> technically vulnerable to judicial review for compliance with the market access principles.</w:t>
      </w:r>
    </w:p>
    <w:p w14:paraId="55EF2213" w14:textId="73B4496C" w:rsidR="00ED261B" w:rsidRDefault="00ED261B" w:rsidP="00ED261B">
      <w:pPr>
        <w:pStyle w:val="NormalWeb"/>
        <w:shd w:val="clear" w:color="auto" w:fill="FFFFFF"/>
        <w:spacing w:before="0" w:beforeAutospacing="0" w:after="0" w:afterAutospacing="0" w:line="360" w:lineRule="auto"/>
        <w:ind w:firstLine="720"/>
        <w:jc w:val="both"/>
        <w:rPr>
          <w:bCs/>
        </w:rPr>
      </w:pPr>
      <w:r>
        <w:rPr>
          <w:bCs/>
        </w:rPr>
        <w:t xml:space="preserve">The Scottish government has since sought a further </w:t>
      </w:r>
      <w:r w:rsidRPr="00ED261B">
        <w:rPr>
          <w:bCs/>
        </w:rPr>
        <w:t>s10 UKIMA</w:t>
      </w:r>
      <w:r w:rsidR="008D6C30">
        <w:rPr>
          <w:bCs/>
        </w:rPr>
        <w:t xml:space="preserve"> exemption</w:t>
      </w:r>
      <w:r w:rsidRPr="00ED261B">
        <w:rPr>
          <w:bCs/>
        </w:rPr>
        <w:t xml:space="preserve"> to cover its</w:t>
      </w:r>
      <w:r>
        <w:rPr>
          <w:bCs/>
        </w:rPr>
        <w:t xml:space="preserve"> </w:t>
      </w:r>
      <w:r w:rsidRPr="00ED261B">
        <w:rPr>
          <w:bCs/>
        </w:rPr>
        <w:t>deposit return scheme (DRS). The proposed scheme introduce</w:t>
      </w:r>
      <w:r w:rsidR="008D6C30">
        <w:rPr>
          <w:bCs/>
        </w:rPr>
        <w:t xml:space="preserve">s </w:t>
      </w:r>
      <w:r w:rsidRPr="00ED261B">
        <w:rPr>
          <w:bCs/>
        </w:rPr>
        <w:t xml:space="preserve">a refundable deposit charge for in-scope single-use drinks containers and supplier-based obligations to fulfil certain collection obligations directly or indirectly. Similar schemes are being developed for England and Wales. </w:t>
      </w:r>
    </w:p>
    <w:p w14:paraId="73C7D7A5" w14:textId="591356A0" w:rsidR="002C43D6" w:rsidRPr="00184F0B" w:rsidRDefault="002C43D6" w:rsidP="00ED261B">
      <w:pPr>
        <w:pStyle w:val="NormalWeb"/>
        <w:shd w:val="clear" w:color="auto" w:fill="FFFFFF"/>
        <w:spacing w:before="0" w:beforeAutospacing="0" w:after="0" w:afterAutospacing="0" w:line="360" w:lineRule="auto"/>
        <w:ind w:firstLine="720"/>
        <w:jc w:val="both"/>
        <w:rPr>
          <w:bCs/>
        </w:rPr>
      </w:pPr>
      <w:r w:rsidRPr="00184F0B">
        <w:rPr>
          <w:bCs/>
        </w:rPr>
        <w:t xml:space="preserve">Having initially anticipated securing a single exemption to cover </w:t>
      </w:r>
      <w:r w:rsidR="00F83844">
        <w:rPr>
          <w:bCs/>
        </w:rPr>
        <w:t>both its</w:t>
      </w:r>
      <w:r w:rsidRPr="00184F0B">
        <w:rPr>
          <w:bCs/>
        </w:rPr>
        <w:t xml:space="preserve"> SUP </w:t>
      </w:r>
      <w:r w:rsidR="00D92B08">
        <w:rPr>
          <w:bCs/>
        </w:rPr>
        <w:t>and</w:t>
      </w:r>
      <w:r w:rsidRPr="00184F0B">
        <w:rPr>
          <w:bCs/>
        </w:rPr>
        <w:t xml:space="preserve"> DRS</w:t>
      </w:r>
      <w:r w:rsidR="00F83844">
        <w:rPr>
          <w:bCs/>
        </w:rPr>
        <w:t xml:space="preserve"> regulations</w:t>
      </w:r>
      <w:r w:rsidRPr="00184F0B">
        <w:rPr>
          <w:bCs/>
        </w:rPr>
        <w:t>, the Scottish government</w:t>
      </w:r>
      <w:r w:rsidR="00F83844">
        <w:rPr>
          <w:bCs/>
        </w:rPr>
        <w:t xml:space="preserve"> </w:t>
      </w:r>
      <w:r w:rsidRPr="00184F0B">
        <w:rPr>
          <w:bCs/>
        </w:rPr>
        <w:t xml:space="preserve">found itself required </w:t>
      </w:r>
      <w:r w:rsidR="00F83844">
        <w:rPr>
          <w:bCs/>
        </w:rPr>
        <w:t>to propose</w:t>
      </w:r>
      <w:r w:rsidRPr="00184F0B">
        <w:rPr>
          <w:bCs/>
        </w:rPr>
        <w:t xml:space="preserve"> a further, separate exemption for the latter. The Scottish government maintains that it duly </w:t>
      </w:r>
      <w:r w:rsidR="00F83844">
        <w:rPr>
          <w:bCs/>
        </w:rPr>
        <w:t>made</w:t>
      </w:r>
      <w:r w:rsidRPr="00184F0B">
        <w:rPr>
          <w:bCs/>
        </w:rPr>
        <w:t xml:space="preserve"> such a </w:t>
      </w:r>
      <w:r w:rsidR="00F83844">
        <w:rPr>
          <w:bCs/>
        </w:rPr>
        <w:t>proposal</w:t>
      </w:r>
      <w:r w:rsidRPr="00184F0B">
        <w:rPr>
          <w:bCs/>
        </w:rPr>
        <w:t xml:space="preserve"> in compliance with the terms of the</w:t>
      </w:r>
      <w:r w:rsidR="00F83844">
        <w:rPr>
          <w:bCs/>
        </w:rPr>
        <w:t xml:space="preserve"> intergovernmental</w:t>
      </w:r>
      <w:r w:rsidRPr="00184F0B">
        <w:rPr>
          <w:bCs/>
        </w:rPr>
        <w:t xml:space="preserve"> agreement on the exemption process</w:t>
      </w:r>
      <w:r w:rsidR="00886AAC">
        <w:rPr>
          <w:bCs/>
        </w:rPr>
        <w:t xml:space="preserve"> and has publicly expressed its frustration at the UK government’s apparent lack of engagement in dealing with this.</w:t>
      </w:r>
      <w:r w:rsidRPr="00184F0B">
        <w:rPr>
          <w:bCs/>
        </w:rPr>
        <w:t xml:space="preserve"> </w:t>
      </w:r>
      <w:r w:rsidR="00886AAC">
        <w:rPr>
          <w:bCs/>
        </w:rPr>
        <w:t>Procedurally</w:t>
      </w:r>
      <w:r w:rsidR="00F83844">
        <w:rPr>
          <w:bCs/>
        </w:rPr>
        <w:t xml:space="preserve">, </w:t>
      </w:r>
      <w:r w:rsidR="00886AAC">
        <w:rPr>
          <w:bCs/>
        </w:rPr>
        <w:t>it is notable that the agreed intergovernmental</w:t>
      </w:r>
      <w:r w:rsidRPr="00184F0B">
        <w:rPr>
          <w:bCs/>
        </w:rPr>
        <w:t xml:space="preserve"> process does not</w:t>
      </w:r>
      <w:r w:rsidR="00F83844">
        <w:rPr>
          <w:bCs/>
        </w:rPr>
        <w:t xml:space="preserve"> </w:t>
      </w:r>
      <w:r w:rsidRPr="00184F0B">
        <w:rPr>
          <w:bCs/>
        </w:rPr>
        <w:t xml:space="preserve">require the relevant </w:t>
      </w:r>
      <w:r w:rsidR="00F83844">
        <w:rPr>
          <w:bCs/>
        </w:rPr>
        <w:t xml:space="preserve">(here: Scottish) </w:t>
      </w:r>
      <w:r w:rsidRPr="00184F0B">
        <w:rPr>
          <w:bCs/>
        </w:rPr>
        <w:t xml:space="preserve">minister to submit a separate formal </w:t>
      </w:r>
      <w:r w:rsidR="00D92B08">
        <w:rPr>
          <w:bCs/>
        </w:rPr>
        <w:t>‘request’</w:t>
      </w:r>
      <w:r w:rsidRPr="00184F0B">
        <w:rPr>
          <w:bCs/>
        </w:rPr>
        <w:t xml:space="preserve"> to the Secretary of State</w:t>
      </w:r>
      <w:r w:rsidR="00F83844">
        <w:rPr>
          <w:bCs/>
        </w:rPr>
        <w:t xml:space="preserve"> once agreement has been reached</w:t>
      </w:r>
      <w:r w:rsidR="00D92B08">
        <w:rPr>
          <w:bCs/>
        </w:rPr>
        <w:t xml:space="preserve"> on its proposal</w:t>
      </w:r>
      <w:r w:rsidR="00F83844">
        <w:rPr>
          <w:bCs/>
        </w:rPr>
        <w:t xml:space="preserve"> through the relevant Common Framework</w:t>
      </w:r>
      <w:r w:rsidRPr="00184F0B">
        <w:rPr>
          <w:bCs/>
        </w:rPr>
        <w:t xml:space="preserve">. Under the agreed process, it </w:t>
      </w:r>
      <w:r w:rsidR="00F83844">
        <w:rPr>
          <w:bCs/>
        </w:rPr>
        <w:t>is</w:t>
      </w:r>
      <w:r w:rsidRPr="00184F0B">
        <w:rPr>
          <w:bCs/>
        </w:rPr>
        <w:t xml:space="preserve"> the responsibility of the Secretary of State</w:t>
      </w:r>
      <w:r w:rsidR="00F83844">
        <w:rPr>
          <w:bCs/>
        </w:rPr>
        <w:t xml:space="preserve"> (here:</w:t>
      </w:r>
      <w:r w:rsidRPr="00184F0B">
        <w:rPr>
          <w:bCs/>
        </w:rPr>
        <w:t xml:space="preserve"> for the Department for Environment, Food and Rural Affairs</w:t>
      </w:r>
      <w:r w:rsidR="00F83844">
        <w:rPr>
          <w:bCs/>
        </w:rPr>
        <w:t>)</w:t>
      </w:r>
      <w:r w:rsidRPr="00184F0B">
        <w:rPr>
          <w:bCs/>
        </w:rPr>
        <w:t xml:space="preserve"> to take forward the exemption </w:t>
      </w:r>
      <w:r w:rsidR="00F83844">
        <w:rPr>
          <w:bCs/>
        </w:rPr>
        <w:t>proposal</w:t>
      </w:r>
      <w:r w:rsidRPr="00184F0B">
        <w:rPr>
          <w:bCs/>
        </w:rPr>
        <w:t xml:space="preserve"> </w:t>
      </w:r>
      <w:r w:rsidR="00F83844">
        <w:rPr>
          <w:bCs/>
        </w:rPr>
        <w:t xml:space="preserve">as </w:t>
      </w:r>
      <w:r w:rsidRPr="00184F0B">
        <w:rPr>
          <w:bCs/>
        </w:rPr>
        <w:t xml:space="preserve">agreed between the four governments through the Common Framework. </w:t>
      </w:r>
    </w:p>
    <w:p w14:paraId="5536782A" w14:textId="1407E6E7" w:rsidR="00F86812" w:rsidRPr="00184F0B" w:rsidRDefault="00657707" w:rsidP="00F86812">
      <w:pPr>
        <w:pStyle w:val="NormalWeb"/>
        <w:shd w:val="clear" w:color="auto" w:fill="FFFFFF"/>
        <w:spacing w:before="0" w:beforeAutospacing="0" w:after="0" w:afterAutospacing="0" w:line="360" w:lineRule="auto"/>
        <w:ind w:firstLine="720"/>
        <w:jc w:val="both"/>
        <w:rPr>
          <w:bCs/>
        </w:rPr>
      </w:pPr>
      <w:r>
        <w:rPr>
          <w:bCs/>
        </w:rPr>
        <w:t>In</w:t>
      </w:r>
      <w:r w:rsidR="002C43D6" w:rsidRPr="0074566B">
        <w:rPr>
          <w:bCs/>
        </w:rPr>
        <w:t xml:space="preserve"> 2023, the Scottish government announced its </w:t>
      </w:r>
      <w:r w:rsidR="0043085F" w:rsidRPr="0074566B">
        <w:rPr>
          <w:bCs/>
        </w:rPr>
        <w:t>decision</w:t>
      </w:r>
      <w:r w:rsidR="002C43D6" w:rsidRPr="0074566B">
        <w:rPr>
          <w:bCs/>
        </w:rPr>
        <w:t xml:space="preserve"> to postpone the operation of the scheme until 1 March 2024 as a result of delays </w:t>
      </w:r>
      <w:r w:rsidR="00D92B08" w:rsidRPr="0074566B">
        <w:rPr>
          <w:bCs/>
        </w:rPr>
        <w:t>in</w:t>
      </w:r>
      <w:r w:rsidR="002C43D6" w:rsidRPr="0074566B">
        <w:rPr>
          <w:bCs/>
        </w:rPr>
        <w:t xml:space="preserve"> its effort</w:t>
      </w:r>
      <w:r w:rsidR="00D92B08" w:rsidRPr="0074566B">
        <w:rPr>
          <w:bCs/>
        </w:rPr>
        <w:t>s</w:t>
      </w:r>
      <w:r w:rsidR="002C43D6" w:rsidRPr="0074566B">
        <w:rPr>
          <w:bCs/>
        </w:rPr>
        <w:t xml:space="preserve"> to secure an exemption from the market access principles.</w:t>
      </w:r>
      <w:r w:rsidR="00F83844" w:rsidRPr="0074566B">
        <w:rPr>
          <w:rStyle w:val="FootnoteReference"/>
          <w:bCs/>
        </w:rPr>
        <w:footnoteReference w:id="105"/>
      </w:r>
      <w:r w:rsidR="002C43D6" w:rsidRPr="0074566B">
        <w:rPr>
          <w:bCs/>
        </w:rPr>
        <w:t xml:space="preserve"> In an indication of escalating tensions, one MSP (Ross Greer, Scottish Green Party) wrote to the Speaker of The House of Commons accusing the Secretary of State </w:t>
      </w:r>
      <w:r w:rsidR="00FD6EE7" w:rsidRPr="0074566B">
        <w:rPr>
          <w:bCs/>
        </w:rPr>
        <w:t>for</w:t>
      </w:r>
      <w:r w:rsidR="002C43D6" w:rsidRPr="0074566B">
        <w:rPr>
          <w:bCs/>
        </w:rPr>
        <w:t xml:space="preserve"> Scotland (Alistair Jack, Conservative) of misrepresenting the Scottish government’s engagement with DEFRA through the </w:t>
      </w:r>
      <w:r w:rsidR="002C43D6" w:rsidRPr="00DA44CF">
        <w:rPr>
          <w:bCs/>
        </w:rPr>
        <w:t>Common Frameworks programme to secure an exemption for its DRS legislation pursuant to s10 UKIMA</w:t>
      </w:r>
      <w:r w:rsidRPr="00DA44CF">
        <w:rPr>
          <w:bCs/>
        </w:rPr>
        <w:t>.</w:t>
      </w:r>
      <w:r w:rsidRPr="00DA44CF">
        <w:rPr>
          <w:rStyle w:val="FootnoteReference"/>
          <w:bCs/>
        </w:rPr>
        <w:footnoteReference w:id="106"/>
      </w:r>
      <w:r w:rsidR="00413E87" w:rsidRPr="00DA44CF">
        <w:rPr>
          <w:bCs/>
        </w:rPr>
        <w:t xml:space="preserve"> </w:t>
      </w:r>
      <w:r w:rsidR="002C43D6" w:rsidRPr="00DA44CF">
        <w:rPr>
          <w:bCs/>
        </w:rPr>
        <w:t>The Secretary of State is recorded as having reported to the House that the UK government had</w:t>
      </w:r>
      <w:r w:rsidR="002C43D6" w:rsidRPr="0074566B">
        <w:rPr>
          <w:bCs/>
        </w:rPr>
        <w:t xml:space="preserve"> not yet received an official ministerial</w:t>
      </w:r>
      <w:r w:rsidR="0043085F" w:rsidRPr="0074566B">
        <w:rPr>
          <w:bCs/>
        </w:rPr>
        <w:t xml:space="preserve"> ‘request'</w:t>
      </w:r>
      <w:r w:rsidR="002C43D6" w:rsidRPr="0074566B">
        <w:rPr>
          <w:bCs/>
        </w:rPr>
        <w:t xml:space="preserve"> from the Scottish government for such an exemption</w:t>
      </w:r>
      <w:r w:rsidR="0043085F" w:rsidRPr="0074566B">
        <w:rPr>
          <w:bCs/>
        </w:rPr>
        <w:t xml:space="preserve">. </w:t>
      </w:r>
      <w:r w:rsidR="002C43D6" w:rsidRPr="0074566B">
        <w:rPr>
          <w:bCs/>
        </w:rPr>
        <w:t xml:space="preserve">As Mr Greer </w:t>
      </w:r>
      <w:r w:rsidR="0043085F" w:rsidRPr="0074566B">
        <w:rPr>
          <w:bCs/>
        </w:rPr>
        <w:t>sought to remind</w:t>
      </w:r>
      <w:r w:rsidR="002C43D6" w:rsidRPr="0074566B">
        <w:rPr>
          <w:bCs/>
        </w:rPr>
        <w:t xml:space="preserve"> Secretary of State</w:t>
      </w:r>
      <w:r w:rsidR="0043085F" w:rsidRPr="0074566B">
        <w:rPr>
          <w:bCs/>
        </w:rPr>
        <w:t xml:space="preserve"> – echoing the (then</w:t>
      </w:r>
      <w:r w:rsidR="00D92B08" w:rsidRPr="0074566B">
        <w:rPr>
          <w:bCs/>
        </w:rPr>
        <w:t>)</w:t>
      </w:r>
      <w:r w:rsidR="0043085F" w:rsidRPr="0074566B">
        <w:rPr>
          <w:bCs/>
        </w:rPr>
        <w:t xml:space="preserve"> First Minister’s correspondence to the </w:t>
      </w:r>
      <w:r w:rsidR="0043085F" w:rsidRPr="0074566B">
        <w:rPr>
          <w:bCs/>
        </w:rPr>
        <w:lastRenderedPageBreak/>
        <w:t>Prime Minister</w:t>
      </w:r>
      <w:r w:rsidR="0043085F" w:rsidRPr="0074566B">
        <w:rPr>
          <w:rStyle w:val="FootnoteReference"/>
          <w:bCs/>
        </w:rPr>
        <w:footnoteReference w:id="107"/>
      </w:r>
      <w:r w:rsidR="004208D8">
        <w:rPr>
          <w:bCs/>
        </w:rPr>
        <w:t xml:space="preserve"> </w:t>
      </w:r>
      <w:r w:rsidR="004208D8" w:rsidRPr="0074566B">
        <w:rPr>
          <w:bCs/>
        </w:rPr>
        <w:t>–</w:t>
      </w:r>
      <w:r w:rsidR="004208D8">
        <w:rPr>
          <w:bCs/>
        </w:rPr>
        <w:t xml:space="preserve"> </w:t>
      </w:r>
      <w:r w:rsidR="002C43D6" w:rsidRPr="0074566B">
        <w:rPr>
          <w:bCs/>
        </w:rPr>
        <w:t>the agreed intergovernmental process imposes no such procedural requirement.</w:t>
      </w:r>
      <w:r w:rsidR="00F86812" w:rsidRPr="0074566B">
        <w:rPr>
          <w:bCs/>
        </w:rPr>
        <w:t xml:space="preserve"> </w:t>
      </w:r>
      <w:r w:rsidR="001E3B74">
        <w:rPr>
          <w:bCs/>
        </w:rPr>
        <w:t>Subsequentl</w:t>
      </w:r>
      <w:r w:rsidR="004208D8">
        <w:rPr>
          <w:bCs/>
        </w:rPr>
        <w:t>y</w:t>
      </w:r>
      <w:r w:rsidR="00F86812" w:rsidRPr="0074566B">
        <w:rPr>
          <w:bCs/>
        </w:rPr>
        <w:t>, in a move that the Scottish First Minister</w:t>
      </w:r>
      <w:r w:rsidR="00D92B08" w:rsidRPr="0074566B">
        <w:rPr>
          <w:bCs/>
        </w:rPr>
        <w:t>, Humza Yousaf (SNP),</w:t>
      </w:r>
      <w:r w:rsidR="00F86812" w:rsidRPr="0074566B">
        <w:rPr>
          <w:bCs/>
        </w:rPr>
        <w:t xml:space="preserve"> condemned as a ‘democratic outrage,’</w:t>
      </w:r>
      <w:r w:rsidR="00BB0C3D" w:rsidRPr="0074566B">
        <w:rPr>
          <w:rStyle w:val="FootnoteReference"/>
          <w:bCs/>
        </w:rPr>
        <w:footnoteReference w:id="108"/>
      </w:r>
      <w:r w:rsidR="00F86812" w:rsidRPr="0074566B">
        <w:rPr>
          <w:bCs/>
        </w:rPr>
        <w:t xml:space="preserve"> the UK government announced that it would only partially exempt the DRS from the application of the market access principles, citing a need </w:t>
      </w:r>
      <w:r w:rsidR="00BB0C3D" w:rsidRPr="0074566B">
        <w:rPr>
          <w:bCs/>
        </w:rPr>
        <w:t>to align the Scottish scheme with its own proposals for England and Wales.</w:t>
      </w:r>
      <w:r w:rsidR="00BB0C3D" w:rsidRPr="0074566B">
        <w:rPr>
          <w:rStyle w:val="FootnoteReference"/>
          <w:bCs/>
        </w:rPr>
        <w:footnoteReference w:id="109"/>
      </w:r>
      <w:r w:rsidR="00BB0C3D" w:rsidRPr="0074566B">
        <w:rPr>
          <w:bCs/>
        </w:rPr>
        <w:t xml:space="preserve"> Without an exemption, the DRS would be confined to in-scope drinks containers produced within the Scottish market</w:t>
      </w:r>
      <w:r w:rsidR="00D92B08" w:rsidRPr="0074566B">
        <w:rPr>
          <w:bCs/>
        </w:rPr>
        <w:t xml:space="preserve">, resulting in additional costs for Scottish producers and consumers should a lesser onerous scheme be introduced </w:t>
      </w:r>
      <w:r w:rsidR="002812E4" w:rsidRPr="0074566B">
        <w:rPr>
          <w:bCs/>
        </w:rPr>
        <w:t>to cover the rest of the UK market.</w:t>
      </w:r>
    </w:p>
    <w:p w14:paraId="6BDD7FFF" w14:textId="6AC8EB5C" w:rsidR="002C43D6" w:rsidRPr="00184F0B" w:rsidRDefault="002C43D6" w:rsidP="002C43D6">
      <w:pPr>
        <w:pStyle w:val="NormalWeb"/>
        <w:shd w:val="clear" w:color="auto" w:fill="FFFFFF"/>
        <w:spacing w:before="0" w:beforeAutospacing="0" w:after="0" w:afterAutospacing="0" w:line="360" w:lineRule="auto"/>
        <w:ind w:firstLine="720"/>
        <w:jc w:val="both"/>
        <w:rPr>
          <w:bCs/>
        </w:rPr>
      </w:pPr>
      <w:r w:rsidRPr="00184F0B">
        <w:rPr>
          <w:bCs/>
        </w:rPr>
        <w:t xml:space="preserve">The Scottish government’s </w:t>
      </w:r>
      <w:r w:rsidR="00F1033B">
        <w:rPr>
          <w:bCs/>
        </w:rPr>
        <w:t>efforts</w:t>
      </w:r>
      <w:r w:rsidRPr="00184F0B">
        <w:rPr>
          <w:bCs/>
        </w:rPr>
        <w:t xml:space="preserve"> to secure an exemption for the DRS </w:t>
      </w:r>
      <w:r w:rsidR="00F1033B">
        <w:rPr>
          <w:bCs/>
        </w:rPr>
        <w:t>captures the emerging dynamics of intra-UK trade relations post-Brexit</w:t>
      </w:r>
      <w:r w:rsidRPr="00184F0B">
        <w:rPr>
          <w:bCs/>
        </w:rPr>
        <w:t xml:space="preserve">. Rather than evidence an emerging culture of cooperative intergovernmental decision-making through agreed Frameworks and exemption processes, the DRS experience </w:t>
      </w:r>
      <w:r w:rsidR="00F1033B">
        <w:rPr>
          <w:bCs/>
        </w:rPr>
        <w:t xml:space="preserve">points to a </w:t>
      </w:r>
      <w:r w:rsidRPr="00184F0B">
        <w:rPr>
          <w:bCs/>
        </w:rPr>
        <w:t xml:space="preserve">model of intergovernmental relations </w:t>
      </w:r>
      <w:r w:rsidR="00F1033B">
        <w:rPr>
          <w:bCs/>
        </w:rPr>
        <w:t>that remains principally characterised by</w:t>
      </w:r>
      <w:r w:rsidRPr="00184F0B">
        <w:rPr>
          <w:bCs/>
        </w:rPr>
        <w:t xml:space="preserve"> bilateral confrontation</w:t>
      </w:r>
      <w:r w:rsidR="00F1033B">
        <w:rPr>
          <w:bCs/>
        </w:rPr>
        <w:t>s</w:t>
      </w:r>
      <w:r w:rsidRPr="00184F0B">
        <w:rPr>
          <w:bCs/>
        </w:rPr>
        <w:t xml:space="preserve"> between the UK government and the government of one of the devolved nations.</w:t>
      </w:r>
    </w:p>
    <w:p w14:paraId="4AE3F6C2" w14:textId="2B4ED76E" w:rsidR="0092786C" w:rsidRPr="00DA1CA7" w:rsidRDefault="00F1033B" w:rsidP="00DA1CA7">
      <w:pPr>
        <w:pStyle w:val="NormalWeb"/>
        <w:shd w:val="clear" w:color="auto" w:fill="FFFFFF"/>
        <w:spacing w:before="0" w:beforeAutospacing="0" w:after="0" w:line="360" w:lineRule="auto"/>
        <w:ind w:firstLine="720"/>
        <w:jc w:val="both"/>
        <w:rPr>
          <w:bCs/>
        </w:rPr>
      </w:pPr>
      <w:r>
        <w:rPr>
          <w:bCs/>
        </w:rPr>
        <w:t>P</w:t>
      </w:r>
      <w:r w:rsidR="002C43D6" w:rsidRPr="00184F0B">
        <w:rPr>
          <w:bCs/>
        </w:rPr>
        <w:t xml:space="preserve">olitical tension between the UK and devolved governments </w:t>
      </w:r>
      <w:r>
        <w:rPr>
          <w:bCs/>
        </w:rPr>
        <w:t>is also visible</w:t>
      </w:r>
      <w:r w:rsidR="002812E4">
        <w:rPr>
          <w:bCs/>
        </w:rPr>
        <w:t xml:space="preserve"> in other areas, notably</w:t>
      </w:r>
      <w:r>
        <w:rPr>
          <w:bCs/>
        </w:rPr>
        <w:t xml:space="preserve"> </w:t>
      </w:r>
      <w:r w:rsidR="002C43D6" w:rsidRPr="00184F0B">
        <w:rPr>
          <w:bCs/>
        </w:rPr>
        <w:t xml:space="preserve">in relation to </w:t>
      </w:r>
      <w:r w:rsidR="0014535F">
        <w:rPr>
          <w:bCs/>
        </w:rPr>
        <w:t xml:space="preserve">the </w:t>
      </w:r>
      <w:r w:rsidR="002C43D6" w:rsidRPr="00184F0B">
        <w:rPr>
          <w:bCs/>
        </w:rPr>
        <w:t>UK government’s introduction of the Genetic Technology (Precision Breeding) Bill.</w:t>
      </w:r>
      <w:r w:rsidR="002C43D6">
        <w:rPr>
          <w:rStyle w:val="FootnoteReference"/>
          <w:bCs/>
        </w:rPr>
        <w:footnoteReference w:id="110"/>
      </w:r>
      <w:r w:rsidR="002C43D6" w:rsidRPr="00184F0B">
        <w:rPr>
          <w:bCs/>
        </w:rPr>
        <w:t xml:space="preserve"> That Bill (now enacted)</w:t>
      </w:r>
      <w:r w:rsidR="002C43D6" w:rsidRPr="00184F0B">
        <w:rPr>
          <w:rStyle w:val="FootnoteReference"/>
          <w:bCs/>
        </w:rPr>
        <w:footnoteReference w:id="111"/>
      </w:r>
      <w:r w:rsidR="002C43D6" w:rsidRPr="00184F0B">
        <w:rPr>
          <w:bCs/>
        </w:rPr>
        <w:t xml:space="preserve"> </w:t>
      </w:r>
      <w:r w:rsidR="001E5347" w:rsidRPr="001E5347">
        <w:rPr>
          <w:bCs/>
        </w:rPr>
        <w:t>introduces legislative changes for England only, removing restrictions on the development of certain types of precision breeding technologies. The Scottish and Welsh governments alleged that the UK government had only informed them of the Bill’s content immediately prior to its introduction in an alleged breach of a political obligation to manage potential divergence through the Common Frameworks</w:t>
      </w:r>
      <w:bookmarkStart w:id="0" w:name="_GoBack"/>
      <w:bookmarkEnd w:id="0"/>
      <w:r w:rsidR="002C43D6" w:rsidRPr="00184F0B">
        <w:rPr>
          <w:bCs/>
        </w:rPr>
        <w:t>.</w:t>
      </w:r>
      <w:r w:rsidR="00D96E29">
        <w:rPr>
          <w:bCs/>
        </w:rPr>
        <w:t xml:space="preserve"> </w:t>
      </w:r>
      <w:r w:rsidR="002C43D6" w:rsidRPr="00184F0B">
        <w:rPr>
          <w:bCs/>
        </w:rPr>
        <w:t>The Scottish and Welsh governments alleged that the UK government had only informed them of the Bill’s content immediately prior to its introduction in an alleged breach of a political obligation to do so. An amendment was tabled (but subsequently withdrawn) at committee stage to prevent the operative parts of the Bill coming into force until a Common Framework agreement on precision breeding has been agreed between the UK government and the Scottish and Welsh governments.</w:t>
      </w:r>
      <w:r w:rsidR="002C43D6" w:rsidRPr="00184F0B">
        <w:rPr>
          <w:rStyle w:val="FootnoteReference"/>
          <w:bCs/>
        </w:rPr>
        <w:footnoteReference w:id="112"/>
      </w:r>
      <w:r w:rsidR="002C43D6" w:rsidRPr="00184F0B">
        <w:rPr>
          <w:bCs/>
        </w:rPr>
        <w:t xml:space="preserve"> Responding committee stage, the Minister for Farming, Fisheries </w:t>
      </w:r>
      <w:r w:rsidR="002C43D6" w:rsidRPr="00184F0B">
        <w:rPr>
          <w:bCs/>
        </w:rPr>
        <w:lastRenderedPageBreak/>
        <w:t>and Food (Victoria Prentis, Conservative) maintained that the Bill was out of scope given that the four administrations had jointly resolved not to adopt a Common Framework on GMO technologies.</w:t>
      </w:r>
      <w:r w:rsidR="002C43D6" w:rsidRPr="00184F0B">
        <w:rPr>
          <w:rStyle w:val="FootnoteReference"/>
          <w:bCs/>
        </w:rPr>
        <w:footnoteReference w:id="113"/>
      </w:r>
      <w:r w:rsidR="002C43D6" w:rsidRPr="00184F0B">
        <w:rPr>
          <w:bCs/>
        </w:rPr>
        <w:t xml:space="preserve"> </w:t>
      </w:r>
    </w:p>
    <w:p w14:paraId="018CBDF2" w14:textId="10F61082" w:rsidR="002C43D6" w:rsidRPr="00184F0B" w:rsidRDefault="002C43D6" w:rsidP="002C43D6">
      <w:pPr>
        <w:pStyle w:val="NormalWeb"/>
        <w:shd w:val="clear" w:color="auto" w:fill="FFFFFF"/>
        <w:spacing w:before="0" w:beforeAutospacing="0" w:after="0" w:afterAutospacing="0" w:line="360" w:lineRule="auto"/>
        <w:jc w:val="both"/>
        <w:rPr>
          <w:b/>
        </w:rPr>
      </w:pPr>
      <w:r w:rsidRPr="004B1F92">
        <w:rPr>
          <w:b/>
        </w:rPr>
        <w:t xml:space="preserve">4. </w:t>
      </w:r>
      <w:r w:rsidR="00AC7D52">
        <w:rPr>
          <w:b/>
        </w:rPr>
        <w:t xml:space="preserve">The </w:t>
      </w:r>
      <w:r w:rsidR="001B5B5C">
        <w:rPr>
          <w:b/>
        </w:rPr>
        <w:t xml:space="preserve">Common Frameworks: </w:t>
      </w:r>
      <w:r w:rsidRPr="004B1F92">
        <w:rPr>
          <w:b/>
        </w:rPr>
        <w:t>Untapped Potential?</w:t>
      </w:r>
    </w:p>
    <w:p w14:paraId="0F5FA2F1" w14:textId="77777777" w:rsidR="002C43D6" w:rsidRPr="00184F0B" w:rsidRDefault="002C43D6" w:rsidP="002C43D6">
      <w:pPr>
        <w:spacing w:after="0" w:line="240" w:lineRule="auto"/>
        <w:jc w:val="both"/>
        <w:rPr>
          <w:rFonts w:ascii="Times New Roman" w:eastAsia="Times New Roman" w:hAnsi="Times New Roman" w:cs="Times New Roman"/>
          <w:color w:val="212121"/>
          <w:sz w:val="24"/>
          <w:szCs w:val="24"/>
          <w:lang w:eastAsia="en-GB"/>
        </w:rPr>
      </w:pPr>
    </w:p>
    <w:p w14:paraId="45496B2C" w14:textId="1CC349EB" w:rsidR="002C43D6" w:rsidRPr="00184F0B" w:rsidRDefault="002C43D6" w:rsidP="002C43D6">
      <w:pPr>
        <w:spacing w:after="0" w:line="360" w:lineRule="auto"/>
        <w:jc w:val="both"/>
        <w:rPr>
          <w:rFonts w:ascii="Times New Roman" w:eastAsia="Times New Roman" w:hAnsi="Times New Roman" w:cs="Times New Roman"/>
          <w:color w:val="212121"/>
          <w:sz w:val="24"/>
          <w:szCs w:val="24"/>
          <w:lang w:eastAsia="en-GB"/>
        </w:rPr>
      </w:pPr>
      <w:r w:rsidRPr="00BC2DFB">
        <w:rPr>
          <w:rFonts w:ascii="Times New Roman" w:eastAsia="Times New Roman" w:hAnsi="Times New Roman" w:cs="Times New Roman"/>
          <w:color w:val="212121"/>
          <w:sz w:val="24"/>
          <w:szCs w:val="24"/>
          <w:lang w:eastAsia="en-GB"/>
        </w:rPr>
        <w:t xml:space="preserve">The Common Frameworks </w:t>
      </w:r>
      <w:r>
        <w:rPr>
          <w:rFonts w:ascii="Times New Roman" w:eastAsia="Times New Roman" w:hAnsi="Times New Roman" w:cs="Times New Roman"/>
          <w:color w:val="212121"/>
          <w:sz w:val="24"/>
          <w:szCs w:val="24"/>
          <w:lang w:eastAsia="en-GB"/>
        </w:rPr>
        <w:t>exhibit</w:t>
      </w:r>
      <w:r w:rsidRPr="00BC2DFB">
        <w:rPr>
          <w:rFonts w:ascii="Times New Roman" w:eastAsia="Times New Roman" w:hAnsi="Times New Roman" w:cs="Times New Roman"/>
          <w:color w:val="212121"/>
          <w:sz w:val="24"/>
          <w:szCs w:val="24"/>
          <w:lang w:eastAsia="en-GB"/>
        </w:rPr>
        <w:t xml:space="preserve"> </w:t>
      </w:r>
      <w:r w:rsidR="0071547E">
        <w:rPr>
          <w:rFonts w:ascii="Times New Roman" w:eastAsia="Times New Roman" w:hAnsi="Times New Roman" w:cs="Times New Roman"/>
          <w:color w:val="212121"/>
          <w:sz w:val="24"/>
          <w:szCs w:val="24"/>
          <w:lang w:eastAsia="en-GB"/>
        </w:rPr>
        <w:t>clear</w:t>
      </w:r>
      <w:r w:rsidRPr="00BC2DFB">
        <w:rPr>
          <w:rFonts w:ascii="Times New Roman" w:eastAsia="Times New Roman" w:hAnsi="Times New Roman" w:cs="Times New Roman"/>
          <w:color w:val="212121"/>
          <w:sz w:val="24"/>
          <w:szCs w:val="24"/>
          <w:lang w:eastAsia="en-GB"/>
        </w:rPr>
        <w:t xml:space="preserve"> potential as instruments of positive </w:t>
      </w:r>
      <w:r w:rsidR="002812E4">
        <w:rPr>
          <w:rFonts w:ascii="Times New Roman" w:eastAsia="Times New Roman" w:hAnsi="Times New Roman" w:cs="Times New Roman"/>
          <w:color w:val="212121"/>
          <w:sz w:val="24"/>
          <w:szCs w:val="24"/>
          <w:lang w:eastAsia="en-GB"/>
        </w:rPr>
        <w:t>harmonisation</w:t>
      </w:r>
      <w:r w:rsidRPr="00BC2DFB">
        <w:rPr>
          <w:rFonts w:ascii="Times New Roman" w:eastAsia="Times New Roman" w:hAnsi="Times New Roman" w:cs="Times New Roman"/>
          <w:color w:val="212121"/>
          <w:sz w:val="24"/>
          <w:szCs w:val="24"/>
          <w:lang w:eastAsia="en-GB"/>
        </w:rPr>
        <w:t xml:space="preserve">. As outlined, they establish, by consensus, </w:t>
      </w:r>
      <w:r w:rsidR="00FF424F">
        <w:rPr>
          <w:rFonts w:ascii="Times New Roman" w:eastAsia="Times New Roman" w:hAnsi="Times New Roman" w:cs="Times New Roman"/>
          <w:color w:val="212121"/>
          <w:sz w:val="24"/>
          <w:szCs w:val="24"/>
          <w:lang w:eastAsia="en-GB"/>
        </w:rPr>
        <w:t xml:space="preserve">possible </w:t>
      </w:r>
      <w:r w:rsidRPr="00BC2DFB">
        <w:rPr>
          <w:rFonts w:ascii="Times New Roman" w:eastAsia="Times New Roman" w:hAnsi="Times New Roman" w:cs="Times New Roman"/>
          <w:color w:val="212121"/>
          <w:sz w:val="24"/>
          <w:szCs w:val="24"/>
          <w:lang w:eastAsia="en-GB"/>
        </w:rPr>
        <w:t xml:space="preserve">mechanisms for the UK and devolved governments to coordinate policymaking across the four nations of the UK. </w:t>
      </w:r>
      <w:r w:rsidR="00FF424F">
        <w:rPr>
          <w:rFonts w:ascii="Times New Roman" w:eastAsia="Times New Roman" w:hAnsi="Times New Roman" w:cs="Times New Roman"/>
          <w:color w:val="212121"/>
          <w:sz w:val="24"/>
          <w:szCs w:val="24"/>
          <w:lang w:eastAsia="en-GB"/>
        </w:rPr>
        <w:t>However, a</w:t>
      </w:r>
      <w:r w:rsidRPr="00BC2DFB">
        <w:rPr>
          <w:rFonts w:ascii="Times New Roman" w:eastAsia="Times New Roman" w:hAnsi="Times New Roman" w:cs="Times New Roman"/>
          <w:color w:val="212121"/>
          <w:sz w:val="24"/>
          <w:szCs w:val="24"/>
          <w:lang w:eastAsia="en-GB"/>
        </w:rPr>
        <w:t xml:space="preserve"> review of initial practice indicates that the Common Frameworks remain some way off reaching maturity as positive </w:t>
      </w:r>
      <w:r w:rsidR="002812E4">
        <w:rPr>
          <w:rFonts w:ascii="Times New Roman" w:eastAsia="Times New Roman" w:hAnsi="Times New Roman" w:cs="Times New Roman"/>
          <w:color w:val="212121"/>
          <w:sz w:val="24"/>
          <w:szCs w:val="24"/>
          <w:lang w:eastAsia="en-GB"/>
        </w:rPr>
        <w:t>harmonisation</w:t>
      </w:r>
      <w:r w:rsidRPr="00BC2DFB">
        <w:rPr>
          <w:rFonts w:ascii="Times New Roman" w:eastAsia="Times New Roman" w:hAnsi="Times New Roman" w:cs="Times New Roman"/>
          <w:color w:val="212121"/>
          <w:sz w:val="24"/>
          <w:szCs w:val="24"/>
          <w:lang w:eastAsia="en-GB"/>
        </w:rPr>
        <w:t xml:space="preserve"> tools in relation to domestic market regulation (see Section 2, above).</w:t>
      </w:r>
      <w:r w:rsidR="00B067B6">
        <w:rPr>
          <w:rStyle w:val="FootnoteReference"/>
          <w:rFonts w:ascii="Times New Roman" w:eastAsia="Times New Roman" w:hAnsi="Times New Roman" w:cs="Times New Roman"/>
          <w:color w:val="212121"/>
          <w:sz w:val="24"/>
          <w:szCs w:val="24"/>
          <w:lang w:eastAsia="en-GB"/>
        </w:rPr>
        <w:footnoteReference w:id="114"/>
      </w:r>
      <w:r w:rsidRPr="00BC2DFB">
        <w:rPr>
          <w:rFonts w:ascii="Times New Roman" w:eastAsia="Times New Roman" w:hAnsi="Times New Roman" w:cs="Times New Roman"/>
          <w:color w:val="212121"/>
          <w:sz w:val="24"/>
          <w:szCs w:val="24"/>
          <w:lang w:eastAsia="en-GB"/>
        </w:rPr>
        <w:t xml:space="preserve"> </w:t>
      </w:r>
      <w:r w:rsidRPr="00184F0B">
        <w:rPr>
          <w:rFonts w:ascii="Times New Roman" w:eastAsia="Times New Roman" w:hAnsi="Times New Roman" w:cs="Times New Roman"/>
          <w:color w:val="212121"/>
          <w:sz w:val="24"/>
          <w:szCs w:val="24"/>
          <w:lang w:eastAsia="en-GB"/>
        </w:rPr>
        <w:t xml:space="preserve">The criticism here is not that the Frameworks </w:t>
      </w:r>
      <w:r>
        <w:rPr>
          <w:rFonts w:ascii="Times New Roman" w:eastAsia="Times New Roman" w:hAnsi="Times New Roman" w:cs="Times New Roman"/>
          <w:color w:val="212121"/>
          <w:sz w:val="24"/>
          <w:szCs w:val="24"/>
          <w:lang w:eastAsia="en-GB"/>
        </w:rPr>
        <w:t>are</w:t>
      </w:r>
      <w:r w:rsidRPr="00184F0B">
        <w:rPr>
          <w:rFonts w:ascii="Times New Roman" w:eastAsia="Times New Roman" w:hAnsi="Times New Roman" w:cs="Times New Roman"/>
          <w:color w:val="212121"/>
          <w:sz w:val="24"/>
          <w:szCs w:val="24"/>
          <w:lang w:eastAsia="en-GB"/>
        </w:rPr>
        <w:t xml:space="preserve"> </w:t>
      </w:r>
      <w:r>
        <w:rPr>
          <w:rFonts w:ascii="Times New Roman" w:eastAsia="Times New Roman" w:hAnsi="Times New Roman" w:cs="Times New Roman"/>
          <w:color w:val="212121"/>
          <w:sz w:val="24"/>
          <w:szCs w:val="24"/>
          <w:lang w:eastAsia="en-GB"/>
        </w:rPr>
        <w:t xml:space="preserve">yet to emerge as forums for </w:t>
      </w:r>
      <w:r w:rsidRPr="00184F0B">
        <w:rPr>
          <w:rFonts w:ascii="Times New Roman" w:eastAsia="Times New Roman" w:hAnsi="Times New Roman" w:cs="Times New Roman"/>
          <w:color w:val="212121"/>
          <w:sz w:val="24"/>
          <w:szCs w:val="24"/>
          <w:lang w:eastAsia="en-GB"/>
        </w:rPr>
        <w:t xml:space="preserve">joint agreement on </w:t>
      </w:r>
      <w:r w:rsidRPr="00184F0B">
        <w:rPr>
          <w:rFonts w:ascii="Times New Roman" w:eastAsia="Times New Roman" w:hAnsi="Times New Roman" w:cs="Times New Roman"/>
          <w:iCs/>
          <w:color w:val="212121"/>
          <w:sz w:val="24"/>
          <w:szCs w:val="24"/>
          <w:lang w:eastAsia="en-GB"/>
        </w:rPr>
        <w:t>uniform</w:t>
      </w:r>
      <w:r w:rsidR="00FF424F">
        <w:rPr>
          <w:rFonts w:ascii="Times New Roman" w:eastAsia="Times New Roman" w:hAnsi="Times New Roman" w:cs="Times New Roman"/>
          <w:iCs/>
          <w:color w:val="212121"/>
          <w:sz w:val="24"/>
          <w:szCs w:val="24"/>
          <w:lang w:eastAsia="en-GB"/>
        </w:rPr>
        <w:t xml:space="preserve"> UK-wide</w:t>
      </w:r>
      <w:r w:rsidRPr="00184F0B">
        <w:rPr>
          <w:rFonts w:ascii="Times New Roman" w:eastAsia="Times New Roman" w:hAnsi="Times New Roman" w:cs="Times New Roman"/>
          <w:color w:val="212121"/>
          <w:sz w:val="24"/>
          <w:szCs w:val="24"/>
          <w:lang w:eastAsia="en-GB"/>
        </w:rPr>
        <w:t xml:space="preserve"> regulatory standards</w:t>
      </w:r>
      <w:r w:rsidR="00FF424F">
        <w:rPr>
          <w:rFonts w:ascii="Times New Roman" w:eastAsia="Times New Roman" w:hAnsi="Times New Roman" w:cs="Times New Roman"/>
          <w:color w:val="212121"/>
          <w:sz w:val="24"/>
          <w:szCs w:val="24"/>
          <w:lang w:eastAsia="en-GB"/>
        </w:rPr>
        <w:t xml:space="preserve"> </w:t>
      </w:r>
      <w:r w:rsidRPr="00184F0B">
        <w:rPr>
          <w:rFonts w:ascii="Times New Roman" w:eastAsia="Times New Roman" w:hAnsi="Times New Roman" w:cs="Times New Roman"/>
          <w:color w:val="212121"/>
          <w:sz w:val="24"/>
          <w:szCs w:val="24"/>
          <w:lang w:eastAsia="en-GB"/>
        </w:rPr>
        <w:t>with respect</w:t>
      </w:r>
      <w:r w:rsidR="00FF424F">
        <w:rPr>
          <w:rFonts w:ascii="Times New Roman" w:eastAsia="Times New Roman" w:hAnsi="Times New Roman" w:cs="Times New Roman"/>
          <w:color w:val="212121"/>
          <w:sz w:val="24"/>
          <w:szCs w:val="24"/>
          <w:lang w:eastAsia="en-GB"/>
        </w:rPr>
        <w:t>,</w:t>
      </w:r>
      <w:r w:rsidR="00FF424F" w:rsidRPr="00184F0B">
        <w:rPr>
          <w:rFonts w:ascii="Times New Roman" w:eastAsia="Times New Roman" w:hAnsi="Times New Roman" w:cs="Times New Roman"/>
          <w:color w:val="212121"/>
          <w:sz w:val="24"/>
          <w:szCs w:val="24"/>
          <w:lang w:eastAsia="en-GB"/>
        </w:rPr>
        <w:t xml:space="preserve"> for example,</w:t>
      </w:r>
      <w:r w:rsidRPr="00184F0B">
        <w:rPr>
          <w:rFonts w:ascii="Times New Roman" w:eastAsia="Times New Roman" w:hAnsi="Times New Roman" w:cs="Times New Roman"/>
          <w:color w:val="212121"/>
          <w:sz w:val="24"/>
          <w:szCs w:val="24"/>
          <w:lang w:eastAsia="en-GB"/>
        </w:rPr>
        <w:t xml:space="preserve"> to single use plastics or the introduction of deposit return schemes. Uniformity is rarely, if ever, the prescribed end goal of positive </w:t>
      </w:r>
      <w:r w:rsidR="002812E4">
        <w:rPr>
          <w:rFonts w:ascii="Times New Roman" w:eastAsia="Times New Roman" w:hAnsi="Times New Roman" w:cs="Times New Roman"/>
          <w:color w:val="212121"/>
          <w:sz w:val="24"/>
          <w:szCs w:val="24"/>
          <w:lang w:eastAsia="en-GB"/>
        </w:rPr>
        <w:t>harmonisation</w:t>
      </w:r>
      <w:r w:rsidRPr="00184F0B">
        <w:rPr>
          <w:rFonts w:ascii="Times New Roman" w:eastAsia="Times New Roman" w:hAnsi="Times New Roman" w:cs="Times New Roman"/>
          <w:color w:val="212121"/>
          <w:sz w:val="24"/>
          <w:szCs w:val="24"/>
          <w:lang w:eastAsia="en-GB"/>
        </w:rPr>
        <w:t xml:space="preserve"> within any system of multilevel governance.</w:t>
      </w:r>
      <w:r w:rsidR="00B1465E">
        <w:rPr>
          <w:rStyle w:val="FootnoteReference"/>
          <w:rFonts w:ascii="Times New Roman" w:eastAsia="Times New Roman" w:hAnsi="Times New Roman" w:cs="Times New Roman"/>
          <w:color w:val="212121"/>
          <w:sz w:val="24"/>
          <w:szCs w:val="24"/>
          <w:lang w:eastAsia="en-GB"/>
        </w:rPr>
        <w:footnoteReference w:id="115"/>
      </w:r>
      <w:r w:rsidRPr="00184F0B">
        <w:rPr>
          <w:rFonts w:ascii="Times New Roman" w:eastAsia="Times New Roman" w:hAnsi="Times New Roman" w:cs="Times New Roman"/>
          <w:color w:val="212121"/>
          <w:sz w:val="24"/>
          <w:szCs w:val="24"/>
          <w:lang w:eastAsia="en-GB"/>
        </w:rPr>
        <w:t xml:space="preserve"> Rather, with the Common Frameworks</w:t>
      </w:r>
      <w:r w:rsidR="0071547E">
        <w:rPr>
          <w:rFonts w:ascii="Times New Roman" w:eastAsia="Times New Roman" w:hAnsi="Times New Roman" w:cs="Times New Roman"/>
          <w:color w:val="212121"/>
          <w:sz w:val="24"/>
          <w:szCs w:val="24"/>
          <w:lang w:eastAsia="en-GB"/>
        </w:rPr>
        <w:t>,</w:t>
      </w:r>
      <w:r w:rsidRPr="00184F0B">
        <w:rPr>
          <w:rFonts w:ascii="Times New Roman" w:eastAsia="Times New Roman" w:hAnsi="Times New Roman" w:cs="Times New Roman"/>
          <w:color w:val="212121"/>
          <w:sz w:val="24"/>
          <w:szCs w:val="24"/>
          <w:lang w:eastAsia="en-GB"/>
        </w:rPr>
        <w:t xml:space="preserve"> the concern is that these instruments may fall far short of their potential as tools</w:t>
      </w:r>
      <w:r w:rsidR="0071547E">
        <w:rPr>
          <w:rFonts w:ascii="Times New Roman" w:eastAsia="Times New Roman" w:hAnsi="Times New Roman" w:cs="Times New Roman"/>
          <w:color w:val="212121"/>
          <w:sz w:val="24"/>
          <w:szCs w:val="24"/>
          <w:lang w:eastAsia="en-GB"/>
        </w:rPr>
        <w:t xml:space="preserve"> simply</w:t>
      </w:r>
      <w:r w:rsidRPr="00184F0B">
        <w:rPr>
          <w:rFonts w:ascii="Times New Roman" w:eastAsia="Times New Roman" w:hAnsi="Times New Roman" w:cs="Times New Roman"/>
          <w:color w:val="212121"/>
          <w:sz w:val="24"/>
          <w:szCs w:val="24"/>
          <w:lang w:eastAsia="en-GB"/>
        </w:rPr>
        <w:t xml:space="preserve"> to </w:t>
      </w:r>
      <w:r>
        <w:rPr>
          <w:rFonts w:ascii="Times New Roman" w:eastAsia="Times New Roman" w:hAnsi="Times New Roman" w:cs="Times New Roman"/>
          <w:color w:val="212121"/>
          <w:sz w:val="24"/>
          <w:szCs w:val="24"/>
          <w:lang w:eastAsia="en-GB"/>
        </w:rPr>
        <w:t>coordinate (as opposed to unify)</w:t>
      </w:r>
      <w:r w:rsidRPr="00184F0B">
        <w:rPr>
          <w:rFonts w:ascii="Times New Roman" w:eastAsia="Times New Roman" w:hAnsi="Times New Roman" w:cs="Times New Roman"/>
          <w:color w:val="212121"/>
          <w:sz w:val="24"/>
          <w:szCs w:val="24"/>
          <w:lang w:eastAsia="en-GB"/>
        </w:rPr>
        <w:t xml:space="preserve"> divergent policy preferences </w:t>
      </w:r>
      <w:r w:rsidR="00FF424F">
        <w:rPr>
          <w:rFonts w:ascii="Times New Roman" w:eastAsia="Times New Roman" w:hAnsi="Times New Roman" w:cs="Times New Roman"/>
          <w:color w:val="212121"/>
          <w:sz w:val="24"/>
          <w:szCs w:val="24"/>
          <w:lang w:eastAsia="en-GB"/>
        </w:rPr>
        <w:t xml:space="preserve">throughout the UK </w:t>
      </w:r>
      <w:r w:rsidR="0071547E">
        <w:rPr>
          <w:rFonts w:ascii="Times New Roman" w:eastAsia="Times New Roman" w:hAnsi="Times New Roman" w:cs="Times New Roman"/>
          <w:color w:val="212121"/>
          <w:sz w:val="24"/>
          <w:szCs w:val="24"/>
          <w:lang w:eastAsia="en-GB"/>
        </w:rPr>
        <w:t>post-Brexit</w:t>
      </w:r>
      <w:r w:rsidRPr="00184F0B">
        <w:rPr>
          <w:rFonts w:ascii="Times New Roman" w:eastAsia="Times New Roman" w:hAnsi="Times New Roman" w:cs="Times New Roman"/>
          <w:color w:val="212121"/>
          <w:sz w:val="24"/>
          <w:szCs w:val="24"/>
          <w:lang w:eastAsia="en-GB"/>
        </w:rPr>
        <w:t>. As Section 2 outlined, the experience thus far points to their</w:t>
      </w:r>
      <w:r w:rsidR="00FF424F">
        <w:rPr>
          <w:rFonts w:ascii="Times New Roman" w:eastAsia="Times New Roman" w:hAnsi="Times New Roman" w:cs="Times New Roman"/>
          <w:color w:val="212121"/>
          <w:sz w:val="24"/>
          <w:szCs w:val="24"/>
          <w:lang w:eastAsia="en-GB"/>
        </w:rPr>
        <w:t xml:space="preserve"> </w:t>
      </w:r>
      <w:r w:rsidRPr="00184F0B">
        <w:rPr>
          <w:rFonts w:ascii="Times New Roman" w:eastAsia="Times New Roman" w:hAnsi="Times New Roman" w:cs="Times New Roman"/>
          <w:color w:val="212121"/>
          <w:sz w:val="24"/>
          <w:szCs w:val="24"/>
          <w:lang w:eastAsia="en-GB"/>
        </w:rPr>
        <w:t>functioning as</w:t>
      </w:r>
      <w:r w:rsidR="002812E4">
        <w:rPr>
          <w:rFonts w:ascii="Times New Roman" w:eastAsia="Times New Roman" w:hAnsi="Times New Roman" w:cs="Times New Roman"/>
          <w:color w:val="212121"/>
          <w:sz w:val="24"/>
          <w:szCs w:val="24"/>
          <w:lang w:eastAsia="en-GB"/>
        </w:rPr>
        <w:t xml:space="preserve"> little more than</w:t>
      </w:r>
      <w:r w:rsidRPr="00184F0B">
        <w:rPr>
          <w:rFonts w:ascii="Times New Roman" w:eastAsia="Times New Roman" w:hAnsi="Times New Roman" w:cs="Times New Roman"/>
          <w:color w:val="212121"/>
          <w:sz w:val="24"/>
          <w:szCs w:val="24"/>
          <w:lang w:eastAsia="en-GB"/>
        </w:rPr>
        <w:t xml:space="preserve"> mechanisms for the devolved governments simply to report (and defend) specific decisions on policy, rather than as forums for meaningful agreement on intra-UK policy coordination. </w:t>
      </w:r>
      <w:r w:rsidR="00FF424F">
        <w:rPr>
          <w:rFonts w:ascii="Times New Roman" w:eastAsia="Times New Roman" w:hAnsi="Times New Roman" w:cs="Times New Roman"/>
          <w:color w:val="212121"/>
          <w:sz w:val="24"/>
          <w:szCs w:val="24"/>
          <w:lang w:eastAsia="en-GB"/>
        </w:rPr>
        <w:t>Should that approach endure</w:t>
      </w:r>
      <w:r w:rsidRPr="00184F0B">
        <w:rPr>
          <w:rFonts w:ascii="Times New Roman" w:eastAsia="Times New Roman" w:hAnsi="Times New Roman" w:cs="Times New Roman"/>
          <w:color w:val="212121"/>
          <w:sz w:val="24"/>
          <w:szCs w:val="24"/>
          <w:lang w:eastAsia="en-GB"/>
        </w:rPr>
        <w:t>, shared rule</w:t>
      </w:r>
      <w:r w:rsidR="00FF424F">
        <w:rPr>
          <w:rFonts w:ascii="Times New Roman" w:eastAsia="Times New Roman" w:hAnsi="Times New Roman" w:cs="Times New Roman"/>
          <w:color w:val="212121"/>
          <w:sz w:val="24"/>
          <w:szCs w:val="24"/>
          <w:lang w:eastAsia="en-GB"/>
        </w:rPr>
        <w:t xml:space="preserve"> would</w:t>
      </w:r>
      <w:r w:rsidRPr="00184F0B">
        <w:rPr>
          <w:rFonts w:ascii="Times New Roman" w:eastAsia="Times New Roman" w:hAnsi="Times New Roman" w:cs="Times New Roman"/>
          <w:color w:val="212121"/>
          <w:sz w:val="24"/>
          <w:szCs w:val="24"/>
          <w:lang w:eastAsia="en-GB"/>
        </w:rPr>
        <w:t xml:space="preserve"> </w:t>
      </w:r>
      <w:r w:rsidR="007A7684">
        <w:rPr>
          <w:rFonts w:ascii="Times New Roman" w:eastAsia="Times New Roman" w:hAnsi="Times New Roman" w:cs="Times New Roman"/>
          <w:color w:val="212121"/>
          <w:sz w:val="24"/>
          <w:szCs w:val="24"/>
          <w:lang w:eastAsia="en-GB"/>
        </w:rPr>
        <w:t>end up being</w:t>
      </w:r>
      <w:r w:rsidR="00FF424F">
        <w:rPr>
          <w:rFonts w:ascii="Times New Roman" w:eastAsia="Times New Roman" w:hAnsi="Times New Roman" w:cs="Times New Roman"/>
          <w:color w:val="212121"/>
          <w:sz w:val="24"/>
          <w:szCs w:val="24"/>
          <w:lang w:eastAsia="en-GB"/>
        </w:rPr>
        <w:t xml:space="preserve"> more</w:t>
      </w:r>
      <w:r w:rsidRPr="00184F0B">
        <w:rPr>
          <w:rFonts w:ascii="Times New Roman" w:eastAsia="Times New Roman" w:hAnsi="Times New Roman" w:cs="Times New Roman"/>
          <w:color w:val="212121"/>
          <w:sz w:val="24"/>
          <w:szCs w:val="24"/>
          <w:lang w:eastAsia="en-GB"/>
        </w:rPr>
        <w:t xml:space="preserve"> procedural than substantive. </w:t>
      </w:r>
    </w:p>
    <w:p w14:paraId="307AF269" w14:textId="09DAFEC8" w:rsidR="00837710" w:rsidRDefault="002C43D6" w:rsidP="00242202">
      <w:pPr>
        <w:spacing w:after="0" w:line="360" w:lineRule="auto"/>
        <w:ind w:firstLine="720"/>
        <w:jc w:val="both"/>
        <w:rPr>
          <w:rFonts w:ascii="Times New Roman" w:eastAsia="Times New Roman" w:hAnsi="Times New Roman" w:cs="Times New Roman"/>
          <w:color w:val="212121"/>
          <w:sz w:val="24"/>
          <w:szCs w:val="24"/>
          <w:lang w:eastAsia="en-GB"/>
        </w:rPr>
      </w:pPr>
      <w:bookmarkStart w:id="1" w:name="_Hlk136005246"/>
      <w:r w:rsidRPr="00184F0B">
        <w:rPr>
          <w:rFonts w:ascii="Times New Roman" w:eastAsia="Times New Roman" w:hAnsi="Times New Roman" w:cs="Times New Roman"/>
          <w:color w:val="212121"/>
          <w:sz w:val="24"/>
          <w:szCs w:val="24"/>
          <w:lang w:eastAsia="en-GB"/>
        </w:rPr>
        <w:t xml:space="preserve">The question that arises is what factors are conditioning the operation of the Common Frameworks as positive </w:t>
      </w:r>
      <w:r w:rsidR="00F1182B">
        <w:rPr>
          <w:rFonts w:ascii="Times New Roman" w:eastAsia="Times New Roman" w:hAnsi="Times New Roman" w:cs="Times New Roman"/>
          <w:color w:val="212121"/>
          <w:sz w:val="24"/>
          <w:szCs w:val="24"/>
          <w:lang w:eastAsia="en-GB"/>
        </w:rPr>
        <w:t>harmonisation</w:t>
      </w:r>
      <w:r w:rsidRPr="00184F0B">
        <w:rPr>
          <w:rFonts w:ascii="Times New Roman" w:eastAsia="Times New Roman" w:hAnsi="Times New Roman" w:cs="Times New Roman"/>
          <w:color w:val="212121"/>
          <w:sz w:val="24"/>
          <w:szCs w:val="24"/>
          <w:lang w:eastAsia="en-GB"/>
        </w:rPr>
        <w:t xml:space="preserve"> </w:t>
      </w:r>
      <w:r w:rsidRPr="00016842">
        <w:rPr>
          <w:rFonts w:ascii="Times New Roman" w:eastAsia="Times New Roman" w:hAnsi="Times New Roman" w:cs="Times New Roman"/>
          <w:color w:val="212121"/>
          <w:sz w:val="24"/>
          <w:szCs w:val="24"/>
          <w:lang w:eastAsia="en-GB"/>
        </w:rPr>
        <w:t xml:space="preserve">tools? In particular, what may be restricting their </w:t>
      </w:r>
      <w:r w:rsidR="00FF424F">
        <w:rPr>
          <w:rFonts w:ascii="Times New Roman" w:eastAsia="Times New Roman" w:hAnsi="Times New Roman" w:cs="Times New Roman"/>
          <w:color w:val="212121"/>
          <w:sz w:val="24"/>
          <w:szCs w:val="24"/>
          <w:lang w:eastAsia="en-GB"/>
        </w:rPr>
        <w:t xml:space="preserve">potential </w:t>
      </w:r>
      <w:r w:rsidRPr="00016842">
        <w:rPr>
          <w:rFonts w:ascii="Times New Roman" w:eastAsia="Times New Roman" w:hAnsi="Times New Roman" w:cs="Times New Roman"/>
          <w:color w:val="212121"/>
          <w:sz w:val="24"/>
          <w:szCs w:val="24"/>
          <w:lang w:eastAsia="en-GB"/>
        </w:rPr>
        <w:t xml:space="preserve">flourishing as instruments for effective substantive policy coordination between the UK and devolved governments? </w:t>
      </w:r>
    </w:p>
    <w:bookmarkEnd w:id="1"/>
    <w:p w14:paraId="4976DBCD" w14:textId="17AAD599" w:rsidR="00DC47C9" w:rsidRDefault="00BB0C3D" w:rsidP="00DC47C9">
      <w:pPr>
        <w:spacing w:after="0" w:line="360" w:lineRule="auto"/>
        <w:ind w:firstLine="720"/>
        <w:jc w:val="both"/>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In this section, we draw</w:t>
      </w:r>
      <w:r w:rsidR="00FF424F">
        <w:rPr>
          <w:rFonts w:ascii="Times New Roman" w:eastAsia="Times New Roman" w:hAnsi="Times New Roman" w:cs="Times New Roman"/>
          <w:color w:val="212121"/>
          <w:sz w:val="24"/>
          <w:szCs w:val="24"/>
          <w:lang w:eastAsia="en-GB"/>
        </w:rPr>
        <w:t xml:space="preserve"> attention to three issues</w:t>
      </w:r>
      <w:r w:rsidR="002C43D6" w:rsidRPr="00016842">
        <w:rPr>
          <w:rFonts w:ascii="Times New Roman" w:eastAsia="Times New Roman" w:hAnsi="Times New Roman" w:cs="Times New Roman"/>
          <w:color w:val="212121"/>
          <w:sz w:val="24"/>
          <w:szCs w:val="24"/>
          <w:lang w:eastAsia="en-GB"/>
        </w:rPr>
        <w:t>. First, there is the</w:t>
      </w:r>
      <w:r w:rsidR="0071547E" w:rsidRPr="00016842">
        <w:rPr>
          <w:rFonts w:ascii="Times New Roman" w:eastAsia="Times New Roman" w:hAnsi="Times New Roman" w:cs="Times New Roman"/>
          <w:color w:val="212121"/>
          <w:sz w:val="24"/>
          <w:szCs w:val="24"/>
          <w:lang w:eastAsia="en-GB"/>
        </w:rPr>
        <w:t xml:space="preserve"> underlying</w:t>
      </w:r>
      <w:r w:rsidR="002C43D6" w:rsidRPr="00016842">
        <w:rPr>
          <w:rFonts w:ascii="Times New Roman" w:eastAsia="Times New Roman" w:hAnsi="Times New Roman" w:cs="Times New Roman"/>
          <w:color w:val="212121"/>
          <w:sz w:val="24"/>
          <w:szCs w:val="24"/>
          <w:lang w:eastAsia="en-GB"/>
        </w:rPr>
        <w:t xml:space="preserve"> </w:t>
      </w:r>
      <w:r w:rsidR="00FF424F">
        <w:rPr>
          <w:rFonts w:ascii="Times New Roman" w:eastAsia="Times New Roman" w:hAnsi="Times New Roman" w:cs="Times New Roman"/>
          <w:color w:val="212121"/>
          <w:sz w:val="24"/>
          <w:szCs w:val="24"/>
          <w:lang w:eastAsia="en-GB"/>
        </w:rPr>
        <w:t>question</w:t>
      </w:r>
      <w:r w:rsidR="002C43D6" w:rsidRPr="00016842">
        <w:rPr>
          <w:rFonts w:ascii="Times New Roman" w:eastAsia="Times New Roman" w:hAnsi="Times New Roman" w:cs="Times New Roman"/>
          <w:color w:val="212121"/>
          <w:sz w:val="24"/>
          <w:szCs w:val="24"/>
          <w:lang w:eastAsia="en-GB"/>
        </w:rPr>
        <w:t xml:space="preserve"> of political </w:t>
      </w:r>
      <w:r w:rsidR="0071547E" w:rsidRPr="00016842">
        <w:rPr>
          <w:rFonts w:ascii="Times New Roman" w:eastAsia="Times New Roman" w:hAnsi="Times New Roman" w:cs="Times New Roman"/>
          <w:color w:val="212121"/>
          <w:sz w:val="24"/>
          <w:szCs w:val="24"/>
          <w:lang w:eastAsia="en-GB"/>
        </w:rPr>
        <w:t>‘buy-in</w:t>
      </w:r>
      <w:r w:rsidR="00FF424F">
        <w:rPr>
          <w:rFonts w:ascii="Times New Roman" w:eastAsia="Times New Roman" w:hAnsi="Times New Roman" w:cs="Times New Roman"/>
          <w:color w:val="212121"/>
          <w:sz w:val="24"/>
          <w:szCs w:val="24"/>
          <w:lang w:eastAsia="en-GB"/>
        </w:rPr>
        <w:t>.’</w:t>
      </w:r>
      <w:r w:rsidR="002C43D6" w:rsidRPr="00016842">
        <w:rPr>
          <w:rFonts w:ascii="Times New Roman" w:eastAsia="Times New Roman" w:hAnsi="Times New Roman" w:cs="Times New Roman"/>
          <w:color w:val="212121"/>
          <w:sz w:val="24"/>
          <w:szCs w:val="24"/>
          <w:lang w:eastAsia="en-GB"/>
        </w:rPr>
        <w:t xml:space="preserve"> Exiting the EU legal order requires the UK and devolved governments to reach a new </w:t>
      </w:r>
      <w:r w:rsidR="00113B29" w:rsidRPr="00016842">
        <w:rPr>
          <w:rFonts w:ascii="Times New Roman" w:eastAsia="Times New Roman" w:hAnsi="Times New Roman" w:cs="Times New Roman"/>
          <w:color w:val="212121"/>
          <w:sz w:val="24"/>
          <w:szCs w:val="24"/>
          <w:lang w:eastAsia="en-GB"/>
        </w:rPr>
        <w:t>agreement</w:t>
      </w:r>
      <w:r w:rsidR="002C43D6" w:rsidRPr="00016842">
        <w:rPr>
          <w:rFonts w:ascii="Times New Roman" w:eastAsia="Times New Roman" w:hAnsi="Times New Roman" w:cs="Times New Roman"/>
          <w:color w:val="212121"/>
          <w:sz w:val="24"/>
          <w:szCs w:val="24"/>
          <w:lang w:eastAsia="en-GB"/>
        </w:rPr>
        <w:t xml:space="preserve"> on </w:t>
      </w:r>
      <w:r w:rsidR="00876DB0">
        <w:rPr>
          <w:rFonts w:ascii="Times New Roman" w:eastAsia="Times New Roman" w:hAnsi="Times New Roman" w:cs="Times New Roman"/>
          <w:color w:val="212121"/>
          <w:sz w:val="24"/>
          <w:szCs w:val="24"/>
          <w:lang w:eastAsia="en-GB"/>
        </w:rPr>
        <w:t xml:space="preserve">the </w:t>
      </w:r>
      <w:r w:rsidR="002C43D6" w:rsidRPr="00016842">
        <w:rPr>
          <w:rFonts w:ascii="Times New Roman" w:eastAsia="Times New Roman" w:hAnsi="Times New Roman" w:cs="Times New Roman"/>
          <w:color w:val="212121"/>
          <w:sz w:val="24"/>
          <w:szCs w:val="24"/>
          <w:lang w:eastAsia="en-GB"/>
        </w:rPr>
        <w:t xml:space="preserve">UK internal market as </w:t>
      </w:r>
      <w:r w:rsidR="007F6316">
        <w:rPr>
          <w:rFonts w:ascii="Times New Roman" w:eastAsia="Times New Roman" w:hAnsi="Times New Roman" w:cs="Times New Roman"/>
          <w:color w:val="212121"/>
          <w:sz w:val="24"/>
          <w:szCs w:val="24"/>
          <w:lang w:eastAsia="en-GB"/>
        </w:rPr>
        <w:t>an object of regulation</w:t>
      </w:r>
      <w:r w:rsidR="002C43D6" w:rsidRPr="00016842">
        <w:rPr>
          <w:rFonts w:ascii="Times New Roman" w:eastAsia="Times New Roman" w:hAnsi="Times New Roman" w:cs="Times New Roman"/>
          <w:color w:val="212121"/>
          <w:sz w:val="24"/>
          <w:szCs w:val="24"/>
          <w:lang w:eastAsia="en-GB"/>
        </w:rPr>
        <w:t>.</w:t>
      </w:r>
      <w:r w:rsidR="00950D3A" w:rsidRPr="00950D3A">
        <w:rPr>
          <w:rFonts w:ascii="Times New Roman" w:eastAsia="Times New Roman" w:hAnsi="Times New Roman" w:cs="Times New Roman"/>
          <w:color w:val="212121"/>
          <w:sz w:val="24"/>
          <w:szCs w:val="24"/>
          <w:lang w:eastAsia="en-GB"/>
        </w:rPr>
        <w:t xml:space="preserve"> </w:t>
      </w:r>
      <w:r w:rsidR="00950D3A">
        <w:rPr>
          <w:rFonts w:ascii="Times New Roman" w:eastAsia="Times New Roman" w:hAnsi="Times New Roman" w:cs="Times New Roman"/>
          <w:color w:val="212121"/>
          <w:sz w:val="24"/>
          <w:szCs w:val="24"/>
          <w:lang w:eastAsia="en-GB"/>
        </w:rPr>
        <w:t xml:space="preserve">Secondly, there is the issue of political context. Changes to the framework within which competences are exercised post-Brexit are generating new tensions between the UK and devolved governments with respect to the </w:t>
      </w:r>
      <w:r w:rsidR="009E74E0">
        <w:rPr>
          <w:rFonts w:ascii="Times New Roman" w:eastAsia="Times New Roman" w:hAnsi="Times New Roman" w:cs="Times New Roman"/>
          <w:color w:val="212121"/>
          <w:sz w:val="24"/>
          <w:szCs w:val="24"/>
          <w:lang w:eastAsia="en-GB"/>
        </w:rPr>
        <w:t>conceptualisation</w:t>
      </w:r>
      <w:r w:rsidR="00950D3A">
        <w:rPr>
          <w:rFonts w:ascii="Times New Roman" w:eastAsia="Times New Roman" w:hAnsi="Times New Roman" w:cs="Times New Roman"/>
          <w:color w:val="212121"/>
          <w:sz w:val="24"/>
          <w:szCs w:val="24"/>
          <w:lang w:eastAsia="en-GB"/>
        </w:rPr>
        <w:t xml:space="preserve"> of devolved competences</w:t>
      </w:r>
      <w:r w:rsidR="00D508C2">
        <w:rPr>
          <w:rFonts w:ascii="Times New Roman" w:eastAsia="Times New Roman" w:hAnsi="Times New Roman" w:cs="Times New Roman"/>
          <w:color w:val="212121"/>
          <w:sz w:val="24"/>
          <w:szCs w:val="24"/>
          <w:lang w:eastAsia="en-GB"/>
        </w:rPr>
        <w:t xml:space="preserve"> under the UK’s territorial </w:t>
      </w:r>
      <w:r w:rsidR="00D508C2">
        <w:rPr>
          <w:rFonts w:ascii="Times New Roman" w:eastAsia="Times New Roman" w:hAnsi="Times New Roman" w:cs="Times New Roman"/>
          <w:color w:val="212121"/>
          <w:sz w:val="24"/>
          <w:szCs w:val="24"/>
          <w:lang w:eastAsia="en-GB"/>
        </w:rPr>
        <w:lastRenderedPageBreak/>
        <w:t>constitution</w:t>
      </w:r>
      <w:r w:rsidR="00950D3A">
        <w:rPr>
          <w:rFonts w:ascii="Times New Roman" w:eastAsia="Times New Roman" w:hAnsi="Times New Roman" w:cs="Times New Roman"/>
          <w:color w:val="212121"/>
          <w:sz w:val="24"/>
          <w:szCs w:val="24"/>
          <w:lang w:eastAsia="en-GB"/>
        </w:rPr>
        <w:t xml:space="preserve">. </w:t>
      </w:r>
      <w:r w:rsidR="00242202" w:rsidRPr="00AA3EDB">
        <w:rPr>
          <w:rFonts w:ascii="Times New Roman" w:eastAsia="Times New Roman" w:hAnsi="Times New Roman" w:cs="Times New Roman"/>
          <w:color w:val="212121"/>
          <w:sz w:val="24"/>
          <w:szCs w:val="24"/>
          <w:lang w:eastAsia="en-GB"/>
        </w:rPr>
        <w:t xml:space="preserve">Thirdly, </w:t>
      </w:r>
      <w:r w:rsidR="00876DB0">
        <w:rPr>
          <w:rFonts w:ascii="Times New Roman" w:eastAsia="Times New Roman" w:hAnsi="Times New Roman" w:cs="Times New Roman"/>
          <w:color w:val="212121"/>
          <w:sz w:val="24"/>
          <w:szCs w:val="24"/>
          <w:lang w:eastAsia="en-GB"/>
        </w:rPr>
        <w:t>there is the</w:t>
      </w:r>
      <w:r w:rsidR="00242202" w:rsidRPr="00AA3EDB">
        <w:rPr>
          <w:rFonts w:ascii="Times New Roman" w:eastAsia="Times New Roman" w:hAnsi="Times New Roman" w:cs="Times New Roman"/>
          <w:color w:val="212121"/>
          <w:sz w:val="24"/>
          <w:szCs w:val="24"/>
          <w:lang w:eastAsia="en-GB"/>
        </w:rPr>
        <w:t xml:space="preserve"> </w:t>
      </w:r>
      <w:r w:rsidR="00860940">
        <w:rPr>
          <w:rFonts w:ascii="Times New Roman" w:eastAsia="Times New Roman" w:hAnsi="Times New Roman" w:cs="Times New Roman"/>
          <w:color w:val="212121"/>
          <w:sz w:val="24"/>
          <w:szCs w:val="24"/>
          <w:lang w:eastAsia="en-GB"/>
        </w:rPr>
        <w:t>enduring</w:t>
      </w:r>
      <w:r w:rsidR="008D16ED">
        <w:rPr>
          <w:rFonts w:ascii="Times New Roman" w:eastAsia="Times New Roman" w:hAnsi="Times New Roman" w:cs="Times New Roman"/>
          <w:color w:val="212121"/>
          <w:sz w:val="24"/>
          <w:szCs w:val="24"/>
          <w:lang w:eastAsia="en-GB"/>
        </w:rPr>
        <w:t xml:space="preserve"> structural</w:t>
      </w:r>
      <w:r w:rsidR="00242202" w:rsidRPr="00AA3EDB">
        <w:rPr>
          <w:rFonts w:ascii="Times New Roman" w:eastAsia="Times New Roman" w:hAnsi="Times New Roman" w:cs="Times New Roman"/>
          <w:color w:val="212121"/>
          <w:sz w:val="24"/>
          <w:szCs w:val="24"/>
          <w:lang w:eastAsia="en-GB"/>
        </w:rPr>
        <w:t xml:space="preserve"> problem of disaggregating ‘English’</w:t>
      </w:r>
      <w:r w:rsidR="00155B0E">
        <w:rPr>
          <w:rFonts w:ascii="Times New Roman" w:eastAsia="Times New Roman" w:hAnsi="Times New Roman" w:cs="Times New Roman"/>
          <w:color w:val="212121"/>
          <w:sz w:val="24"/>
          <w:szCs w:val="24"/>
          <w:lang w:eastAsia="en-GB"/>
        </w:rPr>
        <w:t xml:space="preserve"> and ‘UK-wide’ regulatory interests and establishing effective structures to balance the former alongside the interests of the three other (much smaller) nations.</w:t>
      </w:r>
    </w:p>
    <w:p w14:paraId="10B5B444" w14:textId="1E2AF213" w:rsidR="00DC47C9" w:rsidRPr="00DC47C9" w:rsidRDefault="00DC47C9" w:rsidP="00DC47C9">
      <w:pPr>
        <w:spacing w:before="240" w:line="360" w:lineRule="auto"/>
        <w:jc w:val="both"/>
        <w:rPr>
          <w:rFonts w:ascii="Times New Roman" w:eastAsia="Times New Roman" w:hAnsi="Times New Roman" w:cs="Times New Roman"/>
          <w:i/>
          <w:color w:val="212121"/>
          <w:sz w:val="24"/>
          <w:szCs w:val="24"/>
          <w:lang w:eastAsia="en-GB"/>
        </w:rPr>
      </w:pPr>
      <w:r w:rsidRPr="00DC47C9">
        <w:rPr>
          <w:rFonts w:ascii="Times New Roman" w:eastAsia="Times New Roman" w:hAnsi="Times New Roman" w:cs="Times New Roman"/>
          <w:i/>
          <w:color w:val="212121"/>
          <w:sz w:val="24"/>
          <w:szCs w:val="24"/>
          <w:lang w:eastAsia="en-GB"/>
        </w:rPr>
        <w:t xml:space="preserve">4.1. </w:t>
      </w:r>
      <w:r w:rsidR="0008748C">
        <w:rPr>
          <w:rFonts w:ascii="Times New Roman" w:eastAsia="Times New Roman" w:hAnsi="Times New Roman" w:cs="Times New Roman"/>
          <w:i/>
          <w:color w:val="212121"/>
          <w:sz w:val="24"/>
          <w:szCs w:val="24"/>
          <w:lang w:eastAsia="en-GB"/>
        </w:rPr>
        <w:t>In Search of New</w:t>
      </w:r>
      <w:r w:rsidRPr="00DC47C9">
        <w:rPr>
          <w:rFonts w:ascii="Times New Roman" w:eastAsia="Times New Roman" w:hAnsi="Times New Roman" w:cs="Times New Roman"/>
          <w:i/>
          <w:color w:val="212121"/>
          <w:sz w:val="24"/>
          <w:szCs w:val="24"/>
          <w:lang w:eastAsia="en-GB"/>
        </w:rPr>
        <w:t xml:space="preserve"> Consensus</w:t>
      </w:r>
      <w:r>
        <w:rPr>
          <w:rFonts w:ascii="Times New Roman" w:eastAsia="Times New Roman" w:hAnsi="Times New Roman" w:cs="Times New Roman"/>
          <w:i/>
          <w:color w:val="212121"/>
          <w:sz w:val="24"/>
          <w:szCs w:val="24"/>
          <w:lang w:eastAsia="en-GB"/>
        </w:rPr>
        <w:t xml:space="preserve"> </w:t>
      </w:r>
    </w:p>
    <w:p w14:paraId="499F1079" w14:textId="6644F61D" w:rsidR="00CD72AD" w:rsidRDefault="002C43D6" w:rsidP="00242202">
      <w:pPr>
        <w:spacing w:after="0" w:line="360" w:lineRule="auto"/>
        <w:jc w:val="both"/>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First, on political ‘buy-in’</w:t>
      </w:r>
      <w:r w:rsidR="001D6F88">
        <w:rPr>
          <w:rFonts w:ascii="Times New Roman" w:eastAsia="Times New Roman" w:hAnsi="Times New Roman" w:cs="Times New Roman"/>
          <w:color w:val="212121"/>
          <w:sz w:val="24"/>
          <w:szCs w:val="24"/>
          <w:lang w:eastAsia="en-GB"/>
        </w:rPr>
        <w:t>,</w:t>
      </w:r>
      <w:r>
        <w:rPr>
          <w:rFonts w:ascii="Times New Roman" w:eastAsia="Times New Roman" w:hAnsi="Times New Roman" w:cs="Times New Roman"/>
          <w:color w:val="212121"/>
          <w:sz w:val="24"/>
          <w:szCs w:val="24"/>
          <w:lang w:eastAsia="en-GB"/>
        </w:rPr>
        <w:t xml:space="preserve"> </w:t>
      </w:r>
      <w:r w:rsidR="00242202">
        <w:rPr>
          <w:rFonts w:ascii="Times New Roman" w:eastAsia="Times New Roman" w:hAnsi="Times New Roman" w:cs="Times New Roman"/>
          <w:color w:val="212121"/>
          <w:sz w:val="24"/>
          <w:szCs w:val="24"/>
          <w:lang w:eastAsia="en-GB"/>
        </w:rPr>
        <w:t>t</w:t>
      </w:r>
      <w:r>
        <w:rPr>
          <w:rFonts w:ascii="Times New Roman" w:eastAsia="Times New Roman" w:hAnsi="Times New Roman" w:cs="Times New Roman"/>
          <w:color w:val="212121"/>
          <w:sz w:val="24"/>
          <w:szCs w:val="24"/>
          <w:lang w:eastAsia="en-GB"/>
        </w:rPr>
        <w:t xml:space="preserve">here is little evidence thus far </w:t>
      </w:r>
      <w:r w:rsidR="00E73BAC">
        <w:rPr>
          <w:rFonts w:ascii="Times New Roman" w:eastAsia="Times New Roman" w:hAnsi="Times New Roman" w:cs="Times New Roman"/>
          <w:color w:val="212121"/>
          <w:sz w:val="24"/>
          <w:szCs w:val="24"/>
          <w:lang w:eastAsia="en-GB"/>
        </w:rPr>
        <w:t xml:space="preserve">to indicate </w:t>
      </w:r>
      <w:r>
        <w:rPr>
          <w:rFonts w:ascii="Times New Roman" w:eastAsia="Times New Roman" w:hAnsi="Times New Roman" w:cs="Times New Roman"/>
          <w:color w:val="212121"/>
          <w:sz w:val="24"/>
          <w:szCs w:val="24"/>
          <w:lang w:eastAsia="en-GB"/>
        </w:rPr>
        <w:t xml:space="preserve">that the UK and devolved governments have reached </w:t>
      </w:r>
      <w:r w:rsidR="00E73BAC">
        <w:rPr>
          <w:rFonts w:ascii="Times New Roman" w:eastAsia="Times New Roman" w:hAnsi="Times New Roman" w:cs="Times New Roman"/>
          <w:color w:val="212121"/>
          <w:sz w:val="24"/>
          <w:szCs w:val="24"/>
          <w:lang w:eastAsia="en-GB"/>
        </w:rPr>
        <w:t>workable</w:t>
      </w:r>
      <w:r>
        <w:rPr>
          <w:rFonts w:ascii="Times New Roman" w:eastAsia="Times New Roman" w:hAnsi="Times New Roman" w:cs="Times New Roman"/>
          <w:color w:val="212121"/>
          <w:sz w:val="24"/>
          <w:szCs w:val="24"/>
          <w:lang w:eastAsia="en-GB"/>
        </w:rPr>
        <w:t xml:space="preserve"> agreement on the UK internal market as an </w:t>
      </w:r>
      <w:r w:rsidRPr="001D6F88">
        <w:rPr>
          <w:rFonts w:ascii="Times New Roman" w:eastAsia="Times New Roman" w:hAnsi="Times New Roman" w:cs="Times New Roman"/>
          <w:i/>
          <w:color w:val="212121"/>
          <w:sz w:val="24"/>
          <w:szCs w:val="24"/>
          <w:lang w:eastAsia="en-GB"/>
        </w:rPr>
        <w:t>object</w:t>
      </w:r>
      <w:r>
        <w:rPr>
          <w:rFonts w:ascii="Times New Roman" w:eastAsia="Times New Roman" w:hAnsi="Times New Roman" w:cs="Times New Roman"/>
          <w:color w:val="212121"/>
          <w:sz w:val="24"/>
          <w:szCs w:val="24"/>
          <w:lang w:eastAsia="en-GB"/>
        </w:rPr>
        <w:t xml:space="preserve"> of regulation.</w:t>
      </w:r>
      <w:r w:rsidR="001D6F88">
        <w:rPr>
          <w:rFonts w:ascii="Times New Roman" w:eastAsia="Times New Roman" w:hAnsi="Times New Roman" w:cs="Times New Roman"/>
          <w:color w:val="212121"/>
          <w:sz w:val="24"/>
          <w:szCs w:val="24"/>
          <w:lang w:eastAsia="en-GB"/>
        </w:rPr>
        <w:t xml:space="preserve"> Consensus </w:t>
      </w:r>
      <w:r w:rsidR="009820E5">
        <w:rPr>
          <w:rFonts w:ascii="Times New Roman" w:eastAsia="Times New Roman" w:hAnsi="Times New Roman" w:cs="Times New Roman"/>
          <w:color w:val="212121"/>
          <w:sz w:val="24"/>
          <w:szCs w:val="24"/>
          <w:lang w:eastAsia="en-GB"/>
        </w:rPr>
        <w:t>on</w:t>
      </w:r>
      <w:r w:rsidR="001D6F88">
        <w:rPr>
          <w:rFonts w:ascii="Times New Roman" w:eastAsia="Times New Roman" w:hAnsi="Times New Roman" w:cs="Times New Roman"/>
          <w:color w:val="212121"/>
          <w:sz w:val="24"/>
          <w:szCs w:val="24"/>
          <w:lang w:eastAsia="en-GB"/>
        </w:rPr>
        <w:t xml:space="preserve"> the nature of </w:t>
      </w:r>
      <w:r w:rsidR="009820E5">
        <w:rPr>
          <w:rFonts w:ascii="Times New Roman" w:eastAsia="Times New Roman" w:hAnsi="Times New Roman" w:cs="Times New Roman"/>
          <w:color w:val="212121"/>
          <w:sz w:val="24"/>
          <w:szCs w:val="24"/>
          <w:lang w:eastAsia="en-GB"/>
        </w:rPr>
        <w:t xml:space="preserve">a </w:t>
      </w:r>
      <w:r w:rsidR="001D6F88">
        <w:rPr>
          <w:rFonts w:ascii="Times New Roman" w:eastAsia="Times New Roman" w:hAnsi="Times New Roman" w:cs="Times New Roman"/>
          <w:color w:val="212121"/>
          <w:sz w:val="24"/>
          <w:szCs w:val="24"/>
          <w:lang w:eastAsia="en-GB"/>
        </w:rPr>
        <w:t>functional problem</w:t>
      </w:r>
      <w:r w:rsidR="009820E5">
        <w:rPr>
          <w:rFonts w:ascii="Times New Roman" w:eastAsia="Times New Roman" w:hAnsi="Times New Roman" w:cs="Times New Roman"/>
          <w:color w:val="212121"/>
          <w:sz w:val="24"/>
          <w:szCs w:val="24"/>
          <w:lang w:eastAsia="en-GB"/>
        </w:rPr>
        <w:t xml:space="preserve"> </w:t>
      </w:r>
      <w:r w:rsidR="001D6F88">
        <w:rPr>
          <w:rFonts w:ascii="Times New Roman" w:eastAsia="Times New Roman" w:hAnsi="Times New Roman" w:cs="Times New Roman"/>
          <w:color w:val="212121"/>
          <w:sz w:val="24"/>
          <w:szCs w:val="24"/>
          <w:lang w:eastAsia="en-GB"/>
        </w:rPr>
        <w:t xml:space="preserve">(and the principles </w:t>
      </w:r>
      <w:r w:rsidR="000A19C9">
        <w:rPr>
          <w:rFonts w:ascii="Times New Roman" w:eastAsia="Times New Roman" w:hAnsi="Times New Roman" w:cs="Times New Roman"/>
          <w:color w:val="212121"/>
          <w:sz w:val="24"/>
          <w:szCs w:val="24"/>
          <w:lang w:eastAsia="en-GB"/>
        </w:rPr>
        <w:t xml:space="preserve">designed </w:t>
      </w:r>
      <w:r w:rsidR="001D6F88">
        <w:rPr>
          <w:rFonts w:ascii="Times New Roman" w:eastAsia="Times New Roman" w:hAnsi="Times New Roman" w:cs="Times New Roman"/>
          <w:color w:val="212121"/>
          <w:sz w:val="24"/>
          <w:szCs w:val="24"/>
          <w:lang w:eastAsia="en-GB"/>
        </w:rPr>
        <w:t xml:space="preserve">to resolve it) is </w:t>
      </w:r>
      <w:r w:rsidR="008F778A">
        <w:rPr>
          <w:rFonts w:ascii="Times New Roman" w:eastAsia="Times New Roman" w:hAnsi="Times New Roman" w:cs="Times New Roman"/>
          <w:color w:val="212121"/>
          <w:sz w:val="24"/>
          <w:szCs w:val="24"/>
          <w:lang w:eastAsia="en-GB"/>
        </w:rPr>
        <w:t>an essential prerequisite for effective coordination</w:t>
      </w:r>
      <w:r w:rsidR="001D6F88">
        <w:rPr>
          <w:rFonts w:ascii="Times New Roman" w:eastAsia="Times New Roman" w:hAnsi="Times New Roman" w:cs="Times New Roman"/>
          <w:color w:val="212121"/>
          <w:sz w:val="24"/>
          <w:szCs w:val="24"/>
          <w:lang w:eastAsia="en-GB"/>
        </w:rPr>
        <w:t xml:space="preserve"> within any</w:t>
      </w:r>
      <w:r w:rsidR="000A19C9">
        <w:rPr>
          <w:rFonts w:ascii="Times New Roman" w:eastAsia="Times New Roman" w:hAnsi="Times New Roman" w:cs="Times New Roman"/>
          <w:color w:val="212121"/>
          <w:sz w:val="24"/>
          <w:szCs w:val="24"/>
          <w:lang w:eastAsia="en-GB"/>
        </w:rPr>
        <w:t xml:space="preserve"> system recognising distinct layers of government.</w:t>
      </w:r>
      <w:r w:rsidR="00107F1F">
        <w:rPr>
          <w:rStyle w:val="FootnoteReference"/>
          <w:rFonts w:ascii="Times New Roman" w:eastAsia="Times New Roman" w:hAnsi="Times New Roman" w:cs="Times New Roman"/>
          <w:color w:val="212121"/>
          <w:sz w:val="24"/>
          <w:szCs w:val="24"/>
          <w:lang w:eastAsia="en-GB"/>
        </w:rPr>
        <w:footnoteReference w:id="116"/>
      </w:r>
      <w:r>
        <w:rPr>
          <w:rFonts w:ascii="Times New Roman" w:eastAsia="Times New Roman" w:hAnsi="Times New Roman" w:cs="Times New Roman"/>
          <w:color w:val="212121"/>
          <w:sz w:val="24"/>
          <w:szCs w:val="24"/>
          <w:lang w:eastAsia="en-GB"/>
        </w:rPr>
        <w:t xml:space="preserve"> </w:t>
      </w:r>
      <w:r w:rsidR="000A19C9">
        <w:rPr>
          <w:rFonts w:ascii="Times New Roman" w:eastAsia="Times New Roman" w:hAnsi="Times New Roman" w:cs="Times New Roman"/>
          <w:color w:val="212121"/>
          <w:sz w:val="24"/>
          <w:szCs w:val="24"/>
          <w:lang w:eastAsia="en-GB"/>
        </w:rPr>
        <w:t xml:space="preserve">With respect to the UK internal market, </w:t>
      </w:r>
      <w:r w:rsidRPr="00184F0B">
        <w:rPr>
          <w:rFonts w:ascii="Times New Roman" w:eastAsia="Times New Roman" w:hAnsi="Times New Roman" w:cs="Times New Roman"/>
          <w:color w:val="212121"/>
          <w:sz w:val="24"/>
          <w:szCs w:val="24"/>
          <w:lang w:eastAsia="en-GB"/>
        </w:rPr>
        <w:t xml:space="preserve">agreement </w:t>
      </w:r>
      <w:r>
        <w:rPr>
          <w:rFonts w:ascii="Times New Roman" w:eastAsia="Times New Roman" w:hAnsi="Times New Roman" w:cs="Times New Roman"/>
          <w:color w:val="212121"/>
          <w:sz w:val="24"/>
          <w:szCs w:val="24"/>
          <w:lang w:eastAsia="en-GB"/>
        </w:rPr>
        <w:t>presently appears</w:t>
      </w:r>
      <w:r w:rsidRPr="00184F0B">
        <w:rPr>
          <w:rFonts w:ascii="Times New Roman" w:eastAsia="Times New Roman" w:hAnsi="Times New Roman" w:cs="Times New Roman"/>
          <w:color w:val="212121"/>
          <w:sz w:val="24"/>
          <w:szCs w:val="24"/>
          <w:lang w:eastAsia="en-GB"/>
        </w:rPr>
        <w:t>, at best, only partial</w:t>
      </w:r>
      <w:r w:rsidR="00E8251C">
        <w:rPr>
          <w:rFonts w:ascii="Times New Roman" w:eastAsia="Times New Roman" w:hAnsi="Times New Roman" w:cs="Times New Roman"/>
          <w:color w:val="212121"/>
          <w:sz w:val="24"/>
          <w:szCs w:val="24"/>
          <w:lang w:eastAsia="en-GB"/>
        </w:rPr>
        <w:t>.</w:t>
      </w:r>
      <w:r w:rsidR="00912293">
        <w:rPr>
          <w:rFonts w:ascii="Times New Roman" w:eastAsia="Times New Roman" w:hAnsi="Times New Roman" w:cs="Times New Roman"/>
          <w:color w:val="212121"/>
          <w:sz w:val="24"/>
          <w:szCs w:val="24"/>
          <w:lang w:eastAsia="en-GB"/>
        </w:rPr>
        <w:t xml:space="preserve"> </w:t>
      </w:r>
      <w:r w:rsidR="005C2112">
        <w:rPr>
          <w:rFonts w:ascii="Times New Roman" w:eastAsia="Times New Roman" w:hAnsi="Times New Roman" w:cs="Times New Roman"/>
          <w:color w:val="212121"/>
          <w:sz w:val="24"/>
          <w:szCs w:val="24"/>
          <w:lang w:eastAsia="en-GB"/>
        </w:rPr>
        <w:t>The initial approach under the Framework</w:t>
      </w:r>
      <w:r w:rsidR="00912293">
        <w:rPr>
          <w:rFonts w:ascii="Times New Roman" w:eastAsia="Times New Roman" w:hAnsi="Times New Roman" w:cs="Times New Roman"/>
          <w:color w:val="212121"/>
          <w:sz w:val="24"/>
          <w:szCs w:val="24"/>
          <w:lang w:eastAsia="en-GB"/>
        </w:rPr>
        <w:t>s</w:t>
      </w:r>
      <w:r w:rsidR="005C2112">
        <w:rPr>
          <w:rFonts w:ascii="Times New Roman" w:eastAsia="Times New Roman" w:hAnsi="Times New Roman" w:cs="Times New Roman"/>
          <w:color w:val="212121"/>
          <w:sz w:val="24"/>
          <w:szCs w:val="24"/>
          <w:lang w:eastAsia="en-GB"/>
        </w:rPr>
        <w:t xml:space="preserve"> </w:t>
      </w:r>
      <w:r w:rsidR="00E8251C">
        <w:rPr>
          <w:rFonts w:ascii="Times New Roman" w:eastAsia="Times New Roman" w:hAnsi="Times New Roman" w:cs="Times New Roman"/>
          <w:color w:val="212121"/>
          <w:sz w:val="24"/>
          <w:szCs w:val="24"/>
          <w:lang w:eastAsia="en-GB"/>
        </w:rPr>
        <w:t>remains</w:t>
      </w:r>
      <w:r w:rsidR="005C2112">
        <w:rPr>
          <w:rFonts w:ascii="Times New Roman" w:eastAsia="Times New Roman" w:hAnsi="Times New Roman" w:cs="Times New Roman"/>
          <w:color w:val="212121"/>
          <w:sz w:val="24"/>
          <w:szCs w:val="24"/>
          <w:lang w:eastAsia="en-GB"/>
        </w:rPr>
        <w:t xml:space="preserve"> </w:t>
      </w:r>
      <w:r w:rsidR="00912293">
        <w:rPr>
          <w:rFonts w:ascii="Times New Roman" w:eastAsia="Times New Roman" w:hAnsi="Times New Roman" w:cs="Times New Roman"/>
          <w:color w:val="212121"/>
          <w:sz w:val="24"/>
          <w:szCs w:val="24"/>
          <w:lang w:eastAsia="en-GB"/>
        </w:rPr>
        <w:t xml:space="preserve">the </w:t>
      </w:r>
      <w:r w:rsidR="005C2112">
        <w:rPr>
          <w:rFonts w:ascii="Times New Roman" w:eastAsia="Times New Roman" w:hAnsi="Times New Roman" w:cs="Times New Roman"/>
          <w:color w:val="212121"/>
          <w:sz w:val="24"/>
          <w:szCs w:val="24"/>
          <w:lang w:eastAsia="en-GB"/>
        </w:rPr>
        <w:t>highwater mark in terms of joint agreement on the existence of a</w:t>
      </w:r>
      <w:r w:rsidR="000A19C9">
        <w:rPr>
          <w:rFonts w:ascii="Times New Roman" w:eastAsia="Times New Roman" w:hAnsi="Times New Roman" w:cs="Times New Roman"/>
          <w:color w:val="212121"/>
          <w:sz w:val="24"/>
          <w:szCs w:val="24"/>
          <w:lang w:eastAsia="en-GB"/>
        </w:rPr>
        <w:t xml:space="preserve"> </w:t>
      </w:r>
      <w:r w:rsidR="005C2112">
        <w:rPr>
          <w:rFonts w:ascii="Times New Roman" w:eastAsia="Times New Roman" w:hAnsi="Times New Roman" w:cs="Times New Roman"/>
          <w:color w:val="212121"/>
          <w:sz w:val="24"/>
          <w:szCs w:val="24"/>
          <w:lang w:eastAsia="en-GB"/>
        </w:rPr>
        <w:t>functional problem.</w:t>
      </w:r>
      <w:r w:rsidR="00E8251C">
        <w:rPr>
          <w:rFonts w:ascii="Times New Roman" w:eastAsia="Times New Roman" w:hAnsi="Times New Roman" w:cs="Times New Roman"/>
          <w:color w:val="212121"/>
          <w:sz w:val="24"/>
          <w:szCs w:val="24"/>
          <w:lang w:eastAsia="en-GB"/>
        </w:rPr>
        <w:t xml:space="preserve"> </w:t>
      </w:r>
      <w:r>
        <w:rPr>
          <w:rFonts w:ascii="Times New Roman" w:eastAsia="Times New Roman" w:hAnsi="Times New Roman" w:cs="Times New Roman"/>
          <w:color w:val="212121"/>
          <w:sz w:val="24"/>
          <w:szCs w:val="24"/>
          <w:lang w:eastAsia="en-GB"/>
        </w:rPr>
        <w:t>S</w:t>
      </w:r>
      <w:r w:rsidRPr="00184F0B">
        <w:rPr>
          <w:rFonts w:ascii="Times New Roman" w:eastAsia="Times New Roman" w:hAnsi="Times New Roman" w:cs="Times New Roman"/>
          <w:color w:val="212121"/>
          <w:sz w:val="24"/>
          <w:szCs w:val="24"/>
          <w:lang w:eastAsia="en-GB"/>
        </w:rPr>
        <w:t>igning off the Frameworks</w:t>
      </w:r>
      <w:r w:rsidR="005C2112">
        <w:rPr>
          <w:rFonts w:ascii="Times New Roman" w:eastAsia="Times New Roman" w:hAnsi="Times New Roman" w:cs="Times New Roman"/>
          <w:color w:val="212121"/>
          <w:sz w:val="24"/>
          <w:szCs w:val="24"/>
          <w:lang w:eastAsia="en-GB"/>
        </w:rPr>
        <w:t xml:space="preserve"> programme</w:t>
      </w:r>
      <w:r w:rsidRPr="00184F0B">
        <w:rPr>
          <w:rFonts w:ascii="Times New Roman" w:eastAsia="Times New Roman" w:hAnsi="Times New Roman" w:cs="Times New Roman"/>
          <w:color w:val="212121"/>
          <w:sz w:val="24"/>
          <w:szCs w:val="24"/>
          <w:lang w:eastAsia="en-GB"/>
        </w:rPr>
        <w:t xml:space="preserve">, the UK and devolved governments recognised </w:t>
      </w:r>
      <w:r w:rsidR="00E8251C">
        <w:rPr>
          <w:rFonts w:ascii="Times New Roman" w:eastAsia="Times New Roman" w:hAnsi="Times New Roman" w:cs="Times New Roman"/>
          <w:color w:val="212121"/>
          <w:sz w:val="24"/>
          <w:szCs w:val="24"/>
          <w:lang w:eastAsia="en-GB"/>
        </w:rPr>
        <w:t>a</w:t>
      </w:r>
      <w:r w:rsidRPr="00184F0B">
        <w:rPr>
          <w:rFonts w:ascii="Times New Roman" w:eastAsia="Times New Roman" w:hAnsi="Times New Roman" w:cs="Times New Roman"/>
          <w:color w:val="212121"/>
          <w:sz w:val="24"/>
          <w:szCs w:val="24"/>
          <w:lang w:eastAsia="en-GB"/>
        </w:rPr>
        <w:t xml:space="preserve"> common regulatory challenge arising as result of the repatriation of competences post-Brexit. </w:t>
      </w:r>
      <w:r w:rsidR="00912293">
        <w:rPr>
          <w:rFonts w:ascii="Times New Roman" w:eastAsia="Times New Roman" w:hAnsi="Times New Roman" w:cs="Times New Roman"/>
          <w:color w:val="212121"/>
          <w:sz w:val="24"/>
          <w:szCs w:val="24"/>
          <w:lang w:eastAsia="en-GB"/>
        </w:rPr>
        <w:t>The subsequent enactment of the UKIMA disturbed that consensus</w:t>
      </w:r>
      <w:r w:rsidR="003C5AF7">
        <w:rPr>
          <w:rFonts w:ascii="Times New Roman" w:eastAsia="Times New Roman" w:hAnsi="Times New Roman" w:cs="Times New Roman"/>
          <w:color w:val="212121"/>
          <w:sz w:val="24"/>
          <w:szCs w:val="24"/>
          <w:lang w:eastAsia="en-GB"/>
        </w:rPr>
        <w:t xml:space="preserve">, </w:t>
      </w:r>
      <w:r w:rsidR="00912293">
        <w:rPr>
          <w:rFonts w:ascii="Times New Roman" w:eastAsia="Times New Roman" w:hAnsi="Times New Roman" w:cs="Times New Roman"/>
          <w:color w:val="212121"/>
          <w:sz w:val="24"/>
          <w:szCs w:val="24"/>
          <w:lang w:eastAsia="en-GB"/>
        </w:rPr>
        <w:t xml:space="preserve">with </w:t>
      </w:r>
      <w:r w:rsidR="003C5AF7">
        <w:rPr>
          <w:rFonts w:ascii="Times New Roman" w:eastAsia="Times New Roman" w:hAnsi="Times New Roman" w:cs="Times New Roman"/>
          <w:color w:val="212121"/>
          <w:sz w:val="24"/>
          <w:szCs w:val="24"/>
          <w:lang w:eastAsia="en-GB"/>
        </w:rPr>
        <w:t xml:space="preserve">the devolved governments </w:t>
      </w:r>
      <w:r w:rsidRPr="00184F0B">
        <w:rPr>
          <w:rFonts w:ascii="Times New Roman" w:eastAsia="Times New Roman" w:hAnsi="Times New Roman" w:cs="Times New Roman"/>
          <w:color w:val="212121"/>
          <w:sz w:val="24"/>
          <w:szCs w:val="24"/>
          <w:lang w:eastAsia="en-GB"/>
        </w:rPr>
        <w:t xml:space="preserve">expressly </w:t>
      </w:r>
      <w:r w:rsidRPr="00184F0B">
        <w:rPr>
          <w:rFonts w:ascii="Times New Roman" w:eastAsia="Times New Roman" w:hAnsi="Times New Roman" w:cs="Times New Roman"/>
          <w:iCs/>
          <w:color w:val="212121"/>
          <w:sz w:val="24"/>
          <w:szCs w:val="24"/>
          <w:lang w:eastAsia="en-GB"/>
        </w:rPr>
        <w:t>refut</w:t>
      </w:r>
      <w:r w:rsidR="00912293">
        <w:rPr>
          <w:rFonts w:ascii="Times New Roman" w:eastAsia="Times New Roman" w:hAnsi="Times New Roman" w:cs="Times New Roman"/>
          <w:iCs/>
          <w:color w:val="212121"/>
          <w:sz w:val="24"/>
          <w:szCs w:val="24"/>
          <w:lang w:eastAsia="en-GB"/>
        </w:rPr>
        <w:t>ing</w:t>
      </w:r>
      <w:r w:rsidRPr="00184F0B">
        <w:rPr>
          <w:rFonts w:ascii="Times New Roman" w:eastAsia="Times New Roman" w:hAnsi="Times New Roman" w:cs="Times New Roman"/>
          <w:color w:val="212121"/>
          <w:sz w:val="24"/>
          <w:szCs w:val="24"/>
          <w:lang w:eastAsia="en-GB"/>
        </w:rPr>
        <w:t xml:space="preserve"> the UK government’s</w:t>
      </w:r>
      <w:r w:rsidR="003C5AF7">
        <w:rPr>
          <w:rFonts w:ascii="Times New Roman" w:eastAsia="Times New Roman" w:hAnsi="Times New Roman" w:cs="Times New Roman"/>
          <w:color w:val="212121"/>
          <w:sz w:val="24"/>
          <w:szCs w:val="24"/>
          <w:lang w:eastAsia="en-GB"/>
        </w:rPr>
        <w:t xml:space="preserve"> </w:t>
      </w:r>
      <w:r w:rsidRPr="00184F0B">
        <w:rPr>
          <w:rFonts w:ascii="Times New Roman" w:eastAsia="Times New Roman" w:hAnsi="Times New Roman" w:cs="Times New Roman"/>
          <w:color w:val="212121"/>
          <w:sz w:val="24"/>
          <w:szCs w:val="24"/>
          <w:lang w:eastAsia="en-GB"/>
        </w:rPr>
        <w:t>diagnosis that</w:t>
      </w:r>
      <w:r w:rsidR="003C5AF7">
        <w:rPr>
          <w:rFonts w:ascii="Times New Roman" w:eastAsia="Times New Roman" w:hAnsi="Times New Roman" w:cs="Times New Roman"/>
          <w:color w:val="212121"/>
          <w:sz w:val="24"/>
          <w:szCs w:val="24"/>
          <w:lang w:eastAsia="en-GB"/>
        </w:rPr>
        <w:t xml:space="preserve"> further intervention was required in the form of</w:t>
      </w:r>
      <w:r w:rsidRPr="00184F0B">
        <w:rPr>
          <w:rFonts w:ascii="Times New Roman" w:eastAsia="Times New Roman" w:hAnsi="Times New Roman" w:cs="Times New Roman"/>
          <w:color w:val="212121"/>
          <w:sz w:val="24"/>
          <w:szCs w:val="24"/>
          <w:lang w:eastAsia="en-GB"/>
        </w:rPr>
        <w:t xml:space="preserve"> the market access principles to prevent the emergence of future obstacles to intra-UK trade.</w:t>
      </w:r>
    </w:p>
    <w:p w14:paraId="7647C281" w14:textId="61D58C57" w:rsidR="005C2112" w:rsidRDefault="005C2112" w:rsidP="000A19C9">
      <w:pPr>
        <w:spacing w:after="0" w:line="360" w:lineRule="auto"/>
        <w:ind w:firstLine="720"/>
        <w:jc w:val="both"/>
        <w:rPr>
          <w:rFonts w:ascii="Times New Roman" w:eastAsia="Times New Roman" w:hAnsi="Times New Roman" w:cs="Times New Roman"/>
          <w:color w:val="212121"/>
          <w:sz w:val="24"/>
          <w:szCs w:val="24"/>
          <w:lang w:eastAsia="en-GB"/>
        </w:rPr>
      </w:pPr>
      <w:r w:rsidRPr="00184F0B">
        <w:rPr>
          <w:rFonts w:ascii="Times New Roman" w:eastAsia="Times New Roman" w:hAnsi="Times New Roman" w:cs="Times New Roman"/>
          <w:color w:val="212121"/>
          <w:sz w:val="24"/>
          <w:szCs w:val="24"/>
          <w:lang w:eastAsia="en-GB"/>
        </w:rPr>
        <w:t xml:space="preserve"> </w:t>
      </w:r>
      <w:r w:rsidR="000A19C9">
        <w:rPr>
          <w:rFonts w:ascii="Times New Roman" w:eastAsia="Times New Roman" w:hAnsi="Times New Roman" w:cs="Times New Roman"/>
          <w:color w:val="212121"/>
          <w:sz w:val="24"/>
          <w:szCs w:val="24"/>
          <w:lang w:eastAsia="en-GB"/>
        </w:rPr>
        <w:t>The gap between the UK and devolved governments in relation to</w:t>
      </w:r>
      <w:r w:rsidRPr="00184F0B">
        <w:rPr>
          <w:rFonts w:ascii="Times New Roman" w:eastAsia="Times New Roman" w:hAnsi="Times New Roman" w:cs="Times New Roman"/>
          <w:color w:val="212121"/>
          <w:sz w:val="24"/>
          <w:szCs w:val="24"/>
          <w:lang w:eastAsia="en-GB"/>
        </w:rPr>
        <w:t xml:space="preserve"> </w:t>
      </w:r>
      <w:r w:rsidR="000A19C9">
        <w:rPr>
          <w:rFonts w:ascii="Times New Roman" w:eastAsia="Times New Roman" w:hAnsi="Times New Roman" w:cs="Times New Roman"/>
          <w:color w:val="212121"/>
          <w:sz w:val="24"/>
          <w:szCs w:val="24"/>
          <w:lang w:eastAsia="en-GB"/>
        </w:rPr>
        <w:t xml:space="preserve">the UK </w:t>
      </w:r>
      <w:r w:rsidRPr="00184F0B">
        <w:rPr>
          <w:rFonts w:ascii="Times New Roman" w:eastAsia="Times New Roman" w:hAnsi="Times New Roman" w:cs="Times New Roman"/>
          <w:color w:val="212121"/>
          <w:sz w:val="24"/>
          <w:szCs w:val="24"/>
          <w:lang w:eastAsia="en-GB"/>
        </w:rPr>
        <w:t xml:space="preserve">internal market </w:t>
      </w:r>
      <w:r>
        <w:rPr>
          <w:rFonts w:ascii="Times New Roman" w:eastAsia="Times New Roman" w:hAnsi="Times New Roman" w:cs="Times New Roman"/>
          <w:color w:val="212121"/>
          <w:sz w:val="24"/>
          <w:szCs w:val="24"/>
          <w:lang w:eastAsia="en-GB"/>
        </w:rPr>
        <w:t>as a</w:t>
      </w:r>
      <w:r w:rsidR="003C5AF7">
        <w:rPr>
          <w:rFonts w:ascii="Times New Roman" w:eastAsia="Times New Roman" w:hAnsi="Times New Roman" w:cs="Times New Roman"/>
          <w:color w:val="212121"/>
          <w:sz w:val="24"/>
          <w:szCs w:val="24"/>
          <w:lang w:eastAsia="en-GB"/>
        </w:rPr>
        <w:t xml:space="preserve">n object of </w:t>
      </w:r>
      <w:r w:rsidR="00EE48AC">
        <w:rPr>
          <w:rFonts w:ascii="Times New Roman" w:eastAsia="Times New Roman" w:hAnsi="Times New Roman" w:cs="Times New Roman"/>
          <w:color w:val="212121"/>
          <w:sz w:val="24"/>
          <w:szCs w:val="24"/>
          <w:lang w:eastAsia="en-GB"/>
        </w:rPr>
        <w:t xml:space="preserve">regulation </w:t>
      </w:r>
      <w:r w:rsidR="000A19C9">
        <w:rPr>
          <w:rFonts w:ascii="Times New Roman" w:eastAsia="Times New Roman" w:hAnsi="Times New Roman" w:cs="Times New Roman"/>
          <w:color w:val="212121"/>
          <w:sz w:val="24"/>
          <w:szCs w:val="24"/>
          <w:lang w:eastAsia="en-GB"/>
        </w:rPr>
        <w:t xml:space="preserve">reflects the pull of competing conception of </w:t>
      </w:r>
      <w:r w:rsidR="000A19C9" w:rsidRPr="00184F0B">
        <w:rPr>
          <w:rFonts w:ascii="Times New Roman" w:eastAsia="Times New Roman" w:hAnsi="Times New Roman" w:cs="Times New Roman"/>
          <w:color w:val="212121"/>
          <w:sz w:val="24"/>
          <w:szCs w:val="24"/>
          <w:lang w:eastAsia="en-GB"/>
        </w:rPr>
        <w:t>self-</w:t>
      </w:r>
      <w:r w:rsidR="000A19C9">
        <w:rPr>
          <w:rFonts w:ascii="Times New Roman" w:eastAsia="Times New Roman" w:hAnsi="Times New Roman" w:cs="Times New Roman"/>
          <w:color w:val="212121"/>
          <w:sz w:val="24"/>
          <w:szCs w:val="24"/>
          <w:lang w:eastAsia="en-GB"/>
        </w:rPr>
        <w:t xml:space="preserve"> </w:t>
      </w:r>
      <w:r w:rsidR="000A19C9" w:rsidRPr="00184F0B">
        <w:rPr>
          <w:rFonts w:ascii="Times New Roman" w:eastAsia="Times New Roman" w:hAnsi="Times New Roman" w:cs="Times New Roman"/>
          <w:color w:val="212121"/>
          <w:sz w:val="24"/>
          <w:szCs w:val="24"/>
          <w:lang w:eastAsia="en-GB"/>
        </w:rPr>
        <w:t>and shared rule</w:t>
      </w:r>
      <w:r w:rsidR="000A19C9">
        <w:rPr>
          <w:rFonts w:ascii="Times New Roman" w:eastAsia="Times New Roman" w:hAnsi="Times New Roman" w:cs="Times New Roman"/>
          <w:color w:val="212121"/>
          <w:sz w:val="24"/>
          <w:szCs w:val="24"/>
          <w:lang w:eastAsia="en-GB"/>
        </w:rPr>
        <w:t xml:space="preserve"> in relation to devolution</w:t>
      </w:r>
      <w:r w:rsidRPr="00184F0B">
        <w:rPr>
          <w:rFonts w:ascii="Times New Roman" w:eastAsia="Times New Roman" w:hAnsi="Times New Roman" w:cs="Times New Roman"/>
          <w:color w:val="212121"/>
          <w:sz w:val="24"/>
          <w:szCs w:val="24"/>
          <w:lang w:eastAsia="en-GB"/>
        </w:rPr>
        <w:t>.</w:t>
      </w:r>
      <w:r w:rsidR="003B059F">
        <w:rPr>
          <w:rStyle w:val="FootnoteReference"/>
          <w:rFonts w:ascii="Times New Roman" w:eastAsia="Times New Roman" w:hAnsi="Times New Roman" w:cs="Times New Roman"/>
          <w:color w:val="212121"/>
          <w:sz w:val="24"/>
          <w:szCs w:val="24"/>
          <w:lang w:eastAsia="en-GB"/>
        </w:rPr>
        <w:footnoteReference w:id="117"/>
      </w:r>
      <w:r w:rsidRPr="00184F0B">
        <w:rPr>
          <w:rFonts w:ascii="Times New Roman" w:eastAsia="Times New Roman" w:hAnsi="Times New Roman" w:cs="Times New Roman"/>
          <w:color w:val="212121"/>
          <w:sz w:val="24"/>
          <w:szCs w:val="24"/>
          <w:lang w:eastAsia="en-GB"/>
        </w:rPr>
        <w:t xml:space="preserve"> For the devolved governments, acknowledging the </w:t>
      </w:r>
      <w:r w:rsidR="000A19C9">
        <w:rPr>
          <w:rFonts w:ascii="Times New Roman" w:eastAsia="Times New Roman" w:hAnsi="Times New Roman" w:cs="Times New Roman"/>
          <w:color w:val="212121"/>
          <w:sz w:val="24"/>
          <w:szCs w:val="24"/>
          <w:lang w:eastAsia="en-GB"/>
        </w:rPr>
        <w:t xml:space="preserve">UK </w:t>
      </w:r>
      <w:r w:rsidRPr="00184F0B">
        <w:rPr>
          <w:rFonts w:ascii="Times New Roman" w:eastAsia="Times New Roman" w:hAnsi="Times New Roman" w:cs="Times New Roman"/>
          <w:color w:val="212121"/>
          <w:sz w:val="24"/>
          <w:szCs w:val="24"/>
          <w:lang w:eastAsia="en-GB"/>
        </w:rPr>
        <w:t>internal market as a</w:t>
      </w:r>
      <w:r w:rsidR="000A19C9">
        <w:rPr>
          <w:rFonts w:ascii="Times New Roman" w:eastAsia="Times New Roman" w:hAnsi="Times New Roman" w:cs="Times New Roman"/>
          <w:color w:val="212121"/>
          <w:sz w:val="24"/>
          <w:szCs w:val="24"/>
          <w:lang w:eastAsia="en-GB"/>
        </w:rPr>
        <w:t xml:space="preserve"> shared</w:t>
      </w:r>
      <w:r w:rsidRPr="00184F0B">
        <w:rPr>
          <w:rFonts w:ascii="Times New Roman" w:eastAsia="Times New Roman" w:hAnsi="Times New Roman" w:cs="Times New Roman"/>
          <w:color w:val="212121"/>
          <w:sz w:val="24"/>
          <w:szCs w:val="24"/>
          <w:lang w:eastAsia="en-GB"/>
        </w:rPr>
        <w:t xml:space="preserve"> regulatory space that cuts across the devolved competences challenges </w:t>
      </w:r>
      <w:r w:rsidR="000A19C9">
        <w:rPr>
          <w:rFonts w:ascii="Times New Roman" w:eastAsia="Times New Roman" w:hAnsi="Times New Roman" w:cs="Times New Roman"/>
          <w:color w:val="212121"/>
          <w:sz w:val="24"/>
          <w:szCs w:val="24"/>
          <w:lang w:eastAsia="en-GB"/>
        </w:rPr>
        <w:t>the view of</w:t>
      </w:r>
      <w:r w:rsidRPr="00184F0B">
        <w:rPr>
          <w:rFonts w:ascii="Times New Roman" w:eastAsia="Times New Roman" w:hAnsi="Times New Roman" w:cs="Times New Roman"/>
          <w:color w:val="212121"/>
          <w:sz w:val="24"/>
          <w:szCs w:val="24"/>
          <w:lang w:eastAsia="en-GB"/>
        </w:rPr>
        <w:t xml:space="preserve"> </w:t>
      </w:r>
      <w:r w:rsidR="000A19C9">
        <w:rPr>
          <w:rFonts w:ascii="Times New Roman" w:eastAsia="Times New Roman" w:hAnsi="Times New Roman" w:cs="Times New Roman"/>
          <w:color w:val="212121"/>
          <w:sz w:val="24"/>
          <w:szCs w:val="24"/>
          <w:lang w:eastAsia="en-GB"/>
        </w:rPr>
        <w:t>devolution as ‘voluntary union of nations</w:t>
      </w:r>
      <w:r w:rsidR="009820E5">
        <w:rPr>
          <w:rFonts w:ascii="Times New Roman" w:eastAsia="Times New Roman" w:hAnsi="Times New Roman" w:cs="Times New Roman"/>
          <w:color w:val="212121"/>
          <w:sz w:val="24"/>
          <w:szCs w:val="24"/>
          <w:lang w:eastAsia="en-GB"/>
        </w:rPr>
        <w:t xml:space="preserve">,’ </w:t>
      </w:r>
      <w:r w:rsidR="000A19C9">
        <w:rPr>
          <w:rFonts w:ascii="Times New Roman" w:eastAsia="Times New Roman" w:hAnsi="Times New Roman" w:cs="Times New Roman"/>
          <w:color w:val="212121"/>
          <w:sz w:val="24"/>
          <w:szCs w:val="24"/>
          <w:lang w:eastAsia="en-GB"/>
        </w:rPr>
        <w:t>according to which devolved competences exist as a direct expression of democratic self-rule.</w:t>
      </w:r>
      <w:r w:rsidR="000A19C9">
        <w:rPr>
          <w:rStyle w:val="FootnoteReference"/>
          <w:rFonts w:ascii="Times New Roman" w:eastAsia="Times New Roman" w:hAnsi="Times New Roman" w:cs="Times New Roman"/>
          <w:color w:val="212121"/>
          <w:sz w:val="24"/>
          <w:szCs w:val="24"/>
          <w:lang w:eastAsia="en-GB"/>
        </w:rPr>
        <w:footnoteReference w:id="118"/>
      </w:r>
      <w:r w:rsidR="000A19C9">
        <w:rPr>
          <w:rFonts w:ascii="Times New Roman" w:eastAsia="Times New Roman" w:hAnsi="Times New Roman" w:cs="Times New Roman"/>
          <w:color w:val="212121"/>
          <w:sz w:val="24"/>
          <w:szCs w:val="24"/>
          <w:lang w:eastAsia="en-GB"/>
        </w:rPr>
        <w:t xml:space="preserve"> </w:t>
      </w:r>
      <w:r w:rsidRPr="00184F0B">
        <w:rPr>
          <w:rFonts w:ascii="Times New Roman" w:eastAsia="Times New Roman" w:hAnsi="Times New Roman" w:cs="Times New Roman"/>
          <w:color w:val="212121"/>
          <w:sz w:val="24"/>
          <w:szCs w:val="24"/>
          <w:lang w:eastAsia="en-GB"/>
        </w:rPr>
        <w:t xml:space="preserve">This is apparent, post-Brexit, from the devolved governments’ concerns about the </w:t>
      </w:r>
      <w:r w:rsidRPr="005C2112">
        <w:rPr>
          <w:rFonts w:ascii="Times New Roman" w:eastAsia="Times New Roman" w:hAnsi="Times New Roman" w:cs="Times New Roman"/>
          <w:color w:val="212121"/>
          <w:sz w:val="24"/>
          <w:szCs w:val="24"/>
          <w:lang w:eastAsia="en-GB"/>
        </w:rPr>
        <w:t>practical</w:t>
      </w:r>
      <w:r w:rsidRPr="00184F0B">
        <w:rPr>
          <w:rFonts w:ascii="Times New Roman" w:eastAsia="Times New Roman" w:hAnsi="Times New Roman" w:cs="Times New Roman"/>
          <w:color w:val="212121"/>
          <w:sz w:val="24"/>
          <w:szCs w:val="24"/>
          <w:lang w:eastAsia="en-GB"/>
        </w:rPr>
        <w:t xml:space="preserve"> effects of the market access principles on their regulatory autonomy</w:t>
      </w:r>
      <w:r w:rsidR="009820E5">
        <w:rPr>
          <w:rFonts w:ascii="Times New Roman" w:eastAsia="Times New Roman" w:hAnsi="Times New Roman" w:cs="Times New Roman"/>
          <w:color w:val="212121"/>
          <w:sz w:val="24"/>
          <w:szCs w:val="24"/>
          <w:lang w:eastAsia="en-GB"/>
        </w:rPr>
        <w:t xml:space="preserve"> (Section 3</w:t>
      </w:r>
      <w:r w:rsidR="007F6316">
        <w:rPr>
          <w:rFonts w:ascii="Times New Roman" w:eastAsia="Times New Roman" w:hAnsi="Times New Roman" w:cs="Times New Roman"/>
          <w:color w:val="212121"/>
          <w:sz w:val="24"/>
          <w:szCs w:val="24"/>
          <w:lang w:eastAsia="en-GB"/>
        </w:rPr>
        <w:t>.2</w:t>
      </w:r>
      <w:r w:rsidR="009820E5">
        <w:rPr>
          <w:rFonts w:ascii="Times New Roman" w:eastAsia="Times New Roman" w:hAnsi="Times New Roman" w:cs="Times New Roman"/>
          <w:color w:val="212121"/>
          <w:sz w:val="24"/>
          <w:szCs w:val="24"/>
          <w:lang w:eastAsia="en-GB"/>
        </w:rPr>
        <w:t>, above)</w:t>
      </w:r>
      <w:r w:rsidRPr="00184F0B">
        <w:rPr>
          <w:rFonts w:ascii="Times New Roman" w:eastAsia="Times New Roman" w:hAnsi="Times New Roman" w:cs="Times New Roman"/>
          <w:color w:val="212121"/>
          <w:sz w:val="24"/>
          <w:szCs w:val="24"/>
          <w:lang w:eastAsia="en-GB"/>
        </w:rPr>
        <w:t>. Resistance to the application of these principles</w:t>
      </w:r>
      <w:r w:rsidR="000A19C9">
        <w:rPr>
          <w:rFonts w:ascii="Times New Roman" w:eastAsia="Times New Roman" w:hAnsi="Times New Roman" w:cs="Times New Roman"/>
          <w:color w:val="212121"/>
          <w:sz w:val="24"/>
          <w:szCs w:val="24"/>
          <w:lang w:eastAsia="en-GB"/>
        </w:rPr>
        <w:t xml:space="preserve"> </w:t>
      </w:r>
      <w:r w:rsidR="00506A0C">
        <w:rPr>
          <w:rFonts w:ascii="Times New Roman" w:eastAsia="Times New Roman" w:hAnsi="Times New Roman" w:cs="Times New Roman"/>
          <w:color w:val="212121"/>
          <w:sz w:val="24"/>
          <w:szCs w:val="24"/>
          <w:lang w:eastAsia="en-GB"/>
        </w:rPr>
        <w:t>follows from</w:t>
      </w:r>
      <w:r w:rsidRPr="00184F0B">
        <w:rPr>
          <w:rFonts w:ascii="Times New Roman" w:eastAsia="Times New Roman" w:hAnsi="Times New Roman" w:cs="Times New Roman"/>
          <w:color w:val="212121"/>
          <w:sz w:val="24"/>
          <w:szCs w:val="24"/>
          <w:lang w:eastAsia="en-GB"/>
        </w:rPr>
        <w:t xml:space="preserve"> their capacity to reduce the power of the devolved government</w:t>
      </w:r>
      <w:r w:rsidR="009820E5">
        <w:rPr>
          <w:rFonts w:ascii="Times New Roman" w:eastAsia="Times New Roman" w:hAnsi="Times New Roman" w:cs="Times New Roman"/>
          <w:color w:val="212121"/>
          <w:sz w:val="24"/>
          <w:szCs w:val="24"/>
          <w:lang w:eastAsia="en-GB"/>
        </w:rPr>
        <w:t xml:space="preserve">s </w:t>
      </w:r>
      <w:r w:rsidRPr="00184F0B">
        <w:rPr>
          <w:rFonts w:ascii="Times New Roman" w:eastAsia="Times New Roman" w:hAnsi="Times New Roman" w:cs="Times New Roman"/>
          <w:color w:val="212121"/>
          <w:sz w:val="24"/>
          <w:szCs w:val="24"/>
          <w:lang w:eastAsia="en-GB"/>
        </w:rPr>
        <w:t xml:space="preserve">to exercise full </w:t>
      </w:r>
      <w:r w:rsidRPr="00184F0B">
        <w:rPr>
          <w:rFonts w:ascii="Times New Roman" w:eastAsia="Times New Roman" w:hAnsi="Times New Roman" w:cs="Times New Roman"/>
          <w:color w:val="212121"/>
          <w:sz w:val="24"/>
          <w:szCs w:val="24"/>
          <w:lang w:eastAsia="en-GB"/>
        </w:rPr>
        <w:lastRenderedPageBreak/>
        <w:t>control over the regulation of economic activity within their respective territories.</w:t>
      </w:r>
      <w:r w:rsidR="003210F7">
        <w:rPr>
          <w:rStyle w:val="FootnoteReference"/>
          <w:rFonts w:ascii="Times New Roman" w:eastAsia="Times New Roman" w:hAnsi="Times New Roman" w:cs="Times New Roman"/>
          <w:color w:val="212121"/>
          <w:sz w:val="24"/>
          <w:szCs w:val="24"/>
          <w:lang w:eastAsia="en-GB"/>
        </w:rPr>
        <w:footnoteReference w:id="119"/>
      </w:r>
      <w:r w:rsidRPr="00184F0B">
        <w:rPr>
          <w:rFonts w:ascii="Times New Roman" w:eastAsia="Times New Roman" w:hAnsi="Times New Roman" w:cs="Times New Roman"/>
          <w:color w:val="212121"/>
          <w:sz w:val="24"/>
          <w:szCs w:val="24"/>
          <w:lang w:eastAsia="en-GB"/>
        </w:rPr>
        <w:t xml:space="preserve"> </w:t>
      </w:r>
      <w:r w:rsidR="00751D27">
        <w:rPr>
          <w:rFonts w:ascii="Times New Roman" w:eastAsia="Times New Roman" w:hAnsi="Times New Roman" w:cs="Times New Roman"/>
          <w:color w:val="212121"/>
          <w:sz w:val="24"/>
          <w:szCs w:val="24"/>
          <w:lang w:eastAsia="en-GB"/>
        </w:rPr>
        <w:t>The concern here is amplified</w:t>
      </w:r>
      <w:r w:rsidR="005A350A">
        <w:rPr>
          <w:rFonts w:ascii="Times New Roman" w:eastAsia="Times New Roman" w:hAnsi="Times New Roman" w:cs="Times New Roman"/>
          <w:color w:val="212121"/>
          <w:sz w:val="24"/>
          <w:szCs w:val="24"/>
          <w:lang w:eastAsia="en-GB"/>
        </w:rPr>
        <w:t xml:space="preserve"> when one considers the </w:t>
      </w:r>
      <w:r w:rsidR="00506A0C">
        <w:rPr>
          <w:rFonts w:ascii="Times New Roman" w:eastAsia="Times New Roman" w:hAnsi="Times New Roman" w:cs="Times New Roman"/>
          <w:color w:val="212121"/>
          <w:sz w:val="24"/>
          <w:szCs w:val="24"/>
          <w:lang w:eastAsia="en-GB"/>
        </w:rPr>
        <w:t>dominance</w:t>
      </w:r>
      <w:r w:rsidR="005A350A">
        <w:rPr>
          <w:rFonts w:ascii="Times New Roman" w:eastAsia="Times New Roman" w:hAnsi="Times New Roman" w:cs="Times New Roman"/>
          <w:color w:val="212121"/>
          <w:sz w:val="24"/>
          <w:szCs w:val="24"/>
          <w:lang w:eastAsia="en-GB"/>
        </w:rPr>
        <w:t xml:space="preserve"> of England as the largest of the four UK markets.</w:t>
      </w:r>
      <w:r w:rsidR="00BC5D04">
        <w:rPr>
          <w:rStyle w:val="FootnoteReference"/>
          <w:rFonts w:ascii="Times New Roman" w:eastAsia="Times New Roman" w:hAnsi="Times New Roman" w:cs="Times New Roman"/>
          <w:color w:val="212121"/>
          <w:sz w:val="24"/>
          <w:szCs w:val="24"/>
          <w:lang w:eastAsia="en-GB"/>
        </w:rPr>
        <w:footnoteReference w:id="120"/>
      </w:r>
    </w:p>
    <w:p w14:paraId="39FDB2D1" w14:textId="5875C404" w:rsidR="005C2112" w:rsidRDefault="005C2112" w:rsidP="005C2112">
      <w:pPr>
        <w:spacing w:after="0" w:line="360" w:lineRule="auto"/>
        <w:ind w:firstLine="720"/>
        <w:jc w:val="both"/>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T</w:t>
      </w:r>
      <w:r w:rsidRPr="00C15964">
        <w:rPr>
          <w:rFonts w:ascii="Times New Roman" w:eastAsia="Times New Roman" w:hAnsi="Times New Roman" w:cs="Times New Roman"/>
          <w:color w:val="212121"/>
          <w:sz w:val="24"/>
          <w:szCs w:val="24"/>
          <w:lang w:eastAsia="en-GB"/>
        </w:rPr>
        <w:t>he UK government, on the other hand,</w:t>
      </w:r>
      <w:r>
        <w:rPr>
          <w:rFonts w:ascii="Times New Roman" w:eastAsia="Times New Roman" w:hAnsi="Times New Roman" w:cs="Times New Roman"/>
          <w:color w:val="212121"/>
          <w:sz w:val="24"/>
          <w:szCs w:val="24"/>
          <w:lang w:eastAsia="en-GB"/>
        </w:rPr>
        <w:t xml:space="preserve"> appears more open, conceptually, to the idea of</w:t>
      </w:r>
      <w:r w:rsidRPr="00C15964">
        <w:rPr>
          <w:rFonts w:ascii="Times New Roman" w:eastAsia="Times New Roman" w:hAnsi="Times New Roman" w:cs="Times New Roman"/>
          <w:color w:val="212121"/>
          <w:sz w:val="24"/>
          <w:szCs w:val="24"/>
          <w:lang w:eastAsia="en-GB"/>
        </w:rPr>
        <w:t xml:space="preserve"> the</w:t>
      </w:r>
      <w:r>
        <w:rPr>
          <w:rFonts w:ascii="Times New Roman" w:eastAsia="Times New Roman" w:hAnsi="Times New Roman" w:cs="Times New Roman"/>
          <w:color w:val="212121"/>
          <w:sz w:val="24"/>
          <w:szCs w:val="24"/>
          <w:lang w:eastAsia="en-GB"/>
        </w:rPr>
        <w:t xml:space="preserve"> UK</w:t>
      </w:r>
      <w:r w:rsidRPr="00C15964">
        <w:rPr>
          <w:rFonts w:ascii="Times New Roman" w:eastAsia="Times New Roman" w:hAnsi="Times New Roman" w:cs="Times New Roman"/>
          <w:color w:val="212121"/>
          <w:sz w:val="24"/>
          <w:szCs w:val="24"/>
          <w:lang w:eastAsia="en-GB"/>
        </w:rPr>
        <w:t xml:space="preserve"> internal market </w:t>
      </w:r>
      <w:r>
        <w:rPr>
          <w:rFonts w:ascii="Times New Roman" w:eastAsia="Times New Roman" w:hAnsi="Times New Roman" w:cs="Times New Roman"/>
          <w:color w:val="212121"/>
          <w:sz w:val="24"/>
          <w:szCs w:val="24"/>
          <w:lang w:eastAsia="en-GB"/>
        </w:rPr>
        <w:t>as a</w:t>
      </w:r>
      <w:r w:rsidR="00630BBC">
        <w:rPr>
          <w:rFonts w:ascii="Times New Roman" w:eastAsia="Times New Roman" w:hAnsi="Times New Roman" w:cs="Times New Roman"/>
          <w:color w:val="212121"/>
          <w:sz w:val="24"/>
          <w:szCs w:val="24"/>
          <w:lang w:eastAsia="en-GB"/>
        </w:rPr>
        <w:t xml:space="preserve"> shared</w:t>
      </w:r>
      <w:r>
        <w:rPr>
          <w:rFonts w:ascii="Times New Roman" w:eastAsia="Times New Roman" w:hAnsi="Times New Roman" w:cs="Times New Roman"/>
          <w:color w:val="212121"/>
          <w:sz w:val="24"/>
          <w:szCs w:val="24"/>
          <w:lang w:eastAsia="en-GB"/>
        </w:rPr>
        <w:t xml:space="preserve"> regulatory space requiring the introduction of </w:t>
      </w:r>
      <w:r w:rsidR="00506A0C">
        <w:rPr>
          <w:rFonts w:ascii="Times New Roman" w:eastAsia="Times New Roman" w:hAnsi="Times New Roman" w:cs="Times New Roman"/>
          <w:color w:val="212121"/>
          <w:sz w:val="24"/>
          <w:szCs w:val="24"/>
          <w:lang w:eastAsia="en-GB"/>
        </w:rPr>
        <w:t>additional directly enforceable legal principles</w:t>
      </w:r>
      <w:r w:rsidR="004D37E7">
        <w:rPr>
          <w:rFonts w:ascii="Times New Roman" w:eastAsia="Times New Roman" w:hAnsi="Times New Roman" w:cs="Times New Roman"/>
          <w:color w:val="212121"/>
          <w:sz w:val="24"/>
          <w:szCs w:val="24"/>
          <w:lang w:eastAsia="en-GB"/>
        </w:rPr>
        <w:t xml:space="preserve"> </w:t>
      </w:r>
      <w:r w:rsidR="00630BBC">
        <w:rPr>
          <w:rFonts w:ascii="Times New Roman" w:eastAsia="Times New Roman" w:hAnsi="Times New Roman" w:cs="Times New Roman"/>
          <w:color w:val="212121"/>
          <w:sz w:val="24"/>
          <w:szCs w:val="24"/>
          <w:lang w:eastAsia="en-GB"/>
        </w:rPr>
        <w:t xml:space="preserve">to manage </w:t>
      </w:r>
      <w:r w:rsidR="00506A0C">
        <w:rPr>
          <w:rFonts w:ascii="Times New Roman" w:eastAsia="Times New Roman" w:hAnsi="Times New Roman" w:cs="Times New Roman"/>
          <w:color w:val="212121"/>
          <w:sz w:val="24"/>
          <w:szCs w:val="24"/>
          <w:lang w:eastAsia="en-GB"/>
        </w:rPr>
        <w:t xml:space="preserve">future </w:t>
      </w:r>
      <w:r w:rsidR="00630BBC">
        <w:rPr>
          <w:rFonts w:ascii="Times New Roman" w:eastAsia="Times New Roman" w:hAnsi="Times New Roman" w:cs="Times New Roman"/>
          <w:color w:val="212121"/>
          <w:sz w:val="24"/>
          <w:szCs w:val="24"/>
          <w:lang w:eastAsia="en-GB"/>
        </w:rPr>
        <w:t>policy divergence</w:t>
      </w:r>
      <w:r>
        <w:rPr>
          <w:rFonts w:ascii="Times New Roman" w:eastAsia="Times New Roman" w:hAnsi="Times New Roman" w:cs="Times New Roman"/>
          <w:color w:val="212121"/>
          <w:sz w:val="24"/>
          <w:szCs w:val="24"/>
          <w:lang w:eastAsia="en-GB"/>
        </w:rPr>
        <w:t xml:space="preserve">. </w:t>
      </w:r>
      <w:r w:rsidRPr="00184F0B">
        <w:rPr>
          <w:rFonts w:ascii="Times New Roman" w:eastAsia="Times New Roman" w:hAnsi="Times New Roman" w:cs="Times New Roman"/>
          <w:color w:val="212121"/>
          <w:sz w:val="24"/>
          <w:szCs w:val="24"/>
          <w:lang w:eastAsia="en-GB"/>
        </w:rPr>
        <w:t>However</w:t>
      </w:r>
      <w:r>
        <w:rPr>
          <w:rFonts w:ascii="Times New Roman" w:eastAsia="Times New Roman" w:hAnsi="Times New Roman" w:cs="Times New Roman"/>
          <w:color w:val="212121"/>
          <w:sz w:val="24"/>
          <w:szCs w:val="24"/>
          <w:lang w:eastAsia="en-GB"/>
        </w:rPr>
        <w:t>, its</w:t>
      </w:r>
      <w:r w:rsidRPr="00184F0B">
        <w:rPr>
          <w:rFonts w:ascii="Times New Roman" w:eastAsia="Times New Roman" w:hAnsi="Times New Roman" w:cs="Times New Roman"/>
          <w:color w:val="212121"/>
          <w:sz w:val="24"/>
          <w:szCs w:val="24"/>
          <w:lang w:eastAsia="en-GB"/>
        </w:rPr>
        <w:t xml:space="preserve"> diagnosis of the regulatory problem (prospective regulatory divergence as an obstacle to intra-UK trade) is not matched by a developed understanding of </w:t>
      </w:r>
      <w:r w:rsidRPr="00184F0B">
        <w:rPr>
          <w:rFonts w:ascii="Times New Roman" w:eastAsia="Times New Roman" w:hAnsi="Times New Roman" w:cs="Times New Roman"/>
          <w:i/>
          <w:iCs/>
          <w:color w:val="212121"/>
          <w:sz w:val="24"/>
          <w:szCs w:val="24"/>
          <w:lang w:eastAsia="en-GB"/>
        </w:rPr>
        <w:t>how</w:t>
      </w:r>
      <w:r w:rsidRPr="00184F0B">
        <w:rPr>
          <w:rFonts w:ascii="Times New Roman" w:eastAsia="Times New Roman" w:hAnsi="Times New Roman" w:cs="Times New Roman"/>
          <w:color w:val="212121"/>
          <w:sz w:val="24"/>
          <w:szCs w:val="24"/>
          <w:lang w:eastAsia="en-GB"/>
        </w:rPr>
        <w:t xml:space="preserve"> </w:t>
      </w:r>
      <w:r>
        <w:rPr>
          <w:rFonts w:ascii="Times New Roman" w:eastAsia="Times New Roman" w:hAnsi="Times New Roman" w:cs="Times New Roman"/>
          <w:color w:val="212121"/>
          <w:sz w:val="24"/>
          <w:szCs w:val="24"/>
          <w:lang w:eastAsia="en-GB"/>
        </w:rPr>
        <w:t xml:space="preserve">shared rule </w:t>
      </w:r>
      <w:r w:rsidRPr="00184F0B">
        <w:rPr>
          <w:rFonts w:ascii="Times New Roman" w:eastAsia="Times New Roman" w:hAnsi="Times New Roman" w:cs="Times New Roman"/>
          <w:color w:val="212121"/>
          <w:sz w:val="24"/>
          <w:szCs w:val="24"/>
          <w:lang w:eastAsia="en-GB"/>
        </w:rPr>
        <w:t xml:space="preserve">should operate in practice. Its initial attempt through the Common Frameworks represents the clearest attempt to bring together the UK and devolved governments to agree on future policy coordination. </w:t>
      </w:r>
      <w:r w:rsidR="00506A0C">
        <w:rPr>
          <w:rFonts w:ascii="Times New Roman" w:eastAsia="Times New Roman" w:hAnsi="Times New Roman" w:cs="Times New Roman"/>
          <w:color w:val="212121"/>
          <w:sz w:val="24"/>
          <w:szCs w:val="24"/>
          <w:lang w:eastAsia="en-GB"/>
        </w:rPr>
        <w:t>But that insight was short-lived. The subsequent</w:t>
      </w:r>
      <w:r w:rsidRPr="00184F0B">
        <w:rPr>
          <w:rFonts w:ascii="Times New Roman" w:eastAsia="Times New Roman" w:hAnsi="Times New Roman" w:cs="Times New Roman"/>
          <w:color w:val="212121"/>
          <w:sz w:val="24"/>
          <w:szCs w:val="24"/>
          <w:lang w:eastAsia="en-GB"/>
        </w:rPr>
        <w:t xml:space="preserve"> approach</w:t>
      </w:r>
      <w:r w:rsidR="00506A0C">
        <w:rPr>
          <w:rFonts w:ascii="Times New Roman" w:eastAsia="Times New Roman" w:hAnsi="Times New Roman" w:cs="Times New Roman"/>
          <w:color w:val="212121"/>
          <w:sz w:val="24"/>
          <w:szCs w:val="24"/>
          <w:lang w:eastAsia="en-GB"/>
        </w:rPr>
        <w:t xml:space="preserve"> of the Johnson government</w:t>
      </w:r>
      <w:r w:rsidRPr="00184F0B">
        <w:rPr>
          <w:rFonts w:ascii="Times New Roman" w:eastAsia="Times New Roman" w:hAnsi="Times New Roman" w:cs="Times New Roman"/>
          <w:color w:val="212121"/>
          <w:sz w:val="24"/>
          <w:szCs w:val="24"/>
          <w:lang w:eastAsia="en-GB"/>
        </w:rPr>
        <w:t xml:space="preserve"> </w:t>
      </w:r>
      <w:r w:rsidR="00506A0C">
        <w:rPr>
          <w:rFonts w:ascii="Times New Roman" w:eastAsia="Times New Roman" w:hAnsi="Times New Roman" w:cs="Times New Roman"/>
          <w:color w:val="212121"/>
          <w:sz w:val="24"/>
          <w:szCs w:val="24"/>
          <w:lang w:eastAsia="en-GB"/>
        </w:rPr>
        <w:t>through</w:t>
      </w:r>
      <w:r w:rsidRPr="00184F0B">
        <w:rPr>
          <w:rFonts w:ascii="Times New Roman" w:eastAsia="Times New Roman" w:hAnsi="Times New Roman" w:cs="Times New Roman"/>
          <w:color w:val="212121"/>
          <w:sz w:val="24"/>
          <w:szCs w:val="24"/>
          <w:lang w:eastAsia="en-GB"/>
        </w:rPr>
        <w:t xml:space="preserve"> the UKIMA repudiate</w:t>
      </w:r>
      <w:r w:rsidR="00D338A9">
        <w:rPr>
          <w:rFonts w:ascii="Times New Roman" w:eastAsia="Times New Roman" w:hAnsi="Times New Roman" w:cs="Times New Roman"/>
          <w:color w:val="212121"/>
          <w:sz w:val="24"/>
          <w:szCs w:val="24"/>
          <w:lang w:eastAsia="en-GB"/>
        </w:rPr>
        <w:t>d</w:t>
      </w:r>
      <w:r w:rsidRPr="00184F0B">
        <w:rPr>
          <w:rFonts w:ascii="Times New Roman" w:eastAsia="Times New Roman" w:hAnsi="Times New Roman" w:cs="Times New Roman"/>
          <w:color w:val="212121"/>
          <w:sz w:val="24"/>
          <w:szCs w:val="24"/>
          <w:lang w:eastAsia="en-GB"/>
        </w:rPr>
        <w:t xml:space="preserve"> the very idea of shared rule by monopolising political authority </w:t>
      </w:r>
      <w:r w:rsidR="00762141">
        <w:rPr>
          <w:rFonts w:ascii="Times New Roman" w:eastAsia="Times New Roman" w:hAnsi="Times New Roman" w:cs="Times New Roman"/>
          <w:color w:val="212121"/>
          <w:sz w:val="24"/>
          <w:szCs w:val="24"/>
          <w:lang w:eastAsia="en-GB"/>
        </w:rPr>
        <w:t>from</w:t>
      </w:r>
      <w:r w:rsidRPr="00184F0B">
        <w:rPr>
          <w:rFonts w:ascii="Times New Roman" w:eastAsia="Times New Roman" w:hAnsi="Times New Roman" w:cs="Times New Roman"/>
          <w:color w:val="212121"/>
          <w:sz w:val="24"/>
          <w:szCs w:val="24"/>
          <w:lang w:eastAsia="en-GB"/>
        </w:rPr>
        <w:t xml:space="preserve"> the centre. </w:t>
      </w:r>
    </w:p>
    <w:p w14:paraId="54C1E1C1" w14:textId="0CF4A91D" w:rsidR="004D37E7" w:rsidRDefault="00912293" w:rsidP="00FE55E8">
      <w:pPr>
        <w:spacing w:after="0" w:line="360" w:lineRule="auto"/>
        <w:ind w:firstLine="720"/>
        <w:jc w:val="both"/>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Disagreement over the UK internal market as a</w:t>
      </w:r>
      <w:r w:rsidR="004D37E7">
        <w:rPr>
          <w:rFonts w:ascii="Times New Roman" w:eastAsia="Times New Roman" w:hAnsi="Times New Roman" w:cs="Times New Roman"/>
          <w:color w:val="212121"/>
          <w:sz w:val="24"/>
          <w:szCs w:val="24"/>
          <w:lang w:eastAsia="en-GB"/>
        </w:rPr>
        <w:t xml:space="preserve"> regulatory object</w:t>
      </w:r>
      <w:r>
        <w:rPr>
          <w:rFonts w:ascii="Times New Roman" w:eastAsia="Times New Roman" w:hAnsi="Times New Roman" w:cs="Times New Roman"/>
          <w:color w:val="212121"/>
          <w:sz w:val="24"/>
          <w:szCs w:val="24"/>
          <w:lang w:eastAsia="en-GB"/>
        </w:rPr>
        <w:t xml:space="preserve"> extends to normative </w:t>
      </w:r>
      <w:r w:rsidR="004E0291">
        <w:rPr>
          <w:rFonts w:ascii="Times New Roman" w:eastAsia="Times New Roman" w:hAnsi="Times New Roman" w:cs="Times New Roman"/>
          <w:color w:val="212121"/>
          <w:sz w:val="24"/>
          <w:szCs w:val="24"/>
          <w:lang w:eastAsia="en-GB"/>
        </w:rPr>
        <w:t>principles</w:t>
      </w:r>
      <w:r>
        <w:rPr>
          <w:rFonts w:ascii="Times New Roman" w:eastAsia="Times New Roman" w:hAnsi="Times New Roman" w:cs="Times New Roman"/>
          <w:color w:val="212121"/>
          <w:sz w:val="24"/>
          <w:szCs w:val="24"/>
          <w:lang w:eastAsia="en-GB"/>
        </w:rPr>
        <w:t xml:space="preserve">. </w:t>
      </w:r>
      <w:r w:rsidR="00EE48AC">
        <w:rPr>
          <w:rFonts w:ascii="Times New Roman" w:eastAsia="Times New Roman" w:hAnsi="Times New Roman" w:cs="Times New Roman"/>
          <w:color w:val="212121"/>
          <w:sz w:val="24"/>
          <w:szCs w:val="24"/>
          <w:lang w:eastAsia="en-GB"/>
        </w:rPr>
        <w:t>Under the Common Frameworks, the UK and devolved governments</w:t>
      </w:r>
      <w:r w:rsidR="00506A0C">
        <w:rPr>
          <w:rFonts w:ascii="Times New Roman" w:eastAsia="Times New Roman" w:hAnsi="Times New Roman" w:cs="Times New Roman"/>
          <w:color w:val="212121"/>
          <w:sz w:val="24"/>
          <w:szCs w:val="24"/>
          <w:lang w:eastAsia="en-GB"/>
        </w:rPr>
        <w:t xml:space="preserve"> </w:t>
      </w:r>
      <w:r w:rsidR="009820E5">
        <w:rPr>
          <w:rFonts w:ascii="Times New Roman" w:eastAsia="Times New Roman" w:hAnsi="Times New Roman" w:cs="Times New Roman"/>
          <w:color w:val="212121"/>
          <w:sz w:val="24"/>
          <w:szCs w:val="24"/>
          <w:lang w:eastAsia="en-GB"/>
        </w:rPr>
        <w:t>effectively</w:t>
      </w:r>
      <w:r w:rsidR="00EE48AC">
        <w:rPr>
          <w:rFonts w:ascii="Times New Roman" w:eastAsia="Times New Roman" w:hAnsi="Times New Roman" w:cs="Times New Roman"/>
          <w:color w:val="212121"/>
          <w:sz w:val="24"/>
          <w:szCs w:val="24"/>
          <w:lang w:eastAsia="en-GB"/>
        </w:rPr>
        <w:t xml:space="preserve"> sidestepped </w:t>
      </w:r>
      <w:r w:rsidR="004D37E7">
        <w:rPr>
          <w:rFonts w:ascii="Times New Roman" w:eastAsia="Times New Roman" w:hAnsi="Times New Roman" w:cs="Times New Roman"/>
          <w:color w:val="212121"/>
          <w:sz w:val="24"/>
          <w:szCs w:val="24"/>
          <w:lang w:eastAsia="en-GB"/>
        </w:rPr>
        <w:t xml:space="preserve">the crucial matter </w:t>
      </w:r>
      <w:r w:rsidR="00EE48AC">
        <w:rPr>
          <w:rFonts w:ascii="Times New Roman" w:eastAsia="Times New Roman" w:hAnsi="Times New Roman" w:cs="Times New Roman"/>
          <w:color w:val="212121"/>
          <w:sz w:val="24"/>
          <w:szCs w:val="24"/>
          <w:lang w:eastAsia="en-GB"/>
        </w:rPr>
        <w:t>of</w:t>
      </w:r>
      <w:r w:rsidR="004D37E7">
        <w:rPr>
          <w:rFonts w:ascii="Times New Roman" w:eastAsia="Times New Roman" w:hAnsi="Times New Roman" w:cs="Times New Roman"/>
          <w:color w:val="212121"/>
          <w:sz w:val="24"/>
          <w:szCs w:val="24"/>
          <w:lang w:eastAsia="en-GB"/>
        </w:rPr>
        <w:t xml:space="preserve"> determining</w:t>
      </w:r>
      <w:r w:rsidR="00EE48AC">
        <w:rPr>
          <w:rFonts w:ascii="Times New Roman" w:eastAsia="Times New Roman" w:hAnsi="Times New Roman" w:cs="Times New Roman"/>
          <w:color w:val="212121"/>
          <w:sz w:val="24"/>
          <w:szCs w:val="24"/>
          <w:lang w:eastAsia="en-GB"/>
        </w:rPr>
        <w:t xml:space="preserve"> </w:t>
      </w:r>
      <w:r w:rsidR="00EE48AC" w:rsidRPr="009820E5">
        <w:rPr>
          <w:rFonts w:ascii="Times New Roman" w:eastAsia="Times New Roman" w:hAnsi="Times New Roman" w:cs="Times New Roman"/>
          <w:i/>
          <w:color w:val="212121"/>
          <w:sz w:val="24"/>
          <w:szCs w:val="24"/>
          <w:lang w:eastAsia="en-GB"/>
        </w:rPr>
        <w:t>what</w:t>
      </w:r>
      <w:r w:rsidR="00EE48AC">
        <w:rPr>
          <w:rFonts w:ascii="Times New Roman" w:eastAsia="Times New Roman" w:hAnsi="Times New Roman" w:cs="Times New Roman"/>
          <w:color w:val="212121"/>
          <w:sz w:val="24"/>
          <w:szCs w:val="24"/>
          <w:lang w:eastAsia="en-GB"/>
        </w:rPr>
        <w:t xml:space="preserve"> </w:t>
      </w:r>
      <w:r w:rsidR="004D37E7">
        <w:rPr>
          <w:rFonts w:ascii="Times New Roman" w:eastAsia="Times New Roman" w:hAnsi="Times New Roman" w:cs="Times New Roman"/>
          <w:color w:val="212121"/>
          <w:sz w:val="24"/>
          <w:szCs w:val="24"/>
          <w:lang w:eastAsia="en-GB"/>
        </w:rPr>
        <w:t xml:space="preserve">replacement </w:t>
      </w:r>
      <w:r w:rsidR="00EE48AC" w:rsidRPr="009820E5">
        <w:rPr>
          <w:rFonts w:ascii="Times New Roman" w:eastAsia="Times New Roman" w:hAnsi="Times New Roman" w:cs="Times New Roman"/>
          <w:color w:val="212121"/>
          <w:sz w:val="24"/>
          <w:szCs w:val="24"/>
          <w:lang w:eastAsia="en-GB"/>
        </w:rPr>
        <w:t>substantive</w:t>
      </w:r>
      <w:r w:rsidR="00EE48AC">
        <w:rPr>
          <w:rFonts w:ascii="Times New Roman" w:eastAsia="Times New Roman" w:hAnsi="Times New Roman" w:cs="Times New Roman"/>
          <w:color w:val="212121"/>
          <w:sz w:val="24"/>
          <w:szCs w:val="24"/>
          <w:lang w:eastAsia="en-GB"/>
        </w:rPr>
        <w:t xml:space="preserve"> principles ought to </w:t>
      </w:r>
      <w:r w:rsidR="009820E5">
        <w:rPr>
          <w:rFonts w:ascii="Times New Roman" w:eastAsia="Times New Roman" w:hAnsi="Times New Roman" w:cs="Times New Roman"/>
          <w:color w:val="212121"/>
          <w:sz w:val="24"/>
          <w:szCs w:val="24"/>
          <w:lang w:eastAsia="en-GB"/>
        </w:rPr>
        <w:t>inform</w:t>
      </w:r>
      <w:r w:rsidR="00EE48AC">
        <w:rPr>
          <w:rFonts w:ascii="Times New Roman" w:eastAsia="Times New Roman" w:hAnsi="Times New Roman" w:cs="Times New Roman"/>
          <w:color w:val="212121"/>
          <w:sz w:val="24"/>
          <w:szCs w:val="24"/>
          <w:lang w:eastAsia="en-GB"/>
        </w:rPr>
        <w:t xml:space="preserve"> the regulation of the UK internal market post-Brexit.</w:t>
      </w:r>
      <w:r w:rsidR="004E0291">
        <w:rPr>
          <w:rFonts w:ascii="Times New Roman" w:eastAsia="Times New Roman" w:hAnsi="Times New Roman" w:cs="Times New Roman"/>
          <w:color w:val="212121"/>
          <w:sz w:val="24"/>
          <w:szCs w:val="24"/>
          <w:lang w:eastAsia="en-GB"/>
        </w:rPr>
        <w:t xml:space="preserve"> Nothing was agreed beyond </w:t>
      </w:r>
      <w:r w:rsidR="00506A0C">
        <w:rPr>
          <w:rFonts w:ascii="Times New Roman" w:eastAsia="Times New Roman" w:hAnsi="Times New Roman" w:cs="Times New Roman"/>
          <w:color w:val="212121"/>
          <w:sz w:val="24"/>
          <w:szCs w:val="24"/>
          <w:lang w:eastAsia="en-GB"/>
        </w:rPr>
        <w:t xml:space="preserve">an abstract </w:t>
      </w:r>
      <w:r w:rsidR="004E0291">
        <w:rPr>
          <w:rFonts w:ascii="Times New Roman" w:eastAsia="Times New Roman" w:hAnsi="Times New Roman" w:cs="Times New Roman"/>
          <w:color w:val="212121"/>
          <w:sz w:val="24"/>
          <w:szCs w:val="24"/>
          <w:lang w:eastAsia="en-GB"/>
        </w:rPr>
        <w:t>commitment to ‘maintain, as a minimum, equivalent flexibility for tailing policies to the specific needs of each territory as is afforded by current EU rules.’</w:t>
      </w:r>
      <w:r w:rsidR="00B067B6">
        <w:rPr>
          <w:rStyle w:val="FootnoteReference"/>
          <w:rFonts w:ascii="Times New Roman" w:eastAsia="Times New Roman" w:hAnsi="Times New Roman" w:cs="Times New Roman"/>
          <w:color w:val="212121"/>
          <w:sz w:val="24"/>
          <w:szCs w:val="24"/>
          <w:lang w:eastAsia="en-GB"/>
        </w:rPr>
        <w:footnoteReference w:id="121"/>
      </w:r>
      <w:r w:rsidR="00EE48AC">
        <w:rPr>
          <w:rFonts w:ascii="Times New Roman" w:eastAsia="Times New Roman" w:hAnsi="Times New Roman" w:cs="Times New Roman"/>
          <w:color w:val="212121"/>
          <w:sz w:val="24"/>
          <w:szCs w:val="24"/>
          <w:lang w:eastAsia="en-GB"/>
        </w:rPr>
        <w:t xml:space="preserve"> </w:t>
      </w:r>
      <w:r w:rsidR="0032745A">
        <w:rPr>
          <w:rFonts w:ascii="Times New Roman" w:eastAsia="Times New Roman" w:hAnsi="Times New Roman" w:cs="Times New Roman"/>
          <w:color w:val="212121"/>
          <w:sz w:val="24"/>
          <w:szCs w:val="24"/>
          <w:lang w:eastAsia="en-GB"/>
        </w:rPr>
        <w:t>Following the enactment of</w:t>
      </w:r>
      <w:r w:rsidR="004D37E7">
        <w:rPr>
          <w:rFonts w:ascii="Times New Roman" w:eastAsia="Times New Roman" w:hAnsi="Times New Roman" w:cs="Times New Roman"/>
          <w:color w:val="212121"/>
          <w:sz w:val="24"/>
          <w:szCs w:val="24"/>
          <w:lang w:eastAsia="en-GB"/>
        </w:rPr>
        <w:t xml:space="preserve"> the UKIMA, the</w:t>
      </w:r>
      <w:r w:rsidR="00EE48AC">
        <w:rPr>
          <w:rFonts w:ascii="Times New Roman" w:eastAsia="Times New Roman" w:hAnsi="Times New Roman" w:cs="Times New Roman"/>
          <w:color w:val="212121"/>
          <w:sz w:val="24"/>
          <w:szCs w:val="24"/>
          <w:lang w:eastAsia="en-GB"/>
        </w:rPr>
        <w:t xml:space="preserve"> </w:t>
      </w:r>
      <w:r w:rsidR="004D37E7">
        <w:rPr>
          <w:rFonts w:ascii="Times New Roman" w:eastAsia="Times New Roman" w:hAnsi="Times New Roman" w:cs="Times New Roman"/>
          <w:color w:val="212121"/>
          <w:sz w:val="24"/>
          <w:szCs w:val="24"/>
          <w:lang w:eastAsia="en-GB"/>
        </w:rPr>
        <w:t>market access principles now occupy that space</w:t>
      </w:r>
      <w:r w:rsidR="0032745A">
        <w:rPr>
          <w:rFonts w:ascii="Times New Roman" w:eastAsia="Times New Roman" w:hAnsi="Times New Roman" w:cs="Times New Roman"/>
          <w:color w:val="212121"/>
          <w:sz w:val="24"/>
          <w:szCs w:val="24"/>
          <w:lang w:eastAsia="en-GB"/>
        </w:rPr>
        <w:t>, imposing thicker substantive limits on domestic policymaking</w:t>
      </w:r>
      <w:r w:rsidR="004D37E7">
        <w:rPr>
          <w:rFonts w:ascii="Times New Roman" w:eastAsia="Times New Roman" w:hAnsi="Times New Roman" w:cs="Times New Roman"/>
          <w:color w:val="212121"/>
          <w:sz w:val="24"/>
          <w:szCs w:val="24"/>
          <w:lang w:eastAsia="en-GB"/>
        </w:rPr>
        <w:t xml:space="preserve">. </w:t>
      </w:r>
      <w:r w:rsidR="00C2312B">
        <w:rPr>
          <w:rFonts w:ascii="Times New Roman" w:eastAsia="Times New Roman" w:hAnsi="Times New Roman" w:cs="Times New Roman"/>
          <w:color w:val="212121"/>
          <w:sz w:val="24"/>
          <w:szCs w:val="24"/>
          <w:lang w:eastAsia="en-GB"/>
        </w:rPr>
        <w:t xml:space="preserve">In their </w:t>
      </w:r>
      <w:r w:rsidR="0032745A">
        <w:rPr>
          <w:rFonts w:ascii="Times New Roman" w:eastAsia="Times New Roman" w:hAnsi="Times New Roman" w:cs="Times New Roman"/>
          <w:color w:val="212121"/>
          <w:sz w:val="24"/>
          <w:szCs w:val="24"/>
          <w:lang w:eastAsia="en-GB"/>
        </w:rPr>
        <w:t>new, modified</w:t>
      </w:r>
      <w:r w:rsidR="00C2312B">
        <w:rPr>
          <w:rFonts w:ascii="Times New Roman" w:eastAsia="Times New Roman" w:hAnsi="Times New Roman" w:cs="Times New Roman"/>
          <w:color w:val="212121"/>
          <w:sz w:val="24"/>
          <w:szCs w:val="24"/>
          <w:lang w:eastAsia="en-GB"/>
        </w:rPr>
        <w:t xml:space="preserve"> form, </w:t>
      </w:r>
      <w:r w:rsidR="004D37E7">
        <w:rPr>
          <w:rFonts w:ascii="Times New Roman" w:eastAsia="Times New Roman" w:hAnsi="Times New Roman" w:cs="Times New Roman"/>
          <w:color w:val="212121"/>
          <w:sz w:val="24"/>
          <w:szCs w:val="24"/>
          <w:lang w:eastAsia="en-GB"/>
        </w:rPr>
        <w:t>these</w:t>
      </w:r>
      <w:r w:rsidR="00C2312B">
        <w:rPr>
          <w:rFonts w:ascii="Times New Roman" w:eastAsia="Times New Roman" w:hAnsi="Times New Roman" w:cs="Times New Roman"/>
          <w:color w:val="212121"/>
          <w:sz w:val="24"/>
          <w:szCs w:val="24"/>
          <w:lang w:eastAsia="en-GB"/>
        </w:rPr>
        <w:t xml:space="preserve"> principles are strongly deregulatory, articulating a vision of the UK internal market that prioritises considerations of economic efficiency over the protection of other non-economic values.</w:t>
      </w:r>
      <w:r w:rsidR="00947FBD">
        <w:rPr>
          <w:rStyle w:val="FootnoteReference"/>
          <w:rFonts w:ascii="Times New Roman" w:eastAsia="Times New Roman" w:hAnsi="Times New Roman" w:cs="Times New Roman"/>
          <w:color w:val="212121"/>
          <w:sz w:val="24"/>
          <w:szCs w:val="24"/>
          <w:lang w:eastAsia="en-GB"/>
        </w:rPr>
        <w:footnoteReference w:id="122"/>
      </w:r>
      <w:r w:rsidR="00C2312B">
        <w:rPr>
          <w:rFonts w:ascii="Times New Roman" w:eastAsia="Times New Roman" w:hAnsi="Times New Roman" w:cs="Times New Roman"/>
          <w:color w:val="212121"/>
          <w:sz w:val="24"/>
          <w:szCs w:val="24"/>
          <w:lang w:eastAsia="en-GB"/>
        </w:rPr>
        <w:t xml:space="preserve"> The shift to efficiency represents a significant adjustment to pre-existing EU legal framework</w:t>
      </w:r>
      <w:r w:rsidR="00506A0C">
        <w:rPr>
          <w:rFonts w:ascii="Times New Roman" w:eastAsia="Times New Roman" w:hAnsi="Times New Roman" w:cs="Times New Roman"/>
          <w:color w:val="212121"/>
          <w:sz w:val="24"/>
          <w:szCs w:val="24"/>
          <w:lang w:eastAsia="en-GB"/>
        </w:rPr>
        <w:t>s</w:t>
      </w:r>
      <w:r w:rsidR="00C2312B">
        <w:rPr>
          <w:rFonts w:ascii="Times New Roman" w:eastAsia="Times New Roman" w:hAnsi="Times New Roman" w:cs="Times New Roman"/>
          <w:color w:val="212121"/>
          <w:sz w:val="24"/>
          <w:szCs w:val="24"/>
          <w:lang w:eastAsia="en-GB"/>
        </w:rPr>
        <w:t>, which aspire to balance the economic benefits of liberalising intra-EU with the achievement of a broad range of social and political objectives.</w:t>
      </w:r>
      <w:r w:rsidR="00751D27">
        <w:rPr>
          <w:rStyle w:val="FootnoteReference"/>
          <w:rFonts w:ascii="Times New Roman" w:eastAsia="Times New Roman" w:hAnsi="Times New Roman" w:cs="Times New Roman"/>
          <w:color w:val="212121"/>
          <w:sz w:val="24"/>
          <w:szCs w:val="24"/>
          <w:lang w:eastAsia="en-GB"/>
        </w:rPr>
        <w:footnoteReference w:id="123"/>
      </w:r>
      <w:r w:rsidR="00C2312B">
        <w:rPr>
          <w:rFonts w:ascii="Times New Roman" w:eastAsia="Times New Roman" w:hAnsi="Times New Roman" w:cs="Times New Roman"/>
          <w:color w:val="212121"/>
          <w:sz w:val="24"/>
          <w:szCs w:val="24"/>
          <w:lang w:eastAsia="en-GB"/>
        </w:rPr>
        <w:t xml:space="preserve"> </w:t>
      </w:r>
      <w:r w:rsidR="0032745A">
        <w:rPr>
          <w:rFonts w:ascii="Times New Roman" w:eastAsia="Times New Roman" w:hAnsi="Times New Roman" w:cs="Times New Roman"/>
          <w:color w:val="212121"/>
          <w:sz w:val="24"/>
          <w:szCs w:val="24"/>
          <w:lang w:eastAsia="en-GB"/>
        </w:rPr>
        <w:t>It is an ideological choice</w:t>
      </w:r>
      <w:r w:rsidR="00970EA8">
        <w:rPr>
          <w:rFonts w:ascii="Times New Roman" w:eastAsia="Times New Roman" w:hAnsi="Times New Roman" w:cs="Times New Roman"/>
          <w:color w:val="212121"/>
          <w:sz w:val="24"/>
          <w:szCs w:val="24"/>
          <w:lang w:eastAsia="en-GB"/>
        </w:rPr>
        <w:t xml:space="preserve"> in </w:t>
      </w:r>
      <w:r w:rsidR="00970EA8">
        <w:rPr>
          <w:rFonts w:ascii="Times New Roman" w:eastAsia="Times New Roman" w:hAnsi="Times New Roman" w:cs="Times New Roman"/>
          <w:color w:val="212121"/>
          <w:sz w:val="24"/>
          <w:szCs w:val="24"/>
          <w:lang w:eastAsia="en-GB"/>
        </w:rPr>
        <w:lastRenderedPageBreak/>
        <w:t>favour of ‘economic unionism’</w:t>
      </w:r>
      <w:r w:rsidR="00806E4C">
        <w:rPr>
          <w:rStyle w:val="FootnoteReference"/>
          <w:rFonts w:ascii="Times New Roman" w:eastAsia="Times New Roman" w:hAnsi="Times New Roman" w:cs="Times New Roman"/>
          <w:color w:val="212121"/>
          <w:sz w:val="24"/>
          <w:szCs w:val="24"/>
          <w:lang w:eastAsia="en-GB"/>
        </w:rPr>
        <w:footnoteReference w:id="124"/>
      </w:r>
      <w:r w:rsidR="00835CF6">
        <w:rPr>
          <w:rFonts w:ascii="Times New Roman" w:eastAsia="Times New Roman" w:hAnsi="Times New Roman" w:cs="Times New Roman"/>
          <w:color w:val="212121"/>
          <w:sz w:val="24"/>
          <w:szCs w:val="24"/>
          <w:lang w:eastAsia="en-GB"/>
        </w:rPr>
        <w:t xml:space="preserve"> that was imposed on the devolved governments and</w:t>
      </w:r>
      <w:r w:rsidR="00970EA8">
        <w:rPr>
          <w:rFonts w:ascii="Times New Roman" w:eastAsia="Times New Roman" w:hAnsi="Times New Roman" w:cs="Times New Roman"/>
          <w:color w:val="212121"/>
          <w:sz w:val="24"/>
          <w:szCs w:val="24"/>
          <w:lang w:eastAsia="en-GB"/>
        </w:rPr>
        <w:t xml:space="preserve"> one</w:t>
      </w:r>
      <w:r w:rsidR="0032745A">
        <w:rPr>
          <w:rFonts w:ascii="Times New Roman" w:eastAsia="Times New Roman" w:hAnsi="Times New Roman" w:cs="Times New Roman"/>
          <w:color w:val="212121"/>
          <w:sz w:val="24"/>
          <w:szCs w:val="24"/>
          <w:lang w:eastAsia="en-GB"/>
        </w:rPr>
        <w:t xml:space="preserve"> that </w:t>
      </w:r>
      <w:r w:rsidR="005A350A">
        <w:rPr>
          <w:rFonts w:ascii="Times New Roman" w:eastAsia="Times New Roman" w:hAnsi="Times New Roman" w:cs="Times New Roman"/>
          <w:color w:val="212121"/>
          <w:sz w:val="24"/>
          <w:szCs w:val="24"/>
          <w:lang w:eastAsia="en-GB"/>
        </w:rPr>
        <w:t>remains strikingly</w:t>
      </w:r>
      <w:r w:rsidR="0032745A">
        <w:rPr>
          <w:rFonts w:ascii="Times New Roman" w:eastAsia="Times New Roman" w:hAnsi="Times New Roman" w:cs="Times New Roman"/>
          <w:color w:val="212121"/>
          <w:sz w:val="24"/>
          <w:szCs w:val="24"/>
          <w:lang w:eastAsia="en-GB"/>
        </w:rPr>
        <w:t xml:space="preserve"> out </w:t>
      </w:r>
      <w:r w:rsidR="005A350A">
        <w:rPr>
          <w:rFonts w:ascii="Times New Roman" w:eastAsia="Times New Roman" w:hAnsi="Times New Roman" w:cs="Times New Roman"/>
          <w:color w:val="212121"/>
          <w:sz w:val="24"/>
          <w:szCs w:val="24"/>
          <w:lang w:eastAsia="en-GB"/>
        </w:rPr>
        <w:t>of</w:t>
      </w:r>
      <w:r w:rsidR="0032745A">
        <w:rPr>
          <w:rFonts w:ascii="Times New Roman" w:eastAsia="Times New Roman" w:hAnsi="Times New Roman" w:cs="Times New Roman"/>
          <w:color w:val="212121"/>
          <w:sz w:val="24"/>
          <w:szCs w:val="24"/>
          <w:lang w:eastAsia="en-GB"/>
        </w:rPr>
        <w:t xml:space="preserve"> alignment </w:t>
      </w:r>
      <w:r w:rsidR="00835CF6">
        <w:rPr>
          <w:rFonts w:ascii="Times New Roman" w:eastAsia="Times New Roman" w:hAnsi="Times New Roman" w:cs="Times New Roman"/>
          <w:color w:val="212121"/>
          <w:sz w:val="24"/>
          <w:szCs w:val="24"/>
          <w:lang w:eastAsia="en-GB"/>
        </w:rPr>
        <w:t>their respective</w:t>
      </w:r>
      <w:r w:rsidR="00CD72AD">
        <w:rPr>
          <w:rFonts w:ascii="Times New Roman" w:eastAsia="Times New Roman" w:hAnsi="Times New Roman" w:cs="Times New Roman"/>
          <w:color w:val="212121"/>
          <w:sz w:val="24"/>
          <w:szCs w:val="24"/>
          <w:lang w:eastAsia="en-GB"/>
        </w:rPr>
        <w:t xml:space="preserve"> </w:t>
      </w:r>
      <w:r w:rsidR="0032745A">
        <w:rPr>
          <w:rFonts w:ascii="Times New Roman" w:eastAsia="Times New Roman" w:hAnsi="Times New Roman" w:cs="Times New Roman"/>
          <w:color w:val="212121"/>
          <w:sz w:val="24"/>
          <w:szCs w:val="24"/>
          <w:lang w:eastAsia="en-GB"/>
        </w:rPr>
        <w:t xml:space="preserve">regulatory </w:t>
      </w:r>
      <w:r w:rsidR="00CD72AD">
        <w:rPr>
          <w:rFonts w:ascii="Times New Roman" w:eastAsia="Times New Roman" w:hAnsi="Times New Roman" w:cs="Times New Roman"/>
          <w:color w:val="212121"/>
          <w:sz w:val="24"/>
          <w:szCs w:val="24"/>
          <w:lang w:eastAsia="en-GB"/>
        </w:rPr>
        <w:t>traditions</w:t>
      </w:r>
      <w:r w:rsidR="0032745A">
        <w:rPr>
          <w:rFonts w:ascii="Times New Roman" w:eastAsia="Times New Roman" w:hAnsi="Times New Roman" w:cs="Times New Roman"/>
          <w:color w:val="212121"/>
          <w:sz w:val="24"/>
          <w:szCs w:val="24"/>
          <w:lang w:eastAsia="en-GB"/>
        </w:rPr>
        <w:t>, at least</w:t>
      </w:r>
      <w:r w:rsidR="00CD72AD">
        <w:rPr>
          <w:rFonts w:ascii="Times New Roman" w:eastAsia="Times New Roman" w:hAnsi="Times New Roman" w:cs="Times New Roman"/>
          <w:color w:val="212121"/>
          <w:sz w:val="24"/>
          <w:szCs w:val="24"/>
          <w:lang w:eastAsia="en-GB"/>
        </w:rPr>
        <w:t xml:space="preserve"> to the present point.</w:t>
      </w:r>
      <w:r w:rsidR="00806E4C">
        <w:rPr>
          <w:rStyle w:val="FootnoteReference"/>
          <w:rFonts w:ascii="Times New Roman" w:eastAsia="Times New Roman" w:hAnsi="Times New Roman" w:cs="Times New Roman"/>
          <w:color w:val="212121"/>
          <w:sz w:val="24"/>
          <w:szCs w:val="24"/>
          <w:lang w:eastAsia="en-GB"/>
        </w:rPr>
        <w:footnoteReference w:id="125"/>
      </w:r>
      <w:r w:rsidR="00CD72AD">
        <w:rPr>
          <w:rFonts w:ascii="Times New Roman" w:eastAsia="Times New Roman" w:hAnsi="Times New Roman" w:cs="Times New Roman"/>
          <w:color w:val="212121"/>
          <w:sz w:val="24"/>
          <w:szCs w:val="24"/>
          <w:lang w:eastAsia="en-GB"/>
        </w:rPr>
        <w:t xml:space="preserve"> </w:t>
      </w:r>
    </w:p>
    <w:p w14:paraId="10B54DE3" w14:textId="202E5684" w:rsidR="00EA4AA9" w:rsidRPr="00B12836" w:rsidRDefault="00E8251C" w:rsidP="001E2034">
      <w:pPr>
        <w:spacing w:after="0" w:line="360" w:lineRule="auto"/>
        <w:ind w:firstLine="720"/>
        <w:jc w:val="both"/>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 xml:space="preserve">The UK experience thus far contrasts with that of the EU’s internal market. </w:t>
      </w:r>
      <w:r w:rsidRPr="00AD4579">
        <w:rPr>
          <w:rFonts w:ascii="Times New Roman" w:eastAsia="Times New Roman" w:hAnsi="Times New Roman" w:cs="Times New Roman"/>
          <w:color w:val="212121"/>
          <w:sz w:val="24"/>
          <w:szCs w:val="24"/>
          <w:lang w:eastAsia="en-GB"/>
        </w:rPr>
        <w:t xml:space="preserve">True, Member States periodically take aim at particular EU instruments or EU judicial decisions </w:t>
      </w:r>
      <w:r>
        <w:rPr>
          <w:rFonts w:ascii="Times New Roman" w:eastAsia="Times New Roman" w:hAnsi="Times New Roman" w:cs="Times New Roman"/>
          <w:color w:val="212121"/>
          <w:sz w:val="24"/>
          <w:szCs w:val="24"/>
          <w:lang w:eastAsia="en-GB"/>
        </w:rPr>
        <w:t>that they consider to interfere unjustifiably with the</w:t>
      </w:r>
      <w:r w:rsidR="00835CF6">
        <w:rPr>
          <w:rFonts w:ascii="Times New Roman" w:eastAsia="Times New Roman" w:hAnsi="Times New Roman" w:cs="Times New Roman"/>
          <w:color w:val="212121"/>
          <w:sz w:val="24"/>
          <w:szCs w:val="24"/>
          <w:lang w:eastAsia="en-GB"/>
        </w:rPr>
        <w:t>ir often jealously-guarded</w:t>
      </w:r>
      <w:r>
        <w:rPr>
          <w:rFonts w:ascii="Times New Roman" w:eastAsia="Times New Roman" w:hAnsi="Times New Roman" w:cs="Times New Roman"/>
          <w:color w:val="212121"/>
          <w:sz w:val="24"/>
          <w:szCs w:val="24"/>
          <w:lang w:eastAsia="en-GB"/>
        </w:rPr>
        <w:t xml:space="preserve"> regulatory autonomy</w:t>
      </w:r>
      <w:r w:rsidRPr="00AD4579">
        <w:rPr>
          <w:rFonts w:ascii="Times New Roman" w:eastAsia="Times New Roman" w:hAnsi="Times New Roman" w:cs="Times New Roman"/>
          <w:color w:val="212121"/>
          <w:sz w:val="24"/>
          <w:szCs w:val="24"/>
          <w:lang w:eastAsia="en-GB"/>
        </w:rPr>
        <w:t>. But, at the macro level, there is no fundamental disagreement between the Member States with the objective of establishing a functioning internal market in accordance with the provisions of the EU treaties</w:t>
      </w:r>
      <w:r>
        <w:rPr>
          <w:rFonts w:ascii="Times New Roman" w:eastAsia="Times New Roman" w:hAnsi="Times New Roman" w:cs="Times New Roman"/>
          <w:color w:val="212121"/>
          <w:sz w:val="24"/>
          <w:szCs w:val="24"/>
          <w:lang w:eastAsia="en-GB"/>
        </w:rPr>
        <w:t>. Nor is there any dispute with regard to the specific regulatory instruments designed to achieve that objective</w:t>
      </w:r>
      <w:r w:rsidR="00C43601">
        <w:rPr>
          <w:rFonts w:ascii="Times New Roman" w:eastAsia="Times New Roman" w:hAnsi="Times New Roman" w:cs="Times New Roman"/>
          <w:color w:val="212121"/>
          <w:sz w:val="24"/>
          <w:szCs w:val="24"/>
          <w:lang w:eastAsia="en-GB"/>
        </w:rPr>
        <w:t>.</w:t>
      </w:r>
      <w:r w:rsidR="00FC2237">
        <w:rPr>
          <w:rFonts w:ascii="Times New Roman" w:eastAsia="Times New Roman" w:hAnsi="Times New Roman" w:cs="Times New Roman"/>
          <w:color w:val="212121"/>
          <w:sz w:val="24"/>
          <w:szCs w:val="24"/>
          <w:lang w:eastAsia="en-GB"/>
        </w:rPr>
        <w:t xml:space="preserve"> </w:t>
      </w:r>
      <w:r>
        <w:rPr>
          <w:rFonts w:ascii="Times New Roman" w:eastAsia="Times New Roman" w:hAnsi="Times New Roman" w:cs="Times New Roman"/>
          <w:color w:val="212121"/>
          <w:sz w:val="24"/>
          <w:szCs w:val="24"/>
          <w:lang w:eastAsia="en-GB"/>
        </w:rPr>
        <w:t>The</w:t>
      </w:r>
      <w:r w:rsidRPr="00AD4579">
        <w:rPr>
          <w:rFonts w:ascii="Times New Roman" w:eastAsia="Times New Roman" w:hAnsi="Times New Roman" w:cs="Times New Roman"/>
          <w:color w:val="212121"/>
          <w:sz w:val="24"/>
          <w:szCs w:val="24"/>
          <w:lang w:eastAsia="en-GB"/>
        </w:rPr>
        <w:t xml:space="preserve"> EU internal market </w:t>
      </w:r>
      <w:r w:rsidR="000A4F15">
        <w:rPr>
          <w:rFonts w:ascii="Times New Roman" w:eastAsia="Times New Roman" w:hAnsi="Times New Roman" w:cs="Times New Roman"/>
          <w:color w:val="212121"/>
          <w:sz w:val="24"/>
          <w:szCs w:val="24"/>
          <w:lang w:eastAsia="en-GB"/>
        </w:rPr>
        <w:t>rests on</w:t>
      </w:r>
      <w:r w:rsidR="00835CF6">
        <w:rPr>
          <w:rFonts w:ascii="Times New Roman" w:eastAsia="Times New Roman" w:hAnsi="Times New Roman" w:cs="Times New Roman"/>
          <w:color w:val="212121"/>
          <w:sz w:val="24"/>
          <w:szCs w:val="24"/>
          <w:lang w:eastAsia="en-GB"/>
        </w:rPr>
        <w:t xml:space="preserve"> </w:t>
      </w:r>
      <w:r w:rsidR="000A4F15">
        <w:rPr>
          <w:rFonts w:ascii="Times New Roman" w:eastAsia="Times New Roman" w:hAnsi="Times New Roman" w:cs="Times New Roman"/>
          <w:color w:val="212121"/>
          <w:sz w:val="24"/>
          <w:szCs w:val="24"/>
          <w:lang w:eastAsia="en-GB"/>
        </w:rPr>
        <w:t xml:space="preserve">consensus </w:t>
      </w:r>
      <w:r>
        <w:rPr>
          <w:rFonts w:ascii="Times New Roman" w:eastAsia="Times New Roman" w:hAnsi="Times New Roman" w:cs="Times New Roman"/>
          <w:color w:val="212121"/>
          <w:sz w:val="24"/>
          <w:szCs w:val="24"/>
          <w:lang w:eastAsia="en-GB"/>
        </w:rPr>
        <w:t>between the Member States on</w:t>
      </w:r>
      <w:r w:rsidR="00835CF6">
        <w:rPr>
          <w:rFonts w:ascii="Times New Roman" w:eastAsia="Times New Roman" w:hAnsi="Times New Roman" w:cs="Times New Roman"/>
          <w:color w:val="212121"/>
          <w:sz w:val="24"/>
          <w:szCs w:val="24"/>
          <w:lang w:eastAsia="en-GB"/>
        </w:rPr>
        <w:t xml:space="preserve"> the co-existence of instruments of positive and negative </w:t>
      </w:r>
      <w:r w:rsidR="00526FA3">
        <w:rPr>
          <w:rFonts w:ascii="Times New Roman" w:eastAsia="Times New Roman" w:hAnsi="Times New Roman" w:cs="Times New Roman"/>
          <w:color w:val="212121"/>
          <w:sz w:val="24"/>
          <w:szCs w:val="24"/>
          <w:lang w:eastAsia="en-GB"/>
        </w:rPr>
        <w:t>harmonisation</w:t>
      </w:r>
      <w:r w:rsidR="00835CF6">
        <w:rPr>
          <w:rFonts w:ascii="Times New Roman" w:eastAsia="Times New Roman" w:hAnsi="Times New Roman" w:cs="Times New Roman"/>
          <w:color w:val="212121"/>
          <w:sz w:val="24"/>
          <w:szCs w:val="24"/>
          <w:lang w:eastAsia="en-GB"/>
        </w:rPr>
        <w:t xml:space="preserve"> as tools to realise the </w:t>
      </w:r>
      <w:r w:rsidR="00835CF6" w:rsidRPr="00AD4579">
        <w:rPr>
          <w:rFonts w:ascii="Times New Roman" w:eastAsia="Times New Roman" w:hAnsi="Times New Roman" w:cs="Times New Roman"/>
          <w:color w:val="212121"/>
          <w:sz w:val="24"/>
          <w:szCs w:val="24"/>
          <w:lang w:eastAsia="en-GB"/>
        </w:rPr>
        <w:t>economic, social and political benefits of market integration</w:t>
      </w:r>
      <w:r w:rsidR="00835CF6">
        <w:rPr>
          <w:rFonts w:ascii="Times New Roman" w:eastAsia="Times New Roman" w:hAnsi="Times New Roman" w:cs="Times New Roman"/>
          <w:color w:val="212121"/>
          <w:sz w:val="24"/>
          <w:szCs w:val="24"/>
          <w:lang w:eastAsia="en-GB"/>
        </w:rPr>
        <w:t xml:space="preserve">. </w:t>
      </w:r>
      <w:r>
        <w:rPr>
          <w:rFonts w:ascii="Times New Roman" w:eastAsia="Times New Roman" w:hAnsi="Times New Roman" w:cs="Times New Roman"/>
          <w:color w:val="212121"/>
          <w:sz w:val="24"/>
          <w:szCs w:val="24"/>
          <w:lang w:eastAsia="en-GB"/>
        </w:rPr>
        <w:t xml:space="preserve">Agreement between the Member States </w:t>
      </w:r>
      <w:r w:rsidR="00835CF6">
        <w:rPr>
          <w:rFonts w:ascii="Times New Roman" w:eastAsia="Times New Roman" w:hAnsi="Times New Roman" w:cs="Times New Roman"/>
          <w:color w:val="212121"/>
          <w:sz w:val="24"/>
          <w:szCs w:val="24"/>
          <w:lang w:eastAsia="en-GB"/>
        </w:rPr>
        <w:t>further</w:t>
      </w:r>
      <w:r>
        <w:rPr>
          <w:rFonts w:ascii="Times New Roman" w:eastAsia="Times New Roman" w:hAnsi="Times New Roman" w:cs="Times New Roman"/>
          <w:color w:val="212121"/>
          <w:sz w:val="24"/>
          <w:szCs w:val="24"/>
          <w:lang w:eastAsia="en-GB"/>
        </w:rPr>
        <w:t xml:space="preserve"> extends to normative principles, with the EU Treaties (</w:t>
      </w:r>
      <w:r w:rsidR="000A4F15">
        <w:rPr>
          <w:rFonts w:ascii="Times New Roman" w:eastAsia="Times New Roman" w:hAnsi="Times New Roman" w:cs="Times New Roman"/>
          <w:color w:val="212121"/>
          <w:sz w:val="24"/>
          <w:szCs w:val="24"/>
          <w:lang w:eastAsia="en-GB"/>
        </w:rPr>
        <w:t>under the supervision of the</w:t>
      </w:r>
      <w:r>
        <w:rPr>
          <w:rFonts w:ascii="Times New Roman" w:eastAsia="Times New Roman" w:hAnsi="Times New Roman" w:cs="Times New Roman"/>
          <w:color w:val="212121"/>
          <w:sz w:val="24"/>
          <w:szCs w:val="24"/>
          <w:lang w:eastAsia="en-GB"/>
        </w:rPr>
        <w:t xml:space="preserve"> EU Court) </w:t>
      </w:r>
      <w:r w:rsidR="00E06DFE">
        <w:rPr>
          <w:rFonts w:ascii="Times New Roman" w:eastAsia="Times New Roman" w:hAnsi="Times New Roman" w:cs="Times New Roman"/>
          <w:color w:val="212121"/>
          <w:sz w:val="24"/>
          <w:szCs w:val="24"/>
          <w:lang w:eastAsia="en-GB"/>
        </w:rPr>
        <w:t xml:space="preserve">providing for the establishment of a functioning internal market that aspires to balance </w:t>
      </w:r>
      <w:r w:rsidR="006073EB">
        <w:rPr>
          <w:rFonts w:ascii="Times New Roman" w:eastAsia="Times New Roman" w:hAnsi="Times New Roman" w:cs="Times New Roman"/>
          <w:color w:val="212121"/>
          <w:sz w:val="24"/>
          <w:szCs w:val="24"/>
          <w:lang w:eastAsia="en-GB"/>
        </w:rPr>
        <w:t>economic benefits of</w:t>
      </w:r>
      <w:r w:rsidR="00E06DFE">
        <w:rPr>
          <w:rFonts w:ascii="Times New Roman" w:eastAsia="Times New Roman" w:hAnsi="Times New Roman" w:cs="Times New Roman"/>
          <w:color w:val="212121"/>
          <w:sz w:val="24"/>
          <w:szCs w:val="24"/>
          <w:lang w:eastAsia="en-GB"/>
        </w:rPr>
        <w:t xml:space="preserve"> liberalis</w:t>
      </w:r>
      <w:r w:rsidR="006073EB">
        <w:rPr>
          <w:rFonts w:ascii="Times New Roman" w:eastAsia="Times New Roman" w:hAnsi="Times New Roman" w:cs="Times New Roman"/>
          <w:color w:val="212121"/>
          <w:sz w:val="24"/>
          <w:szCs w:val="24"/>
          <w:lang w:eastAsia="en-GB"/>
        </w:rPr>
        <w:t xml:space="preserve">ing </w:t>
      </w:r>
      <w:r w:rsidR="00E06DFE">
        <w:rPr>
          <w:rFonts w:ascii="Times New Roman" w:eastAsia="Times New Roman" w:hAnsi="Times New Roman" w:cs="Times New Roman"/>
          <w:color w:val="212121"/>
          <w:sz w:val="24"/>
          <w:szCs w:val="24"/>
          <w:lang w:eastAsia="en-GB"/>
        </w:rPr>
        <w:t xml:space="preserve">intra-EU trade with the achievement of a wide range of social </w:t>
      </w:r>
      <w:r w:rsidR="00E06DFE" w:rsidRPr="00B12836">
        <w:rPr>
          <w:rFonts w:ascii="Times New Roman" w:eastAsia="Times New Roman" w:hAnsi="Times New Roman" w:cs="Times New Roman"/>
          <w:color w:val="212121"/>
          <w:sz w:val="24"/>
          <w:szCs w:val="24"/>
          <w:lang w:eastAsia="en-GB"/>
        </w:rPr>
        <w:t>policy objectives</w:t>
      </w:r>
      <w:r w:rsidR="00526FA3">
        <w:rPr>
          <w:rFonts w:ascii="Times New Roman" w:eastAsia="Times New Roman" w:hAnsi="Times New Roman" w:cs="Times New Roman"/>
          <w:color w:val="212121"/>
          <w:sz w:val="24"/>
          <w:szCs w:val="24"/>
          <w:lang w:eastAsia="en-GB"/>
        </w:rPr>
        <w:t xml:space="preserve"> and </w:t>
      </w:r>
      <w:r w:rsidR="006073EB" w:rsidRPr="00B12836">
        <w:rPr>
          <w:rFonts w:ascii="Times New Roman" w:eastAsia="Times New Roman" w:hAnsi="Times New Roman" w:cs="Times New Roman"/>
          <w:color w:val="212121"/>
          <w:sz w:val="24"/>
          <w:szCs w:val="24"/>
          <w:lang w:eastAsia="en-GB"/>
        </w:rPr>
        <w:t>respect for</w:t>
      </w:r>
      <w:r w:rsidR="00E06DFE" w:rsidRPr="00B12836">
        <w:rPr>
          <w:rFonts w:ascii="Times New Roman" w:eastAsia="Times New Roman" w:hAnsi="Times New Roman" w:cs="Times New Roman"/>
          <w:color w:val="212121"/>
          <w:sz w:val="24"/>
          <w:szCs w:val="24"/>
          <w:lang w:eastAsia="en-GB"/>
        </w:rPr>
        <w:t xml:space="preserve"> </w:t>
      </w:r>
      <w:r w:rsidR="00526FA3">
        <w:rPr>
          <w:rFonts w:ascii="Times New Roman" w:eastAsia="Times New Roman" w:hAnsi="Times New Roman" w:cs="Times New Roman"/>
          <w:color w:val="212121"/>
          <w:sz w:val="24"/>
          <w:szCs w:val="24"/>
          <w:lang w:eastAsia="en-GB"/>
        </w:rPr>
        <w:t>fundamental</w:t>
      </w:r>
      <w:r w:rsidR="00E06DFE" w:rsidRPr="00B12836">
        <w:rPr>
          <w:rFonts w:ascii="Times New Roman" w:eastAsia="Times New Roman" w:hAnsi="Times New Roman" w:cs="Times New Roman"/>
          <w:color w:val="212121"/>
          <w:sz w:val="24"/>
          <w:szCs w:val="24"/>
          <w:lang w:eastAsia="en-GB"/>
        </w:rPr>
        <w:t xml:space="preserve"> principles</w:t>
      </w:r>
      <w:r w:rsidR="006073EB" w:rsidRPr="00B12836">
        <w:rPr>
          <w:rFonts w:ascii="Times New Roman" w:eastAsia="Times New Roman" w:hAnsi="Times New Roman" w:cs="Times New Roman"/>
          <w:color w:val="212121"/>
          <w:sz w:val="24"/>
          <w:szCs w:val="24"/>
          <w:lang w:eastAsia="en-GB"/>
        </w:rPr>
        <w:t xml:space="preserve">, notably </w:t>
      </w:r>
      <w:r w:rsidR="00E06DFE" w:rsidRPr="00B12836">
        <w:rPr>
          <w:rFonts w:ascii="Times New Roman" w:eastAsia="Times New Roman" w:hAnsi="Times New Roman" w:cs="Times New Roman"/>
          <w:color w:val="212121"/>
          <w:sz w:val="24"/>
          <w:szCs w:val="24"/>
          <w:lang w:eastAsia="en-GB"/>
        </w:rPr>
        <w:t xml:space="preserve">subsidiarity and proportionality. </w:t>
      </w:r>
    </w:p>
    <w:p w14:paraId="7DCE8E70" w14:textId="37D347B8" w:rsidR="00DC47C9" w:rsidRPr="00DC47C9" w:rsidRDefault="00DC47C9" w:rsidP="00DC47C9">
      <w:pPr>
        <w:spacing w:before="240" w:line="360" w:lineRule="auto"/>
        <w:jc w:val="both"/>
        <w:rPr>
          <w:rFonts w:ascii="Times New Roman" w:eastAsia="Times New Roman" w:hAnsi="Times New Roman" w:cs="Times New Roman"/>
          <w:i/>
          <w:color w:val="212121"/>
          <w:sz w:val="24"/>
          <w:szCs w:val="24"/>
          <w:lang w:eastAsia="en-GB"/>
        </w:rPr>
      </w:pPr>
      <w:bookmarkStart w:id="2" w:name="_Hlk136005088"/>
      <w:r w:rsidRPr="00DC47C9">
        <w:rPr>
          <w:rFonts w:ascii="Times New Roman" w:eastAsia="Times New Roman" w:hAnsi="Times New Roman" w:cs="Times New Roman"/>
          <w:i/>
          <w:color w:val="212121"/>
          <w:sz w:val="24"/>
          <w:szCs w:val="24"/>
          <w:lang w:eastAsia="en-GB"/>
        </w:rPr>
        <w:t>4.2. Political Context</w:t>
      </w:r>
    </w:p>
    <w:p w14:paraId="54BDCAAF" w14:textId="6F968DE5" w:rsidR="00B53486" w:rsidRPr="008716AF" w:rsidRDefault="002C43D6" w:rsidP="00DC47C9">
      <w:pPr>
        <w:spacing w:after="0" w:line="360" w:lineRule="auto"/>
        <w:jc w:val="both"/>
        <w:rPr>
          <w:rFonts w:ascii="Times New Roman" w:eastAsia="Times New Roman" w:hAnsi="Times New Roman" w:cs="Times New Roman"/>
          <w:color w:val="212121"/>
          <w:sz w:val="24"/>
          <w:szCs w:val="24"/>
          <w:highlight w:val="yellow"/>
          <w:lang w:eastAsia="en-GB"/>
        </w:rPr>
      </w:pPr>
      <w:r w:rsidRPr="00B12836">
        <w:rPr>
          <w:rFonts w:ascii="Times New Roman" w:eastAsia="Times New Roman" w:hAnsi="Times New Roman" w:cs="Times New Roman"/>
          <w:color w:val="212121"/>
          <w:sz w:val="24"/>
          <w:szCs w:val="24"/>
          <w:lang w:eastAsia="en-GB"/>
        </w:rPr>
        <w:t>Secondly,</w:t>
      </w:r>
      <w:r w:rsidR="00B53486" w:rsidRPr="00B12836">
        <w:rPr>
          <w:rFonts w:ascii="Times New Roman" w:eastAsia="Times New Roman" w:hAnsi="Times New Roman" w:cs="Times New Roman"/>
          <w:color w:val="212121"/>
          <w:sz w:val="24"/>
          <w:szCs w:val="24"/>
          <w:lang w:eastAsia="en-GB"/>
        </w:rPr>
        <w:t xml:space="preserve"> turning to</w:t>
      </w:r>
      <w:r w:rsidR="00526FA3">
        <w:rPr>
          <w:rFonts w:ascii="Times New Roman" w:eastAsia="Times New Roman" w:hAnsi="Times New Roman" w:cs="Times New Roman"/>
          <w:color w:val="212121"/>
          <w:sz w:val="24"/>
          <w:szCs w:val="24"/>
          <w:lang w:eastAsia="en-GB"/>
        </w:rPr>
        <w:t xml:space="preserve"> consider changes in</w:t>
      </w:r>
      <w:r w:rsidR="00B53486" w:rsidRPr="00B12836">
        <w:rPr>
          <w:rFonts w:ascii="Times New Roman" w:eastAsia="Times New Roman" w:hAnsi="Times New Roman" w:cs="Times New Roman"/>
          <w:color w:val="212121"/>
          <w:sz w:val="24"/>
          <w:szCs w:val="24"/>
          <w:lang w:eastAsia="en-GB"/>
        </w:rPr>
        <w:t xml:space="preserve"> political context, Brexit has transformed the framework within which devolved competences are exercised under the UK’s territorial constitution, </w:t>
      </w:r>
      <w:r w:rsidR="00397B5C">
        <w:rPr>
          <w:rFonts w:ascii="Times New Roman" w:eastAsia="Times New Roman" w:hAnsi="Times New Roman" w:cs="Times New Roman"/>
          <w:color w:val="212121"/>
          <w:sz w:val="24"/>
          <w:szCs w:val="24"/>
          <w:lang w:eastAsia="en-GB"/>
        </w:rPr>
        <w:t>generating new sites of</w:t>
      </w:r>
      <w:r w:rsidR="00B53486" w:rsidRPr="00B12836">
        <w:rPr>
          <w:rFonts w:ascii="Times New Roman" w:eastAsia="Times New Roman" w:hAnsi="Times New Roman" w:cs="Times New Roman"/>
          <w:color w:val="212121"/>
          <w:sz w:val="24"/>
          <w:szCs w:val="24"/>
          <w:lang w:eastAsia="en-GB"/>
        </w:rPr>
        <w:t xml:space="preserve"> political tension between the UK and devolved governments. </w:t>
      </w:r>
      <w:r w:rsidR="000E30D4" w:rsidRPr="00B12836">
        <w:rPr>
          <w:rFonts w:ascii="Times New Roman" w:eastAsia="Times New Roman" w:hAnsi="Times New Roman" w:cs="Times New Roman"/>
          <w:color w:val="212121"/>
          <w:sz w:val="24"/>
          <w:szCs w:val="24"/>
          <w:lang w:eastAsia="en-GB"/>
        </w:rPr>
        <w:t>Membership of the EU internal market</w:t>
      </w:r>
      <w:r w:rsidR="00FE65DE">
        <w:rPr>
          <w:rFonts w:ascii="Times New Roman" w:eastAsia="Times New Roman" w:hAnsi="Times New Roman" w:cs="Times New Roman"/>
          <w:color w:val="212121"/>
          <w:sz w:val="24"/>
          <w:szCs w:val="24"/>
          <w:lang w:eastAsia="en-GB"/>
        </w:rPr>
        <w:t xml:space="preserve"> had a significant impact on devolved competences. In a break with the ‘devolve and forget’ </w:t>
      </w:r>
      <w:r w:rsidR="00F2098A">
        <w:rPr>
          <w:rFonts w:ascii="Times New Roman" w:eastAsia="Times New Roman" w:hAnsi="Times New Roman" w:cs="Times New Roman"/>
          <w:color w:val="212121"/>
          <w:sz w:val="24"/>
          <w:szCs w:val="24"/>
          <w:lang w:eastAsia="en-GB"/>
        </w:rPr>
        <w:t>(or ‘hyper-du</w:t>
      </w:r>
      <w:r w:rsidR="00EC31CC">
        <w:rPr>
          <w:rFonts w:ascii="Times New Roman" w:eastAsia="Times New Roman" w:hAnsi="Times New Roman" w:cs="Times New Roman"/>
          <w:color w:val="212121"/>
          <w:sz w:val="24"/>
          <w:szCs w:val="24"/>
          <w:lang w:eastAsia="en-GB"/>
        </w:rPr>
        <w:t xml:space="preserve">alist’) </w:t>
      </w:r>
      <w:r w:rsidR="00FE65DE">
        <w:rPr>
          <w:rFonts w:ascii="Times New Roman" w:eastAsia="Times New Roman" w:hAnsi="Times New Roman" w:cs="Times New Roman"/>
          <w:color w:val="212121"/>
          <w:sz w:val="24"/>
          <w:szCs w:val="24"/>
          <w:lang w:eastAsia="en-GB"/>
        </w:rPr>
        <w:t xml:space="preserve">logic of devolution, it </w:t>
      </w:r>
      <w:r w:rsidR="008716AF" w:rsidRPr="00B12836">
        <w:rPr>
          <w:rFonts w:ascii="Times New Roman" w:eastAsia="Times New Roman" w:hAnsi="Times New Roman" w:cs="Times New Roman"/>
          <w:color w:val="212121"/>
          <w:sz w:val="24"/>
          <w:szCs w:val="24"/>
          <w:lang w:eastAsia="en-GB"/>
        </w:rPr>
        <w:t>carved out</w:t>
      </w:r>
      <w:r w:rsidR="000E30D4" w:rsidRPr="00B12836">
        <w:rPr>
          <w:rFonts w:ascii="Times New Roman" w:eastAsia="Times New Roman" w:hAnsi="Times New Roman" w:cs="Times New Roman"/>
          <w:color w:val="212121"/>
          <w:sz w:val="24"/>
          <w:szCs w:val="24"/>
          <w:lang w:eastAsia="en-GB"/>
        </w:rPr>
        <w:t xml:space="preserve"> a</w:t>
      </w:r>
      <w:r w:rsidR="00130403" w:rsidRPr="00B12836">
        <w:rPr>
          <w:rFonts w:ascii="Times New Roman" w:eastAsia="Times New Roman" w:hAnsi="Times New Roman" w:cs="Times New Roman"/>
          <w:color w:val="212121"/>
          <w:sz w:val="24"/>
          <w:szCs w:val="24"/>
          <w:lang w:eastAsia="en-GB"/>
        </w:rPr>
        <w:t xml:space="preserve"> distinctive</w:t>
      </w:r>
      <w:r w:rsidR="000E30D4" w:rsidRPr="00B12836">
        <w:rPr>
          <w:rFonts w:ascii="Times New Roman" w:eastAsia="Times New Roman" w:hAnsi="Times New Roman" w:cs="Times New Roman"/>
          <w:color w:val="212121"/>
          <w:sz w:val="24"/>
          <w:szCs w:val="24"/>
          <w:lang w:eastAsia="en-GB"/>
        </w:rPr>
        <w:t xml:space="preserve"> space for the exercise</w:t>
      </w:r>
      <w:r w:rsidR="000E30D4">
        <w:rPr>
          <w:rFonts w:ascii="Times New Roman" w:eastAsia="Times New Roman" w:hAnsi="Times New Roman" w:cs="Times New Roman"/>
          <w:color w:val="212121"/>
          <w:sz w:val="24"/>
          <w:szCs w:val="24"/>
          <w:lang w:eastAsia="en-GB"/>
        </w:rPr>
        <w:t xml:space="preserve"> of devolved competences as </w:t>
      </w:r>
      <w:r w:rsidR="000E30D4" w:rsidRPr="006073EB">
        <w:rPr>
          <w:rFonts w:ascii="Times New Roman" w:eastAsia="Times New Roman" w:hAnsi="Times New Roman" w:cs="Times New Roman"/>
          <w:i/>
          <w:color w:val="212121"/>
          <w:sz w:val="24"/>
          <w:szCs w:val="24"/>
          <w:lang w:eastAsia="en-GB"/>
        </w:rPr>
        <w:t>concurrent</w:t>
      </w:r>
      <w:r w:rsidR="000E30D4">
        <w:rPr>
          <w:rFonts w:ascii="Times New Roman" w:eastAsia="Times New Roman" w:hAnsi="Times New Roman" w:cs="Times New Roman"/>
          <w:color w:val="212121"/>
          <w:sz w:val="24"/>
          <w:szCs w:val="24"/>
          <w:lang w:eastAsia="en-GB"/>
        </w:rPr>
        <w:t xml:space="preserve"> rather </w:t>
      </w:r>
      <w:r w:rsidR="000E30D4">
        <w:rPr>
          <w:rFonts w:ascii="Times New Roman" w:eastAsia="Times New Roman" w:hAnsi="Times New Roman" w:cs="Times New Roman"/>
          <w:color w:val="212121"/>
          <w:sz w:val="24"/>
          <w:szCs w:val="24"/>
          <w:lang w:eastAsia="en-GB"/>
        </w:rPr>
        <w:lastRenderedPageBreak/>
        <w:t xml:space="preserve">than </w:t>
      </w:r>
      <w:r w:rsidR="000E30D4" w:rsidRPr="00B12836">
        <w:rPr>
          <w:rFonts w:ascii="Times New Roman" w:eastAsia="Times New Roman" w:hAnsi="Times New Roman" w:cs="Times New Roman"/>
          <w:i/>
          <w:color w:val="212121"/>
          <w:sz w:val="24"/>
          <w:szCs w:val="24"/>
          <w:lang w:eastAsia="en-GB"/>
        </w:rPr>
        <w:t>de facto</w:t>
      </w:r>
      <w:r w:rsidR="000E30D4">
        <w:rPr>
          <w:rFonts w:ascii="Times New Roman" w:eastAsia="Times New Roman" w:hAnsi="Times New Roman" w:cs="Times New Roman"/>
          <w:color w:val="212121"/>
          <w:sz w:val="24"/>
          <w:szCs w:val="24"/>
          <w:lang w:eastAsia="en-GB"/>
        </w:rPr>
        <w:t xml:space="preserve"> exclusive competences.</w:t>
      </w:r>
      <w:r w:rsidR="000E30D4">
        <w:rPr>
          <w:rStyle w:val="FootnoteReference"/>
          <w:rFonts w:ascii="Times New Roman" w:eastAsia="Times New Roman" w:hAnsi="Times New Roman" w:cs="Times New Roman"/>
          <w:color w:val="212121"/>
          <w:sz w:val="24"/>
          <w:szCs w:val="24"/>
          <w:lang w:eastAsia="en-GB"/>
        </w:rPr>
        <w:footnoteReference w:id="126"/>
      </w:r>
      <w:r w:rsidR="00B53486">
        <w:rPr>
          <w:rFonts w:ascii="Times New Roman" w:eastAsia="Times New Roman" w:hAnsi="Times New Roman" w:cs="Times New Roman"/>
          <w:color w:val="212121"/>
          <w:sz w:val="24"/>
          <w:szCs w:val="24"/>
          <w:lang w:eastAsia="en-GB"/>
        </w:rPr>
        <w:t xml:space="preserve"> </w:t>
      </w:r>
      <w:r w:rsidR="00B12836">
        <w:rPr>
          <w:rFonts w:ascii="Times New Roman" w:eastAsia="Times New Roman" w:hAnsi="Times New Roman" w:cs="Times New Roman"/>
          <w:color w:val="212121"/>
          <w:sz w:val="24"/>
          <w:szCs w:val="24"/>
          <w:lang w:eastAsia="en-GB"/>
        </w:rPr>
        <w:t xml:space="preserve">This was visible both vertically in </w:t>
      </w:r>
      <w:r w:rsidR="003012F8">
        <w:rPr>
          <w:rFonts w:ascii="Times New Roman" w:eastAsia="Times New Roman" w:hAnsi="Times New Roman" w:cs="Times New Roman"/>
          <w:color w:val="212121"/>
          <w:sz w:val="24"/>
          <w:szCs w:val="24"/>
          <w:lang w:eastAsia="en-GB"/>
        </w:rPr>
        <w:t>interactions with</w:t>
      </w:r>
      <w:r w:rsidR="00B12836">
        <w:rPr>
          <w:rFonts w:ascii="Times New Roman" w:eastAsia="Times New Roman" w:hAnsi="Times New Roman" w:cs="Times New Roman"/>
          <w:color w:val="212121"/>
          <w:sz w:val="24"/>
          <w:szCs w:val="24"/>
          <w:lang w:eastAsia="en-GB"/>
        </w:rPr>
        <w:t xml:space="preserve"> EU institutions as well as horizontally vis-à-vis the UK government. </w:t>
      </w:r>
    </w:p>
    <w:p w14:paraId="2043630E" w14:textId="0091A328" w:rsidR="00B3719B" w:rsidRPr="00B53486" w:rsidRDefault="00E22017" w:rsidP="00B53486">
      <w:pPr>
        <w:spacing w:after="0" w:line="360" w:lineRule="auto"/>
        <w:ind w:firstLine="720"/>
        <w:jc w:val="both"/>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Vertically</w:t>
      </w:r>
      <w:r w:rsidR="001E2034">
        <w:rPr>
          <w:rFonts w:ascii="Times New Roman" w:eastAsia="Times New Roman" w:hAnsi="Times New Roman" w:cs="Times New Roman"/>
          <w:color w:val="212121"/>
          <w:sz w:val="24"/>
          <w:szCs w:val="24"/>
          <w:lang w:eastAsia="en-GB"/>
        </w:rPr>
        <w:t>,</w:t>
      </w:r>
      <w:r w:rsidR="00EC31CC">
        <w:rPr>
          <w:rFonts w:ascii="Times New Roman" w:eastAsia="Times New Roman" w:hAnsi="Times New Roman" w:cs="Times New Roman"/>
          <w:color w:val="212121"/>
          <w:sz w:val="24"/>
          <w:szCs w:val="24"/>
          <w:lang w:eastAsia="en-GB"/>
        </w:rPr>
        <w:t xml:space="preserve"> </w:t>
      </w:r>
      <w:r w:rsidR="0055237C">
        <w:rPr>
          <w:rFonts w:ascii="Times New Roman" w:eastAsia="Times New Roman" w:hAnsi="Times New Roman" w:cs="Times New Roman"/>
          <w:color w:val="212121"/>
          <w:sz w:val="24"/>
          <w:szCs w:val="24"/>
          <w:lang w:eastAsia="en-GB"/>
        </w:rPr>
        <w:t>from their inception,</w:t>
      </w:r>
      <w:r w:rsidR="001E2034">
        <w:rPr>
          <w:rFonts w:ascii="Times New Roman" w:eastAsia="Times New Roman" w:hAnsi="Times New Roman" w:cs="Times New Roman"/>
          <w:color w:val="212121"/>
          <w:sz w:val="24"/>
          <w:szCs w:val="24"/>
          <w:lang w:eastAsia="en-GB"/>
        </w:rPr>
        <w:t xml:space="preserve"> the devolved governments were </w:t>
      </w:r>
      <w:r w:rsidR="00966902">
        <w:rPr>
          <w:rFonts w:ascii="Times New Roman" w:eastAsia="Times New Roman" w:hAnsi="Times New Roman" w:cs="Times New Roman"/>
          <w:color w:val="212121"/>
          <w:sz w:val="24"/>
          <w:szCs w:val="24"/>
          <w:lang w:eastAsia="en-GB"/>
        </w:rPr>
        <w:t>locked into the EU’s internal market project as an area of shared Member State and EU responsibility under the EU Treaties.</w:t>
      </w:r>
      <w:r w:rsidR="00BB0C3D">
        <w:rPr>
          <w:rStyle w:val="FootnoteReference"/>
          <w:rFonts w:ascii="Times New Roman" w:eastAsia="Times New Roman" w:hAnsi="Times New Roman" w:cs="Times New Roman"/>
          <w:color w:val="212121"/>
          <w:sz w:val="24"/>
          <w:szCs w:val="24"/>
          <w:lang w:eastAsia="en-GB"/>
        </w:rPr>
        <w:footnoteReference w:id="127"/>
      </w:r>
      <w:r w:rsidR="00966902">
        <w:rPr>
          <w:rFonts w:ascii="Times New Roman" w:eastAsia="Times New Roman" w:hAnsi="Times New Roman" w:cs="Times New Roman"/>
          <w:color w:val="212121"/>
          <w:sz w:val="24"/>
          <w:szCs w:val="24"/>
          <w:lang w:eastAsia="en-GB"/>
        </w:rPr>
        <w:t xml:space="preserve"> This required compliance with the EU Treaty provisions guaranteeing the free movement of goods, persons, services and capital. </w:t>
      </w:r>
      <w:r w:rsidR="00B3719B">
        <w:rPr>
          <w:rFonts w:ascii="Times New Roman" w:eastAsia="Times New Roman" w:hAnsi="Times New Roman" w:cs="Times New Roman"/>
          <w:color w:val="212121"/>
          <w:sz w:val="24"/>
          <w:szCs w:val="24"/>
          <w:lang w:eastAsia="en-GB"/>
        </w:rPr>
        <w:t xml:space="preserve">The exercise of </w:t>
      </w:r>
      <w:r w:rsidR="0022648D">
        <w:rPr>
          <w:rFonts w:ascii="Times New Roman" w:eastAsia="Times New Roman" w:hAnsi="Times New Roman" w:cs="Times New Roman"/>
          <w:color w:val="212121"/>
          <w:sz w:val="24"/>
          <w:szCs w:val="24"/>
          <w:lang w:eastAsia="en-GB"/>
        </w:rPr>
        <w:t>devolved</w:t>
      </w:r>
      <w:r w:rsidR="00B3719B">
        <w:rPr>
          <w:rFonts w:ascii="Times New Roman" w:eastAsia="Times New Roman" w:hAnsi="Times New Roman" w:cs="Times New Roman"/>
          <w:color w:val="212121"/>
          <w:sz w:val="24"/>
          <w:szCs w:val="24"/>
          <w:lang w:eastAsia="en-GB"/>
        </w:rPr>
        <w:t xml:space="preserve"> competences</w:t>
      </w:r>
      <w:r w:rsidR="0022648D">
        <w:rPr>
          <w:rFonts w:ascii="Times New Roman" w:eastAsia="Times New Roman" w:hAnsi="Times New Roman" w:cs="Times New Roman"/>
          <w:color w:val="212121"/>
          <w:sz w:val="24"/>
          <w:szCs w:val="24"/>
          <w:lang w:eastAsia="en-GB"/>
        </w:rPr>
        <w:t xml:space="preserve"> therefore</w:t>
      </w:r>
      <w:r w:rsidR="00B3719B">
        <w:rPr>
          <w:rFonts w:ascii="Times New Roman" w:eastAsia="Times New Roman" w:hAnsi="Times New Roman" w:cs="Times New Roman"/>
          <w:color w:val="212121"/>
          <w:sz w:val="24"/>
          <w:szCs w:val="24"/>
          <w:lang w:eastAsia="en-GB"/>
        </w:rPr>
        <w:t xml:space="preserve"> had to be ‘other regarding’ </w:t>
      </w:r>
      <w:r w:rsidR="00865455">
        <w:rPr>
          <w:rFonts w:ascii="Times New Roman" w:eastAsia="Times New Roman" w:hAnsi="Times New Roman" w:cs="Times New Roman"/>
          <w:color w:val="212121"/>
          <w:sz w:val="24"/>
          <w:szCs w:val="24"/>
          <w:lang w:eastAsia="en-GB"/>
        </w:rPr>
        <w:t xml:space="preserve">at all times </w:t>
      </w:r>
      <w:r w:rsidR="00B3719B">
        <w:rPr>
          <w:rFonts w:ascii="Times New Roman" w:eastAsia="Times New Roman" w:hAnsi="Times New Roman" w:cs="Times New Roman"/>
          <w:color w:val="212121"/>
          <w:sz w:val="24"/>
          <w:szCs w:val="24"/>
          <w:lang w:eastAsia="en-GB"/>
        </w:rPr>
        <w:t>with respect to the demands of the EU internal market.</w:t>
      </w:r>
      <w:r w:rsidR="0022648D">
        <w:rPr>
          <w:rStyle w:val="FootnoteReference"/>
          <w:rFonts w:ascii="Times New Roman" w:eastAsia="Times New Roman" w:hAnsi="Times New Roman" w:cs="Times New Roman"/>
          <w:color w:val="212121"/>
          <w:sz w:val="24"/>
          <w:szCs w:val="24"/>
          <w:lang w:eastAsia="en-GB"/>
        </w:rPr>
        <w:footnoteReference w:id="128"/>
      </w:r>
      <w:r w:rsidR="00B3719B">
        <w:rPr>
          <w:rFonts w:ascii="Times New Roman" w:eastAsia="Times New Roman" w:hAnsi="Times New Roman" w:cs="Times New Roman"/>
          <w:color w:val="212121"/>
          <w:sz w:val="24"/>
          <w:szCs w:val="24"/>
          <w:lang w:eastAsia="en-GB"/>
        </w:rPr>
        <w:t xml:space="preserve"> The EU Treaty provisions on intra-EU movement functioned to ensure the representation of external interests in domestic political processes within the devolved territories.</w:t>
      </w:r>
      <w:r w:rsidR="005359AB">
        <w:rPr>
          <w:rStyle w:val="FootnoteReference"/>
          <w:rFonts w:ascii="Times New Roman" w:eastAsia="Times New Roman" w:hAnsi="Times New Roman" w:cs="Times New Roman"/>
          <w:color w:val="212121"/>
          <w:sz w:val="24"/>
          <w:szCs w:val="24"/>
          <w:lang w:eastAsia="en-GB"/>
        </w:rPr>
        <w:footnoteReference w:id="129"/>
      </w:r>
      <w:r w:rsidR="00B3719B">
        <w:rPr>
          <w:rFonts w:ascii="Times New Roman" w:eastAsia="Times New Roman" w:hAnsi="Times New Roman" w:cs="Times New Roman"/>
          <w:color w:val="212121"/>
          <w:sz w:val="24"/>
          <w:szCs w:val="24"/>
          <w:lang w:eastAsia="en-GB"/>
        </w:rPr>
        <w:t xml:space="preserve"> Accordingly, the Scottish government could</w:t>
      </w:r>
      <w:r>
        <w:rPr>
          <w:rFonts w:ascii="Times New Roman" w:eastAsia="Times New Roman" w:hAnsi="Times New Roman" w:cs="Times New Roman"/>
          <w:color w:val="212121"/>
          <w:sz w:val="24"/>
          <w:szCs w:val="24"/>
          <w:lang w:eastAsia="en-GB"/>
        </w:rPr>
        <w:t xml:space="preserve"> only</w:t>
      </w:r>
      <w:r w:rsidR="00B3719B">
        <w:rPr>
          <w:rFonts w:ascii="Times New Roman" w:eastAsia="Times New Roman" w:hAnsi="Times New Roman" w:cs="Times New Roman"/>
          <w:color w:val="212121"/>
          <w:sz w:val="24"/>
          <w:szCs w:val="24"/>
          <w:lang w:eastAsia="en-GB"/>
        </w:rPr>
        <w:t xml:space="preserve"> legislate to introduce minimum alcohol pricing within Scotland provided that this was compatible with the demands of Art 34 TFEU on the free movement of goods.</w:t>
      </w:r>
      <w:r w:rsidR="005359AB">
        <w:rPr>
          <w:rStyle w:val="FootnoteReference"/>
          <w:rFonts w:ascii="Times New Roman" w:eastAsia="Times New Roman" w:hAnsi="Times New Roman" w:cs="Times New Roman"/>
          <w:color w:val="212121"/>
          <w:sz w:val="24"/>
          <w:szCs w:val="24"/>
          <w:lang w:eastAsia="en-GB"/>
        </w:rPr>
        <w:footnoteReference w:id="130"/>
      </w:r>
      <w:r w:rsidR="00B3719B">
        <w:rPr>
          <w:rFonts w:ascii="Times New Roman" w:eastAsia="Times New Roman" w:hAnsi="Times New Roman" w:cs="Times New Roman"/>
          <w:color w:val="212121"/>
          <w:sz w:val="24"/>
          <w:szCs w:val="24"/>
          <w:lang w:eastAsia="en-GB"/>
        </w:rPr>
        <w:t xml:space="preserve"> In that respect,</w:t>
      </w:r>
      <w:r>
        <w:rPr>
          <w:rFonts w:ascii="Times New Roman" w:eastAsia="Times New Roman" w:hAnsi="Times New Roman" w:cs="Times New Roman"/>
          <w:color w:val="212121"/>
          <w:sz w:val="24"/>
          <w:szCs w:val="24"/>
          <w:lang w:eastAsia="en-GB"/>
        </w:rPr>
        <w:t xml:space="preserve"> </w:t>
      </w:r>
      <w:r w:rsidR="00BA1422">
        <w:rPr>
          <w:rFonts w:ascii="Times New Roman" w:eastAsia="Times New Roman" w:hAnsi="Times New Roman" w:cs="Times New Roman"/>
          <w:color w:val="212121"/>
          <w:sz w:val="24"/>
          <w:szCs w:val="24"/>
          <w:lang w:eastAsia="en-GB"/>
        </w:rPr>
        <w:t>as a matter of EU law</w:t>
      </w:r>
      <w:r>
        <w:rPr>
          <w:rFonts w:ascii="Times New Roman" w:eastAsia="Times New Roman" w:hAnsi="Times New Roman" w:cs="Times New Roman"/>
          <w:color w:val="212121"/>
          <w:sz w:val="24"/>
          <w:szCs w:val="24"/>
          <w:lang w:eastAsia="en-GB"/>
        </w:rPr>
        <w:t>,</w:t>
      </w:r>
      <w:r w:rsidR="00B3719B">
        <w:rPr>
          <w:rFonts w:ascii="Times New Roman" w:eastAsia="Times New Roman" w:hAnsi="Times New Roman" w:cs="Times New Roman"/>
          <w:color w:val="212121"/>
          <w:sz w:val="24"/>
          <w:szCs w:val="24"/>
          <w:lang w:eastAsia="en-GB"/>
        </w:rPr>
        <w:t xml:space="preserve"> the position of the devolved governments was no different from that of the UK government legislating in areas of </w:t>
      </w:r>
      <w:r w:rsidR="00B3719B" w:rsidRPr="0022648D">
        <w:rPr>
          <w:rFonts w:ascii="Times New Roman" w:eastAsia="Times New Roman" w:hAnsi="Times New Roman" w:cs="Times New Roman"/>
          <w:color w:val="212121"/>
          <w:sz w:val="24"/>
          <w:szCs w:val="24"/>
          <w:lang w:eastAsia="en-GB"/>
        </w:rPr>
        <w:t>reserved</w:t>
      </w:r>
      <w:r w:rsidR="00B3719B">
        <w:rPr>
          <w:rFonts w:ascii="Times New Roman" w:eastAsia="Times New Roman" w:hAnsi="Times New Roman" w:cs="Times New Roman"/>
          <w:color w:val="212121"/>
          <w:sz w:val="24"/>
          <w:szCs w:val="24"/>
          <w:lang w:eastAsia="en-GB"/>
        </w:rPr>
        <w:t xml:space="preserve"> </w:t>
      </w:r>
      <w:r w:rsidR="0022648D">
        <w:rPr>
          <w:rFonts w:ascii="Times New Roman" w:eastAsia="Times New Roman" w:hAnsi="Times New Roman" w:cs="Times New Roman"/>
          <w:color w:val="212121"/>
          <w:sz w:val="24"/>
          <w:szCs w:val="24"/>
          <w:lang w:eastAsia="en-GB"/>
        </w:rPr>
        <w:t xml:space="preserve">(or non-devolved) </w:t>
      </w:r>
      <w:r w:rsidR="00B3719B">
        <w:rPr>
          <w:rFonts w:ascii="Times New Roman" w:eastAsia="Times New Roman" w:hAnsi="Times New Roman" w:cs="Times New Roman"/>
          <w:color w:val="212121"/>
          <w:sz w:val="24"/>
          <w:szCs w:val="24"/>
          <w:lang w:eastAsia="en-GB"/>
        </w:rPr>
        <w:t>competence within the scope of Union law.</w:t>
      </w:r>
    </w:p>
    <w:p w14:paraId="707F42E0" w14:textId="381EDA19" w:rsidR="00E22017" w:rsidRDefault="00E22017" w:rsidP="00233CE9">
      <w:pPr>
        <w:spacing w:after="0" w:line="360" w:lineRule="auto"/>
        <w:ind w:firstLine="720"/>
        <w:jc w:val="both"/>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 xml:space="preserve">Horizontally, </w:t>
      </w:r>
      <w:r w:rsidR="00B3719B">
        <w:rPr>
          <w:rFonts w:ascii="Times New Roman" w:eastAsia="Times New Roman" w:hAnsi="Times New Roman" w:cs="Times New Roman"/>
          <w:color w:val="212121"/>
          <w:sz w:val="24"/>
          <w:szCs w:val="24"/>
          <w:lang w:eastAsia="en-GB"/>
        </w:rPr>
        <w:t xml:space="preserve">EU membership </w:t>
      </w:r>
      <w:r w:rsidR="00847F82">
        <w:rPr>
          <w:rFonts w:ascii="Times New Roman" w:eastAsia="Times New Roman" w:hAnsi="Times New Roman" w:cs="Times New Roman"/>
          <w:color w:val="212121"/>
          <w:sz w:val="24"/>
          <w:szCs w:val="24"/>
          <w:lang w:eastAsia="en-GB"/>
        </w:rPr>
        <w:t>also facilitated the</w:t>
      </w:r>
      <w:r>
        <w:rPr>
          <w:rFonts w:ascii="Times New Roman" w:eastAsia="Times New Roman" w:hAnsi="Times New Roman" w:cs="Times New Roman"/>
          <w:color w:val="212121"/>
          <w:sz w:val="24"/>
          <w:szCs w:val="24"/>
          <w:lang w:eastAsia="en-GB"/>
        </w:rPr>
        <w:t xml:space="preserve"> exercise of devolved competences concurrently with the UK government in areas of Union policymaking. This was most visible in relation to the implementation of EU policy, where </w:t>
      </w:r>
      <w:r w:rsidR="00233CE9">
        <w:rPr>
          <w:rFonts w:ascii="Times New Roman" w:eastAsia="Times New Roman" w:hAnsi="Times New Roman" w:cs="Times New Roman"/>
          <w:color w:val="212121"/>
          <w:sz w:val="24"/>
          <w:szCs w:val="24"/>
          <w:lang w:eastAsia="en-GB"/>
        </w:rPr>
        <w:t>the UK and devolved governments coordinated the exercise of their respective competences to adapt EU frameworks to local conditions within the four markets of the UK. The Concordat on the Coordination of European Policy Issues</w:t>
      </w:r>
      <w:r w:rsidR="00847F82">
        <w:rPr>
          <w:rFonts w:ascii="Times New Roman" w:eastAsia="Times New Roman" w:hAnsi="Times New Roman" w:cs="Times New Roman"/>
          <w:color w:val="212121"/>
          <w:sz w:val="24"/>
          <w:szCs w:val="24"/>
          <w:lang w:eastAsia="en-GB"/>
        </w:rPr>
        <w:t xml:space="preserve">, agreed between the UK and devolved governments, </w:t>
      </w:r>
      <w:r w:rsidR="00233CE9">
        <w:rPr>
          <w:rFonts w:ascii="Times New Roman" w:eastAsia="Times New Roman" w:hAnsi="Times New Roman" w:cs="Times New Roman"/>
          <w:color w:val="212121"/>
          <w:sz w:val="24"/>
          <w:szCs w:val="24"/>
          <w:lang w:eastAsia="en-GB"/>
        </w:rPr>
        <w:t>outlined the freedom (within the constraints of Union law) for the devolved governments to adapt EU rules to local conditions, or, alternatively, to coordinate UK or GB-wide approaches with the UK and other devolved governments.</w:t>
      </w:r>
      <w:r w:rsidR="00233CE9">
        <w:rPr>
          <w:rStyle w:val="FootnoteReference"/>
          <w:rFonts w:ascii="Times New Roman" w:eastAsia="Times New Roman" w:hAnsi="Times New Roman" w:cs="Times New Roman"/>
          <w:color w:val="212121"/>
          <w:sz w:val="24"/>
          <w:szCs w:val="24"/>
          <w:lang w:eastAsia="en-GB"/>
        </w:rPr>
        <w:footnoteReference w:id="131"/>
      </w:r>
      <w:r w:rsidR="00233CE9">
        <w:rPr>
          <w:rFonts w:ascii="Times New Roman" w:eastAsia="Times New Roman" w:hAnsi="Times New Roman" w:cs="Times New Roman"/>
          <w:color w:val="212121"/>
          <w:sz w:val="24"/>
          <w:szCs w:val="24"/>
          <w:lang w:eastAsia="en-GB"/>
        </w:rPr>
        <w:t xml:space="preserve"> </w:t>
      </w:r>
      <w:r w:rsidR="00847F82">
        <w:rPr>
          <w:rFonts w:ascii="Times New Roman" w:eastAsia="Times New Roman" w:hAnsi="Times New Roman" w:cs="Times New Roman"/>
          <w:color w:val="212121"/>
          <w:sz w:val="24"/>
          <w:szCs w:val="24"/>
          <w:lang w:eastAsia="en-GB"/>
        </w:rPr>
        <w:t>When challenged, t</w:t>
      </w:r>
      <w:r w:rsidR="00233CE9">
        <w:rPr>
          <w:rFonts w:ascii="Times New Roman" w:eastAsia="Times New Roman" w:hAnsi="Times New Roman" w:cs="Times New Roman"/>
          <w:color w:val="212121"/>
          <w:sz w:val="24"/>
          <w:szCs w:val="24"/>
          <w:lang w:eastAsia="en-GB"/>
        </w:rPr>
        <w:t>he EU Court of Justice</w:t>
      </w:r>
      <w:r w:rsidR="00847F82">
        <w:rPr>
          <w:rFonts w:ascii="Times New Roman" w:eastAsia="Times New Roman" w:hAnsi="Times New Roman" w:cs="Times New Roman"/>
          <w:color w:val="212121"/>
          <w:sz w:val="24"/>
          <w:szCs w:val="24"/>
          <w:lang w:eastAsia="en-GB"/>
        </w:rPr>
        <w:t xml:space="preserve"> </w:t>
      </w:r>
      <w:r w:rsidR="00233CE9">
        <w:rPr>
          <w:rFonts w:ascii="Times New Roman" w:eastAsia="Times New Roman" w:hAnsi="Times New Roman" w:cs="Times New Roman"/>
          <w:color w:val="212121"/>
          <w:sz w:val="24"/>
          <w:szCs w:val="24"/>
          <w:lang w:eastAsia="en-GB"/>
        </w:rPr>
        <w:t xml:space="preserve">confirmed that </w:t>
      </w:r>
      <w:r w:rsidR="0022648D">
        <w:rPr>
          <w:rFonts w:ascii="Times New Roman" w:eastAsia="Times New Roman" w:hAnsi="Times New Roman" w:cs="Times New Roman"/>
          <w:color w:val="212121"/>
          <w:sz w:val="24"/>
          <w:szCs w:val="24"/>
          <w:lang w:eastAsia="en-GB"/>
        </w:rPr>
        <w:t xml:space="preserve">intra-UK </w:t>
      </w:r>
      <w:r w:rsidR="00233CE9">
        <w:rPr>
          <w:rFonts w:ascii="Times New Roman" w:eastAsia="Times New Roman" w:hAnsi="Times New Roman" w:cs="Times New Roman"/>
          <w:color w:val="212121"/>
          <w:sz w:val="24"/>
          <w:szCs w:val="24"/>
          <w:lang w:eastAsia="en-GB"/>
        </w:rPr>
        <w:t xml:space="preserve">differentiation with respect to the implementation of EU policies was permitted </w:t>
      </w:r>
      <w:r w:rsidR="0022648D">
        <w:rPr>
          <w:rFonts w:ascii="Times New Roman" w:eastAsia="Times New Roman" w:hAnsi="Times New Roman" w:cs="Times New Roman"/>
          <w:color w:val="212121"/>
          <w:sz w:val="24"/>
          <w:szCs w:val="24"/>
          <w:lang w:eastAsia="en-GB"/>
        </w:rPr>
        <w:t>as a matter of</w:t>
      </w:r>
      <w:r w:rsidR="00233CE9">
        <w:rPr>
          <w:rFonts w:ascii="Times New Roman" w:eastAsia="Times New Roman" w:hAnsi="Times New Roman" w:cs="Times New Roman"/>
          <w:color w:val="212121"/>
          <w:sz w:val="24"/>
          <w:szCs w:val="24"/>
          <w:lang w:eastAsia="en-GB"/>
        </w:rPr>
        <w:t xml:space="preserve"> Union law.</w:t>
      </w:r>
      <w:r w:rsidR="00233CE9">
        <w:rPr>
          <w:rStyle w:val="FootnoteReference"/>
          <w:rFonts w:ascii="Times New Roman" w:eastAsia="Times New Roman" w:hAnsi="Times New Roman" w:cs="Times New Roman"/>
          <w:color w:val="212121"/>
          <w:sz w:val="24"/>
          <w:szCs w:val="24"/>
          <w:lang w:eastAsia="en-GB"/>
        </w:rPr>
        <w:footnoteReference w:id="132"/>
      </w:r>
    </w:p>
    <w:p w14:paraId="3D10505D" w14:textId="3CD031A8" w:rsidR="00233CE9" w:rsidRDefault="00233CE9" w:rsidP="00233CE9">
      <w:pPr>
        <w:spacing w:after="0" w:line="360" w:lineRule="auto"/>
        <w:ind w:firstLine="720"/>
        <w:jc w:val="both"/>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lastRenderedPageBreak/>
        <w:t>Cooperation between the UK and devolved governments in areas of devolved competence extended</w:t>
      </w:r>
      <w:r w:rsidR="00847F82">
        <w:rPr>
          <w:rFonts w:ascii="Times New Roman" w:eastAsia="Times New Roman" w:hAnsi="Times New Roman" w:cs="Times New Roman"/>
          <w:color w:val="212121"/>
          <w:sz w:val="24"/>
          <w:szCs w:val="24"/>
          <w:lang w:eastAsia="en-GB"/>
        </w:rPr>
        <w:t xml:space="preserve"> further</w:t>
      </w:r>
      <w:r>
        <w:rPr>
          <w:rFonts w:ascii="Times New Roman" w:eastAsia="Times New Roman" w:hAnsi="Times New Roman" w:cs="Times New Roman"/>
          <w:color w:val="212121"/>
          <w:sz w:val="24"/>
          <w:szCs w:val="24"/>
          <w:lang w:eastAsia="en-GB"/>
        </w:rPr>
        <w:t xml:space="preserve"> to</w:t>
      </w:r>
      <w:r w:rsidR="006466A0">
        <w:rPr>
          <w:rFonts w:ascii="Times New Roman" w:eastAsia="Times New Roman" w:hAnsi="Times New Roman" w:cs="Times New Roman"/>
          <w:color w:val="212121"/>
          <w:sz w:val="24"/>
          <w:szCs w:val="24"/>
          <w:lang w:eastAsia="en-GB"/>
        </w:rPr>
        <w:t xml:space="preserve"> capture</w:t>
      </w:r>
      <w:r w:rsidR="00847F82">
        <w:rPr>
          <w:rFonts w:ascii="Times New Roman" w:eastAsia="Times New Roman" w:hAnsi="Times New Roman" w:cs="Times New Roman"/>
          <w:color w:val="212121"/>
          <w:sz w:val="24"/>
          <w:szCs w:val="24"/>
          <w:lang w:eastAsia="en-GB"/>
        </w:rPr>
        <w:t xml:space="preserve"> political</w:t>
      </w:r>
      <w:r>
        <w:rPr>
          <w:rFonts w:ascii="Times New Roman" w:eastAsia="Times New Roman" w:hAnsi="Times New Roman" w:cs="Times New Roman"/>
          <w:color w:val="212121"/>
          <w:sz w:val="24"/>
          <w:szCs w:val="24"/>
          <w:lang w:eastAsia="en-GB"/>
        </w:rPr>
        <w:t xml:space="preserve"> input into EU policymaking.</w:t>
      </w:r>
      <w:r w:rsidR="00F27593">
        <w:rPr>
          <w:rStyle w:val="FootnoteReference"/>
          <w:rFonts w:ascii="Times New Roman" w:eastAsia="Times New Roman" w:hAnsi="Times New Roman" w:cs="Times New Roman"/>
          <w:color w:val="212121"/>
          <w:sz w:val="24"/>
          <w:szCs w:val="24"/>
          <w:lang w:eastAsia="en-GB"/>
        </w:rPr>
        <w:footnoteReference w:id="133"/>
      </w:r>
      <w:r>
        <w:rPr>
          <w:rFonts w:ascii="Times New Roman" w:eastAsia="Times New Roman" w:hAnsi="Times New Roman" w:cs="Times New Roman"/>
          <w:color w:val="212121"/>
          <w:sz w:val="24"/>
          <w:szCs w:val="24"/>
          <w:lang w:eastAsia="en-GB"/>
        </w:rPr>
        <w:t xml:space="preserve"> A Memorandum of Understanding concluded between the UK and devolved governments explicitly recognised the intersection of EU and devolved competences in several areas of EU policymaking, together with the particular interest and role of the devolved governments in these areas.</w:t>
      </w:r>
      <w:r>
        <w:rPr>
          <w:rStyle w:val="FootnoteReference"/>
          <w:rFonts w:ascii="Times New Roman" w:eastAsia="Times New Roman" w:hAnsi="Times New Roman" w:cs="Times New Roman"/>
          <w:color w:val="212121"/>
          <w:sz w:val="24"/>
          <w:szCs w:val="24"/>
          <w:lang w:eastAsia="en-GB"/>
        </w:rPr>
        <w:footnoteReference w:id="134"/>
      </w:r>
      <w:r>
        <w:rPr>
          <w:rFonts w:ascii="Times New Roman" w:eastAsia="Times New Roman" w:hAnsi="Times New Roman" w:cs="Times New Roman"/>
          <w:color w:val="212121"/>
          <w:sz w:val="24"/>
          <w:szCs w:val="24"/>
          <w:lang w:eastAsia="en-GB"/>
        </w:rPr>
        <w:t xml:space="preserve"> </w:t>
      </w:r>
      <w:r w:rsidR="006466A0">
        <w:rPr>
          <w:rFonts w:ascii="Times New Roman" w:eastAsia="Times New Roman" w:hAnsi="Times New Roman" w:cs="Times New Roman"/>
          <w:color w:val="212121"/>
          <w:sz w:val="24"/>
          <w:szCs w:val="24"/>
          <w:lang w:eastAsia="en-GB"/>
        </w:rPr>
        <w:t>Further (or accordingly)</w:t>
      </w:r>
      <w:r>
        <w:rPr>
          <w:rFonts w:ascii="Times New Roman" w:eastAsia="Times New Roman" w:hAnsi="Times New Roman" w:cs="Times New Roman"/>
          <w:color w:val="212121"/>
          <w:sz w:val="24"/>
          <w:szCs w:val="24"/>
          <w:lang w:eastAsia="en-GB"/>
        </w:rPr>
        <w:t>, the Concordat on the Coordination of European Policy Issues empowered the devolved governments, where appropriate, to represent the UK interest at Union level through the Council of the European Union.</w:t>
      </w:r>
      <w:r>
        <w:rPr>
          <w:rStyle w:val="FootnoteReference"/>
          <w:rFonts w:ascii="Times New Roman" w:eastAsia="Times New Roman" w:hAnsi="Times New Roman" w:cs="Times New Roman"/>
          <w:color w:val="212121"/>
          <w:sz w:val="24"/>
          <w:szCs w:val="24"/>
          <w:lang w:eastAsia="en-GB"/>
        </w:rPr>
        <w:footnoteReference w:id="135"/>
      </w:r>
      <w:r w:rsidR="00847F82">
        <w:rPr>
          <w:rFonts w:ascii="Times New Roman" w:eastAsia="Times New Roman" w:hAnsi="Times New Roman" w:cs="Times New Roman"/>
          <w:color w:val="212121"/>
          <w:sz w:val="24"/>
          <w:szCs w:val="24"/>
          <w:lang w:eastAsia="en-GB"/>
        </w:rPr>
        <w:t xml:space="preserve"> This was despite the formal designation of EU relations as a reserved competence under the Devolution Acts.</w:t>
      </w:r>
      <w:r w:rsidR="00847F82">
        <w:rPr>
          <w:rStyle w:val="FootnoteReference"/>
          <w:rFonts w:ascii="Times New Roman" w:eastAsia="Times New Roman" w:hAnsi="Times New Roman" w:cs="Times New Roman"/>
          <w:color w:val="212121"/>
          <w:sz w:val="24"/>
          <w:szCs w:val="24"/>
          <w:lang w:eastAsia="en-GB"/>
        </w:rPr>
        <w:footnoteReference w:id="136"/>
      </w:r>
    </w:p>
    <w:p w14:paraId="5FEC38A6" w14:textId="65400549" w:rsidR="00617AA0" w:rsidRDefault="00617AA0" w:rsidP="00617AA0">
      <w:pPr>
        <w:tabs>
          <w:tab w:val="left" w:pos="142"/>
        </w:tabs>
        <w:spacing w:after="0" w:line="360" w:lineRule="auto"/>
        <w:jc w:val="both"/>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ab/>
      </w:r>
      <w:r>
        <w:rPr>
          <w:rFonts w:ascii="Times New Roman" w:eastAsia="Times New Roman" w:hAnsi="Times New Roman" w:cs="Times New Roman"/>
          <w:color w:val="212121"/>
          <w:sz w:val="24"/>
          <w:szCs w:val="24"/>
          <w:lang w:eastAsia="en-GB"/>
        </w:rPr>
        <w:tab/>
      </w:r>
      <w:r w:rsidRPr="008B1D07">
        <w:rPr>
          <w:rFonts w:ascii="Times New Roman" w:eastAsia="Times New Roman" w:hAnsi="Times New Roman" w:cs="Times New Roman"/>
          <w:color w:val="212121"/>
          <w:sz w:val="24"/>
          <w:szCs w:val="24"/>
          <w:lang w:eastAsia="en-GB"/>
        </w:rPr>
        <w:t>Aligning devolution with the structures of the EU as a quasi-federal system of multilevel governance</w:t>
      </w:r>
      <w:r w:rsidR="007F6316">
        <w:rPr>
          <w:rFonts w:ascii="Times New Roman" w:eastAsia="Times New Roman" w:hAnsi="Times New Roman" w:cs="Times New Roman"/>
          <w:color w:val="212121"/>
          <w:sz w:val="24"/>
          <w:szCs w:val="24"/>
          <w:lang w:eastAsia="en-GB"/>
        </w:rPr>
        <w:t xml:space="preserve"> in the above manner</w:t>
      </w:r>
      <w:r w:rsidRPr="008B1D07">
        <w:rPr>
          <w:rFonts w:ascii="Times New Roman" w:eastAsia="Times New Roman" w:hAnsi="Times New Roman" w:cs="Times New Roman"/>
          <w:color w:val="212121"/>
          <w:sz w:val="24"/>
          <w:szCs w:val="24"/>
          <w:lang w:eastAsia="en-GB"/>
        </w:rPr>
        <w:t>, membership of the EU internal market</w:t>
      </w:r>
      <w:r>
        <w:rPr>
          <w:rFonts w:ascii="Times New Roman" w:eastAsia="Times New Roman" w:hAnsi="Times New Roman" w:cs="Times New Roman"/>
          <w:color w:val="212121"/>
          <w:sz w:val="24"/>
          <w:szCs w:val="24"/>
          <w:lang w:eastAsia="en-GB"/>
        </w:rPr>
        <w:t xml:space="preserve"> </w:t>
      </w:r>
      <w:r w:rsidR="007B14E5">
        <w:rPr>
          <w:rFonts w:ascii="Times New Roman" w:eastAsia="Times New Roman" w:hAnsi="Times New Roman" w:cs="Times New Roman"/>
          <w:color w:val="212121"/>
          <w:sz w:val="24"/>
          <w:szCs w:val="24"/>
          <w:lang w:eastAsia="en-GB"/>
        </w:rPr>
        <w:t xml:space="preserve">exercised </w:t>
      </w:r>
      <w:r w:rsidR="00A50A14">
        <w:rPr>
          <w:rFonts w:ascii="Times New Roman" w:eastAsia="Times New Roman" w:hAnsi="Times New Roman" w:cs="Times New Roman"/>
          <w:color w:val="212121"/>
          <w:sz w:val="24"/>
          <w:szCs w:val="24"/>
          <w:lang w:eastAsia="en-GB"/>
        </w:rPr>
        <w:t xml:space="preserve">powerful effects on the conceptualisation of devolved </w:t>
      </w:r>
      <w:r w:rsidR="00FB1C63">
        <w:rPr>
          <w:rFonts w:ascii="Times New Roman" w:eastAsia="Times New Roman" w:hAnsi="Times New Roman" w:cs="Times New Roman"/>
          <w:color w:val="212121"/>
          <w:sz w:val="24"/>
          <w:szCs w:val="24"/>
          <w:lang w:eastAsia="en-GB"/>
        </w:rPr>
        <w:t>competence</w:t>
      </w:r>
      <w:r w:rsidR="00A50A14">
        <w:rPr>
          <w:rFonts w:ascii="Times New Roman" w:eastAsia="Times New Roman" w:hAnsi="Times New Roman" w:cs="Times New Roman"/>
          <w:color w:val="212121"/>
          <w:sz w:val="24"/>
          <w:szCs w:val="24"/>
          <w:lang w:eastAsia="en-GB"/>
        </w:rPr>
        <w:t xml:space="preserve">. </w:t>
      </w:r>
      <w:r w:rsidR="00C955BC">
        <w:rPr>
          <w:rFonts w:ascii="Times New Roman" w:eastAsia="Times New Roman" w:hAnsi="Times New Roman" w:cs="Times New Roman"/>
          <w:color w:val="212121"/>
          <w:sz w:val="24"/>
          <w:szCs w:val="24"/>
          <w:lang w:eastAsia="en-GB"/>
        </w:rPr>
        <w:t xml:space="preserve">For </w:t>
      </w:r>
      <w:r w:rsidR="00B52ED1">
        <w:rPr>
          <w:rFonts w:ascii="Times New Roman" w:eastAsia="Times New Roman" w:hAnsi="Times New Roman" w:cs="Times New Roman"/>
          <w:color w:val="212121"/>
          <w:sz w:val="24"/>
          <w:szCs w:val="24"/>
          <w:lang w:eastAsia="en-GB"/>
        </w:rPr>
        <w:t>the</w:t>
      </w:r>
      <w:r>
        <w:rPr>
          <w:rFonts w:ascii="Times New Roman" w:eastAsia="Times New Roman" w:hAnsi="Times New Roman" w:cs="Times New Roman"/>
          <w:color w:val="212121"/>
          <w:sz w:val="24"/>
          <w:szCs w:val="24"/>
          <w:lang w:eastAsia="en-GB"/>
        </w:rPr>
        <w:t xml:space="preserve"> devolved governments, </w:t>
      </w:r>
      <w:r w:rsidR="00BA1422">
        <w:rPr>
          <w:rFonts w:ascii="Times New Roman" w:eastAsia="Times New Roman" w:hAnsi="Times New Roman" w:cs="Times New Roman"/>
          <w:color w:val="212121"/>
          <w:sz w:val="24"/>
          <w:szCs w:val="24"/>
          <w:lang w:eastAsia="en-GB"/>
        </w:rPr>
        <w:t>alignment</w:t>
      </w:r>
      <w:r>
        <w:rPr>
          <w:rFonts w:ascii="Times New Roman" w:eastAsia="Times New Roman" w:hAnsi="Times New Roman" w:cs="Times New Roman"/>
          <w:color w:val="212121"/>
          <w:sz w:val="24"/>
          <w:szCs w:val="24"/>
          <w:lang w:eastAsia="en-GB"/>
        </w:rPr>
        <w:t xml:space="preserve"> </w:t>
      </w:r>
      <w:r w:rsidR="00BA1422">
        <w:rPr>
          <w:rFonts w:ascii="Times New Roman" w:eastAsia="Times New Roman" w:hAnsi="Times New Roman" w:cs="Times New Roman"/>
          <w:color w:val="212121"/>
          <w:sz w:val="24"/>
          <w:szCs w:val="24"/>
          <w:lang w:eastAsia="en-GB"/>
        </w:rPr>
        <w:t xml:space="preserve">challenged </w:t>
      </w:r>
      <w:r w:rsidR="00847F82">
        <w:rPr>
          <w:rFonts w:ascii="Times New Roman" w:eastAsia="Times New Roman" w:hAnsi="Times New Roman" w:cs="Times New Roman"/>
          <w:color w:val="212121"/>
          <w:sz w:val="24"/>
          <w:szCs w:val="24"/>
          <w:lang w:eastAsia="en-GB"/>
        </w:rPr>
        <w:t xml:space="preserve">the </w:t>
      </w:r>
      <w:r w:rsidR="00B52ED1">
        <w:rPr>
          <w:rFonts w:ascii="Times New Roman" w:eastAsia="Times New Roman" w:hAnsi="Times New Roman" w:cs="Times New Roman"/>
          <w:color w:val="212121"/>
          <w:sz w:val="24"/>
          <w:szCs w:val="24"/>
          <w:lang w:eastAsia="en-GB"/>
        </w:rPr>
        <w:t>perception of</w:t>
      </w:r>
      <w:r w:rsidR="00BA1422">
        <w:rPr>
          <w:rFonts w:ascii="Times New Roman" w:eastAsia="Times New Roman" w:hAnsi="Times New Roman" w:cs="Times New Roman"/>
          <w:color w:val="212121"/>
          <w:sz w:val="24"/>
          <w:szCs w:val="24"/>
          <w:lang w:eastAsia="en-GB"/>
        </w:rPr>
        <w:t xml:space="preserve"> devolved competences as </w:t>
      </w:r>
      <w:r w:rsidR="00BA1422" w:rsidRPr="00A50A14">
        <w:rPr>
          <w:rFonts w:ascii="Times New Roman" w:eastAsia="Times New Roman" w:hAnsi="Times New Roman" w:cs="Times New Roman"/>
          <w:i/>
          <w:color w:val="212121"/>
          <w:sz w:val="24"/>
          <w:szCs w:val="24"/>
          <w:lang w:eastAsia="en-GB"/>
        </w:rPr>
        <w:t>de facto</w:t>
      </w:r>
      <w:r w:rsidR="00BA1422">
        <w:rPr>
          <w:rFonts w:ascii="Times New Roman" w:eastAsia="Times New Roman" w:hAnsi="Times New Roman" w:cs="Times New Roman"/>
          <w:color w:val="212121"/>
          <w:sz w:val="24"/>
          <w:szCs w:val="24"/>
          <w:lang w:eastAsia="en-GB"/>
        </w:rPr>
        <w:t xml:space="preserve"> exclusive</w:t>
      </w:r>
      <w:r w:rsidR="00B52ED1">
        <w:rPr>
          <w:rFonts w:ascii="Times New Roman" w:eastAsia="Times New Roman" w:hAnsi="Times New Roman" w:cs="Times New Roman"/>
          <w:color w:val="212121"/>
          <w:sz w:val="24"/>
          <w:szCs w:val="24"/>
          <w:lang w:eastAsia="en-GB"/>
        </w:rPr>
        <w:t>; in other words, as powers enabling</w:t>
      </w:r>
      <w:r w:rsidR="00950D3A">
        <w:rPr>
          <w:rFonts w:ascii="Times New Roman" w:eastAsia="Times New Roman" w:hAnsi="Times New Roman" w:cs="Times New Roman"/>
          <w:color w:val="212121"/>
          <w:sz w:val="24"/>
          <w:szCs w:val="24"/>
          <w:lang w:eastAsia="en-GB"/>
        </w:rPr>
        <w:t xml:space="preserve"> </w:t>
      </w:r>
      <w:r w:rsidR="00B52ED1">
        <w:rPr>
          <w:rFonts w:ascii="Times New Roman" w:eastAsia="Times New Roman" w:hAnsi="Times New Roman" w:cs="Times New Roman"/>
          <w:color w:val="212121"/>
          <w:sz w:val="24"/>
          <w:szCs w:val="24"/>
          <w:lang w:eastAsia="en-GB"/>
        </w:rPr>
        <w:t>them</w:t>
      </w:r>
      <w:r w:rsidR="00950D3A">
        <w:rPr>
          <w:rFonts w:ascii="Times New Roman" w:eastAsia="Times New Roman" w:hAnsi="Times New Roman" w:cs="Times New Roman"/>
          <w:color w:val="212121"/>
          <w:sz w:val="24"/>
          <w:szCs w:val="24"/>
          <w:lang w:eastAsia="en-GB"/>
        </w:rPr>
        <w:t xml:space="preserve"> </w:t>
      </w:r>
      <w:r w:rsidR="00847F82">
        <w:rPr>
          <w:rFonts w:ascii="Times New Roman" w:eastAsia="Times New Roman" w:hAnsi="Times New Roman" w:cs="Times New Roman"/>
          <w:color w:val="212121"/>
          <w:sz w:val="24"/>
          <w:szCs w:val="24"/>
          <w:lang w:eastAsia="en-GB"/>
        </w:rPr>
        <w:t>to</w:t>
      </w:r>
      <w:r w:rsidR="00A626AF">
        <w:rPr>
          <w:rFonts w:ascii="Times New Roman" w:eastAsia="Times New Roman" w:hAnsi="Times New Roman" w:cs="Times New Roman"/>
          <w:color w:val="212121"/>
          <w:sz w:val="24"/>
          <w:szCs w:val="24"/>
          <w:lang w:eastAsia="en-GB"/>
        </w:rPr>
        <w:t xml:space="preserve"> exercise</w:t>
      </w:r>
      <w:r w:rsidR="00950D3A">
        <w:rPr>
          <w:rFonts w:ascii="Times New Roman" w:eastAsia="Times New Roman" w:hAnsi="Times New Roman" w:cs="Times New Roman"/>
          <w:color w:val="212121"/>
          <w:sz w:val="24"/>
          <w:szCs w:val="24"/>
          <w:lang w:eastAsia="en-GB"/>
        </w:rPr>
        <w:t xml:space="preserve"> near total control over the regulation of economic and non-economic activity within their respective territories. </w:t>
      </w:r>
      <w:r w:rsidR="00C86F4B">
        <w:rPr>
          <w:rFonts w:ascii="Times New Roman" w:eastAsia="Times New Roman" w:hAnsi="Times New Roman" w:cs="Times New Roman"/>
          <w:color w:val="212121"/>
          <w:sz w:val="24"/>
          <w:szCs w:val="24"/>
          <w:lang w:eastAsia="en-GB"/>
        </w:rPr>
        <w:t>For</w:t>
      </w:r>
      <w:r>
        <w:rPr>
          <w:rFonts w:ascii="Times New Roman" w:eastAsia="Times New Roman" w:hAnsi="Times New Roman" w:cs="Times New Roman"/>
          <w:color w:val="212121"/>
          <w:sz w:val="24"/>
          <w:szCs w:val="24"/>
          <w:lang w:eastAsia="en-GB"/>
        </w:rPr>
        <w:t xml:space="preserve"> the UK government, EU membership exercised a</w:t>
      </w:r>
      <w:r w:rsidR="00B52ED1">
        <w:rPr>
          <w:rFonts w:ascii="Times New Roman" w:eastAsia="Times New Roman" w:hAnsi="Times New Roman" w:cs="Times New Roman"/>
          <w:color w:val="212121"/>
          <w:sz w:val="24"/>
          <w:szCs w:val="24"/>
          <w:lang w:eastAsia="en-GB"/>
        </w:rPr>
        <w:t xml:space="preserve"> powerful</w:t>
      </w:r>
      <w:r>
        <w:rPr>
          <w:rFonts w:ascii="Times New Roman" w:eastAsia="Times New Roman" w:hAnsi="Times New Roman" w:cs="Times New Roman"/>
          <w:color w:val="212121"/>
          <w:sz w:val="24"/>
          <w:szCs w:val="24"/>
          <w:lang w:eastAsia="en-GB"/>
        </w:rPr>
        <w:t xml:space="preserve"> check </w:t>
      </w:r>
      <w:r w:rsidR="00950D3A">
        <w:rPr>
          <w:rFonts w:ascii="Times New Roman" w:eastAsia="Times New Roman" w:hAnsi="Times New Roman" w:cs="Times New Roman"/>
          <w:color w:val="212121"/>
          <w:sz w:val="24"/>
          <w:szCs w:val="24"/>
          <w:lang w:eastAsia="en-GB"/>
        </w:rPr>
        <w:t>on opposing</w:t>
      </w:r>
      <w:r w:rsidR="00C86F4B">
        <w:rPr>
          <w:rFonts w:ascii="Times New Roman" w:eastAsia="Times New Roman" w:hAnsi="Times New Roman" w:cs="Times New Roman"/>
          <w:color w:val="212121"/>
          <w:sz w:val="24"/>
          <w:szCs w:val="24"/>
          <w:lang w:eastAsia="en-GB"/>
        </w:rPr>
        <w:t xml:space="preserve"> political</w:t>
      </w:r>
      <w:r w:rsidR="00950D3A">
        <w:rPr>
          <w:rFonts w:ascii="Times New Roman" w:eastAsia="Times New Roman" w:hAnsi="Times New Roman" w:cs="Times New Roman"/>
          <w:color w:val="212121"/>
          <w:sz w:val="24"/>
          <w:szCs w:val="24"/>
          <w:lang w:eastAsia="en-GB"/>
        </w:rPr>
        <w:t xml:space="preserve"> impulses to control devolution from the centre</w:t>
      </w:r>
      <w:r w:rsidR="00A626AF">
        <w:rPr>
          <w:rFonts w:ascii="Times New Roman" w:eastAsia="Times New Roman" w:hAnsi="Times New Roman" w:cs="Times New Roman"/>
          <w:color w:val="212121"/>
          <w:sz w:val="24"/>
          <w:szCs w:val="24"/>
          <w:lang w:eastAsia="en-GB"/>
        </w:rPr>
        <w:t xml:space="preserve"> in line with the orthodox, legalistic view of </w:t>
      </w:r>
      <w:r w:rsidR="00C86F4B">
        <w:rPr>
          <w:rFonts w:ascii="Times New Roman" w:eastAsia="Times New Roman" w:hAnsi="Times New Roman" w:cs="Times New Roman"/>
          <w:color w:val="212121"/>
          <w:sz w:val="24"/>
          <w:szCs w:val="24"/>
          <w:lang w:eastAsia="en-GB"/>
        </w:rPr>
        <w:t>devolution as a framework that remains firmly embedded within a</w:t>
      </w:r>
      <w:r w:rsidR="00A626AF">
        <w:rPr>
          <w:rFonts w:ascii="Times New Roman" w:eastAsia="Times New Roman" w:hAnsi="Times New Roman" w:cs="Times New Roman"/>
          <w:color w:val="212121"/>
          <w:sz w:val="24"/>
          <w:szCs w:val="24"/>
          <w:lang w:eastAsia="en-GB"/>
        </w:rPr>
        <w:t xml:space="preserve"> unitary</w:t>
      </w:r>
      <w:r w:rsidR="00C86F4B">
        <w:rPr>
          <w:rFonts w:ascii="Times New Roman" w:eastAsia="Times New Roman" w:hAnsi="Times New Roman" w:cs="Times New Roman"/>
          <w:color w:val="212121"/>
          <w:sz w:val="24"/>
          <w:szCs w:val="24"/>
          <w:lang w:eastAsia="en-GB"/>
        </w:rPr>
        <w:t xml:space="preserve"> domestic</w:t>
      </w:r>
      <w:r w:rsidR="00A626AF">
        <w:rPr>
          <w:rFonts w:ascii="Times New Roman" w:eastAsia="Times New Roman" w:hAnsi="Times New Roman" w:cs="Times New Roman"/>
          <w:color w:val="212121"/>
          <w:sz w:val="24"/>
          <w:szCs w:val="24"/>
          <w:lang w:eastAsia="en-GB"/>
        </w:rPr>
        <w:t xml:space="preserve"> constitution</w:t>
      </w:r>
      <w:r w:rsidR="00950D3A">
        <w:rPr>
          <w:rFonts w:ascii="Times New Roman" w:eastAsia="Times New Roman" w:hAnsi="Times New Roman" w:cs="Times New Roman"/>
          <w:color w:val="212121"/>
          <w:sz w:val="24"/>
          <w:szCs w:val="24"/>
          <w:lang w:eastAsia="en-GB"/>
        </w:rPr>
        <w:t xml:space="preserve">. EU principles and structures, </w:t>
      </w:r>
      <w:r w:rsidR="00B52ED1">
        <w:rPr>
          <w:rFonts w:ascii="Times New Roman" w:eastAsia="Times New Roman" w:hAnsi="Times New Roman" w:cs="Times New Roman"/>
          <w:color w:val="212121"/>
          <w:sz w:val="24"/>
          <w:szCs w:val="24"/>
          <w:lang w:eastAsia="en-GB"/>
        </w:rPr>
        <w:t>including an active</w:t>
      </w:r>
      <w:r w:rsidR="00950D3A">
        <w:rPr>
          <w:rFonts w:ascii="Times New Roman" w:eastAsia="Times New Roman" w:hAnsi="Times New Roman" w:cs="Times New Roman"/>
          <w:color w:val="212121"/>
          <w:sz w:val="24"/>
          <w:szCs w:val="24"/>
          <w:lang w:eastAsia="en-GB"/>
        </w:rPr>
        <w:t xml:space="preserve"> commitment to subsidiarity, </w:t>
      </w:r>
      <w:r w:rsidR="00C86F4B">
        <w:rPr>
          <w:rFonts w:ascii="Times New Roman" w:eastAsia="Times New Roman" w:hAnsi="Times New Roman" w:cs="Times New Roman"/>
          <w:color w:val="212121"/>
          <w:sz w:val="24"/>
          <w:szCs w:val="24"/>
          <w:lang w:eastAsia="en-GB"/>
        </w:rPr>
        <w:t>mandated</w:t>
      </w:r>
      <w:r w:rsidR="00950D3A">
        <w:rPr>
          <w:rFonts w:ascii="Times New Roman" w:eastAsia="Times New Roman" w:hAnsi="Times New Roman" w:cs="Times New Roman"/>
          <w:color w:val="212121"/>
          <w:sz w:val="24"/>
          <w:szCs w:val="24"/>
          <w:lang w:eastAsia="en-GB"/>
        </w:rPr>
        <w:t xml:space="preserve"> the UK government coordinate the exercise of its competences</w:t>
      </w:r>
      <w:r w:rsidR="00B52ED1">
        <w:rPr>
          <w:rFonts w:ascii="Times New Roman" w:eastAsia="Times New Roman" w:hAnsi="Times New Roman" w:cs="Times New Roman"/>
          <w:color w:val="212121"/>
          <w:sz w:val="24"/>
          <w:szCs w:val="24"/>
          <w:lang w:eastAsia="en-GB"/>
        </w:rPr>
        <w:t xml:space="preserve"> in relation to EU membership</w:t>
      </w:r>
      <w:r w:rsidR="00950D3A">
        <w:rPr>
          <w:rFonts w:ascii="Times New Roman" w:eastAsia="Times New Roman" w:hAnsi="Times New Roman" w:cs="Times New Roman"/>
          <w:color w:val="212121"/>
          <w:sz w:val="24"/>
          <w:szCs w:val="24"/>
          <w:lang w:eastAsia="en-GB"/>
        </w:rPr>
        <w:t xml:space="preserve"> with those of the devolved governments in areas of Union policymaking. </w:t>
      </w:r>
      <w:r w:rsidR="00AA6E21">
        <w:rPr>
          <w:rFonts w:ascii="Times New Roman" w:eastAsia="Times New Roman" w:hAnsi="Times New Roman" w:cs="Times New Roman"/>
          <w:color w:val="212121"/>
          <w:sz w:val="24"/>
          <w:szCs w:val="24"/>
          <w:lang w:eastAsia="en-GB"/>
        </w:rPr>
        <w:t>Taken together, the overall effect on devolved competences was</w:t>
      </w:r>
      <w:r w:rsidR="007C4270">
        <w:rPr>
          <w:rFonts w:ascii="Times New Roman" w:eastAsia="Times New Roman" w:hAnsi="Times New Roman" w:cs="Times New Roman"/>
          <w:color w:val="212121"/>
          <w:sz w:val="24"/>
          <w:szCs w:val="24"/>
          <w:lang w:eastAsia="en-GB"/>
        </w:rPr>
        <w:t xml:space="preserve"> largely</w:t>
      </w:r>
      <w:r w:rsidR="00AA6E21">
        <w:rPr>
          <w:rFonts w:ascii="Times New Roman" w:eastAsia="Times New Roman" w:hAnsi="Times New Roman" w:cs="Times New Roman"/>
          <w:color w:val="212121"/>
          <w:sz w:val="24"/>
          <w:szCs w:val="24"/>
          <w:lang w:eastAsia="en-GB"/>
        </w:rPr>
        <w:t xml:space="preserve"> unifying, with both the UK and devolved governments recognising a collective interest in coordination and shared rule both vertically and horizontally within EU frameworks.</w:t>
      </w:r>
    </w:p>
    <w:p w14:paraId="3685B72B" w14:textId="73C25A6D" w:rsidR="00A626AF" w:rsidRDefault="00A626AF" w:rsidP="00A626AF">
      <w:pPr>
        <w:spacing w:after="0" w:line="360" w:lineRule="auto"/>
        <w:ind w:firstLine="720"/>
        <w:jc w:val="both"/>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 xml:space="preserve">Brexit appears to have largely extinguished the </w:t>
      </w:r>
      <w:r w:rsidR="00892FAE">
        <w:rPr>
          <w:rFonts w:ascii="Times New Roman" w:eastAsia="Times New Roman" w:hAnsi="Times New Roman" w:cs="Times New Roman"/>
          <w:color w:val="212121"/>
          <w:sz w:val="24"/>
          <w:szCs w:val="24"/>
          <w:lang w:eastAsia="en-GB"/>
        </w:rPr>
        <w:t>disciplinary</w:t>
      </w:r>
      <w:r w:rsidR="00AA6E21">
        <w:rPr>
          <w:rFonts w:ascii="Times New Roman" w:eastAsia="Times New Roman" w:hAnsi="Times New Roman" w:cs="Times New Roman"/>
          <w:color w:val="212121"/>
          <w:sz w:val="24"/>
          <w:szCs w:val="24"/>
          <w:lang w:eastAsia="en-GB"/>
        </w:rPr>
        <w:t xml:space="preserve"> (and unifying)</w:t>
      </w:r>
      <w:r w:rsidR="00892FAE">
        <w:rPr>
          <w:rFonts w:ascii="Times New Roman" w:eastAsia="Times New Roman" w:hAnsi="Times New Roman" w:cs="Times New Roman"/>
          <w:color w:val="212121"/>
          <w:sz w:val="24"/>
          <w:szCs w:val="24"/>
          <w:lang w:eastAsia="en-GB"/>
        </w:rPr>
        <w:t xml:space="preserve"> </w:t>
      </w:r>
      <w:r>
        <w:rPr>
          <w:rFonts w:ascii="Times New Roman" w:eastAsia="Times New Roman" w:hAnsi="Times New Roman" w:cs="Times New Roman"/>
          <w:color w:val="212121"/>
          <w:sz w:val="24"/>
          <w:szCs w:val="24"/>
          <w:lang w:eastAsia="en-GB"/>
        </w:rPr>
        <w:t xml:space="preserve">effects of EU principles and structures </w:t>
      </w:r>
      <w:r w:rsidR="003012F8">
        <w:rPr>
          <w:rFonts w:ascii="Times New Roman" w:eastAsia="Times New Roman" w:hAnsi="Times New Roman" w:cs="Times New Roman"/>
          <w:color w:val="212121"/>
          <w:sz w:val="24"/>
          <w:szCs w:val="24"/>
          <w:lang w:eastAsia="en-GB"/>
        </w:rPr>
        <w:t xml:space="preserve">on </w:t>
      </w:r>
      <w:r w:rsidR="004E5F80">
        <w:rPr>
          <w:rFonts w:ascii="Times New Roman" w:eastAsia="Times New Roman" w:hAnsi="Times New Roman" w:cs="Times New Roman"/>
          <w:color w:val="212121"/>
          <w:sz w:val="24"/>
          <w:szCs w:val="24"/>
          <w:lang w:eastAsia="en-GB"/>
        </w:rPr>
        <w:t xml:space="preserve">the exercise of </w:t>
      </w:r>
      <w:r>
        <w:rPr>
          <w:rFonts w:ascii="Times New Roman" w:eastAsia="Times New Roman" w:hAnsi="Times New Roman" w:cs="Times New Roman"/>
          <w:color w:val="212121"/>
          <w:sz w:val="24"/>
          <w:szCs w:val="24"/>
          <w:lang w:eastAsia="en-GB"/>
        </w:rPr>
        <w:t>devolved competence</w:t>
      </w:r>
      <w:r w:rsidR="004E5F80">
        <w:rPr>
          <w:rFonts w:ascii="Times New Roman" w:eastAsia="Times New Roman" w:hAnsi="Times New Roman" w:cs="Times New Roman"/>
          <w:color w:val="212121"/>
          <w:sz w:val="24"/>
          <w:szCs w:val="24"/>
          <w:lang w:eastAsia="en-GB"/>
        </w:rPr>
        <w:t>s.</w:t>
      </w:r>
      <w:r>
        <w:rPr>
          <w:rStyle w:val="FootnoteReference"/>
          <w:rFonts w:ascii="Times New Roman" w:eastAsia="Times New Roman" w:hAnsi="Times New Roman" w:cs="Times New Roman"/>
          <w:color w:val="212121"/>
          <w:sz w:val="24"/>
          <w:szCs w:val="24"/>
          <w:lang w:eastAsia="en-GB"/>
        </w:rPr>
        <w:footnoteReference w:id="137"/>
      </w:r>
      <w:r>
        <w:rPr>
          <w:rFonts w:ascii="Times New Roman" w:eastAsia="Times New Roman" w:hAnsi="Times New Roman" w:cs="Times New Roman"/>
          <w:color w:val="212121"/>
          <w:sz w:val="24"/>
          <w:szCs w:val="24"/>
          <w:lang w:eastAsia="en-GB"/>
        </w:rPr>
        <w:t xml:space="preserve"> Without these guardrails in place, domestic regulatory interactions are transitioning to</w:t>
      </w:r>
      <w:r w:rsidR="00630BAE">
        <w:rPr>
          <w:rFonts w:ascii="Times New Roman" w:eastAsia="Times New Roman" w:hAnsi="Times New Roman" w:cs="Times New Roman"/>
          <w:color w:val="212121"/>
          <w:sz w:val="24"/>
          <w:szCs w:val="24"/>
          <w:lang w:eastAsia="en-GB"/>
        </w:rPr>
        <w:t xml:space="preserve"> a</w:t>
      </w:r>
      <w:r>
        <w:rPr>
          <w:rFonts w:ascii="Times New Roman" w:eastAsia="Times New Roman" w:hAnsi="Times New Roman" w:cs="Times New Roman"/>
          <w:color w:val="212121"/>
          <w:sz w:val="24"/>
          <w:szCs w:val="24"/>
          <w:lang w:eastAsia="en-GB"/>
        </w:rPr>
        <w:t xml:space="preserve"> new operational </w:t>
      </w:r>
      <w:r>
        <w:rPr>
          <w:rFonts w:ascii="Times New Roman" w:eastAsia="Times New Roman" w:hAnsi="Times New Roman" w:cs="Times New Roman"/>
          <w:color w:val="212121"/>
          <w:sz w:val="24"/>
          <w:szCs w:val="24"/>
          <w:lang w:eastAsia="en-GB"/>
        </w:rPr>
        <w:lastRenderedPageBreak/>
        <w:t>understanding</w:t>
      </w:r>
      <w:r w:rsidR="00630BAE">
        <w:rPr>
          <w:rFonts w:ascii="Times New Roman" w:eastAsia="Times New Roman" w:hAnsi="Times New Roman" w:cs="Times New Roman"/>
          <w:color w:val="212121"/>
          <w:sz w:val="24"/>
          <w:szCs w:val="24"/>
          <w:lang w:eastAsia="en-GB"/>
        </w:rPr>
        <w:t xml:space="preserve"> </w:t>
      </w:r>
      <w:r>
        <w:rPr>
          <w:rFonts w:ascii="Times New Roman" w:eastAsia="Times New Roman" w:hAnsi="Times New Roman" w:cs="Times New Roman"/>
          <w:color w:val="212121"/>
          <w:sz w:val="24"/>
          <w:szCs w:val="24"/>
          <w:lang w:eastAsia="en-GB"/>
        </w:rPr>
        <w:t>of</w:t>
      </w:r>
      <w:r w:rsidR="00630BAE">
        <w:rPr>
          <w:rFonts w:ascii="Times New Roman" w:eastAsia="Times New Roman" w:hAnsi="Times New Roman" w:cs="Times New Roman"/>
          <w:color w:val="212121"/>
          <w:sz w:val="24"/>
          <w:szCs w:val="24"/>
          <w:lang w:eastAsia="en-GB"/>
        </w:rPr>
        <w:t xml:space="preserve"> devolved</w:t>
      </w:r>
      <w:r>
        <w:rPr>
          <w:rFonts w:ascii="Times New Roman" w:eastAsia="Times New Roman" w:hAnsi="Times New Roman" w:cs="Times New Roman"/>
          <w:color w:val="212121"/>
          <w:sz w:val="24"/>
          <w:szCs w:val="24"/>
          <w:lang w:eastAsia="en-GB"/>
        </w:rPr>
        <w:t xml:space="preserve"> competences</w:t>
      </w:r>
      <w:r w:rsidR="003012F8">
        <w:rPr>
          <w:rFonts w:ascii="Times New Roman" w:eastAsia="Times New Roman" w:hAnsi="Times New Roman" w:cs="Times New Roman"/>
          <w:color w:val="212121"/>
          <w:sz w:val="24"/>
          <w:szCs w:val="24"/>
          <w:lang w:eastAsia="en-GB"/>
        </w:rPr>
        <w:t xml:space="preserve"> that points to increasing polarisation</w:t>
      </w:r>
      <w:r>
        <w:rPr>
          <w:rFonts w:ascii="Times New Roman" w:eastAsia="Times New Roman" w:hAnsi="Times New Roman" w:cs="Times New Roman"/>
          <w:color w:val="212121"/>
          <w:sz w:val="24"/>
          <w:szCs w:val="24"/>
          <w:lang w:eastAsia="en-GB"/>
        </w:rPr>
        <w:t>. For the UK government, the repatriation of EU competences in</w:t>
      </w:r>
      <w:r w:rsidR="00143C62">
        <w:rPr>
          <w:rFonts w:ascii="Times New Roman" w:eastAsia="Times New Roman" w:hAnsi="Times New Roman" w:cs="Times New Roman"/>
          <w:color w:val="212121"/>
          <w:sz w:val="24"/>
          <w:szCs w:val="24"/>
          <w:lang w:eastAsia="en-GB"/>
        </w:rPr>
        <w:t xml:space="preserve"> devolved </w:t>
      </w:r>
      <w:r>
        <w:rPr>
          <w:rFonts w:ascii="Times New Roman" w:eastAsia="Times New Roman" w:hAnsi="Times New Roman" w:cs="Times New Roman"/>
          <w:color w:val="212121"/>
          <w:sz w:val="24"/>
          <w:szCs w:val="24"/>
          <w:lang w:eastAsia="en-GB"/>
        </w:rPr>
        <w:t xml:space="preserve">policy areas appears tied to </w:t>
      </w:r>
      <w:r w:rsidR="00C86F4B">
        <w:rPr>
          <w:rFonts w:ascii="Times New Roman" w:eastAsia="Times New Roman" w:hAnsi="Times New Roman" w:cs="Times New Roman"/>
          <w:color w:val="212121"/>
          <w:sz w:val="24"/>
          <w:szCs w:val="24"/>
          <w:lang w:eastAsia="en-GB"/>
        </w:rPr>
        <w:t>its</w:t>
      </w:r>
      <w:r>
        <w:rPr>
          <w:rFonts w:ascii="Times New Roman" w:eastAsia="Times New Roman" w:hAnsi="Times New Roman" w:cs="Times New Roman"/>
          <w:color w:val="212121"/>
          <w:sz w:val="24"/>
          <w:szCs w:val="24"/>
          <w:lang w:eastAsia="en-GB"/>
        </w:rPr>
        <w:t xml:space="preserve"> understanding of the UK internal market as the continuation, domestically, of a previously EU-managed shared regulatory space. On that view, the exercise of devolved competences post-Brexit remains, by default, necessarily ‘other regarding.’ Membership of the UK internal market requires the devolved governments to exercise their competences in a manner that takes direct account of any effects on intra-UK trade. Contrastingly, </w:t>
      </w:r>
      <w:bookmarkStart w:id="3" w:name="_Hlk136250591"/>
      <w:r>
        <w:rPr>
          <w:rFonts w:ascii="Times New Roman" w:eastAsia="Times New Roman" w:hAnsi="Times New Roman" w:cs="Times New Roman"/>
          <w:color w:val="212121"/>
          <w:sz w:val="24"/>
          <w:szCs w:val="24"/>
          <w:lang w:eastAsia="en-GB"/>
        </w:rPr>
        <w:t xml:space="preserve">for the devolved governments, the repatriation of EU powers in areas of devolved competence is internalised as an expansion of </w:t>
      </w:r>
      <w:r w:rsidRPr="00D020B6">
        <w:rPr>
          <w:rFonts w:ascii="Times New Roman" w:eastAsia="Times New Roman" w:hAnsi="Times New Roman" w:cs="Times New Roman"/>
          <w:i/>
          <w:color w:val="212121"/>
          <w:sz w:val="24"/>
          <w:szCs w:val="24"/>
          <w:lang w:eastAsia="en-GB"/>
        </w:rPr>
        <w:t>de facto</w:t>
      </w:r>
      <w:r>
        <w:rPr>
          <w:rFonts w:ascii="Times New Roman" w:eastAsia="Times New Roman" w:hAnsi="Times New Roman" w:cs="Times New Roman"/>
          <w:color w:val="212121"/>
          <w:sz w:val="24"/>
          <w:szCs w:val="24"/>
          <w:lang w:eastAsia="en-GB"/>
        </w:rPr>
        <w:t xml:space="preserve"> exclusive competences. Brexit marks a point at which devolved powers in areas previously governed by EU law should increase in line with their understanding of devolution as a constitutional framework that exists, first and foremost, to protect democratic self-rule.</w:t>
      </w:r>
    </w:p>
    <w:bookmarkEnd w:id="3"/>
    <w:p w14:paraId="48C95092" w14:textId="516B8409" w:rsidR="00DC47C9" w:rsidRDefault="00A626AF" w:rsidP="00DC47C9">
      <w:pPr>
        <w:spacing w:after="0" w:line="360" w:lineRule="auto"/>
        <w:ind w:firstLine="720"/>
        <w:jc w:val="both"/>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 xml:space="preserve">The Common Frameworks stand out against that backdrop as a (non-legislative) attempt to preserve the logic of </w:t>
      </w:r>
      <w:r w:rsidR="00630BAE">
        <w:rPr>
          <w:rFonts w:ascii="Times New Roman" w:eastAsia="Times New Roman" w:hAnsi="Times New Roman" w:cs="Times New Roman"/>
          <w:color w:val="212121"/>
          <w:sz w:val="24"/>
          <w:szCs w:val="24"/>
          <w:lang w:eastAsia="en-GB"/>
        </w:rPr>
        <w:t>concurrency</w:t>
      </w:r>
      <w:r w:rsidR="00573F53">
        <w:rPr>
          <w:rFonts w:ascii="Times New Roman" w:eastAsia="Times New Roman" w:hAnsi="Times New Roman" w:cs="Times New Roman"/>
          <w:color w:val="212121"/>
          <w:sz w:val="24"/>
          <w:szCs w:val="24"/>
          <w:lang w:eastAsia="en-GB"/>
        </w:rPr>
        <w:t xml:space="preserve"> and coordination</w:t>
      </w:r>
      <w:r>
        <w:rPr>
          <w:rFonts w:ascii="Times New Roman" w:eastAsia="Times New Roman" w:hAnsi="Times New Roman" w:cs="Times New Roman"/>
          <w:color w:val="212121"/>
          <w:sz w:val="24"/>
          <w:szCs w:val="24"/>
          <w:lang w:eastAsia="en-GB"/>
        </w:rPr>
        <w:t xml:space="preserve"> under the UK constitution despite far-reaching changes in political context post-Brexit. The Frameworks carry over into a new domestic context the EU-facing conceptualisation of UK and devolved competences as </w:t>
      </w:r>
      <w:r w:rsidR="00BA1422" w:rsidRPr="00143C62">
        <w:rPr>
          <w:rFonts w:ascii="Times New Roman" w:eastAsia="Times New Roman" w:hAnsi="Times New Roman" w:cs="Times New Roman"/>
          <w:i/>
          <w:color w:val="212121"/>
          <w:sz w:val="24"/>
          <w:szCs w:val="24"/>
          <w:lang w:eastAsia="en-GB"/>
        </w:rPr>
        <w:t>de facto</w:t>
      </w:r>
      <w:r>
        <w:rPr>
          <w:rFonts w:ascii="Times New Roman" w:eastAsia="Times New Roman" w:hAnsi="Times New Roman" w:cs="Times New Roman"/>
          <w:color w:val="212121"/>
          <w:sz w:val="24"/>
          <w:szCs w:val="24"/>
          <w:lang w:eastAsia="en-GB"/>
        </w:rPr>
        <w:t xml:space="preserve"> concurrent, rather than</w:t>
      </w:r>
      <w:r w:rsidR="00BA1422">
        <w:rPr>
          <w:rFonts w:ascii="Times New Roman" w:eastAsia="Times New Roman" w:hAnsi="Times New Roman" w:cs="Times New Roman"/>
          <w:color w:val="212121"/>
          <w:sz w:val="24"/>
          <w:szCs w:val="24"/>
          <w:lang w:eastAsia="en-GB"/>
        </w:rPr>
        <w:t xml:space="preserve"> </w:t>
      </w:r>
      <w:r w:rsidR="00BA1422" w:rsidRPr="00143C62">
        <w:rPr>
          <w:rFonts w:ascii="Times New Roman" w:eastAsia="Times New Roman" w:hAnsi="Times New Roman" w:cs="Times New Roman"/>
          <w:i/>
          <w:color w:val="212121"/>
          <w:sz w:val="24"/>
          <w:szCs w:val="24"/>
          <w:lang w:eastAsia="en-GB"/>
        </w:rPr>
        <w:t>de facto</w:t>
      </w:r>
      <w:r>
        <w:rPr>
          <w:rFonts w:ascii="Times New Roman" w:eastAsia="Times New Roman" w:hAnsi="Times New Roman" w:cs="Times New Roman"/>
          <w:color w:val="212121"/>
          <w:sz w:val="24"/>
          <w:szCs w:val="24"/>
          <w:lang w:eastAsia="en-GB"/>
        </w:rPr>
        <w:t xml:space="preserve"> exclusive. </w:t>
      </w:r>
      <w:r w:rsidR="00143C62">
        <w:rPr>
          <w:rFonts w:ascii="Times New Roman" w:eastAsia="Times New Roman" w:hAnsi="Times New Roman" w:cs="Times New Roman"/>
          <w:color w:val="212121"/>
          <w:sz w:val="24"/>
          <w:szCs w:val="24"/>
          <w:lang w:eastAsia="en-GB"/>
        </w:rPr>
        <w:t>S</w:t>
      </w:r>
      <w:r>
        <w:rPr>
          <w:rFonts w:ascii="Times New Roman" w:eastAsia="Times New Roman" w:hAnsi="Times New Roman" w:cs="Times New Roman"/>
          <w:color w:val="212121"/>
          <w:sz w:val="24"/>
          <w:szCs w:val="24"/>
          <w:lang w:eastAsia="en-GB"/>
        </w:rPr>
        <w:t xml:space="preserve">tripped to their core, they commit the UK and devolved legislatures to </w:t>
      </w:r>
      <w:r w:rsidRPr="00DA39B0">
        <w:rPr>
          <w:rFonts w:ascii="Times New Roman" w:eastAsia="Times New Roman" w:hAnsi="Times New Roman" w:cs="Times New Roman"/>
          <w:color w:val="212121"/>
          <w:sz w:val="24"/>
          <w:szCs w:val="24"/>
          <w:lang w:eastAsia="en-GB"/>
        </w:rPr>
        <w:t>cooperate on policy coordination in areas of devolved competence that were previously within the scope of EU law. But</w:t>
      </w:r>
      <w:r w:rsidR="00143C62" w:rsidRPr="00DA39B0">
        <w:rPr>
          <w:rFonts w:ascii="Times New Roman" w:eastAsia="Times New Roman" w:hAnsi="Times New Roman" w:cs="Times New Roman"/>
          <w:color w:val="212121"/>
          <w:sz w:val="24"/>
          <w:szCs w:val="24"/>
          <w:lang w:eastAsia="en-GB"/>
        </w:rPr>
        <w:t xml:space="preserve"> </w:t>
      </w:r>
      <w:r w:rsidRPr="00DA39B0">
        <w:rPr>
          <w:rFonts w:ascii="Times New Roman" w:eastAsia="Times New Roman" w:hAnsi="Times New Roman" w:cs="Times New Roman"/>
          <w:color w:val="212121"/>
          <w:sz w:val="24"/>
          <w:szCs w:val="24"/>
          <w:lang w:eastAsia="en-GB"/>
        </w:rPr>
        <w:t xml:space="preserve">that is about all they carry over. </w:t>
      </w:r>
      <w:r w:rsidR="00143C62" w:rsidRPr="00DA39B0">
        <w:rPr>
          <w:rFonts w:ascii="Times New Roman" w:eastAsia="Times New Roman" w:hAnsi="Times New Roman" w:cs="Times New Roman"/>
          <w:color w:val="212121"/>
          <w:sz w:val="24"/>
          <w:szCs w:val="24"/>
          <w:lang w:eastAsia="en-GB"/>
        </w:rPr>
        <w:t>As our analysis has set out (Sections 2 and 3, above), t</w:t>
      </w:r>
      <w:r w:rsidRPr="00DA39B0">
        <w:rPr>
          <w:rFonts w:ascii="Times New Roman" w:eastAsia="Times New Roman" w:hAnsi="Times New Roman" w:cs="Times New Roman"/>
          <w:color w:val="212121"/>
          <w:sz w:val="24"/>
          <w:szCs w:val="24"/>
          <w:lang w:eastAsia="en-GB"/>
        </w:rPr>
        <w:t>he Frameworks are light on substantive principles and, further, notably fail to transplant</w:t>
      </w:r>
      <w:r w:rsidR="00D75123">
        <w:rPr>
          <w:rFonts w:ascii="Times New Roman" w:eastAsia="Times New Roman" w:hAnsi="Times New Roman" w:cs="Times New Roman"/>
          <w:color w:val="212121"/>
          <w:sz w:val="24"/>
          <w:szCs w:val="24"/>
          <w:lang w:eastAsia="en-GB"/>
        </w:rPr>
        <w:t xml:space="preserve"> into domestic law</w:t>
      </w:r>
      <w:r w:rsidRPr="00DA39B0">
        <w:rPr>
          <w:rFonts w:ascii="Times New Roman" w:eastAsia="Times New Roman" w:hAnsi="Times New Roman" w:cs="Times New Roman"/>
          <w:color w:val="212121"/>
          <w:sz w:val="24"/>
          <w:szCs w:val="24"/>
          <w:lang w:eastAsia="en-GB"/>
        </w:rPr>
        <w:t xml:space="preserve"> </w:t>
      </w:r>
      <w:r w:rsidR="00D75123">
        <w:rPr>
          <w:rFonts w:ascii="Times New Roman" w:eastAsia="Times New Roman" w:hAnsi="Times New Roman" w:cs="Times New Roman"/>
          <w:color w:val="212121"/>
          <w:sz w:val="24"/>
          <w:szCs w:val="24"/>
          <w:lang w:eastAsia="en-GB"/>
        </w:rPr>
        <w:t xml:space="preserve">many of the EU’s important tools that are designed </w:t>
      </w:r>
      <w:r w:rsidRPr="00DA39B0">
        <w:rPr>
          <w:rFonts w:ascii="Times New Roman" w:eastAsia="Times New Roman" w:hAnsi="Times New Roman" w:cs="Times New Roman"/>
          <w:color w:val="212121"/>
          <w:sz w:val="24"/>
          <w:szCs w:val="24"/>
          <w:lang w:eastAsia="en-GB"/>
        </w:rPr>
        <w:t xml:space="preserve">to enhance the scope for divergent policymaking within the </w:t>
      </w:r>
      <w:r w:rsidR="00D75123">
        <w:rPr>
          <w:rFonts w:ascii="Times New Roman" w:eastAsia="Times New Roman" w:hAnsi="Times New Roman" w:cs="Times New Roman"/>
          <w:color w:val="212121"/>
          <w:sz w:val="24"/>
          <w:szCs w:val="24"/>
          <w:lang w:eastAsia="en-GB"/>
        </w:rPr>
        <w:t>EU’s</w:t>
      </w:r>
      <w:r w:rsidRPr="00DA39B0">
        <w:rPr>
          <w:rFonts w:ascii="Times New Roman" w:eastAsia="Times New Roman" w:hAnsi="Times New Roman" w:cs="Times New Roman"/>
          <w:color w:val="212121"/>
          <w:sz w:val="24"/>
          <w:szCs w:val="24"/>
          <w:lang w:eastAsia="en-GB"/>
        </w:rPr>
        <w:t xml:space="preserve"> internal market as a shared regulatory space.</w:t>
      </w:r>
      <w:r w:rsidR="00D75123">
        <w:rPr>
          <w:rFonts w:ascii="Times New Roman" w:eastAsia="Times New Roman" w:hAnsi="Times New Roman" w:cs="Times New Roman"/>
          <w:color w:val="212121"/>
          <w:sz w:val="24"/>
          <w:szCs w:val="24"/>
          <w:lang w:eastAsia="en-GB"/>
        </w:rPr>
        <w:t xml:space="preserve"> These tools include, among other things, the open-ended set of overriding public interests justifying restrictions on cross-border movement as well as the EU’s active commitment to subsidiarity.</w:t>
      </w:r>
      <w:r w:rsidR="002202BF" w:rsidRPr="00DA39B0">
        <w:rPr>
          <w:rFonts w:ascii="Times New Roman" w:eastAsia="Times New Roman" w:hAnsi="Times New Roman" w:cs="Times New Roman"/>
          <w:color w:val="212121"/>
          <w:sz w:val="24"/>
          <w:szCs w:val="24"/>
          <w:lang w:eastAsia="en-GB"/>
        </w:rPr>
        <w:t xml:space="preserve"> </w:t>
      </w:r>
      <w:r w:rsidR="00D75123">
        <w:rPr>
          <w:rFonts w:ascii="Times New Roman" w:eastAsia="Times New Roman" w:hAnsi="Times New Roman" w:cs="Times New Roman"/>
          <w:color w:val="212121"/>
          <w:sz w:val="24"/>
          <w:szCs w:val="24"/>
          <w:lang w:eastAsia="en-GB"/>
        </w:rPr>
        <w:t>As our analysis reveals (Section 3</w:t>
      </w:r>
      <w:r w:rsidR="007F6316">
        <w:rPr>
          <w:rFonts w:ascii="Times New Roman" w:eastAsia="Times New Roman" w:hAnsi="Times New Roman" w:cs="Times New Roman"/>
          <w:color w:val="212121"/>
          <w:sz w:val="24"/>
          <w:szCs w:val="24"/>
          <w:lang w:eastAsia="en-GB"/>
        </w:rPr>
        <w:t>.3</w:t>
      </w:r>
      <w:r w:rsidR="00D75123">
        <w:rPr>
          <w:rFonts w:ascii="Times New Roman" w:eastAsia="Times New Roman" w:hAnsi="Times New Roman" w:cs="Times New Roman"/>
          <w:color w:val="212121"/>
          <w:sz w:val="24"/>
          <w:szCs w:val="24"/>
          <w:lang w:eastAsia="en-GB"/>
        </w:rPr>
        <w:t>, above), the</w:t>
      </w:r>
      <w:r w:rsidR="00143C62" w:rsidRPr="00DA39B0">
        <w:rPr>
          <w:rFonts w:ascii="Times New Roman" w:eastAsia="Times New Roman" w:hAnsi="Times New Roman" w:cs="Times New Roman"/>
          <w:color w:val="212121"/>
          <w:sz w:val="24"/>
          <w:szCs w:val="24"/>
          <w:lang w:eastAsia="en-GB"/>
        </w:rPr>
        <w:t xml:space="preserve"> </w:t>
      </w:r>
      <w:r w:rsidR="00456A53" w:rsidRPr="00DA39B0">
        <w:rPr>
          <w:rFonts w:ascii="Times New Roman" w:eastAsia="Times New Roman" w:hAnsi="Times New Roman" w:cs="Times New Roman"/>
          <w:color w:val="212121"/>
          <w:sz w:val="24"/>
          <w:szCs w:val="24"/>
          <w:lang w:eastAsia="en-GB"/>
        </w:rPr>
        <w:t xml:space="preserve">effective </w:t>
      </w:r>
      <w:r w:rsidR="00143C62" w:rsidRPr="00DA39B0">
        <w:rPr>
          <w:rFonts w:ascii="Times New Roman" w:eastAsia="Times New Roman" w:hAnsi="Times New Roman" w:cs="Times New Roman"/>
          <w:color w:val="212121"/>
          <w:sz w:val="24"/>
          <w:szCs w:val="24"/>
          <w:lang w:eastAsia="en-GB"/>
        </w:rPr>
        <w:t>functioning</w:t>
      </w:r>
      <w:r w:rsidR="00D75123">
        <w:rPr>
          <w:rFonts w:ascii="Times New Roman" w:eastAsia="Times New Roman" w:hAnsi="Times New Roman" w:cs="Times New Roman"/>
          <w:color w:val="212121"/>
          <w:sz w:val="24"/>
          <w:szCs w:val="24"/>
          <w:lang w:eastAsia="en-GB"/>
        </w:rPr>
        <w:t xml:space="preserve"> of the Common Frameworks</w:t>
      </w:r>
      <w:r w:rsidR="00143C62" w:rsidRPr="00DA39B0">
        <w:rPr>
          <w:rFonts w:ascii="Times New Roman" w:eastAsia="Times New Roman" w:hAnsi="Times New Roman" w:cs="Times New Roman"/>
          <w:color w:val="212121"/>
          <w:sz w:val="24"/>
          <w:szCs w:val="24"/>
          <w:lang w:eastAsia="en-GB"/>
        </w:rPr>
        <w:t xml:space="preserve"> as instruments of positive harmonisation is</w:t>
      </w:r>
      <w:r w:rsidR="00D75123">
        <w:rPr>
          <w:rFonts w:ascii="Times New Roman" w:eastAsia="Times New Roman" w:hAnsi="Times New Roman" w:cs="Times New Roman"/>
          <w:color w:val="212121"/>
          <w:sz w:val="24"/>
          <w:szCs w:val="24"/>
          <w:lang w:eastAsia="en-GB"/>
        </w:rPr>
        <w:t xml:space="preserve"> also</w:t>
      </w:r>
      <w:r w:rsidR="00143C62" w:rsidRPr="00DA39B0">
        <w:rPr>
          <w:rFonts w:ascii="Times New Roman" w:eastAsia="Times New Roman" w:hAnsi="Times New Roman" w:cs="Times New Roman"/>
          <w:color w:val="212121"/>
          <w:sz w:val="24"/>
          <w:szCs w:val="24"/>
          <w:lang w:eastAsia="en-GB"/>
        </w:rPr>
        <w:t xml:space="preserve"> </w:t>
      </w:r>
      <w:r w:rsidR="00DA39B0" w:rsidRPr="00DA39B0">
        <w:rPr>
          <w:rFonts w:ascii="Times New Roman" w:eastAsia="Times New Roman" w:hAnsi="Times New Roman" w:cs="Times New Roman"/>
          <w:color w:val="212121"/>
          <w:sz w:val="24"/>
          <w:szCs w:val="24"/>
          <w:lang w:eastAsia="en-GB"/>
        </w:rPr>
        <w:t>undermined</w:t>
      </w:r>
      <w:r w:rsidR="00456A53" w:rsidRPr="00DA39B0">
        <w:rPr>
          <w:rFonts w:ascii="Times New Roman" w:eastAsia="Times New Roman" w:hAnsi="Times New Roman" w:cs="Times New Roman"/>
          <w:color w:val="212121"/>
          <w:sz w:val="24"/>
          <w:szCs w:val="24"/>
          <w:lang w:eastAsia="en-GB"/>
        </w:rPr>
        <w:t xml:space="preserve"> by operational tensions</w:t>
      </w:r>
      <w:r w:rsidR="00DA39B0" w:rsidRPr="00DA39B0">
        <w:rPr>
          <w:rFonts w:ascii="Times New Roman" w:eastAsia="Times New Roman" w:hAnsi="Times New Roman" w:cs="Times New Roman"/>
          <w:color w:val="212121"/>
          <w:sz w:val="24"/>
          <w:szCs w:val="24"/>
          <w:lang w:eastAsia="en-GB"/>
        </w:rPr>
        <w:t xml:space="preserve">. </w:t>
      </w:r>
      <w:r w:rsidR="00D75123">
        <w:rPr>
          <w:rFonts w:ascii="Times New Roman" w:eastAsia="Times New Roman" w:hAnsi="Times New Roman" w:cs="Times New Roman"/>
          <w:color w:val="212121"/>
          <w:sz w:val="24"/>
          <w:szCs w:val="24"/>
          <w:lang w:eastAsia="en-GB"/>
        </w:rPr>
        <w:t>Recall here, for instance,</w:t>
      </w:r>
      <w:r w:rsidR="00182209">
        <w:rPr>
          <w:rFonts w:ascii="Times New Roman" w:eastAsia="Times New Roman" w:hAnsi="Times New Roman" w:cs="Times New Roman"/>
          <w:color w:val="212121"/>
          <w:sz w:val="24"/>
          <w:szCs w:val="24"/>
          <w:lang w:eastAsia="en-GB"/>
        </w:rPr>
        <w:t xml:space="preserve"> </w:t>
      </w:r>
      <w:r w:rsidR="00D75123">
        <w:rPr>
          <w:rFonts w:ascii="Times New Roman" w:eastAsia="Times New Roman" w:hAnsi="Times New Roman" w:cs="Times New Roman"/>
          <w:color w:val="212121"/>
          <w:sz w:val="24"/>
          <w:szCs w:val="24"/>
          <w:lang w:eastAsia="en-GB"/>
        </w:rPr>
        <w:t>the</w:t>
      </w:r>
      <w:r w:rsidR="00DA39B0" w:rsidRPr="00DA39B0">
        <w:rPr>
          <w:rFonts w:ascii="Times New Roman" w:eastAsia="Times New Roman" w:hAnsi="Times New Roman" w:cs="Times New Roman"/>
          <w:color w:val="212121"/>
          <w:sz w:val="24"/>
          <w:szCs w:val="24"/>
          <w:lang w:eastAsia="en-GB"/>
        </w:rPr>
        <w:t xml:space="preserve"> Scottish government’s </w:t>
      </w:r>
      <w:r w:rsidR="00D75123">
        <w:rPr>
          <w:rFonts w:ascii="Times New Roman" w:eastAsia="Times New Roman" w:hAnsi="Times New Roman" w:cs="Times New Roman"/>
          <w:color w:val="212121"/>
          <w:sz w:val="24"/>
          <w:szCs w:val="24"/>
          <w:lang w:eastAsia="en-GB"/>
        </w:rPr>
        <w:t>difficulties</w:t>
      </w:r>
      <w:r w:rsidR="00DA39B0" w:rsidRPr="00DA39B0">
        <w:rPr>
          <w:rFonts w:ascii="Times New Roman" w:eastAsia="Times New Roman" w:hAnsi="Times New Roman" w:cs="Times New Roman"/>
          <w:color w:val="212121"/>
          <w:sz w:val="24"/>
          <w:szCs w:val="24"/>
          <w:lang w:eastAsia="en-GB"/>
        </w:rPr>
        <w:t xml:space="preserve">, through </w:t>
      </w:r>
      <w:r w:rsidR="003012F8">
        <w:rPr>
          <w:rFonts w:ascii="Times New Roman" w:eastAsia="Times New Roman" w:hAnsi="Times New Roman" w:cs="Times New Roman"/>
          <w:color w:val="212121"/>
          <w:sz w:val="24"/>
          <w:szCs w:val="24"/>
          <w:lang w:eastAsia="en-GB"/>
        </w:rPr>
        <w:t>an agreed intergovernmental process</w:t>
      </w:r>
      <w:r w:rsidR="00DA39B0" w:rsidRPr="00DA39B0">
        <w:rPr>
          <w:rFonts w:ascii="Times New Roman" w:eastAsia="Times New Roman" w:hAnsi="Times New Roman" w:cs="Times New Roman"/>
          <w:color w:val="212121"/>
          <w:sz w:val="24"/>
          <w:szCs w:val="24"/>
          <w:lang w:eastAsia="en-GB"/>
        </w:rPr>
        <w:t xml:space="preserve">, to exempt </w:t>
      </w:r>
      <w:r w:rsidR="00D75123">
        <w:rPr>
          <w:rFonts w:ascii="Times New Roman" w:eastAsia="Times New Roman" w:hAnsi="Times New Roman" w:cs="Times New Roman"/>
          <w:color w:val="212121"/>
          <w:sz w:val="24"/>
          <w:szCs w:val="24"/>
          <w:lang w:eastAsia="en-GB"/>
        </w:rPr>
        <w:t>regulations</w:t>
      </w:r>
      <w:r w:rsidR="00DA39B0" w:rsidRPr="00DA39B0">
        <w:rPr>
          <w:rFonts w:ascii="Times New Roman" w:eastAsia="Times New Roman" w:hAnsi="Times New Roman" w:cs="Times New Roman"/>
          <w:color w:val="212121"/>
          <w:sz w:val="24"/>
          <w:szCs w:val="24"/>
          <w:lang w:eastAsia="en-GB"/>
        </w:rPr>
        <w:t xml:space="preserve"> </w:t>
      </w:r>
      <w:r w:rsidR="00456A53" w:rsidRPr="00DA39B0">
        <w:rPr>
          <w:rFonts w:ascii="Times New Roman" w:eastAsia="Times New Roman" w:hAnsi="Times New Roman" w:cs="Times New Roman"/>
          <w:color w:val="212121"/>
          <w:sz w:val="24"/>
          <w:szCs w:val="24"/>
          <w:lang w:eastAsia="en-GB"/>
        </w:rPr>
        <w:t xml:space="preserve">from the UKIMA’s market access </w:t>
      </w:r>
      <w:r w:rsidR="0043140F">
        <w:rPr>
          <w:rFonts w:ascii="Times New Roman" w:eastAsia="Times New Roman" w:hAnsi="Times New Roman" w:cs="Times New Roman"/>
          <w:color w:val="212121"/>
          <w:sz w:val="24"/>
          <w:szCs w:val="24"/>
          <w:lang w:eastAsia="en-GB"/>
        </w:rPr>
        <w:t>principles.</w:t>
      </w:r>
    </w:p>
    <w:p w14:paraId="41D1A1A5" w14:textId="0DC4B8A0" w:rsidR="00DC47C9" w:rsidRPr="00DC47C9" w:rsidRDefault="00DC47C9" w:rsidP="00DC47C9">
      <w:pPr>
        <w:spacing w:before="240" w:line="360" w:lineRule="auto"/>
        <w:jc w:val="both"/>
        <w:rPr>
          <w:rFonts w:ascii="Times New Roman" w:eastAsia="Times New Roman" w:hAnsi="Times New Roman" w:cs="Times New Roman"/>
          <w:i/>
          <w:color w:val="212121"/>
          <w:sz w:val="24"/>
          <w:szCs w:val="24"/>
          <w:lang w:eastAsia="en-GB"/>
        </w:rPr>
      </w:pPr>
      <w:r w:rsidRPr="00DC47C9">
        <w:rPr>
          <w:rFonts w:ascii="Times New Roman" w:eastAsia="Times New Roman" w:hAnsi="Times New Roman" w:cs="Times New Roman"/>
          <w:i/>
          <w:color w:val="212121"/>
          <w:sz w:val="24"/>
          <w:szCs w:val="24"/>
          <w:lang w:eastAsia="en-GB"/>
        </w:rPr>
        <w:t>4.3 Structural Legacies</w:t>
      </w:r>
    </w:p>
    <w:bookmarkEnd w:id="2"/>
    <w:p w14:paraId="59FAF3B4" w14:textId="55956891" w:rsidR="00764E7A" w:rsidRDefault="00DC47C9" w:rsidP="00DC47C9">
      <w:pPr>
        <w:spacing w:after="0" w:line="360" w:lineRule="auto"/>
        <w:jc w:val="both"/>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lastRenderedPageBreak/>
        <w:t>A</w:t>
      </w:r>
      <w:r w:rsidR="0073648D" w:rsidRPr="00C8609A">
        <w:rPr>
          <w:rFonts w:ascii="Times New Roman" w:eastAsia="Times New Roman" w:hAnsi="Times New Roman" w:cs="Times New Roman"/>
          <w:color w:val="212121"/>
          <w:sz w:val="24"/>
          <w:szCs w:val="24"/>
          <w:lang w:eastAsia="en-GB"/>
        </w:rPr>
        <w:t xml:space="preserve"> further</w:t>
      </w:r>
      <w:r w:rsidR="00D75123" w:rsidRPr="00C8609A">
        <w:rPr>
          <w:rFonts w:ascii="Times New Roman" w:eastAsia="Times New Roman" w:hAnsi="Times New Roman" w:cs="Times New Roman"/>
          <w:color w:val="212121"/>
          <w:sz w:val="24"/>
          <w:szCs w:val="24"/>
          <w:lang w:eastAsia="en-GB"/>
        </w:rPr>
        <w:t xml:space="preserve"> </w:t>
      </w:r>
      <w:r w:rsidR="00981FF2" w:rsidRPr="00C8609A">
        <w:rPr>
          <w:rFonts w:ascii="Times New Roman" w:eastAsia="Times New Roman" w:hAnsi="Times New Roman" w:cs="Times New Roman"/>
          <w:color w:val="212121"/>
          <w:sz w:val="24"/>
          <w:szCs w:val="24"/>
          <w:lang w:eastAsia="en-GB"/>
        </w:rPr>
        <w:t>powerful</w:t>
      </w:r>
      <w:r w:rsidR="00A77C98" w:rsidRPr="00C8609A">
        <w:rPr>
          <w:rFonts w:ascii="Times New Roman" w:eastAsia="Times New Roman" w:hAnsi="Times New Roman" w:cs="Times New Roman"/>
          <w:color w:val="212121"/>
          <w:sz w:val="24"/>
          <w:szCs w:val="24"/>
          <w:lang w:eastAsia="en-GB"/>
        </w:rPr>
        <w:t xml:space="preserve"> </w:t>
      </w:r>
      <w:r w:rsidR="00E73BAC" w:rsidRPr="00C8609A">
        <w:rPr>
          <w:rFonts w:ascii="Times New Roman" w:eastAsia="Times New Roman" w:hAnsi="Times New Roman" w:cs="Times New Roman"/>
          <w:color w:val="212121"/>
          <w:sz w:val="24"/>
          <w:szCs w:val="24"/>
          <w:lang w:eastAsia="en-GB"/>
        </w:rPr>
        <w:t>drag</w:t>
      </w:r>
      <w:r w:rsidR="002C43D6" w:rsidRPr="00C8609A">
        <w:rPr>
          <w:rFonts w:ascii="Times New Roman" w:eastAsia="Times New Roman" w:hAnsi="Times New Roman" w:cs="Times New Roman"/>
          <w:color w:val="212121"/>
          <w:sz w:val="24"/>
          <w:szCs w:val="24"/>
          <w:lang w:eastAsia="en-GB"/>
        </w:rPr>
        <w:t xml:space="preserve"> </w:t>
      </w:r>
      <w:r w:rsidR="00E73BAC" w:rsidRPr="00C8609A">
        <w:rPr>
          <w:rFonts w:ascii="Times New Roman" w:eastAsia="Times New Roman" w:hAnsi="Times New Roman" w:cs="Times New Roman"/>
          <w:color w:val="212121"/>
          <w:sz w:val="24"/>
          <w:szCs w:val="24"/>
          <w:lang w:eastAsia="en-GB"/>
        </w:rPr>
        <w:t>on the</w:t>
      </w:r>
      <w:r w:rsidR="00981FF2" w:rsidRPr="00C8609A">
        <w:rPr>
          <w:rFonts w:ascii="Times New Roman" w:eastAsia="Times New Roman" w:hAnsi="Times New Roman" w:cs="Times New Roman"/>
          <w:color w:val="212121"/>
          <w:sz w:val="24"/>
          <w:szCs w:val="24"/>
          <w:lang w:eastAsia="en-GB"/>
        </w:rPr>
        <w:t xml:space="preserve"> potential</w:t>
      </w:r>
      <w:r w:rsidR="00E73BAC" w:rsidRPr="00C8609A">
        <w:rPr>
          <w:rFonts w:ascii="Times New Roman" w:eastAsia="Times New Roman" w:hAnsi="Times New Roman" w:cs="Times New Roman"/>
          <w:color w:val="212121"/>
          <w:sz w:val="24"/>
          <w:szCs w:val="24"/>
          <w:lang w:eastAsia="en-GB"/>
        </w:rPr>
        <w:t xml:space="preserve"> development of the Common Framework</w:t>
      </w:r>
      <w:r w:rsidR="00D75123" w:rsidRPr="00C8609A">
        <w:rPr>
          <w:rFonts w:ascii="Times New Roman" w:eastAsia="Times New Roman" w:hAnsi="Times New Roman" w:cs="Times New Roman"/>
          <w:color w:val="212121"/>
          <w:sz w:val="24"/>
          <w:szCs w:val="24"/>
          <w:lang w:eastAsia="en-GB"/>
        </w:rPr>
        <w:t xml:space="preserve"> as positive harmonisation instruments is structural</w:t>
      </w:r>
      <w:r w:rsidR="002C43D6" w:rsidRPr="00C8609A">
        <w:rPr>
          <w:rFonts w:ascii="Times New Roman" w:eastAsia="Times New Roman" w:hAnsi="Times New Roman" w:cs="Times New Roman"/>
          <w:color w:val="212121"/>
          <w:sz w:val="24"/>
          <w:szCs w:val="24"/>
          <w:lang w:eastAsia="en-GB"/>
        </w:rPr>
        <w:t>.</w:t>
      </w:r>
      <w:r w:rsidR="00D75123" w:rsidRPr="00C8609A">
        <w:rPr>
          <w:rStyle w:val="FootnoteReference"/>
          <w:rFonts w:ascii="Times New Roman" w:eastAsia="Times New Roman" w:hAnsi="Times New Roman" w:cs="Times New Roman"/>
          <w:color w:val="212121"/>
          <w:sz w:val="24"/>
          <w:szCs w:val="24"/>
          <w:lang w:eastAsia="en-GB"/>
        </w:rPr>
        <w:footnoteReference w:id="138"/>
      </w:r>
      <w:r w:rsidR="002C43D6" w:rsidRPr="00C8609A">
        <w:rPr>
          <w:rFonts w:ascii="Times New Roman" w:eastAsia="Times New Roman" w:hAnsi="Times New Roman" w:cs="Times New Roman"/>
          <w:color w:val="212121"/>
          <w:sz w:val="24"/>
          <w:szCs w:val="24"/>
          <w:lang w:eastAsia="en-GB"/>
        </w:rPr>
        <w:t xml:space="preserve"> </w:t>
      </w:r>
      <w:r w:rsidR="00C2410F" w:rsidRPr="00C8609A">
        <w:rPr>
          <w:rFonts w:ascii="Times New Roman" w:eastAsia="Times New Roman" w:hAnsi="Times New Roman" w:cs="Times New Roman"/>
          <w:color w:val="212121"/>
          <w:sz w:val="24"/>
          <w:szCs w:val="24"/>
          <w:lang w:eastAsia="en-GB"/>
        </w:rPr>
        <w:t>Effective domestic m</w:t>
      </w:r>
      <w:r w:rsidR="004653A2" w:rsidRPr="00C8609A">
        <w:rPr>
          <w:rFonts w:ascii="Times New Roman" w:eastAsia="Times New Roman" w:hAnsi="Times New Roman" w:cs="Times New Roman"/>
          <w:color w:val="212121"/>
          <w:sz w:val="24"/>
          <w:szCs w:val="24"/>
          <w:lang w:eastAsia="en-GB"/>
        </w:rPr>
        <w:t>echanisms</w:t>
      </w:r>
      <w:r w:rsidR="00764E7A" w:rsidRPr="00C8609A">
        <w:rPr>
          <w:rFonts w:ascii="Times New Roman" w:eastAsia="Times New Roman" w:hAnsi="Times New Roman" w:cs="Times New Roman"/>
          <w:color w:val="212121"/>
          <w:sz w:val="24"/>
          <w:szCs w:val="24"/>
          <w:lang w:eastAsia="en-GB"/>
        </w:rPr>
        <w:t xml:space="preserve"> for shared rule – including the Common</w:t>
      </w:r>
      <w:r w:rsidR="00764E7A" w:rsidRPr="00184F0B">
        <w:rPr>
          <w:rFonts w:ascii="Times New Roman" w:eastAsia="Times New Roman" w:hAnsi="Times New Roman" w:cs="Times New Roman"/>
          <w:color w:val="212121"/>
          <w:sz w:val="24"/>
          <w:szCs w:val="24"/>
          <w:lang w:eastAsia="en-GB"/>
        </w:rPr>
        <w:t xml:space="preserve"> Frameworks – are premised on a cleare</w:t>
      </w:r>
      <w:r w:rsidR="00C2410F">
        <w:rPr>
          <w:rFonts w:ascii="Times New Roman" w:eastAsia="Times New Roman" w:hAnsi="Times New Roman" w:cs="Times New Roman"/>
          <w:color w:val="212121"/>
          <w:sz w:val="24"/>
          <w:szCs w:val="24"/>
          <w:lang w:eastAsia="en-GB"/>
        </w:rPr>
        <w:t>r</w:t>
      </w:r>
      <w:r w:rsidR="00764E7A" w:rsidRPr="00184F0B">
        <w:rPr>
          <w:rFonts w:ascii="Times New Roman" w:eastAsia="Times New Roman" w:hAnsi="Times New Roman" w:cs="Times New Roman"/>
          <w:color w:val="212121"/>
          <w:sz w:val="24"/>
          <w:szCs w:val="24"/>
          <w:lang w:eastAsia="en-GB"/>
        </w:rPr>
        <w:t xml:space="preserve"> division between the UK government’s role as the representative of UK and English interests, respectively.</w:t>
      </w:r>
      <w:r w:rsidR="00764E7A">
        <w:rPr>
          <w:rFonts w:ascii="Times New Roman" w:eastAsia="Times New Roman" w:hAnsi="Times New Roman" w:cs="Times New Roman"/>
          <w:color w:val="212121"/>
          <w:sz w:val="24"/>
          <w:szCs w:val="24"/>
          <w:lang w:eastAsia="en-GB"/>
        </w:rPr>
        <w:t xml:space="preserve"> </w:t>
      </w:r>
      <w:r w:rsidR="007C4270">
        <w:rPr>
          <w:rFonts w:ascii="Times New Roman" w:eastAsia="Times New Roman" w:hAnsi="Times New Roman" w:cs="Times New Roman"/>
          <w:color w:val="212121"/>
          <w:sz w:val="24"/>
          <w:szCs w:val="24"/>
          <w:lang w:eastAsia="en-GB"/>
        </w:rPr>
        <w:t>In its current form, the UK</w:t>
      </w:r>
      <w:r w:rsidR="0073648D">
        <w:rPr>
          <w:rFonts w:ascii="Times New Roman" w:eastAsia="Times New Roman" w:hAnsi="Times New Roman" w:cs="Times New Roman"/>
          <w:color w:val="212121"/>
          <w:sz w:val="24"/>
          <w:szCs w:val="24"/>
          <w:lang w:eastAsia="en-GB"/>
        </w:rPr>
        <w:t xml:space="preserve">’s asymmetric </w:t>
      </w:r>
      <w:r w:rsidR="007C4270">
        <w:rPr>
          <w:rFonts w:ascii="Times New Roman" w:eastAsia="Times New Roman" w:hAnsi="Times New Roman" w:cs="Times New Roman"/>
          <w:color w:val="212121"/>
          <w:sz w:val="24"/>
          <w:szCs w:val="24"/>
          <w:lang w:eastAsia="en-GB"/>
        </w:rPr>
        <w:t xml:space="preserve">constitution </w:t>
      </w:r>
      <w:r w:rsidR="00C2410F">
        <w:rPr>
          <w:rFonts w:ascii="Times New Roman" w:eastAsia="Times New Roman" w:hAnsi="Times New Roman" w:cs="Times New Roman"/>
          <w:color w:val="212121"/>
          <w:sz w:val="24"/>
          <w:szCs w:val="24"/>
          <w:lang w:eastAsia="en-GB"/>
        </w:rPr>
        <w:t>does not</w:t>
      </w:r>
      <w:r w:rsidR="009A4F78">
        <w:rPr>
          <w:rFonts w:ascii="Times New Roman" w:eastAsia="Times New Roman" w:hAnsi="Times New Roman" w:cs="Times New Roman"/>
          <w:color w:val="212121"/>
          <w:sz w:val="24"/>
          <w:szCs w:val="24"/>
          <w:lang w:eastAsia="en-GB"/>
        </w:rPr>
        <w:t xml:space="preserve"> meaningful</w:t>
      </w:r>
      <w:r w:rsidR="00C2410F">
        <w:rPr>
          <w:rFonts w:ascii="Times New Roman" w:eastAsia="Times New Roman" w:hAnsi="Times New Roman" w:cs="Times New Roman"/>
          <w:color w:val="212121"/>
          <w:sz w:val="24"/>
          <w:szCs w:val="24"/>
          <w:lang w:eastAsia="en-GB"/>
        </w:rPr>
        <w:t>ly</w:t>
      </w:r>
      <w:r w:rsidR="0073648D">
        <w:rPr>
          <w:rFonts w:ascii="Times New Roman" w:eastAsia="Times New Roman" w:hAnsi="Times New Roman" w:cs="Times New Roman"/>
          <w:color w:val="212121"/>
          <w:sz w:val="24"/>
          <w:szCs w:val="24"/>
          <w:lang w:eastAsia="en-GB"/>
        </w:rPr>
        <w:t xml:space="preserve"> </w:t>
      </w:r>
      <w:r w:rsidR="00C2410F">
        <w:rPr>
          <w:rFonts w:ascii="Times New Roman" w:eastAsia="Times New Roman" w:hAnsi="Times New Roman" w:cs="Times New Roman"/>
          <w:color w:val="212121"/>
          <w:sz w:val="24"/>
          <w:szCs w:val="24"/>
          <w:lang w:eastAsia="en-GB"/>
        </w:rPr>
        <w:t xml:space="preserve">disaggregate </w:t>
      </w:r>
      <w:r w:rsidR="0073648D">
        <w:rPr>
          <w:rFonts w:ascii="Times New Roman" w:eastAsia="Times New Roman" w:hAnsi="Times New Roman" w:cs="Times New Roman"/>
          <w:color w:val="212121"/>
          <w:sz w:val="24"/>
          <w:szCs w:val="24"/>
          <w:lang w:eastAsia="en-GB"/>
        </w:rPr>
        <w:t>English and UK-wide representative interest</w:t>
      </w:r>
      <w:r w:rsidR="009A4F78">
        <w:rPr>
          <w:rFonts w:ascii="Times New Roman" w:eastAsia="Times New Roman" w:hAnsi="Times New Roman" w:cs="Times New Roman"/>
          <w:color w:val="212121"/>
          <w:sz w:val="24"/>
          <w:szCs w:val="24"/>
          <w:lang w:eastAsia="en-GB"/>
        </w:rPr>
        <w:t>s in that regard</w:t>
      </w:r>
      <w:r w:rsidR="0073648D">
        <w:rPr>
          <w:rFonts w:ascii="Times New Roman" w:eastAsia="Times New Roman" w:hAnsi="Times New Roman" w:cs="Times New Roman"/>
          <w:color w:val="212121"/>
          <w:sz w:val="24"/>
          <w:szCs w:val="24"/>
          <w:lang w:eastAsia="en-GB"/>
        </w:rPr>
        <w:t xml:space="preserve">. </w:t>
      </w:r>
      <w:r w:rsidR="002C43D6" w:rsidRPr="00184F0B">
        <w:rPr>
          <w:rFonts w:ascii="Times New Roman" w:eastAsia="Times New Roman" w:hAnsi="Times New Roman" w:cs="Times New Roman"/>
          <w:color w:val="212121"/>
          <w:sz w:val="24"/>
          <w:szCs w:val="24"/>
          <w:lang w:eastAsia="en-GB"/>
        </w:rPr>
        <w:t xml:space="preserve">Under both the Common Frameworks and the UKIMA, the UK government </w:t>
      </w:r>
      <w:r w:rsidR="00D75123">
        <w:rPr>
          <w:rFonts w:ascii="Times New Roman" w:eastAsia="Times New Roman" w:hAnsi="Times New Roman" w:cs="Times New Roman"/>
          <w:color w:val="212121"/>
          <w:sz w:val="24"/>
          <w:szCs w:val="24"/>
          <w:lang w:eastAsia="en-GB"/>
        </w:rPr>
        <w:t>occupies a dual representative position</w:t>
      </w:r>
      <w:r w:rsidR="009A4F78">
        <w:rPr>
          <w:rFonts w:ascii="Times New Roman" w:eastAsia="Times New Roman" w:hAnsi="Times New Roman" w:cs="Times New Roman"/>
          <w:color w:val="212121"/>
          <w:sz w:val="24"/>
          <w:szCs w:val="24"/>
          <w:lang w:eastAsia="en-GB"/>
        </w:rPr>
        <w:t xml:space="preserve"> by default</w:t>
      </w:r>
      <w:r w:rsidR="00D75123">
        <w:rPr>
          <w:rFonts w:ascii="Times New Roman" w:eastAsia="Times New Roman" w:hAnsi="Times New Roman" w:cs="Times New Roman"/>
          <w:color w:val="212121"/>
          <w:sz w:val="24"/>
          <w:szCs w:val="24"/>
          <w:lang w:eastAsia="en-GB"/>
        </w:rPr>
        <w:t xml:space="preserve">. </w:t>
      </w:r>
      <w:r w:rsidR="0073648D">
        <w:rPr>
          <w:rFonts w:ascii="Times New Roman" w:eastAsia="Times New Roman" w:hAnsi="Times New Roman" w:cs="Times New Roman"/>
          <w:color w:val="212121"/>
          <w:sz w:val="24"/>
          <w:szCs w:val="24"/>
          <w:lang w:eastAsia="en-GB"/>
        </w:rPr>
        <w:t>It coordinates at the centre in proxy for UK interests</w:t>
      </w:r>
      <w:r w:rsidR="00764E7A">
        <w:rPr>
          <w:rFonts w:ascii="Times New Roman" w:eastAsia="Times New Roman" w:hAnsi="Times New Roman" w:cs="Times New Roman"/>
          <w:color w:val="212121"/>
          <w:sz w:val="24"/>
          <w:szCs w:val="24"/>
          <w:lang w:eastAsia="en-GB"/>
        </w:rPr>
        <w:t xml:space="preserve"> whilst at the same time representing the political and economic interests of the English nation.</w:t>
      </w:r>
      <w:r w:rsidR="00764E7A" w:rsidRPr="00764E7A">
        <w:rPr>
          <w:rFonts w:ascii="Times New Roman" w:eastAsia="Times New Roman" w:hAnsi="Times New Roman" w:cs="Times New Roman"/>
          <w:color w:val="212121"/>
          <w:sz w:val="24"/>
          <w:szCs w:val="24"/>
          <w:lang w:eastAsia="en-GB"/>
        </w:rPr>
        <w:t xml:space="preserve"> </w:t>
      </w:r>
    </w:p>
    <w:p w14:paraId="1FB1E9CF" w14:textId="304CCB12" w:rsidR="00F47B38" w:rsidRPr="00D770E8" w:rsidRDefault="002C43D6" w:rsidP="0073648D">
      <w:pPr>
        <w:spacing w:after="0" w:line="360" w:lineRule="auto"/>
        <w:ind w:firstLine="720"/>
        <w:jc w:val="both"/>
        <w:rPr>
          <w:rFonts w:ascii="Times New Roman" w:eastAsia="Times New Roman" w:hAnsi="Times New Roman" w:cs="Times New Roman"/>
          <w:color w:val="212121"/>
          <w:sz w:val="24"/>
          <w:szCs w:val="24"/>
          <w:lang w:eastAsia="en-GB"/>
        </w:rPr>
      </w:pPr>
      <w:r w:rsidRPr="00184F0B">
        <w:rPr>
          <w:rFonts w:ascii="Times New Roman" w:eastAsia="Times New Roman" w:hAnsi="Times New Roman" w:cs="Times New Roman"/>
          <w:color w:val="212121"/>
          <w:sz w:val="24"/>
          <w:szCs w:val="24"/>
          <w:lang w:eastAsia="en-GB"/>
        </w:rPr>
        <w:t xml:space="preserve">As mechanisms for shared rule, the Frameworks would offer greater potential for substantive policy coordination if they brought </w:t>
      </w:r>
      <w:r w:rsidR="00981FF2">
        <w:rPr>
          <w:rFonts w:ascii="Times New Roman" w:eastAsia="Times New Roman" w:hAnsi="Times New Roman" w:cs="Times New Roman"/>
          <w:color w:val="212121"/>
          <w:sz w:val="24"/>
          <w:szCs w:val="24"/>
          <w:lang w:eastAsia="en-GB"/>
        </w:rPr>
        <w:t xml:space="preserve">together </w:t>
      </w:r>
      <w:r w:rsidRPr="00184F0B">
        <w:rPr>
          <w:rFonts w:ascii="Times New Roman" w:eastAsia="Times New Roman" w:hAnsi="Times New Roman" w:cs="Times New Roman"/>
          <w:color w:val="212121"/>
          <w:sz w:val="24"/>
          <w:szCs w:val="24"/>
          <w:lang w:eastAsia="en-GB"/>
        </w:rPr>
        <w:t>representatives from the four nations of the UK</w:t>
      </w:r>
      <w:r w:rsidR="00981FF2">
        <w:rPr>
          <w:rFonts w:ascii="Times New Roman" w:eastAsia="Times New Roman" w:hAnsi="Times New Roman" w:cs="Times New Roman"/>
          <w:color w:val="212121"/>
          <w:sz w:val="24"/>
          <w:szCs w:val="24"/>
          <w:lang w:eastAsia="en-GB"/>
        </w:rPr>
        <w:t xml:space="preserve"> </w:t>
      </w:r>
      <w:r w:rsidRPr="00184F0B">
        <w:rPr>
          <w:rFonts w:ascii="Times New Roman" w:eastAsia="Times New Roman" w:hAnsi="Times New Roman" w:cs="Times New Roman"/>
          <w:color w:val="212121"/>
          <w:sz w:val="24"/>
          <w:szCs w:val="24"/>
          <w:lang w:eastAsia="en-GB"/>
        </w:rPr>
        <w:t xml:space="preserve">as opposed to, as is </w:t>
      </w:r>
      <w:r w:rsidR="007F6316">
        <w:rPr>
          <w:rFonts w:ascii="Times New Roman" w:eastAsia="Times New Roman" w:hAnsi="Times New Roman" w:cs="Times New Roman"/>
          <w:color w:val="212121"/>
          <w:sz w:val="24"/>
          <w:szCs w:val="24"/>
          <w:lang w:eastAsia="en-GB"/>
        </w:rPr>
        <w:t>currently</w:t>
      </w:r>
      <w:r w:rsidRPr="00184F0B">
        <w:rPr>
          <w:rFonts w:ascii="Times New Roman" w:eastAsia="Times New Roman" w:hAnsi="Times New Roman" w:cs="Times New Roman"/>
          <w:color w:val="212121"/>
          <w:sz w:val="24"/>
          <w:szCs w:val="24"/>
          <w:lang w:eastAsia="en-GB"/>
        </w:rPr>
        <w:t xml:space="preserve"> the case, </w:t>
      </w:r>
      <w:r w:rsidR="009A4F78">
        <w:rPr>
          <w:rFonts w:ascii="Times New Roman" w:eastAsia="Times New Roman" w:hAnsi="Times New Roman" w:cs="Times New Roman"/>
          <w:color w:val="212121"/>
          <w:sz w:val="24"/>
          <w:szCs w:val="24"/>
          <w:lang w:eastAsia="en-GB"/>
        </w:rPr>
        <w:t xml:space="preserve">simply </w:t>
      </w:r>
      <w:r w:rsidRPr="00184F0B">
        <w:rPr>
          <w:rFonts w:ascii="Times New Roman" w:eastAsia="Times New Roman" w:hAnsi="Times New Roman" w:cs="Times New Roman"/>
          <w:color w:val="212121"/>
          <w:sz w:val="24"/>
          <w:szCs w:val="24"/>
          <w:lang w:eastAsia="en-GB"/>
        </w:rPr>
        <w:t>the UK and devolved governments</w:t>
      </w:r>
      <w:r w:rsidR="005A204F">
        <w:rPr>
          <w:rFonts w:ascii="Times New Roman" w:eastAsia="Times New Roman" w:hAnsi="Times New Roman" w:cs="Times New Roman"/>
          <w:color w:val="212121"/>
          <w:sz w:val="24"/>
          <w:szCs w:val="24"/>
          <w:lang w:eastAsia="en-GB"/>
        </w:rPr>
        <w:t>. Presently,</w:t>
      </w:r>
      <w:r w:rsidR="002457FC">
        <w:rPr>
          <w:rFonts w:ascii="Times New Roman" w:eastAsia="Times New Roman" w:hAnsi="Times New Roman" w:cs="Times New Roman"/>
          <w:color w:val="212121"/>
          <w:sz w:val="24"/>
          <w:szCs w:val="24"/>
          <w:lang w:eastAsia="en-GB"/>
        </w:rPr>
        <w:t xml:space="preserve"> for example,</w:t>
      </w:r>
      <w:r w:rsidR="005A204F">
        <w:rPr>
          <w:rFonts w:ascii="Times New Roman" w:eastAsia="Times New Roman" w:hAnsi="Times New Roman" w:cs="Times New Roman"/>
          <w:color w:val="212121"/>
          <w:sz w:val="24"/>
          <w:szCs w:val="24"/>
          <w:lang w:eastAsia="en-GB"/>
        </w:rPr>
        <w:t xml:space="preserve"> when considering proposals to exempt Common Framework Agreements from the application of the market access </w:t>
      </w:r>
      <w:r w:rsidR="005A204F" w:rsidRPr="00D770E8">
        <w:rPr>
          <w:rFonts w:ascii="Times New Roman" w:eastAsia="Times New Roman" w:hAnsi="Times New Roman" w:cs="Times New Roman"/>
          <w:color w:val="212121"/>
          <w:sz w:val="24"/>
          <w:szCs w:val="24"/>
          <w:lang w:eastAsia="en-GB"/>
        </w:rPr>
        <w:t>principles</w:t>
      </w:r>
      <w:r w:rsidR="00C2410F">
        <w:rPr>
          <w:rFonts w:ascii="Times New Roman" w:eastAsia="Times New Roman" w:hAnsi="Times New Roman" w:cs="Times New Roman"/>
          <w:color w:val="212121"/>
          <w:sz w:val="24"/>
          <w:szCs w:val="24"/>
          <w:lang w:eastAsia="en-GB"/>
        </w:rPr>
        <w:t>,</w:t>
      </w:r>
      <w:r w:rsidR="005A204F" w:rsidRPr="00D770E8">
        <w:rPr>
          <w:rFonts w:ascii="Times New Roman" w:eastAsia="Times New Roman" w:hAnsi="Times New Roman" w:cs="Times New Roman"/>
          <w:color w:val="212121"/>
          <w:sz w:val="24"/>
          <w:szCs w:val="24"/>
          <w:lang w:eastAsia="en-GB"/>
        </w:rPr>
        <w:t xml:space="preserve"> the UK government</w:t>
      </w:r>
      <w:r w:rsidR="002457FC" w:rsidRPr="00D770E8">
        <w:rPr>
          <w:rFonts w:ascii="Times New Roman" w:eastAsia="Times New Roman" w:hAnsi="Times New Roman" w:cs="Times New Roman"/>
          <w:color w:val="212121"/>
          <w:sz w:val="24"/>
          <w:szCs w:val="24"/>
          <w:lang w:eastAsia="en-GB"/>
        </w:rPr>
        <w:t xml:space="preserve"> </w:t>
      </w:r>
      <w:r w:rsidR="00C2410F">
        <w:rPr>
          <w:rFonts w:ascii="Times New Roman" w:eastAsia="Times New Roman" w:hAnsi="Times New Roman" w:cs="Times New Roman"/>
          <w:color w:val="212121"/>
          <w:sz w:val="24"/>
          <w:szCs w:val="24"/>
          <w:lang w:eastAsia="en-GB"/>
        </w:rPr>
        <w:t>acts in a dual representative capacity as both</w:t>
      </w:r>
      <w:r w:rsidR="005A204F" w:rsidRPr="00D770E8">
        <w:rPr>
          <w:rFonts w:ascii="Times New Roman" w:eastAsia="Times New Roman" w:hAnsi="Times New Roman" w:cs="Times New Roman"/>
          <w:color w:val="212121"/>
          <w:sz w:val="24"/>
          <w:szCs w:val="24"/>
          <w:lang w:eastAsia="en-GB"/>
        </w:rPr>
        <w:t xml:space="preserve"> as regulator for England </w:t>
      </w:r>
      <w:r w:rsidR="00C2410F">
        <w:rPr>
          <w:rFonts w:ascii="Times New Roman" w:eastAsia="Times New Roman" w:hAnsi="Times New Roman" w:cs="Times New Roman"/>
          <w:color w:val="212121"/>
          <w:sz w:val="24"/>
          <w:szCs w:val="24"/>
          <w:lang w:eastAsia="en-GB"/>
        </w:rPr>
        <w:t>and as the institution tasked with protecting the</w:t>
      </w:r>
      <w:r w:rsidR="005A204F" w:rsidRPr="00D770E8">
        <w:rPr>
          <w:rFonts w:ascii="Times New Roman" w:eastAsia="Times New Roman" w:hAnsi="Times New Roman" w:cs="Times New Roman"/>
          <w:color w:val="212121"/>
          <w:sz w:val="24"/>
          <w:szCs w:val="24"/>
          <w:lang w:eastAsia="en-GB"/>
        </w:rPr>
        <w:t xml:space="preserve"> joint UK-wide interest in ensuring the free movement of goods and services.</w:t>
      </w:r>
      <w:r w:rsidR="002457FC" w:rsidRPr="00D770E8">
        <w:rPr>
          <w:rFonts w:ascii="Times New Roman" w:eastAsia="Times New Roman" w:hAnsi="Times New Roman" w:cs="Times New Roman"/>
          <w:color w:val="212121"/>
          <w:sz w:val="24"/>
          <w:szCs w:val="24"/>
          <w:lang w:eastAsia="en-GB"/>
        </w:rPr>
        <w:t xml:space="preserve"> </w:t>
      </w:r>
      <w:r w:rsidR="00C2410F">
        <w:rPr>
          <w:rFonts w:ascii="Times New Roman" w:eastAsia="Times New Roman" w:hAnsi="Times New Roman" w:cs="Times New Roman"/>
          <w:color w:val="212121"/>
          <w:sz w:val="24"/>
          <w:szCs w:val="24"/>
          <w:lang w:eastAsia="en-GB"/>
        </w:rPr>
        <w:t>This</w:t>
      </w:r>
      <w:r w:rsidR="002457FC" w:rsidRPr="00D770E8">
        <w:rPr>
          <w:rFonts w:ascii="Times New Roman" w:eastAsia="Times New Roman" w:hAnsi="Times New Roman" w:cs="Times New Roman"/>
          <w:color w:val="212121"/>
          <w:sz w:val="24"/>
          <w:szCs w:val="24"/>
          <w:lang w:eastAsia="en-GB"/>
        </w:rPr>
        <w:t xml:space="preserve"> </w:t>
      </w:r>
      <w:r w:rsidR="00C2410F">
        <w:rPr>
          <w:rFonts w:ascii="Times New Roman" w:eastAsia="Times New Roman" w:hAnsi="Times New Roman" w:cs="Times New Roman"/>
          <w:color w:val="212121"/>
          <w:sz w:val="24"/>
          <w:szCs w:val="24"/>
          <w:lang w:eastAsia="en-GB"/>
        </w:rPr>
        <w:t>fusion</w:t>
      </w:r>
      <w:r w:rsidR="00764E7A">
        <w:rPr>
          <w:rFonts w:ascii="Times New Roman" w:eastAsia="Times New Roman" w:hAnsi="Times New Roman" w:cs="Times New Roman"/>
          <w:color w:val="212121"/>
          <w:sz w:val="24"/>
          <w:szCs w:val="24"/>
          <w:lang w:eastAsia="en-GB"/>
        </w:rPr>
        <w:t xml:space="preserve"> of</w:t>
      </w:r>
      <w:r w:rsidR="002457FC" w:rsidRPr="00D770E8">
        <w:rPr>
          <w:rFonts w:ascii="Times New Roman" w:eastAsia="Times New Roman" w:hAnsi="Times New Roman" w:cs="Times New Roman"/>
          <w:color w:val="212121"/>
          <w:sz w:val="24"/>
          <w:szCs w:val="24"/>
          <w:lang w:eastAsia="en-GB"/>
        </w:rPr>
        <w:t xml:space="preserve"> self-rule interests (English regulatory preferences) with shared rule concerns (joint UK and devolved agreement on policy coordination) </w:t>
      </w:r>
      <w:r w:rsidR="00C2410F">
        <w:rPr>
          <w:rFonts w:ascii="Times New Roman" w:eastAsia="Times New Roman" w:hAnsi="Times New Roman" w:cs="Times New Roman"/>
          <w:color w:val="212121"/>
          <w:sz w:val="24"/>
          <w:szCs w:val="24"/>
          <w:lang w:eastAsia="en-GB"/>
        </w:rPr>
        <w:t>inevitably conditions decision-making. Recall here, for instance,</w:t>
      </w:r>
      <w:r w:rsidR="002457FC" w:rsidRPr="00D770E8">
        <w:rPr>
          <w:rFonts w:ascii="Times New Roman" w:eastAsia="Times New Roman" w:hAnsi="Times New Roman" w:cs="Times New Roman"/>
          <w:color w:val="212121"/>
          <w:sz w:val="24"/>
          <w:szCs w:val="24"/>
          <w:lang w:eastAsia="en-GB"/>
        </w:rPr>
        <w:t xml:space="preserve"> the UK government</w:t>
      </w:r>
      <w:r w:rsidR="007C4270">
        <w:rPr>
          <w:rFonts w:ascii="Times New Roman" w:eastAsia="Times New Roman" w:hAnsi="Times New Roman" w:cs="Times New Roman"/>
          <w:color w:val="212121"/>
          <w:sz w:val="24"/>
          <w:szCs w:val="24"/>
          <w:lang w:eastAsia="en-GB"/>
        </w:rPr>
        <w:t>’s</w:t>
      </w:r>
      <w:r w:rsidR="00C2410F">
        <w:rPr>
          <w:rFonts w:ascii="Times New Roman" w:eastAsia="Times New Roman" w:hAnsi="Times New Roman" w:cs="Times New Roman"/>
          <w:color w:val="212121"/>
          <w:sz w:val="24"/>
          <w:szCs w:val="24"/>
          <w:lang w:eastAsia="en-GB"/>
        </w:rPr>
        <w:t xml:space="preserve"> </w:t>
      </w:r>
      <w:r w:rsidR="00F47B38" w:rsidRPr="00D770E8">
        <w:rPr>
          <w:rFonts w:ascii="Times New Roman" w:eastAsia="Times New Roman" w:hAnsi="Times New Roman" w:cs="Times New Roman"/>
          <w:color w:val="212121"/>
          <w:sz w:val="24"/>
          <w:szCs w:val="24"/>
          <w:lang w:eastAsia="en-GB"/>
        </w:rPr>
        <w:t xml:space="preserve">decision only partially to exempt the Scottish </w:t>
      </w:r>
      <w:r w:rsidR="007C4270">
        <w:rPr>
          <w:rFonts w:ascii="Times New Roman" w:eastAsia="Times New Roman" w:hAnsi="Times New Roman" w:cs="Times New Roman"/>
          <w:color w:val="212121"/>
          <w:sz w:val="24"/>
          <w:szCs w:val="24"/>
          <w:lang w:eastAsia="en-GB"/>
        </w:rPr>
        <w:t>deposit return scheme</w:t>
      </w:r>
      <w:r w:rsidR="00F47B38" w:rsidRPr="00D770E8">
        <w:rPr>
          <w:rFonts w:ascii="Times New Roman" w:eastAsia="Times New Roman" w:hAnsi="Times New Roman" w:cs="Times New Roman"/>
          <w:color w:val="212121"/>
          <w:sz w:val="24"/>
          <w:szCs w:val="24"/>
          <w:lang w:eastAsia="en-GB"/>
        </w:rPr>
        <w:t xml:space="preserve"> from the application of the market access principles. </w:t>
      </w:r>
      <w:r w:rsidR="00C2410F">
        <w:rPr>
          <w:rFonts w:ascii="Times New Roman" w:eastAsia="Times New Roman" w:hAnsi="Times New Roman" w:cs="Times New Roman"/>
          <w:color w:val="212121"/>
          <w:sz w:val="24"/>
          <w:szCs w:val="24"/>
          <w:lang w:eastAsia="en-GB"/>
        </w:rPr>
        <w:t xml:space="preserve">In reviewing that scheme’s effects </w:t>
      </w:r>
      <w:r w:rsidR="006F0887">
        <w:rPr>
          <w:rFonts w:ascii="Times New Roman" w:eastAsia="Times New Roman" w:hAnsi="Times New Roman" w:cs="Times New Roman"/>
          <w:color w:val="212121"/>
          <w:sz w:val="24"/>
          <w:szCs w:val="24"/>
          <w:lang w:eastAsia="en-GB"/>
        </w:rPr>
        <w:t>on intra-EU trade,</w:t>
      </w:r>
      <w:r w:rsidR="00672E56">
        <w:rPr>
          <w:rFonts w:ascii="Times New Roman" w:eastAsia="Times New Roman" w:hAnsi="Times New Roman" w:cs="Times New Roman"/>
          <w:color w:val="212121"/>
          <w:sz w:val="24"/>
          <w:szCs w:val="24"/>
          <w:lang w:eastAsia="en-GB"/>
        </w:rPr>
        <w:t xml:space="preserve"> the</w:t>
      </w:r>
      <w:r w:rsidR="00D770E8" w:rsidRPr="00D770E8">
        <w:rPr>
          <w:rFonts w:ascii="Times New Roman" w:eastAsia="Times New Roman" w:hAnsi="Times New Roman" w:cs="Times New Roman"/>
          <w:color w:val="212121"/>
          <w:sz w:val="24"/>
          <w:szCs w:val="24"/>
          <w:lang w:eastAsia="en-GB"/>
        </w:rPr>
        <w:t xml:space="preserve"> UK government</w:t>
      </w:r>
      <w:r w:rsidR="00C2410F">
        <w:rPr>
          <w:rFonts w:ascii="Times New Roman" w:eastAsia="Times New Roman" w:hAnsi="Times New Roman" w:cs="Times New Roman"/>
          <w:color w:val="212121"/>
          <w:sz w:val="24"/>
          <w:szCs w:val="24"/>
          <w:lang w:eastAsia="en-GB"/>
        </w:rPr>
        <w:t xml:space="preserve"> </w:t>
      </w:r>
      <w:r w:rsidR="006F0887">
        <w:rPr>
          <w:rFonts w:ascii="Times New Roman" w:eastAsia="Times New Roman" w:hAnsi="Times New Roman" w:cs="Times New Roman"/>
          <w:color w:val="212121"/>
          <w:sz w:val="24"/>
          <w:szCs w:val="24"/>
          <w:lang w:eastAsia="en-GB"/>
        </w:rPr>
        <w:t>makes no secret of its desire for substantive</w:t>
      </w:r>
      <w:r w:rsidR="00D770E8">
        <w:rPr>
          <w:rFonts w:ascii="Times New Roman" w:eastAsia="Times New Roman" w:hAnsi="Times New Roman" w:cs="Times New Roman"/>
          <w:color w:val="212121"/>
          <w:sz w:val="24"/>
          <w:szCs w:val="24"/>
          <w:lang w:eastAsia="en-GB"/>
        </w:rPr>
        <w:t xml:space="preserve"> regulatory</w:t>
      </w:r>
      <w:r w:rsidR="00D770E8" w:rsidRPr="00D770E8">
        <w:rPr>
          <w:rFonts w:ascii="Times New Roman" w:eastAsia="Times New Roman" w:hAnsi="Times New Roman" w:cs="Times New Roman"/>
          <w:color w:val="212121"/>
          <w:sz w:val="24"/>
          <w:szCs w:val="24"/>
          <w:lang w:eastAsia="en-GB"/>
        </w:rPr>
        <w:t xml:space="preserve"> align</w:t>
      </w:r>
      <w:r w:rsidR="00D770E8">
        <w:rPr>
          <w:rFonts w:ascii="Times New Roman" w:eastAsia="Times New Roman" w:hAnsi="Times New Roman" w:cs="Times New Roman"/>
          <w:color w:val="212121"/>
          <w:sz w:val="24"/>
          <w:szCs w:val="24"/>
          <w:lang w:eastAsia="en-GB"/>
        </w:rPr>
        <w:t>ment</w:t>
      </w:r>
      <w:r w:rsidR="00D770E8" w:rsidRPr="00D770E8">
        <w:rPr>
          <w:rFonts w:ascii="Times New Roman" w:eastAsia="Times New Roman" w:hAnsi="Times New Roman" w:cs="Times New Roman"/>
          <w:color w:val="212121"/>
          <w:sz w:val="24"/>
          <w:szCs w:val="24"/>
          <w:lang w:eastAsia="en-GB"/>
        </w:rPr>
        <w:t xml:space="preserve"> with its own proposals for England (and Wales</w:t>
      </w:r>
      <w:r w:rsidR="007137DE">
        <w:rPr>
          <w:rFonts w:ascii="Times New Roman" w:eastAsia="Times New Roman" w:hAnsi="Times New Roman" w:cs="Times New Roman"/>
          <w:color w:val="212121"/>
          <w:sz w:val="24"/>
          <w:szCs w:val="24"/>
          <w:lang w:eastAsia="en-GB"/>
        </w:rPr>
        <w:t xml:space="preserve"> and Northern Ireland</w:t>
      </w:r>
      <w:r w:rsidR="00D770E8" w:rsidRPr="00D770E8">
        <w:rPr>
          <w:rFonts w:ascii="Times New Roman" w:eastAsia="Times New Roman" w:hAnsi="Times New Roman" w:cs="Times New Roman"/>
          <w:color w:val="212121"/>
          <w:sz w:val="24"/>
          <w:szCs w:val="24"/>
          <w:lang w:eastAsia="en-GB"/>
        </w:rPr>
        <w:t>).</w:t>
      </w:r>
      <w:r w:rsidR="00404DDA">
        <w:rPr>
          <w:rStyle w:val="FootnoteReference"/>
          <w:rFonts w:ascii="Times New Roman" w:eastAsia="Times New Roman" w:hAnsi="Times New Roman" w:cs="Times New Roman"/>
          <w:color w:val="212121"/>
          <w:sz w:val="24"/>
          <w:szCs w:val="24"/>
          <w:lang w:eastAsia="en-GB"/>
        </w:rPr>
        <w:footnoteReference w:id="139"/>
      </w:r>
    </w:p>
    <w:p w14:paraId="13A0CB9F" w14:textId="3FABB193" w:rsidR="0067596E" w:rsidRDefault="003C1A48" w:rsidP="002457FC">
      <w:pPr>
        <w:spacing w:after="0" w:line="360" w:lineRule="auto"/>
        <w:ind w:firstLine="720"/>
        <w:jc w:val="both"/>
        <w:rPr>
          <w:rFonts w:ascii="Times New Roman" w:eastAsia="Times New Roman" w:hAnsi="Times New Roman" w:cs="Times New Roman"/>
          <w:color w:val="212121"/>
          <w:sz w:val="24"/>
          <w:szCs w:val="24"/>
          <w:lang w:eastAsia="en-GB"/>
        </w:rPr>
      </w:pPr>
      <w:r w:rsidRPr="00D770E8">
        <w:rPr>
          <w:rFonts w:ascii="Times New Roman" w:eastAsia="Times New Roman" w:hAnsi="Times New Roman" w:cs="Times New Roman"/>
          <w:color w:val="212121"/>
          <w:sz w:val="24"/>
          <w:szCs w:val="24"/>
          <w:lang w:eastAsia="en-GB"/>
        </w:rPr>
        <w:t>Post-Brexit t</w:t>
      </w:r>
      <w:r w:rsidR="00F625CA" w:rsidRPr="00D770E8">
        <w:rPr>
          <w:rFonts w:ascii="Times New Roman" w:eastAsia="Times New Roman" w:hAnsi="Times New Roman" w:cs="Times New Roman"/>
          <w:color w:val="212121"/>
          <w:sz w:val="24"/>
          <w:szCs w:val="24"/>
          <w:lang w:eastAsia="en-GB"/>
        </w:rPr>
        <w:t xml:space="preserve">here has been </w:t>
      </w:r>
      <w:r w:rsidR="00981FF2" w:rsidRPr="00D770E8">
        <w:rPr>
          <w:rFonts w:ascii="Times New Roman" w:eastAsia="Times New Roman" w:hAnsi="Times New Roman" w:cs="Times New Roman"/>
          <w:color w:val="212121"/>
          <w:sz w:val="24"/>
          <w:szCs w:val="24"/>
          <w:lang w:eastAsia="en-GB"/>
        </w:rPr>
        <w:t>some</w:t>
      </w:r>
      <w:r w:rsidR="00F625CA" w:rsidRPr="00D770E8">
        <w:rPr>
          <w:rFonts w:ascii="Times New Roman" w:eastAsia="Times New Roman" w:hAnsi="Times New Roman" w:cs="Times New Roman"/>
          <w:color w:val="212121"/>
          <w:sz w:val="24"/>
          <w:szCs w:val="24"/>
          <w:lang w:eastAsia="en-GB"/>
        </w:rPr>
        <w:t xml:space="preserve"> movement</w:t>
      </w:r>
      <w:r w:rsidR="00F625CA">
        <w:rPr>
          <w:rFonts w:ascii="Times New Roman" w:eastAsia="Times New Roman" w:hAnsi="Times New Roman" w:cs="Times New Roman"/>
          <w:color w:val="212121"/>
          <w:sz w:val="24"/>
          <w:szCs w:val="24"/>
          <w:lang w:eastAsia="en-GB"/>
        </w:rPr>
        <w:t xml:space="preserve"> towards disaggregation </w:t>
      </w:r>
      <w:r>
        <w:rPr>
          <w:rFonts w:ascii="Times New Roman" w:eastAsia="Times New Roman" w:hAnsi="Times New Roman" w:cs="Times New Roman"/>
          <w:color w:val="212121"/>
          <w:sz w:val="24"/>
          <w:szCs w:val="24"/>
          <w:lang w:eastAsia="en-GB"/>
        </w:rPr>
        <w:t>through</w:t>
      </w:r>
      <w:r w:rsidR="00893956">
        <w:rPr>
          <w:rFonts w:ascii="Times New Roman" w:eastAsia="Times New Roman" w:hAnsi="Times New Roman" w:cs="Times New Roman"/>
          <w:color w:val="212121"/>
          <w:sz w:val="24"/>
          <w:szCs w:val="24"/>
          <w:lang w:eastAsia="en-GB"/>
        </w:rPr>
        <w:t xml:space="preserve"> recent reforms to aspects of </w:t>
      </w:r>
      <w:r w:rsidR="00672E56">
        <w:rPr>
          <w:rFonts w:ascii="Times New Roman" w:eastAsia="Times New Roman" w:hAnsi="Times New Roman" w:cs="Times New Roman"/>
          <w:color w:val="212121"/>
          <w:sz w:val="24"/>
          <w:szCs w:val="24"/>
          <w:lang w:eastAsia="en-GB"/>
        </w:rPr>
        <w:t>intergovernmental relations</w:t>
      </w:r>
      <w:r w:rsidR="00893956">
        <w:rPr>
          <w:rFonts w:ascii="Times New Roman" w:eastAsia="Times New Roman" w:hAnsi="Times New Roman" w:cs="Times New Roman"/>
          <w:color w:val="212121"/>
          <w:sz w:val="24"/>
          <w:szCs w:val="24"/>
          <w:lang w:eastAsia="en-GB"/>
        </w:rPr>
        <w:t>. This includes</w:t>
      </w:r>
      <w:r>
        <w:rPr>
          <w:rFonts w:ascii="Times New Roman" w:eastAsia="Times New Roman" w:hAnsi="Times New Roman" w:cs="Times New Roman"/>
          <w:color w:val="212121"/>
          <w:sz w:val="24"/>
          <w:szCs w:val="24"/>
          <w:lang w:eastAsia="en-GB"/>
        </w:rPr>
        <w:t>, for instance,</w:t>
      </w:r>
      <w:r w:rsidR="00893956">
        <w:rPr>
          <w:rFonts w:ascii="Times New Roman" w:eastAsia="Times New Roman" w:hAnsi="Times New Roman" w:cs="Times New Roman"/>
          <w:color w:val="212121"/>
          <w:sz w:val="24"/>
          <w:szCs w:val="24"/>
          <w:lang w:eastAsia="en-GB"/>
        </w:rPr>
        <w:t xml:space="preserve"> the introduction of changes to the management of dispute resolution processes</w:t>
      </w:r>
      <w:r w:rsidR="00AA3EDB">
        <w:rPr>
          <w:rFonts w:ascii="Times New Roman" w:eastAsia="Times New Roman" w:hAnsi="Times New Roman" w:cs="Times New Roman"/>
          <w:color w:val="212121"/>
          <w:sz w:val="24"/>
          <w:szCs w:val="24"/>
          <w:lang w:eastAsia="en-GB"/>
        </w:rPr>
        <w:t>,</w:t>
      </w:r>
      <w:r w:rsidR="00893956">
        <w:rPr>
          <w:rFonts w:ascii="Times New Roman" w:eastAsia="Times New Roman" w:hAnsi="Times New Roman" w:cs="Times New Roman"/>
          <w:color w:val="212121"/>
          <w:sz w:val="24"/>
          <w:szCs w:val="24"/>
          <w:lang w:eastAsia="en-GB"/>
        </w:rPr>
        <w:t xml:space="preserve"> which the UK government has traditionally dominated through the </w:t>
      </w:r>
      <w:r>
        <w:rPr>
          <w:rFonts w:ascii="Times New Roman" w:eastAsia="Times New Roman" w:hAnsi="Times New Roman" w:cs="Times New Roman"/>
          <w:color w:val="212121"/>
          <w:sz w:val="24"/>
          <w:szCs w:val="24"/>
          <w:lang w:eastAsia="en-GB"/>
        </w:rPr>
        <w:t>exercise of administrative</w:t>
      </w:r>
      <w:r w:rsidR="00893956">
        <w:rPr>
          <w:rFonts w:ascii="Times New Roman" w:eastAsia="Times New Roman" w:hAnsi="Times New Roman" w:cs="Times New Roman"/>
          <w:color w:val="212121"/>
          <w:sz w:val="24"/>
          <w:szCs w:val="24"/>
          <w:lang w:eastAsia="en-GB"/>
        </w:rPr>
        <w:t xml:space="preserve"> gatekeeping functions.</w:t>
      </w:r>
      <w:r w:rsidR="007F6316">
        <w:rPr>
          <w:rStyle w:val="FootnoteReference"/>
          <w:rFonts w:ascii="Times New Roman" w:eastAsia="Times New Roman" w:hAnsi="Times New Roman" w:cs="Times New Roman"/>
          <w:color w:val="212121"/>
          <w:sz w:val="24"/>
          <w:szCs w:val="24"/>
          <w:lang w:eastAsia="en-GB"/>
        </w:rPr>
        <w:footnoteReference w:id="140"/>
      </w:r>
      <w:r w:rsidR="008A3476">
        <w:rPr>
          <w:rFonts w:ascii="Times New Roman" w:eastAsia="Times New Roman" w:hAnsi="Times New Roman" w:cs="Times New Roman"/>
          <w:color w:val="212121"/>
          <w:sz w:val="24"/>
          <w:szCs w:val="24"/>
          <w:lang w:eastAsia="en-GB"/>
        </w:rPr>
        <w:t xml:space="preserve"> </w:t>
      </w:r>
      <w:r w:rsidR="008A3476">
        <w:rPr>
          <w:rFonts w:ascii="Times New Roman" w:eastAsia="Times New Roman" w:hAnsi="Times New Roman" w:cs="Times New Roman"/>
          <w:color w:val="212121"/>
          <w:sz w:val="24"/>
          <w:szCs w:val="24"/>
          <w:lang w:eastAsia="en-GB"/>
        </w:rPr>
        <w:lastRenderedPageBreak/>
        <w:t xml:space="preserve">Attributing </w:t>
      </w:r>
      <w:r w:rsidR="00672E56">
        <w:rPr>
          <w:rFonts w:ascii="Times New Roman" w:eastAsia="Times New Roman" w:hAnsi="Times New Roman" w:cs="Times New Roman"/>
          <w:color w:val="212121"/>
          <w:sz w:val="24"/>
          <w:szCs w:val="24"/>
          <w:lang w:eastAsia="en-GB"/>
        </w:rPr>
        <w:t>such</w:t>
      </w:r>
      <w:r w:rsidR="008A3476">
        <w:rPr>
          <w:rFonts w:ascii="Times New Roman" w:eastAsia="Times New Roman" w:hAnsi="Times New Roman" w:cs="Times New Roman"/>
          <w:color w:val="212121"/>
          <w:sz w:val="24"/>
          <w:szCs w:val="24"/>
          <w:lang w:eastAsia="en-GB"/>
        </w:rPr>
        <w:t xml:space="preserve"> functions to the UK government in areas of shared responsibility </w:t>
      </w:r>
      <w:r w:rsidR="00672E56">
        <w:rPr>
          <w:rFonts w:ascii="Times New Roman" w:eastAsia="Times New Roman" w:hAnsi="Times New Roman" w:cs="Times New Roman"/>
          <w:color w:val="212121"/>
          <w:sz w:val="24"/>
          <w:szCs w:val="24"/>
          <w:lang w:eastAsia="en-GB"/>
        </w:rPr>
        <w:t>effectively leaves</w:t>
      </w:r>
      <w:r w:rsidR="008A3476">
        <w:rPr>
          <w:rFonts w:ascii="Times New Roman" w:eastAsia="Times New Roman" w:hAnsi="Times New Roman" w:cs="Times New Roman"/>
          <w:color w:val="212121"/>
          <w:sz w:val="24"/>
          <w:szCs w:val="24"/>
          <w:lang w:eastAsia="en-GB"/>
        </w:rPr>
        <w:t xml:space="preserve"> it to </w:t>
      </w:r>
      <w:r w:rsidR="008F778A">
        <w:rPr>
          <w:rFonts w:ascii="Times New Roman" w:eastAsia="Times New Roman" w:hAnsi="Times New Roman" w:cs="Times New Roman"/>
          <w:color w:val="212121"/>
          <w:sz w:val="24"/>
          <w:szCs w:val="24"/>
          <w:lang w:eastAsia="en-GB"/>
        </w:rPr>
        <w:t>‘mark its own homework</w:t>
      </w:r>
      <w:r w:rsidR="005A32CE">
        <w:rPr>
          <w:rFonts w:ascii="Times New Roman" w:eastAsia="Times New Roman" w:hAnsi="Times New Roman" w:cs="Times New Roman"/>
          <w:color w:val="212121"/>
          <w:sz w:val="24"/>
          <w:szCs w:val="24"/>
          <w:lang w:eastAsia="en-GB"/>
        </w:rPr>
        <w:t>’ as one stakeholder put it.</w:t>
      </w:r>
      <w:r w:rsidR="008F778A">
        <w:rPr>
          <w:rStyle w:val="FootnoteReference"/>
          <w:rFonts w:ascii="Times New Roman" w:eastAsia="Times New Roman" w:hAnsi="Times New Roman" w:cs="Times New Roman"/>
          <w:color w:val="212121"/>
          <w:sz w:val="24"/>
          <w:szCs w:val="24"/>
          <w:lang w:eastAsia="en-GB"/>
        </w:rPr>
        <w:footnoteReference w:id="141"/>
      </w:r>
      <w:r w:rsidR="008F778A">
        <w:rPr>
          <w:rFonts w:ascii="Times New Roman" w:eastAsia="Times New Roman" w:hAnsi="Times New Roman" w:cs="Times New Roman"/>
          <w:color w:val="212121"/>
          <w:sz w:val="24"/>
          <w:szCs w:val="24"/>
          <w:lang w:eastAsia="en-GB"/>
        </w:rPr>
        <w:t xml:space="preserve"> </w:t>
      </w:r>
      <w:r w:rsidR="00893956">
        <w:rPr>
          <w:rFonts w:ascii="Times New Roman" w:eastAsia="Times New Roman" w:hAnsi="Times New Roman" w:cs="Times New Roman"/>
          <w:color w:val="212121"/>
          <w:sz w:val="24"/>
          <w:szCs w:val="24"/>
          <w:lang w:eastAsia="en-GB"/>
        </w:rPr>
        <w:t xml:space="preserve">The </w:t>
      </w:r>
      <w:r w:rsidR="00AA3EDB">
        <w:rPr>
          <w:rFonts w:ascii="Times New Roman" w:eastAsia="Times New Roman" w:hAnsi="Times New Roman" w:cs="Times New Roman"/>
          <w:color w:val="212121"/>
          <w:sz w:val="24"/>
          <w:szCs w:val="24"/>
          <w:lang w:eastAsia="en-GB"/>
        </w:rPr>
        <w:t>Review of Intergovernmental Relations</w:t>
      </w:r>
      <w:r>
        <w:rPr>
          <w:rFonts w:ascii="Times New Roman" w:eastAsia="Times New Roman" w:hAnsi="Times New Roman" w:cs="Times New Roman"/>
          <w:color w:val="212121"/>
          <w:sz w:val="24"/>
          <w:szCs w:val="24"/>
          <w:lang w:eastAsia="en-GB"/>
        </w:rPr>
        <w:t xml:space="preserve"> improves on this, by</w:t>
      </w:r>
      <w:r w:rsidR="00AA3EDB">
        <w:rPr>
          <w:rFonts w:ascii="Times New Roman" w:eastAsia="Times New Roman" w:hAnsi="Times New Roman" w:cs="Times New Roman"/>
          <w:color w:val="212121"/>
          <w:sz w:val="24"/>
          <w:szCs w:val="24"/>
          <w:lang w:eastAsia="en-GB"/>
        </w:rPr>
        <w:t xml:space="preserve"> provid</w:t>
      </w:r>
      <w:r>
        <w:rPr>
          <w:rFonts w:ascii="Times New Roman" w:eastAsia="Times New Roman" w:hAnsi="Times New Roman" w:cs="Times New Roman"/>
          <w:color w:val="212121"/>
          <w:sz w:val="24"/>
          <w:szCs w:val="24"/>
          <w:lang w:eastAsia="en-GB"/>
        </w:rPr>
        <w:t>ing</w:t>
      </w:r>
      <w:r w:rsidR="00AA3EDB">
        <w:rPr>
          <w:rFonts w:ascii="Times New Roman" w:eastAsia="Times New Roman" w:hAnsi="Times New Roman" w:cs="Times New Roman"/>
          <w:color w:val="212121"/>
          <w:sz w:val="24"/>
          <w:szCs w:val="24"/>
          <w:lang w:eastAsia="en-GB"/>
        </w:rPr>
        <w:t xml:space="preserve"> for the establishment of a Secretariat that is independent of </w:t>
      </w:r>
      <w:r w:rsidR="00672E56">
        <w:rPr>
          <w:rFonts w:ascii="Times New Roman" w:eastAsia="Times New Roman" w:hAnsi="Times New Roman" w:cs="Times New Roman"/>
          <w:color w:val="212121"/>
          <w:sz w:val="24"/>
          <w:szCs w:val="24"/>
          <w:lang w:eastAsia="en-GB"/>
        </w:rPr>
        <w:t xml:space="preserve">the </w:t>
      </w:r>
      <w:r w:rsidR="00AA3EDB">
        <w:rPr>
          <w:rFonts w:ascii="Times New Roman" w:eastAsia="Times New Roman" w:hAnsi="Times New Roman" w:cs="Times New Roman"/>
          <w:color w:val="212121"/>
          <w:sz w:val="24"/>
          <w:szCs w:val="24"/>
          <w:lang w:eastAsia="en-GB"/>
        </w:rPr>
        <w:t>UK government.</w:t>
      </w:r>
      <w:r w:rsidR="004E0291">
        <w:rPr>
          <w:rStyle w:val="FootnoteReference"/>
          <w:rFonts w:ascii="Times New Roman" w:eastAsia="Times New Roman" w:hAnsi="Times New Roman" w:cs="Times New Roman"/>
          <w:color w:val="212121"/>
          <w:sz w:val="24"/>
          <w:szCs w:val="24"/>
          <w:lang w:eastAsia="en-GB"/>
        </w:rPr>
        <w:footnoteReference w:id="142"/>
      </w:r>
      <w:r w:rsidR="00AA3EDB">
        <w:rPr>
          <w:rFonts w:ascii="Times New Roman" w:eastAsia="Times New Roman" w:hAnsi="Times New Roman" w:cs="Times New Roman"/>
          <w:color w:val="212121"/>
          <w:sz w:val="24"/>
          <w:szCs w:val="24"/>
          <w:lang w:eastAsia="en-GB"/>
        </w:rPr>
        <w:t xml:space="preserve"> Composed of representatives from all four UK governments, its existence and functioning </w:t>
      </w:r>
      <w:r w:rsidR="000A4F15">
        <w:rPr>
          <w:rFonts w:ascii="Times New Roman" w:eastAsia="Times New Roman" w:hAnsi="Times New Roman" w:cs="Times New Roman"/>
          <w:color w:val="212121"/>
          <w:sz w:val="24"/>
          <w:szCs w:val="24"/>
          <w:lang w:eastAsia="en-GB"/>
        </w:rPr>
        <w:t>appeal</w:t>
      </w:r>
      <w:r>
        <w:rPr>
          <w:rFonts w:ascii="Times New Roman" w:eastAsia="Times New Roman" w:hAnsi="Times New Roman" w:cs="Times New Roman"/>
          <w:color w:val="212121"/>
          <w:sz w:val="24"/>
          <w:szCs w:val="24"/>
          <w:lang w:eastAsia="en-GB"/>
        </w:rPr>
        <w:t xml:space="preserve"> </w:t>
      </w:r>
      <w:r w:rsidR="000A4F15">
        <w:rPr>
          <w:rFonts w:ascii="Times New Roman" w:eastAsia="Times New Roman" w:hAnsi="Times New Roman" w:cs="Times New Roman"/>
          <w:color w:val="212121"/>
          <w:sz w:val="24"/>
          <w:szCs w:val="24"/>
          <w:lang w:eastAsia="en-GB"/>
        </w:rPr>
        <w:t>to</w:t>
      </w:r>
      <w:r w:rsidR="00AA3EDB">
        <w:rPr>
          <w:rFonts w:ascii="Times New Roman" w:eastAsia="Times New Roman" w:hAnsi="Times New Roman" w:cs="Times New Roman"/>
          <w:color w:val="212121"/>
          <w:sz w:val="24"/>
          <w:szCs w:val="24"/>
          <w:lang w:eastAsia="en-GB"/>
        </w:rPr>
        <w:t xml:space="preserve"> the logic of shared rule, albeit with regard only to</w:t>
      </w:r>
      <w:r w:rsidR="000A4F15">
        <w:rPr>
          <w:rFonts w:ascii="Times New Roman" w:eastAsia="Times New Roman" w:hAnsi="Times New Roman" w:cs="Times New Roman"/>
          <w:color w:val="212121"/>
          <w:sz w:val="24"/>
          <w:szCs w:val="24"/>
          <w:lang w:eastAsia="en-GB"/>
        </w:rPr>
        <w:t xml:space="preserve"> dispute resolution and </w:t>
      </w:r>
      <w:r>
        <w:rPr>
          <w:rFonts w:ascii="Times New Roman" w:eastAsia="Times New Roman" w:hAnsi="Times New Roman" w:cs="Times New Roman"/>
          <w:color w:val="212121"/>
          <w:sz w:val="24"/>
          <w:szCs w:val="24"/>
          <w:lang w:eastAsia="en-GB"/>
        </w:rPr>
        <w:t xml:space="preserve">general </w:t>
      </w:r>
      <w:r w:rsidR="000A4F15">
        <w:rPr>
          <w:rFonts w:ascii="Times New Roman" w:eastAsia="Times New Roman" w:hAnsi="Times New Roman" w:cs="Times New Roman"/>
          <w:color w:val="212121"/>
          <w:sz w:val="24"/>
          <w:szCs w:val="24"/>
          <w:lang w:eastAsia="en-GB"/>
        </w:rPr>
        <w:t xml:space="preserve">administration. </w:t>
      </w:r>
      <w:r w:rsidR="00893956">
        <w:rPr>
          <w:rFonts w:ascii="Times New Roman" w:eastAsia="Times New Roman" w:hAnsi="Times New Roman" w:cs="Times New Roman"/>
          <w:color w:val="212121"/>
          <w:sz w:val="24"/>
          <w:szCs w:val="24"/>
          <w:lang w:eastAsia="en-GB"/>
        </w:rPr>
        <w:t xml:space="preserve">Independence from the UK government is </w:t>
      </w:r>
      <w:r w:rsidR="000A4F15">
        <w:rPr>
          <w:rFonts w:ascii="Times New Roman" w:eastAsia="Times New Roman" w:hAnsi="Times New Roman" w:cs="Times New Roman"/>
          <w:color w:val="212121"/>
          <w:sz w:val="24"/>
          <w:szCs w:val="24"/>
          <w:lang w:eastAsia="en-GB"/>
        </w:rPr>
        <w:t>also</w:t>
      </w:r>
      <w:r w:rsidR="00893956">
        <w:rPr>
          <w:rFonts w:ascii="Times New Roman" w:eastAsia="Times New Roman" w:hAnsi="Times New Roman" w:cs="Times New Roman"/>
          <w:color w:val="212121"/>
          <w:sz w:val="24"/>
          <w:szCs w:val="24"/>
          <w:lang w:eastAsia="en-GB"/>
        </w:rPr>
        <w:t xml:space="preserve"> visible in the attribution of advisory and reporting powers to the new Office </w:t>
      </w:r>
      <w:r>
        <w:rPr>
          <w:rFonts w:ascii="Times New Roman" w:eastAsia="Times New Roman" w:hAnsi="Times New Roman" w:cs="Times New Roman"/>
          <w:color w:val="212121"/>
          <w:sz w:val="24"/>
          <w:szCs w:val="24"/>
          <w:lang w:eastAsia="en-GB"/>
        </w:rPr>
        <w:t>for</w:t>
      </w:r>
      <w:r w:rsidR="00893956">
        <w:rPr>
          <w:rFonts w:ascii="Times New Roman" w:eastAsia="Times New Roman" w:hAnsi="Times New Roman" w:cs="Times New Roman"/>
          <w:color w:val="212121"/>
          <w:sz w:val="24"/>
          <w:szCs w:val="24"/>
          <w:lang w:eastAsia="en-GB"/>
        </w:rPr>
        <w:t xml:space="preserve"> the Internal Market</w:t>
      </w:r>
      <w:r w:rsidR="000A4F15">
        <w:rPr>
          <w:rFonts w:ascii="Times New Roman" w:eastAsia="Times New Roman" w:hAnsi="Times New Roman" w:cs="Times New Roman"/>
          <w:color w:val="212121"/>
          <w:sz w:val="24"/>
          <w:szCs w:val="24"/>
          <w:lang w:eastAsia="en-GB"/>
        </w:rPr>
        <w:t xml:space="preserve"> (</w:t>
      </w:r>
      <w:r w:rsidR="00672E56">
        <w:rPr>
          <w:rFonts w:ascii="Times New Roman" w:eastAsia="Times New Roman" w:hAnsi="Times New Roman" w:cs="Times New Roman"/>
          <w:color w:val="212121"/>
          <w:sz w:val="24"/>
          <w:szCs w:val="24"/>
          <w:lang w:eastAsia="en-GB"/>
        </w:rPr>
        <w:t>S</w:t>
      </w:r>
      <w:r w:rsidR="000A4F15">
        <w:rPr>
          <w:rFonts w:ascii="Times New Roman" w:eastAsia="Times New Roman" w:hAnsi="Times New Roman" w:cs="Times New Roman"/>
          <w:color w:val="212121"/>
          <w:sz w:val="24"/>
          <w:szCs w:val="24"/>
          <w:lang w:eastAsia="en-GB"/>
        </w:rPr>
        <w:t>ection 3</w:t>
      </w:r>
      <w:r w:rsidR="007F6316">
        <w:rPr>
          <w:rFonts w:ascii="Times New Roman" w:eastAsia="Times New Roman" w:hAnsi="Times New Roman" w:cs="Times New Roman"/>
          <w:color w:val="212121"/>
          <w:sz w:val="24"/>
          <w:szCs w:val="24"/>
          <w:lang w:eastAsia="en-GB"/>
        </w:rPr>
        <w:t>.1</w:t>
      </w:r>
      <w:r w:rsidR="000A4F15">
        <w:rPr>
          <w:rFonts w:ascii="Times New Roman" w:eastAsia="Times New Roman" w:hAnsi="Times New Roman" w:cs="Times New Roman"/>
          <w:color w:val="212121"/>
          <w:sz w:val="24"/>
          <w:szCs w:val="24"/>
          <w:lang w:eastAsia="en-GB"/>
        </w:rPr>
        <w:t>, above).</w:t>
      </w:r>
      <w:r w:rsidR="003D424B">
        <w:rPr>
          <w:rFonts w:ascii="Times New Roman" w:eastAsia="Times New Roman" w:hAnsi="Times New Roman" w:cs="Times New Roman"/>
          <w:color w:val="212121"/>
          <w:sz w:val="24"/>
          <w:szCs w:val="24"/>
          <w:lang w:eastAsia="en-GB"/>
        </w:rPr>
        <w:t xml:space="preserve"> </w:t>
      </w:r>
      <w:r w:rsidR="002300D4">
        <w:rPr>
          <w:rFonts w:ascii="Times New Roman" w:eastAsia="Times New Roman" w:hAnsi="Times New Roman" w:cs="Times New Roman"/>
          <w:color w:val="212121"/>
          <w:sz w:val="24"/>
          <w:szCs w:val="24"/>
          <w:lang w:eastAsia="en-GB"/>
        </w:rPr>
        <w:t xml:space="preserve">The UKIMA establishes the OIM (within the Competition and Markets Authority) as a reporting, advisory and monitoring body that is directed to act </w:t>
      </w:r>
      <w:r w:rsidR="00672E56">
        <w:rPr>
          <w:rFonts w:ascii="Times New Roman" w:eastAsia="Times New Roman" w:hAnsi="Times New Roman" w:cs="Times New Roman"/>
          <w:color w:val="212121"/>
          <w:sz w:val="24"/>
          <w:szCs w:val="24"/>
          <w:lang w:eastAsia="en-GB"/>
        </w:rPr>
        <w:t>‘</w:t>
      </w:r>
      <w:r w:rsidR="002300D4">
        <w:rPr>
          <w:rFonts w:ascii="Times New Roman" w:eastAsia="Times New Roman" w:hAnsi="Times New Roman" w:cs="Times New Roman"/>
          <w:color w:val="212121"/>
          <w:sz w:val="24"/>
          <w:szCs w:val="24"/>
          <w:lang w:eastAsia="en-GB"/>
        </w:rPr>
        <w:t>even-handedly</w:t>
      </w:r>
      <w:r w:rsidR="00672E56">
        <w:rPr>
          <w:rFonts w:ascii="Times New Roman" w:eastAsia="Times New Roman" w:hAnsi="Times New Roman" w:cs="Times New Roman"/>
          <w:color w:val="212121"/>
          <w:sz w:val="24"/>
          <w:szCs w:val="24"/>
          <w:lang w:eastAsia="en-GB"/>
        </w:rPr>
        <w:t>’</w:t>
      </w:r>
      <w:r w:rsidR="002300D4">
        <w:rPr>
          <w:rFonts w:ascii="Times New Roman" w:eastAsia="Times New Roman" w:hAnsi="Times New Roman" w:cs="Times New Roman"/>
          <w:color w:val="212121"/>
          <w:sz w:val="24"/>
          <w:szCs w:val="24"/>
          <w:lang w:eastAsia="en-GB"/>
        </w:rPr>
        <w:t xml:space="preserve"> with respect to the four UK administrations.</w:t>
      </w:r>
      <w:r>
        <w:rPr>
          <w:rStyle w:val="FootnoteReference"/>
          <w:rFonts w:ascii="Times New Roman" w:eastAsia="Times New Roman" w:hAnsi="Times New Roman" w:cs="Times New Roman"/>
          <w:color w:val="212121"/>
          <w:sz w:val="24"/>
          <w:szCs w:val="24"/>
          <w:lang w:eastAsia="en-GB"/>
        </w:rPr>
        <w:footnoteReference w:id="143"/>
      </w:r>
      <w:r w:rsidR="00A448BA">
        <w:rPr>
          <w:rFonts w:ascii="Times New Roman" w:eastAsia="Times New Roman" w:hAnsi="Times New Roman" w:cs="Times New Roman"/>
          <w:color w:val="212121"/>
          <w:sz w:val="24"/>
          <w:szCs w:val="24"/>
          <w:lang w:eastAsia="en-GB"/>
        </w:rPr>
        <w:t xml:space="preserve"> </w:t>
      </w:r>
      <w:r w:rsidR="00FC209E">
        <w:rPr>
          <w:rFonts w:ascii="Times New Roman" w:eastAsia="Times New Roman" w:hAnsi="Times New Roman" w:cs="Times New Roman"/>
          <w:color w:val="212121"/>
          <w:sz w:val="24"/>
          <w:szCs w:val="24"/>
          <w:lang w:eastAsia="en-GB"/>
        </w:rPr>
        <w:t>The OIM</w:t>
      </w:r>
      <w:r w:rsidR="00D93B8E">
        <w:rPr>
          <w:rFonts w:ascii="Times New Roman" w:eastAsia="Times New Roman" w:hAnsi="Times New Roman" w:cs="Times New Roman"/>
          <w:color w:val="212121"/>
          <w:sz w:val="24"/>
          <w:szCs w:val="24"/>
          <w:lang w:eastAsia="en-GB"/>
        </w:rPr>
        <w:t xml:space="preserve"> </w:t>
      </w:r>
      <w:r w:rsidR="003D424B">
        <w:rPr>
          <w:rFonts w:ascii="Times New Roman" w:eastAsia="Times New Roman" w:hAnsi="Times New Roman" w:cs="Times New Roman"/>
          <w:color w:val="212121"/>
          <w:sz w:val="24"/>
          <w:szCs w:val="24"/>
          <w:lang w:eastAsia="en-GB"/>
        </w:rPr>
        <w:t>published</w:t>
      </w:r>
      <w:r w:rsidR="00D93B8E">
        <w:rPr>
          <w:rFonts w:ascii="Times New Roman" w:eastAsia="Times New Roman" w:hAnsi="Times New Roman" w:cs="Times New Roman"/>
          <w:color w:val="212121"/>
          <w:sz w:val="24"/>
          <w:szCs w:val="24"/>
          <w:lang w:eastAsia="en-GB"/>
        </w:rPr>
        <w:t xml:space="preserve"> its first </w:t>
      </w:r>
      <w:r>
        <w:rPr>
          <w:rFonts w:ascii="Times New Roman" w:eastAsia="Times New Roman" w:hAnsi="Times New Roman" w:cs="Times New Roman"/>
          <w:color w:val="212121"/>
          <w:sz w:val="24"/>
          <w:szCs w:val="24"/>
          <w:lang w:eastAsia="en-GB"/>
        </w:rPr>
        <w:t>annual report on the operation of the UK internal market in March 2023.</w:t>
      </w:r>
      <w:r>
        <w:rPr>
          <w:rStyle w:val="FootnoteReference"/>
          <w:rFonts w:ascii="Times New Roman" w:eastAsia="Times New Roman" w:hAnsi="Times New Roman" w:cs="Times New Roman"/>
          <w:color w:val="212121"/>
          <w:sz w:val="24"/>
          <w:szCs w:val="24"/>
          <w:lang w:eastAsia="en-GB"/>
        </w:rPr>
        <w:footnoteReference w:id="144"/>
      </w:r>
    </w:p>
    <w:p w14:paraId="68CDCF45" w14:textId="38C8336A" w:rsidR="004D3DCE" w:rsidRDefault="000A4F15" w:rsidP="0099581B">
      <w:pPr>
        <w:spacing w:after="0" w:line="360" w:lineRule="auto"/>
        <w:ind w:firstLine="720"/>
        <w:jc w:val="both"/>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The</w:t>
      </w:r>
      <w:r w:rsidR="003C1A48">
        <w:rPr>
          <w:rFonts w:ascii="Times New Roman" w:eastAsia="Times New Roman" w:hAnsi="Times New Roman" w:cs="Times New Roman"/>
          <w:color w:val="212121"/>
          <w:sz w:val="24"/>
          <w:szCs w:val="24"/>
          <w:lang w:eastAsia="en-GB"/>
        </w:rPr>
        <w:t xml:space="preserve"> above</w:t>
      </w:r>
      <w:r>
        <w:rPr>
          <w:rFonts w:ascii="Times New Roman" w:eastAsia="Times New Roman" w:hAnsi="Times New Roman" w:cs="Times New Roman"/>
          <w:color w:val="212121"/>
          <w:sz w:val="24"/>
          <w:szCs w:val="24"/>
          <w:lang w:eastAsia="en-GB"/>
        </w:rPr>
        <w:t xml:space="preserve"> changes, however, </w:t>
      </w:r>
      <w:r w:rsidR="003C1A48">
        <w:rPr>
          <w:rFonts w:ascii="Times New Roman" w:eastAsia="Times New Roman" w:hAnsi="Times New Roman" w:cs="Times New Roman"/>
          <w:color w:val="212121"/>
          <w:sz w:val="24"/>
          <w:szCs w:val="24"/>
          <w:lang w:eastAsia="en-GB"/>
        </w:rPr>
        <w:t xml:space="preserve">do very little to address </w:t>
      </w:r>
      <w:r w:rsidR="001F4388">
        <w:rPr>
          <w:rFonts w:ascii="Times New Roman" w:eastAsia="Times New Roman" w:hAnsi="Times New Roman" w:cs="Times New Roman"/>
          <w:color w:val="212121"/>
          <w:sz w:val="24"/>
          <w:szCs w:val="24"/>
          <w:lang w:eastAsia="en-GB"/>
        </w:rPr>
        <w:t xml:space="preserve">to the </w:t>
      </w:r>
      <w:r w:rsidR="004E0291">
        <w:rPr>
          <w:rFonts w:ascii="Times New Roman" w:eastAsia="Times New Roman" w:hAnsi="Times New Roman" w:cs="Times New Roman"/>
          <w:color w:val="212121"/>
          <w:sz w:val="24"/>
          <w:szCs w:val="24"/>
          <w:lang w:eastAsia="en-GB"/>
        </w:rPr>
        <w:t xml:space="preserve">core </w:t>
      </w:r>
      <w:r w:rsidR="00242CF3">
        <w:rPr>
          <w:rFonts w:ascii="Times New Roman" w:eastAsia="Times New Roman" w:hAnsi="Times New Roman" w:cs="Times New Roman"/>
          <w:color w:val="212121"/>
          <w:sz w:val="24"/>
          <w:szCs w:val="24"/>
          <w:lang w:eastAsia="en-GB"/>
        </w:rPr>
        <w:t xml:space="preserve">issue of </w:t>
      </w:r>
      <w:r w:rsidR="003C1A48">
        <w:rPr>
          <w:rFonts w:ascii="Times New Roman" w:eastAsia="Times New Roman" w:hAnsi="Times New Roman" w:cs="Times New Roman"/>
          <w:color w:val="212121"/>
          <w:sz w:val="24"/>
          <w:szCs w:val="24"/>
          <w:lang w:eastAsia="en-GB"/>
        </w:rPr>
        <w:t>tackling</w:t>
      </w:r>
      <w:r w:rsidR="00242CF3">
        <w:rPr>
          <w:rFonts w:ascii="Times New Roman" w:eastAsia="Times New Roman" w:hAnsi="Times New Roman" w:cs="Times New Roman"/>
          <w:color w:val="212121"/>
          <w:sz w:val="24"/>
          <w:szCs w:val="24"/>
          <w:lang w:eastAsia="en-GB"/>
        </w:rPr>
        <w:t xml:space="preserve"> longstanding asymmetries in the UK’s territorial constitution. Devolution</w:t>
      </w:r>
      <w:r w:rsidR="00A15BA2">
        <w:rPr>
          <w:rFonts w:ascii="Times New Roman" w:eastAsia="Times New Roman" w:hAnsi="Times New Roman" w:cs="Times New Roman"/>
          <w:color w:val="212121"/>
          <w:sz w:val="24"/>
          <w:szCs w:val="24"/>
          <w:lang w:eastAsia="en-GB"/>
        </w:rPr>
        <w:t xml:space="preserve"> has</w:t>
      </w:r>
      <w:r w:rsidR="00242CF3">
        <w:rPr>
          <w:rFonts w:ascii="Times New Roman" w:eastAsia="Times New Roman" w:hAnsi="Times New Roman" w:cs="Times New Roman"/>
          <w:color w:val="212121"/>
          <w:sz w:val="24"/>
          <w:szCs w:val="24"/>
          <w:lang w:eastAsia="en-GB"/>
        </w:rPr>
        <w:t xml:space="preserve"> never extended to include representation for England as a distinct natio</w:t>
      </w:r>
      <w:r w:rsidR="00615834">
        <w:rPr>
          <w:rFonts w:ascii="Times New Roman" w:eastAsia="Times New Roman" w:hAnsi="Times New Roman" w:cs="Times New Roman"/>
          <w:color w:val="212121"/>
          <w:sz w:val="24"/>
          <w:szCs w:val="24"/>
          <w:lang w:eastAsia="en-GB"/>
        </w:rPr>
        <w:t xml:space="preserve">n, with </w:t>
      </w:r>
      <w:r w:rsidR="003C1A48">
        <w:rPr>
          <w:rFonts w:ascii="Times New Roman" w:eastAsia="Times New Roman" w:hAnsi="Times New Roman" w:cs="Times New Roman"/>
          <w:color w:val="212121"/>
          <w:sz w:val="24"/>
          <w:szCs w:val="24"/>
          <w:lang w:eastAsia="en-GB"/>
        </w:rPr>
        <w:t>English rep</w:t>
      </w:r>
      <w:r w:rsidR="004D3DCE">
        <w:rPr>
          <w:rFonts w:ascii="Times New Roman" w:eastAsia="Times New Roman" w:hAnsi="Times New Roman" w:cs="Times New Roman"/>
          <w:color w:val="212121"/>
          <w:sz w:val="24"/>
          <w:szCs w:val="24"/>
          <w:lang w:eastAsia="en-GB"/>
        </w:rPr>
        <w:t>resentation</w:t>
      </w:r>
      <w:r w:rsidR="00242CF3">
        <w:rPr>
          <w:rFonts w:ascii="Times New Roman" w:eastAsia="Times New Roman" w:hAnsi="Times New Roman" w:cs="Times New Roman"/>
          <w:color w:val="212121"/>
          <w:sz w:val="24"/>
          <w:szCs w:val="24"/>
          <w:lang w:eastAsia="en-GB"/>
        </w:rPr>
        <w:t xml:space="preserve"> left to the UK government </w:t>
      </w:r>
      <w:r w:rsidR="008D24BE">
        <w:rPr>
          <w:rFonts w:ascii="Times New Roman" w:eastAsia="Times New Roman" w:hAnsi="Times New Roman" w:cs="Times New Roman"/>
          <w:color w:val="212121"/>
          <w:sz w:val="24"/>
          <w:szCs w:val="24"/>
          <w:lang w:eastAsia="en-GB"/>
        </w:rPr>
        <w:t>and</w:t>
      </w:r>
      <w:r w:rsidR="004D3DCE">
        <w:rPr>
          <w:rFonts w:ascii="Times New Roman" w:eastAsia="Times New Roman" w:hAnsi="Times New Roman" w:cs="Times New Roman"/>
          <w:color w:val="212121"/>
          <w:sz w:val="24"/>
          <w:szCs w:val="24"/>
          <w:lang w:eastAsia="en-GB"/>
        </w:rPr>
        <w:t xml:space="preserve"> the</w:t>
      </w:r>
      <w:r w:rsidR="00242CF3">
        <w:rPr>
          <w:rFonts w:ascii="Times New Roman" w:eastAsia="Times New Roman" w:hAnsi="Times New Roman" w:cs="Times New Roman"/>
          <w:color w:val="212121"/>
          <w:sz w:val="24"/>
          <w:szCs w:val="24"/>
          <w:lang w:eastAsia="en-GB"/>
        </w:rPr>
        <w:t xml:space="preserve"> UK Parliament</w:t>
      </w:r>
      <w:r w:rsidR="004D3DCE">
        <w:rPr>
          <w:rFonts w:ascii="Times New Roman" w:eastAsia="Times New Roman" w:hAnsi="Times New Roman" w:cs="Times New Roman"/>
          <w:color w:val="212121"/>
          <w:sz w:val="24"/>
          <w:szCs w:val="24"/>
          <w:lang w:eastAsia="en-GB"/>
        </w:rPr>
        <w:t xml:space="preserve">. </w:t>
      </w:r>
      <w:r w:rsidR="00DC6CCA">
        <w:rPr>
          <w:rFonts w:ascii="Times New Roman" w:eastAsia="Times New Roman" w:hAnsi="Times New Roman" w:cs="Times New Roman"/>
          <w:color w:val="212121"/>
          <w:sz w:val="24"/>
          <w:szCs w:val="24"/>
          <w:lang w:eastAsia="en-GB"/>
        </w:rPr>
        <w:t>T</w:t>
      </w:r>
      <w:r w:rsidR="004D3DCE">
        <w:rPr>
          <w:rFonts w:ascii="Times New Roman" w:eastAsia="Times New Roman" w:hAnsi="Times New Roman" w:cs="Times New Roman"/>
          <w:color w:val="212121"/>
          <w:sz w:val="24"/>
          <w:szCs w:val="24"/>
          <w:lang w:eastAsia="en-GB"/>
        </w:rPr>
        <w:t xml:space="preserve">he fusion of UK with English interests </w:t>
      </w:r>
      <w:r w:rsidR="00407F5F">
        <w:rPr>
          <w:rFonts w:ascii="Times New Roman" w:eastAsia="Times New Roman" w:hAnsi="Times New Roman" w:cs="Times New Roman"/>
          <w:color w:val="212121"/>
          <w:sz w:val="24"/>
          <w:szCs w:val="24"/>
          <w:lang w:eastAsia="en-GB"/>
        </w:rPr>
        <w:t>is particularly</w:t>
      </w:r>
      <w:r w:rsidR="004D3DCE">
        <w:rPr>
          <w:rFonts w:ascii="Times New Roman" w:eastAsia="Times New Roman" w:hAnsi="Times New Roman" w:cs="Times New Roman"/>
          <w:color w:val="212121"/>
          <w:sz w:val="24"/>
          <w:szCs w:val="24"/>
          <w:lang w:eastAsia="en-GB"/>
        </w:rPr>
        <w:t xml:space="preserve"> deeply embedded in legal accounts of the UK’s territorial constitution.</w:t>
      </w:r>
      <w:r w:rsidR="004D3DCE">
        <w:rPr>
          <w:rStyle w:val="FootnoteReference"/>
          <w:rFonts w:ascii="Times New Roman" w:eastAsia="Times New Roman" w:hAnsi="Times New Roman" w:cs="Times New Roman"/>
          <w:color w:val="212121"/>
          <w:sz w:val="24"/>
          <w:szCs w:val="24"/>
          <w:lang w:eastAsia="en-GB"/>
        </w:rPr>
        <w:footnoteReference w:id="145"/>
      </w:r>
      <w:r w:rsidR="004D3DCE">
        <w:rPr>
          <w:rFonts w:ascii="Times New Roman" w:eastAsia="Times New Roman" w:hAnsi="Times New Roman" w:cs="Times New Roman"/>
          <w:color w:val="212121"/>
          <w:sz w:val="24"/>
          <w:szCs w:val="24"/>
          <w:lang w:eastAsia="en-GB"/>
        </w:rPr>
        <w:t xml:space="preserve"> Ideas of </w:t>
      </w:r>
      <w:r w:rsidR="005F67F2">
        <w:rPr>
          <w:rFonts w:ascii="Times New Roman" w:eastAsia="Times New Roman" w:hAnsi="Times New Roman" w:cs="Times New Roman"/>
          <w:color w:val="212121"/>
          <w:sz w:val="24"/>
          <w:szCs w:val="24"/>
          <w:lang w:eastAsia="en-GB"/>
        </w:rPr>
        <w:t>the UK as a</w:t>
      </w:r>
      <w:r w:rsidR="004D3DCE">
        <w:rPr>
          <w:rFonts w:ascii="Times New Roman" w:eastAsia="Times New Roman" w:hAnsi="Times New Roman" w:cs="Times New Roman"/>
          <w:color w:val="212121"/>
          <w:sz w:val="24"/>
          <w:szCs w:val="24"/>
          <w:lang w:eastAsia="en-GB"/>
        </w:rPr>
        <w:t xml:space="preserve"> unitary state </w:t>
      </w:r>
      <w:r w:rsidR="005F67F2">
        <w:rPr>
          <w:rFonts w:ascii="Times New Roman" w:eastAsia="Times New Roman" w:hAnsi="Times New Roman" w:cs="Times New Roman"/>
          <w:color w:val="212121"/>
          <w:sz w:val="24"/>
          <w:szCs w:val="24"/>
          <w:lang w:eastAsia="en-GB"/>
        </w:rPr>
        <w:t>under the Diceyan doctrine of</w:t>
      </w:r>
      <w:r w:rsidR="004D3DCE">
        <w:rPr>
          <w:rFonts w:ascii="Times New Roman" w:eastAsia="Times New Roman" w:hAnsi="Times New Roman" w:cs="Times New Roman"/>
          <w:color w:val="212121"/>
          <w:sz w:val="24"/>
          <w:szCs w:val="24"/>
          <w:lang w:eastAsia="en-GB"/>
        </w:rPr>
        <w:t xml:space="preserve"> (UK) parliamentary supremacy reflect distinctly English accounts of the UK constitution</w:t>
      </w:r>
      <w:r w:rsidR="005F67F2">
        <w:rPr>
          <w:rFonts w:ascii="Times New Roman" w:eastAsia="Times New Roman" w:hAnsi="Times New Roman" w:cs="Times New Roman"/>
          <w:color w:val="212121"/>
          <w:sz w:val="24"/>
          <w:szCs w:val="24"/>
          <w:lang w:eastAsia="en-GB"/>
        </w:rPr>
        <w:t xml:space="preserve">. </w:t>
      </w:r>
      <w:r w:rsidR="004D3DCE">
        <w:rPr>
          <w:rFonts w:ascii="Times New Roman" w:eastAsia="Times New Roman" w:hAnsi="Times New Roman" w:cs="Times New Roman"/>
          <w:color w:val="212121"/>
          <w:sz w:val="24"/>
          <w:szCs w:val="24"/>
          <w:lang w:eastAsia="en-GB"/>
        </w:rPr>
        <w:t>EU membership directly challenged</w:t>
      </w:r>
      <w:r w:rsidR="005F67F2">
        <w:rPr>
          <w:rFonts w:ascii="Times New Roman" w:eastAsia="Times New Roman" w:hAnsi="Times New Roman" w:cs="Times New Roman"/>
          <w:color w:val="212121"/>
          <w:sz w:val="24"/>
          <w:szCs w:val="24"/>
          <w:lang w:eastAsia="en-GB"/>
        </w:rPr>
        <w:t xml:space="preserve"> that account</w:t>
      </w:r>
      <w:r w:rsidR="004D3DCE">
        <w:rPr>
          <w:rFonts w:ascii="Times New Roman" w:eastAsia="Times New Roman" w:hAnsi="Times New Roman" w:cs="Times New Roman"/>
          <w:color w:val="212121"/>
          <w:sz w:val="24"/>
          <w:szCs w:val="24"/>
          <w:lang w:eastAsia="en-GB"/>
        </w:rPr>
        <w:t xml:space="preserve"> in relation to devolution,</w:t>
      </w:r>
      <w:r w:rsidR="00672E56">
        <w:rPr>
          <w:rStyle w:val="FootnoteReference"/>
          <w:rFonts w:ascii="Times New Roman" w:eastAsia="Times New Roman" w:hAnsi="Times New Roman" w:cs="Times New Roman"/>
          <w:color w:val="212121"/>
          <w:sz w:val="24"/>
          <w:szCs w:val="24"/>
          <w:lang w:eastAsia="en-GB"/>
        </w:rPr>
        <w:footnoteReference w:id="146"/>
      </w:r>
      <w:r w:rsidR="004D3DCE">
        <w:rPr>
          <w:rFonts w:ascii="Times New Roman" w:eastAsia="Times New Roman" w:hAnsi="Times New Roman" w:cs="Times New Roman"/>
          <w:color w:val="212121"/>
          <w:sz w:val="24"/>
          <w:szCs w:val="24"/>
          <w:lang w:eastAsia="en-GB"/>
        </w:rPr>
        <w:t xml:space="preserve"> </w:t>
      </w:r>
      <w:r w:rsidR="005F67F2">
        <w:rPr>
          <w:rFonts w:ascii="Times New Roman" w:eastAsia="Times New Roman" w:hAnsi="Times New Roman" w:cs="Times New Roman"/>
          <w:color w:val="212121"/>
          <w:sz w:val="24"/>
          <w:szCs w:val="24"/>
          <w:lang w:eastAsia="en-GB"/>
        </w:rPr>
        <w:t xml:space="preserve">but the pull of the old view has </w:t>
      </w:r>
      <w:r w:rsidR="004D3DCE">
        <w:rPr>
          <w:rFonts w:ascii="Times New Roman" w:eastAsia="Times New Roman" w:hAnsi="Times New Roman" w:cs="Times New Roman"/>
          <w:color w:val="212121"/>
          <w:sz w:val="24"/>
          <w:szCs w:val="24"/>
          <w:lang w:eastAsia="en-GB"/>
        </w:rPr>
        <w:t xml:space="preserve">resurfaced </w:t>
      </w:r>
      <w:r w:rsidR="005F67F2">
        <w:rPr>
          <w:rFonts w:ascii="Times New Roman" w:eastAsia="Times New Roman" w:hAnsi="Times New Roman" w:cs="Times New Roman"/>
          <w:color w:val="212121"/>
          <w:sz w:val="24"/>
          <w:szCs w:val="24"/>
          <w:lang w:eastAsia="en-GB"/>
        </w:rPr>
        <w:t>to define</w:t>
      </w:r>
      <w:r w:rsidR="004D3DCE">
        <w:rPr>
          <w:rFonts w:ascii="Times New Roman" w:eastAsia="Times New Roman" w:hAnsi="Times New Roman" w:cs="Times New Roman"/>
          <w:color w:val="212121"/>
          <w:sz w:val="24"/>
          <w:szCs w:val="24"/>
          <w:lang w:eastAsia="en-GB"/>
        </w:rPr>
        <w:t xml:space="preserve"> UK government </w:t>
      </w:r>
      <w:r w:rsidR="005F67F2">
        <w:rPr>
          <w:rFonts w:ascii="Times New Roman" w:eastAsia="Times New Roman" w:hAnsi="Times New Roman" w:cs="Times New Roman"/>
          <w:color w:val="212121"/>
          <w:sz w:val="24"/>
          <w:szCs w:val="24"/>
          <w:lang w:eastAsia="en-GB"/>
        </w:rPr>
        <w:t>approaches</w:t>
      </w:r>
      <w:r w:rsidR="004D3DCE">
        <w:rPr>
          <w:rFonts w:ascii="Times New Roman" w:eastAsia="Times New Roman" w:hAnsi="Times New Roman" w:cs="Times New Roman"/>
          <w:color w:val="212121"/>
          <w:sz w:val="24"/>
          <w:szCs w:val="24"/>
          <w:lang w:eastAsia="en-GB"/>
        </w:rPr>
        <w:t xml:space="preserve"> to the task of de-Europeanising the domestic constitution post-Brexit. </w:t>
      </w:r>
      <w:r w:rsidR="00D02802">
        <w:rPr>
          <w:rFonts w:ascii="Times New Roman" w:eastAsia="Times New Roman" w:hAnsi="Times New Roman" w:cs="Times New Roman"/>
          <w:color w:val="212121"/>
          <w:sz w:val="24"/>
          <w:szCs w:val="24"/>
          <w:lang w:eastAsia="en-GB"/>
        </w:rPr>
        <w:t xml:space="preserve">Periodic </w:t>
      </w:r>
      <w:r w:rsidR="005F67F2">
        <w:rPr>
          <w:rFonts w:ascii="Times New Roman" w:eastAsia="Times New Roman" w:hAnsi="Times New Roman" w:cs="Times New Roman"/>
          <w:color w:val="212121"/>
          <w:sz w:val="24"/>
          <w:szCs w:val="24"/>
          <w:lang w:eastAsia="en-GB"/>
        </w:rPr>
        <w:t>proposals</w:t>
      </w:r>
      <w:r w:rsidR="00D02802">
        <w:rPr>
          <w:rFonts w:ascii="Times New Roman" w:eastAsia="Times New Roman" w:hAnsi="Times New Roman" w:cs="Times New Roman"/>
          <w:color w:val="212121"/>
          <w:sz w:val="24"/>
          <w:szCs w:val="24"/>
          <w:lang w:eastAsia="en-GB"/>
        </w:rPr>
        <w:t xml:space="preserve"> have been </w:t>
      </w:r>
      <w:r w:rsidR="005F67F2">
        <w:rPr>
          <w:rFonts w:ascii="Times New Roman" w:eastAsia="Times New Roman" w:hAnsi="Times New Roman" w:cs="Times New Roman"/>
          <w:color w:val="212121"/>
          <w:sz w:val="24"/>
          <w:szCs w:val="24"/>
          <w:lang w:eastAsia="en-GB"/>
        </w:rPr>
        <w:t>issued address</w:t>
      </w:r>
      <w:r w:rsidR="00D02802">
        <w:rPr>
          <w:rFonts w:ascii="Times New Roman" w:eastAsia="Times New Roman" w:hAnsi="Times New Roman" w:cs="Times New Roman"/>
          <w:color w:val="212121"/>
          <w:sz w:val="24"/>
          <w:szCs w:val="24"/>
          <w:lang w:eastAsia="en-GB"/>
        </w:rPr>
        <w:t xml:space="preserve"> to </w:t>
      </w:r>
      <w:r w:rsidR="005F67F2">
        <w:rPr>
          <w:rFonts w:ascii="Times New Roman" w:eastAsia="Times New Roman" w:hAnsi="Times New Roman" w:cs="Times New Roman"/>
          <w:color w:val="212121"/>
          <w:sz w:val="24"/>
          <w:szCs w:val="24"/>
          <w:lang w:eastAsia="en-GB"/>
        </w:rPr>
        <w:t xml:space="preserve">constitutional </w:t>
      </w:r>
      <w:r w:rsidR="00D02802">
        <w:rPr>
          <w:rFonts w:ascii="Times New Roman" w:eastAsia="Times New Roman" w:hAnsi="Times New Roman" w:cs="Times New Roman"/>
          <w:color w:val="212121"/>
          <w:sz w:val="24"/>
          <w:szCs w:val="24"/>
          <w:lang w:eastAsia="en-GB"/>
        </w:rPr>
        <w:t>asymmetries</w:t>
      </w:r>
      <w:r w:rsidR="00956595">
        <w:rPr>
          <w:rFonts w:ascii="Times New Roman" w:eastAsia="Times New Roman" w:hAnsi="Times New Roman" w:cs="Times New Roman"/>
          <w:color w:val="212121"/>
          <w:sz w:val="24"/>
          <w:szCs w:val="24"/>
          <w:lang w:eastAsia="en-GB"/>
        </w:rPr>
        <w:t xml:space="preserve"> (which presents a serious challenge given the relative size of England)</w:t>
      </w:r>
      <w:r w:rsidR="00D02802">
        <w:rPr>
          <w:rFonts w:ascii="Times New Roman" w:eastAsia="Times New Roman" w:hAnsi="Times New Roman" w:cs="Times New Roman"/>
          <w:color w:val="212121"/>
          <w:sz w:val="24"/>
          <w:szCs w:val="24"/>
          <w:lang w:eastAsia="en-GB"/>
        </w:rPr>
        <w:t xml:space="preserve">, including Welsh government </w:t>
      </w:r>
      <w:r w:rsidR="005F67F2">
        <w:rPr>
          <w:rFonts w:ascii="Times New Roman" w:eastAsia="Times New Roman" w:hAnsi="Times New Roman" w:cs="Times New Roman"/>
          <w:color w:val="212121"/>
          <w:sz w:val="24"/>
          <w:szCs w:val="24"/>
          <w:lang w:eastAsia="en-GB"/>
        </w:rPr>
        <w:t>suggestions</w:t>
      </w:r>
      <w:r w:rsidR="00D02802">
        <w:rPr>
          <w:rFonts w:ascii="Times New Roman" w:eastAsia="Times New Roman" w:hAnsi="Times New Roman" w:cs="Times New Roman"/>
          <w:color w:val="212121"/>
          <w:sz w:val="24"/>
          <w:szCs w:val="24"/>
          <w:lang w:eastAsia="en-GB"/>
        </w:rPr>
        <w:t xml:space="preserve"> to establish a UK Council of Ministers, with representation from each of the four governments, or earlier proposals for the introduction of a Minister for England within the UK government. </w:t>
      </w:r>
      <w:r w:rsidR="004033D1">
        <w:rPr>
          <w:rFonts w:ascii="Times New Roman" w:eastAsia="Times New Roman" w:hAnsi="Times New Roman" w:cs="Times New Roman"/>
          <w:color w:val="212121"/>
          <w:sz w:val="24"/>
          <w:szCs w:val="24"/>
          <w:lang w:eastAsia="en-GB"/>
        </w:rPr>
        <w:lastRenderedPageBreak/>
        <w:t>L</w:t>
      </w:r>
      <w:r w:rsidR="00A15BA2">
        <w:rPr>
          <w:rFonts w:ascii="Times New Roman" w:eastAsia="Times New Roman" w:hAnsi="Times New Roman" w:cs="Times New Roman"/>
          <w:color w:val="212121"/>
          <w:sz w:val="24"/>
          <w:szCs w:val="24"/>
          <w:lang w:eastAsia="en-GB"/>
        </w:rPr>
        <w:t>asting stability</w:t>
      </w:r>
      <w:r w:rsidR="00B208E3">
        <w:rPr>
          <w:rFonts w:ascii="Times New Roman" w:eastAsia="Times New Roman" w:hAnsi="Times New Roman" w:cs="Times New Roman"/>
          <w:color w:val="212121"/>
          <w:sz w:val="24"/>
          <w:szCs w:val="24"/>
          <w:lang w:eastAsia="en-GB"/>
        </w:rPr>
        <w:t xml:space="preserve"> with respect to both the management of the UK internal market</w:t>
      </w:r>
      <w:r w:rsidR="00E30B72">
        <w:rPr>
          <w:rFonts w:ascii="Times New Roman" w:eastAsia="Times New Roman" w:hAnsi="Times New Roman" w:cs="Times New Roman"/>
          <w:color w:val="212121"/>
          <w:sz w:val="24"/>
          <w:szCs w:val="24"/>
          <w:lang w:eastAsia="en-GB"/>
        </w:rPr>
        <w:t>, specifically,</w:t>
      </w:r>
      <w:r w:rsidR="00B208E3">
        <w:rPr>
          <w:rFonts w:ascii="Times New Roman" w:eastAsia="Times New Roman" w:hAnsi="Times New Roman" w:cs="Times New Roman"/>
          <w:color w:val="212121"/>
          <w:sz w:val="24"/>
          <w:szCs w:val="24"/>
          <w:lang w:eastAsia="en-GB"/>
        </w:rPr>
        <w:t xml:space="preserve"> and </w:t>
      </w:r>
      <w:r w:rsidR="00E30B72">
        <w:rPr>
          <w:rFonts w:ascii="Times New Roman" w:eastAsia="Times New Roman" w:hAnsi="Times New Roman" w:cs="Times New Roman"/>
          <w:color w:val="212121"/>
          <w:sz w:val="24"/>
          <w:szCs w:val="24"/>
          <w:lang w:eastAsia="en-GB"/>
        </w:rPr>
        <w:t>devolution, more broadly,</w:t>
      </w:r>
      <w:r w:rsidR="00A15BA2">
        <w:rPr>
          <w:rFonts w:ascii="Times New Roman" w:eastAsia="Times New Roman" w:hAnsi="Times New Roman" w:cs="Times New Roman"/>
          <w:color w:val="212121"/>
          <w:sz w:val="24"/>
          <w:szCs w:val="24"/>
          <w:lang w:eastAsia="en-GB"/>
        </w:rPr>
        <w:t xml:space="preserve"> </w:t>
      </w:r>
      <w:r w:rsidR="00E30B72">
        <w:rPr>
          <w:rFonts w:ascii="Times New Roman" w:eastAsia="Times New Roman" w:hAnsi="Times New Roman" w:cs="Times New Roman"/>
          <w:color w:val="212121"/>
          <w:sz w:val="24"/>
          <w:szCs w:val="24"/>
          <w:lang w:eastAsia="en-GB"/>
        </w:rPr>
        <w:t>requires</w:t>
      </w:r>
      <w:r w:rsidR="00B208E3">
        <w:rPr>
          <w:rFonts w:ascii="Times New Roman" w:eastAsia="Times New Roman" w:hAnsi="Times New Roman" w:cs="Times New Roman"/>
          <w:color w:val="212121"/>
          <w:sz w:val="24"/>
          <w:szCs w:val="24"/>
          <w:lang w:eastAsia="en-GB"/>
        </w:rPr>
        <w:t xml:space="preserve"> ambitious constitutional reform</w:t>
      </w:r>
      <w:r w:rsidR="00DD6D7D">
        <w:rPr>
          <w:rFonts w:ascii="Times New Roman" w:eastAsia="Times New Roman" w:hAnsi="Times New Roman" w:cs="Times New Roman"/>
          <w:color w:val="212121"/>
          <w:sz w:val="24"/>
          <w:szCs w:val="24"/>
          <w:lang w:eastAsia="en-GB"/>
        </w:rPr>
        <w:t>.</w:t>
      </w:r>
      <w:r w:rsidR="007F6316">
        <w:rPr>
          <w:rStyle w:val="FootnoteReference"/>
          <w:rFonts w:ascii="Times New Roman" w:eastAsia="Times New Roman" w:hAnsi="Times New Roman" w:cs="Times New Roman"/>
          <w:color w:val="212121"/>
          <w:sz w:val="24"/>
          <w:szCs w:val="24"/>
          <w:lang w:eastAsia="en-GB"/>
        </w:rPr>
        <w:footnoteReference w:id="147"/>
      </w:r>
    </w:p>
    <w:p w14:paraId="3E8D54D4" w14:textId="77777777" w:rsidR="007B127B" w:rsidRDefault="007B127B" w:rsidP="00040EFE">
      <w:pPr>
        <w:spacing w:before="240" w:line="360" w:lineRule="auto"/>
        <w:rPr>
          <w:rFonts w:ascii="Times New Roman" w:hAnsi="Times New Roman" w:cs="Times New Roman"/>
          <w:b/>
          <w:sz w:val="24"/>
        </w:rPr>
      </w:pPr>
    </w:p>
    <w:p w14:paraId="0BCE6CD2" w14:textId="6BA1F051" w:rsidR="00443822" w:rsidRDefault="00871A1C" w:rsidP="00040EFE">
      <w:pPr>
        <w:spacing w:before="240" w:line="360" w:lineRule="auto"/>
        <w:rPr>
          <w:rFonts w:ascii="Times New Roman" w:hAnsi="Times New Roman" w:cs="Times New Roman"/>
          <w:b/>
          <w:sz w:val="24"/>
        </w:rPr>
      </w:pPr>
      <w:r>
        <w:rPr>
          <w:rFonts w:ascii="Times New Roman" w:hAnsi="Times New Roman" w:cs="Times New Roman"/>
          <w:b/>
          <w:sz w:val="24"/>
        </w:rPr>
        <w:t xml:space="preserve">5. </w:t>
      </w:r>
      <w:r w:rsidR="00443822">
        <w:rPr>
          <w:rFonts w:ascii="Times New Roman" w:hAnsi="Times New Roman" w:cs="Times New Roman"/>
          <w:b/>
          <w:sz w:val="24"/>
        </w:rPr>
        <w:t xml:space="preserve">Conclusion </w:t>
      </w:r>
    </w:p>
    <w:p w14:paraId="0FBC60A6" w14:textId="0C15489F" w:rsidR="005C5B4B" w:rsidRDefault="000C6B4D" w:rsidP="005C5B4B">
      <w:pPr>
        <w:spacing w:after="0" w:line="360" w:lineRule="auto"/>
        <w:jc w:val="both"/>
        <w:rPr>
          <w:rFonts w:ascii="Times New Roman" w:hAnsi="Times New Roman" w:cs="Times New Roman"/>
          <w:sz w:val="24"/>
        </w:rPr>
      </w:pPr>
      <w:r>
        <w:rPr>
          <w:rFonts w:ascii="Times New Roman" w:hAnsi="Times New Roman" w:cs="Times New Roman"/>
          <w:sz w:val="24"/>
        </w:rPr>
        <w:t>With regard to</w:t>
      </w:r>
      <w:r w:rsidR="007666BB">
        <w:rPr>
          <w:rFonts w:ascii="Times New Roman" w:hAnsi="Times New Roman" w:cs="Times New Roman"/>
          <w:sz w:val="24"/>
        </w:rPr>
        <w:t xml:space="preserve"> matters of i</w:t>
      </w:r>
      <w:r w:rsidR="00806AED">
        <w:rPr>
          <w:rFonts w:ascii="Times New Roman" w:hAnsi="Times New Roman" w:cs="Times New Roman"/>
          <w:sz w:val="24"/>
        </w:rPr>
        <w:t>nternal market governance</w:t>
      </w:r>
      <w:r w:rsidR="007666BB">
        <w:rPr>
          <w:rFonts w:ascii="Times New Roman" w:hAnsi="Times New Roman" w:cs="Times New Roman"/>
          <w:sz w:val="24"/>
        </w:rPr>
        <w:t xml:space="preserve">, </w:t>
      </w:r>
      <w:r w:rsidR="005E46EA">
        <w:rPr>
          <w:rFonts w:ascii="Times New Roman" w:hAnsi="Times New Roman" w:cs="Times New Roman"/>
          <w:sz w:val="24"/>
        </w:rPr>
        <w:t xml:space="preserve">Brexit represents the continuation of a functional problem in a new political context. </w:t>
      </w:r>
      <w:r w:rsidR="004431E1">
        <w:rPr>
          <w:rFonts w:ascii="Times New Roman" w:hAnsi="Times New Roman" w:cs="Times New Roman"/>
          <w:sz w:val="24"/>
        </w:rPr>
        <w:t>Functionally, the</w:t>
      </w:r>
      <w:r w:rsidR="005E46EA">
        <w:rPr>
          <w:rFonts w:ascii="Times New Roman" w:hAnsi="Times New Roman" w:cs="Times New Roman"/>
          <w:sz w:val="24"/>
        </w:rPr>
        <w:t xml:space="preserve"> problem </w:t>
      </w:r>
      <w:r w:rsidR="0093733F">
        <w:rPr>
          <w:rFonts w:ascii="Times New Roman" w:hAnsi="Times New Roman" w:cs="Times New Roman"/>
          <w:sz w:val="24"/>
        </w:rPr>
        <w:t>remains</w:t>
      </w:r>
      <w:r w:rsidR="005E46EA">
        <w:rPr>
          <w:rFonts w:ascii="Times New Roman" w:hAnsi="Times New Roman" w:cs="Times New Roman"/>
          <w:sz w:val="24"/>
        </w:rPr>
        <w:t xml:space="preserve"> one of managing policy coordination (or the limits of policy divergence) within a political system that recognises distinct </w:t>
      </w:r>
      <w:r w:rsidR="00392B32">
        <w:rPr>
          <w:rFonts w:ascii="Times New Roman" w:hAnsi="Times New Roman" w:cs="Times New Roman"/>
          <w:sz w:val="24"/>
        </w:rPr>
        <w:t>sites</w:t>
      </w:r>
      <w:r w:rsidR="005E46EA">
        <w:rPr>
          <w:rFonts w:ascii="Times New Roman" w:hAnsi="Times New Roman" w:cs="Times New Roman"/>
          <w:sz w:val="24"/>
        </w:rPr>
        <w:t xml:space="preserve"> of political authority – in our</w:t>
      </w:r>
      <w:r w:rsidR="00392B32">
        <w:rPr>
          <w:rFonts w:ascii="Times New Roman" w:hAnsi="Times New Roman" w:cs="Times New Roman"/>
          <w:sz w:val="24"/>
        </w:rPr>
        <w:t xml:space="preserve"> </w:t>
      </w:r>
      <w:r w:rsidR="005E46EA">
        <w:rPr>
          <w:rFonts w:ascii="Times New Roman" w:hAnsi="Times New Roman" w:cs="Times New Roman"/>
          <w:sz w:val="24"/>
        </w:rPr>
        <w:t>example,</w:t>
      </w:r>
      <w:r w:rsidR="00672E56">
        <w:rPr>
          <w:rFonts w:ascii="Times New Roman" w:hAnsi="Times New Roman" w:cs="Times New Roman"/>
          <w:sz w:val="24"/>
        </w:rPr>
        <w:t xml:space="preserve"> arising</w:t>
      </w:r>
      <w:r w:rsidR="005E46EA">
        <w:rPr>
          <w:rFonts w:ascii="Times New Roman" w:hAnsi="Times New Roman" w:cs="Times New Roman"/>
          <w:sz w:val="24"/>
        </w:rPr>
        <w:t xml:space="preserve"> as a consequence of devolution. Brexit</w:t>
      </w:r>
      <w:r w:rsidR="00F16BB8">
        <w:rPr>
          <w:rFonts w:ascii="Times New Roman" w:hAnsi="Times New Roman" w:cs="Times New Roman"/>
          <w:sz w:val="24"/>
        </w:rPr>
        <w:t xml:space="preserve"> requires the UK and devolved governments to reach a new consensus around how to address that problem in a new</w:t>
      </w:r>
      <w:r w:rsidR="00F22BFE">
        <w:rPr>
          <w:rFonts w:ascii="Times New Roman" w:hAnsi="Times New Roman" w:cs="Times New Roman"/>
          <w:sz w:val="24"/>
        </w:rPr>
        <w:t>ly reconstructed</w:t>
      </w:r>
      <w:r w:rsidR="00F16BB8">
        <w:rPr>
          <w:rFonts w:ascii="Times New Roman" w:hAnsi="Times New Roman" w:cs="Times New Roman"/>
          <w:sz w:val="24"/>
        </w:rPr>
        <w:t xml:space="preserve"> domestic context.</w:t>
      </w:r>
      <w:r w:rsidR="009A4F78">
        <w:rPr>
          <w:rStyle w:val="FootnoteReference"/>
          <w:rFonts w:ascii="Times New Roman" w:hAnsi="Times New Roman" w:cs="Times New Roman"/>
          <w:sz w:val="24"/>
        </w:rPr>
        <w:footnoteReference w:id="148"/>
      </w:r>
      <w:r w:rsidR="00F16BB8">
        <w:rPr>
          <w:rFonts w:ascii="Times New Roman" w:hAnsi="Times New Roman" w:cs="Times New Roman"/>
          <w:sz w:val="24"/>
        </w:rPr>
        <w:t xml:space="preserve"> </w:t>
      </w:r>
    </w:p>
    <w:p w14:paraId="03040623" w14:textId="21AC5768" w:rsidR="00121200" w:rsidRPr="00DB6E56" w:rsidRDefault="00F16BB8" w:rsidP="00DB6E56">
      <w:pPr>
        <w:spacing w:after="0" w:line="360" w:lineRule="auto"/>
        <w:ind w:firstLine="720"/>
        <w:jc w:val="both"/>
        <w:rPr>
          <w:rFonts w:ascii="Times New Roman" w:hAnsi="Times New Roman" w:cs="Times New Roman"/>
          <w:sz w:val="24"/>
        </w:rPr>
      </w:pPr>
      <w:r>
        <w:rPr>
          <w:rFonts w:ascii="Times New Roman" w:hAnsi="Times New Roman" w:cs="Times New Roman"/>
          <w:sz w:val="24"/>
        </w:rPr>
        <w:t>In this contribution, we</w:t>
      </w:r>
      <w:r w:rsidR="000A11A0">
        <w:rPr>
          <w:rFonts w:ascii="Times New Roman" w:hAnsi="Times New Roman" w:cs="Times New Roman"/>
          <w:sz w:val="24"/>
        </w:rPr>
        <w:t xml:space="preserve"> have drawn on </w:t>
      </w:r>
      <w:r w:rsidR="00672E56">
        <w:rPr>
          <w:rFonts w:ascii="Times New Roman" w:hAnsi="Times New Roman" w:cs="Times New Roman"/>
          <w:sz w:val="24"/>
        </w:rPr>
        <w:t>distinctions between</w:t>
      </w:r>
      <w:r w:rsidR="000A11A0">
        <w:rPr>
          <w:rFonts w:ascii="Times New Roman" w:hAnsi="Times New Roman" w:cs="Times New Roman"/>
          <w:sz w:val="24"/>
        </w:rPr>
        <w:t xml:space="preserve"> positive and negative </w:t>
      </w:r>
      <w:r w:rsidR="00F1182B">
        <w:rPr>
          <w:rFonts w:ascii="Times New Roman" w:hAnsi="Times New Roman" w:cs="Times New Roman"/>
          <w:sz w:val="24"/>
        </w:rPr>
        <w:t>harmonisation</w:t>
      </w:r>
      <w:r w:rsidR="000A11A0">
        <w:rPr>
          <w:rFonts w:ascii="Times New Roman" w:hAnsi="Times New Roman" w:cs="Times New Roman"/>
          <w:sz w:val="24"/>
        </w:rPr>
        <w:t xml:space="preserve"> and related perspectives on self and shared rule</w:t>
      </w:r>
      <w:r w:rsidR="00672E56">
        <w:rPr>
          <w:rFonts w:ascii="Times New Roman" w:hAnsi="Times New Roman" w:cs="Times New Roman"/>
          <w:sz w:val="24"/>
        </w:rPr>
        <w:t xml:space="preserve"> </w:t>
      </w:r>
      <w:r w:rsidR="000A11A0">
        <w:rPr>
          <w:rFonts w:ascii="Times New Roman" w:hAnsi="Times New Roman" w:cs="Times New Roman"/>
          <w:sz w:val="24"/>
        </w:rPr>
        <w:t xml:space="preserve">to reflect on progress towards </w:t>
      </w:r>
      <w:r w:rsidR="00672E56">
        <w:rPr>
          <w:rFonts w:ascii="Times New Roman" w:hAnsi="Times New Roman" w:cs="Times New Roman"/>
          <w:sz w:val="24"/>
        </w:rPr>
        <w:t>achieving a new consensus</w:t>
      </w:r>
      <w:r w:rsidR="000A11A0">
        <w:rPr>
          <w:rFonts w:ascii="Times New Roman" w:hAnsi="Times New Roman" w:cs="Times New Roman"/>
          <w:sz w:val="24"/>
        </w:rPr>
        <w:t xml:space="preserve">. The results of </w:t>
      </w:r>
      <w:r w:rsidR="00672E56">
        <w:rPr>
          <w:rFonts w:ascii="Times New Roman" w:hAnsi="Times New Roman" w:cs="Times New Roman"/>
          <w:sz w:val="24"/>
        </w:rPr>
        <w:t>our</w:t>
      </w:r>
      <w:r w:rsidR="000A11A0">
        <w:rPr>
          <w:rFonts w:ascii="Times New Roman" w:hAnsi="Times New Roman" w:cs="Times New Roman"/>
          <w:sz w:val="24"/>
        </w:rPr>
        <w:t xml:space="preserve"> enquiry demonstrate the</w:t>
      </w:r>
      <w:r w:rsidR="00392B32">
        <w:rPr>
          <w:rFonts w:ascii="Times New Roman" w:hAnsi="Times New Roman" w:cs="Times New Roman"/>
          <w:sz w:val="24"/>
        </w:rPr>
        <w:t xml:space="preserve"> disruptive</w:t>
      </w:r>
      <w:r w:rsidR="000A11A0">
        <w:rPr>
          <w:rFonts w:ascii="Times New Roman" w:hAnsi="Times New Roman" w:cs="Times New Roman"/>
          <w:sz w:val="24"/>
        </w:rPr>
        <w:t xml:space="preserve"> impact of removing EU principles and structures on the </w:t>
      </w:r>
      <w:r w:rsidR="00672E56">
        <w:rPr>
          <w:rFonts w:ascii="Times New Roman" w:hAnsi="Times New Roman" w:cs="Times New Roman"/>
          <w:sz w:val="24"/>
        </w:rPr>
        <w:t xml:space="preserve">establishment and </w:t>
      </w:r>
      <w:r w:rsidR="000A11A0">
        <w:rPr>
          <w:rFonts w:ascii="Times New Roman" w:hAnsi="Times New Roman" w:cs="Times New Roman"/>
          <w:sz w:val="24"/>
        </w:rPr>
        <w:t>effective functioning of</w:t>
      </w:r>
      <w:r w:rsidR="00392B32">
        <w:rPr>
          <w:rFonts w:ascii="Times New Roman" w:hAnsi="Times New Roman" w:cs="Times New Roman"/>
          <w:sz w:val="24"/>
        </w:rPr>
        <w:t xml:space="preserve"> </w:t>
      </w:r>
      <w:r w:rsidR="00672E56">
        <w:rPr>
          <w:rFonts w:ascii="Times New Roman" w:hAnsi="Times New Roman" w:cs="Times New Roman"/>
          <w:sz w:val="24"/>
        </w:rPr>
        <w:t xml:space="preserve">new </w:t>
      </w:r>
      <w:r w:rsidR="00392B32">
        <w:rPr>
          <w:rFonts w:ascii="Times New Roman" w:hAnsi="Times New Roman" w:cs="Times New Roman"/>
          <w:sz w:val="24"/>
        </w:rPr>
        <w:t>domestic</w:t>
      </w:r>
      <w:r w:rsidR="000A11A0">
        <w:rPr>
          <w:rFonts w:ascii="Times New Roman" w:hAnsi="Times New Roman" w:cs="Times New Roman"/>
          <w:sz w:val="24"/>
        </w:rPr>
        <w:t xml:space="preserve"> mechanisms for positive and negative harmonisation</w:t>
      </w:r>
      <w:r w:rsidR="00672E56">
        <w:rPr>
          <w:rFonts w:ascii="Times New Roman" w:hAnsi="Times New Roman" w:cs="Times New Roman"/>
          <w:sz w:val="24"/>
        </w:rPr>
        <w:t xml:space="preserve"> post-Brexit</w:t>
      </w:r>
      <w:r w:rsidR="000A11A0">
        <w:rPr>
          <w:rFonts w:ascii="Times New Roman" w:hAnsi="Times New Roman" w:cs="Times New Roman"/>
          <w:sz w:val="24"/>
        </w:rPr>
        <w:t xml:space="preserve">. Without the disciplinary effects of EU frameworks, </w:t>
      </w:r>
      <w:r w:rsidR="00E22D98">
        <w:rPr>
          <w:rFonts w:ascii="Times New Roman" w:hAnsi="Times New Roman" w:cs="Times New Roman"/>
          <w:sz w:val="24"/>
        </w:rPr>
        <w:t xml:space="preserve">efforts to establish </w:t>
      </w:r>
      <w:r w:rsidR="00672E56">
        <w:rPr>
          <w:rFonts w:ascii="Times New Roman" w:hAnsi="Times New Roman" w:cs="Times New Roman"/>
          <w:sz w:val="24"/>
        </w:rPr>
        <w:t>replacement</w:t>
      </w:r>
      <w:r w:rsidR="00E22D98">
        <w:rPr>
          <w:rFonts w:ascii="Times New Roman" w:hAnsi="Times New Roman" w:cs="Times New Roman"/>
          <w:sz w:val="24"/>
        </w:rPr>
        <w:t xml:space="preserve"> mechanisms </w:t>
      </w:r>
      <w:r w:rsidR="00672E56">
        <w:rPr>
          <w:rFonts w:ascii="Times New Roman" w:hAnsi="Times New Roman" w:cs="Times New Roman"/>
          <w:sz w:val="24"/>
        </w:rPr>
        <w:t>to manage</w:t>
      </w:r>
      <w:r w:rsidR="00E22D98">
        <w:rPr>
          <w:rFonts w:ascii="Times New Roman" w:hAnsi="Times New Roman" w:cs="Times New Roman"/>
          <w:sz w:val="24"/>
        </w:rPr>
        <w:t xml:space="preserve"> domestic internal market governance </w:t>
      </w:r>
      <w:r w:rsidR="005C5B4B">
        <w:rPr>
          <w:rFonts w:ascii="Times New Roman" w:hAnsi="Times New Roman" w:cs="Times New Roman"/>
          <w:sz w:val="24"/>
        </w:rPr>
        <w:t xml:space="preserve">are </w:t>
      </w:r>
      <w:r w:rsidR="00E22D98">
        <w:rPr>
          <w:rFonts w:ascii="Times New Roman" w:hAnsi="Times New Roman" w:cs="Times New Roman"/>
          <w:sz w:val="24"/>
        </w:rPr>
        <w:t>struggl</w:t>
      </w:r>
      <w:r w:rsidR="005C5B4B">
        <w:rPr>
          <w:rFonts w:ascii="Times New Roman" w:hAnsi="Times New Roman" w:cs="Times New Roman"/>
          <w:sz w:val="24"/>
        </w:rPr>
        <w:t>ing</w:t>
      </w:r>
      <w:r w:rsidR="00E22D98">
        <w:rPr>
          <w:rFonts w:ascii="Times New Roman" w:hAnsi="Times New Roman" w:cs="Times New Roman"/>
          <w:sz w:val="24"/>
        </w:rPr>
        <w:t xml:space="preserve"> </w:t>
      </w:r>
      <w:r w:rsidR="00392B32">
        <w:rPr>
          <w:rFonts w:ascii="Times New Roman" w:hAnsi="Times New Roman" w:cs="Times New Roman"/>
          <w:sz w:val="24"/>
        </w:rPr>
        <w:t>to gain</w:t>
      </w:r>
      <w:r w:rsidR="00E22D98">
        <w:rPr>
          <w:rFonts w:ascii="Times New Roman" w:hAnsi="Times New Roman" w:cs="Times New Roman"/>
          <w:sz w:val="24"/>
        </w:rPr>
        <w:t xml:space="preserve"> traction</w:t>
      </w:r>
      <w:r w:rsidR="005C5B4B">
        <w:rPr>
          <w:rFonts w:ascii="Times New Roman" w:hAnsi="Times New Roman" w:cs="Times New Roman"/>
          <w:sz w:val="24"/>
        </w:rPr>
        <w:t xml:space="preserve">. </w:t>
      </w:r>
      <w:r w:rsidR="00672E56">
        <w:rPr>
          <w:rFonts w:ascii="Times New Roman" w:hAnsi="Times New Roman" w:cs="Times New Roman"/>
          <w:sz w:val="24"/>
        </w:rPr>
        <w:t xml:space="preserve">Detached from the EU as a system of multilevel governance, </w:t>
      </w:r>
      <w:r w:rsidR="00392B32">
        <w:rPr>
          <w:rFonts w:ascii="Times New Roman" w:hAnsi="Times New Roman" w:cs="Times New Roman"/>
          <w:sz w:val="24"/>
        </w:rPr>
        <w:t>t</w:t>
      </w:r>
      <w:r w:rsidR="005C5B4B">
        <w:rPr>
          <w:rFonts w:ascii="Times New Roman" w:hAnsi="Times New Roman" w:cs="Times New Roman"/>
          <w:sz w:val="24"/>
        </w:rPr>
        <w:t>he UK constitution appears fundamentally unable to manage strengthening claims to self-rule from Cardiff and Edinburgh through new instruments of positive and negative harmonisation</w:t>
      </w:r>
      <w:r w:rsidR="00672E56">
        <w:rPr>
          <w:rFonts w:ascii="Times New Roman" w:hAnsi="Times New Roman" w:cs="Times New Roman"/>
          <w:sz w:val="24"/>
        </w:rPr>
        <w:t xml:space="preserve">. </w:t>
      </w:r>
      <w:r w:rsidR="00D12CF9">
        <w:rPr>
          <w:rFonts w:ascii="Times New Roman" w:hAnsi="Times New Roman" w:cs="Times New Roman"/>
          <w:sz w:val="24"/>
        </w:rPr>
        <w:t xml:space="preserve">The problem is not </w:t>
      </w:r>
      <w:r w:rsidR="00121200">
        <w:rPr>
          <w:rFonts w:ascii="Times New Roman" w:hAnsi="Times New Roman" w:cs="Times New Roman"/>
          <w:sz w:val="24"/>
        </w:rPr>
        <w:t>simply one of differing political parties governing the UK and devolved nations, respectively. Even if political alignment across the four nations</w:t>
      </w:r>
      <w:r w:rsidR="00D34521">
        <w:rPr>
          <w:rFonts w:ascii="Times New Roman" w:hAnsi="Times New Roman" w:cs="Times New Roman"/>
          <w:sz w:val="24"/>
        </w:rPr>
        <w:t xml:space="preserve"> should</w:t>
      </w:r>
      <w:r w:rsidR="00121200">
        <w:rPr>
          <w:rFonts w:ascii="Times New Roman" w:hAnsi="Times New Roman" w:cs="Times New Roman"/>
          <w:sz w:val="24"/>
        </w:rPr>
        <w:t xml:space="preserve"> increase in the future</w:t>
      </w:r>
      <w:r w:rsidR="007B127B">
        <w:rPr>
          <w:rFonts w:ascii="Times New Roman" w:hAnsi="Times New Roman" w:cs="Times New Roman"/>
          <w:sz w:val="24"/>
        </w:rPr>
        <w:t xml:space="preserve"> </w:t>
      </w:r>
      <w:r w:rsidR="007B127B" w:rsidRPr="007B127B">
        <w:rPr>
          <w:rFonts w:ascii="Times New Roman" w:hAnsi="Times New Roman" w:cs="Times New Roman"/>
          <w:sz w:val="24"/>
        </w:rPr>
        <w:t xml:space="preserve">(eg as </w:t>
      </w:r>
      <w:r w:rsidR="007B127B">
        <w:rPr>
          <w:rFonts w:ascii="Times New Roman" w:hAnsi="Times New Roman" w:cs="Times New Roman"/>
          <w:sz w:val="24"/>
        </w:rPr>
        <w:t>a</w:t>
      </w:r>
      <w:r w:rsidR="007B127B" w:rsidRPr="007B127B">
        <w:rPr>
          <w:rFonts w:ascii="Times New Roman" w:hAnsi="Times New Roman" w:cs="Times New Roman"/>
          <w:sz w:val="24"/>
        </w:rPr>
        <w:t xml:space="preserve"> result of a change in UK government)</w:t>
      </w:r>
      <w:r w:rsidR="00121200">
        <w:rPr>
          <w:rFonts w:ascii="Times New Roman" w:hAnsi="Times New Roman" w:cs="Times New Roman"/>
          <w:sz w:val="24"/>
        </w:rPr>
        <w:t xml:space="preserve">, fair-weather governance </w:t>
      </w:r>
      <w:r w:rsidR="00D34521">
        <w:rPr>
          <w:rFonts w:ascii="Times New Roman" w:hAnsi="Times New Roman" w:cs="Times New Roman"/>
          <w:sz w:val="24"/>
        </w:rPr>
        <w:t>is</w:t>
      </w:r>
      <w:r w:rsidR="00121200">
        <w:rPr>
          <w:rFonts w:ascii="Times New Roman" w:hAnsi="Times New Roman" w:cs="Times New Roman"/>
          <w:sz w:val="24"/>
        </w:rPr>
        <w:t xml:space="preserve"> an impoverished basis for effective constitutional functioning. What is </w:t>
      </w:r>
      <w:r w:rsidR="00121200" w:rsidRPr="00DB6E56">
        <w:rPr>
          <w:rFonts w:ascii="Times New Roman" w:hAnsi="Times New Roman" w:cs="Times New Roman"/>
          <w:sz w:val="24"/>
        </w:rPr>
        <w:t xml:space="preserve">missing are robust institutional structures for shared rule to manage intra-UK policy divergence. This </w:t>
      </w:r>
      <w:r w:rsidR="00AF3CBC">
        <w:rPr>
          <w:rFonts w:ascii="Times New Roman" w:hAnsi="Times New Roman" w:cs="Times New Roman"/>
          <w:sz w:val="24"/>
        </w:rPr>
        <w:t xml:space="preserve">is </w:t>
      </w:r>
      <w:r w:rsidR="00DB6E56">
        <w:rPr>
          <w:rFonts w:ascii="Times New Roman" w:hAnsi="Times New Roman" w:cs="Times New Roman"/>
          <w:sz w:val="24"/>
        </w:rPr>
        <w:t>not a new problem, but one</w:t>
      </w:r>
      <w:r w:rsidR="00DB6E56" w:rsidRPr="00DB6E56">
        <w:rPr>
          <w:rFonts w:ascii="Times New Roman" w:hAnsi="Times New Roman" w:cs="Times New Roman"/>
          <w:sz w:val="24"/>
        </w:rPr>
        <w:t xml:space="preserve"> that has emerged, post-Brexit, as </w:t>
      </w:r>
      <w:r w:rsidR="00121200" w:rsidRPr="00DB6E56">
        <w:rPr>
          <w:rFonts w:ascii="Times New Roman" w:hAnsi="Times New Roman" w:cs="Times New Roman"/>
          <w:sz w:val="24"/>
        </w:rPr>
        <w:t xml:space="preserve">a </w:t>
      </w:r>
      <w:r w:rsidR="005E33F2">
        <w:rPr>
          <w:rFonts w:ascii="Times New Roman" w:hAnsi="Times New Roman" w:cs="Times New Roman"/>
          <w:sz w:val="24"/>
        </w:rPr>
        <w:t xml:space="preserve">(if not, </w:t>
      </w:r>
      <w:r w:rsidR="005E33F2" w:rsidRPr="005E33F2">
        <w:rPr>
          <w:rFonts w:ascii="Times New Roman" w:hAnsi="Times New Roman" w:cs="Times New Roman"/>
          <w:i/>
          <w:sz w:val="24"/>
        </w:rPr>
        <w:t>the</w:t>
      </w:r>
      <w:r w:rsidR="005E33F2">
        <w:rPr>
          <w:rFonts w:ascii="Times New Roman" w:hAnsi="Times New Roman" w:cs="Times New Roman"/>
          <w:sz w:val="24"/>
        </w:rPr>
        <w:t>)</w:t>
      </w:r>
      <w:r w:rsidR="005E33F2" w:rsidRPr="00DB6E56">
        <w:rPr>
          <w:rFonts w:ascii="Times New Roman" w:hAnsi="Times New Roman" w:cs="Times New Roman"/>
          <w:sz w:val="24"/>
        </w:rPr>
        <w:t xml:space="preserve"> </w:t>
      </w:r>
      <w:r w:rsidR="00121200" w:rsidRPr="00DB6E56">
        <w:rPr>
          <w:rFonts w:ascii="Times New Roman" w:hAnsi="Times New Roman" w:cs="Times New Roman"/>
          <w:sz w:val="24"/>
        </w:rPr>
        <w:t>defining</w:t>
      </w:r>
      <w:r w:rsidR="005E33F2">
        <w:rPr>
          <w:rFonts w:ascii="Times New Roman" w:hAnsi="Times New Roman" w:cs="Times New Roman"/>
          <w:sz w:val="24"/>
        </w:rPr>
        <w:t xml:space="preserve"> </w:t>
      </w:r>
      <w:r w:rsidR="00121200" w:rsidRPr="00DB6E56">
        <w:rPr>
          <w:rFonts w:ascii="Times New Roman" w:hAnsi="Times New Roman" w:cs="Times New Roman"/>
          <w:sz w:val="24"/>
        </w:rPr>
        <w:t>challenge for the</w:t>
      </w:r>
      <w:r w:rsidR="005E33F2">
        <w:rPr>
          <w:rFonts w:ascii="Times New Roman" w:hAnsi="Times New Roman" w:cs="Times New Roman"/>
          <w:sz w:val="24"/>
        </w:rPr>
        <w:t xml:space="preserve"> </w:t>
      </w:r>
      <w:r w:rsidR="00121200" w:rsidRPr="00DB6E56">
        <w:rPr>
          <w:rFonts w:ascii="Times New Roman" w:hAnsi="Times New Roman" w:cs="Times New Roman"/>
          <w:sz w:val="24"/>
        </w:rPr>
        <w:t>UK constitution</w:t>
      </w:r>
      <w:r w:rsidR="00DB6E56" w:rsidRPr="00DB6E56">
        <w:rPr>
          <w:rFonts w:ascii="Times New Roman" w:hAnsi="Times New Roman" w:cs="Times New Roman"/>
          <w:sz w:val="24"/>
        </w:rPr>
        <w:t>.</w:t>
      </w:r>
      <w:r w:rsidR="00DB6E56">
        <w:rPr>
          <w:rStyle w:val="FootnoteReference"/>
          <w:rFonts w:ascii="Times New Roman" w:hAnsi="Times New Roman" w:cs="Times New Roman"/>
          <w:sz w:val="24"/>
        </w:rPr>
        <w:footnoteReference w:id="149"/>
      </w:r>
    </w:p>
    <w:p w14:paraId="34199BA1" w14:textId="5A750E6C" w:rsidR="005E33F2" w:rsidRPr="00443822" w:rsidRDefault="005C5B4B" w:rsidP="001D2EC4">
      <w:pPr>
        <w:tabs>
          <w:tab w:val="left" w:pos="2694"/>
        </w:tabs>
        <w:spacing w:line="360" w:lineRule="auto"/>
        <w:ind w:firstLine="720"/>
        <w:jc w:val="both"/>
        <w:rPr>
          <w:rFonts w:ascii="Times New Roman" w:hAnsi="Times New Roman" w:cs="Times New Roman"/>
          <w:sz w:val="24"/>
        </w:rPr>
      </w:pPr>
      <w:r w:rsidRPr="00DB6E56">
        <w:rPr>
          <w:rFonts w:ascii="Times New Roman" w:hAnsi="Times New Roman" w:cs="Times New Roman"/>
          <w:sz w:val="24"/>
        </w:rPr>
        <w:lastRenderedPageBreak/>
        <w:t xml:space="preserve">The Common Frameworks </w:t>
      </w:r>
      <w:r w:rsidR="00D05CA0" w:rsidRPr="00DB6E56">
        <w:rPr>
          <w:rFonts w:ascii="Times New Roman" w:hAnsi="Times New Roman" w:cs="Times New Roman"/>
          <w:sz w:val="24"/>
        </w:rPr>
        <w:t xml:space="preserve">stand out as the clearest attempt </w:t>
      </w:r>
      <w:r w:rsidR="000C43A5" w:rsidRPr="00DB6E56">
        <w:rPr>
          <w:rFonts w:ascii="Times New Roman" w:hAnsi="Times New Roman" w:cs="Times New Roman"/>
          <w:sz w:val="24"/>
        </w:rPr>
        <w:t xml:space="preserve">thus far </w:t>
      </w:r>
      <w:r w:rsidR="00D05CA0" w:rsidRPr="00DB6E56">
        <w:rPr>
          <w:rFonts w:ascii="Times New Roman" w:hAnsi="Times New Roman" w:cs="Times New Roman"/>
          <w:sz w:val="24"/>
        </w:rPr>
        <w:t>to balance self- and shared rule within the constraints of the present constitutional settlement.</w:t>
      </w:r>
      <w:r w:rsidR="00DB6E56">
        <w:rPr>
          <w:rFonts w:ascii="Times New Roman" w:hAnsi="Times New Roman" w:cs="Times New Roman"/>
          <w:sz w:val="24"/>
        </w:rPr>
        <w:t xml:space="preserve"> Initially introduced with little enthusiasm in response to the UK government’s proposals to repatriate EU competences, the Frameworks appear now to be emerging as the devolved governments’ preferred instruments </w:t>
      </w:r>
      <w:r w:rsidR="00D34521">
        <w:rPr>
          <w:rFonts w:ascii="Times New Roman" w:hAnsi="Times New Roman" w:cs="Times New Roman"/>
          <w:sz w:val="24"/>
        </w:rPr>
        <w:t>for</w:t>
      </w:r>
      <w:r w:rsidR="00DB6E56">
        <w:rPr>
          <w:rFonts w:ascii="Times New Roman" w:hAnsi="Times New Roman" w:cs="Times New Roman"/>
          <w:sz w:val="24"/>
        </w:rPr>
        <w:t xml:space="preserve"> manag</w:t>
      </w:r>
      <w:r w:rsidR="00D34521">
        <w:rPr>
          <w:rFonts w:ascii="Times New Roman" w:hAnsi="Times New Roman" w:cs="Times New Roman"/>
          <w:sz w:val="24"/>
        </w:rPr>
        <w:t>ing</w:t>
      </w:r>
      <w:r w:rsidR="00DB6E56">
        <w:rPr>
          <w:rFonts w:ascii="Times New Roman" w:hAnsi="Times New Roman" w:cs="Times New Roman"/>
          <w:sz w:val="24"/>
        </w:rPr>
        <w:t xml:space="preserve"> regulatory divergence post-Brexit, not least following the introduction of the UKIMA</w:t>
      </w:r>
      <w:r w:rsidR="00D34521">
        <w:rPr>
          <w:rFonts w:ascii="Times New Roman" w:hAnsi="Times New Roman" w:cs="Times New Roman"/>
          <w:sz w:val="24"/>
        </w:rPr>
        <w:t xml:space="preserve"> with its distinctly deregulatory rules on market access</w:t>
      </w:r>
      <w:r w:rsidR="00DB6E56">
        <w:rPr>
          <w:rFonts w:ascii="Times New Roman" w:hAnsi="Times New Roman" w:cs="Times New Roman"/>
          <w:sz w:val="24"/>
        </w:rPr>
        <w:t>. Conceptually, the Frameworks represent a continuation of pre-existing mechanisms for intergovernmental cooperation.</w:t>
      </w:r>
      <w:r w:rsidR="005E33F2">
        <w:rPr>
          <w:rFonts w:ascii="Times New Roman" w:hAnsi="Times New Roman" w:cs="Times New Roman"/>
          <w:sz w:val="24"/>
        </w:rPr>
        <w:t xml:space="preserve"> However, in contrast to earlier instruments that </w:t>
      </w:r>
      <w:r w:rsidR="00D34521">
        <w:rPr>
          <w:rFonts w:ascii="Times New Roman" w:hAnsi="Times New Roman" w:cs="Times New Roman"/>
          <w:sz w:val="24"/>
        </w:rPr>
        <w:t>were often largely technical in nature</w:t>
      </w:r>
      <w:r w:rsidR="005E33F2">
        <w:rPr>
          <w:rFonts w:ascii="Times New Roman" w:hAnsi="Times New Roman" w:cs="Times New Roman"/>
          <w:sz w:val="24"/>
        </w:rPr>
        <w:t xml:space="preserve">, the Common Frameworks are now </w:t>
      </w:r>
      <w:r w:rsidR="00D34521">
        <w:rPr>
          <w:rFonts w:ascii="Times New Roman" w:hAnsi="Times New Roman" w:cs="Times New Roman"/>
          <w:sz w:val="24"/>
        </w:rPr>
        <w:t xml:space="preserve">required to discharge highly </w:t>
      </w:r>
      <w:r w:rsidR="005E33F2">
        <w:rPr>
          <w:rFonts w:ascii="Times New Roman" w:hAnsi="Times New Roman" w:cs="Times New Roman"/>
          <w:sz w:val="24"/>
        </w:rPr>
        <w:t xml:space="preserve">politicised functions </w:t>
      </w:r>
      <w:r w:rsidR="00D34521">
        <w:rPr>
          <w:rFonts w:ascii="Times New Roman" w:hAnsi="Times New Roman" w:cs="Times New Roman"/>
          <w:sz w:val="24"/>
        </w:rPr>
        <w:t>across</w:t>
      </w:r>
      <w:r w:rsidR="005E33F2">
        <w:rPr>
          <w:rFonts w:ascii="Times New Roman" w:hAnsi="Times New Roman" w:cs="Times New Roman"/>
          <w:sz w:val="24"/>
        </w:rPr>
        <w:t xml:space="preserve"> wide-rang</w:t>
      </w:r>
      <w:r w:rsidR="00D34521">
        <w:rPr>
          <w:rFonts w:ascii="Times New Roman" w:hAnsi="Times New Roman" w:cs="Times New Roman"/>
          <w:sz w:val="24"/>
        </w:rPr>
        <w:t>ing spheres</w:t>
      </w:r>
      <w:r w:rsidR="005E33F2">
        <w:rPr>
          <w:rFonts w:ascii="Times New Roman" w:hAnsi="Times New Roman" w:cs="Times New Roman"/>
          <w:sz w:val="24"/>
        </w:rPr>
        <w:t xml:space="preserve"> of devolved policymaking.</w:t>
      </w:r>
      <w:r w:rsidR="00D34521">
        <w:rPr>
          <w:rFonts w:ascii="Times New Roman" w:hAnsi="Times New Roman" w:cs="Times New Roman"/>
          <w:sz w:val="24"/>
        </w:rPr>
        <w:t xml:space="preserve"> </w:t>
      </w:r>
      <w:r w:rsidR="001D2EC4">
        <w:rPr>
          <w:rFonts w:ascii="Times New Roman" w:hAnsi="Times New Roman" w:cs="Times New Roman"/>
          <w:sz w:val="24"/>
        </w:rPr>
        <w:t>S</w:t>
      </w:r>
      <w:r w:rsidR="00D34521">
        <w:rPr>
          <w:rFonts w:ascii="Times New Roman" w:hAnsi="Times New Roman" w:cs="Times New Roman"/>
          <w:sz w:val="24"/>
        </w:rPr>
        <w:t>tructural biases and attitudinal distortions inherent in the UK’s present constitutional settlement</w:t>
      </w:r>
      <w:r w:rsidR="001D2EC4">
        <w:rPr>
          <w:rFonts w:ascii="Times New Roman" w:hAnsi="Times New Roman" w:cs="Times New Roman"/>
          <w:sz w:val="24"/>
        </w:rPr>
        <w:t xml:space="preserve"> inherently undermine their capacity to do so effectively as potential positive harmonisation instruments by privileging UK government control by default. </w:t>
      </w:r>
      <w:r w:rsidR="005E33F2">
        <w:rPr>
          <w:rFonts w:ascii="Times New Roman" w:hAnsi="Times New Roman" w:cs="Times New Roman"/>
          <w:sz w:val="24"/>
        </w:rPr>
        <w:t>The Scottish government’s efforts to diverge in relation to managing the circular economy exemplifies</w:t>
      </w:r>
      <w:r w:rsidR="00D34521">
        <w:rPr>
          <w:rFonts w:ascii="Times New Roman" w:hAnsi="Times New Roman" w:cs="Times New Roman"/>
          <w:sz w:val="24"/>
        </w:rPr>
        <w:t xml:space="preserve"> the practical effects of</w:t>
      </w:r>
      <w:r w:rsidR="005E33F2">
        <w:rPr>
          <w:rFonts w:ascii="Times New Roman" w:hAnsi="Times New Roman" w:cs="Times New Roman"/>
          <w:sz w:val="24"/>
        </w:rPr>
        <w:t xml:space="preserve"> these biases and distortions. Future efforts to pursue intra-UK regulatory divergence in other areas </w:t>
      </w:r>
      <w:r w:rsidR="00D34521">
        <w:rPr>
          <w:rFonts w:ascii="Times New Roman" w:hAnsi="Times New Roman" w:cs="Times New Roman"/>
          <w:sz w:val="24"/>
        </w:rPr>
        <w:t xml:space="preserve">of devolved policymaking </w:t>
      </w:r>
      <w:r w:rsidR="005E33F2">
        <w:rPr>
          <w:rFonts w:ascii="Times New Roman" w:hAnsi="Times New Roman" w:cs="Times New Roman"/>
          <w:sz w:val="24"/>
        </w:rPr>
        <w:t xml:space="preserve">will only further increase tensions to the point where the old constitution may finally snap, threatening the integrity of the Union. </w:t>
      </w:r>
    </w:p>
    <w:p w14:paraId="05F86800" w14:textId="477023C8" w:rsidR="005E33F2" w:rsidRDefault="005E33F2" w:rsidP="005E33F2">
      <w:pPr>
        <w:spacing w:line="360" w:lineRule="auto"/>
        <w:ind w:firstLine="720"/>
        <w:jc w:val="both"/>
        <w:rPr>
          <w:rFonts w:ascii="Times New Roman" w:hAnsi="Times New Roman" w:cs="Times New Roman"/>
          <w:sz w:val="24"/>
        </w:rPr>
      </w:pPr>
    </w:p>
    <w:p w14:paraId="356FA135" w14:textId="77777777" w:rsidR="0075282B" w:rsidRPr="00443822" w:rsidRDefault="0075282B" w:rsidP="0075282B">
      <w:pPr>
        <w:spacing w:line="360" w:lineRule="auto"/>
        <w:jc w:val="both"/>
        <w:rPr>
          <w:rFonts w:ascii="Times New Roman" w:hAnsi="Times New Roman" w:cs="Times New Roman"/>
          <w:sz w:val="24"/>
        </w:rPr>
      </w:pPr>
    </w:p>
    <w:sectPr w:rsidR="0075282B" w:rsidRPr="00443822" w:rsidSect="00197130">
      <w:headerReference w:type="default" r:id="rId11"/>
      <w:footerReference w:type="default" r:id="rId12"/>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FE176" w16cex:dateUtc="2023-09-28T10:26:00Z"/>
  <w16cex:commentExtensible w16cex:durableId="28BFE3CD" w16cex:dateUtc="2023-09-28T10:36:00Z"/>
  <w16cex:commentExtensible w16cex:durableId="28BFEF81" w16cex:dateUtc="2023-09-28T11:26:00Z"/>
  <w16cex:commentExtensible w16cex:durableId="28BFF411" w16cex:dateUtc="2023-09-28T11:46:00Z"/>
  <w16cex:commentExtensible w16cex:durableId="28BFF8B4" w16cex:dateUtc="2023-09-28T12:05:00Z"/>
  <w16cex:commentExtensible w16cex:durableId="28BFFB8D" w16cex:dateUtc="2023-09-28T12:18:00Z"/>
  <w16cex:commentExtensible w16cex:durableId="28BFFDFA" w16cex:dateUtc="2023-09-28T12:28:00Z"/>
  <w16cex:commentExtensible w16cex:durableId="28BFFF12" w16cex:dateUtc="2023-09-28T12: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E90DB" w14:textId="77777777" w:rsidR="003B001B" w:rsidRDefault="003B001B" w:rsidP="002C43D6">
      <w:pPr>
        <w:spacing w:after="0" w:line="240" w:lineRule="auto"/>
      </w:pPr>
      <w:r>
        <w:separator/>
      </w:r>
    </w:p>
  </w:endnote>
  <w:endnote w:type="continuationSeparator" w:id="0">
    <w:p w14:paraId="5102AF3B" w14:textId="77777777" w:rsidR="003B001B" w:rsidRDefault="003B001B" w:rsidP="002C43D6">
      <w:pPr>
        <w:spacing w:after="0" w:line="240" w:lineRule="auto"/>
      </w:pPr>
      <w:r>
        <w:continuationSeparator/>
      </w:r>
    </w:p>
  </w:endnote>
  <w:endnote w:type="continuationNotice" w:id="1">
    <w:p w14:paraId="525BF9CA" w14:textId="77777777" w:rsidR="003B001B" w:rsidRDefault="003B0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5010136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1822392" w14:textId="4E725627" w:rsidR="003B001B" w:rsidRPr="00197130" w:rsidRDefault="003B001B">
            <w:pPr>
              <w:pStyle w:val="Footer"/>
              <w:jc w:val="right"/>
              <w:rPr>
                <w:sz w:val="20"/>
                <w:szCs w:val="20"/>
              </w:rPr>
            </w:pPr>
            <w:r w:rsidRPr="00197130">
              <w:rPr>
                <w:sz w:val="20"/>
                <w:szCs w:val="20"/>
              </w:rPr>
              <w:t xml:space="preserve">Page </w:t>
            </w:r>
            <w:r w:rsidRPr="00197130">
              <w:rPr>
                <w:bCs/>
                <w:sz w:val="20"/>
                <w:szCs w:val="20"/>
              </w:rPr>
              <w:fldChar w:fldCharType="begin"/>
            </w:r>
            <w:r w:rsidRPr="00197130">
              <w:rPr>
                <w:bCs/>
                <w:sz w:val="20"/>
                <w:szCs w:val="20"/>
              </w:rPr>
              <w:instrText xml:space="preserve"> PAGE </w:instrText>
            </w:r>
            <w:r w:rsidRPr="00197130">
              <w:rPr>
                <w:bCs/>
                <w:sz w:val="20"/>
                <w:szCs w:val="20"/>
              </w:rPr>
              <w:fldChar w:fldCharType="separate"/>
            </w:r>
            <w:r w:rsidRPr="00197130">
              <w:rPr>
                <w:bCs/>
                <w:noProof/>
                <w:sz w:val="20"/>
                <w:szCs w:val="20"/>
              </w:rPr>
              <w:t>2</w:t>
            </w:r>
            <w:r w:rsidRPr="00197130">
              <w:rPr>
                <w:bCs/>
                <w:sz w:val="20"/>
                <w:szCs w:val="20"/>
              </w:rPr>
              <w:fldChar w:fldCharType="end"/>
            </w:r>
            <w:r w:rsidRPr="00197130">
              <w:rPr>
                <w:sz w:val="20"/>
                <w:szCs w:val="20"/>
              </w:rPr>
              <w:t xml:space="preserve"> of </w:t>
            </w:r>
            <w:r w:rsidRPr="00197130">
              <w:rPr>
                <w:bCs/>
                <w:sz w:val="20"/>
                <w:szCs w:val="20"/>
              </w:rPr>
              <w:fldChar w:fldCharType="begin"/>
            </w:r>
            <w:r w:rsidRPr="00197130">
              <w:rPr>
                <w:bCs/>
                <w:sz w:val="20"/>
                <w:szCs w:val="20"/>
              </w:rPr>
              <w:instrText xml:space="preserve"> NUMPAGES  </w:instrText>
            </w:r>
            <w:r w:rsidRPr="00197130">
              <w:rPr>
                <w:bCs/>
                <w:sz w:val="20"/>
                <w:szCs w:val="20"/>
              </w:rPr>
              <w:fldChar w:fldCharType="separate"/>
            </w:r>
            <w:r w:rsidRPr="00197130">
              <w:rPr>
                <w:bCs/>
                <w:noProof/>
                <w:sz w:val="20"/>
                <w:szCs w:val="20"/>
              </w:rPr>
              <w:t>2</w:t>
            </w:r>
            <w:r w:rsidRPr="00197130">
              <w:rPr>
                <w:bCs/>
                <w:sz w:val="20"/>
                <w:szCs w:val="20"/>
              </w:rPr>
              <w:fldChar w:fldCharType="end"/>
            </w:r>
          </w:p>
        </w:sdtContent>
      </w:sdt>
    </w:sdtContent>
  </w:sdt>
  <w:p w14:paraId="78DF9CBA" w14:textId="77777777" w:rsidR="003B001B" w:rsidRDefault="003B0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C9298" w14:textId="77777777" w:rsidR="003B001B" w:rsidRDefault="003B001B" w:rsidP="002C43D6">
      <w:pPr>
        <w:spacing w:after="0" w:line="240" w:lineRule="auto"/>
      </w:pPr>
      <w:r>
        <w:separator/>
      </w:r>
    </w:p>
  </w:footnote>
  <w:footnote w:type="continuationSeparator" w:id="0">
    <w:p w14:paraId="16810895" w14:textId="77777777" w:rsidR="003B001B" w:rsidRDefault="003B001B" w:rsidP="002C43D6">
      <w:pPr>
        <w:spacing w:after="0" w:line="240" w:lineRule="auto"/>
      </w:pPr>
      <w:r>
        <w:continuationSeparator/>
      </w:r>
    </w:p>
  </w:footnote>
  <w:footnote w:type="continuationNotice" w:id="1">
    <w:p w14:paraId="1485AC4A" w14:textId="77777777" w:rsidR="003B001B" w:rsidRDefault="003B001B">
      <w:pPr>
        <w:spacing w:after="0" w:line="240" w:lineRule="auto"/>
      </w:pPr>
    </w:p>
  </w:footnote>
  <w:footnote w:id="2">
    <w:p w14:paraId="0FB441B5" w14:textId="505539B4"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F </w:t>
      </w:r>
      <w:proofErr w:type="spellStart"/>
      <w:r w:rsidRPr="00DB6E56">
        <w:rPr>
          <w:rFonts w:ascii="Times New Roman" w:hAnsi="Times New Roman" w:cs="Times New Roman"/>
        </w:rPr>
        <w:t>Scharpf</w:t>
      </w:r>
      <w:proofErr w:type="spellEnd"/>
      <w:r w:rsidRPr="00DB6E56">
        <w:rPr>
          <w:rFonts w:ascii="Times New Roman" w:hAnsi="Times New Roman" w:cs="Times New Roman"/>
        </w:rPr>
        <w:t xml:space="preserve">, </w:t>
      </w:r>
      <w:r w:rsidRPr="00DB6E56">
        <w:rPr>
          <w:rFonts w:ascii="Times New Roman" w:hAnsi="Times New Roman" w:cs="Times New Roman"/>
          <w:i/>
          <w:iCs/>
        </w:rPr>
        <w:t>Governing in Europe: Effective and Democratic?</w:t>
      </w:r>
      <w:r w:rsidRPr="00DB6E56">
        <w:rPr>
          <w:rFonts w:ascii="Times New Roman" w:hAnsi="Times New Roman" w:cs="Times New Roman"/>
        </w:rPr>
        <w:t xml:space="preserve"> (Oxford: OUP, 2019).</w:t>
      </w:r>
    </w:p>
  </w:footnote>
  <w:footnote w:id="3">
    <w:p w14:paraId="11497122" w14:textId="758E8C5C"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proofErr w:type="spellStart"/>
      <w:r w:rsidRPr="00DB6E56">
        <w:rPr>
          <w:rFonts w:ascii="Times New Roman" w:hAnsi="Times New Roman" w:cs="Times New Roman"/>
        </w:rPr>
        <w:t>Scharpf</w:t>
      </w:r>
      <w:proofErr w:type="spellEnd"/>
      <w:r>
        <w:rPr>
          <w:rFonts w:ascii="Times New Roman" w:hAnsi="Times New Roman" w:cs="Times New Roman"/>
        </w:rPr>
        <w:t xml:space="preserve"> (n 1 above) </w:t>
      </w:r>
      <w:r w:rsidRPr="00DB6E56">
        <w:rPr>
          <w:rFonts w:ascii="Times New Roman" w:hAnsi="Times New Roman" w:cs="Times New Roman"/>
          <w:iCs/>
        </w:rPr>
        <w:t>p 45.</w:t>
      </w:r>
    </w:p>
  </w:footnote>
  <w:footnote w:id="4">
    <w:p w14:paraId="4985D78E" w14:textId="4947025F"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proofErr w:type="spellStart"/>
      <w:r w:rsidRPr="00DB6E56">
        <w:rPr>
          <w:rFonts w:ascii="Times New Roman" w:hAnsi="Times New Roman" w:cs="Times New Roman"/>
        </w:rPr>
        <w:t>Scharpf</w:t>
      </w:r>
      <w:proofErr w:type="spellEnd"/>
      <w:r>
        <w:rPr>
          <w:rFonts w:ascii="Times New Roman" w:hAnsi="Times New Roman" w:cs="Times New Roman"/>
        </w:rPr>
        <w:t xml:space="preserve"> (n 1 above) </w:t>
      </w:r>
      <w:r w:rsidRPr="00DB6E56">
        <w:rPr>
          <w:rFonts w:ascii="Times New Roman" w:hAnsi="Times New Roman" w:cs="Times New Roman"/>
        </w:rPr>
        <w:t>pp 50-51.</w:t>
      </w:r>
    </w:p>
  </w:footnote>
  <w:footnote w:id="5">
    <w:p w14:paraId="09AE90EE" w14:textId="6E726737" w:rsidR="003B001B" w:rsidRPr="00651A07"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proofErr w:type="spellStart"/>
      <w:r w:rsidRPr="00DB6E56">
        <w:rPr>
          <w:rFonts w:ascii="Times New Roman" w:hAnsi="Times New Roman" w:cs="Times New Roman"/>
        </w:rPr>
        <w:t>Scharpf</w:t>
      </w:r>
      <w:proofErr w:type="spellEnd"/>
      <w:r>
        <w:rPr>
          <w:rFonts w:ascii="Times New Roman" w:hAnsi="Times New Roman" w:cs="Times New Roman"/>
        </w:rPr>
        <w:t xml:space="preserve"> (n 1 above) </w:t>
      </w:r>
      <w:r w:rsidRPr="00DB6E56">
        <w:rPr>
          <w:rFonts w:ascii="Times New Roman" w:hAnsi="Times New Roman" w:cs="Times New Roman"/>
        </w:rPr>
        <w:t xml:space="preserve">pp 50. On negative integration and the development of the EU legal order, see eg E Stein, ‘Lawyers, Judges and the Making of a Transnational Constitution’ (1981) 75 </w:t>
      </w:r>
      <w:r w:rsidRPr="00DB6E56">
        <w:rPr>
          <w:rFonts w:ascii="Times New Roman" w:hAnsi="Times New Roman" w:cs="Times New Roman"/>
          <w:i/>
        </w:rPr>
        <w:t>American Journal of International Law</w:t>
      </w:r>
      <w:r w:rsidRPr="00DB6E56">
        <w:rPr>
          <w:rFonts w:ascii="Times New Roman" w:hAnsi="Times New Roman" w:cs="Times New Roman"/>
        </w:rPr>
        <w:t xml:space="preserve"> 1 and J H </w:t>
      </w:r>
      <w:proofErr w:type="spellStart"/>
      <w:r w:rsidRPr="00DB6E56">
        <w:rPr>
          <w:rFonts w:ascii="Times New Roman" w:hAnsi="Times New Roman" w:cs="Times New Roman"/>
        </w:rPr>
        <w:t>H</w:t>
      </w:r>
      <w:proofErr w:type="spellEnd"/>
      <w:r w:rsidRPr="00DB6E56">
        <w:rPr>
          <w:rFonts w:ascii="Times New Roman" w:hAnsi="Times New Roman" w:cs="Times New Roman"/>
        </w:rPr>
        <w:t xml:space="preserve"> Weiler, ‘The Transformation of </w:t>
      </w:r>
      <w:r w:rsidRPr="00651A07">
        <w:rPr>
          <w:rFonts w:ascii="Times New Roman" w:hAnsi="Times New Roman" w:cs="Times New Roman"/>
        </w:rPr>
        <w:t xml:space="preserve">Europe’ (1991) 100 </w:t>
      </w:r>
      <w:r w:rsidRPr="00651A07">
        <w:rPr>
          <w:rFonts w:ascii="Times New Roman" w:hAnsi="Times New Roman" w:cs="Times New Roman"/>
          <w:i/>
        </w:rPr>
        <w:t>Yale Law Journal</w:t>
      </w:r>
      <w:r w:rsidRPr="00651A07">
        <w:rPr>
          <w:rFonts w:ascii="Times New Roman" w:hAnsi="Times New Roman" w:cs="Times New Roman"/>
        </w:rPr>
        <w:t xml:space="preserve"> 2403.</w:t>
      </w:r>
    </w:p>
  </w:footnote>
  <w:footnote w:id="6">
    <w:p w14:paraId="2EAB30E3" w14:textId="042DD8AE" w:rsidR="003B001B" w:rsidRPr="00651A07" w:rsidRDefault="003B001B" w:rsidP="00DB6E56">
      <w:pPr>
        <w:pStyle w:val="FootnoteText"/>
        <w:jc w:val="both"/>
        <w:rPr>
          <w:rFonts w:ascii="Times New Roman" w:hAnsi="Times New Roman" w:cs="Times New Roman"/>
        </w:rPr>
      </w:pPr>
      <w:r w:rsidRPr="00651A07">
        <w:rPr>
          <w:rStyle w:val="FootnoteReference"/>
          <w:rFonts w:ascii="Times New Roman" w:hAnsi="Times New Roman" w:cs="Times New Roman"/>
        </w:rPr>
        <w:footnoteRef/>
      </w:r>
      <w:r w:rsidRPr="00651A07">
        <w:rPr>
          <w:rFonts w:ascii="Times New Roman" w:hAnsi="Times New Roman" w:cs="Times New Roman"/>
        </w:rPr>
        <w:t xml:space="preserve"> G Anderson (ed) </w:t>
      </w:r>
      <w:r w:rsidRPr="00651A07">
        <w:rPr>
          <w:rFonts w:ascii="Times New Roman" w:hAnsi="Times New Roman" w:cs="Times New Roman"/>
          <w:i/>
          <w:iCs/>
        </w:rPr>
        <w:t>Internal Markets and Multi-level Governance: The Experience of the European Union, Australia, Canada, Switzerland and the United States</w:t>
      </w:r>
      <w:r w:rsidRPr="00651A07">
        <w:rPr>
          <w:rFonts w:ascii="Times New Roman" w:hAnsi="Times New Roman" w:cs="Times New Roman"/>
        </w:rPr>
        <w:t xml:space="preserve"> (Oxford: OUP, 2012).</w:t>
      </w:r>
    </w:p>
  </w:footnote>
  <w:footnote w:id="7">
    <w:p w14:paraId="787F472F" w14:textId="1E32ECEA" w:rsidR="003B001B" w:rsidRPr="00DB6E56" w:rsidRDefault="003B001B" w:rsidP="00DB6E56">
      <w:pPr>
        <w:pStyle w:val="NormalWeb"/>
        <w:spacing w:before="0" w:beforeAutospacing="0" w:after="0" w:afterAutospacing="0"/>
        <w:jc w:val="both"/>
        <w:rPr>
          <w:sz w:val="20"/>
          <w:szCs w:val="20"/>
        </w:rPr>
      </w:pPr>
      <w:r w:rsidRPr="00651A07">
        <w:rPr>
          <w:rStyle w:val="FootnoteReference"/>
          <w:sz w:val="20"/>
          <w:szCs w:val="20"/>
        </w:rPr>
        <w:footnoteRef/>
      </w:r>
      <w:r w:rsidRPr="00651A07">
        <w:rPr>
          <w:sz w:val="20"/>
          <w:szCs w:val="20"/>
        </w:rPr>
        <w:t xml:space="preserve"> See W Dymond and M Moreau, ‘Canada’ in G. Anderson (ed.), </w:t>
      </w:r>
      <w:r w:rsidRPr="00651A07">
        <w:rPr>
          <w:i/>
          <w:iCs/>
          <w:sz w:val="20"/>
          <w:szCs w:val="20"/>
        </w:rPr>
        <w:t xml:space="preserve">Internal Markets and Multi-level Governance: The Experience of the European Union, Canada, Switzerland and the United States </w:t>
      </w:r>
      <w:r w:rsidRPr="00651A07">
        <w:rPr>
          <w:sz w:val="20"/>
          <w:szCs w:val="20"/>
        </w:rPr>
        <w:t xml:space="preserve">(Oxford: OUP, 2012) and N McEwen, ‘The Limits of Self Rule without Shared Rule’, in </w:t>
      </w:r>
      <w:proofErr w:type="spellStart"/>
      <w:r w:rsidRPr="00651A07">
        <w:rPr>
          <w:sz w:val="20"/>
          <w:szCs w:val="20"/>
        </w:rPr>
        <w:t>Requejo</w:t>
      </w:r>
      <w:proofErr w:type="spellEnd"/>
      <w:r w:rsidRPr="00651A07">
        <w:rPr>
          <w:sz w:val="20"/>
          <w:szCs w:val="20"/>
        </w:rPr>
        <w:t xml:space="preserve">, </w:t>
      </w:r>
      <w:proofErr w:type="spellStart"/>
      <w:r w:rsidRPr="00651A07">
        <w:rPr>
          <w:sz w:val="20"/>
          <w:szCs w:val="20"/>
        </w:rPr>
        <w:t>Ferran</w:t>
      </w:r>
      <w:proofErr w:type="spellEnd"/>
      <w:r w:rsidRPr="00651A07">
        <w:rPr>
          <w:sz w:val="20"/>
          <w:szCs w:val="20"/>
        </w:rPr>
        <w:t xml:space="preserve"> and Marc </w:t>
      </w:r>
      <w:proofErr w:type="spellStart"/>
      <w:r w:rsidRPr="00651A07">
        <w:rPr>
          <w:sz w:val="20"/>
          <w:szCs w:val="20"/>
        </w:rPr>
        <w:t>Sanjaume-Calvet</w:t>
      </w:r>
      <w:proofErr w:type="spellEnd"/>
      <w:r w:rsidRPr="00651A07">
        <w:rPr>
          <w:sz w:val="20"/>
          <w:szCs w:val="20"/>
        </w:rPr>
        <w:t xml:space="preserve"> (eds), Defensive Federalism. Protecting Territorial Minorities from “the Tyranny of the Majority</w:t>
      </w:r>
      <w:r w:rsidRPr="00DB6E56">
        <w:rPr>
          <w:sz w:val="20"/>
          <w:szCs w:val="20"/>
        </w:rPr>
        <w:t xml:space="preserve">” (Routledge, 2023) p.67. </w:t>
      </w:r>
    </w:p>
  </w:footnote>
  <w:footnote w:id="8">
    <w:p w14:paraId="1F141B54" w14:textId="11C5C677" w:rsidR="003B001B" w:rsidRPr="00DB6E56" w:rsidRDefault="003B001B" w:rsidP="00DB6E56">
      <w:pPr>
        <w:spacing w:after="0" w:line="240" w:lineRule="auto"/>
        <w:jc w:val="both"/>
        <w:rPr>
          <w:rFonts w:ascii="Times New Roman" w:hAnsi="Times New Roman" w:cs="Times New Roman"/>
          <w:sz w:val="20"/>
          <w:szCs w:val="20"/>
        </w:rPr>
      </w:pPr>
      <w:r w:rsidRPr="00DB6E56">
        <w:rPr>
          <w:rStyle w:val="FootnoteReference"/>
          <w:rFonts w:ascii="Times New Roman" w:hAnsi="Times New Roman" w:cs="Times New Roman"/>
          <w:sz w:val="20"/>
          <w:szCs w:val="20"/>
        </w:rPr>
        <w:footnoteRef/>
      </w:r>
      <w:r w:rsidRPr="00DB6E56">
        <w:rPr>
          <w:rFonts w:ascii="Times New Roman" w:hAnsi="Times New Roman" w:cs="Times New Roman"/>
          <w:sz w:val="20"/>
          <w:szCs w:val="20"/>
        </w:rPr>
        <w:t xml:space="preserve"> On self- and shared rule, see esp. D J Elazar, </w:t>
      </w:r>
      <w:r w:rsidRPr="00DB6E56">
        <w:rPr>
          <w:rFonts w:ascii="Times New Roman" w:hAnsi="Times New Roman" w:cs="Times New Roman"/>
          <w:i/>
          <w:sz w:val="20"/>
          <w:szCs w:val="20"/>
        </w:rPr>
        <w:t>Exploring Federalism</w:t>
      </w:r>
      <w:r w:rsidRPr="00DB6E56">
        <w:rPr>
          <w:rFonts w:ascii="Times New Roman" w:hAnsi="Times New Roman" w:cs="Times New Roman"/>
          <w:sz w:val="20"/>
          <w:szCs w:val="20"/>
        </w:rPr>
        <w:t xml:space="preserve"> (University of Alabama Press, 1987)., and L </w:t>
      </w:r>
      <w:proofErr w:type="spellStart"/>
      <w:r w:rsidRPr="00DB6E56">
        <w:rPr>
          <w:rFonts w:ascii="Times New Roman" w:hAnsi="Times New Roman" w:cs="Times New Roman"/>
          <w:sz w:val="20"/>
          <w:szCs w:val="20"/>
        </w:rPr>
        <w:t>Hooghe</w:t>
      </w:r>
      <w:proofErr w:type="spellEnd"/>
      <w:r w:rsidRPr="00DB6E56">
        <w:rPr>
          <w:rFonts w:ascii="Times New Roman" w:hAnsi="Times New Roman" w:cs="Times New Roman"/>
          <w:sz w:val="20"/>
          <w:szCs w:val="20"/>
        </w:rPr>
        <w:t xml:space="preserve">, G Marks, A H </w:t>
      </w:r>
      <w:proofErr w:type="spellStart"/>
      <w:r w:rsidRPr="00DB6E56">
        <w:rPr>
          <w:rFonts w:ascii="Times New Roman" w:hAnsi="Times New Roman" w:cs="Times New Roman"/>
          <w:sz w:val="20"/>
          <w:szCs w:val="20"/>
        </w:rPr>
        <w:t>Schakel</w:t>
      </w:r>
      <w:proofErr w:type="spellEnd"/>
      <w:r w:rsidRPr="00DB6E56">
        <w:rPr>
          <w:rFonts w:ascii="Times New Roman" w:hAnsi="Times New Roman" w:cs="Times New Roman"/>
          <w:sz w:val="20"/>
          <w:szCs w:val="20"/>
        </w:rPr>
        <w:t xml:space="preserve">, S Chapman </w:t>
      </w:r>
      <w:proofErr w:type="spellStart"/>
      <w:r w:rsidRPr="00DB6E56">
        <w:rPr>
          <w:rFonts w:ascii="Times New Roman" w:hAnsi="Times New Roman" w:cs="Times New Roman"/>
          <w:sz w:val="20"/>
          <w:szCs w:val="20"/>
        </w:rPr>
        <w:t>Osterkatz</w:t>
      </w:r>
      <w:proofErr w:type="spellEnd"/>
      <w:r w:rsidRPr="00DB6E56">
        <w:rPr>
          <w:rFonts w:ascii="Times New Roman" w:hAnsi="Times New Roman" w:cs="Times New Roman"/>
          <w:sz w:val="20"/>
          <w:szCs w:val="20"/>
        </w:rPr>
        <w:t xml:space="preserve">, S </w:t>
      </w:r>
      <w:proofErr w:type="spellStart"/>
      <w:r w:rsidRPr="00DB6E56">
        <w:rPr>
          <w:rFonts w:ascii="Times New Roman" w:hAnsi="Times New Roman" w:cs="Times New Roman"/>
          <w:sz w:val="20"/>
          <w:szCs w:val="20"/>
        </w:rPr>
        <w:t>Niedzwiecki</w:t>
      </w:r>
      <w:proofErr w:type="spellEnd"/>
      <w:r w:rsidRPr="00DB6E56">
        <w:rPr>
          <w:rFonts w:ascii="Times New Roman" w:hAnsi="Times New Roman" w:cs="Times New Roman"/>
          <w:sz w:val="20"/>
          <w:szCs w:val="20"/>
        </w:rPr>
        <w:t xml:space="preserve"> and S </w:t>
      </w:r>
      <w:proofErr w:type="spellStart"/>
      <w:r w:rsidRPr="00DB6E56">
        <w:rPr>
          <w:rFonts w:ascii="Times New Roman" w:hAnsi="Times New Roman" w:cs="Times New Roman"/>
          <w:sz w:val="20"/>
          <w:szCs w:val="20"/>
        </w:rPr>
        <w:t>Shair</w:t>
      </w:r>
      <w:proofErr w:type="spellEnd"/>
      <w:r w:rsidRPr="00DB6E56">
        <w:rPr>
          <w:rFonts w:ascii="Times New Roman" w:hAnsi="Times New Roman" w:cs="Times New Roman"/>
          <w:sz w:val="20"/>
          <w:szCs w:val="20"/>
        </w:rPr>
        <w:t xml:space="preserve">-Rosenfield </w:t>
      </w:r>
      <w:r w:rsidRPr="00DB6E56">
        <w:rPr>
          <w:rStyle w:val="Emphasis"/>
          <w:rFonts w:ascii="Times New Roman" w:hAnsi="Times New Roman" w:cs="Times New Roman"/>
          <w:sz w:val="20"/>
          <w:szCs w:val="20"/>
        </w:rPr>
        <w:t xml:space="preserve">A </w:t>
      </w:r>
      <w:proofErr w:type="spellStart"/>
      <w:r w:rsidRPr="00DB6E56">
        <w:rPr>
          <w:rStyle w:val="Emphasis"/>
          <w:rFonts w:ascii="Times New Roman" w:hAnsi="Times New Roman" w:cs="Times New Roman"/>
          <w:sz w:val="20"/>
          <w:szCs w:val="20"/>
        </w:rPr>
        <w:t>Postfunctionalist</w:t>
      </w:r>
      <w:proofErr w:type="spellEnd"/>
      <w:r w:rsidRPr="00DB6E56">
        <w:rPr>
          <w:rStyle w:val="Emphasis"/>
          <w:rFonts w:ascii="Times New Roman" w:hAnsi="Times New Roman" w:cs="Times New Roman"/>
          <w:sz w:val="20"/>
          <w:szCs w:val="20"/>
        </w:rPr>
        <w:t xml:space="preserve"> Theory of Governance. Volume I: Measuring Regional Authority,</w:t>
      </w:r>
      <w:r w:rsidRPr="00DB6E56">
        <w:rPr>
          <w:rStyle w:val="apple-converted-space"/>
          <w:rFonts w:ascii="Times New Roman" w:hAnsi="Times New Roman" w:cs="Times New Roman"/>
          <w:sz w:val="20"/>
          <w:szCs w:val="20"/>
        </w:rPr>
        <w:t> (</w:t>
      </w:r>
      <w:r w:rsidRPr="00DB6E56">
        <w:rPr>
          <w:rFonts w:ascii="Times New Roman" w:hAnsi="Times New Roman" w:cs="Times New Roman"/>
          <w:sz w:val="20"/>
          <w:szCs w:val="20"/>
        </w:rPr>
        <w:t xml:space="preserve">Oxford: OUP, 2016), pp23-28. </w:t>
      </w:r>
    </w:p>
  </w:footnote>
  <w:footnote w:id="9">
    <w:p w14:paraId="13BAFF2F" w14:textId="19F26701"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here eg D H Regan ‘Judicial Review of Member-State Regulation of Trade within a Federal or Quasi-Federal System: Protectionism and Balancing, Da Capo’ (2001) 99(8) </w:t>
      </w:r>
      <w:r w:rsidRPr="00DB6E56">
        <w:rPr>
          <w:rFonts w:ascii="Times New Roman" w:hAnsi="Times New Roman" w:cs="Times New Roman"/>
          <w:i/>
        </w:rPr>
        <w:t>Michigan Law Review</w:t>
      </w:r>
      <w:r w:rsidRPr="00DB6E56">
        <w:rPr>
          <w:rFonts w:ascii="Times New Roman" w:hAnsi="Times New Roman" w:cs="Times New Roman"/>
        </w:rPr>
        <w:t xml:space="preserve"> 1853. See also with respect to Art 34 TFEU, M. Maduro, ‘Reforming the Market or the State? Article 30 and the European Constitution: Economic Freedom and Political Rights’ </w:t>
      </w:r>
      <w:r w:rsidRPr="00DB6E56">
        <w:rPr>
          <w:rFonts w:ascii="Times New Roman" w:hAnsi="Times New Roman" w:cs="Times New Roman"/>
          <w:i/>
        </w:rPr>
        <w:t>3 European Law Journal</w:t>
      </w:r>
      <w:r w:rsidRPr="00DB6E56">
        <w:rPr>
          <w:rFonts w:ascii="Times New Roman" w:hAnsi="Times New Roman" w:cs="Times New Roman"/>
        </w:rPr>
        <w:t xml:space="preserve"> (1997) 55. For criticism on limits, see eg J </w:t>
      </w:r>
      <w:proofErr w:type="spellStart"/>
      <w:r w:rsidRPr="00DB6E56">
        <w:rPr>
          <w:rFonts w:ascii="Times New Roman" w:hAnsi="Times New Roman" w:cs="Times New Roman"/>
        </w:rPr>
        <w:t>Jaakkola</w:t>
      </w:r>
      <w:proofErr w:type="spellEnd"/>
      <w:r w:rsidRPr="00DB6E56">
        <w:rPr>
          <w:rFonts w:ascii="Times New Roman" w:hAnsi="Times New Roman" w:cs="Times New Roman"/>
        </w:rPr>
        <w:t xml:space="preserve">, ‘Enhancing Political Representation Through the European Economic Constitution? Regressive Politics of Democratic Inclusion’ (2019) 15(2) </w:t>
      </w:r>
      <w:r>
        <w:rPr>
          <w:rFonts w:ascii="Times New Roman" w:hAnsi="Times New Roman" w:cs="Times New Roman"/>
          <w:i/>
        </w:rPr>
        <w:t>European Constitutional Law Review</w:t>
      </w:r>
      <w:r w:rsidRPr="00DB6E56">
        <w:rPr>
          <w:rFonts w:ascii="Times New Roman" w:hAnsi="Times New Roman" w:cs="Times New Roman"/>
        </w:rPr>
        <w:t xml:space="preserve"> 194.</w:t>
      </w:r>
    </w:p>
  </w:footnote>
  <w:footnote w:id="10">
    <w:p w14:paraId="2564552C" w14:textId="6C4D13E2"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As Page and </w:t>
      </w:r>
      <w:proofErr w:type="spellStart"/>
      <w:r w:rsidRPr="00DB6E56">
        <w:rPr>
          <w:rFonts w:ascii="Times New Roman" w:hAnsi="Times New Roman" w:cs="Times New Roman"/>
        </w:rPr>
        <w:t>Batey</w:t>
      </w:r>
      <w:proofErr w:type="spellEnd"/>
      <w:r w:rsidRPr="00DB6E56">
        <w:rPr>
          <w:rFonts w:ascii="Times New Roman" w:hAnsi="Times New Roman" w:cs="Times New Roman"/>
        </w:rPr>
        <w:t xml:space="preserve"> observe, ‘[w]</w:t>
      </w:r>
      <w:proofErr w:type="spellStart"/>
      <w:r w:rsidRPr="00DB6E56">
        <w:rPr>
          <w:rFonts w:ascii="Times New Roman" w:hAnsi="Times New Roman" w:cs="Times New Roman"/>
        </w:rPr>
        <w:t>hether</w:t>
      </w:r>
      <w:proofErr w:type="spellEnd"/>
      <w:r w:rsidRPr="00DB6E56">
        <w:rPr>
          <w:rFonts w:ascii="Times New Roman" w:hAnsi="Times New Roman" w:cs="Times New Roman"/>
        </w:rPr>
        <w:t xml:space="preserve"> a problem is a Scottish one demanding a Scottish solution or a U.K. one demanding a U.K. solution cannot necessarily be worked out from whether its subject-matter is devolved or reserved under the Scotland Act.’ See A Page and A </w:t>
      </w:r>
      <w:proofErr w:type="spellStart"/>
      <w:r w:rsidRPr="00DB6E56">
        <w:rPr>
          <w:rFonts w:ascii="Times New Roman" w:hAnsi="Times New Roman" w:cs="Times New Roman"/>
        </w:rPr>
        <w:t>Batey</w:t>
      </w:r>
      <w:proofErr w:type="spellEnd"/>
      <w:r w:rsidRPr="00DB6E56">
        <w:rPr>
          <w:rFonts w:ascii="Times New Roman" w:hAnsi="Times New Roman" w:cs="Times New Roman"/>
        </w:rPr>
        <w:t>, ‘Scotland's other Parliament: Westminster legislation about devolved matters in Scotland since devolution’ (2002</w:t>
      </w:r>
      <w:r w:rsidRPr="00DB6E56">
        <w:rPr>
          <w:rFonts w:ascii="Times New Roman" w:hAnsi="Times New Roman" w:cs="Times New Roman"/>
          <w:i/>
        </w:rPr>
        <w:t>) Public Law</w:t>
      </w:r>
      <w:r w:rsidRPr="00DB6E56">
        <w:rPr>
          <w:rFonts w:ascii="Times New Roman" w:hAnsi="Times New Roman" w:cs="Times New Roman"/>
        </w:rPr>
        <w:t xml:space="preserve"> 501, 513.</w:t>
      </w:r>
    </w:p>
  </w:footnote>
  <w:footnote w:id="11">
    <w:p w14:paraId="63EC0120" w14:textId="634C908B" w:rsidR="003B001B" w:rsidRPr="00DB6E56" w:rsidRDefault="003B001B" w:rsidP="00DB6E56">
      <w:pPr>
        <w:autoSpaceDE w:val="0"/>
        <w:autoSpaceDN w:val="0"/>
        <w:adjustRightInd w:val="0"/>
        <w:spacing w:after="0" w:line="240" w:lineRule="auto"/>
        <w:jc w:val="both"/>
        <w:rPr>
          <w:rFonts w:ascii="Times New Roman" w:hAnsi="Times New Roman" w:cs="Times New Roman"/>
          <w:sz w:val="20"/>
          <w:szCs w:val="20"/>
        </w:rPr>
      </w:pPr>
      <w:r w:rsidRPr="00DB6E56">
        <w:rPr>
          <w:rStyle w:val="FootnoteReference"/>
          <w:rFonts w:ascii="Times New Roman" w:hAnsi="Times New Roman" w:cs="Times New Roman"/>
          <w:sz w:val="20"/>
          <w:szCs w:val="20"/>
        </w:rPr>
        <w:footnoteRef/>
      </w:r>
      <w:r w:rsidRPr="00DB6E56">
        <w:rPr>
          <w:rFonts w:ascii="Times New Roman" w:hAnsi="Times New Roman" w:cs="Times New Roman"/>
          <w:sz w:val="20"/>
          <w:szCs w:val="20"/>
        </w:rPr>
        <w:t xml:space="preserve"> See eg</w:t>
      </w:r>
      <w:r>
        <w:rPr>
          <w:rFonts w:ascii="Times New Roman" w:hAnsi="Times New Roman" w:cs="Times New Roman"/>
          <w:sz w:val="20"/>
          <w:szCs w:val="20"/>
        </w:rPr>
        <w:t xml:space="preserve"> </w:t>
      </w:r>
      <w:r w:rsidRPr="00DB6E56">
        <w:rPr>
          <w:rFonts w:ascii="Times New Roman" w:hAnsi="Times New Roman" w:cs="Times New Roman"/>
          <w:sz w:val="20"/>
          <w:szCs w:val="20"/>
        </w:rPr>
        <w:t xml:space="preserve">N McEwen and B </w:t>
      </w:r>
      <w:proofErr w:type="spellStart"/>
      <w:r w:rsidRPr="00DB6E56">
        <w:rPr>
          <w:rFonts w:ascii="Times New Roman" w:hAnsi="Times New Roman" w:cs="Times New Roman"/>
          <w:sz w:val="20"/>
          <w:szCs w:val="20"/>
        </w:rPr>
        <w:t>Petersohn</w:t>
      </w:r>
      <w:proofErr w:type="spellEnd"/>
      <w:r w:rsidRPr="00DB6E56">
        <w:rPr>
          <w:rFonts w:ascii="Times New Roman" w:hAnsi="Times New Roman" w:cs="Times New Roman"/>
          <w:sz w:val="20"/>
          <w:szCs w:val="20"/>
        </w:rPr>
        <w:t xml:space="preserve">, ‘The Challenges of Shared Rule After the Scottish Referendum’ (2015) 86 </w:t>
      </w:r>
      <w:r w:rsidRPr="00F773E4">
        <w:rPr>
          <w:rFonts w:ascii="Times New Roman" w:hAnsi="Times New Roman" w:cs="Times New Roman"/>
          <w:i/>
          <w:sz w:val="20"/>
          <w:szCs w:val="20"/>
        </w:rPr>
        <w:t>Political Quarterly</w:t>
      </w:r>
      <w:r w:rsidRPr="00DB6E56">
        <w:rPr>
          <w:rFonts w:ascii="Times New Roman" w:hAnsi="Times New Roman" w:cs="Times New Roman"/>
          <w:sz w:val="20"/>
          <w:szCs w:val="20"/>
        </w:rPr>
        <w:t xml:space="preserve"> 192–200 see also eg N. McEwen ‘The Limits of Self-Rule without Shared-Rule’ in F </w:t>
      </w:r>
      <w:proofErr w:type="spellStart"/>
      <w:r w:rsidRPr="00DB6E56">
        <w:rPr>
          <w:rFonts w:ascii="Times New Roman" w:hAnsi="Times New Roman" w:cs="Times New Roman"/>
          <w:sz w:val="20"/>
          <w:szCs w:val="20"/>
        </w:rPr>
        <w:t>Requejo</w:t>
      </w:r>
      <w:proofErr w:type="spellEnd"/>
      <w:r w:rsidRPr="00DB6E56">
        <w:rPr>
          <w:rFonts w:ascii="Times New Roman" w:hAnsi="Times New Roman" w:cs="Times New Roman"/>
          <w:sz w:val="20"/>
          <w:szCs w:val="20"/>
        </w:rPr>
        <w:t>, &amp; M</w:t>
      </w:r>
      <w:r>
        <w:rPr>
          <w:rFonts w:ascii="Times New Roman" w:hAnsi="Times New Roman" w:cs="Times New Roman"/>
          <w:sz w:val="20"/>
          <w:szCs w:val="20"/>
        </w:rPr>
        <w:t xml:space="preserve"> </w:t>
      </w:r>
      <w:proofErr w:type="spellStart"/>
      <w:r w:rsidRPr="00DB6E56">
        <w:rPr>
          <w:rFonts w:ascii="Times New Roman" w:hAnsi="Times New Roman" w:cs="Times New Roman"/>
          <w:sz w:val="20"/>
          <w:szCs w:val="20"/>
        </w:rPr>
        <w:t>Sanjaume-Calvet</w:t>
      </w:r>
      <w:proofErr w:type="spellEnd"/>
      <w:r w:rsidRPr="00DB6E56">
        <w:rPr>
          <w:rFonts w:ascii="Times New Roman" w:hAnsi="Times New Roman" w:cs="Times New Roman"/>
          <w:sz w:val="20"/>
          <w:szCs w:val="20"/>
        </w:rPr>
        <w:t xml:space="preserve"> (eds.), </w:t>
      </w:r>
      <w:r w:rsidRPr="00DB6E56">
        <w:rPr>
          <w:rFonts w:ascii="Times New Roman" w:hAnsi="Times New Roman" w:cs="Times New Roman"/>
          <w:i/>
          <w:sz w:val="20"/>
          <w:szCs w:val="20"/>
        </w:rPr>
        <w:t>Defensive Federalism: Protecting Territorial Minorities from the “Tyranny of the Majority”</w:t>
      </w:r>
      <w:r w:rsidRPr="00DB6E56">
        <w:rPr>
          <w:rFonts w:ascii="Times New Roman" w:hAnsi="Times New Roman" w:cs="Times New Roman"/>
          <w:sz w:val="20"/>
          <w:szCs w:val="20"/>
        </w:rPr>
        <w:t xml:space="preserve"> (London: Routledge, 2023).</w:t>
      </w:r>
    </w:p>
  </w:footnote>
  <w:footnote w:id="12">
    <w:p w14:paraId="0AFC5172" w14:textId="35DED244"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hyperlink r:id="rId1" w:history="1">
        <w:r w:rsidRPr="00DB6E56">
          <w:rPr>
            <w:rStyle w:val="Hyperlink"/>
            <w:rFonts w:ascii="Times New Roman" w:hAnsi="Times New Roman" w:cs="Times New Roman"/>
          </w:rPr>
          <w:t>Joint Ministerial Committee (EU Negotiations) Communique</w:t>
        </w:r>
      </w:hyperlink>
      <w:r w:rsidRPr="00DB6E56">
        <w:rPr>
          <w:rFonts w:ascii="Times New Roman" w:hAnsi="Times New Roman" w:cs="Times New Roman"/>
        </w:rPr>
        <w:t>, 16 Oct 2017 (accessed 5/6/</w:t>
      </w:r>
      <w:r>
        <w:rPr>
          <w:rFonts w:ascii="Times New Roman" w:hAnsi="Times New Roman" w:cs="Times New Roman"/>
        </w:rPr>
        <w:t>23</w:t>
      </w:r>
      <w:r w:rsidRPr="00DB6E56">
        <w:rPr>
          <w:rFonts w:ascii="Times New Roman" w:hAnsi="Times New Roman" w:cs="Times New Roman"/>
        </w:rPr>
        <w:t>)</w:t>
      </w:r>
    </w:p>
  </w:footnote>
  <w:footnote w:id="13">
    <w:p w14:paraId="324BDA1C" w14:textId="003603C9"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On devolution and its evolution generally, see eg D Torrance, “A Process, Not and Event”: Devolution in Wales 1998-2020 House of Commons Briefing Paper CBP 8318, 6 April 2020 and D Torrance, “The Settled Will”? Devolution in Scotland 1998-2020 House of Commons Briefing Paper CBP 8441, 6 April 2020.  </w:t>
      </w:r>
    </w:p>
  </w:footnote>
  <w:footnote w:id="14">
    <w:p w14:paraId="0EA0EF88" w14:textId="77AEC5F9"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On asymmetry, see eg C M G </w:t>
      </w:r>
      <w:proofErr w:type="spellStart"/>
      <w:r w:rsidRPr="00DB6E56">
        <w:rPr>
          <w:rFonts w:ascii="Times New Roman" w:hAnsi="Times New Roman" w:cs="Times New Roman"/>
        </w:rPr>
        <w:t>Himsworth</w:t>
      </w:r>
      <w:proofErr w:type="spellEnd"/>
      <w:r w:rsidRPr="00DB6E56">
        <w:rPr>
          <w:rFonts w:ascii="Times New Roman" w:hAnsi="Times New Roman" w:cs="Times New Roman"/>
        </w:rPr>
        <w:t xml:space="preserve"> ‘Devolution and its Jurisdictional Asymmetries’ (2007) 70(1) </w:t>
      </w:r>
      <w:r w:rsidRPr="00DB6E56">
        <w:rPr>
          <w:rFonts w:ascii="Times New Roman" w:hAnsi="Times New Roman" w:cs="Times New Roman"/>
          <w:i/>
        </w:rPr>
        <w:t>MLR</w:t>
      </w:r>
      <w:r w:rsidRPr="00DB6E56">
        <w:rPr>
          <w:rFonts w:ascii="Times New Roman" w:hAnsi="Times New Roman" w:cs="Times New Roman"/>
        </w:rPr>
        <w:t xml:space="preserve"> 31 and C Jeffreys, ‘Devolution in the United Kingdom: Problems of a Piecemeal Approach to Constitutional Change’ 39(2) </w:t>
      </w:r>
      <w:r w:rsidRPr="00DB6E56">
        <w:rPr>
          <w:rFonts w:ascii="Times New Roman" w:hAnsi="Times New Roman" w:cs="Times New Roman"/>
          <w:i/>
        </w:rPr>
        <w:t>Federalism and Constitutional Change</w:t>
      </w:r>
      <w:r w:rsidRPr="00DB6E56">
        <w:rPr>
          <w:rFonts w:ascii="Times New Roman" w:hAnsi="Times New Roman" w:cs="Times New Roman"/>
        </w:rPr>
        <w:t xml:space="preserve"> 280.</w:t>
      </w:r>
    </w:p>
  </w:footnote>
  <w:footnote w:id="15">
    <w:p w14:paraId="67AB8E80" w14:textId="6E865D18"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here eg R (on the application of </w:t>
      </w:r>
      <w:proofErr w:type="spellStart"/>
      <w:r w:rsidRPr="00DB6E56">
        <w:rPr>
          <w:rFonts w:ascii="Times New Roman" w:hAnsi="Times New Roman" w:cs="Times New Roman"/>
          <w:i/>
        </w:rPr>
        <w:t>Petsafe</w:t>
      </w:r>
      <w:proofErr w:type="spellEnd"/>
      <w:r w:rsidRPr="00DB6E56">
        <w:rPr>
          <w:rFonts w:ascii="Times New Roman" w:hAnsi="Times New Roman" w:cs="Times New Roman"/>
          <w:i/>
        </w:rPr>
        <w:t xml:space="preserve"> Ltd) v Welsh Ministers</w:t>
      </w:r>
      <w:r w:rsidRPr="00DB6E56">
        <w:rPr>
          <w:rFonts w:ascii="Times New Roman" w:hAnsi="Times New Roman" w:cs="Times New Roman"/>
        </w:rPr>
        <w:t xml:space="preserve"> [2010] EWHC 2908 (Admin) [2010] 11 WLUK 379 and Section 3, below.</w:t>
      </w:r>
    </w:p>
  </w:footnote>
  <w:footnote w:id="16">
    <w:p w14:paraId="60B35DFA" w14:textId="77777777"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J Tinbergen, </w:t>
      </w:r>
      <w:r w:rsidRPr="00DB6E56">
        <w:rPr>
          <w:rFonts w:ascii="Times New Roman" w:hAnsi="Times New Roman" w:cs="Times New Roman"/>
          <w:i/>
        </w:rPr>
        <w:t>International Economic Integration</w:t>
      </w:r>
      <w:r w:rsidRPr="00DB6E56">
        <w:rPr>
          <w:rFonts w:ascii="Times New Roman" w:hAnsi="Times New Roman" w:cs="Times New Roman"/>
        </w:rPr>
        <w:t xml:space="preserve"> (2nd ed) (Amsterdam: Elsevier, 1965)</w:t>
      </w:r>
    </w:p>
  </w:footnote>
  <w:footnote w:id="17">
    <w:p w14:paraId="151BF70D" w14:textId="2748DFCD"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proofErr w:type="spellStart"/>
      <w:r w:rsidRPr="00DB6E56">
        <w:rPr>
          <w:rFonts w:ascii="Times New Roman" w:hAnsi="Times New Roman" w:cs="Times New Roman"/>
        </w:rPr>
        <w:t>Scharpf</w:t>
      </w:r>
      <w:proofErr w:type="spellEnd"/>
      <w:r>
        <w:rPr>
          <w:rFonts w:ascii="Times New Roman" w:hAnsi="Times New Roman" w:cs="Times New Roman"/>
        </w:rPr>
        <w:t xml:space="preserve"> (n 1 above) </w:t>
      </w:r>
      <w:r w:rsidRPr="00DB6E56">
        <w:rPr>
          <w:rFonts w:ascii="Times New Roman" w:hAnsi="Times New Roman" w:cs="Times New Roman"/>
        </w:rPr>
        <w:t>p. 45</w:t>
      </w:r>
    </w:p>
  </w:footnote>
  <w:footnote w:id="18">
    <w:p w14:paraId="5CD64F0B" w14:textId="5DC06F1D"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Positive and negative harmonisation are commonly used interchangeably with positive and negative integration, particularly in EU law and policy. In this contribution, we prefer the language of harmonisation over integration, given the absence, in the UK context, of a comparable teleological focus on integration to that outlined in the EU Treaties.</w:t>
      </w:r>
    </w:p>
  </w:footnote>
  <w:footnote w:id="19">
    <w:p w14:paraId="7A6E11E8" w14:textId="0A2F4FAA"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On judicial integration and the EU internal market, see eg T Horsley, </w:t>
      </w:r>
      <w:r w:rsidRPr="00DB6E56">
        <w:rPr>
          <w:rFonts w:ascii="Times New Roman" w:hAnsi="Times New Roman" w:cs="Times New Roman"/>
          <w:i/>
        </w:rPr>
        <w:t>The Court of Justice of the European Union as an Institutional Actor: Judicial Lawmaking and its Limits</w:t>
      </w:r>
      <w:r w:rsidRPr="00DB6E56">
        <w:rPr>
          <w:rFonts w:ascii="Times New Roman" w:hAnsi="Times New Roman" w:cs="Times New Roman"/>
        </w:rPr>
        <w:t xml:space="preserve"> (Cambridge: CUP, 2018).</w:t>
      </w:r>
    </w:p>
  </w:footnote>
  <w:footnote w:id="20">
    <w:p w14:paraId="6CE16A7D" w14:textId="038B1AC6" w:rsidR="003B001B" w:rsidRPr="00DB6E56" w:rsidRDefault="003B001B" w:rsidP="00DB6E56">
      <w:pPr>
        <w:pStyle w:val="FootnoteText"/>
        <w:jc w:val="both"/>
        <w:rPr>
          <w:rFonts w:ascii="Times New Roman" w:hAnsi="Times New Roman" w:cs="Times New Roman"/>
          <w:i/>
        </w:rPr>
      </w:pPr>
      <w:r w:rsidRPr="00DB6E56">
        <w:rPr>
          <w:rStyle w:val="FootnoteReference"/>
          <w:rFonts w:ascii="Times New Roman" w:hAnsi="Times New Roman" w:cs="Times New Roman"/>
        </w:rPr>
        <w:footnoteRef/>
      </w:r>
      <w:r w:rsidRPr="00DB6E56">
        <w:rPr>
          <w:rFonts w:ascii="Times New Roman" w:hAnsi="Times New Roman" w:cs="Times New Roman"/>
        </w:rPr>
        <w:t xml:space="preserve"> On the present framework, see Arts 289 and 294 TFEU (ordinary legislative procedures) and Art 289(2) TFEU (special legislative procedures). For analysis, see eg P. Craig, </w:t>
      </w:r>
      <w:r w:rsidRPr="00DB6E56">
        <w:rPr>
          <w:rFonts w:ascii="Times New Roman" w:hAnsi="Times New Roman" w:cs="Times New Roman"/>
          <w:i/>
        </w:rPr>
        <w:t>The Lisbon Treaty: Law, Politics and Treaty Reform</w:t>
      </w:r>
      <w:r w:rsidRPr="00DB6E56">
        <w:rPr>
          <w:rFonts w:ascii="Times New Roman" w:hAnsi="Times New Roman" w:cs="Times New Roman"/>
        </w:rPr>
        <w:t xml:space="preserve"> (Revised Ed) (Oxford: OUP, 2013), chapter 2. On subsidiarity in EU integration, see eg J </w:t>
      </w:r>
      <w:proofErr w:type="spellStart"/>
      <w:r w:rsidRPr="00DB6E56">
        <w:rPr>
          <w:rFonts w:ascii="Times New Roman" w:hAnsi="Times New Roman" w:cs="Times New Roman"/>
        </w:rPr>
        <w:t>Öberg</w:t>
      </w:r>
      <w:proofErr w:type="spellEnd"/>
      <w:r w:rsidRPr="00DB6E56">
        <w:rPr>
          <w:rFonts w:ascii="Times New Roman" w:hAnsi="Times New Roman" w:cs="Times New Roman"/>
        </w:rPr>
        <w:t xml:space="preserve">, ‘Subsidiarity as a Limit to the Exercise of EU Competences’ (2017) 36 </w:t>
      </w:r>
      <w:r w:rsidRPr="00512B66">
        <w:rPr>
          <w:rFonts w:ascii="Times New Roman" w:hAnsi="Times New Roman" w:cs="Times New Roman"/>
          <w:i/>
        </w:rPr>
        <w:t>Yearbook of European Law</w:t>
      </w:r>
      <w:r w:rsidRPr="00DB6E56">
        <w:rPr>
          <w:rFonts w:ascii="Times New Roman" w:hAnsi="Times New Roman" w:cs="Times New Roman"/>
        </w:rPr>
        <w:t xml:space="preserve"> 391 and S </w:t>
      </w:r>
      <w:proofErr w:type="spellStart"/>
      <w:r w:rsidRPr="00DB6E56">
        <w:rPr>
          <w:rFonts w:ascii="Times New Roman" w:hAnsi="Times New Roman" w:cs="Times New Roman"/>
        </w:rPr>
        <w:t>Pazos</w:t>
      </w:r>
      <w:proofErr w:type="spellEnd"/>
      <w:r w:rsidRPr="00DB6E56">
        <w:rPr>
          <w:rFonts w:ascii="Times New Roman" w:hAnsi="Times New Roman" w:cs="Times New Roman"/>
        </w:rPr>
        <w:t xml:space="preserve">-Vidal, </w:t>
      </w:r>
      <w:r w:rsidRPr="00512B66">
        <w:rPr>
          <w:rFonts w:ascii="Times New Roman" w:hAnsi="Times New Roman" w:cs="Times New Roman"/>
          <w:i/>
        </w:rPr>
        <w:t>Subsidiarity and EU Multilevel Governance: Actors, Networks and Agendas</w:t>
      </w:r>
      <w:r w:rsidRPr="00DB6E56">
        <w:rPr>
          <w:rFonts w:ascii="Times New Roman" w:hAnsi="Times New Roman" w:cs="Times New Roman"/>
        </w:rPr>
        <w:t xml:space="preserve"> (Routledge, 2019).</w:t>
      </w:r>
    </w:p>
  </w:footnote>
  <w:footnote w:id="21">
    <w:p w14:paraId="1EBF232A" w14:textId="361C9B30"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eg Art 2 TEU (Union values); Art 5 TEU (competence, subsidiarity and proportionality); Art 6 TEU (fundamental rights). See also Protocol (No 2) on the application of the principles of subsidiarity and proportionality [2008] OJ C115</w:t>
      </w:r>
      <w:r w:rsidRPr="00DB6E56">
        <w:rPr>
          <w:rStyle w:val="Emphasis"/>
          <w:rFonts w:ascii="Times New Roman" w:hAnsi="Times New Roman" w:cs="Times New Roman"/>
          <w:color w:val="333333"/>
          <w:shd w:val="clear" w:color="auto" w:fill="FFFFFF"/>
        </w:rPr>
        <w:t xml:space="preserve">, </w:t>
      </w:r>
      <w:r w:rsidRPr="00DB6E56">
        <w:rPr>
          <w:rStyle w:val="Emphasis"/>
          <w:rFonts w:ascii="Times New Roman" w:hAnsi="Times New Roman" w:cs="Times New Roman"/>
          <w:i w:val="0"/>
          <w:color w:val="333333"/>
          <w:shd w:val="clear" w:color="auto" w:fill="FFFFFF"/>
        </w:rPr>
        <w:t>p206 and EU Charter of Fundamental Rights of the European Union [2012] OJJ C 326 p 391.</w:t>
      </w:r>
    </w:p>
  </w:footnote>
  <w:footnote w:id="22">
    <w:p w14:paraId="25B4CF83" w14:textId="51721310"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Art 6(2), Protocol (No 2) on the application of the principles of subsidiarity and proportionality [2008] OJ C115</w:t>
      </w:r>
      <w:r w:rsidRPr="00DB6E56">
        <w:rPr>
          <w:rStyle w:val="Emphasis"/>
          <w:rFonts w:ascii="Times New Roman" w:hAnsi="Times New Roman" w:cs="Times New Roman"/>
          <w:color w:val="333333"/>
          <w:shd w:val="clear" w:color="auto" w:fill="FFFFFF"/>
        </w:rPr>
        <w:t xml:space="preserve">, </w:t>
      </w:r>
      <w:r w:rsidRPr="00DB6E56">
        <w:rPr>
          <w:rStyle w:val="Emphasis"/>
          <w:rFonts w:ascii="Times New Roman" w:hAnsi="Times New Roman" w:cs="Times New Roman"/>
          <w:i w:val="0"/>
          <w:color w:val="333333"/>
          <w:shd w:val="clear" w:color="auto" w:fill="FFFFFF"/>
        </w:rPr>
        <w:t>p206</w:t>
      </w:r>
    </w:p>
  </w:footnote>
  <w:footnote w:id="23">
    <w:p w14:paraId="3E1F8C32" w14:textId="180CE7EC"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eg</w:t>
      </w:r>
      <w:r w:rsidRPr="00DB6E56">
        <w:rPr>
          <w:rFonts w:ascii="Times New Roman" w:hAnsi="Times New Roman" w:cs="Times New Roman"/>
        </w:rPr>
        <w:tab/>
        <w:t xml:space="preserve"> </w:t>
      </w:r>
      <w:hyperlink r:id="rId2" w:history="1">
        <w:r w:rsidRPr="00DB6E56">
          <w:rPr>
            <w:rStyle w:val="Hyperlink"/>
            <w:rFonts w:ascii="Times New Roman" w:hAnsi="Times New Roman" w:cs="Times New Roman"/>
          </w:rPr>
          <w:t>Concordat on the Coordination of European Union Policy Issues</w:t>
        </w:r>
      </w:hyperlink>
      <w:r w:rsidRPr="00DB6E56">
        <w:rPr>
          <w:rFonts w:ascii="Times New Roman" w:hAnsi="Times New Roman" w:cs="Times New Roman"/>
        </w:rPr>
        <w:t xml:space="preserve">, included in the </w:t>
      </w:r>
      <w:hyperlink r:id="rId3" w:history="1">
        <w:r w:rsidRPr="00FB70FF">
          <w:rPr>
            <w:rStyle w:val="Hyperlink"/>
            <w:rFonts w:ascii="Times New Roman" w:hAnsi="Times New Roman" w:cs="Times New Roman"/>
          </w:rPr>
          <w:t>Memorandum of Understanding concluded between the UK and Devolved Government</w:t>
        </w:r>
      </w:hyperlink>
      <w:r w:rsidRPr="00DB6E56">
        <w:rPr>
          <w:rFonts w:ascii="Times New Roman" w:hAnsi="Times New Roman" w:cs="Times New Roman"/>
        </w:rPr>
        <w:t>s, October 2013</w:t>
      </w:r>
      <w:r>
        <w:rPr>
          <w:rFonts w:ascii="Times New Roman" w:hAnsi="Times New Roman" w:cs="Times New Roman"/>
        </w:rPr>
        <w:t xml:space="preserve"> </w:t>
      </w:r>
      <w:r w:rsidRPr="00DB6E56">
        <w:rPr>
          <w:rFonts w:ascii="Times New Roman" w:hAnsi="Times New Roman" w:cs="Times New Roman"/>
        </w:rPr>
        <w:t>(accessed 5/6/</w:t>
      </w:r>
      <w:r>
        <w:rPr>
          <w:rFonts w:ascii="Times New Roman" w:hAnsi="Times New Roman" w:cs="Times New Roman"/>
        </w:rPr>
        <w:t>23</w:t>
      </w:r>
      <w:r w:rsidRPr="00DB6E56">
        <w:rPr>
          <w:rFonts w:ascii="Times New Roman" w:hAnsi="Times New Roman" w:cs="Times New Roman"/>
        </w:rPr>
        <w:t>)</w:t>
      </w:r>
      <w:r>
        <w:rPr>
          <w:rFonts w:ascii="Times New Roman" w:hAnsi="Times New Roman" w:cs="Times New Roman"/>
        </w:rPr>
        <w:t>.</w:t>
      </w:r>
    </w:p>
  </w:footnote>
  <w:footnote w:id="24">
    <w:p w14:paraId="2BB2D3D5" w14:textId="103F6857"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J</w:t>
      </w:r>
      <w:r>
        <w:rPr>
          <w:rFonts w:ascii="Times New Roman" w:hAnsi="Times New Roman" w:cs="Times New Roman"/>
        </w:rPr>
        <w:t>.</w:t>
      </w:r>
      <w:r w:rsidRPr="00DB6E56">
        <w:rPr>
          <w:rFonts w:ascii="Times New Roman" w:hAnsi="Times New Roman" w:cs="Times New Roman"/>
        </w:rPr>
        <w:t xml:space="preserve"> </w:t>
      </w:r>
      <w:r w:rsidRPr="00DB6E56">
        <w:rPr>
          <w:rFonts w:ascii="Times New Roman" w:hAnsi="Times New Roman" w:cs="Times New Roman"/>
          <w:color w:val="383735"/>
          <w:shd w:val="clear" w:color="auto" w:fill="FFFFFF"/>
        </w:rPr>
        <w:t>Hunt, ‘</w:t>
      </w:r>
      <w:hyperlink r:id="rId4" w:history="1">
        <w:r w:rsidRPr="00DB6E56">
          <w:rPr>
            <w:rStyle w:val="Hyperlink"/>
            <w:rFonts w:ascii="Times New Roman" w:hAnsi="Times New Roman" w:cs="Times New Roman"/>
            <w:color w:val="045BC6"/>
          </w:rPr>
          <w:t>Devolution and differentiation: regional variation in EU law</w:t>
        </w:r>
      </w:hyperlink>
      <w:r w:rsidRPr="00DB6E56">
        <w:rPr>
          <w:rFonts w:ascii="Times New Roman" w:hAnsi="Times New Roman" w:cs="Times New Roman"/>
        </w:rPr>
        <w:t>’</w:t>
      </w:r>
      <w:r w:rsidRPr="00DB6E56">
        <w:rPr>
          <w:rFonts w:ascii="Times New Roman" w:hAnsi="Times New Roman" w:cs="Times New Roman"/>
          <w:color w:val="383735"/>
          <w:shd w:val="clear" w:color="auto" w:fill="FFFFFF"/>
        </w:rPr>
        <w:t xml:space="preserve"> (2010) 30</w:t>
      </w:r>
      <w:r w:rsidRPr="00DB6E56">
        <w:rPr>
          <w:rStyle w:val="apple-converted-space"/>
          <w:rFonts w:ascii="Times New Roman" w:hAnsi="Times New Roman" w:cs="Times New Roman"/>
          <w:color w:val="383735"/>
          <w:shd w:val="clear" w:color="auto" w:fill="FFFFFF"/>
        </w:rPr>
        <w:t> </w:t>
      </w:r>
      <w:r w:rsidRPr="00DB6E56">
        <w:rPr>
          <w:rStyle w:val="publication-article-publication"/>
          <w:rFonts w:ascii="Times New Roman" w:hAnsi="Times New Roman" w:cs="Times New Roman"/>
          <w:i/>
          <w:iCs/>
          <w:color w:val="383735"/>
        </w:rPr>
        <w:t xml:space="preserve">Legal Studies </w:t>
      </w:r>
      <w:r w:rsidRPr="00DB6E56">
        <w:rPr>
          <w:rFonts w:ascii="Times New Roman" w:hAnsi="Times New Roman" w:cs="Times New Roman"/>
          <w:color w:val="383735"/>
          <w:shd w:val="clear" w:color="auto" w:fill="FFFFFF"/>
        </w:rPr>
        <w:t>421-441</w:t>
      </w:r>
      <w:r w:rsidRPr="00DB6E56">
        <w:rPr>
          <w:rFonts w:ascii="Times New Roman" w:hAnsi="Times New Roman" w:cs="Times New Roman"/>
        </w:rPr>
        <w:t>, and see further, Section 4.2, below.</w:t>
      </w:r>
    </w:p>
  </w:footnote>
  <w:footnote w:id="25">
    <w:p w14:paraId="4D4CC992" w14:textId="5A9EF117"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Art 4(2) TFEU enumerates policy areas in which competence is shared between the Union and the Member States.</w:t>
      </w:r>
    </w:p>
  </w:footnote>
  <w:footnote w:id="26">
    <w:p w14:paraId="4CC553DF" w14:textId="1FD6AB1F" w:rsidR="003B001B" w:rsidRPr="00DB6E56" w:rsidRDefault="003B001B" w:rsidP="00DB6E56">
      <w:pPr>
        <w:pStyle w:val="NormalWeb"/>
        <w:spacing w:before="0" w:beforeAutospacing="0" w:after="0" w:afterAutospacing="0"/>
        <w:jc w:val="both"/>
        <w:rPr>
          <w:sz w:val="20"/>
          <w:szCs w:val="20"/>
        </w:rPr>
      </w:pPr>
      <w:r w:rsidRPr="00DB6E56">
        <w:rPr>
          <w:rStyle w:val="FootnoteReference"/>
          <w:sz w:val="20"/>
          <w:szCs w:val="20"/>
        </w:rPr>
        <w:footnoteRef/>
      </w:r>
      <w:r w:rsidRPr="00DB6E56">
        <w:rPr>
          <w:sz w:val="20"/>
          <w:szCs w:val="20"/>
        </w:rPr>
        <w:t xml:space="preserve"> For discussion, see S. </w:t>
      </w:r>
      <w:proofErr w:type="spellStart"/>
      <w:r w:rsidRPr="00DB6E56">
        <w:rPr>
          <w:sz w:val="20"/>
          <w:szCs w:val="20"/>
        </w:rPr>
        <w:t>Weatherill</w:t>
      </w:r>
      <w:proofErr w:type="spellEnd"/>
      <w:r w:rsidRPr="00DB6E56">
        <w:rPr>
          <w:sz w:val="20"/>
          <w:szCs w:val="20"/>
        </w:rPr>
        <w:t xml:space="preserve"> ‘The Fundamental Question of Minimum or Maximum Harmonisation’ in S </w:t>
      </w:r>
      <w:proofErr w:type="spellStart"/>
      <w:r w:rsidRPr="00DB6E56">
        <w:rPr>
          <w:sz w:val="20"/>
          <w:szCs w:val="20"/>
        </w:rPr>
        <w:t>Garben</w:t>
      </w:r>
      <w:proofErr w:type="spellEnd"/>
      <w:r w:rsidRPr="00DB6E56">
        <w:rPr>
          <w:sz w:val="20"/>
          <w:szCs w:val="20"/>
        </w:rPr>
        <w:t xml:space="preserve"> and I </w:t>
      </w:r>
      <w:proofErr w:type="spellStart"/>
      <w:r w:rsidRPr="00DB6E56">
        <w:rPr>
          <w:sz w:val="20"/>
          <w:szCs w:val="20"/>
        </w:rPr>
        <w:t>Govaere</w:t>
      </w:r>
      <w:proofErr w:type="spellEnd"/>
      <w:r w:rsidRPr="00DB6E56">
        <w:rPr>
          <w:sz w:val="20"/>
          <w:szCs w:val="20"/>
        </w:rPr>
        <w:t xml:space="preserve"> (eds), </w:t>
      </w:r>
      <w:r w:rsidRPr="00DB6E56">
        <w:rPr>
          <w:i/>
          <w:sz w:val="20"/>
          <w:szCs w:val="20"/>
        </w:rPr>
        <w:t xml:space="preserve">The Internal Market 2.0 </w:t>
      </w:r>
      <w:r w:rsidRPr="00DB6E56">
        <w:rPr>
          <w:sz w:val="20"/>
          <w:szCs w:val="20"/>
        </w:rPr>
        <w:t>(Oxford: Hart Publishing, 2020).</w:t>
      </w:r>
    </w:p>
  </w:footnote>
  <w:footnote w:id="27">
    <w:p w14:paraId="492F6E06" w14:textId="6F30867D" w:rsidR="003B001B" w:rsidRPr="000E1867"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eg Art 5, Annex IV of Regulation (EC) No 1782/ 2003 establishing common rules for direct support schemes under the common agricultural policy and establishing certain support schemes for farmers [2009] OJ L30, p16. For judicial confirmation, see the decision of the EU </w:t>
      </w:r>
      <w:r w:rsidRPr="001A16E9">
        <w:rPr>
          <w:rFonts w:ascii="Times New Roman" w:hAnsi="Times New Roman" w:cs="Times New Roman"/>
        </w:rPr>
        <w:t xml:space="preserve">Court (Grand Chamber) in Case C-428/07 </w:t>
      </w:r>
      <w:r w:rsidRPr="001A16E9">
        <w:rPr>
          <w:rFonts w:ascii="Times New Roman" w:hAnsi="Times New Roman" w:cs="Times New Roman"/>
          <w:i/>
        </w:rPr>
        <w:t>Mark Horvath v Secretary of State for Environment, Food and Rural Affairs</w:t>
      </w:r>
      <w:r w:rsidRPr="001A16E9">
        <w:rPr>
          <w:rFonts w:ascii="Times New Roman" w:hAnsi="Times New Roman" w:cs="Times New Roman"/>
        </w:rPr>
        <w:t xml:space="preserve"> ECLI:EU:C:2009:458 at para. 50</w:t>
      </w:r>
      <w:r w:rsidRPr="001A16E9">
        <w:rPr>
          <w:rFonts w:ascii="Times New Roman" w:hAnsi="Times New Roman" w:cs="Times New Roman"/>
          <w:color w:val="383735"/>
          <w:shd w:val="clear" w:color="auto" w:fill="FFFFFF"/>
        </w:rPr>
        <w:t>, see M. Cardwell and J. Hunt ‘</w:t>
      </w:r>
      <w:hyperlink r:id="rId5" w:history="1">
        <w:r w:rsidRPr="004431E1">
          <w:rPr>
            <w:rStyle w:val="Hyperlink"/>
            <w:rFonts w:ascii="Times New Roman" w:hAnsi="Times New Roman" w:cs="Times New Roman"/>
            <w:color w:val="045BC6"/>
          </w:rPr>
          <w:t>Public Rights of Way and Level Playing Fields: Horvath v Secretary of State for Environment, Food and Rural Affairs</w:t>
        </w:r>
      </w:hyperlink>
      <w:r w:rsidRPr="001A16E9">
        <w:rPr>
          <w:rFonts w:ascii="Times New Roman" w:hAnsi="Times New Roman" w:cs="Times New Roman"/>
        </w:rPr>
        <w:t>’ (2010)</w:t>
      </w:r>
      <w:r w:rsidRPr="001A16E9">
        <w:rPr>
          <w:rFonts w:ascii="Times New Roman" w:hAnsi="Times New Roman" w:cs="Times New Roman"/>
          <w:color w:val="383735"/>
          <w:shd w:val="clear" w:color="auto" w:fill="FFFFFF"/>
        </w:rPr>
        <w:t xml:space="preserve"> 12(4)</w:t>
      </w:r>
      <w:r w:rsidRPr="001A16E9">
        <w:rPr>
          <w:rStyle w:val="apple-converted-space"/>
          <w:rFonts w:ascii="Times New Roman" w:hAnsi="Times New Roman" w:cs="Times New Roman"/>
          <w:color w:val="383735"/>
          <w:shd w:val="clear" w:color="auto" w:fill="FFFFFF"/>
        </w:rPr>
        <w:t> </w:t>
      </w:r>
      <w:r w:rsidRPr="001A16E9">
        <w:rPr>
          <w:rStyle w:val="publication-article-publication"/>
          <w:rFonts w:ascii="Times New Roman" w:hAnsi="Times New Roman" w:cs="Times New Roman"/>
          <w:i/>
          <w:color w:val="383735"/>
        </w:rPr>
        <w:t>Environmental Law Review</w:t>
      </w:r>
      <w:r w:rsidRPr="000E1867">
        <w:rPr>
          <w:rStyle w:val="apple-converted-space"/>
          <w:rFonts w:ascii="Times New Roman" w:hAnsi="Times New Roman" w:cs="Times New Roman"/>
          <w:color w:val="383735"/>
          <w:shd w:val="clear" w:color="auto" w:fill="FFFFFF"/>
        </w:rPr>
        <w:t> </w:t>
      </w:r>
      <w:r w:rsidRPr="000E1867">
        <w:rPr>
          <w:rFonts w:ascii="Times New Roman" w:hAnsi="Times New Roman" w:cs="Times New Roman"/>
          <w:color w:val="383735"/>
          <w:shd w:val="clear" w:color="auto" w:fill="FFFFFF"/>
        </w:rPr>
        <w:t xml:space="preserve">291-300. </w:t>
      </w:r>
    </w:p>
  </w:footnote>
  <w:footnote w:id="28">
    <w:p w14:paraId="3B9CB81E" w14:textId="22F8EB90" w:rsidR="003B001B" w:rsidRPr="001A16E9" w:rsidRDefault="003B001B" w:rsidP="00DB6E56">
      <w:pPr>
        <w:pStyle w:val="FootnoteText"/>
        <w:jc w:val="both"/>
        <w:rPr>
          <w:rFonts w:ascii="Times New Roman" w:hAnsi="Times New Roman" w:cs="Times New Roman"/>
        </w:rPr>
      </w:pPr>
      <w:r w:rsidRPr="001A16E9">
        <w:rPr>
          <w:rStyle w:val="FootnoteReference"/>
          <w:rFonts w:ascii="Times New Roman" w:hAnsi="Times New Roman" w:cs="Times New Roman"/>
        </w:rPr>
        <w:footnoteRef/>
      </w:r>
      <w:r w:rsidRPr="001A16E9">
        <w:rPr>
          <w:rFonts w:ascii="Times New Roman" w:hAnsi="Times New Roman" w:cs="Times New Roman"/>
        </w:rPr>
        <w:t xml:space="preserve"> See, further, Section 3.2, below.</w:t>
      </w:r>
    </w:p>
  </w:footnote>
  <w:footnote w:id="29">
    <w:p w14:paraId="3FB2B4B2" w14:textId="32B8537E" w:rsidR="003B001B" w:rsidRDefault="003B001B">
      <w:pPr>
        <w:pStyle w:val="FootnoteText"/>
      </w:pPr>
      <w:r w:rsidRPr="004431E1">
        <w:rPr>
          <w:rStyle w:val="FootnoteReference"/>
          <w:rFonts w:ascii="Times New Roman" w:hAnsi="Times New Roman" w:cs="Times New Roman"/>
        </w:rPr>
        <w:footnoteRef/>
      </w:r>
      <w:r w:rsidRPr="004431E1">
        <w:rPr>
          <w:rFonts w:ascii="Times New Roman" w:hAnsi="Times New Roman" w:cs="Times New Roman"/>
        </w:rPr>
        <w:t xml:space="preserve"> See eg s.29(2)(d) Scotland Act 1998 and s.108(2)(e) Government of Wales Act 2006.</w:t>
      </w:r>
    </w:p>
  </w:footnote>
  <w:footnote w:id="30">
    <w:p w14:paraId="7266B60E" w14:textId="63C7C131" w:rsidR="003B001B" w:rsidRPr="00DB6E56" w:rsidRDefault="003B001B" w:rsidP="00DB6E56">
      <w:pPr>
        <w:autoSpaceDE w:val="0"/>
        <w:autoSpaceDN w:val="0"/>
        <w:adjustRightInd w:val="0"/>
        <w:spacing w:after="0" w:line="240" w:lineRule="auto"/>
        <w:jc w:val="both"/>
        <w:rPr>
          <w:rFonts w:ascii="Times New Roman" w:hAnsi="Times New Roman" w:cs="Times New Roman"/>
          <w:sz w:val="20"/>
          <w:szCs w:val="20"/>
        </w:rPr>
      </w:pPr>
      <w:r w:rsidRPr="00DB6E56">
        <w:rPr>
          <w:rStyle w:val="FootnoteReference"/>
          <w:rFonts w:ascii="Times New Roman" w:hAnsi="Times New Roman" w:cs="Times New Roman"/>
          <w:sz w:val="20"/>
          <w:szCs w:val="20"/>
        </w:rPr>
        <w:footnoteRef/>
      </w:r>
      <w:r w:rsidRPr="00DB6E56">
        <w:rPr>
          <w:rFonts w:ascii="Times New Roman" w:hAnsi="Times New Roman" w:cs="Times New Roman"/>
          <w:sz w:val="20"/>
          <w:szCs w:val="20"/>
        </w:rPr>
        <w:t xml:space="preserve"> Though there are now significant commonalities in approach across the three settlements, differences remain.</w:t>
      </w:r>
      <w:r>
        <w:rPr>
          <w:rFonts w:ascii="Times New Roman" w:hAnsi="Times New Roman" w:cs="Times New Roman"/>
          <w:sz w:val="20"/>
          <w:szCs w:val="20"/>
        </w:rPr>
        <w:t xml:space="preserve"> </w:t>
      </w:r>
      <w:r w:rsidRPr="00DB6E56">
        <w:rPr>
          <w:rFonts w:ascii="Times New Roman" w:hAnsi="Times New Roman" w:cs="Times New Roman"/>
          <w:sz w:val="20"/>
          <w:szCs w:val="20"/>
        </w:rPr>
        <w:t>In NI, there is a three-fold categorisation, of transferred measures within devolved competence, and a category of ‘excepted’ matters, remaining at Westminster (analogous to reserved measures under the other settlements). There is a further set of ‘reserved’ matters which may be removed from central control at some later point.</w:t>
      </w:r>
    </w:p>
  </w:footnote>
  <w:footnote w:id="31">
    <w:p w14:paraId="0FBFA708" w14:textId="29E7CDDE"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On the origins and development of the Convention, see eg G Cowie and D Torrance, </w:t>
      </w:r>
      <w:r>
        <w:rPr>
          <w:rFonts w:ascii="Times New Roman" w:hAnsi="Times New Roman" w:cs="Times New Roman"/>
        </w:rPr>
        <w:t>‘</w:t>
      </w:r>
      <w:hyperlink r:id="rId6" w:history="1">
        <w:r w:rsidRPr="00FB70FF">
          <w:rPr>
            <w:rStyle w:val="Hyperlink"/>
            <w:rFonts w:ascii="Times New Roman" w:hAnsi="Times New Roman" w:cs="Times New Roman"/>
          </w:rPr>
          <w:t>Devolution: The Sewel Convention’ House of Commons Briefing Paper CBP-8883</w:t>
        </w:r>
      </w:hyperlink>
      <w:r w:rsidRPr="00DB6E56">
        <w:rPr>
          <w:rFonts w:ascii="Times New Roman" w:hAnsi="Times New Roman" w:cs="Times New Roman"/>
        </w:rPr>
        <w:t>, 13 May 2020</w:t>
      </w:r>
      <w:r>
        <w:rPr>
          <w:rFonts w:ascii="Times New Roman" w:hAnsi="Times New Roman" w:cs="Times New Roman"/>
        </w:rPr>
        <w:t xml:space="preserve"> (accessed 5/6/23).</w:t>
      </w:r>
    </w:p>
  </w:footnote>
  <w:footnote w:id="32">
    <w:p w14:paraId="06502BDF" w14:textId="2A93A829"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Cabinet Office, </w:t>
      </w:r>
      <w:hyperlink r:id="rId7" w:history="1">
        <w:r w:rsidRPr="00DB6E56">
          <w:rPr>
            <w:rStyle w:val="Hyperlink"/>
            <w:rFonts w:ascii="Times New Roman" w:hAnsi="Times New Roman" w:cs="Times New Roman"/>
          </w:rPr>
          <w:t>Memorandum of Understanding concluded between the UK and devolved governments</w:t>
        </w:r>
      </w:hyperlink>
      <w:r>
        <w:rPr>
          <w:rFonts w:ascii="Times New Roman" w:hAnsi="Times New Roman" w:cs="Times New Roman"/>
        </w:rPr>
        <w:t xml:space="preserve"> (n 22 above) </w:t>
      </w:r>
      <w:r w:rsidRPr="00DB6E56">
        <w:rPr>
          <w:rFonts w:ascii="Times New Roman" w:hAnsi="Times New Roman" w:cs="Times New Roman"/>
        </w:rPr>
        <w:t>para. 14 (accessed 5/6/</w:t>
      </w:r>
      <w:r>
        <w:rPr>
          <w:rFonts w:ascii="Times New Roman" w:hAnsi="Times New Roman" w:cs="Times New Roman"/>
        </w:rPr>
        <w:t>23</w:t>
      </w:r>
      <w:r w:rsidRPr="00DB6E56">
        <w:rPr>
          <w:rFonts w:ascii="Times New Roman" w:hAnsi="Times New Roman" w:cs="Times New Roman"/>
        </w:rPr>
        <w:t>)</w:t>
      </w:r>
      <w:r>
        <w:rPr>
          <w:rFonts w:ascii="Times New Roman" w:hAnsi="Times New Roman" w:cs="Times New Roman"/>
        </w:rPr>
        <w:t>.</w:t>
      </w:r>
    </w:p>
  </w:footnote>
  <w:footnote w:id="33">
    <w:p w14:paraId="4CAFBCBD" w14:textId="38A41909"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now s27(8) of the Scotland Act 1998 and s107(6) of the Government of Wales Act 2006, respectively.</w:t>
      </w:r>
    </w:p>
  </w:footnote>
  <w:footnote w:id="34">
    <w:p w14:paraId="3DFA9C0F" w14:textId="7E45D41C" w:rsidR="003B001B" w:rsidRPr="004D1B6D"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here also pre-Brexit,</w:t>
      </w:r>
      <w:r>
        <w:rPr>
          <w:rFonts w:ascii="Times New Roman" w:hAnsi="Times New Roman" w:cs="Times New Roman"/>
        </w:rPr>
        <w:t xml:space="preserve"> </w:t>
      </w:r>
      <w:r w:rsidRPr="00DB6E56">
        <w:rPr>
          <w:rFonts w:ascii="Times New Roman" w:hAnsi="Times New Roman" w:cs="Times New Roman"/>
        </w:rPr>
        <w:t xml:space="preserve">Page and </w:t>
      </w:r>
      <w:proofErr w:type="spellStart"/>
      <w:r w:rsidRPr="00DB6E56">
        <w:rPr>
          <w:rFonts w:ascii="Times New Roman" w:hAnsi="Times New Roman" w:cs="Times New Roman"/>
        </w:rPr>
        <w:t>Batey</w:t>
      </w:r>
      <w:proofErr w:type="spellEnd"/>
      <w:r>
        <w:rPr>
          <w:rFonts w:ascii="Times New Roman" w:hAnsi="Times New Roman" w:cs="Times New Roman"/>
        </w:rPr>
        <w:t xml:space="preserve"> (n 9 above)</w:t>
      </w:r>
      <w:r w:rsidRPr="00DB6E56">
        <w:rPr>
          <w:rFonts w:ascii="Times New Roman" w:hAnsi="Times New Roman" w:cs="Times New Roman"/>
        </w:rPr>
        <w:t xml:space="preserve">, 511. Page and </w:t>
      </w:r>
      <w:proofErr w:type="spellStart"/>
      <w:r w:rsidRPr="00DB6E56">
        <w:rPr>
          <w:rFonts w:ascii="Times New Roman" w:hAnsi="Times New Roman" w:cs="Times New Roman"/>
        </w:rPr>
        <w:t>Batey’s</w:t>
      </w:r>
      <w:proofErr w:type="spellEnd"/>
      <w:r w:rsidRPr="00DB6E56">
        <w:rPr>
          <w:rFonts w:ascii="Times New Roman" w:hAnsi="Times New Roman" w:cs="Times New Roman"/>
        </w:rPr>
        <w:t xml:space="preserve"> early analysis points to the </w:t>
      </w:r>
      <w:r w:rsidRPr="004D1B6D">
        <w:rPr>
          <w:rFonts w:ascii="Times New Roman" w:hAnsi="Times New Roman" w:cs="Times New Roman"/>
        </w:rPr>
        <w:t>extensive, consensual use of Westminster powers to legislate in areas of and/or affecting devolved competences, including in relation to EU measures.</w:t>
      </w:r>
    </w:p>
  </w:footnote>
  <w:footnote w:id="35">
    <w:p w14:paraId="73B2AF8D" w14:textId="427D9FED" w:rsidR="003B001B" w:rsidRPr="004D1B6D" w:rsidRDefault="003B001B" w:rsidP="00DB6E56">
      <w:pPr>
        <w:pStyle w:val="FootnoteText"/>
        <w:jc w:val="both"/>
        <w:rPr>
          <w:rFonts w:ascii="Times New Roman" w:hAnsi="Times New Roman" w:cs="Times New Roman"/>
        </w:rPr>
      </w:pPr>
      <w:r w:rsidRPr="004D1B6D">
        <w:rPr>
          <w:rStyle w:val="FootnoteReference"/>
          <w:rFonts w:ascii="Times New Roman" w:hAnsi="Times New Roman" w:cs="Times New Roman"/>
        </w:rPr>
        <w:footnoteRef/>
      </w:r>
      <w:r w:rsidRPr="004D1B6D">
        <w:rPr>
          <w:rFonts w:ascii="Times New Roman" w:hAnsi="Times New Roman" w:cs="Times New Roman"/>
        </w:rPr>
        <w:t xml:space="preserve"> Agriculture Act 2020, schedule 5.</w:t>
      </w:r>
    </w:p>
  </w:footnote>
  <w:footnote w:id="36">
    <w:p w14:paraId="00A3F049" w14:textId="3FFE7CCD" w:rsidR="003B001B" w:rsidRPr="004D1B6D" w:rsidRDefault="003B001B" w:rsidP="00DB6E56">
      <w:pPr>
        <w:pStyle w:val="FootnoteText"/>
        <w:jc w:val="both"/>
        <w:rPr>
          <w:rFonts w:ascii="Times New Roman" w:hAnsi="Times New Roman" w:cs="Times New Roman"/>
        </w:rPr>
      </w:pPr>
      <w:r w:rsidRPr="004D1B6D">
        <w:rPr>
          <w:rStyle w:val="FootnoteReference"/>
          <w:rFonts w:ascii="Times New Roman" w:hAnsi="Times New Roman" w:cs="Times New Roman"/>
        </w:rPr>
        <w:footnoteRef/>
      </w:r>
      <w:r w:rsidRPr="004D1B6D">
        <w:rPr>
          <w:rFonts w:ascii="Times New Roman" w:hAnsi="Times New Roman" w:cs="Times New Roman"/>
        </w:rPr>
        <w:t xml:space="preserve"> See s47 detailing the expiration of particular provisions in relation to Wales at the end of 2024.</w:t>
      </w:r>
    </w:p>
  </w:footnote>
  <w:footnote w:id="37">
    <w:p w14:paraId="0CE87761" w14:textId="7796DE6E" w:rsidR="003B001B" w:rsidRPr="004D1B6D" w:rsidRDefault="003B001B" w:rsidP="00DB6E56">
      <w:pPr>
        <w:pStyle w:val="FootnoteText"/>
        <w:jc w:val="both"/>
        <w:rPr>
          <w:rFonts w:ascii="Times New Roman" w:hAnsi="Times New Roman" w:cs="Times New Roman"/>
        </w:rPr>
      </w:pPr>
      <w:r w:rsidRPr="004D1B6D">
        <w:rPr>
          <w:rStyle w:val="FootnoteReference"/>
          <w:rFonts w:ascii="Times New Roman" w:hAnsi="Times New Roman" w:cs="Times New Roman"/>
        </w:rPr>
        <w:footnoteRef/>
      </w:r>
      <w:r w:rsidRPr="004D1B6D">
        <w:rPr>
          <w:rFonts w:ascii="Times New Roman" w:hAnsi="Times New Roman" w:cs="Times New Roman"/>
        </w:rPr>
        <w:t xml:space="preserve"> B.K. </w:t>
      </w:r>
      <w:proofErr w:type="spellStart"/>
      <w:r w:rsidRPr="004D1B6D">
        <w:rPr>
          <w:rFonts w:ascii="Times New Roman" w:hAnsi="Times New Roman" w:cs="Times New Roman"/>
        </w:rPr>
        <w:t>Winetrobe</w:t>
      </w:r>
      <w:proofErr w:type="spellEnd"/>
      <w:r w:rsidRPr="004D1B6D">
        <w:rPr>
          <w:rFonts w:ascii="Times New Roman" w:hAnsi="Times New Roman" w:cs="Times New Roman"/>
        </w:rPr>
        <w:t xml:space="preserve">, ‘A Partnership of Parliaments’ in R. Hazell and R. Rawlings (eds) </w:t>
      </w:r>
      <w:r w:rsidRPr="004D1B6D">
        <w:rPr>
          <w:rFonts w:ascii="Times New Roman" w:hAnsi="Times New Roman" w:cs="Times New Roman"/>
          <w:i/>
        </w:rPr>
        <w:t>Devolution, Law Making and the Constitution</w:t>
      </w:r>
      <w:r w:rsidRPr="004D1B6D">
        <w:rPr>
          <w:rFonts w:ascii="Times New Roman" w:hAnsi="Times New Roman" w:cs="Times New Roman"/>
        </w:rPr>
        <w:t>, (Exeter: Imprint, 2005) p. 44.</w:t>
      </w:r>
    </w:p>
  </w:footnote>
  <w:footnote w:id="38">
    <w:p w14:paraId="4D387A1C" w14:textId="0173D26F" w:rsidR="003B001B" w:rsidRPr="00DB6E56" w:rsidRDefault="003B001B" w:rsidP="00DB6E56">
      <w:pPr>
        <w:pStyle w:val="FootnoteText"/>
        <w:jc w:val="both"/>
        <w:rPr>
          <w:rFonts w:ascii="Times New Roman" w:hAnsi="Times New Roman" w:cs="Times New Roman"/>
        </w:rPr>
      </w:pPr>
      <w:r w:rsidRPr="004D1B6D">
        <w:rPr>
          <w:rStyle w:val="FootnoteReference"/>
          <w:rFonts w:ascii="Times New Roman" w:hAnsi="Times New Roman" w:cs="Times New Roman"/>
        </w:rPr>
        <w:footnoteRef/>
      </w:r>
      <w:r w:rsidRPr="004D1B6D">
        <w:rPr>
          <w:rFonts w:ascii="Times New Roman" w:hAnsi="Times New Roman" w:cs="Times New Roman"/>
        </w:rPr>
        <w:t xml:space="preserve"> A. </w:t>
      </w:r>
      <w:proofErr w:type="spellStart"/>
      <w:r w:rsidRPr="004D1B6D">
        <w:rPr>
          <w:rFonts w:ascii="Times New Roman" w:hAnsi="Times New Roman" w:cs="Times New Roman"/>
        </w:rPr>
        <w:t>McHarg</w:t>
      </w:r>
      <w:proofErr w:type="spellEnd"/>
      <w:r w:rsidRPr="004D1B6D">
        <w:rPr>
          <w:rFonts w:ascii="Times New Roman" w:hAnsi="Times New Roman" w:cs="Times New Roman"/>
        </w:rPr>
        <w:t xml:space="preserve"> </w:t>
      </w:r>
      <w:r>
        <w:rPr>
          <w:rFonts w:ascii="Times New Roman" w:hAnsi="Times New Roman" w:cs="Times New Roman"/>
        </w:rPr>
        <w:t>‘The Contested Boundaries of Devolved Legislative Competence: Towards Better Devolution Settlements’, Institute for Government/Bennett Institute for Public Policy Review of the UK Constitution Guest Paper, (IFG/Bennett Institute, 2023)</w:t>
      </w:r>
      <w:r>
        <w:t xml:space="preserve"> </w:t>
      </w:r>
      <w:hyperlink r:id="rId8" w:history="1">
        <w:r w:rsidRPr="004D66D9">
          <w:rPr>
            <w:rStyle w:val="Hyperlink"/>
            <w:rFonts w:ascii="Times New Roman" w:hAnsi="Times New Roman" w:cs="Times New Roman"/>
          </w:rPr>
          <w:t>https://www.bennettinstitute.cam.ac.uk/wp-content/uploads/2023/05/Contested-boundaries-devolved-legislative-consent.pdf</w:t>
        </w:r>
      </w:hyperlink>
      <w:r>
        <w:rPr>
          <w:rFonts w:ascii="Times New Roman" w:hAnsi="Times New Roman" w:cs="Times New Roman"/>
        </w:rPr>
        <w:t xml:space="preserve"> (accessed 9/9/23)</w:t>
      </w:r>
    </w:p>
  </w:footnote>
  <w:footnote w:id="39">
    <w:p w14:paraId="0AB17504" w14:textId="01987AAC" w:rsidR="003B001B" w:rsidRPr="006C647F" w:rsidRDefault="003B001B" w:rsidP="00DB6E56">
      <w:pPr>
        <w:pStyle w:val="FootnoteText"/>
        <w:jc w:val="both"/>
        <w:rPr>
          <w:rFonts w:ascii="Times New Roman" w:hAnsi="Times New Roman" w:cs="Times New Roman"/>
          <w:color w:val="000000" w:themeColor="text1"/>
        </w:rPr>
      </w:pPr>
      <w:r w:rsidRPr="00DB6E56">
        <w:rPr>
          <w:rStyle w:val="FootnoteReference"/>
          <w:rFonts w:ascii="Times New Roman" w:hAnsi="Times New Roman" w:cs="Times New Roman"/>
        </w:rPr>
        <w:footnoteRef/>
      </w:r>
      <w:r w:rsidRPr="00DB6E56">
        <w:rPr>
          <w:rFonts w:ascii="Times New Roman" w:hAnsi="Times New Roman" w:cs="Times New Roman"/>
        </w:rPr>
        <w:t xml:space="preserve"> A </w:t>
      </w:r>
      <w:proofErr w:type="spellStart"/>
      <w:r w:rsidRPr="00DB6E56">
        <w:rPr>
          <w:rFonts w:ascii="Times New Roman" w:hAnsi="Times New Roman" w:cs="Times New Roman"/>
        </w:rPr>
        <w:t>McHarg</w:t>
      </w:r>
      <w:proofErr w:type="spellEnd"/>
      <w:r w:rsidRPr="00DB6E56">
        <w:rPr>
          <w:rFonts w:ascii="Times New Roman" w:hAnsi="Times New Roman" w:cs="Times New Roman"/>
          <w:i/>
          <w:iCs/>
        </w:rPr>
        <w:t xml:space="preserve"> ‘</w:t>
      </w:r>
      <w:r w:rsidRPr="00DB6E56">
        <w:rPr>
          <w:rFonts w:ascii="Times New Roman" w:hAnsi="Times New Roman" w:cs="Times New Roman"/>
          <w:iCs/>
        </w:rPr>
        <w:t xml:space="preserve">Constitutional Change </w:t>
      </w:r>
      <w:r w:rsidRPr="006C647F">
        <w:rPr>
          <w:rFonts w:ascii="Times New Roman" w:hAnsi="Times New Roman" w:cs="Times New Roman"/>
          <w:iCs/>
          <w:color w:val="000000" w:themeColor="text1"/>
        </w:rPr>
        <w:t xml:space="preserve">and Territorial Consent: The </w:t>
      </w:r>
      <w:r w:rsidRPr="006C647F">
        <w:rPr>
          <w:rFonts w:ascii="Times New Roman" w:hAnsi="Times New Roman" w:cs="Times New Roman"/>
          <w:i/>
          <w:iCs/>
          <w:color w:val="000000" w:themeColor="text1"/>
        </w:rPr>
        <w:t>Miller</w:t>
      </w:r>
      <w:r w:rsidRPr="006C647F">
        <w:rPr>
          <w:rFonts w:ascii="Times New Roman" w:hAnsi="Times New Roman" w:cs="Times New Roman"/>
          <w:iCs/>
          <w:color w:val="000000" w:themeColor="text1"/>
        </w:rPr>
        <w:t xml:space="preserve"> case and the Sewel Convention’</w:t>
      </w:r>
      <w:r w:rsidRPr="006C647F">
        <w:rPr>
          <w:rFonts w:ascii="Times New Roman" w:hAnsi="Times New Roman" w:cs="Times New Roman"/>
          <w:i/>
          <w:iCs/>
          <w:color w:val="000000" w:themeColor="text1"/>
        </w:rPr>
        <w:t xml:space="preserve"> </w:t>
      </w:r>
      <w:r w:rsidRPr="006C647F">
        <w:rPr>
          <w:rFonts w:ascii="Times New Roman" w:hAnsi="Times New Roman" w:cs="Times New Roman"/>
          <w:iCs/>
          <w:color w:val="000000" w:themeColor="text1"/>
        </w:rPr>
        <w:t>in M Elliot, J Williams and A L Young,</w:t>
      </w:r>
      <w:r w:rsidRPr="006C647F">
        <w:rPr>
          <w:rFonts w:ascii="Times New Roman" w:hAnsi="Times New Roman" w:cs="Times New Roman"/>
          <w:i/>
          <w:iCs/>
          <w:color w:val="000000" w:themeColor="text1"/>
        </w:rPr>
        <w:t xml:space="preserve"> The UK Constitution after Brexit</w:t>
      </w:r>
      <w:r w:rsidRPr="006C647F">
        <w:rPr>
          <w:rFonts w:ascii="Times New Roman" w:hAnsi="Times New Roman" w:cs="Times New Roman"/>
          <w:iCs/>
          <w:color w:val="000000" w:themeColor="text1"/>
        </w:rPr>
        <w:t xml:space="preserve"> (Oxford: Hart, 2018).</w:t>
      </w:r>
    </w:p>
  </w:footnote>
  <w:footnote w:id="40">
    <w:p w14:paraId="54E2E30F" w14:textId="0BB118AA" w:rsidR="003B001B" w:rsidRPr="006C647F" w:rsidRDefault="003B001B" w:rsidP="00DB6E56">
      <w:pPr>
        <w:pStyle w:val="NormalWeb"/>
        <w:spacing w:before="0" w:beforeAutospacing="0" w:after="0" w:afterAutospacing="0"/>
        <w:jc w:val="both"/>
        <w:rPr>
          <w:color w:val="000000" w:themeColor="text1"/>
          <w:sz w:val="20"/>
          <w:szCs w:val="20"/>
        </w:rPr>
      </w:pPr>
      <w:r w:rsidRPr="006C647F">
        <w:rPr>
          <w:rStyle w:val="FootnoteReference"/>
          <w:color w:val="000000" w:themeColor="text1"/>
          <w:sz w:val="20"/>
          <w:szCs w:val="20"/>
        </w:rPr>
        <w:footnoteRef/>
      </w:r>
      <w:r w:rsidRPr="006C647F">
        <w:rPr>
          <w:color w:val="000000" w:themeColor="text1"/>
          <w:sz w:val="20"/>
          <w:szCs w:val="20"/>
        </w:rPr>
        <w:t xml:space="preserve"> C. McCorkindale </w:t>
      </w:r>
      <w:r w:rsidRPr="006C647F">
        <w:rPr>
          <w:i/>
          <w:iCs/>
          <w:color w:val="000000" w:themeColor="text1"/>
          <w:sz w:val="20"/>
          <w:szCs w:val="20"/>
        </w:rPr>
        <w:t>How is devolution changing post EU?</w:t>
      </w:r>
      <w:r w:rsidRPr="006C647F">
        <w:rPr>
          <w:color w:val="000000" w:themeColor="text1"/>
          <w:sz w:val="20"/>
          <w:szCs w:val="20"/>
        </w:rPr>
        <w:t xml:space="preserve"> Adviser’s briefing to Scottish Parliament</w:t>
      </w:r>
      <w:r w:rsidRPr="006C647F">
        <w:rPr>
          <w:rStyle w:val="Hyperlink"/>
          <w:color w:val="000000" w:themeColor="text1"/>
          <w:sz w:val="20"/>
          <w:szCs w:val="20"/>
        </w:rPr>
        <w:t xml:space="preserve"> Constitution, Europe, External Affairs and Culture Committee</w:t>
      </w:r>
      <w:r w:rsidRPr="006C647F">
        <w:rPr>
          <w:color w:val="000000" w:themeColor="text1"/>
          <w:sz w:val="20"/>
          <w:szCs w:val="20"/>
        </w:rPr>
        <w:t>, 17 Feb 2023 (accessed 5/6/23).</w:t>
      </w:r>
    </w:p>
  </w:footnote>
  <w:footnote w:id="41">
    <w:p w14:paraId="1F2D90AA" w14:textId="40AFB38D" w:rsidR="003B001B" w:rsidRPr="006C647F" w:rsidRDefault="003B001B" w:rsidP="00DB6E56">
      <w:pPr>
        <w:pStyle w:val="FootnoteText"/>
        <w:jc w:val="both"/>
        <w:rPr>
          <w:rFonts w:ascii="Times New Roman" w:hAnsi="Times New Roman" w:cs="Times New Roman"/>
          <w:color w:val="000000" w:themeColor="text1"/>
        </w:rPr>
      </w:pPr>
      <w:r w:rsidRPr="006C647F">
        <w:rPr>
          <w:rStyle w:val="FootnoteReference"/>
          <w:rFonts w:ascii="Times New Roman" w:hAnsi="Times New Roman" w:cs="Times New Roman"/>
          <w:color w:val="000000" w:themeColor="text1"/>
        </w:rPr>
        <w:footnoteRef/>
      </w:r>
      <w:r w:rsidRPr="006C647F">
        <w:rPr>
          <w:rFonts w:ascii="Times New Roman" w:hAnsi="Times New Roman" w:cs="Times New Roman"/>
          <w:color w:val="000000" w:themeColor="text1"/>
        </w:rPr>
        <w:t xml:space="preserve"> See also eg the Coronavirus Act 2020. </w:t>
      </w:r>
    </w:p>
  </w:footnote>
  <w:footnote w:id="42">
    <w:p w14:paraId="2DCFADB0" w14:textId="31BE7D09" w:rsidR="003B001B" w:rsidRPr="006C647F" w:rsidRDefault="003B001B">
      <w:pPr>
        <w:pStyle w:val="FootnoteText"/>
        <w:rPr>
          <w:rFonts w:ascii="Times New Roman" w:hAnsi="Times New Roman" w:cs="Times New Roman"/>
          <w:color w:val="000000" w:themeColor="text1"/>
        </w:rPr>
      </w:pPr>
      <w:r w:rsidRPr="006C647F">
        <w:rPr>
          <w:rStyle w:val="FootnoteReference"/>
          <w:rFonts w:ascii="Times New Roman" w:hAnsi="Times New Roman" w:cs="Times New Roman"/>
          <w:color w:val="000000" w:themeColor="text1"/>
        </w:rPr>
        <w:footnoteRef/>
      </w:r>
      <w:r w:rsidRPr="006C647F">
        <w:rPr>
          <w:rFonts w:ascii="Times New Roman" w:hAnsi="Times New Roman" w:cs="Times New Roman"/>
          <w:color w:val="000000" w:themeColor="text1"/>
        </w:rPr>
        <w:t xml:space="preserve"> See, eg Page and </w:t>
      </w:r>
      <w:proofErr w:type="spellStart"/>
      <w:r w:rsidRPr="006C647F">
        <w:rPr>
          <w:rFonts w:ascii="Times New Roman" w:hAnsi="Times New Roman" w:cs="Times New Roman"/>
          <w:color w:val="000000" w:themeColor="text1"/>
        </w:rPr>
        <w:t>Batey</w:t>
      </w:r>
      <w:proofErr w:type="spellEnd"/>
      <w:r w:rsidRPr="006C647F">
        <w:rPr>
          <w:rFonts w:ascii="Times New Roman" w:hAnsi="Times New Roman" w:cs="Times New Roman"/>
          <w:color w:val="000000" w:themeColor="text1"/>
        </w:rPr>
        <w:t xml:space="preserve"> (n</w:t>
      </w:r>
      <w:r>
        <w:rPr>
          <w:rFonts w:ascii="Times New Roman" w:hAnsi="Times New Roman" w:cs="Times New Roman"/>
          <w:color w:val="000000" w:themeColor="text1"/>
        </w:rPr>
        <w:t xml:space="preserve"> </w:t>
      </w:r>
      <w:r w:rsidRPr="006C647F">
        <w:rPr>
          <w:rFonts w:ascii="Times New Roman" w:hAnsi="Times New Roman" w:cs="Times New Roman"/>
          <w:color w:val="000000" w:themeColor="text1"/>
        </w:rPr>
        <w:t xml:space="preserve">9 above) on the discussion around the use of Westminster legislation by the first Scottish Parliament, and more recently, criticism from Senedd’s Legislation, Justice and Constitution Committee of the reliance on Westminster legislation by the Welsh Government, Legislation, Justice and Constitution Committee Annual Report 2020/2021 </w:t>
      </w:r>
      <w:hyperlink r:id="rId9" w:history="1">
        <w:r w:rsidRPr="006C647F">
          <w:rPr>
            <w:rStyle w:val="Hyperlink"/>
            <w:rFonts w:ascii="Times New Roman" w:hAnsi="Times New Roman" w:cs="Times New Roman"/>
            <w:color w:val="000000" w:themeColor="text1"/>
          </w:rPr>
          <w:t>https://senedd.wales/media/gjfnzsff/cr-ld15390-e.pdf</w:t>
        </w:r>
      </w:hyperlink>
      <w:r w:rsidRPr="006C647F">
        <w:rPr>
          <w:rFonts w:ascii="Times New Roman" w:hAnsi="Times New Roman" w:cs="Times New Roman"/>
          <w:color w:val="000000" w:themeColor="text1"/>
        </w:rPr>
        <w:t xml:space="preserve"> (accessed 9/9/23). </w:t>
      </w:r>
    </w:p>
  </w:footnote>
  <w:footnote w:id="43">
    <w:p w14:paraId="3EB81BC5" w14:textId="73CF99A2" w:rsidR="003B001B" w:rsidRPr="006C647F" w:rsidRDefault="003B001B" w:rsidP="00DB6E56">
      <w:pPr>
        <w:pStyle w:val="FootnoteText"/>
        <w:jc w:val="both"/>
        <w:rPr>
          <w:rFonts w:ascii="Times New Roman" w:hAnsi="Times New Roman" w:cs="Times New Roman"/>
          <w:color w:val="000000" w:themeColor="text1"/>
        </w:rPr>
      </w:pPr>
      <w:r w:rsidRPr="006C647F">
        <w:rPr>
          <w:rStyle w:val="FootnoteReference"/>
          <w:rFonts w:ascii="Times New Roman" w:hAnsi="Times New Roman" w:cs="Times New Roman"/>
          <w:color w:val="000000" w:themeColor="text1"/>
        </w:rPr>
        <w:footnoteRef/>
      </w:r>
      <w:r w:rsidRPr="006C647F">
        <w:rPr>
          <w:rFonts w:ascii="Times New Roman" w:hAnsi="Times New Roman" w:cs="Times New Roman"/>
          <w:color w:val="000000" w:themeColor="text1"/>
        </w:rPr>
        <w:t xml:space="preserve"> See also eg Page and </w:t>
      </w:r>
      <w:proofErr w:type="spellStart"/>
      <w:r w:rsidRPr="006C647F">
        <w:rPr>
          <w:rFonts w:ascii="Times New Roman" w:hAnsi="Times New Roman" w:cs="Times New Roman"/>
          <w:color w:val="000000" w:themeColor="text1"/>
        </w:rPr>
        <w:t>Batey</w:t>
      </w:r>
      <w:proofErr w:type="spellEnd"/>
      <w:r w:rsidRPr="006C647F">
        <w:rPr>
          <w:rFonts w:ascii="Times New Roman" w:hAnsi="Times New Roman" w:cs="Times New Roman"/>
          <w:color w:val="000000" w:themeColor="text1"/>
        </w:rPr>
        <w:t xml:space="preserve"> (n</w:t>
      </w:r>
      <w:r>
        <w:rPr>
          <w:rFonts w:ascii="Times New Roman" w:hAnsi="Times New Roman" w:cs="Times New Roman"/>
          <w:color w:val="000000" w:themeColor="text1"/>
        </w:rPr>
        <w:t xml:space="preserve"> </w:t>
      </w:r>
      <w:r w:rsidRPr="006C647F">
        <w:rPr>
          <w:rFonts w:ascii="Times New Roman" w:hAnsi="Times New Roman" w:cs="Times New Roman"/>
          <w:color w:val="000000" w:themeColor="text1"/>
        </w:rPr>
        <w:t>9 above). Scottish and Welsh MPs, of course, are able to play a role in representing the interests of their constituencies in Westminster legislative procedures.</w:t>
      </w:r>
    </w:p>
  </w:footnote>
  <w:footnote w:id="44">
    <w:p w14:paraId="321397E9" w14:textId="1964432B" w:rsidR="003B001B" w:rsidRPr="00DB6E56" w:rsidRDefault="003B001B" w:rsidP="00DB6E56">
      <w:pPr>
        <w:pStyle w:val="FootnoteText"/>
        <w:jc w:val="both"/>
        <w:rPr>
          <w:rFonts w:ascii="Times New Roman" w:hAnsi="Times New Roman" w:cs="Times New Roman"/>
        </w:rPr>
      </w:pPr>
      <w:r w:rsidRPr="006C647F">
        <w:rPr>
          <w:rStyle w:val="FootnoteReference"/>
          <w:rFonts w:ascii="Times New Roman" w:hAnsi="Times New Roman" w:cs="Times New Roman"/>
          <w:color w:val="000000" w:themeColor="text1"/>
        </w:rPr>
        <w:footnoteRef/>
      </w:r>
      <w:r w:rsidRPr="006C647F">
        <w:rPr>
          <w:rFonts w:ascii="Times New Roman" w:hAnsi="Times New Roman" w:cs="Times New Roman"/>
          <w:color w:val="000000" w:themeColor="text1"/>
        </w:rPr>
        <w:t xml:space="preserve"> Cabinet Office, </w:t>
      </w:r>
      <w:hyperlink r:id="rId10" w:history="1">
        <w:r w:rsidRPr="006C647F">
          <w:rPr>
            <w:rStyle w:val="Hyperlink"/>
            <w:rFonts w:ascii="Times New Roman" w:hAnsi="Times New Roman" w:cs="Times New Roman"/>
            <w:color w:val="000000" w:themeColor="text1"/>
          </w:rPr>
          <w:t>Devolution Guidance Notes</w:t>
        </w:r>
      </w:hyperlink>
      <w:r w:rsidRPr="006C647F">
        <w:rPr>
          <w:rFonts w:ascii="Times New Roman" w:hAnsi="Times New Roman" w:cs="Times New Roman"/>
          <w:color w:val="000000" w:themeColor="text1"/>
        </w:rPr>
        <w:t xml:space="preserve"> (accessed 5/6/23).</w:t>
      </w:r>
    </w:p>
  </w:footnote>
  <w:footnote w:id="45">
    <w:p w14:paraId="34B78A6E" w14:textId="7A49E48C" w:rsidR="003B001B" w:rsidRPr="006C647F"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r w:rsidRPr="006C647F">
        <w:rPr>
          <w:rFonts w:ascii="Times New Roman" w:hAnsi="Times New Roman" w:cs="Times New Roman"/>
        </w:rPr>
        <w:t xml:space="preserve">Cabinet Office, Devolution Guidance Notes: </w:t>
      </w:r>
      <w:hyperlink r:id="rId11" w:history="1">
        <w:r w:rsidRPr="006C647F">
          <w:rPr>
            <w:rStyle w:val="Hyperlink"/>
            <w:rFonts w:ascii="Times New Roman" w:hAnsi="Times New Roman" w:cs="Times New Roman"/>
          </w:rPr>
          <w:t>Post-devolution Primary Legislation affecting Scotland</w:t>
        </w:r>
      </w:hyperlink>
      <w:r w:rsidRPr="006C647F">
        <w:rPr>
          <w:rFonts w:ascii="Times New Roman" w:hAnsi="Times New Roman" w:cs="Times New Roman"/>
        </w:rPr>
        <w:t xml:space="preserve"> (November 2005) DGN 10 (accessed 5/6/23).</w:t>
      </w:r>
    </w:p>
  </w:footnote>
  <w:footnote w:id="46">
    <w:p w14:paraId="3E852EA8" w14:textId="1F08D0B9" w:rsidR="003B001B" w:rsidRPr="006C647F" w:rsidRDefault="003B001B" w:rsidP="00DB6E56">
      <w:pPr>
        <w:pStyle w:val="FootnoteText"/>
        <w:jc w:val="both"/>
        <w:rPr>
          <w:rFonts w:ascii="Times New Roman" w:hAnsi="Times New Roman" w:cs="Times New Roman"/>
        </w:rPr>
      </w:pPr>
      <w:r w:rsidRPr="006C647F">
        <w:rPr>
          <w:rStyle w:val="FootnoteReference"/>
          <w:rFonts w:ascii="Times New Roman" w:hAnsi="Times New Roman" w:cs="Times New Roman"/>
        </w:rPr>
        <w:footnoteRef/>
      </w:r>
      <w:r w:rsidRPr="006C647F">
        <w:rPr>
          <w:rFonts w:ascii="Times New Roman" w:hAnsi="Times New Roman" w:cs="Times New Roman"/>
        </w:rPr>
        <w:t xml:space="preserve"> For recent criticism, see eg N. McEwan, M. Kenny, J. Sheldon and C. Brown Swan, ‘Intergovernmental Relations in the UK: Time for a Radical Overhaul? (2020) 93(1) </w:t>
      </w:r>
      <w:r w:rsidRPr="006C647F">
        <w:rPr>
          <w:rFonts w:ascii="Times New Roman" w:hAnsi="Times New Roman" w:cs="Times New Roman"/>
          <w:i/>
        </w:rPr>
        <w:t>Political Quarterly</w:t>
      </w:r>
      <w:r w:rsidRPr="006C647F">
        <w:rPr>
          <w:rFonts w:ascii="Times New Roman" w:hAnsi="Times New Roman" w:cs="Times New Roman"/>
        </w:rPr>
        <w:t xml:space="preserve"> 632.</w:t>
      </w:r>
    </w:p>
  </w:footnote>
  <w:footnote w:id="47">
    <w:p w14:paraId="4B909515" w14:textId="11AA0081" w:rsidR="003B001B" w:rsidRPr="006C647F" w:rsidRDefault="003B001B">
      <w:pPr>
        <w:pStyle w:val="FootnoteText"/>
        <w:rPr>
          <w:rFonts w:ascii="Times New Roman" w:hAnsi="Times New Roman" w:cs="Times New Roman"/>
        </w:rPr>
      </w:pPr>
      <w:r w:rsidRPr="006C647F">
        <w:rPr>
          <w:rStyle w:val="FootnoteReference"/>
          <w:rFonts w:ascii="Times New Roman" w:hAnsi="Times New Roman" w:cs="Times New Roman"/>
        </w:rPr>
        <w:footnoteRef/>
      </w:r>
      <w:r w:rsidRPr="006C647F">
        <w:rPr>
          <w:rFonts w:ascii="Times New Roman" w:hAnsi="Times New Roman" w:cs="Times New Roman"/>
        </w:rPr>
        <w:t xml:space="preserve"> J. Gallagher, ‘International Relations in the UK: Co-operation, Competition and Constitutional Change’ (2012) 14 </w:t>
      </w:r>
      <w:r w:rsidRPr="006C647F">
        <w:rPr>
          <w:rFonts w:ascii="Times New Roman" w:hAnsi="Times New Roman" w:cs="Times New Roman"/>
          <w:i/>
          <w:iCs/>
        </w:rPr>
        <w:t>British Journal of Politics and International Relations</w:t>
      </w:r>
      <w:r w:rsidRPr="006C647F">
        <w:rPr>
          <w:rFonts w:ascii="Times New Roman" w:hAnsi="Times New Roman" w:cs="Times New Roman"/>
        </w:rPr>
        <w:t xml:space="preserve"> 198, at p200. </w:t>
      </w:r>
    </w:p>
  </w:footnote>
  <w:footnote w:id="48">
    <w:p w14:paraId="28F915F5" w14:textId="3844AFBC" w:rsidR="003B001B" w:rsidRPr="006C647F" w:rsidRDefault="003B001B" w:rsidP="00DB6E56">
      <w:pPr>
        <w:pStyle w:val="FootnoteText"/>
        <w:jc w:val="both"/>
        <w:rPr>
          <w:rFonts w:ascii="Times New Roman" w:hAnsi="Times New Roman" w:cs="Times New Roman"/>
        </w:rPr>
      </w:pPr>
      <w:r w:rsidRPr="006C647F">
        <w:rPr>
          <w:rStyle w:val="FootnoteReference"/>
          <w:rFonts w:ascii="Times New Roman" w:hAnsi="Times New Roman" w:cs="Times New Roman"/>
        </w:rPr>
        <w:footnoteRef/>
      </w:r>
      <w:r w:rsidRPr="006C647F">
        <w:rPr>
          <w:rFonts w:ascii="Times New Roman" w:hAnsi="Times New Roman" w:cs="Times New Roman"/>
        </w:rPr>
        <w:t xml:space="preserve"> SPICE and M. Keating, Joint Briefing for the Constitutional Affairs, Europe, External Affairs and Culture Committee, </w:t>
      </w:r>
      <w:r w:rsidRPr="006C647F">
        <w:rPr>
          <w:rFonts w:ascii="Times New Roman" w:hAnsi="Times New Roman" w:cs="Times New Roman"/>
          <w:i/>
          <w:iCs/>
        </w:rPr>
        <w:t>Intergovernmental Relations Panel</w:t>
      </w:r>
      <w:r w:rsidRPr="006C647F">
        <w:rPr>
          <w:rFonts w:ascii="Times New Roman" w:hAnsi="Times New Roman" w:cs="Times New Roman"/>
        </w:rPr>
        <w:t xml:space="preserve">, 2022, </w:t>
      </w:r>
      <w:hyperlink r:id="rId12" w:history="1">
        <w:r w:rsidRPr="006C647F">
          <w:rPr>
            <w:rStyle w:val="Hyperlink"/>
            <w:rFonts w:ascii="Times New Roman" w:hAnsi="Times New Roman" w:cs="Times New Roman"/>
          </w:rPr>
          <w:t>https://www.parliament.scot/~/media/committ/3548</w:t>
        </w:r>
      </w:hyperlink>
      <w:r w:rsidRPr="006C647F">
        <w:rPr>
          <w:rFonts w:ascii="Times New Roman" w:hAnsi="Times New Roman" w:cs="Times New Roman"/>
        </w:rPr>
        <w:t xml:space="preserve"> (accessed 9/6/23).</w:t>
      </w:r>
    </w:p>
  </w:footnote>
  <w:footnote w:id="49">
    <w:p w14:paraId="76CC300B" w14:textId="79AF8C23" w:rsidR="003B001B" w:rsidRPr="00DB6E56" w:rsidRDefault="003B001B" w:rsidP="00DB6E56">
      <w:pPr>
        <w:autoSpaceDE w:val="0"/>
        <w:autoSpaceDN w:val="0"/>
        <w:adjustRightInd w:val="0"/>
        <w:spacing w:after="0" w:line="240" w:lineRule="auto"/>
        <w:jc w:val="both"/>
        <w:rPr>
          <w:rFonts w:ascii="Times New Roman" w:hAnsi="Times New Roman" w:cs="Times New Roman"/>
          <w:sz w:val="20"/>
          <w:szCs w:val="20"/>
        </w:rPr>
      </w:pPr>
      <w:r w:rsidRPr="006C647F">
        <w:rPr>
          <w:rStyle w:val="FootnoteReference"/>
          <w:rFonts w:ascii="Times New Roman" w:hAnsi="Times New Roman" w:cs="Times New Roman"/>
          <w:sz w:val="20"/>
          <w:szCs w:val="20"/>
        </w:rPr>
        <w:footnoteRef/>
      </w:r>
      <w:r w:rsidRPr="006C647F">
        <w:rPr>
          <w:rFonts w:ascii="Times New Roman" w:hAnsi="Times New Roman" w:cs="Times New Roman"/>
          <w:sz w:val="20"/>
          <w:szCs w:val="20"/>
        </w:rPr>
        <w:t xml:space="preserve"> N McEwen and B </w:t>
      </w:r>
      <w:proofErr w:type="spellStart"/>
      <w:r w:rsidRPr="006C647F">
        <w:rPr>
          <w:rFonts w:ascii="Times New Roman" w:hAnsi="Times New Roman" w:cs="Times New Roman"/>
          <w:sz w:val="20"/>
          <w:szCs w:val="20"/>
        </w:rPr>
        <w:t>Petersohn</w:t>
      </w:r>
      <w:proofErr w:type="spellEnd"/>
      <w:r w:rsidRPr="006C647F">
        <w:rPr>
          <w:rFonts w:ascii="Times New Roman" w:hAnsi="Times New Roman" w:cs="Times New Roman"/>
          <w:sz w:val="20"/>
          <w:szCs w:val="20"/>
        </w:rPr>
        <w:t xml:space="preserve"> (n </w:t>
      </w:r>
      <w:r>
        <w:rPr>
          <w:rFonts w:ascii="Times New Roman" w:hAnsi="Times New Roman" w:cs="Times New Roman"/>
          <w:sz w:val="20"/>
          <w:szCs w:val="20"/>
        </w:rPr>
        <w:t>10</w:t>
      </w:r>
      <w:r w:rsidRPr="006C647F">
        <w:rPr>
          <w:rFonts w:ascii="Times New Roman" w:hAnsi="Times New Roman" w:cs="Times New Roman"/>
          <w:sz w:val="20"/>
          <w:szCs w:val="20"/>
        </w:rPr>
        <w:t xml:space="preserve"> above).</w:t>
      </w:r>
    </w:p>
  </w:footnote>
  <w:footnote w:id="50">
    <w:p w14:paraId="45211204" w14:textId="45C595F5" w:rsidR="003B001B" w:rsidRPr="0094252D"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also eg N. McEwen ‘The </w:t>
      </w:r>
      <w:r w:rsidRPr="0094252D">
        <w:rPr>
          <w:rFonts w:ascii="Times New Roman" w:hAnsi="Times New Roman" w:cs="Times New Roman"/>
        </w:rPr>
        <w:t>Limits of Self-Rule without Shared-Rule’ (n 10 above).</w:t>
      </w:r>
    </w:p>
  </w:footnote>
  <w:footnote w:id="51">
    <w:p w14:paraId="3B6E247F" w14:textId="77777777" w:rsidR="003B001B" w:rsidRPr="0094252D" w:rsidRDefault="003B001B" w:rsidP="00A76549">
      <w:pPr>
        <w:pStyle w:val="FootnoteText"/>
        <w:rPr>
          <w:rFonts w:ascii="Times New Roman" w:hAnsi="Times New Roman" w:cs="Times New Roman"/>
        </w:rPr>
      </w:pPr>
      <w:r w:rsidRPr="0094252D">
        <w:rPr>
          <w:rStyle w:val="FootnoteReference"/>
          <w:rFonts w:ascii="Times New Roman" w:hAnsi="Times New Roman" w:cs="Times New Roman"/>
        </w:rPr>
        <w:footnoteRef/>
      </w:r>
      <w:r w:rsidRPr="0094252D">
        <w:rPr>
          <w:rFonts w:ascii="Times New Roman" w:hAnsi="Times New Roman" w:cs="Times New Roman"/>
        </w:rPr>
        <w:t xml:space="preserve"> Conclusions of the Joint Review of Intergovernmental Relations, January 2022 </w:t>
      </w:r>
      <w:hyperlink r:id="rId13" w:history="1">
        <w:r w:rsidRPr="0094252D">
          <w:rPr>
            <w:rStyle w:val="Hyperlink"/>
            <w:rFonts w:ascii="Times New Roman" w:hAnsi="Times New Roman" w:cs="Times New Roman"/>
          </w:rPr>
          <w:t>https://www.gov.uk/government/publications/the-review-of-intergovernmental-relations</w:t>
        </w:r>
      </w:hyperlink>
      <w:r w:rsidRPr="0094252D">
        <w:rPr>
          <w:rFonts w:ascii="Times New Roman" w:hAnsi="Times New Roman" w:cs="Times New Roman"/>
        </w:rPr>
        <w:t xml:space="preserve"> (accessed 9/6/23).</w:t>
      </w:r>
    </w:p>
  </w:footnote>
  <w:footnote w:id="52">
    <w:p w14:paraId="6D509B2B" w14:textId="1DFE4CD2" w:rsidR="003B001B" w:rsidRPr="00F46EEB" w:rsidRDefault="003B001B" w:rsidP="00F46EEB">
      <w:pPr>
        <w:pStyle w:val="FootnoteText"/>
        <w:jc w:val="both"/>
        <w:rPr>
          <w:rFonts w:ascii="Times New Roman" w:hAnsi="Times New Roman" w:cs="Times New Roman"/>
        </w:rPr>
      </w:pPr>
      <w:r w:rsidRPr="00F46EEB">
        <w:rPr>
          <w:rStyle w:val="FootnoteReference"/>
          <w:rFonts w:ascii="Times New Roman" w:hAnsi="Times New Roman" w:cs="Times New Roman"/>
        </w:rPr>
        <w:footnoteRef/>
      </w:r>
      <w:r w:rsidRPr="00F46EEB">
        <w:rPr>
          <w:rFonts w:ascii="Times New Roman" w:hAnsi="Times New Roman" w:cs="Times New Roman"/>
        </w:rPr>
        <w:t xml:space="preserve"> House of Lords, Select Committee on the Constitution</w:t>
      </w:r>
      <w:hyperlink r:id="rId14" w:history="1">
        <w:r w:rsidRPr="00F46EEB">
          <w:rPr>
            <w:rStyle w:val="Hyperlink"/>
            <w:rFonts w:ascii="Times New Roman" w:hAnsi="Times New Roman" w:cs="Times New Roman"/>
          </w:rPr>
          <w:t xml:space="preserve">, </w:t>
        </w:r>
        <w:r w:rsidRPr="00F46EEB">
          <w:rPr>
            <w:rStyle w:val="Hyperlink"/>
            <w:rFonts w:ascii="Times New Roman" w:hAnsi="Times New Roman" w:cs="Times New Roman"/>
            <w:i/>
          </w:rPr>
          <w:t>Respect and Co-operation: Building a Stronger Union</w:t>
        </w:r>
        <w:r w:rsidRPr="00F46EEB">
          <w:rPr>
            <w:rStyle w:val="Hyperlink"/>
            <w:rFonts w:ascii="Times New Roman" w:hAnsi="Times New Roman" w:cs="Times New Roman"/>
          </w:rPr>
          <w:t xml:space="preserve"> for the 21st century</w:t>
        </w:r>
      </w:hyperlink>
      <w:r w:rsidRPr="00F46EEB">
        <w:rPr>
          <w:rFonts w:ascii="Times New Roman" w:hAnsi="Times New Roman" w:cs="Times New Roman"/>
        </w:rPr>
        <w:t>, 10th Report of Session 2021–22, HL 140, para. 182 (accessed 5/6/23).</w:t>
      </w:r>
    </w:p>
  </w:footnote>
  <w:footnote w:id="53">
    <w:p w14:paraId="53FF5CE5" w14:textId="225BBFB7" w:rsidR="003B001B" w:rsidRPr="00F46EEB" w:rsidRDefault="003B001B" w:rsidP="00F46EEB">
      <w:pPr>
        <w:pStyle w:val="FootnoteText"/>
        <w:jc w:val="both"/>
        <w:rPr>
          <w:rFonts w:ascii="Times New Roman" w:hAnsi="Times New Roman" w:cs="Times New Roman"/>
        </w:rPr>
      </w:pPr>
      <w:r w:rsidRPr="00F46EEB">
        <w:rPr>
          <w:rStyle w:val="FootnoteReference"/>
          <w:rFonts w:ascii="Times New Roman" w:hAnsi="Times New Roman" w:cs="Times New Roman"/>
        </w:rPr>
        <w:footnoteRef/>
      </w:r>
      <w:r w:rsidRPr="00F46EEB">
        <w:rPr>
          <w:rFonts w:ascii="Times New Roman" w:hAnsi="Times New Roman" w:cs="Times New Roman"/>
        </w:rPr>
        <w:t xml:space="preserve"> See n 50 above.</w:t>
      </w:r>
    </w:p>
  </w:footnote>
  <w:footnote w:id="54">
    <w:p w14:paraId="72AD0ABF" w14:textId="49C0650A" w:rsidR="003B001B" w:rsidRPr="00F46EEB" w:rsidRDefault="003B001B" w:rsidP="00F46EEB">
      <w:pPr>
        <w:pStyle w:val="Heading1"/>
        <w:spacing w:before="0"/>
        <w:jc w:val="both"/>
        <w:rPr>
          <w:rFonts w:ascii="Times New Roman" w:hAnsi="Times New Roman" w:cs="Times New Roman"/>
          <w:color w:val="0B0C0C"/>
          <w:sz w:val="20"/>
          <w:szCs w:val="20"/>
        </w:rPr>
      </w:pPr>
      <w:r w:rsidRPr="00F46EEB">
        <w:rPr>
          <w:rStyle w:val="FootnoteReference"/>
          <w:rFonts w:ascii="Times New Roman" w:hAnsi="Times New Roman" w:cs="Times New Roman"/>
          <w:sz w:val="20"/>
          <w:szCs w:val="20"/>
        </w:rPr>
        <w:footnoteRef/>
      </w:r>
      <w:r w:rsidRPr="00F46EEB">
        <w:rPr>
          <w:rFonts w:ascii="Times New Roman" w:hAnsi="Times New Roman" w:cs="Times New Roman"/>
          <w:sz w:val="20"/>
          <w:szCs w:val="20"/>
        </w:rPr>
        <w:t xml:space="preserve"> </w:t>
      </w:r>
      <w:hyperlink r:id="rId15" w:history="1">
        <w:r w:rsidRPr="00F46EEB">
          <w:rPr>
            <w:rStyle w:val="Hyperlink"/>
            <w:rFonts w:ascii="Times New Roman" w:hAnsi="Times New Roman" w:cs="Times New Roman"/>
            <w:sz w:val="20"/>
            <w:szCs w:val="20"/>
          </w:rPr>
          <w:t>Joint Ministerial Committee (EU Negotiations) communiqué: 10 October 2019</w:t>
        </w:r>
      </w:hyperlink>
      <w:r w:rsidRPr="00F46EEB">
        <w:rPr>
          <w:rFonts w:ascii="Times New Roman" w:hAnsi="Times New Roman" w:cs="Times New Roman"/>
          <w:color w:val="0B0C0C"/>
          <w:sz w:val="20"/>
          <w:szCs w:val="20"/>
        </w:rPr>
        <w:t xml:space="preserve">, </w:t>
      </w:r>
      <w:r w:rsidRPr="00F46EEB">
        <w:rPr>
          <w:rFonts w:ascii="Times New Roman" w:hAnsi="Times New Roman" w:cs="Times New Roman"/>
          <w:color w:val="auto"/>
          <w:sz w:val="20"/>
          <w:szCs w:val="20"/>
        </w:rPr>
        <w:t>intergovernmental agreement between UK, Scottish and Welsh governments, subsequently endorsed by NI Executive in June 2020 (accessed 5/6/23).</w:t>
      </w:r>
    </w:p>
  </w:footnote>
  <w:footnote w:id="55">
    <w:p w14:paraId="738234C6" w14:textId="34F2C30B" w:rsidR="003B001B" w:rsidRPr="00DB6E56" w:rsidRDefault="003B001B" w:rsidP="00F46EEB">
      <w:pPr>
        <w:pStyle w:val="FootnoteText"/>
        <w:jc w:val="both"/>
        <w:rPr>
          <w:rFonts w:ascii="Times New Roman" w:hAnsi="Times New Roman" w:cs="Times New Roman"/>
        </w:rPr>
      </w:pPr>
      <w:r w:rsidRPr="00F46EEB">
        <w:rPr>
          <w:rStyle w:val="FootnoteReference"/>
          <w:rFonts w:ascii="Times New Roman" w:hAnsi="Times New Roman" w:cs="Times New Roman"/>
        </w:rPr>
        <w:footnoteRef/>
      </w:r>
      <w:r w:rsidRPr="00F46EEB">
        <w:rPr>
          <w:rFonts w:ascii="Times New Roman" w:hAnsi="Times New Roman" w:cs="Times New Roman"/>
        </w:rPr>
        <w:t xml:space="preserve"> </w:t>
      </w:r>
      <w:hyperlink r:id="rId16" w:history="1">
        <w:r w:rsidRPr="00F46EEB">
          <w:rPr>
            <w:rStyle w:val="Hyperlink"/>
            <w:rFonts w:ascii="Times New Roman" w:hAnsi="Times New Roman" w:cs="Times New Roman"/>
          </w:rPr>
          <w:t>Joint Ministerial Committee (EU Negotiations) Communique</w:t>
        </w:r>
      </w:hyperlink>
      <w:r w:rsidRPr="00F46EEB">
        <w:rPr>
          <w:rFonts w:ascii="Times New Roman" w:hAnsi="Times New Roman" w:cs="Times New Roman"/>
        </w:rPr>
        <w:t xml:space="preserve"> (n 11 above).</w:t>
      </w:r>
    </w:p>
  </w:footnote>
  <w:footnote w:id="56">
    <w:p w14:paraId="549C764B" w14:textId="1C9FA446"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EU (Withdrawal) Bill, clause 11.</w:t>
      </w:r>
    </w:p>
  </w:footnote>
  <w:footnote w:id="57">
    <w:p w14:paraId="6B6F956B" w14:textId="10CCB0D2" w:rsidR="003B001B" w:rsidRPr="00DB6E56" w:rsidRDefault="003B001B" w:rsidP="00DB6E56">
      <w:pPr>
        <w:autoSpaceDE w:val="0"/>
        <w:autoSpaceDN w:val="0"/>
        <w:adjustRightInd w:val="0"/>
        <w:spacing w:after="0" w:line="240" w:lineRule="auto"/>
        <w:jc w:val="both"/>
        <w:rPr>
          <w:rFonts w:ascii="Times New Roman" w:hAnsi="Times New Roman" w:cs="Times New Roman"/>
          <w:sz w:val="20"/>
          <w:szCs w:val="20"/>
        </w:rPr>
      </w:pPr>
      <w:r w:rsidRPr="00DB6E56">
        <w:rPr>
          <w:rStyle w:val="FootnoteReference"/>
          <w:rFonts w:ascii="Times New Roman" w:hAnsi="Times New Roman" w:cs="Times New Roman"/>
          <w:sz w:val="20"/>
          <w:szCs w:val="20"/>
        </w:rPr>
        <w:footnoteRef/>
      </w:r>
      <w:r w:rsidRPr="00DB6E56">
        <w:rPr>
          <w:rFonts w:ascii="Times New Roman" w:hAnsi="Times New Roman" w:cs="Times New Roman"/>
          <w:sz w:val="20"/>
          <w:szCs w:val="20"/>
        </w:rPr>
        <w:t xml:space="preserve"> </w:t>
      </w:r>
      <w:hyperlink r:id="rId17" w:history="1">
        <w:r w:rsidRPr="00FB70FF">
          <w:rPr>
            <w:rStyle w:val="Hyperlink"/>
            <w:rFonts w:ascii="Times New Roman" w:hAnsi="Times New Roman" w:cs="Times New Roman"/>
            <w:sz w:val="20"/>
            <w:szCs w:val="20"/>
          </w:rPr>
          <w:t>Intergovernmental Agreement on the European Union (Withdrawal) Bill and the Establishment of Common Frameworks, 24 April 2018</w:t>
        </w:r>
      </w:hyperlink>
      <w:r>
        <w:rPr>
          <w:rFonts w:ascii="Times New Roman" w:hAnsi="Times New Roman" w:cs="Times New Roman"/>
          <w:sz w:val="20"/>
          <w:szCs w:val="20"/>
        </w:rPr>
        <w:t xml:space="preserve"> </w:t>
      </w:r>
      <w:r w:rsidRPr="002B01BC">
        <w:rPr>
          <w:rFonts w:ascii="Times New Roman" w:hAnsi="Times New Roman" w:cs="Times New Roman"/>
          <w:sz w:val="20"/>
          <w:szCs w:val="20"/>
        </w:rPr>
        <w:t>(accessed 5/6/23)</w:t>
      </w:r>
      <w:r>
        <w:rPr>
          <w:rFonts w:ascii="Times New Roman" w:hAnsi="Times New Roman" w:cs="Times New Roman"/>
          <w:sz w:val="20"/>
          <w:szCs w:val="20"/>
        </w:rPr>
        <w:t>.</w:t>
      </w:r>
    </w:p>
  </w:footnote>
  <w:footnote w:id="58">
    <w:p w14:paraId="2C457723" w14:textId="69045ADE"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Intergovernmental Agreement</w:t>
      </w:r>
      <w:r>
        <w:rPr>
          <w:rFonts w:ascii="Times New Roman" w:hAnsi="Times New Roman" w:cs="Times New Roman"/>
        </w:rPr>
        <w:t xml:space="preserve"> (n 5</w:t>
      </w:r>
      <w:r w:rsidR="00F46EEB">
        <w:rPr>
          <w:rFonts w:ascii="Times New Roman" w:hAnsi="Times New Roman" w:cs="Times New Roman"/>
        </w:rPr>
        <w:t>6</w:t>
      </w:r>
      <w:r>
        <w:rPr>
          <w:rFonts w:ascii="Times New Roman" w:hAnsi="Times New Roman" w:cs="Times New Roman"/>
        </w:rPr>
        <w:t xml:space="preserve"> above)</w:t>
      </w:r>
      <w:r w:rsidRPr="00DB6E56">
        <w:rPr>
          <w:rFonts w:ascii="Times New Roman" w:hAnsi="Times New Roman" w:cs="Times New Roman"/>
        </w:rPr>
        <w:t>, para</w:t>
      </w:r>
      <w:r>
        <w:rPr>
          <w:rFonts w:ascii="Times New Roman" w:hAnsi="Times New Roman" w:cs="Times New Roman"/>
        </w:rPr>
        <w:t xml:space="preserve"> </w:t>
      </w:r>
      <w:r w:rsidRPr="00DB6E56">
        <w:rPr>
          <w:rFonts w:ascii="Times New Roman" w:hAnsi="Times New Roman" w:cs="Times New Roman"/>
        </w:rPr>
        <w:t xml:space="preserve">1. </w:t>
      </w:r>
    </w:p>
  </w:footnote>
  <w:footnote w:id="59">
    <w:p w14:paraId="652F85A4" w14:textId="66EC4DF1"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eg Department of Environment, Food and Rural Affairs, </w:t>
      </w:r>
      <w:hyperlink r:id="rId18" w:history="1">
        <w:r w:rsidRPr="00DB6E56">
          <w:rPr>
            <w:rStyle w:val="Hyperlink"/>
            <w:rFonts w:ascii="Times New Roman" w:hAnsi="Times New Roman" w:cs="Times New Roman"/>
          </w:rPr>
          <w:t>Resources and Waste Provisional Common Framework: Framework Outline Agreement and Concordat,</w:t>
        </w:r>
      </w:hyperlink>
      <w:r w:rsidRPr="00DB6E56">
        <w:rPr>
          <w:rFonts w:ascii="Times New Roman" w:hAnsi="Times New Roman" w:cs="Times New Roman"/>
        </w:rPr>
        <w:t xml:space="preserve"> December 2022, CP 770, p10</w:t>
      </w:r>
      <w:r>
        <w:rPr>
          <w:rFonts w:ascii="Times New Roman" w:hAnsi="Times New Roman" w:cs="Times New Roman"/>
        </w:rPr>
        <w:t xml:space="preserve"> </w:t>
      </w:r>
      <w:r w:rsidRPr="00DB6E56">
        <w:rPr>
          <w:rFonts w:ascii="Times New Roman" w:hAnsi="Times New Roman" w:cs="Times New Roman"/>
        </w:rPr>
        <w:t>(accessed 5/6/</w:t>
      </w:r>
      <w:r>
        <w:rPr>
          <w:rFonts w:ascii="Times New Roman" w:hAnsi="Times New Roman" w:cs="Times New Roman"/>
        </w:rPr>
        <w:t>23</w:t>
      </w:r>
      <w:r w:rsidRPr="00DB6E56">
        <w:rPr>
          <w:rFonts w:ascii="Times New Roman" w:hAnsi="Times New Roman" w:cs="Times New Roman"/>
        </w:rPr>
        <w:t>)</w:t>
      </w:r>
      <w:r>
        <w:rPr>
          <w:rFonts w:ascii="Times New Roman" w:hAnsi="Times New Roman" w:cs="Times New Roman"/>
        </w:rPr>
        <w:t>.</w:t>
      </w:r>
    </w:p>
  </w:footnote>
  <w:footnote w:id="60">
    <w:p w14:paraId="07C2F0BE" w14:textId="485D0666" w:rsidR="003B001B" w:rsidRPr="00DB6E56" w:rsidRDefault="003B001B" w:rsidP="00DB6E56">
      <w:pPr>
        <w:pStyle w:val="NormalWeb"/>
        <w:shd w:val="clear" w:color="auto" w:fill="FFFFFF"/>
        <w:spacing w:before="0" w:beforeAutospacing="0" w:after="0" w:afterAutospacing="0"/>
        <w:jc w:val="both"/>
        <w:rPr>
          <w:sz w:val="20"/>
          <w:szCs w:val="20"/>
        </w:rPr>
      </w:pPr>
      <w:r w:rsidRPr="00DB6E56">
        <w:rPr>
          <w:rStyle w:val="FootnoteReference"/>
          <w:sz w:val="20"/>
          <w:szCs w:val="20"/>
        </w:rPr>
        <w:footnoteRef/>
      </w:r>
      <w:r w:rsidRPr="00DB6E56">
        <w:rPr>
          <w:sz w:val="20"/>
          <w:szCs w:val="20"/>
        </w:rPr>
        <w:t xml:space="preserve"> </w:t>
      </w:r>
      <w:hyperlink r:id="rId19" w:history="1">
        <w:r w:rsidRPr="00DB6E56">
          <w:rPr>
            <w:rStyle w:val="Hyperlink"/>
            <w:sz w:val="20"/>
            <w:szCs w:val="20"/>
          </w:rPr>
          <w:t>Frameworks Analysis: Breakdown of Areas of EU law that Intersect with Devolved Competences in Scotland, Wales and Northern Ireland</w:t>
        </w:r>
      </w:hyperlink>
      <w:r w:rsidRPr="00DB6E56">
        <w:rPr>
          <w:sz w:val="20"/>
          <w:szCs w:val="20"/>
        </w:rPr>
        <w:t xml:space="preserve">, 9 March 2018. (accessed 5/6/23). This document has subsequently been regularly updated and amended. </w:t>
      </w:r>
    </w:p>
  </w:footnote>
  <w:footnote w:id="61">
    <w:p w14:paraId="5C9A70E1" w14:textId="50BB1714" w:rsidR="003B001B" w:rsidRPr="00B1484D" w:rsidRDefault="003B001B" w:rsidP="00B1484D">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Pr>
          <w:rFonts w:ascii="Times New Roman" w:hAnsi="Times New Roman" w:cs="Times New Roman"/>
        </w:rPr>
        <w:t xml:space="preserve"> </w:t>
      </w:r>
      <w:hyperlink r:id="rId20" w:history="1">
        <w:r w:rsidRPr="004431E1">
          <w:rPr>
            <w:rStyle w:val="Hyperlink"/>
            <w:rFonts w:ascii="Times New Roman" w:hAnsi="Times New Roman" w:cs="Times New Roman"/>
          </w:rPr>
          <w:t>Frameworks Analysis 2021, Updated Analysis</w:t>
        </w:r>
      </w:hyperlink>
      <w:r w:rsidRPr="00B1484D">
        <w:rPr>
          <w:rFonts w:ascii="Times New Roman" w:hAnsi="Times New Roman" w:cs="Times New Roman"/>
        </w:rPr>
        <w:t>, 9 November 2021 (accessed 5/6/23).</w:t>
      </w:r>
    </w:p>
  </w:footnote>
  <w:footnote w:id="62">
    <w:p w14:paraId="2BE948FF" w14:textId="43180480" w:rsidR="003B001B" w:rsidRPr="00B1484D" w:rsidRDefault="003B001B" w:rsidP="00B1484D">
      <w:pPr>
        <w:pStyle w:val="FootnoteText"/>
        <w:jc w:val="both"/>
        <w:rPr>
          <w:rFonts w:ascii="Times New Roman" w:hAnsi="Times New Roman" w:cs="Times New Roman"/>
        </w:rPr>
      </w:pPr>
      <w:r w:rsidRPr="00B1484D">
        <w:rPr>
          <w:rStyle w:val="FootnoteReference"/>
          <w:rFonts w:ascii="Times New Roman" w:hAnsi="Times New Roman" w:cs="Times New Roman"/>
        </w:rPr>
        <w:footnoteRef/>
      </w:r>
      <w:r w:rsidRPr="00B1484D">
        <w:rPr>
          <w:rFonts w:ascii="Times New Roman" w:hAnsi="Times New Roman" w:cs="Times New Roman"/>
        </w:rPr>
        <w:t xml:space="preserve"> Department for Levelling Up, Housing and Communities, </w:t>
      </w:r>
      <w:hyperlink r:id="rId21" w:history="1">
        <w:r w:rsidRPr="004431E1">
          <w:rPr>
            <w:rStyle w:val="Hyperlink"/>
            <w:rFonts w:ascii="Times New Roman" w:hAnsi="Times New Roman" w:cs="Times New Roman"/>
          </w:rPr>
          <w:t>Hazardous Substances: Planning Framework</w:t>
        </w:r>
      </w:hyperlink>
      <w:r w:rsidRPr="00B1484D">
        <w:rPr>
          <w:rFonts w:ascii="Times New Roman" w:hAnsi="Times New Roman" w:cs="Times New Roman"/>
        </w:rPr>
        <w:t>, August 2021, CP 508 (accessed 5/6/23).</w:t>
      </w:r>
    </w:p>
  </w:footnote>
  <w:footnote w:id="63">
    <w:p w14:paraId="3CEFCE68" w14:textId="51BB4F37" w:rsidR="003B001B" w:rsidRPr="004431E1" w:rsidRDefault="003B001B" w:rsidP="004431E1">
      <w:pPr>
        <w:pStyle w:val="FootnoteText"/>
        <w:jc w:val="both"/>
        <w:rPr>
          <w:rFonts w:ascii="Times New Roman" w:hAnsi="Times New Roman" w:cs="Times New Roman"/>
        </w:rPr>
      </w:pPr>
      <w:r w:rsidRPr="004431E1">
        <w:rPr>
          <w:rStyle w:val="FootnoteReference"/>
          <w:rFonts w:ascii="Times New Roman" w:hAnsi="Times New Roman" w:cs="Times New Roman"/>
        </w:rPr>
        <w:footnoteRef/>
      </w:r>
      <w:r w:rsidRPr="004431E1">
        <w:rPr>
          <w:rFonts w:ascii="Times New Roman" w:hAnsi="Times New Roman" w:cs="Times New Roman"/>
        </w:rPr>
        <w:t xml:space="preserve"> The original timeframe </w:t>
      </w:r>
      <w:r>
        <w:rPr>
          <w:rFonts w:ascii="Times New Roman" w:hAnsi="Times New Roman" w:cs="Times New Roman"/>
        </w:rPr>
        <w:t>may appear</w:t>
      </w:r>
      <w:r w:rsidRPr="004431E1">
        <w:rPr>
          <w:rFonts w:ascii="Times New Roman" w:hAnsi="Times New Roman" w:cs="Times New Roman"/>
        </w:rPr>
        <w:t xml:space="preserve"> ambitious given the complexities involved. In any case, the continued suspension (at the time of writing) of the Northern Ireland Assembly </w:t>
      </w:r>
      <w:r>
        <w:rPr>
          <w:rFonts w:ascii="Times New Roman" w:hAnsi="Times New Roman" w:cs="Times New Roman"/>
        </w:rPr>
        <w:t>continues to block final approval for the remaining provisional Frameworks.</w:t>
      </w:r>
    </w:p>
  </w:footnote>
  <w:footnote w:id="64">
    <w:p w14:paraId="2FA22FA3" w14:textId="6A4A7D93" w:rsidR="003B001B" w:rsidRPr="00DB6E56" w:rsidRDefault="003B001B" w:rsidP="00B1484D">
      <w:pPr>
        <w:pStyle w:val="FootnoteText"/>
        <w:jc w:val="both"/>
        <w:rPr>
          <w:rFonts w:ascii="Times New Roman" w:hAnsi="Times New Roman" w:cs="Times New Roman"/>
        </w:rPr>
      </w:pPr>
      <w:r w:rsidRPr="00B1484D">
        <w:rPr>
          <w:rStyle w:val="FootnoteReference"/>
          <w:rFonts w:ascii="Times New Roman" w:hAnsi="Times New Roman" w:cs="Times New Roman"/>
        </w:rPr>
        <w:footnoteRef/>
      </w:r>
      <w:r w:rsidRPr="00B1484D">
        <w:rPr>
          <w:rFonts w:ascii="Times New Roman" w:hAnsi="Times New Roman" w:cs="Times New Roman"/>
        </w:rPr>
        <w:t xml:space="preserve"> See Frameworks Analysis 2021 (n </w:t>
      </w:r>
      <w:r w:rsidR="00F46EEB">
        <w:rPr>
          <w:rFonts w:ascii="Times New Roman" w:hAnsi="Times New Roman" w:cs="Times New Roman"/>
        </w:rPr>
        <w:t>60</w:t>
      </w:r>
      <w:r w:rsidRPr="00B1484D">
        <w:rPr>
          <w:rFonts w:ascii="Times New Roman" w:hAnsi="Times New Roman" w:cs="Times New Roman"/>
        </w:rPr>
        <w:t xml:space="preserve"> above)</w:t>
      </w:r>
    </w:p>
  </w:footnote>
  <w:footnote w:id="65">
    <w:p w14:paraId="7C0A4140" w14:textId="14BA0F9D"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hyperlink r:id="rId22" w:history="1">
        <w:r w:rsidRPr="00DB6E56">
          <w:rPr>
            <w:rStyle w:val="Hyperlink"/>
            <w:rFonts w:ascii="Times New Roman" w:hAnsi="Times New Roman" w:cs="Times New Roman"/>
          </w:rPr>
          <w:t>Joint Ministerial Committee (EU Negotiations) Communique</w:t>
        </w:r>
      </w:hyperlink>
      <w:r>
        <w:rPr>
          <w:rFonts w:ascii="Times New Roman" w:hAnsi="Times New Roman" w:cs="Times New Roman"/>
        </w:rPr>
        <w:t xml:space="preserve"> (n 11 above).</w:t>
      </w:r>
    </w:p>
  </w:footnote>
  <w:footnote w:id="66">
    <w:p w14:paraId="133FF508" w14:textId="1E8B68C4"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Department of Environment, Food and Rural Affairs, </w:t>
      </w:r>
      <w:hyperlink r:id="rId23" w:history="1">
        <w:r w:rsidRPr="00DB6E56">
          <w:rPr>
            <w:rStyle w:val="Hyperlink"/>
            <w:rFonts w:ascii="Times New Roman" w:hAnsi="Times New Roman" w:cs="Times New Roman"/>
          </w:rPr>
          <w:t>Resources and Waste Provisional Common Framework: Framework Outline Agreement and Concordat,</w:t>
        </w:r>
      </w:hyperlink>
      <w:r w:rsidRPr="00DB6E56">
        <w:rPr>
          <w:rFonts w:ascii="Times New Roman" w:hAnsi="Times New Roman" w:cs="Times New Roman"/>
        </w:rPr>
        <w:t xml:space="preserve"> December 2022, CP 770</w:t>
      </w:r>
      <w:r>
        <w:rPr>
          <w:rFonts w:ascii="Times New Roman" w:hAnsi="Times New Roman" w:cs="Times New Roman"/>
        </w:rPr>
        <w:t xml:space="preserve"> </w:t>
      </w:r>
      <w:r w:rsidRPr="00DB6E56">
        <w:rPr>
          <w:rFonts w:ascii="Times New Roman" w:hAnsi="Times New Roman" w:cs="Times New Roman"/>
        </w:rPr>
        <w:t>(accessed 5/6/</w:t>
      </w:r>
      <w:r>
        <w:rPr>
          <w:rFonts w:ascii="Times New Roman" w:hAnsi="Times New Roman" w:cs="Times New Roman"/>
        </w:rPr>
        <w:t>23</w:t>
      </w:r>
      <w:r w:rsidRPr="00DB6E56">
        <w:rPr>
          <w:rFonts w:ascii="Times New Roman" w:hAnsi="Times New Roman" w:cs="Times New Roman"/>
        </w:rPr>
        <w:t>)</w:t>
      </w:r>
      <w:r>
        <w:rPr>
          <w:rFonts w:ascii="Times New Roman" w:hAnsi="Times New Roman" w:cs="Times New Roman"/>
        </w:rPr>
        <w:t>.</w:t>
      </w:r>
    </w:p>
  </w:footnote>
  <w:footnote w:id="67">
    <w:p w14:paraId="6F9AC688" w14:textId="607A63D2"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Cabinet Office, </w:t>
      </w:r>
      <w:hyperlink r:id="rId24" w:history="1">
        <w:r w:rsidRPr="00DB6E56">
          <w:rPr>
            <w:rStyle w:val="Hyperlink"/>
            <w:rFonts w:ascii="Times New Roman" w:hAnsi="Times New Roman" w:cs="Times New Roman"/>
          </w:rPr>
          <w:t>Food and Feed Safety and Hygiene Common Framework: Provisional Framework Outline Agreement and Concordat</w:t>
        </w:r>
      </w:hyperlink>
      <w:r w:rsidRPr="00DB6E56">
        <w:rPr>
          <w:rFonts w:ascii="Times New Roman" w:hAnsi="Times New Roman" w:cs="Times New Roman"/>
        </w:rPr>
        <w:t>, November 2020 CP 321</w:t>
      </w:r>
      <w:r>
        <w:rPr>
          <w:rFonts w:ascii="Times New Roman" w:hAnsi="Times New Roman" w:cs="Times New Roman"/>
        </w:rPr>
        <w:t xml:space="preserve"> </w:t>
      </w:r>
      <w:r w:rsidRPr="00DB6E56">
        <w:rPr>
          <w:rFonts w:ascii="Times New Roman" w:hAnsi="Times New Roman" w:cs="Times New Roman"/>
        </w:rPr>
        <w:t>(accessed 5/6/</w:t>
      </w:r>
      <w:r>
        <w:rPr>
          <w:rFonts w:ascii="Times New Roman" w:hAnsi="Times New Roman" w:cs="Times New Roman"/>
        </w:rPr>
        <w:t>23</w:t>
      </w:r>
      <w:r w:rsidRPr="00DB6E56">
        <w:rPr>
          <w:rFonts w:ascii="Times New Roman" w:hAnsi="Times New Roman" w:cs="Times New Roman"/>
        </w:rPr>
        <w:t>)</w:t>
      </w:r>
      <w:r>
        <w:rPr>
          <w:rFonts w:ascii="Times New Roman" w:hAnsi="Times New Roman" w:cs="Times New Roman"/>
        </w:rPr>
        <w:t>.</w:t>
      </w:r>
    </w:p>
  </w:footnote>
  <w:footnote w:id="68">
    <w:p w14:paraId="65232195" w14:textId="15199216"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Department of Health and Social Care, </w:t>
      </w:r>
      <w:hyperlink r:id="rId25" w:history="1">
        <w:r w:rsidRPr="00DB6E56">
          <w:rPr>
            <w:rStyle w:val="Hyperlink"/>
            <w:rFonts w:ascii="Times New Roman" w:hAnsi="Times New Roman" w:cs="Times New Roman"/>
          </w:rPr>
          <w:t>Nutrition Related Labelling, Composition and Standards Provisional Common Framework</w:t>
        </w:r>
      </w:hyperlink>
      <w:r w:rsidRPr="00DB6E56">
        <w:rPr>
          <w:rFonts w:ascii="Times New Roman" w:hAnsi="Times New Roman" w:cs="Times New Roman"/>
        </w:rPr>
        <w:t>, October 2020 CP 306</w:t>
      </w:r>
      <w:r>
        <w:rPr>
          <w:rFonts w:ascii="Times New Roman" w:hAnsi="Times New Roman" w:cs="Times New Roman"/>
        </w:rPr>
        <w:t xml:space="preserve"> </w:t>
      </w:r>
      <w:r w:rsidRPr="00DB6E56">
        <w:rPr>
          <w:rFonts w:ascii="Times New Roman" w:hAnsi="Times New Roman" w:cs="Times New Roman"/>
        </w:rPr>
        <w:t>(accessed 5/6/</w:t>
      </w:r>
      <w:r>
        <w:rPr>
          <w:rFonts w:ascii="Times New Roman" w:hAnsi="Times New Roman" w:cs="Times New Roman"/>
        </w:rPr>
        <w:t>23</w:t>
      </w:r>
      <w:r w:rsidRPr="00DB6E56">
        <w:rPr>
          <w:rFonts w:ascii="Times New Roman" w:hAnsi="Times New Roman" w:cs="Times New Roman"/>
        </w:rPr>
        <w:t>)</w:t>
      </w:r>
      <w:r>
        <w:rPr>
          <w:rFonts w:ascii="Times New Roman" w:hAnsi="Times New Roman" w:cs="Times New Roman"/>
        </w:rPr>
        <w:t>.</w:t>
      </w:r>
    </w:p>
  </w:footnote>
  <w:footnote w:id="69">
    <w:p w14:paraId="30762791" w14:textId="44021C17"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For concerns here, see also House of Lords, Common Frameworks Scrutiny Committee, </w:t>
      </w:r>
      <w:hyperlink r:id="rId26" w:history="1">
        <w:r w:rsidRPr="00512123">
          <w:rPr>
            <w:rStyle w:val="Hyperlink"/>
            <w:rFonts w:ascii="Times New Roman" w:hAnsi="Times New Roman" w:cs="Times New Roman"/>
            <w:i/>
          </w:rPr>
          <w:t>Common Frameworks: An Unfulfilled Opportunity?</w:t>
        </w:r>
      </w:hyperlink>
      <w:r w:rsidRPr="00DB6E56">
        <w:rPr>
          <w:rFonts w:ascii="Times New Roman" w:hAnsi="Times New Roman" w:cs="Times New Roman"/>
        </w:rPr>
        <w:t xml:space="preserve"> (HL 2022-23, 41)</w:t>
      </w:r>
      <w:r>
        <w:rPr>
          <w:rFonts w:ascii="Times New Roman" w:hAnsi="Times New Roman" w:cs="Times New Roman"/>
        </w:rPr>
        <w:t xml:space="preserve"> (accessed 5/6/23)</w:t>
      </w:r>
      <w:r w:rsidRPr="00DB6E56">
        <w:rPr>
          <w:rFonts w:ascii="Times New Roman" w:hAnsi="Times New Roman" w:cs="Times New Roman"/>
        </w:rPr>
        <w:t>. See also Section 1.2, above.</w:t>
      </w:r>
    </w:p>
  </w:footnote>
  <w:footnote w:id="70">
    <w:p w14:paraId="3FD8AE22" w14:textId="37623C3C"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For a summary of regulatory initiatives, see Office for the Internal Market, </w:t>
      </w:r>
      <w:hyperlink r:id="rId27" w:history="1">
        <w:r w:rsidRPr="00512123">
          <w:rPr>
            <w:rStyle w:val="Hyperlink"/>
            <w:rFonts w:ascii="Times New Roman" w:hAnsi="Times New Roman" w:cs="Times New Roman"/>
            <w:i/>
          </w:rPr>
          <w:t>Annual Report on the operation of the UK Internal Market 2022-2023</w:t>
        </w:r>
      </w:hyperlink>
      <w:r w:rsidRPr="00DB6E56">
        <w:rPr>
          <w:rFonts w:ascii="Times New Roman" w:hAnsi="Times New Roman" w:cs="Times New Roman"/>
        </w:rPr>
        <w:t xml:space="preserve"> (21 March 2023, OIM9), pp 28-41</w:t>
      </w:r>
      <w:r>
        <w:rPr>
          <w:rFonts w:ascii="Times New Roman" w:hAnsi="Times New Roman" w:cs="Times New Roman"/>
        </w:rPr>
        <w:t xml:space="preserve"> (accessed 5/6/23).</w:t>
      </w:r>
    </w:p>
  </w:footnote>
  <w:footnote w:id="71">
    <w:p w14:paraId="769D1AA0" w14:textId="5C3D238E"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r>
        <w:rPr>
          <w:rFonts w:ascii="Times New Roman" w:hAnsi="Times New Roman" w:cs="Times New Roman"/>
        </w:rPr>
        <w:t>S</w:t>
      </w:r>
      <w:r w:rsidRPr="00DB6E56">
        <w:rPr>
          <w:rFonts w:ascii="Times New Roman" w:hAnsi="Times New Roman" w:cs="Times New Roman"/>
        </w:rPr>
        <w:t xml:space="preserve">ee eg </w:t>
      </w:r>
      <w:r>
        <w:rPr>
          <w:rFonts w:ascii="Times New Roman" w:hAnsi="Times New Roman" w:cs="Times New Roman"/>
        </w:rPr>
        <w:t>OIM</w:t>
      </w:r>
      <w:r w:rsidRPr="00DB6E56">
        <w:rPr>
          <w:rFonts w:ascii="Times New Roman" w:hAnsi="Times New Roman" w:cs="Times New Roman"/>
        </w:rPr>
        <w:t xml:space="preserve">, </w:t>
      </w:r>
      <w:r w:rsidRPr="00DB6E56">
        <w:rPr>
          <w:rFonts w:ascii="Times New Roman" w:hAnsi="Times New Roman" w:cs="Times New Roman"/>
          <w:i/>
        </w:rPr>
        <w:t xml:space="preserve">Annual Report </w:t>
      </w:r>
      <w:r>
        <w:rPr>
          <w:rFonts w:ascii="Times New Roman" w:hAnsi="Times New Roman" w:cs="Times New Roman"/>
        </w:rPr>
        <w:t>(n 6</w:t>
      </w:r>
      <w:r w:rsidR="00F46EEB">
        <w:rPr>
          <w:rFonts w:ascii="Times New Roman" w:hAnsi="Times New Roman" w:cs="Times New Roman"/>
        </w:rPr>
        <w:t>9</w:t>
      </w:r>
      <w:r>
        <w:rPr>
          <w:rFonts w:ascii="Times New Roman" w:hAnsi="Times New Roman" w:cs="Times New Roman"/>
        </w:rPr>
        <w:t xml:space="preserve"> above) </w:t>
      </w:r>
      <w:r w:rsidRPr="00DB6E56">
        <w:rPr>
          <w:rFonts w:ascii="Times New Roman" w:hAnsi="Times New Roman" w:cs="Times New Roman"/>
        </w:rPr>
        <w:t>p44-46.</w:t>
      </w:r>
    </w:p>
  </w:footnote>
  <w:footnote w:id="72">
    <w:p w14:paraId="041368E2" w14:textId="0A540F22"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House of Lords, </w:t>
      </w:r>
      <w:r w:rsidRPr="00DB6E56">
        <w:rPr>
          <w:rFonts w:ascii="Times New Roman" w:hAnsi="Times New Roman" w:cs="Times New Roman"/>
          <w:i/>
        </w:rPr>
        <w:t>Common Frameworks: An Unfulfilled Opportunity?</w:t>
      </w:r>
      <w:r w:rsidRPr="00DB6E56">
        <w:rPr>
          <w:rFonts w:ascii="Times New Roman" w:hAnsi="Times New Roman" w:cs="Times New Roman"/>
        </w:rPr>
        <w:t xml:space="preserve"> (</w:t>
      </w:r>
      <w:r>
        <w:rPr>
          <w:rFonts w:ascii="Times New Roman" w:hAnsi="Times New Roman" w:cs="Times New Roman"/>
        </w:rPr>
        <w:t xml:space="preserve">n </w:t>
      </w:r>
      <w:r w:rsidR="00F46EEB">
        <w:rPr>
          <w:rFonts w:ascii="Times New Roman" w:hAnsi="Times New Roman" w:cs="Times New Roman"/>
        </w:rPr>
        <w:t>68</w:t>
      </w:r>
      <w:r>
        <w:rPr>
          <w:rFonts w:ascii="Times New Roman" w:hAnsi="Times New Roman" w:cs="Times New Roman"/>
        </w:rPr>
        <w:t xml:space="preserve"> above).</w:t>
      </w:r>
    </w:p>
  </w:footnote>
  <w:footnote w:id="73">
    <w:p w14:paraId="1DD11978" w14:textId="1F513B9B"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hyperlink r:id="rId28" w:history="1">
        <w:r w:rsidRPr="00DB6E56">
          <w:rPr>
            <w:rStyle w:val="Hyperlink"/>
            <w:rFonts w:ascii="Times New Roman" w:hAnsi="Times New Roman" w:cs="Times New Roman"/>
          </w:rPr>
          <w:t>Joint Ministerial Committee (EU Negotiations) Communique</w:t>
        </w:r>
      </w:hyperlink>
      <w:r>
        <w:rPr>
          <w:rFonts w:ascii="Times New Roman" w:hAnsi="Times New Roman" w:cs="Times New Roman"/>
        </w:rPr>
        <w:t xml:space="preserve"> (n 11 above).</w:t>
      </w:r>
    </w:p>
  </w:footnote>
  <w:footnote w:id="74">
    <w:p w14:paraId="750C715C" w14:textId="6817F933" w:rsidR="003B001B" w:rsidRPr="00B24389"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Cabinet </w:t>
      </w:r>
      <w:r w:rsidRPr="00B24389">
        <w:rPr>
          <w:rFonts w:ascii="Times New Roman" w:hAnsi="Times New Roman" w:cs="Times New Roman"/>
        </w:rPr>
        <w:t xml:space="preserve">Office, </w:t>
      </w:r>
      <w:hyperlink r:id="rId29" w:history="1">
        <w:r w:rsidRPr="00B24389">
          <w:rPr>
            <w:rStyle w:val="Hyperlink"/>
            <w:rFonts w:ascii="Times New Roman" w:hAnsi="Times New Roman" w:cs="Times New Roman"/>
          </w:rPr>
          <w:t>Food and Feed Safety and Hygiene Common Framework: Provisional Framework Outline Agreement and Concordat</w:t>
        </w:r>
      </w:hyperlink>
      <w:r w:rsidRPr="00B24389">
        <w:rPr>
          <w:rFonts w:ascii="Times New Roman" w:hAnsi="Times New Roman" w:cs="Times New Roman"/>
        </w:rPr>
        <w:t>, November 2020 CP 321, p7 (accessed 5/6/23).</w:t>
      </w:r>
    </w:p>
  </w:footnote>
  <w:footnote w:id="75">
    <w:p w14:paraId="26556322" w14:textId="775BB1CA" w:rsidR="003B001B" w:rsidRPr="00B24389" w:rsidRDefault="003B001B" w:rsidP="00DB6E56">
      <w:pPr>
        <w:pStyle w:val="FootnoteText"/>
        <w:jc w:val="both"/>
        <w:rPr>
          <w:rFonts w:ascii="Times New Roman" w:hAnsi="Times New Roman" w:cs="Times New Roman"/>
        </w:rPr>
      </w:pPr>
      <w:r w:rsidRPr="00B24389">
        <w:rPr>
          <w:rStyle w:val="FootnoteReference"/>
          <w:rFonts w:ascii="Times New Roman" w:hAnsi="Times New Roman" w:cs="Times New Roman"/>
        </w:rPr>
        <w:footnoteRef/>
      </w:r>
      <w:r w:rsidRPr="00B24389">
        <w:rPr>
          <w:rFonts w:ascii="Times New Roman" w:hAnsi="Times New Roman" w:cs="Times New Roman"/>
        </w:rPr>
        <w:t xml:space="preserve"> Food and Feed Safety and Hygiene Common Framework, p7 (accessed 5/6/23).</w:t>
      </w:r>
    </w:p>
  </w:footnote>
  <w:footnote w:id="76">
    <w:p w14:paraId="23A20526" w14:textId="3C1364D3" w:rsidR="003B001B" w:rsidRPr="00B24389" w:rsidRDefault="003B001B">
      <w:pPr>
        <w:pStyle w:val="FootnoteText"/>
        <w:rPr>
          <w:rFonts w:ascii="Times New Roman" w:hAnsi="Times New Roman" w:cs="Times New Roman"/>
        </w:rPr>
      </w:pPr>
      <w:r w:rsidRPr="00B24389">
        <w:rPr>
          <w:rStyle w:val="FootnoteReference"/>
          <w:rFonts w:ascii="Times New Roman" w:hAnsi="Times New Roman" w:cs="Times New Roman"/>
        </w:rPr>
        <w:footnoteRef/>
      </w:r>
      <w:r w:rsidRPr="00B24389">
        <w:rPr>
          <w:rFonts w:ascii="Times New Roman" w:hAnsi="Times New Roman" w:cs="Times New Roman"/>
        </w:rPr>
        <w:t xml:space="preserve"> Food and Feed Safety and Hygiene Common Framework, p13 (accessed 9/6/23).</w:t>
      </w:r>
    </w:p>
  </w:footnote>
  <w:footnote w:id="77">
    <w:p w14:paraId="275C5A06" w14:textId="54E9E1A0" w:rsidR="003B001B" w:rsidRPr="00B24389" w:rsidRDefault="003B001B" w:rsidP="00DB6E56">
      <w:pPr>
        <w:pStyle w:val="FootnoteText"/>
        <w:jc w:val="both"/>
        <w:rPr>
          <w:rFonts w:ascii="Times New Roman" w:hAnsi="Times New Roman" w:cs="Times New Roman"/>
        </w:rPr>
      </w:pPr>
      <w:r w:rsidRPr="00B24389">
        <w:rPr>
          <w:rStyle w:val="FootnoteReference"/>
          <w:rFonts w:ascii="Times New Roman" w:hAnsi="Times New Roman" w:cs="Times New Roman"/>
        </w:rPr>
        <w:footnoteRef/>
      </w:r>
      <w:r w:rsidRPr="00B24389">
        <w:rPr>
          <w:rFonts w:ascii="Times New Roman" w:hAnsi="Times New Roman" w:cs="Times New Roman"/>
        </w:rPr>
        <w:t xml:space="preserve"> Department of Environment, Food and Rural Affairs, </w:t>
      </w:r>
      <w:hyperlink r:id="rId30" w:history="1">
        <w:r w:rsidRPr="00B24389">
          <w:rPr>
            <w:rStyle w:val="Hyperlink"/>
            <w:rFonts w:ascii="Times New Roman" w:hAnsi="Times New Roman" w:cs="Times New Roman"/>
          </w:rPr>
          <w:t>Resources and Waste Provisional Common Framework: Framework Outline Agreement and Concordat,</w:t>
        </w:r>
      </w:hyperlink>
      <w:r w:rsidRPr="00B24389">
        <w:rPr>
          <w:rFonts w:ascii="Times New Roman" w:hAnsi="Times New Roman" w:cs="Times New Roman"/>
        </w:rPr>
        <w:t xml:space="preserve"> December 2022, CP 770 (accessed 5/6/23).</w:t>
      </w:r>
    </w:p>
  </w:footnote>
  <w:footnote w:id="78">
    <w:p w14:paraId="4435A0D9" w14:textId="2E8F522E" w:rsidR="003B001B" w:rsidRPr="00B24389" w:rsidRDefault="003B001B" w:rsidP="00DB6E56">
      <w:pPr>
        <w:pStyle w:val="FootnoteText"/>
        <w:jc w:val="both"/>
        <w:rPr>
          <w:rFonts w:ascii="Times New Roman" w:hAnsi="Times New Roman" w:cs="Times New Roman"/>
        </w:rPr>
      </w:pPr>
      <w:r w:rsidRPr="00B24389">
        <w:rPr>
          <w:rStyle w:val="FootnoteReference"/>
          <w:rFonts w:ascii="Times New Roman" w:hAnsi="Times New Roman" w:cs="Times New Roman"/>
        </w:rPr>
        <w:footnoteRef/>
      </w:r>
      <w:r w:rsidRPr="00B24389">
        <w:rPr>
          <w:rFonts w:ascii="Times New Roman" w:hAnsi="Times New Roman" w:cs="Times New Roman"/>
        </w:rPr>
        <w:t xml:space="preserve"> Resources and Waste Provisional Common Framework</w:t>
      </w:r>
      <w:r>
        <w:rPr>
          <w:rFonts w:ascii="Times New Roman" w:hAnsi="Times New Roman" w:cs="Times New Roman"/>
        </w:rPr>
        <w:t xml:space="preserve">, </w:t>
      </w:r>
      <w:r w:rsidRPr="00B24389">
        <w:rPr>
          <w:rFonts w:ascii="Times New Roman" w:hAnsi="Times New Roman" w:cs="Times New Roman"/>
        </w:rPr>
        <w:t>p 27.</w:t>
      </w:r>
    </w:p>
  </w:footnote>
  <w:footnote w:id="79">
    <w:p w14:paraId="77AB6A35" w14:textId="1D1913E2" w:rsidR="003B001B" w:rsidRPr="00DB6E56" w:rsidRDefault="003B001B" w:rsidP="00DB6E56">
      <w:pPr>
        <w:pStyle w:val="FootnoteText"/>
        <w:jc w:val="both"/>
        <w:rPr>
          <w:rFonts w:ascii="Times New Roman" w:hAnsi="Times New Roman" w:cs="Times New Roman"/>
        </w:rPr>
      </w:pPr>
      <w:r w:rsidRPr="00B24389">
        <w:rPr>
          <w:rStyle w:val="FootnoteReference"/>
          <w:rFonts w:ascii="Times New Roman" w:hAnsi="Times New Roman" w:cs="Times New Roman"/>
        </w:rPr>
        <w:footnoteRef/>
      </w:r>
      <w:r w:rsidRPr="00B24389">
        <w:rPr>
          <w:rFonts w:ascii="Times New Roman" w:hAnsi="Times New Roman" w:cs="Times New Roman"/>
        </w:rPr>
        <w:t xml:space="preserve"> Resources and Waste Provisional Common Framework</w:t>
      </w:r>
      <w:r>
        <w:rPr>
          <w:rFonts w:ascii="Times New Roman" w:hAnsi="Times New Roman" w:cs="Times New Roman"/>
        </w:rPr>
        <w:t>,</w:t>
      </w:r>
      <w:r w:rsidRPr="00B24389">
        <w:rPr>
          <w:rFonts w:ascii="Times New Roman" w:hAnsi="Times New Roman" w:cs="Times New Roman"/>
        </w:rPr>
        <w:t xml:space="preserve"> p 30.</w:t>
      </w:r>
    </w:p>
  </w:footnote>
  <w:footnote w:id="80">
    <w:p w14:paraId="2F95D479" w14:textId="6B09277A"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UKIMA, Preamble. For discussion see eg M Dougan, J Hunt, N McEwen and A </w:t>
      </w:r>
      <w:proofErr w:type="spellStart"/>
      <w:r w:rsidRPr="00DB6E56">
        <w:rPr>
          <w:rFonts w:ascii="Times New Roman" w:hAnsi="Times New Roman" w:cs="Times New Roman"/>
        </w:rPr>
        <w:t>McHarg</w:t>
      </w:r>
      <w:proofErr w:type="spellEnd"/>
      <w:r w:rsidRPr="00DB6E56">
        <w:rPr>
          <w:rFonts w:ascii="Times New Roman" w:hAnsi="Times New Roman" w:cs="Times New Roman"/>
        </w:rPr>
        <w:t xml:space="preserve">, </w:t>
      </w:r>
      <w:r>
        <w:rPr>
          <w:rFonts w:ascii="Times New Roman" w:hAnsi="Times New Roman" w:cs="Times New Roman"/>
        </w:rPr>
        <w:t>‘</w:t>
      </w:r>
      <w:r w:rsidRPr="00DB6E56">
        <w:rPr>
          <w:rFonts w:ascii="Times New Roman" w:hAnsi="Times New Roman" w:cs="Times New Roman"/>
        </w:rPr>
        <w:t xml:space="preserve">Sleeping with an </w:t>
      </w:r>
      <w:r>
        <w:rPr>
          <w:rFonts w:ascii="Times New Roman" w:hAnsi="Times New Roman" w:cs="Times New Roman"/>
        </w:rPr>
        <w:t>E</w:t>
      </w:r>
      <w:r w:rsidRPr="00DB6E56">
        <w:rPr>
          <w:rFonts w:ascii="Times New Roman" w:hAnsi="Times New Roman" w:cs="Times New Roman"/>
        </w:rPr>
        <w:t xml:space="preserve">lephant: </w:t>
      </w:r>
      <w:r>
        <w:rPr>
          <w:rFonts w:ascii="Times New Roman" w:hAnsi="Times New Roman" w:cs="Times New Roman"/>
        </w:rPr>
        <w:t>D</w:t>
      </w:r>
      <w:r w:rsidRPr="00DB6E56">
        <w:rPr>
          <w:rFonts w:ascii="Times New Roman" w:hAnsi="Times New Roman" w:cs="Times New Roman"/>
        </w:rPr>
        <w:t xml:space="preserve">evolution and the United Kingdom Internal Market Act 2020 (2022) 138 </w:t>
      </w:r>
      <w:r w:rsidRPr="002B01BC">
        <w:rPr>
          <w:rFonts w:ascii="Times New Roman" w:hAnsi="Times New Roman" w:cs="Times New Roman"/>
          <w:i/>
        </w:rPr>
        <w:t>LQR</w:t>
      </w:r>
      <w:r w:rsidRPr="00DB6E56">
        <w:rPr>
          <w:rFonts w:ascii="Times New Roman" w:hAnsi="Times New Roman" w:cs="Times New Roman"/>
        </w:rPr>
        <w:t xml:space="preserve"> 650, T. Horsley, ‘Constitutional Reform by Legal Transplantation: The United Kingdom Internal Market Act 2020’ (2022) 42(4) </w:t>
      </w:r>
      <w:r w:rsidRPr="00DB6E56">
        <w:rPr>
          <w:rFonts w:ascii="Times New Roman" w:hAnsi="Times New Roman" w:cs="Times New Roman"/>
          <w:i/>
        </w:rPr>
        <w:t>OJLS</w:t>
      </w:r>
      <w:r w:rsidRPr="00DB6E56">
        <w:rPr>
          <w:rFonts w:ascii="Times New Roman" w:hAnsi="Times New Roman" w:cs="Times New Roman"/>
        </w:rPr>
        <w:t xml:space="preserve"> 1143 and K Armstrong, ‘The Governance of Economic Unionism after the United Kingdom Internal Market Act’ (2022) 85(3) </w:t>
      </w:r>
      <w:r w:rsidRPr="002B01BC">
        <w:rPr>
          <w:rFonts w:ascii="Times New Roman" w:hAnsi="Times New Roman" w:cs="Times New Roman"/>
          <w:i/>
        </w:rPr>
        <w:t>MLR</w:t>
      </w:r>
      <w:r w:rsidRPr="00DB6E56">
        <w:rPr>
          <w:rFonts w:ascii="Times New Roman" w:hAnsi="Times New Roman" w:cs="Times New Roman"/>
        </w:rPr>
        <w:t xml:space="preserve"> 635.</w:t>
      </w:r>
    </w:p>
  </w:footnote>
  <w:footnote w:id="81">
    <w:p w14:paraId="46988618" w14:textId="68B6FCB3"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Department for Business, Energy and Industrial Strategy, </w:t>
      </w:r>
      <w:hyperlink r:id="rId31" w:history="1">
        <w:r w:rsidRPr="00DB6E56">
          <w:rPr>
            <w:rStyle w:val="Hyperlink"/>
            <w:rFonts w:ascii="Times New Roman" w:hAnsi="Times New Roman" w:cs="Times New Roman"/>
          </w:rPr>
          <w:t>UK Internal Market, White Paper</w:t>
        </w:r>
      </w:hyperlink>
      <w:r w:rsidRPr="00DB6E56">
        <w:rPr>
          <w:rFonts w:ascii="Times New Roman" w:hAnsi="Times New Roman" w:cs="Times New Roman"/>
        </w:rPr>
        <w:t>, July 2020 CP 278.</w:t>
      </w:r>
    </w:p>
  </w:footnote>
  <w:footnote w:id="82">
    <w:p w14:paraId="645D1E9C" w14:textId="3E8AF7A6"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Protocol on Ireland/Northern Ireland [2020] OJ L27/102, implemented by the European Union (Withdrawal Agreement) Act 2020. On 24 March 2023, the EU-UK Joint Committee reached agreement on the Windsor Framework amending the Protocol. For analysis, see eg C R G Murray and N Robb, ‘From the Protocol to the Windsor Framework (2022) 74(1) </w:t>
      </w:r>
      <w:r w:rsidRPr="002B01BC">
        <w:rPr>
          <w:rFonts w:ascii="Times New Roman" w:hAnsi="Times New Roman" w:cs="Times New Roman"/>
          <w:i/>
        </w:rPr>
        <w:t>NILQ</w:t>
      </w:r>
      <w:r w:rsidRPr="00DB6E56">
        <w:rPr>
          <w:rFonts w:ascii="Times New Roman" w:hAnsi="Times New Roman" w:cs="Times New Roman"/>
        </w:rPr>
        <w:t xml:space="preserve"> (advanced</w:t>
      </w:r>
      <w:r>
        <w:rPr>
          <w:rFonts w:ascii="Times New Roman" w:hAnsi="Times New Roman" w:cs="Times New Roman"/>
        </w:rPr>
        <w:t xml:space="preserve"> view</w:t>
      </w:r>
      <w:r w:rsidRPr="00DB6E56">
        <w:rPr>
          <w:rFonts w:ascii="Times New Roman" w:hAnsi="Times New Roman" w:cs="Times New Roman"/>
        </w:rPr>
        <w:t xml:space="preserve">). </w:t>
      </w:r>
    </w:p>
  </w:footnote>
  <w:footnote w:id="83">
    <w:p w14:paraId="2685A70A" w14:textId="5B9CAAFD"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ss5-9 and ss19-21 UKIMA, respectively. </w:t>
      </w:r>
    </w:p>
  </w:footnote>
  <w:footnote w:id="84">
    <w:p w14:paraId="04EFD030" w14:textId="7F698AD5"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The EU free movement also regulates capital and payments (Art 63 TFEU) and persons (Arts 45 and 49 TEFU). </w:t>
      </w:r>
    </w:p>
  </w:footnote>
  <w:footnote w:id="85">
    <w:p w14:paraId="636C22FB" w14:textId="0A6865B4"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R (on the application of </w:t>
      </w:r>
      <w:proofErr w:type="spellStart"/>
      <w:r w:rsidRPr="00DB6E56">
        <w:rPr>
          <w:rFonts w:ascii="Times New Roman" w:hAnsi="Times New Roman" w:cs="Times New Roman"/>
          <w:i/>
        </w:rPr>
        <w:t>Petsafe</w:t>
      </w:r>
      <w:proofErr w:type="spellEnd"/>
      <w:r w:rsidRPr="00DB6E56">
        <w:rPr>
          <w:rFonts w:ascii="Times New Roman" w:hAnsi="Times New Roman" w:cs="Times New Roman"/>
          <w:i/>
        </w:rPr>
        <w:t xml:space="preserve"> Ltd) v Welsh Ministers</w:t>
      </w:r>
      <w:r w:rsidRPr="00DB6E56">
        <w:rPr>
          <w:rFonts w:ascii="Times New Roman" w:hAnsi="Times New Roman" w:cs="Times New Roman"/>
        </w:rPr>
        <w:t xml:space="preserve"> </w:t>
      </w:r>
      <w:r>
        <w:rPr>
          <w:rFonts w:ascii="Times New Roman" w:hAnsi="Times New Roman" w:cs="Times New Roman"/>
        </w:rPr>
        <w:t xml:space="preserve">(n 14 above) </w:t>
      </w:r>
      <w:r w:rsidRPr="00DB6E56">
        <w:rPr>
          <w:rFonts w:ascii="Times New Roman" w:hAnsi="Times New Roman" w:cs="Times New Roman"/>
        </w:rPr>
        <w:t xml:space="preserve">See also eg </w:t>
      </w:r>
      <w:r w:rsidRPr="00DB6E56">
        <w:rPr>
          <w:rFonts w:ascii="Times New Roman" w:hAnsi="Times New Roman" w:cs="Times New Roman"/>
          <w:i/>
        </w:rPr>
        <w:t>Sinclair Collins v Lord Advocate</w:t>
      </w:r>
      <w:r w:rsidRPr="00DB6E56">
        <w:rPr>
          <w:rFonts w:ascii="Times New Roman" w:hAnsi="Times New Roman" w:cs="Times New Roman"/>
        </w:rPr>
        <w:t xml:space="preserve"> [2012] CSIH 12.</w:t>
      </w:r>
    </w:p>
  </w:footnote>
  <w:footnote w:id="86">
    <w:p w14:paraId="4686EEFE" w14:textId="723C8CA6"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For discussion, see Horsley</w:t>
      </w:r>
      <w:r>
        <w:rPr>
          <w:rFonts w:ascii="Times New Roman" w:hAnsi="Times New Roman" w:cs="Times New Roman"/>
        </w:rPr>
        <w:t xml:space="preserve"> (n 7</w:t>
      </w:r>
      <w:r w:rsidR="00F46EEB">
        <w:rPr>
          <w:rFonts w:ascii="Times New Roman" w:hAnsi="Times New Roman" w:cs="Times New Roman"/>
        </w:rPr>
        <w:t>9</w:t>
      </w:r>
      <w:r>
        <w:rPr>
          <w:rFonts w:ascii="Times New Roman" w:hAnsi="Times New Roman" w:cs="Times New Roman"/>
        </w:rPr>
        <w:t xml:space="preserve"> above)</w:t>
      </w:r>
      <w:r w:rsidRPr="00DB6E56">
        <w:rPr>
          <w:rFonts w:ascii="Times New Roman" w:hAnsi="Times New Roman" w:cs="Times New Roman"/>
        </w:rPr>
        <w:t xml:space="preserve">. For comparative law perspectives contrast eg Alan Watson, </w:t>
      </w:r>
      <w:r w:rsidRPr="002B01BC">
        <w:rPr>
          <w:rFonts w:ascii="Times New Roman" w:hAnsi="Times New Roman" w:cs="Times New Roman"/>
          <w:i/>
        </w:rPr>
        <w:t>Legal Transplants: An Approach to Comparative Law</w:t>
      </w:r>
      <w:r w:rsidRPr="00DB6E56">
        <w:rPr>
          <w:rFonts w:ascii="Times New Roman" w:hAnsi="Times New Roman" w:cs="Times New Roman"/>
        </w:rPr>
        <w:t xml:space="preserve"> (2nd </w:t>
      </w:r>
      <w:proofErr w:type="spellStart"/>
      <w:r w:rsidRPr="00DB6E56">
        <w:rPr>
          <w:rFonts w:ascii="Times New Roman" w:hAnsi="Times New Roman" w:cs="Times New Roman"/>
        </w:rPr>
        <w:t>edn</w:t>
      </w:r>
      <w:proofErr w:type="spellEnd"/>
      <w:r w:rsidRPr="00DB6E56">
        <w:rPr>
          <w:rFonts w:ascii="Times New Roman" w:hAnsi="Times New Roman" w:cs="Times New Roman"/>
        </w:rPr>
        <w:t xml:space="preserve">, University of Georgia Press 1993) and P Legrand, ‘The Impossibility of “Legal Transplants”’ (1997) 4 </w:t>
      </w:r>
      <w:r>
        <w:rPr>
          <w:rFonts w:ascii="Times New Roman" w:hAnsi="Times New Roman" w:cs="Times New Roman"/>
          <w:i/>
        </w:rPr>
        <w:t>Maastricht Journal of European and Comparative Law</w:t>
      </w:r>
      <w:r w:rsidRPr="00DB6E56">
        <w:rPr>
          <w:rFonts w:ascii="Times New Roman" w:hAnsi="Times New Roman" w:cs="Times New Roman"/>
        </w:rPr>
        <w:t xml:space="preserve"> 114. </w:t>
      </w:r>
    </w:p>
  </w:footnote>
  <w:footnote w:id="87">
    <w:p w14:paraId="26E9C2AE" w14:textId="317372A9"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The UK government has proved reluctant to acknowledge this process of legal transplantation. Indeed, its </w:t>
      </w:r>
      <w:r w:rsidRPr="00DB6E56">
        <w:rPr>
          <w:rFonts w:ascii="Times New Roman" w:hAnsi="Times New Roman" w:cs="Times New Roman"/>
          <w:i/>
        </w:rPr>
        <w:t>White Paper</w:t>
      </w:r>
      <w:r w:rsidRPr="00DB6E56">
        <w:rPr>
          <w:rFonts w:ascii="Times New Roman" w:hAnsi="Times New Roman" w:cs="Times New Roman"/>
        </w:rPr>
        <w:t xml:space="preserve"> reads as a conscious attempt to downplay EU influence. </w:t>
      </w:r>
    </w:p>
  </w:footnote>
  <w:footnote w:id="88">
    <w:p w14:paraId="418B711F" w14:textId="77777777"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Directive (EU) 2015/1535 of the European Parliament and of the Council of 9 September 2015 laying down a procedure for the provision of information in the field of technical regulations and of rules on Information Society services [2015] OJ L 241-1. </w:t>
      </w:r>
    </w:p>
  </w:footnote>
  <w:footnote w:id="89">
    <w:p w14:paraId="1D7F8CDA" w14:textId="0C311F36"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Ss 34-36, UKIMA.</w:t>
      </w:r>
    </w:p>
  </w:footnote>
  <w:footnote w:id="90">
    <w:p w14:paraId="7B755326" w14:textId="62126D4D"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here also eg N </w:t>
      </w:r>
      <w:r w:rsidRPr="00DB6E56">
        <w:rPr>
          <w:rFonts w:ascii="Times New Roman" w:hAnsi="Times New Roman" w:cs="Times New Roman"/>
          <w:lang w:val="en-US"/>
        </w:rPr>
        <w:t>McEwen</w:t>
      </w:r>
      <w:r>
        <w:rPr>
          <w:rFonts w:ascii="Times New Roman" w:hAnsi="Times New Roman" w:cs="Times New Roman"/>
          <w:lang w:val="en-US"/>
        </w:rPr>
        <w:t xml:space="preserve"> (n 6 above</w:t>
      </w:r>
      <w:r w:rsidRPr="00DB6E56">
        <w:rPr>
          <w:rFonts w:ascii="Times New Roman" w:hAnsi="Times New Roman" w:cs="Times New Roman"/>
        </w:rPr>
        <w:t>)</w:t>
      </w:r>
      <w:r>
        <w:rPr>
          <w:rFonts w:ascii="Times New Roman" w:hAnsi="Times New Roman" w:cs="Times New Roman"/>
        </w:rPr>
        <w:t>.</w:t>
      </w:r>
    </w:p>
  </w:footnote>
  <w:footnote w:id="91">
    <w:p w14:paraId="52F75345" w14:textId="67E7D199"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r w:rsidRPr="00DB6E56">
        <w:rPr>
          <w:rFonts w:ascii="Times New Roman" w:hAnsi="Times New Roman" w:cs="Times New Roman"/>
          <w:i/>
        </w:rPr>
        <w:t>R (On the Application of The Counsel General for Wales) v The Secretary of State for Business Energy and Industrial Strategy</w:t>
      </w:r>
      <w:r w:rsidRPr="00DB6E56">
        <w:rPr>
          <w:rFonts w:ascii="Times New Roman" w:hAnsi="Times New Roman" w:cs="Times New Roman"/>
        </w:rPr>
        <w:t xml:space="preserve"> [2021] EWHC 950 (Admin).</w:t>
      </w:r>
    </w:p>
  </w:footnote>
  <w:footnote w:id="92">
    <w:p w14:paraId="41A4F59D" w14:textId="5EF54544"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r w:rsidRPr="00DB6E56">
        <w:rPr>
          <w:rFonts w:ascii="Times New Roman" w:hAnsi="Times New Roman" w:cs="Times New Roman"/>
          <w:i/>
        </w:rPr>
        <w:t>R (On the Application of The Counsel General for Wales) v The Secretary of State for Business Energy and Industrial Strategy</w:t>
      </w:r>
      <w:r w:rsidRPr="00DB6E56">
        <w:rPr>
          <w:rFonts w:ascii="Times New Roman" w:hAnsi="Times New Roman" w:cs="Times New Roman"/>
        </w:rPr>
        <w:t xml:space="preserve"> [2022] EWCA </w:t>
      </w:r>
      <w:proofErr w:type="spellStart"/>
      <w:r w:rsidRPr="00DB6E56">
        <w:rPr>
          <w:rFonts w:ascii="Times New Roman" w:hAnsi="Times New Roman" w:cs="Times New Roman"/>
        </w:rPr>
        <w:t>Civ</w:t>
      </w:r>
      <w:proofErr w:type="spellEnd"/>
      <w:r w:rsidRPr="00DB6E56">
        <w:rPr>
          <w:rFonts w:ascii="Times New Roman" w:hAnsi="Times New Roman" w:cs="Times New Roman"/>
        </w:rPr>
        <w:t xml:space="preserve"> 118 at [15].</w:t>
      </w:r>
    </w:p>
  </w:footnote>
  <w:footnote w:id="93">
    <w:p w14:paraId="005A3D4E" w14:textId="1CE126D2"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r w:rsidRPr="00DB6E56">
        <w:rPr>
          <w:rFonts w:ascii="Times New Roman" w:hAnsi="Times New Roman" w:cs="Times New Roman"/>
          <w:i/>
        </w:rPr>
        <w:t>R (On the Application of The Counsel General for Wales) v The Secretary of State for Business Energy and Industrial Strategy</w:t>
      </w:r>
      <w:r w:rsidRPr="00DB6E56">
        <w:rPr>
          <w:rFonts w:ascii="Times New Roman" w:hAnsi="Times New Roman" w:cs="Times New Roman"/>
        </w:rPr>
        <w:t xml:space="preserve"> </w:t>
      </w:r>
      <w:r>
        <w:rPr>
          <w:rFonts w:ascii="Times New Roman" w:hAnsi="Times New Roman" w:cs="Times New Roman"/>
        </w:rPr>
        <w:t xml:space="preserve">(n </w:t>
      </w:r>
      <w:r w:rsidR="00F46EEB">
        <w:rPr>
          <w:rFonts w:ascii="Times New Roman" w:hAnsi="Times New Roman" w:cs="Times New Roman"/>
        </w:rPr>
        <w:t>90</w:t>
      </w:r>
      <w:r>
        <w:rPr>
          <w:rFonts w:ascii="Times New Roman" w:hAnsi="Times New Roman" w:cs="Times New Roman"/>
        </w:rPr>
        <w:t xml:space="preserve"> above) </w:t>
      </w:r>
      <w:r w:rsidRPr="00DB6E56">
        <w:rPr>
          <w:rFonts w:ascii="Times New Roman" w:hAnsi="Times New Roman" w:cs="Times New Roman"/>
        </w:rPr>
        <w:t xml:space="preserve">at [38], confirmed on appeal in </w:t>
      </w:r>
      <w:r w:rsidRPr="00DB6E56">
        <w:rPr>
          <w:rFonts w:ascii="Times New Roman" w:hAnsi="Times New Roman" w:cs="Times New Roman"/>
          <w:i/>
        </w:rPr>
        <w:t>R (On the Application of The Counsel General for Wales) v The Secretary of State for Business Energy and Industrial Strategy</w:t>
      </w:r>
      <w:r w:rsidRPr="00DB6E56">
        <w:rPr>
          <w:rFonts w:ascii="Times New Roman" w:hAnsi="Times New Roman" w:cs="Times New Roman"/>
        </w:rPr>
        <w:t xml:space="preserve"> </w:t>
      </w:r>
      <w:r>
        <w:rPr>
          <w:rFonts w:ascii="Times New Roman" w:hAnsi="Times New Roman" w:cs="Times New Roman"/>
        </w:rPr>
        <w:t xml:space="preserve">(n </w:t>
      </w:r>
      <w:r w:rsidR="00F46EEB">
        <w:rPr>
          <w:rFonts w:ascii="Times New Roman" w:hAnsi="Times New Roman" w:cs="Times New Roman"/>
        </w:rPr>
        <w:t>91</w:t>
      </w:r>
      <w:r>
        <w:rPr>
          <w:rFonts w:ascii="Times New Roman" w:hAnsi="Times New Roman" w:cs="Times New Roman"/>
        </w:rPr>
        <w:t xml:space="preserve"> above) </w:t>
      </w:r>
      <w:r w:rsidRPr="00DB6E56">
        <w:rPr>
          <w:rFonts w:ascii="Times New Roman" w:hAnsi="Times New Roman" w:cs="Times New Roman"/>
        </w:rPr>
        <w:t>at [36]. The UK Supreme Court refused permission to appeal in August 2022.</w:t>
      </w:r>
      <w:r w:rsidR="00F7768A">
        <w:rPr>
          <w:rFonts w:ascii="Times New Roman" w:hAnsi="Times New Roman" w:cs="Times New Roman"/>
        </w:rPr>
        <w:t xml:space="preserve"> For analysis, see in this Special Edition, G. P. Evans, ‘Devolution and Declaratory Judgements: The Counsel General’s Reference on the UK Internal Market Act 2020.’</w:t>
      </w:r>
    </w:p>
  </w:footnote>
  <w:footnote w:id="94">
    <w:p w14:paraId="414B51D3" w14:textId="0A5A5A5B"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r w:rsidRPr="00DB6E56">
        <w:rPr>
          <w:rFonts w:ascii="Times New Roman" w:hAnsi="Times New Roman" w:cs="Times New Roman"/>
          <w:i/>
        </w:rPr>
        <w:t>UK Internal Market</w:t>
      </w:r>
      <w:r>
        <w:rPr>
          <w:rFonts w:ascii="Times New Roman" w:hAnsi="Times New Roman" w:cs="Times New Roman"/>
          <w:i/>
        </w:rPr>
        <w:t xml:space="preserve">, </w:t>
      </w:r>
      <w:r w:rsidRPr="00DB6E56">
        <w:rPr>
          <w:rFonts w:ascii="Times New Roman" w:hAnsi="Times New Roman" w:cs="Times New Roman"/>
        </w:rPr>
        <w:t>White Paper</w:t>
      </w:r>
      <w:r>
        <w:rPr>
          <w:rFonts w:ascii="Times New Roman" w:hAnsi="Times New Roman" w:cs="Times New Roman"/>
        </w:rPr>
        <w:t xml:space="preserve"> (n </w:t>
      </w:r>
      <w:r w:rsidR="00F46EEB">
        <w:rPr>
          <w:rFonts w:ascii="Times New Roman" w:hAnsi="Times New Roman" w:cs="Times New Roman"/>
        </w:rPr>
        <w:t>80</w:t>
      </w:r>
      <w:r>
        <w:rPr>
          <w:rFonts w:ascii="Times New Roman" w:hAnsi="Times New Roman" w:cs="Times New Roman"/>
        </w:rPr>
        <w:t xml:space="preserve"> above).</w:t>
      </w:r>
    </w:p>
  </w:footnote>
  <w:footnote w:id="95">
    <w:p w14:paraId="018EE233" w14:textId="77777777"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House of Lords, Select Committee on the Constitution, United Kingdom Internal Market Bill (HL Paper 151). See also E Lydgate and C Anthony, ‘Brexit, Food Law and the UK’s Search for a Post-EU Identity’ (2022) 85(5) </w:t>
      </w:r>
      <w:r w:rsidRPr="002B01BC">
        <w:rPr>
          <w:rFonts w:ascii="Times New Roman" w:hAnsi="Times New Roman" w:cs="Times New Roman"/>
          <w:i/>
        </w:rPr>
        <w:t>MLR</w:t>
      </w:r>
      <w:r w:rsidRPr="00DB6E56">
        <w:rPr>
          <w:rFonts w:ascii="Times New Roman" w:hAnsi="Times New Roman" w:cs="Times New Roman"/>
        </w:rPr>
        <w:t xml:space="preserve"> 1168, 1182.</w:t>
      </w:r>
    </w:p>
  </w:footnote>
  <w:footnote w:id="96">
    <w:p w14:paraId="50E4CC58" w14:textId="761FEDAF"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eg Case 120/78 </w:t>
      </w:r>
      <w:proofErr w:type="spellStart"/>
      <w:r w:rsidRPr="00DB6E56">
        <w:rPr>
          <w:rFonts w:ascii="Times New Roman" w:hAnsi="Times New Roman" w:cs="Times New Roman"/>
          <w:i/>
        </w:rPr>
        <w:t>Rewe-Zentral</w:t>
      </w:r>
      <w:proofErr w:type="spellEnd"/>
      <w:r w:rsidRPr="00DB6E56">
        <w:rPr>
          <w:rFonts w:ascii="Times New Roman" w:hAnsi="Times New Roman" w:cs="Times New Roman"/>
          <w:i/>
        </w:rPr>
        <w:t xml:space="preserve"> AG v </w:t>
      </w:r>
      <w:proofErr w:type="spellStart"/>
      <w:r w:rsidRPr="00DB6E56">
        <w:rPr>
          <w:rFonts w:ascii="Times New Roman" w:hAnsi="Times New Roman" w:cs="Times New Roman"/>
          <w:i/>
        </w:rPr>
        <w:t>Bundesmonopolverwaltung</w:t>
      </w:r>
      <w:proofErr w:type="spellEnd"/>
      <w:r w:rsidRPr="00DB6E56">
        <w:rPr>
          <w:rFonts w:ascii="Times New Roman" w:hAnsi="Times New Roman" w:cs="Times New Roman"/>
          <w:i/>
        </w:rPr>
        <w:t xml:space="preserve"> </w:t>
      </w:r>
      <w:proofErr w:type="spellStart"/>
      <w:r w:rsidRPr="00DB6E56">
        <w:rPr>
          <w:rFonts w:ascii="Times New Roman" w:hAnsi="Times New Roman" w:cs="Times New Roman"/>
          <w:i/>
        </w:rPr>
        <w:t>für</w:t>
      </w:r>
      <w:proofErr w:type="spellEnd"/>
      <w:r w:rsidRPr="00DB6E56">
        <w:rPr>
          <w:rFonts w:ascii="Times New Roman" w:hAnsi="Times New Roman" w:cs="Times New Roman"/>
          <w:i/>
        </w:rPr>
        <w:t xml:space="preserve"> </w:t>
      </w:r>
      <w:proofErr w:type="spellStart"/>
      <w:r w:rsidRPr="00DB6E56">
        <w:rPr>
          <w:rFonts w:ascii="Times New Roman" w:hAnsi="Times New Roman" w:cs="Times New Roman"/>
          <w:i/>
        </w:rPr>
        <w:t>Branntwein</w:t>
      </w:r>
      <w:proofErr w:type="spellEnd"/>
      <w:r w:rsidRPr="00DB6E56">
        <w:rPr>
          <w:rFonts w:ascii="Times New Roman" w:hAnsi="Times New Roman" w:cs="Times New Roman"/>
          <w:i/>
        </w:rPr>
        <w:t xml:space="preserve"> (Cassis de Dijon)</w:t>
      </w:r>
      <w:r w:rsidRPr="00DB6E56">
        <w:rPr>
          <w:rFonts w:ascii="Times New Roman" w:hAnsi="Times New Roman" w:cs="Times New Roman"/>
        </w:rPr>
        <w:t xml:space="preserve"> ECLI:EU:</w:t>
      </w:r>
      <w:proofErr w:type="gramStart"/>
      <w:r w:rsidRPr="00DB6E56">
        <w:rPr>
          <w:rFonts w:ascii="Times New Roman" w:hAnsi="Times New Roman" w:cs="Times New Roman"/>
        </w:rPr>
        <w:t>C:1979:42</w:t>
      </w:r>
      <w:proofErr w:type="gramEnd"/>
      <w:r w:rsidRPr="00DB6E56">
        <w:rPr>
          <w:rFonts w:ascii="Times New Roman" w:hAnsi="Times New Roman" w:cs="Times New Roman"/>
        </w:rPr>
        <w:t xml:space="preserve"> at para 8. In all cases, justifications are subject to a strict proportionality test.  </w:t>
      </w:r>
    </w:p>
  </w:footnote>
  <w:footnote w:id="97">
    <w:p w14:paraId="61886A22" w14:textId="5BF4F8D0"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R (on the application of </w:t>
      </w:r>
      <w:proofErr w:type="spellStart"/>
      <w:r w:rsidRPr="00DB6E56">
        <w:rPr>
          <w:rFonts w:ascii="Times New Roman" w:hAnsi="Times New Roman" w:cs="Times New Roman"/>
          <w:i/>
        </w:rPr>
        <w:t>Petsafe</w:t>
      </w:r>
      <w:proofErr w:type="spellEnd"/>
      <w:r w:rsidRPr="00DB6E56">
        <w:rPr>
          <w:rFonts w:ascii="Times New Roman" w:hAnsi="Times New Roman" w:cs="Times New Roman"/>
          <w:i/>
        </w:rPr>
        <w:t xml:space="preserve"> Ltd) v Welsh Ministers</w:t>
      </w:r>
      <w:r w:rsidRPr="00DB6E56">
        <w:rPr>
          <w:rFonts w:ascii="Times New Roman" w:hAnsi="Times New Roman" w:cs="Times New Roman"/>
        </w:rPr>
        <w:t xml:space="preserve"> </w:t>
      </w:r>
      <w:r>
        <w:rPr>
          <w:rFonts w:ascii="Times New Roman" w:hAnsi="Times New Roman" w:cs="Times New Roman"/>
        </w:rPr>
        <w:t>(n 14 above).</w:t>
      </w:r>
    </w:p>
  </w:footnote>
  <w:footnote w:id="98">
    <w:p w14:paraId="495C8F9E" w14:textId="77777777"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Defined as ‘a consensus between a Minister of the Crown and one or more devolved administrations as to how devolved or transferred matters previously governed by EU law are to be regulated after IP completion day.’ See UKIMA, s10(4).</w:t>
      </w:r>
    </w:p>
  </w:footnote>
  <w:footnote w:id="99">
    <w:p w14:paraId="7EFE699A" w14:textId="77777777"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Ss 10 and 18, UKIMA.</w:t>
      </w:r>
    </w:p>
  </w:footnote>
  <w:footnote w:id="100">
    <w:p w14:paraId="0126248C" w14:textId="2BC259CA"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hyperlink r:id="rId32" w:history="1">
        <w:r w:rsidRPr="00DB6E56">
          <w:rPr>
            <w:rStyle w:val="Hyperlink"/>
            <w:rFonts w:ascii="Times New Roman" w:hAnsi="Times New Roman" w:cs="Times New Roman"/>
          </w:rPr>
          <w:t>Process for considering UK Internal Market Act exclusions in Common Framework areas</w:t>
        </w:r>
      </w:hyperlink>
      <w:r w:rsidRPr="00DB6E56">
        <w:rPr>
          <w:rFonts w:ascii="Times New Roman" w:hAnsi="Times New Roman" w:cs="Times New Roman"/>
        </w:rPr>
        <w:t xml:space="preserve"> (10 December 2021)</w:t>
      </w:r>
      <w:r>
        <w:rPr>
          <w:rFonts w:ascii="Times New Roman" w:hAnsi="Times New Roman" w:cs="Times New Roman"/>
        </w:rPr>
        <w:t xml:space="preserve"> (accessed 5/6/23).</w:t>
      </w:r>
    </w:p>
  </w:footnote>
  <w:footnote w:id="101">
    <w:p w14:paraId="2F54BC0B" w14:textId="566C31DD"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also eg Armstrong</w:t>
      </w:r>
      <w:r>
        <w:rPr>
          <w:rFonts w:ascii="Times New Roman" w:hAnsi="Times New Roman" w:cs="Times New Roman"/>
        </w:rPr>
        <w:t xml:space="preserve"> (n 7</w:t>
      </w:r>
      <w:r w:rsidR="00F46EEB">
        <w:rPr>
          <w:rFonts w:ascii="Times New Roman" w:hAnsi="Times New Roman" w:cs="Times New Roman"/>
        </w:rPr>
        <w:t>9</w:t>
      </w:r>
      <w:r>
        <w:rPr>
          <w:rFonts w:ascii="Times New Roman" w:hAnsi="Times New Roman" w:cs="Times New Roman"/>
        </w:rPr>
        <w:t xml:space="preserve"> above) </w:t>
      </w:r>
      <w:r w:rsidRPr="00DB6E56">
        <w:rPr>
          <w:rFonts w:ascii="Times New Roman" w:hAnsi="Times New Roman" w:cs="Times New Roman"/>
        </w:rPr>
        <w:t>658.</w:t>
      </w:r>
    </w:p>
  </w:footnote>
  <w:footnote w:id="102">
    <w:p w14:paraId="2D2ABCC9" w14:textId="2C009263"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The Agreement references ‘proposals’ for exemptions rather than ‘requests.’</w:t>
      </w:r>
    </w:p>
  </w:footnote>
  <w:footnote w:id="103">
    <w:p w14:paraId="60BEB9C7" w14:textId="77777777"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The United Kingdom Internal Market Act 2020 (Exclusions from Market Access Principles: Single-Use Plastics) Regulations 2022, s2.</w:t>
      </w:r>
    </w:p>
  </w:footnote>
  <w:footnote w:id="104">
    <w:p w14:paraId="0BC0E2CB" w14:textId="5755D707"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Environmental Protection (Single-use Plastic Products) (Scotland) Regulations 2021</w:t>
      </w:r>
      <w:r>
        <w:rPr>
          <w:rFonts w:ascii="Times New Roman" w:hAnsi="Times New Roman" w:cs="Times New Roman"/>
        </w:rPr>
        <w:t>.</w:t>
      </w:r>
    </w:p>
  </w:footnote>
  <w:footnote w:id="105">
    <w:p w14:paraId="765AFF31" w14:textId="467C9FA4" w:rsidR="003B001B" w:rsidRPr="00DA44CF" w:rsidRDefault="003B001B" w:rsidP="00DA44CF">
      <w:pPr>
        <w:pStyle w:val="FootnoteText"/>
        <w:jc w:val="both"/>
        <w:rPr>
          <w:rFonts w:ascii="Times New Roman" w:hAnsi="Times New Roman" w:cs="Times New Roman"/>
        </w:rPr>
      </w:pPr>
      <w:r w:rsidRPr="00DA44CF">
        <w:rPr>
          <w:rStyle w:val="FootnoteReference"/>
          <w:rFonts w:ascii="Times New Roman" w:hAnsi="Times New Roman" w:cs="Times New Roman"/>
        </w:rPr>
        <w:footnoteRef/>
      </w:r>
      <w:r w:rsidRPr="00DA44CF">
        <w:rPr>
          <w:rFonts w:ascii="Times New Roman" w:hAnsi="Times New Roman" w:cs="Times New Roman"/>
        </w:rPr>
        <w:t xml:space="preserve"> </w:t>
      </w:r>
      <w:hyperlink r:id="rId33" w:history="1">
        <w:r w:rsidRPr="00DA44CF">
          <w:rPr>
            <w:rStyle w:val="Hyperlink"/>
            <w:rFonts w:ascii="Times New Roman" w:hAnsi="Times New Roman" w:cs="Times New Roman"/>
          </w:rPr>
          <w:t>Minister for Green Skills, Circular Economy and Biodiversity</w:t>
        </w:r>
      </w:hyperlink>
      <w:r w:rsidRPr="00DA44CF">
        <w:rPr>
          <w:rFonts w:ascii="Times New Roman" w:hAnsi="Times New Roman" w:cs="Times New Roman"/>
        </w:rPr>
        <w:t>, letter dated 18 April 23 (accessed 5/6/23).</w:t>
      </w:r>
    </w:p>
  </w:footnote>
  <w:footnote w:id="106">
    <w:p w14:paraId="5896BF8F" w14:textId="35C8CDB8" w:rsidR="003B001B" w:rsidRDefault="003B001B" w:rsidP="00DA44CF">
      <w:pPr>
        <w:pStyle w:val="FootnoteText"/>
        <w:jc w:val="both"/>
      </w:pPr>
      <w:r w:rsidRPr="00DA44CF">
        <w:rPr>
          <w:rStyle w:val="FootnoteReference"/>
          <w:rFonts w:ascii="Times New Roman" w:hAnsi="Times New Roman" w:cs="Times New Roman"/>
        </w:rPr>
        <w:footnoteRef/>
      </w:r>
      <w:r w:rsidRPr="00DA44CF">
        <w:rPr>
          <w:rFonts w:ascii="Times New Roman" w:hAnsi="Times New Roman" w:cs="Times New Roman"/>
        </w:rPr>
        <w:t xml:space="preserve"> </w:t>
      </w:r>
      <w:hyperlink r:id="rId34" w:history="1">
        <w:r w:rsidRPr="00DA44CF">
          <w:rPr>
            <w:rStyle w:val="Hyperlink"/>
            <w:rFonts w:ascii="Times New Roman" w:hAnsi="Times New Roman" w:cs="Times New Roman"/>
          </w:rPr>
          <w:t>Ross Greer MSP</w:t>
        </w:r>
      </w:hyperlink>
      <w:r w:rsidRPr="00DA44CF">
        <w:rPr>
          <w:rFonts w:ascii="Times New Roman" w:hAnsi="Times New Roman" w:cs="Times New Roman"/>
        </w:rPr>
        <w:t>, letter dated 22 April 2023 (accessed 5/6/23).</w:t>
      </w:r>
    </w:p>
  </w:footnote>
  <w:footnote w:id="107">
    <w:p w14:paraId="158953B6" w14:textId="14AE03D0"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hyperlink r:id="rId35" w:history="1">
        <w:r w:rsidRPr="00162588">
          <w:rPr>
            <w:rStyle w:val="Hyperlink"/>
            <w:rFonts w:ascii="Times New Roman" w:hAnsi="Times New Roman" w:cs="Times New Roman"/>
          </w:rPr>
          <w:t>First Minister of Scotland to UK Prime Minister</w:t>
        </w:r>
      </w:hyperlink>
      <w:r>
        <w:rPr>
          <w:rFonts w:ascii="Times New Roman" w:hAnsi="Times New Roman" w:cs="Times New Roman"/>
        </w:rPr>
        <w:t>, letter dated 28 February 23 (accessed 5/6/23).</w:t>
      </w:r>
    </w:p>
  </w:footnote>
  <w:footnote w:id="108">
    <w:p w14:paraId="78EE38BB" w14:textId="3EC138C2"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hyperlink r:id="rId36" w:history="1">
        <w:r w:rsidRPr="00DB6E56">
          <w:rPr>
            <w:rStyle w:val="Hyperlink"/>
            <w:rFonts w:ascii="Times New Roman" w:hAnsi="Times New Roman" w:cs="Times New Roman"/>
          </w:rPr>
          <w:t xml:space="preserve">UK Government unveil conditions for 'consistent' DRS exemption | </w:t>
        </w:r>
        <w:proofErr w:type="spellStart"/>
        <w:r w:rsidRPr="00DB6E56">
          <w:rPr>
            <w:rStyle w:val="Hyperlink"/>
            <w:rFonts w:ascii="Times New Roman" w:hAnsi="Times New Roman" w:cs="Times New Roman"/>
          </w:rPr>
          <w:t>HeraldScotland</w:t>
        </w:r>
        <w:proofErr w:type="spellEnd"/>
      </w:hyperlink>
      <w:r>
        <w:rPr>
          <w:rStyle w:val="Hyperlink"/>
          <w:rFonts w:ascii="Times New Roman" w:hAnsi="Times New Roman" w:cs="Times New Roman"/>
        </w:rPr>
        <w:t xml:space="preserve"> </w:t>
      </w:r>
      <w:r>
        <w:rPr>
          <w:rFonts w:ascii="Times New Roman" w:hAnsi="Times New Roman" w:cs="Times New Roman"/>
        </w:rPr>
        <w:t>(accessed 5/6/23).</w:t>
      </w:r>
    </w:p>
  </w:footnote>
  <w:footnote w:id="109">
    <w:p w14:paraId="3270058F" w14:textId="28D6B211" w:rsidR="003B001B" w:rsidRPr="00DB6E56" w:rsidRDefault="003B001B" w:rsidP="00DB6E56">
      <w:pPr>
        <w:pStyle w:val="Heading3"/>
        <w:shd w:val="clear" w:color="auto" w:fill="FFFFFF"/>
        <w:spacing w:before="0" w:beforeAutospacing="0" w:after="0" w:afterAutospacing="0"/>
        <w:jc w:val="both"/>
        <w:rPr>
          <w:b w:val="0"/>
          <w:color w:val="0B0C0C"/>
          <w:sz w:val="20"/>
          <w:szCs w:val="20"/>
        </w:rPr>
      </w:pPr>
      <w:r w:rsidRPr="00DB6E56">
        <w:rPr>
          <w:rStyle w:val="FootnoteReference"/>
          <w:b w:val="0"/>
          <w:sz w:val="20"/>
          <w:szCs w:val="20"/>
        </w:rPr>
        <w:footnoteRef/>
      </w:r>
      <w:r w:rsidRPr="00DB6E56">
        <w:rPr>
          <w:b w:val="0"/>
          <w:sz w:val="20"/>
          <w:szCs w:val="20"/>
        </w:rPr>
        <w:t xml:space="preserve"> </w:t>
      </w:r>
      <w:hyperlink r:id="rId37" w:history="1">
        <w:r w:rsidRPr="00DB6E56">
          <w:rPr>
            <w:rStyle w:val="Hyperlink"/>
            <w:b w:val="0"/>
            <w:color w:val="003078"/>
            <w:sz w:val="20"/>
            <w:szCs w:val="20"/>
          </w:rPr>
          <w:t>Policy statement: Scottish Deposit Return Scheme - UK internal market exclusion</w:t>
        </w:r>
      </w:hyperlink>
      <w:r w:rsidRPr="00DB6E56">
        <w:rPr>
          <w:b w:val="0"/>
          <w:color w:val="0B0C0C"/>
          <w:sz w:val="20"/>
          <w:szCs w:val="20"/>
        </w:rPr>
        <w:t xml:space="preserve"> (27 May 2023)</w:t>
      </w:r>
      <w:r>
        <w:rPr>
          <w:b w:val="0"/>
          <w:color w:val="0B0C0C"/>
          <w:sz w:val="20"/>
          <w:szCs w:val="20"/>
        </w:rPr>
        <w:t xml:space="preserve"> </w:t>
      </w:r>
      <w:r w:rsidRPr="00162588">
        <w:rPr>
          <w:b w:val="0"/>
          <w:color w:val="0B0C0C"/>
          <w:sz w:val="20"/>
          <w:szCs w:val="20"/>
        </w:rPr>
        <w:t>(accessed 5/6/23).</w:t>
      </w:r>
    </w:p>
  </w:footnote>
  <w:footnote w:id="110">
    <w:p w14:paraId="56EAD410" w14:textId="4A65AF38"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r>
        <w:rPr>
          <w:rFonts w:ascii="Times New Roman" w:hAnsi="Times New Roman" w:cs="Times New Roman"/>
        </w:rPr>
        <w:t>S</w:t>
      </w:r>
      <w:r w:rsidRPr="00DB6E56">
        <w:rPr>
          <w:rFonts w:ascii="Times New Roman" w:hAnsi="Times New Roman" w:cs="Times New Roman"/>
        </w:rPr>
        <w:t xml:space="preserve">ee eg </w:t>
      </w:r>
      <w:hyperlink r:id="rId38" w:history="1">
        <w:r w:rsidRPr="00DB6E56">
          <w:rPr>
            <w:rStyle w:val="Hyperlink"/>
            <w:rFonts w:ascii="Times New Roman" w:hAnsi="Times New Roman" w:cs="Times New Roman"/>
          </w:rPr>
          <w:t>Scottish Government, Genetic Technologies (Precision Breeding) Bill: letter to UK Government,</w:t>
        </w:r>
        <w:r>
          <w:rPr>
            <w:rStyle w:val="Hyperlink"/>
            <w:rFonts w:ascii="Times New Roman" w:hAnsi="Times New Roman" w:cs="Times New Roman"/>
          </w:rPr>
          <w:t xml:space="preserve"> letter dated 10 June 2022</w:t>
        </w:r>
        <w:r w:rsidRPr="00DB6E56">
          <w:rPr>
            <w:rStyle w:val="Hyperlink"/>
            <w:rFonts w:ascii="Times New Roman" w:hAnsi="Times New Roman" w:cs="Times New Roman"/>
          </w:rPr>
          <w:t>.</w:t>
        </w:r>
      </w:hyperlink>
      <w:r>
        <w:rPr>
          <w:rFonts w:ascii="Times New Roman" w:hAnsi="Times New Roman" w:cs="Times New Roman"/>
        </w:rPr>
        <w:t>(accessed 5/6/23).</w:t>
      </w:r>
    </w:p>
  </w:footnote>
  <w:footnote w:id="111">
    <w:p w14:paraId="09D65E8E" w14:textId="6E4D3C2C" w:rsidR="003B001B" w:rsidRPr="007B127B" w:rsidRDefault="003B001B" w:rsidP="007B127B">
      <w:pPr>
        <w:spacing w:after="0"/>
        <w:jc w:val="both"/>
        <w:rPr>
          <w:rFonts w:ascii="Times New Roman" w:hAnsi="Times New Roman" w:cs="Times New Roman"/>
          <w:sz w:val="20"/>
          <w:szCs w:val="20"/>
        </w:rPr>
      </w:pPr>
      <w:r w:rsidRPr="00DB6E56">
        <w:rPr>
          <w:rStyle w:val="FootnoteReference"/>
          <w:rFonts w:ascii="Times New Roman" w:hAnsi="Times New Roman" w:cs="Times New Roman"/>
        </w:rPr>
        <w:footnoteRef/>
      </w:r>
      <w:r w:rsidRPr="00DB6E56">
        <w:rPr>
          <w:rFonts w:ascii="Times New Roman" w:hAnsi="Times New Roman" w:cs="Times New Roman"/>
        </w:rPr>
        <w:t xml:space="preserve"> Genetic Technology (Precision Breeding) Act 2023.</w:t>
      </w:r>
    </w:p>
  </w:footnote>
  <w:footnote w:id="112">
    <w:p w14:paraId="7FF620E9" w14:textId="77777777"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hyperlink r:id="rId39" w:history="1">
        <w:r w:rsidRPr="00DB6E56">
          <w:rPr>
            <w:rStyle w:val="Hyperlink"/>
            <w:rFonts w:ascii="Times New Roman" w:hAnsi="Times New Roman" w:cs="Times New Roman"/>
          </w:rPr>
          <w:t>PBC (Bill 11) 2022-2023</w:t>
        </w:r>
      </w:hyperlink>
      <w:r w:rsidRPr="00DB6E56">
        <w:rPr>
          <w:rFonts w:ascii="Times New Roman" w:hAnsi="Times New Roman" w:cs="Times New Roman"/>
        </w:rPr>
        <w:t>, p252.</w:t>
      </w:r>
    </w:p>
  </w:footnote>
  <w:footnote w:id="113">
    <w:p w14:paraId="205974BF" w14:textId="292AA6DD"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hyperlink r:id="rId40" w:history="1">
        <w:r w:rsidRPr="00DB6E56">
          <w:rPr>
            <w:rStyle w:val="Hyperlink"/>
            <w:rFonts w:ascii="Times New Roman" w:hAnsi="Times New Roman" w:cs="Times New Roman"/>
          </w:rPr>
          <w:t>PBC (Bill 11) 2022-2023</w:t>
        </w:r>
      </w:hyperlink>
      <w:r w:rsidRPr="00DB6E56">
        <w:rPr>
          <w:rFonts w:ascii="Times New Roman" w:hAnsi="Times New Roman" w:cs="Times New Roman"/>
        </w:rPr>
        <w:t>, p254</w:t>
      </w:r>
      <w:r>
        <w:rPr>
          <w:rFonts w:ascii="Times New Roman" w:hAnsi="Times New Roman" w:cs="Times New Roman"/>
        </w:rPr>
        <w:t>.</w:t>
      </w:r>
    </w:p>
  </w:footnote>
  <w:footnote w:id="114">
    <w:p w14:paraId="4BE7620A" w14:textId="4CAF144A"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also House of Lords, </w:t>
      </w:r>
      <w:r w:rsidRPr="00DB6E56">
        <w:rPr>
          <w:rFonts w:ascii="Times New Roman" w:hAnsi="Times New Roman" w:cs="Times New Roman"/>
          <w:i/>
        </w:rPr>
        <w:t>Common Frameworks: An Unfulfilled Opportunity?</w:t>
      </w:r>
      <w:r w:rsidRPr="00DB6E56">
        <w:rPr>
          <w:rFonts w:ascii="Times New Roman" w:hAnsi="Times New Roman" w:cs="Times New Roman"/>
        </w:rPr>
        <w:t xml:space="preserve"> (</w:t>
      </w:r>
      <w:r>
        <w:rPr>
          <w:rFonts w:ascii="Times New Roman" w:hAnsi="Times New Roman" w:cs="Times New Roman"/>
        </w:rPr>
        <w:t>n 6</w:t>
      </w:r>
      <w:r w:rsidR="00820D7F">
        <w:rPr>
          <w:rFonts w:ascii="Times New Roman" w:hAnsi="Times New Roman" w:cs="Times New Roman"/>
        </w:rPr>
        <w:t>8</w:t>
      </w:r>
      <w:r>
        <w:rPr>
          <w:rFonts w:ascii="Times New Roman" w:hAnsi="Times New Roman" w:cs="Times New Roman"/>
        </w:rPr>
        <w:t xml:space="preserve"> above).</w:t>
      </w:r>
    </w:p>
  </w:footnote>
  <w:footnote w:id="115">
    <w:p w14:paraId="134AA111" w14:textId="1ACDB881"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For comparative analysis of regulatory dynamics across different internal markets, see Anderson </w:t>
      </w:r>
      <w:r>
        <w:rPr>
          <w:rFonts w:ascii="Times New Roman" w:hAnsi="Times New Roman" w:cs="Times New Roman"/>
        </w:rPr>
        <w:t>(n 5 above).</w:t>
      </w:r>
      <w:r w:rsidRPr="00DB6E56">
        <w:rPr>
          <w:rFonts w:ascii="Times New Roman" w:hAnsi="Times New Roman" w:cs="Times New Roman"/>
        </w:rPr>
        <w:t xml:space="preserve"> </w:t>
      </w:r>
    </w:p>
  </w:footnote>
  <w:footnote w:id="116">
    <w:p w14:paraId="7EA29F95" w14:textId="771E833F"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On the importance of generating common interests as a basis for shared rule alongside self-rule, see eg R</w:t>
      </w:r>
      <w:r>
        <w:rPr>
          <w:rFonts w:ascii="Times New Roman" w:hAnsi="Times New Roman" w:cs="Times New Roman"/>
        </w:rPr>
        <w:t>.</w:t>
      </w:r>
      <w:r w:rsidRPr="00DB6E56">
        <w:rPr>
          <w:rFonts w:ascii="Times New Roman" w:hAnsi="Times New Roman" w:cs="Times New Roman"/>
        </w:rPr>
        <w:t xml:space="preserve"> L</w:t>
      </w:r>
      <w:r>
        <w:rPr>
          <w:rFonts w:ascii="Times New Roman" w:hAnsi="Times New Roman" w:cs="Times New Roman"/>
        </w:rPr>
        <w:t>.</w:t>
      </w:r>
      <w:r w:rsidRPr="00DB6E56">
        <w:rPr>
          <w:rFonts w:ascii="Times New Roman" w:hAnsi="Times New Roman" w:cs="Times New Roman"/>
        </w:rPr>
        <w:t xml:space="preserve"> Watts, </w:t>
      </w:r>
      <w:r w:rsidRPr="00DB6E56">
        <w:rPr>
          <w:rFonts w:ascii="Times New Roman" w:hAnsi="Times New Roman" w:cs="Times New Roman"/>
          <w:i/>
        </w:rPr>
        <w:t>Comparing Federal Systems</w:t>
      </w:r>
      <w:r w:rsidRPr="00DB6E56">
        <w:rPr>
          <w:rFonts w:ascii="Times New Roman" w:hAnsi="Times New Roman" w:cs="Times New Roman"/>
        </w:rPr>
        <w:t xml:space="preserve"> (3rd ed) (McGill-Queen’s University Press. Montreal, 2008), 182.</w:t>
      </w:r>
    </w:p>
  </w:footnote>
  <w:footnote w:id="117">
    <w:p w14:paraId="27699272" w14:textId="2121AE2C"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On competing conceptions of the UK constitution order generally, see eg D Wincott, C. R. G. Murray and G Davies, ‘The Anglo-British Imaginary and the Rebuilding of the UK’s Territorial Constitution after Brexit: Unitary or Union State?’ (2022) 10(5) </w:t>
      </w:r>
      <w:r w:rsidRPr="00DB6E56">
        <w:rPr>
          <w:rFonts w:ascii="Times New Roman" w:hAnsi="Times New Roman" w:cs="Times New Roman"/>
          <w:i/>
        </w:rPr>
        <w:t>Territory, Politics, Governance</w:t>
      </w:r>
      <w:r w:rsidRPr="00DB6E56">
        <w:rPr>
          <w:rFonts w:ascii="Times New Roman" w:hAnsi="Times New Roman" w:cs="Times New Roman"/>
        </w:rPr>
        <w:t xml:space="preserve"> 696.</w:t>
      </w:r>
    </w:p>
  </w:footnote>
  <w:footnote w:id="118">
    <w:p w14:paraId="1F26B251" w14:textId="3900F828" w:rsidR="003B001B" w:rsidRPr="00DB6E56" w:rsidRDefault="003B001B" w:rsidP="00DB6E56">
      <w:pPr>
        <w:pStyle w:val="FootnoteText"/>
        <w:jc w:val="both"/>
        <w:rPr>
          <w:rFonts w:ascii="Times New Roman" w:hAnsi="Times New Roman" w:cs="Times New Roman"/>
          <w:i/>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eg Scottish Government, </w:t>
      </w:r>
      <w:hyperlink r:id="rId41" w:history="1">
        <w:r w:rsidRPr="00162588">
          <w:rPr>
            <w:rStyle w:val="Hyperlink"/>
            <w:rFonts w:ascii="Times New Roman" w:hAnsi="Times New Roman" w:cs="Times New Roman"/>
          </w:rPr>
          <w:t>AFTER BREXIT: The UK Internal Market Act &amp; Devolution</w:t>
        </w:r>
      </w:hyperlink>
      <w:r>
        <w:rPr>
          <w:rFonts w:ascii="Times New Roman" w:hAnsi="Times New Roman" w:cs="Times New Roman"/>
        </w:rPr>
        <w:t>,</w:t>
      </w:r>
      <w:r w:rsidRPr="00DB6E56">
        <w:rPr>
          <w:rFonts w:ascii="Times New Roman" w:hAnsi="Times New Roman" w:cs="Times New Roman"/>
        </w:rPr>
        <w:t xml:space="preserve"> </w:t>
      </w:r>
      <w:r>
        <w:rPr>
          <w:rFonts w:ascii="Times New Roman" w:hAnsi="Times New Roman" w:cs="Times New Roman"/>
        </w:rPr>
        <w:t xml:space="preserve">8 </w:t>
      </w:r>
      <w:r w:rsidRPr="00DB6E56">
        <w:rPr>
          <w:rFonts w:ascii="Times New Roman" w:hAnsi="Times New Roman" w:cs="Times New Roman"/>
        </w:rPr>
        <w:t>March 2021, p3</w:t>
      </w:r>
      <w:r>
        <w:rPr>
          <w:rFonts w:ascii="Times New Roman" w:hAnsi="Times New Roman" w:cs="Times New Roman"/>
        </w:rPr>
        <w:t xml:space="preserve"> (accessed 5/6/23)</w:t>
      </w:r>
      <w:r w:rsidRPr="00DB6E56">
        <w:rPr>
          <w:rFonts w:ascii="Times New Roman" w:hAnsi="Times New Roman" w:cs="Times New Roman"/>
        </w:rPr>
        <w:t>. On self-rule as a defining characteristic of Scottish devolution, see eg A. Page, ‘Scotland in the United Kingdom: An Enduring Settlement?’ in A. Lopez-</w:t>
      </w:r>
      <w:proofErr w:type="spellStart"/>
      <w:r w:rsidRPr="00DB6E56">
        <w:rPr>
          <w:rFonts w:ascii="Times New Roman" w:hAnsi="Times New Roman" w:cs="Times New Roman"/>
        </w:rPr>
        <w:t>Basaguren</w:t>
      </w:r>
      <w:proofErr w:type="spellEnd"/>
      <w:r w:rsidRPr="00DB6E56">
        <w:rPr>
          <w:rFonts w:ascii="Times New Roman" w:hAnsi="Times New Roman" w:cs="Times New Roman"/>
        </w:rPr>
        <w:t xml:space="preserve"> and </w:t>
      </w:r>
      <w:proofErr w:type="spellStart"/>
      <w:proofErr w:type="gramStart"/>
      <w:r w:rsidRPr="00DB6E56">
        <w:rPr>
          <w:rFonts w:ascii="Times New Roman" w:hAnsi="Times New Roman" w:cs="Times New Roman"/>
        </w:rPr>
        <w:t>L.Escajedo</w:t>
      </w:r>
      <w:proofErr w:type="spellEnd"/>
      <w:proofErr w:type="gramEnd"/>
      <w:r w:rsidRPr="00DB6E56">
        <w:rPr>
          <w:rFonts w:ascii="Times New Roman" w:hAnsi="Times New Roman" w:cs="Times New Roman"/>
        </w:rPr>
        <w:t xml:space="preserve"> San-Epifanio (eds), </w:t>
      </w:r>
      <w:r w:rsidRPr="00DB6E56">
        <w:rPr>
          <w:rFonts w:ascii="Times New Roman" w:hAnsi="Times New Roman" w:cs="Times New Roman"/>
          <w:i/>
        </w:rPr>
        <w:t>Claims for Secession and Federalism: A Comparative Study with a Special Focus on Spain</w:t>
      </w:r>
      <w:r w:rsidRPr="00DB6E56">
        <w:rPr>
          <w:rFonts w:ascii="Times New Roman" w:hAnsi="Times New Roman" w:cs="Times New Roman"/>
        </w:rPr>
        <w:t xml:space="preserve"> (Springer: 2019).</w:t>
      </w:r>
    </w:p>
  </w:footnote>
  <w:footnote w:id="119">
    <w:p w14:paraId="517127C0" w14:textId="12462CA1"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The UKIMA was also added to the list of ‘protected’ instruments under the devolution acts, meaning that it may not be modified by the devolved legislatures. See s54, UKIMA.</w:t>
      </w:r>
    </w:p>
  </w:footnote>
  <w:footnote w:id="120">
    <w:p w14:paraId="67C68968" w14:textId="6433E930"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England accounts for around 85% of the UK’s GDP. See here also eg Dougan, Hunt,</w:t>
      </w:r>
      <w:r>
        <w:rPr>
          <w:rFonts w:ascii="Times New Roman" w:hAnsi="Times New Roman" w:cs="Times New Roman"/>
        </w:rPr>
        <w:t xml:space="preserve"> </w:t>
      </w:r>
      <w:r w:rsidRPr="00DB6E56">
        <w:rPr>
          <w:rFonts w:ascii="Times New Roman" w:hAnsi="Times New Roman" w:cs="Times New Roman"/>
        </w:rPr>
        <w:t xml:space="preserve">McEwen and </w:t>
      </w:r>
      <w:proofErr w:type="spellStart"/>
      <w:r w:rsidRPr="00DB6E56">
        <w:rPr>
          <w:rFonts w:ascii="Times New Roman" w:hAnsi="Times New Roman" w:cs="Times New Roman"/>
        </w:rPr>
        <w:t>McHarg</w:t>
      </w:r>
      <w:proofErr w:type="spellEnd"/>
      <w:r>
        <w:rPr>
          <w:rFonts w:ascii="Times New Roman" w:hAnsi="Times New Roman" w:cs="Times New Roman"/>
        </w:rPr>
        <w:t xml:space="preserve"> (n 7</w:t>
      </w:r>
      <w:r w:rsidR="00820D7F">
        <w:rPr>
          <w:rFonts w:ascii="Times New Roman" w:hAnsi="Times New Roman" w:cs="Times New Roman"/>
        </w:rPr>
        <w:t>9</w:t>
      </w:r>
      <w:r>
        <w:rPr>
          <w:rFonts w:ascii="Times New Roman" w:hAnsi="Times New Roman" w:cs="Times New Roman"/>
        </w:rPr>
        <w:t xml:space="preserve"> above)</w:t>
      </w:r>
      <w:r w:rsidRPr="00DB6E56">
        <w:rPr>
          <w:rFonts w:ascii="Times New Roman" w:hAnsi="Times New Roman" w:cs="Times New Roman"/>
        </w:rPr>
        <w:t>, 671</w:t>
      </w:r>
      <w:r>
        <w:rPr>
          <w:rFonts w:ascii="Times New Roman" w:hAnsi="Times New Roman" w:cs="Times New Roman"/>
        </w:rPr>
        <w:t>.</w:t>
      </w:r>
    </w:p>
  </w:footnote>
  <w:footnote w:id="121">
    <w:p w14:paraId="4E1E435C" w14:textId="78E3FD7B"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hyperlink r:id="rId42" w:history="1">
        <w:r w:rsidRPr="00DB6E56">
          <w:rPr>
            <w:rStyle w:val="Hyperlink"/>
            <w:rFonts w:ascii="Times New Roman" w:hAnsi="Times New Roman" w:cs="Times New Roman"/>
          </w:rPr>
          <w:t>https://assets.publishing.service.gov.uk/government/uploads/system/uploads/attachment_data/file/652285/Joint_Ministerial_Committee_communique.pdf</w:t>
        </w:r>
      </w:hyperlink>
      <w:r w:rsidRPr="00DB6E56">
        <w:rPr>
          <w:rFonts w:ascii="Times New Roman" w:hAnsi="Times New Roman" w:cs="Times New Roman"/>
        </w:rPr>
        <w:t xml:space="preserve"> </w:t>
      </w:r>
      <w:r>
        <w:rPr>
          <w:rFonts w:ascii="Times New Roman" w:hAnsi="Times New Roman" w:cs="Times New Roman"/>
        </w:rPr>
        <w:t xml:space="preserve"> (accessed 5/6/23).</w:t>
      </w:r>
    </w:p>
  </w:footnote>
  <w:footnote w:id="122">
    <w:p w14:paraId="377E3C8C" w14:textId="434F53E0"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For criticism, see eg Scottish Government, AFTER BREXIT: The UK Internal Market Act &amp; Devolution </w:t>
      </w:r>
      <w:r>
        <w:rPr>
          <w:rFonts w:ascii="Times New Roman" w:hAnsi="Times New Roman" w:cs="Times New Roman"/>
        </w:rPr>
        <w:t>(n 11</w:t>
      </w:r>
      <w:r w:rsidR="00820D7F">
        <w:rPr>
          <w:rFonts w:ascii="Times New Roman" w:hAnsi="Times New Roman" w:cs="Times New Roman"/>
        </w:rPr>
        <w:t>7</w:t>
      </w:r>
      <w:r>
        <w:rPr>
          <w:rFonts w:ascii="Times New Roman" w:hAnsi="Times New Roman" w:cs="Times New Roman"/>
        </w:rPr>
        <w:t xml:space="preserve"> above) </w:t>
      </w:r>
      <w:r w:rsidRPr="00DB6E56">
        <w:rPr>
          <w:rFonts w:ascii="Times New Roman" w:hAnsi="Times New Roman" w:cs="Times New Roman"/>
        </w:rPr>
        <w:t>p17.</w:t>
      </w:r>
    </w:p>
  </w:footnote>
  <w:footnote w:id="123">
    <w:p w14:paraId="10CFA9E1" w14:textId="3E965132"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here eg Art 3(2) TEU: ‘The Union shall establish an internal market. It shall work for the sustainable development of Europe based on balanced economic growth and price stability, a highly competitive social market economy, aiming at full employment and social progress, and a high level of protection and improvement of the quality of the environment. It shall promote scientific and technological advance.’</w:t>
      </w:r>
    </w:p>
  </w:footnote>
  <w:footnote w:id="124">
    <w:p w14:paraId="424219EB" w14:textId="3790C090"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Armstrong</w:t>
      </w:r>
      <w:r>
        <w:rPr>
          <w:rFonts w:ascii="Times New Roman" w:hAnsi="Times New Roman" w:cs="Times New Roman"/>
        </w:rPr>
        <w:t xml:space="preserve"> (n 7</w:t>
      </w:r>
      <w:r w:rsidR="00820D7F">
        <w:rPr>
          <w:rFonts w:ascii="Times New Roman" w:hAnsi="Times New Roman" w:cs="Times New Roman"/>
        </w:rPr>
        <w:t>9</w:t>
      </w:r>
      <w:r>
        <w:rPr>
          <w:rFonts w:ascii="Times New Roman" w:hAnsi="Times New Roman" w:cs="Times New Roman"/>
        </w:rPr>
        <w:t xml:space="preserve"> above).</w:t>
      </w:r>
    </w:p>
  </w:footnote>
  <w:footnote w:id="125">
    <w:p w14:paraId="6F134174" w14:textId="54D9AC0A"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Among other things, devolution has enabled the Scottish and Welsh governments to diverge on issues such as land reform; the regulation of smoking and alcohol; personal care provision; access to higher education and, in Scotland, direct taxation. Signalling further departure from UK government policy, the Scottish Parliament enacted the European Union (Legal Continuity) (Scotland) Act empowering Scottish Ministers to align with future developments in EU law where appropriate (and permissible under the Scotland Act). For an early survey of policy differences post-devolution, see A Trench and H </w:t>
      </w:r>
      <w:proofErr w:type="spellStart"/>
      <w:r w:rsidRPr="00DB6E56">
        <w:rPr>
          <w:rFonts w:ascii="Times New Roman" w:hAnsi="Times New Roman" w:cs="Times New Roman"/>
        </w:rPr>
        <w:t>Jarman</w:t>
      </w:r>
      <w:proofErr w:type="spellEnd"/>
      <w:r w:rsidRPr="00DB6E56">
        <w:rPr>
          <w:rFonts w:ascii="Times New Roman" w:hAnsi="Times New Roman" w:cs="Times New Roman"/>
        </w:rPr>
        <w:t xml:space="preserve">, ‘The Practical Outcomes of Devolution: Policy-making across the UK’ in A. Trench (ed) </w:t>
      </w:r>
      <w:r w:rsidRPr="00DB6E56">
        <w:rPr>
          <w:rFonts w:ascii="Times New Roman" w:hAnsi="Times New Roman" w:cs="Times New Roman"/>
          <w:i/>
        </w:rPr>
        <w:t>Devolution and Power in the United Kingdom</w:t>
      </w:r>
      <w:r w:rsidRPr="00DB6E56">
        <w:rPr>
          <w:rFonts w:ascii="Times New Roman" w:hAnsi="Times New Roman" w:cs="Times New Roman"/>
        </w:rPr>
        <w:t xml:space="preserve"> (Manchester University Press, 2007).</w:t>
      </w:r>
    </w:p>
  </w:footnote>
  <w:footnote w:id="126">
    <w:p w14:paraId="083FDFCA" w14:textId="38EDA233"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J Hunt, ‘Subsidiarity, Competence, and the UK Territorial Constitution’ in O Doyle, A </w:t>
      </w:r>
      <w:proofErr w:type="spellStart"/>
      <w:r w:rsidRPr="00DB6E56">
        <w:rPr>
          <w:rFonts w:ascii="Times New Roman" w:hAnsi="Times New Roman" w:cs="Times New Roman"/>
        </w:rPr>
        <w:t>McHarg</w:t>
      </w:r>
      <w:proofErr w:type="spellEnd"/>
      <w:r w:rsidRPr="00DB6E56">
        <w:rPr>
          <w:rFonts w:ascii="Times New Roman" w:hAnsi="Times New Roman" w:cs="Times New Roman"/>
        </w:rPr>
        <w:t xml:space="preserve">, and J </w:t>
      </w:r>
      <w:proofErr w:type="spellStart"/>
      <w:r w:rsidRPr="00DB6E56">
        <w:rPr>
          <w:rFonts w:ascii="Times New Roman" w:hAnsi="Times New Roman" w:cs="Times New Roman"/>
        </w:rPr>
        <w:t>Murkens</w:t>
      </w:r>
      <w:proofErr w:type="spellEnd"/>
      <w:r w:rsidRPr="00DB6E56">
        <w:rPr>
          <w:rFonts w:ascii="Times New Roman" w:hAnsi="Times New Roman" w:cs="Times New Roman"/>
        </w:rPr>
        <w:t xml:space="preserve"> (eds) </w:t>
      </w:r>
      <w:r w:rsidRPr="00DB6E56">
        <w:rPr>
          <w:rFonts w:ascii="Times New Roman" w:hAnsi="Times New Roman" w:cs="Times New Roman"/>
          <w:i/>
        </w:rPr>
        <w:t>The Brexit Challenge for Ireland and the United Kingdom: Constitutions Under Pressure</w:t>
      </w:r>
      <w:r w:rsidRPr="00DB6E56">
        <w:rPr>
          <w:rFonts w:ascii="Times New Roman" w:hAnsi="Times New Roman" w:cs="Times New Roman"/>
        </w:rPr>
        <w:t xml:space="preserve"> (Cambridge: CUP, 2021).</w:t>
      </w:r>
    </w:p>
  </w:footnote>
  <w:footnote w:id="127">
    <w:p w14:paraId="75C58068" w14:textId="4FE08B52"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The devolution acts reinforced this as a matter of domestic law. See s27(3) of the Scotland Act 1998 and s94(6)(c) of the Government of Wales Act 2006. See also eg M Keating, ‘Brexit and Devolution in the United Kingdom’ (2017) 5(2) </w:t>
      </w:r>
      <w:r w:rsidRPr="00DB6E56">
        <w:rPr>
          <w:rFonts w:ascii="Times New Roman" w:hAnsi="Times New Roman" w:cs="Times New Roman"/>
          <w:i/>
        </w:rPr>
        <w:t>Politics and Governance</w:t>
      </w:r>
      <w:r w:rsidRPr="00DB6E56">
        <w:rPr>
          <w:rFonts w:ascii="Times New Roman" w:hAnsi="Times New Roman" w:cs="Times New Roman"/>
        </w:rPr>
        <w:t xml:space="preserve"> 1.</w:t>
      </w:r>
    </w:p>
  </w:footnote>
  <w:footnote w:id="128">
    <w:p w14:paraId="04F9B006" w14:textId="1B5E4762"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The position for Wales differed prior to the transfer of legislative competences under the Government of Wales Act 2006.</w:t>
      </w:r>
    </w:p>
  </w:footnote>
  <w:footnote w:id="129">
    <w:p w14:paraId="6AF9C11C" w14:textId="450D0B96"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Regan </w:t>
      </w:r>
      <w:r>
        <w:rPr>
          <w:rFonts w:ascii="Times New Roman" w:hAnsi="Times New Roman" w:cs="Times New Roman"/>
        </w:rPr>
        <w:t>(n 8 above)</w:t>
      </w:r>
      <w:r w:rsidRPr="00DB6E56">
        <w:rPr>
          <w:rFonts w:ascii="Times New Roman" w:hAnsi="Times New Roman" w:cs="Times New Roman"/>
        </w:rPr>
        <w:t>. See also with respect to Art 34 TFEU, Maduro</w:t>
      </w:r>
      <w:r>
        <w:rPr>
          <w:rFonts w:ascii="Times New Roman" w:hAnsi="Times New Roman" w:cs="Times New Roman"/>
        </w:rPr>
        <w:t xml:space="preserve"> (n 8 above). </w:t>
      </w:r>
      <w:r w:rsidRPr="00DB6E56">
        <w:rPr>
          <w:rFonts w:ascii="Times New Roman" w:hAnsi="Times New Roman" w:cs="Times New Roman"/>
        </w:rPr>
        <w:t xml:space="preserve">For criticism on limits, see eg </w:t>
      </w:r>
      <w:proofErr w:type="spellStart"/>
      <w:r w:rsidRPr="00DB6E56">
        <w:rPr>
          <w:rFonts w:ascii="Times New Roman" w:hAnsi="Times New Roman" w:cs="Times New Roman"/>
        </w:rPr>
        <w:t>Jaakkola</w:t>
      </w:r>
      <w:proofErr w:type="spellEnd"/>
      <w:r>
        <w:rPr>
          <w:rFonts w:ascii="Times New Roman" w:hAnsi="Times New Roman" w:cs="Times New Roman"/>
        </w:rPr>
        <w:t xml:space="preserve"> (n 8 above)</w:t>
      </w:r>
      <w:r w:rsidRPr="00DB6E56">
        <w:rPr>
          <w:rFonts w:ascii="Times New Roman" w:hAnsi="Times New Roman" w:cs="Times New Roman"/>
        </w:rPr>
        <w:t>.</w:t>
      </w:r>
    </w:p>
  </w:footnote>
  <w:footnote w:id="130">
    <w:p w14:paraId="7868BC38" w14:textId="1A9F62B2"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w:t>
      </w:r>
      <w:r w:rsidRPr="00DB6E56">
        <w:rPr>
          <w:rFonts w:ascii="Times New Roman" w:hAnsi="Times New Roman" w:cs="Times New Roman"/>
          <w:i/>
        </w:rPr>
        <w:t>Scotch Whisky Association v Lord Advocate and Advocate General</w:t>
      </w:r>
      <w:r w:rsidRPr="00DB6E56">
        <w:rPr>
          <w:rFonts w:ascii="Times New Roman" w:hAnsi="Times New Roman" w:cs="Times New Roman"/>
        </w:rPr>
        <w:t xml:space="preserve"> [2017] SC 465.</w:t>
      </w:r>
    </w:p>
  </w:footnote>
  <w:footnote w:id="131">
    <w:p w14:paraId="512DAC02" w14:textId="282B4C41"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B Concordat on the Coordination of European Union Policy Issues</w:t>
      </w:r>
      <w:r>
        <w:rPr>
          <w:rFonts w:ascii="Times New Roman" w:hAnsi="Times New Roman" w:cs="Times New Roman"/>
        </w:rPr>
        <w:t xml:space="preserve"> (n 22 above)</w:t>
      </w:r>
      <w:r w:rsidRPr="00DB6E56">
        <w:rPr>
          <w:rFonts w:ascii="Times New Roman" w:hAnsi="Times New Roman" w:cs="Times New Roman"/>
        </w:rPr>
        <w:t>, B4 Common Annex, B4.17.</w:t>
      </w:r>
    </w:p>
  </w:footnote>
  <w:footnote w:id="132">
    <w:p w14:paraId="602CB97E" w14:textId="77777777"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r w:rsidRPr="00DB6E56">
        <w:rPr>
          <w:rFonts w:ascii="Times New Roman" w:hAnsi="Times New Roman" w:cs="Times New Roman"/>
          <w:i/>
        </w:rPr>
        <w:t>R (Horvath) v Secretary of State for Environment, Food and Rural Affairs</w:t>
      </w:r>
      <w:r w:rsidRPr="00DB6E56">
        <w:rPr>
          <w:rFonts w:ascii="Times New Roman" w:hAnsi="Times New Roman" w:cs="Times New Roman"/>
        </w:rPr>
        <w:t xml:space="preserve"> [2006] EWHC Admin 1833.</w:t>
      </w:r>
    </w:p>
  </w:footnote>
  <w:footnote w:id="133">
    <w:p w14:paraId="1A0DD85E" w14:textId="504229C4"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eg A-L </w:t>
      </w:r>
      <w:proofErr w:type="spellStart"/>
      <w:r w:rsidRPr="00DB6E56">
        <w:rPr>
          <w:rFonts w:ascii="Times New Roman" w:hAnsi="Times New Roman" w:cs="Times New Roman"/>
        </w:rPr>
        <w:t>Högenauer</w:t>
      </w:r>
      <w:proofErr w:type="spellEnd"/>
      <w:r w:rsidRPr="00DB6E56">
        <w:rPr>
          <w:rFonts w:ascii="Times New Roman" w:hAnsi="Times New Roman" w:cs="Times New Roman"/>
        </w:rPr>
        <w:t xml:space="preserve">, ‘The Scottish Parliament – Active Player in Multilevel European Union’ in G </w:t>
      </w:r>
      <w:proofErr w:type="spellStart"/>
      <w:r w:rsidRPr="00DB6E56">
        <w:rPr>
          <w:rFonts w:ascii="Times New Roman" w:hAnsi="Times New Roman" w:cs="Times New Roman"/>
        </w:rPr>
        <w:t>Abels</w:t>
      </w:r>
      <w:proofErr w:type="spellEnd"/>
      <w:r w:rsidRPr="00DB6E56">
        <w:rPr>
          <w:rFonts w:ascii="Times New Roman" w:hAnsi="Times New Roman" w:cs="Times New Roman"/>
        </w:rPr>
        <w:t xml:space="preserve"> and </w:t>
      </w:r>
      <w:proofErr w:type="gramStart"/>
      <w:r w:rsidRPr="00DB6E56">
        <w:rPr>
          <w:rFonts w:ascii="Times New Roman" w:hAnsi="Times New Roman" w:cs="Times New Roman"/>
        </w:rPr>
        <w:t>A</w:t>
      </w:r>
      <w:proofErr w:type="gramEnd"/>
      <w:r w:rsidRPr="00DB6E56">
        <w:rPr>
          <w:rFonts w:ascii="Times New Roman" w:hAnsi="Times New Roman" w:cs="Times New Roman"/>
        </w:rPr>
        <w:t xml:space="preserve"> </w:t>
      </w:r>
      <w:proofErr w:type="spellStart"/>
      <w:r w:rsidRPr="00DB6E56">
        <w:rPr>
          <w:rFonts w:ascii="Times New Roman" w:hAnsi="Times New Roman" w:cs="Times New Roman"/>
        </w:rPr>
        <w:t>Appler</w:t>
      </w:r>
      <w:proofErr w:type="spellEnd"/>
      <w:r w:rsidRPr="00DB6E56">
        <w:rPr>
          <w:rFonts w:ascii="Times New Roman" w:hAnsi="Times New Roman" w:cs="Times New Roman"/>
        </w:rPr>
        <w:t xml:space="preserve"> (eds.) </w:t>
      </w:r>
      <w:r w:rsidRPr="00DB6E56">
        <w:rPr>
          <w:rFonts w:ascii="Times New Roman" w:hAnsi="Times New Roman" w:cs="Times New Roman"/>
          <w:i/>
        </w:rPr>
        <w:t>Subnational Parliaments</w:t>
      </w:r>
      <w:r w:rsidRPr="00DB6E56">
        <w:rPr>
          <w:rFonts w:ascii="Times New Roman" w:hAnsi="Times New Roman" w:cs="Times New Roman"/>
        </w:rPr>
        <w:t xml:space="preserve"> (Routledge, 2016). </w:t>
      </w:r>
    </w:p>
  </w:footnote>
  <w:footnote w:id="134">
    <w:p w14:paraId="64698561" w14:textId="5E481797"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hyperlink r:id="rId43" w:history="1">
        <w:r w:rsidRPr="00FB70FF">
          <w:rPr>
            <w:rStyle w:val="Hyperlink"/>
            <w:rFonts w:ascii="Times New Roman" w:hAnsi="Times New Roman" w:cs="Times New Roman"/>
          </w:rPr>
          <w:t>Memorandum of Understanding concluded between the UK and Devolved Government</w:t>
        </w:r>
      </w:hyperlink>
      <w:r w:rsidRPr="00DB6E56">
        <w:rPr>
          <w:rFonts w:ascii="Times New Roman" w:hAnsi="Times New Roman" w:cs="Times New Roman"/>
        </w:rPr>
        <w:t>s</w:t>
      </w:r>
      <w:r>
        <w:rPr>
          <w:rFonts w:ascii="Times New Roman" w:hAnsi="Times New Roman" w:cs="Times New Roman"/>
        </w:rPr>
        <w:t xml:space="preserve"> (n 22 above) </w:t>
      </w:r>
      <w:r w:rsidRPr="00DB6E56">
        <w:rPr>
          <w:rFonts w:ascii="Times New Roman" w:hAnsi="Times New Roman" w:cs="Times New Roman"/>
        </w:rPr>
        <w:t>par</w:t>
      </w:r>
      <w:r>
        <w:rPr>
          <w:rFonts w:ascii="Times New Roman" w:hAnsi="Times New Roman" w:cs="Times New Roman"/>
        </w:rPr>
        <w:t>a</w:t>
      </w:r>
      <w:r w:rsidRPr="00DB6E56">
        <w:rPr>
          <w:rFonts w:ascii="Times New Roman" w:hAnsi="Times New Roman" w:cs="Times New Roman"/>
        </w:rPr>
        <w:t xml:space="preserve"> 18</w:t>
      </w:r>
      <w:r>
        <w:rPr>
          <w:rFonts w:ascii="Times New Roman" w:hAnsi="Times New Roman" w:cs="Times New Roman"/>
        </w:rPr>
        <w:t>.</w:t>
      </w:r>
    </w:p>
  </w:footnote>
  <w:footnote w:id="135">
    <w:p w14:paraId="3F2EBD5E" w14:textId="0EBDF34B"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Concordat on the Coordination of European Union Policy Issues</w:t>
      </w:r>
      <w:r>
        <w:rPr>
          <w:rFonts w:ascii="Times New Roman" w:hAnsi="Times New Roman" w:cs="Times New Roman"/>
        </w:rPr>
        <w:t xml:space="preserve"> (n 22 above)</w:t>
      </w:r>
      <w:r w:rsidRPr="00DB6E56">
        <w:rPr>
          <w:rFonts w:ascii="Times New Roman" w:hAnsi="Times New Roman" w:cs="Times New Roman"/>
        </w:rPr>
        <w:t>, B4 Common Annex, B4.13.</w:t>
      </w:r>
    </w:p>
  </w:footnote>
  <w:footnote w:id="136">
    <w:p w14:paraId="5999C382" w14:textId="77777777"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Northern Ireland Act, Schedule 2 Section 3; Scotland Act, Schedule 5 Section 7(1), Government of Wales Act, Schedule 7A Sections 10(1) and (2).</w:t>
      </w:r>
    </w:p>
  </w:footnote>
  <w:footnote w:id="137">
    <w:p w14:paraId="27A7712D" w14:textId="77777777"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Concurrent competence continues to define other aspects of domestic policymaking, notably in relation to aspects of social security under the Scotland Acts 2012 and 2016. See here eg A. Page, ‘Scotland in the United Kingdom’ (2019) and A. Evans, ‘Inter-parliamentary Relations in the United Kingdom: Devolution’s Undiscovered Country?’ (2019) 39(1) </w:t>
      </w:r>
      <w:r w:rsidRPr="00DB6E56">
        <w:rPr>
          <w:rFonts w:ascii="Times New Roman" w:hAnsi="Times New Roman" w:cs="Times New Roman"/>
          <w:i/>
        </w:rPr>
        <w:t>Parliament, Estates and Representation</w:t>
      </w:r>
      <w:r w:rsidRPr="00DB6E56">
        <w:rPr>
          <w:rFonts w:ascii="Times New Roman" w:hAnsi="Times New Roman" w:cs="Times New Roman"/>
        </w:rPr>
        <w:t xml:space="preserve"> 98.</w:t>
      </w:r>
    </w:p>
  </w:footnote>
  <w:footnote w:id="138">
    <w:p w14:paraId="09CD8CF2" w14:textId="1137BFA8"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also eg McEwan, Kenny, Sheldon and Brown Swan</w:t>
      </w:r>
      <w:r>
        <w:rPr>
          <w:rFonts w:ascii="Times New Roman" w:hAnsi="Times New Roman" w:cs="Times New Roman"/>
        </w:rPr>
        <w:t xml:space="preserve"> (n 4</w:t>
      </w:r>
      <w:r w:rsidR="00820D7F">
        <w:rPr>
          <w:rFonts w:ascii="Times New Roman" w:hAnsi="Times New Roman" w:cs="Times New Roman"/>
        </w:rPr>
        <w:t>5</w:t>
      </w:r>
      <w:r>
        <w:rPr>
          <w:rFonts w:ascii="Times New Roman" w:hAnsi="Times New Roman" w:cs="Times New Roman"/>
        </w:rPr>
        <w:t xml:space="preserve"> above)</w:t>
      </w:r>
      <w:r w:rsidRPr="00DB6E56">
        <w:rPr>
          <w:rFonts w:ascii="Times New Roman" w:hAnsi="Times New Roman" w:cs="Times New Roman"/>
        </w:rPr>
        <w:t xml:space="preserve">, 638. </w:t>
      </w:r>
      <w:r>
        <w:rPr>
          <w:rFonts w:ascii="Times New Roman" w:hAnsi="Times New Roman" w:cs="Times New Roman"/>
        </w:rPr>
        <w:t xml:space="preserve">See </w:t>
      </w:r>
      <w:r w:rsidRPr="00DB6E56">
        <w:rPr>
          <w:rFonts w:ascii="Times New Roman" w:hAnsi="Times New Roman" w:cs="Times New Roman"/>
        </w:rPr>
        <w:t xml:space="preserve">also Arden LJ in </w:t>
      </w:r>
      <w:r w:rsidRPr="00DB6E56">
        <w:rPr>
          <w:rFonts w:ascii="Times New Roman" w:hAnsi="Times New Roman" w:cs="Times New Roman"/>
          <w:i/>
        </w:rPr>
        <w:t>R (Horvath) v Secretary of State for Environment, Food and Rural Affairs</w:t>
      </w:r>
      <w:r w:rsidRPr="00DB6E56">
        <w:rPr>
          <w:rFonts w:ascii="Times New Roman" w:hAnsi="Times New Roman" w:cs="Times New Roman"/>
        </w:rPr>
        <w:t xml:space="preserve"> </w:t>
      </w:r>
      <w:r>
        <w:rPr>
          <w:rFonts w:ascii="Times New Roman" w:hAnsi="Times New Roman" w:cs="Times New Roman"/>
        </w:rPr>
        <w:t>(n 1</w:t>
      </w:r>
      <w:r w:rsidR="00820D7F">
        <w:rPr>
          <w:rFonts w:ascii="Times New Roman" w:hAnsi="Times New Roman" w:cs="Times New Roman"/>
        </w:rPr>
        <w:t>31</w:t>
      </w:r>
      <w:r>
        <w:rPr>
          <w:rFonts w:ascii="Times New Roman" w:hAnsi="Times New Roman" w:cs="Times New Roman"/>
        </w:rPr>
        <w:t xml:space="preserve"> above) </w:t>
      </w:r>
      <w:r w:rsidRPr="00DB6E56">
        <w:rPr>
          <w:rFonts w:ascii="Times New Roman" w:hAnsi="Times New Roman" w:cs="Times New Roman"/>
        </w:rPr>
        <w:t>at [51]-[59].</w:t>
      </w:r>
    </w:p>
  </w:footnote>
  <w:footnote w:id="139">
    <w:p w14:paraId="06C2B900" w14:textId="51858790" w:rsidR="003B001B" w:rsidRPr="00DB6E56" w:rsidRDefault="003B001B" w:rsidP="00DB6E56">
      <w:pPr>
        <w:pStyle w:val="Heading3"/>
        <w:shd w:val="clear" w:color="auto" w:fill="FFFFFF"/>
        <w:spacing w:before="0" w:beforeAutospacing="0" w:after="0" w:afterAutospacing="0"/>
        <w:jc w:val="both"/>
        <w:rPr>
          <w:b w:val="0"/>
          <w:color w:val="0B0C0C"/>
          <w:sz w:val="20"/>
          <w:szCs w:val="20"/>
        </w:rPr>
      </w:pPr>
      <w:r w:rsidRPr="00DB6E56">
        <w:rPr>
          <w:rStyle w:val="FootnoteReference"/>
          <w:b w:val="0"/>
          <w:sz w:val="20"/>
          <w:szCs w:val="20"/>
        </w:rPr>
        <w:footnoteRef/>
      </w:r>
      <w:r w:rsidRPr="00DB6E56">
        <w:rPr>
          <w:b w:val="0"/>
          <w:sz w:val="20"/>
          <w:szCs w:val="20"/>
        </w:rPr>
        <w:t xml:space="preserve"> </w:t>
      </w:r>
      <w:hyperlink r:id="rId44" w:history="1">
        <w:r w:rsidRPr="00DB6E56">
          <w:rPr>
            <w:rStyle w:val="Hyperlink"/>
            <w:b w:val="0"/>
            <w:color w:val="003078"/>
            <w:sz w:val="20"/>
            <w:szCs w:val="20"/>
          </w:rPr>
          <w:t>Policy statement: Scottish Deposit Return Scheme - UK internal market exclusion</w:t>
        </w:r>
      </w:hyperlink>
      <w:r w:rsidRPr="00DB6E56">
        <w:rPr>
          <w:b w:val="0"/>
          <w:color w:val="0B0C0C"/>
          <w:sz w:val="20"/>
          <w:szCs w:val="20"/>
        </w:rPr>
        <w:t xml:space="preserve"> (27 May 2023)</w:t>
      </w:r>
      <w:r>
        <w:rPr>
          <w:b w:val="0"/>
          <w:color w:val="0B0C0C"/>
          <w:sz w:val="20"/>
          <w:szCs w:val="20"/>
        </w:rPr>
        <w:t xml:space="preserve"> (accessed 5/6/23)</w:t>
      </w:r>
      <w:r w:rsidRPr="00DB6E56">
        <w:rPr>
          <w:b w:val="0"/>
          <w:color w:val="0B0C0C"/>
          <w:sz w:val="20"/>
          <w:szCs w:val="20"/>
        </w:rPr>
        <w:t>. The Welsh government is cooperating with the UK government with a view to establishing a common scheme, which will also extend to Northern Ireland. For a</w:t>
      </w:r>
      <w:r>
        <w:rPr>
          <w:b w:val="0"/>
          <w:color w:val="0B0C0C"/>
          <w:sz w:val="20"/>
          <w:szCs w:val="20"/>
        </w:rPr>
        <w:t>n</w:t>
      </w:r>
      <w:r w:rsidRPr="00DB6E56">
        <w:rPr>
          <w:b w:val="0"/>
          <w:color w:val="0B0C0C"/>
          <w:sz w:val="20"/>
          <w:szCs w:val="20"/>
        </w:rPr>
        <w:t xml:space="preserve"> overview proposals, see </w:t>
      </w:r>
      <w:hyperlink r:id="rId45" w:history="1">
        <w:r w:rsidRPr="00DB6E56">
          <w:rPr>
            <w:rStyle w:val="Hyperlink"/>
            <w:b w:val="0"/>
            <w:sz w:val="20"/>
            <w:szCs w:val="20"/>
          </w:rPr>
          <w:t>https://assets.publishing.service.gov.uk/government/uploads/system/uploads/attachment_data/file/1130296/DRS_Government_response_Jan_2023.pdf</w:t>
        </w:r>
      </w:hyperlink>
      <w:r w:rsidRPr="00DB6E56">
        <w:rPr>
          <w:b w:val="0"/>
          <w:color w:val="0B0C0C"/>
          <w:sz w:val="20"/>
          <w:szCs w:val="20"/>
        </w:rPr>
        <w:t xml:space="preserve"> </w:t>
      </w:r>
      <w:r>
        <w:rPr>
          <w:b w:val="0"/>
          <w:color w:val="0B0C0C"/>
          <w:sz w:val="20"/>
          <w:szCs w:val="20"/>
        </w:rPr>
        <w:t xml:space="preserve"> </w:t>
      </w:r>
      <w:r w:rsidRPr="002B01BC">
        <w:rPr>
          <w:b w:val="0"/>
          <w:color w:val="0B0C0C"/>
          <w:sz w:val="20"/>
          <w:szCs w:val="20"/>
        </w:rPr>
        <w:t>(accessed 5/6/23).</w:t>
      </w:r>
    </w:p>
  </w:footnote>
  <w:footnote w:id="140">
    <w:p w14:paraId="4E44017C" w14:textId="12CF2411"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also Section 1.2, above.</w:t>
      </w:r>
    </w:p>
  </w:footnote>
  <w:footnote w:id="141">
    <w:p w14:paraId="5C85C4A8" w14:textId="43C29138"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C. Jones, ‘Brexit and Devolution: Stresses, Strains and Solutions,’ speech at the Institute for Government, 10 September 2018, cited in eg McEwan, Kenny, Sheldon and Brown Swan</w:t>
      </w:r>
      <w:r>
        <w:rPr>
          <w:rFonts w:ascii="Times New Roman" w:hAnsi="Times New Roman" w:cs="Times New Roman"/>
        </w:rPr>
        <w:t xml:space="preserve"> (n 4</w:t>
      </w:r>
      <w:r w:rsidR="00820D7F">
        <w:rPr>
          <w:rFonts w:ascii="Times New Roman" w:hAnsi="Times New Roman" w:cs="Times New Roman"/>
        </w:rPr>
        <w:t>5</w:t>
      </w:r>
      <w:r>
        <w:rPr>
          <w:rFonts w:ascii="Times New Roman" w:hAnsi="Times New Roman" w:cs="Times New Roman"/>
        </w:rPr>
        <w:t xml:space="preserve"> above)</w:t>
      </w:r>
      <w:r w:rsidRPr="00DB6E56">
        <w:rPr>
          <w:rFonts w:ascii="Times New Roman" w:hAnsi="Times New Roman" w:cs="Times New Roman"/>
        </w:rPr>
        <w:t xml:space="preserve"> 638.</w:t>
      </w:r>
    </w:p>
  </w:footnote>
  <w:footnote w:id="142">
    <w:p w14:paraId="61BC9CBA" w14:textId="2E49A36B"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hyperlink r:id="rId46" w:history="1">
        <w:r w:rsidRPr="00DB6E56">
          <w:rPr>
            <w:rStyle w:val="Hyperlink"/>
            <w:rFonts w:ascii="Times New Roman" w:hAnsi="Times New Roman" w:cs="Times New Roman"/>
          </w:rPr>
          <w:t>https://assets.publishing.service.gov.uk/government/uploads/system/uploads/attachment_data/file/1046083/The_Review_of_Intergovernmental_Relations.pdf</w:t>
        </w:r>
      </w:hyperlink>
      <w:r w:rsidRPr="00DB6E56">
        <w:rPr>
          <w:rFonts w:ascii="Times New Roman" w:hAnsi="Times New Roman" w:cs="Times New Roman"/>
        </w:rPr>
        <w:t xml:space="preserve"> </w:t>
      </w:r>
      <w:r>
        <w:rPr>
          <w:rFonts w:ascii="Times New Roman" w:hAnsi="Times New Roman" w:cs="Times New Roman"/>
        </w:rPr>
        <w:t xml:space="preserve"> (accessed 5/6/23).</w:t>
      </w:r>
    </w:p>
  </w:footnote>
  <w:footnote w:id="143">
    <w:p w14:paraId="3D0DBFFA" w14:textId="243E815E"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s31(4) UKIMA.</w:t>
      </w:r>
    </w:p>
  </w:footnote>
  <w:footnote w:id="144">
    <w:p w14:paraId="3681AA4A" w14:textId="7E2500FD"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w:t>
      </w:r>
      <w:r>
        <w:rPr>
          <w:rFonts w:ascii="Times New Roman" w:hAnsi="Times New Roman" w:cs="Times New Roman"/>
        </w:rPr>
        <w:t>OIM</w:t>
      </w:r>
      <w:r w:rsidRPr="00DB6E56">
        <w:rPr>
          <w:rFonts w:ascii="Times New Roman" w:hAnsi="Times New Roman" w:cs="Times New Roman"/>
        </w:rPr>
        <w:t xml:space="preserve">, </w:t>
      </w:r>
      <w:r w:rsidRPr="00DB6E56">
        <w:rPr>
          <w:rFonts w:ascii="Times New Roman" w:hAnsi="Times New Roman" w:cs="Times New Roman"/>
          <w:i/>
        </w:rPr>
        <w:t xml:space="preserve">Annual Report </w:t>
      </w:r>
      <w:r>
        <w:rPr>
          <w:rFonts w:ascii="Times New Roman" w:hAnsi="Times New Roman" w:cs="Times New Roman"/>
        </w:rPr>
        <w:t>(n 6</w:t>
      </w:r>
      <w:r w:rsidR="00820D7F">
        <w:rPr>
          <w:rFonts w:ascii="Times New Roman" w:hAnsi="Times New Roman" w:cs="Times New Roman"/>
        </w:rPr>
        <w:t>8</w:t>
      </w:r>
      <w:r>
        <w:rPr>
          <w:rFonts w:ascii="Times New Roman" w:hAnsi="Times New Roman" w:cs="Times New Roman"/>
        </w:rPr>
        <w:t xml:space="preserve"> above).</w:t>
      </w:r>
    </w:p>
  </w:footnote>
  <w:footnote w:id="145">
    <w:p w14:paraId="3461CAA7" w14:textId="211DD842"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here see eg Wincott, Murray and Davies</w:t>
      </w:r>
      <w:r>
        <w:rPr>
          <w:rFonts w:ascii="Times New Roman" w:hAnsi="Times New Roman" w:cs="Times New Roman"/>
        </w:rPr>
        <w:t xml:space="preserve"> (n 11</w:t>
      </w:r>
      <w:r w:rsidR="00820D7F">
        <w:rPr>
          <w:rFonts w:ascii="Times New Roman" w:hAnsi="Times New Roman" w:cs="Times New Roman"/>
        </w:rPr>
        <w:t>6</w:t>
      </w:r>
      <w:r>
        <w:rPr>
          <w:rFonts w:ascii="Times New Roman" w:hAnsi="Times New Roman" w:cs="Times New Roman"/>
        </w:rPr>
        <w:t xml:space="preserve"> above)</w:t>
      </w:r>
      <w:r w:rsidRPr="00DB6E56">
        <w:rPr>
          <w:rFonts w:ascii="Times New Roman" w:hAnsi="Times New Roman" w:cs="Times New Roman"/>
        </w:rPr>
        <w:t>.</w:t>
      </w:r>
    </w:p>
  </w:footnote>
  <w:footnote w:id="146">
    <w:p w14:paraId="38A7E428" w14:textId="51F79A77"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eg Case 213/89 </w:t>
      </w:r>
      <w:r w:rsidRPr="00DB6E56">
        <w:rPr>
          <w:rFonts w:ascii="Times New Roman" w:hAnsi="Times New Roman" w:cs="Times New Roman"/>
          <w:i/>
        </w:rPr>
        <w:t>R v. Secretary of State for Transport, ex. p. Factortame Ltd</w:t>
      </w:r>
      <w:r w:rsidRPr="00DB6E56">
        <w:rPr>
          <w:rFonts w:ascii="Times New Roman" w:hAnsi="Times New Roman" w:cs="Times New Roman"/>
        </w:rPr>
        <w:t xml:space="preserve"> ECLI:EU:C:1990:257. For the classic account on revolutionary change, see H W R Wade ‘Sovereignty - Revolution or Evolution?’</w:t>
      </w:r>
      <w:r>
        <w:rPr>
          <w:rFonts w:ascii="Times New Roman" w:hAnsi="Times New Roman" w:cs="Times New Roman"/>
        </w:rPr>
        <w:t xml:space="preserve"> </w:t>
      </w:r>
      <w:r w:rsidRPr="00DB6E56">
        <w:rPr>
          <w:rFonts w:ascii="Times New Roman" w:hAnsi="Times New Roman" w:cs="Times New Roman"/>
        </w:rPr>
        <w:t xml:space="preserve">(1996) 112 </w:t>
      </w:r>
      <w:r w:rsidRPr="00AC427B">
        <w:rPr>
          <w:rFonts w:ascii="Times New Roman" w:hAnsi="Times New Roman" w:cs="Times New Roman"/>
          <w:i/>
        </w:rPr>
        <w:t>LQR</w:t>
      </w:r>
      <w:r w:rsidRPr="00DB6E56">
        <w:rPr>
          <w:rFonts w:ascii="Times New Roman" w:hAnsi="Times New Roman" w:cs="Times New Roman"/>
        </w:rPr>
        <w:t xml:space="preserve"> 568.</w:t>
      </w:r>
    </w:p>
  </w:footnote>
  <w:footnote w:id="147">
    <w:p w14:paraId="73692945" w14:textId="47BA0B28"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See eg </w:t>
      </w:r>
      <w:hyperlink r:id="rId47" w:history="1">
        <w:r w:rsidRPr="00DB6E56">
          <w:rPr>
            <w:rStyle w:val="Hyperlink"/>
            <w:rFonts w:ascii="Times New Roman" w:hAnsi="Times New Roman" w:cs="Times New Roman"/>
          </w:rPr>
          <w:t>A New Britain: Renewing our Democracy and Rebuilding our Economy Report of the Commission on the UK’s Future</w:t>
        </w:r>
      </w:hyperlink>
      <w:r w:rsidRPr="00DB6E56">
        <w:rPr>
          <w:rFonts w:ascii="Times New Roman" w:hAnsi="Times New Roman" w:cs="Times New Roman"/>
        </w:rPr>
        <w:t xml:space="preserve"> (Labour Party, 2022) and </w:t>
      </w:r>
      <w:hyperlink r:id="rId48" w:history="1">
        <w:r w:rsidRPr="00DB6E56">
          <w:rPr>
            <w:rStyle w:val="Hyperlink"/>
            <w:rFonts w:ascii="Times New Roman" w:hAnsi="Times New Roman" w:cs="Times New Roman"/>
          </w:rPr>
          <w:t>Stronger Scotland, Better Britain</w:t>
        </w:r>
      </w:hyperlink>
      <w:r w:rsidRPr="00DB6E56">
        <w:rPr>
          <w:rFonts w:ascii="Times New Roman" w:hAnsi="Times New Roman" w:cs="Times New Roman"/>
        </w:rPr>
        <w:t xml:space="preserve"> (Alliance for Radical Democratic Change, 1 June 2023)</w:t>
      </w:r>
      <w:r>
        <w:rPr>
          <w:rFonts w:ascii="Times New Roman" w:hAnsi="Times New Roman" w:cs="Times New Roman"/>
        </w:rPr>
        <w:t xml:space="preserve"> (accessed 5/6/23).</w:t>
      </w:r>
      <w:r w:rsidRPr="00DB6E56">
        <w:rPr>
          <w:rFonts w:ascii="Times New Roman" w:hAnsi="Times New Roman" w:cs="Times New Roman"/>
        </w:rPr>
        <w:t xml:space="preserve"> See also eg V Bogdanor, </w:t>
      </w:r>
      <w:r w:rsidRPr="00DB6E56">
        <w:rPr>
          <w:rFonts w:ascii="Times New Roman" w:hAnsi="Times New Roman" w:cs="Times New Roman"/>
          <w:i/>
        </w:rPr>
        <w:t>The New British Constitution</w:t>
      </w:r>
      <w:r w:rsidRPr="00DB6E56">
        <w:rPr>
          <w:rFonts w:ascii="Times New Roman" w:hAnsi="Times New Roman" w:cs="Times New Roman"/>
        </w:rPr>
        <w:t xml:space="preserve"> (Oxford: Hart, 2009) and V Bogdanor, </w:t>
      </w:r>
      <w:r w:rsidRPr="00DB6E56">
        <w:rPr>
          <w:rFonts w:ascii="Times New Roman" w:hAnsi="Times New Roman" w:cs="Times New Roman"/>
          <w:i/>
        </w:rPr>
        <w:t>Beyond Brexit: Towards a New British Constitution</w:t>
      </w:r>
      <w:r w:rsidRPr="00DB6E56">
        <w:rPr>
          <w:rFonts w:ascii="Times New Roman" w:hAnsi="Times New Roman" w:cs="Times New Roman"/>
        </w:rPr>
        <w:t xml:space="preserve"> (‎Tauris, 2019).</w:t>
      </w:r>
    </w:p>
  </w:footnote>
  <w:footnote w:id="148">
    <w:p w14:paraId="64413704" w14:textId="1E743AD5"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On the need for a renewal of political consensus more broadly, see the Welsh First Minister’s call for a ‘solidarity union’ built around rights to public services and financial solidarity. </w:t>
      </w:r>
      <w:hyperlink r:id="rId49" w:history="1">
        <w:r w:rsidRPr="00DB6E56">
          <w:rPr>
            <w:rStyle w:val="Hyperlink"/>
            <w:rFonts w:ascii="Times New Roman" w:hAnsi="Times New Roman" w:cs="Times New Roman"/>
          </w:rPr>
          <w:t>UK could break up unless it is rebuilt as ‘solidarity union’, says Mark Drakeford | Constitutional reform | The Guardian</w:t>
        </w:r>
      </w:hyperlink>
      <w:r>
        <w:rPr>
          <w:rStyle w:val="Hyperlink"/>
          <w:rFonts w:ascii="Times New Roman" w:hAnsi="Times New Roman" w:cs="Times New Roman"/>
        </w:rPr>
        <w:t xml:space="preserve"> </w:t>
      </w:r>
      <w:r>
        <w:rPr>
          <w:rFonts w:ascii="Times New Roman" w:hAnsi="Times New Roman" w:cs="Times New Roman"/>
        </w:rPr>
        <w:t>(accessed 5/6/23).</w:t>
      </w:r>
    </w:p>
  </w:footnote>
  <w:footnote w:id="149">
    <w:p w14:paraId="20A6C0A5" w14:textId="3771A040" w:rsidR="003B001B" w:rsidRPr="00DB6E56" w:rsidRDefault="003B001B" w:rsidP="00DB6E56">
      <w:pPr>
        <w:pStyle w:val="FootnoteText"/>
        <w:jc w:val="both"/>
        <w:rPr>
          <w:rFonts w:ascii="Times New Roman" w:hAnsi="Times New Roman" w:cs="Times New Roman"/>
        </w:rPr>
      </w:pPr>
      <w:r w:rsidRPr="00DB6E56">
        <w:rPr>
          <w:rStyle w:val="FootnoteReference"/>
          <w:rFonts w:ascii="Times New Roman" w:hAnsi="Times New Roman" w:cs="Times New Roman"/>
        </w:rPr>
        <w:footnoteRef/>
      </w:r>
      <w:r w:rsidRPr="00DB6E56">
        <w:rPr>
          <w:rFonts w:ascii="Times New Roman" w:hAnsi="Times New Roman" w:cs="Times New Roman"/>
        </w:rPr>
        <w:t xml:space="preserve"> For earlier recognition, see eg Arden LJ in </w:t>
      </w:r>
      <w:r w:rsidRPr="00DB6E56">
        <w:rPr>
          <w:rFonts w:ascii="Times New Roman" w:hAnsi="Times New Roman" w:cs="Times New Roman"/>
          <w:i/>
        </w:rPr>
        <w:t>R (Horvath) v Secretary of State for Environment, Food and Rural Affairs</w:t>
      </w:r>
      <w:r w:rsidRPr="00DB6E56">
        <w:rPr>
          <w:rFonts w:ascii="Times New Roman" w:hAnsi="Times New Roman" w:cs="Times New Roman"/>
        </w:rPr>
        <w:t xml:space="preserve"> </w:t>
      </w:r>
      <w:r>
        <w:rPr>
          <w:rFonts w:ascii="Times New Roman" w:hAnsi="Times New Roman" w:cs="Times New Roman"/>
        </w:rPr>
        <w:t xml:space="preserve">(n 128 above) at </w:t>
      </w:r>
      <w:r w:rsidRPr="00DB6E56">
        <w:rPr>
          <w:rFonts w:ascii="Times New Roman" w:hAnsi="Times New Roman" w:cs="Times New Roman"/>
        </w:rPr>
        <w:t>[51]-[59].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A1E54" w14:textId="32F2C623" w:rsidR="003B001B" w:rsidRPr="00C258B0" w:rsidRDefault="003B001B" w:rsidP="00C258B0">
    <w:pPr>
      <w:pStyle w:val="Header"/>
      <w:jc w:val="both"/>
      <w:rPr>
        <w:i/>
        <w:sz w:val="18"/>
        <w:szCs w:val="18"/>
      </w:rPr>
    </w:pPr>
    <w:r>
      <w:rPr>
        <w:i/>
        <w:sz w:val="18"/>
        <w:szCs w:val="18"/>
      </w:rPr>
      <w:tab/>
      <w:t xml:space="preserve">                                                                                                          </w:t>
    </w:r>
    <w:r w:rsidRPr="00C258B0">
      <w:rPr>
        <w:i/>
        <w:sz w:val="18"/>
        <w:szCs w:val="18"/>
      </w:rPr>
      <w:t>Internal Market Governance by Consensus rather than Conflict?</w:t>
    </w:r>
  </w:p>
  <w:p w14:paraId="1AAB5F76" w14:textId="781C8B87" w:rsidR="003B001B" w:rsidRPr="00C258B0" w:rsidRDefault="003B001B" w:rsidP="00C258B0">
    <w:pPr>
      <w:pStyle w:val="Header"/>
      <w:jc w:val="both"/>
      <w:rPr>
        <w:i/>
        <w:sz w:val="18"/>
        <w:szCs w:val="18"/>
      </w:rPr>
    </w:pPr>
    <w:r w:rsidRPr="00C258B0">
      <w:rPr>
        <w:i/>
        <w:sz w:val="18"/>
        <w:szCs w:val="18"/>
      </w:rPr>
      <w:tab/>
      <w:t xml:space="preserve">                                                  </w:t>
    </w:r>
    <w:r>
      <w:rPr>
        <w:i/>
        <w:sz w:val="18"/>
        <w:szCs w:val="18"/>
      </w:rPr>
      <w:t xml:space="preserve">                                                    </w:t>
    </w:r>
    <w:r w:rsidRPr="00C258B0">
      <w:rPr>
        <w:i/>
        <w:sz w:val="18"/>
        <w:szCs w:val="18"/>
      </w:rPr>
      <w:t>Common Frameworks and the Potential for Positive Harmonisation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93B"/>
    <w:multiLevelType w:val="hybridMultilevel"/>
    <w:tmpl w:val="ADF29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9A2858"/>
    <w:multiLevelType w:val="multilevel"/>
    <w:tmpl w:val="F4342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D6"/>
    <w:rsid w:val="000052BB"/>
    <w:rsid w:val="000110B1"/>
    <w:rsid w:val="000132B1"/>
    <w:rsid w:val="000133F4"/>
    <w:rsid w:val="000145B1"/>
    <w:rsid w:val="00016842"/>
    <w:rsid w:val="00022790"/>
    <w:rsid w:val="000251E4"/>
    <w:rsid w:val="00025B72"/>
    <w:rsid w:val="0002720F"/>
    <w:rsid w:val="0003331D"/>
    <w:rsid w:val="00035C1B"/>
    <w:rsid w:val="00040EFE"/>
    <w:rsid w:val="00041AB8"/>
    <w:rsid w:val="00044B4C"/>
    <w:rsid w:val="00051858"/>
    <w:rsid w:val="00053D8B"/>
    <w:rsid w:val="00064019"/>
    <w:rsid w:val="00064950"/>
    <w:rsid w:val="00067C6C"/>
    <w:rsid w:val="00067D8E"/>
    <w:rsid w:val="0007421D"/>
    <w:rsid w:val="0007770D"/>
    <w:rsid w:val="00080EBA"/>
    <w:rsid w:val="00085707"/>
    <w:rsid w:val="0008748C"/>
    <w:rsid w:val="000908A1"/>
    <w:rsid w:val="00090F9D"/>
    <w:rsid w:val="00091FED"/>
    <w:rsid w:val="000937AF"/>
    <w:rsid w:val="00094330"/>
    <w:rsid w:val="00096044"/>
    <w:rsid w:val="00096C28"/>
    <w:rsid w:val="000977F9"/>
    <w:rsid w:val="0009797B"/>
    <w:rsid w:val="000A11A0"/>
    <w:rsid w:val="000A184A"/>
    <w:rsid w:val="000A19C9"/>
    <w:rsid w:val="000A3BFA"/>
    <w:rsid w:val="000A4F15"/>
    <w:rsid w:val="000A6568"/>
    <w:rsid w:val="000A7577"/>
    <w:rsid w:val="000B00FB"/>
    <w:rsid w:val="000B1B0E"/>
    <w:rsid w:val="000B6D21"/>
    <w:rsid w:val="000B7B3B"/>
    <w:rsid w:val="000C05DE"/>
    <w:rsid w:val="000C3D06"/>
    <w:rsid w:val="000C3DF9"/>
    <w:rsid w:val="000C43A5"/>
    <w:rsid w:val="000C49D5"/>
    <w:rsid w:val="000C5988"/>
    <w:rsid w:val="000C6B4D"/>
    <w:rsid w:val="000D0B60"/>
    <w:rsid w:val="000D4933"/>
    <w:rsid w:val="000E060A"/>
    <w:rsid w:val="000E0B96"/>
    <w:rsid w:val="000E11E9"/>
    <w:rsid w:val="000E1867"/>
    <w:rsid w:val="000E30D4"/>
    <w:rsid w:val="000E4F10"/>
    <w:rsid w:val="000F06E6"/>
    <w:rsid w:val="000F39FE"/>
    <w:rsid w:val="000F619F"/>
    <w:rsid w:val="00100937"/>
    <w:rsid w:val="00107A45"/>
    <w:rsid w:val="00107F1F"/>
    <w:rsid w:val="00113B29"/>
    <w:rsid w:val="00121200"/>
    <w:rsid w:val="001222DD"/>
    <w:rsid w:val="0012452E"/>
    <w:rsid w:val="00126719"/>
    <w:rsid w:val="00127A90"/>
    <w:rsid w:val="00127BA2"/>
    <w:rsid w:val="00130403"/>
    <w:rsid w:val="001336E6"/>
    <w:rsid w:val="00133CD8"/>
    <w:rsid w:val="00136F58"/>
    <w:rsid w:val="00142246"/>
    <w:rsid w:val="00143C62"/>
    <w:rsid w:val="0014535F"/>
    <w:rsid w:val="001477DD"/>
    <w:rsid w:val="00152F4F"/>
    <w:rsid w:val="00153FF3"/>
    <w:rsid w:val="00155B0E"/>
    <w:rsid w:val="00157A7B"/>
    <w:rsid w:val="00162588"/>
    <w:rsid w:val="0016734C"/>
    <w:rsid w:val="001720E1"/>
    <w:rsid w:val="00176072"/>
    <w:rsid w:val="00182209"/>
    <w:rsid w:val="00182263"/>
    <w:rsid w:val="00182CB2"/>
    <w:rsid w:val="001872E0"/>
    <w:rsid w:val="001917F4"/>
    <w:rsid w:val="001966A8"/>
    <w:rsid w:val="00197130"/>
    <w:rsid w:val="001A0659"/>
    <w:rsid w:val="001A0D6F"/>
    <w:rsid w:val="001A16E9"/>
    <w:rsid w:val="001B3AB4"/>
    <w:rsid w:val="001B4E15"/>
    <w:rsid w:val="001B5B5C"/>
    <w:rsid w:val="001B6C50"/>
    <w:rsid w:val="001D26C8"/>
    <w:rsid w:val="001D2C8B"/>
    <w:rsid w:val="001D2EC4"/>
    <w:rsid w:val="001D3486"/>
    <w:rsid w:val="001D49DB"/>
    <w:rsid w:val="001D6F88"/>
    <w:rsid w:val="001D73F7"/>
    <w:rsid w:val="001E0B3F"/>
    <w:rsid w:val="001E145D"/>
    <w:rsid w:val="001E2034"/>
    <w:rsid w:val="001E21C4"/>
    <w:rsid w:val="001E288A"/>
    <w:rsid w:val="001E3B74"/>
    <w:rsid w:val="001E4614"/>
    <w:rsid w:val="001E5347"/>
    <w:rsid w:val="001E67DD"/>
    <w:rsid w:val="001E764B"/>
    <w:rsid w:val="001F09D7"/>
    <w:rsid w:val="001F3C09"/>
    <w:rsid w:val="001F4388"/>
    <w:rsid w:val="001F6BE8"/>
    <w:rsid w:val="00200511"/>
    <w:rsid w:val="00201AEA"/>
    <w:rsid w:val="00205573"/>
    <w:rsid w:val="0020794A"/>
    <w:rsid w:val="0021000C"/>
    <w:rsid w:val="0021286E"/>
    <w:rsid w:val="00220129"/>
    <w:rsid w:val="002202BF"/>
    <w:rsid w:val="00221FE4"/>
    <w:rsid w:val="00222AD5"/>
    <w:rsid w:val="0022372C"/>
    <w:rsid w:val="0022648D"/>
    <w:rsid w:val="002300D4"/>
    <w:rsid w:val="00231024"/>
    <w:rsid w:val="002334A4"/>
    <w:rsid w:val="00233B50"/>
    <w:rsid w:val="00233CE9"/>
    <w:rsid w:val="002341AD"/>
    <w:rsid w:val="00237AB2"/>
    <w:rsid w:val="00241C00"/>
    <w:rsid w:val="00242202"/>
    <w:rsid w:val="00242CF3"/>
    <w:rsid w:val="00245387"/>
    <w:rsid w:val="002457FC"/>
    <w:rsid w:val="00246B38"/>
    <w:rsid w:val="0025032B"/>
    <w:rsid w:val="00252733"/>
    <w:rsid w:val="0026379F"/>
    <w:rsid w:val="002644F0"/>
    <w:rsid w:val="00264749"/>
    <w:rsid w:val="00264E27"/>
    <w:rsid w:val="00266470"/>
    <w:rsid w:val="002708CC"/>
    <w:rsid w:val="00272659"/>
    <w:rsid w:val="0027333D"/>
    <w:rsid w:val="0027422E"/>
    <w:rsid w:val="002812E4"/>
    <w:rsid w:val="0028612E"/>
    <w:rsid w:val="00290E10"/>
    <w:rsid w:val="00292D9F"/>
    <w:rsid w:val="002B01BC"/>
    <w:rsid w:val="002B16B9"/>
    <w:rsid w:val="002B1BA1"/>
    <w:rsid w:val="002B1CE9"/>
    <w:rsid w:val="002B2040"/>
    <w:rsid w:val="002B3EC8"/>
    <w:rsid w:val="002B42C9"/>
    <w:rsid w:val="002C3006"/>
    <w:rsid w:val="002C43D6"/>
    <w:rsid w:val="002C5E99"/>
    <w:rsid w:val="002C7CF6"/>
    <w:rsid w:val="002D474A"/>
    <w:rsid w:val="002E0057"/>
    <w:rsid w:val="002E311C"/>
    <w:rsid w:val="002E312C"/>
    <w:rsid w:val="002E42E2"/>
    <w:rsid w:val="002E4E34"/>
    <w:rsid w:val="002F22DD"/>
    <w:rsid w:val="002F68AF"/>
    <w:rsid w:val="002F797B"/>
    <w:rsid w:val="00300B34"/>
    <w:rsid w:val="003012F8"/>
    <w:rsid w:val="00305BA2"/>
    <w:rsid w:val="00306BEB"/>
    <w:rsid w:val="003074EA"/>
    <w:rsid w:val="00307BCF"/>
    <w:rsid w:val="00307F3D"/>
    <w:rsid w:val="00310C18"/>
    <w:rsid w:val="0031112C"/>
    <w:rsid w:val="003134E6"/>
    <w:rsid w:val="0031611F"/>
    <w:rsid w:val="003210F7"/>
    <w:rsid w:val="00321453"/>
    <w:rsid w:val="003215EC"/>
    <w:rsid w:val="00321E59"/>
    <w:rsid w:val="003239BA"/>
    <w:rsid w:val="00323CE7"/>
    <w:rsid w:val="00324902"/>
    <w:rsid w:val="0032745A"/>
    <w:rsid w:val="00330274"/>
    <w:rsid w:val="003315C0"/>
    <w:rsid w:val="00331702"/>
    <w:rsid w:val="00331C38"/>
    <w:rsid w:val="00340850"/>
    <w:rsid w:val="003409DA"/>
    <w:rsid w:val="0034474F"/>
    <w:rsid w:val="0034656A"/>
    <w:rsid w:val="003465FB"/>
    <w:rsid w:val="00350069"/>
    <w:rsid w:val="00352105"/>
    <w:rsid w:val="0035391F"/>
    <w:rsid w:val="00354424"/>
    <w:rsid w:val="00355AB0"/>
    <w:rsid w:val="00356EB8"/>
    <w:rsid w:val="003771B9"/>
    <w:rsid w:val="00383F09"/>
    <w:rsid w:val="003840C5"/>
    <w:rsid w:val="003851F3"/>
    <w:rsid w:val="00392B32"/>
    <w:rsid w:val="00396612"/>
    <w:rsid w:val="00396DEE"/>
    <w:rsid w:val="00397B5C"/>
    <w:rsid w:val="003A2836"/>
    <w:rsid w:val="003A2ED9"/>
    <w:rsid w:val="003A36CD"/>
    <w:rsid w:val="003A5353"/>
    <w:rsid w:val="003B001B"/>
    <w:rsid w:val="003B059F"/>
    <w:rsid w:val="003B3FE7"/>
    <w:rsid w:val="003B4C54"/>
    <w:rsid w:val="003B5E4E"/>
    <w:rsid w:val="003B78C0"/>
    <w:rsid w:val="003C1A48"/>
    <w:rsid w:val="003C3F03"/>
    <w:rsid w:val="003C5AF7"/>
    <w:rsid w:val="003C7B3D"/>
    <w:rsid w:val="003D0002"/>
    <w:rsid w:val="003D208A"/>
    <w:rsid w:val="003D2259"/>
    <w:rsid w:val="003D2321"/>
    <w:rsid w:val="003D424B"/>
    <w:rsid w:val="003D5698"/>
    <w:rsid w:val="003D6992"/>
    <w:rsid w:val="003E3CB9"/>
    <w:rsid w:val="003E3DDC"/>
    <w:rsid w:val="003E48FC"/>
    <w:rsid w:val="003E4D6D"/>
    <w:rsid w:val="003F4CDE"/>
    <w:rsid w:val="003F500E"/>
    <w:rsid w:val="003F623C"/>
    <w:rsid w:val="004033D1"/>
    <w:rsid w:val="00404DDA"/>
    <w:rsid w:val="004071EC"/>
    <w:rsid w:val="00407AAB"/>
    <w:rsid w:val="00407F5F"/>
    <w:rsid w:val="00410AAB"/>
    <w:rsid w:val="00410D96"/>
    <w:rsid w:val="00412E7E"/>
    <w:rsid w:val="00413E87"/>
    <w:rsid w:val="00414AFE"/>
    <w:rsid w:val="004154A7"/>
    <w:rsid w:val="00415C4C"/>
    <w:rsid w:val="0042045D"/>
    <w:rsid w:val="004208D8"/>
    <w:rsid w:val="00420BBA"/>
    <w:rsid w:val="00421856"/>
    <w:rsid w:val="00424DC8"/>
    <w:rsid w:val="0043085F"/>
    <w:rsid w:val="0043140F"/>
    <w:rsid w:val="00434E46"/>
    <w:rsid w:val="00437251"/>
    <w:rsid w:val="00437270"/>
    <w:rsid w:val="004431E1"/>
    <w:rsid w:val="00443822"/>
    <w:rsid w:val="00446968"/>
    <w:rsid w:val="0044698C"/>
    <w:rsid w:val="00446A7A"/>
    <w:rsid w:val="004536B8"/>
    <w:rsid w:val="0045379C"/>
    <w:rsid w:val="00454B50"/>
    <w:rsid w:val="00456A53"/>
    <w:rsid w:val="0045713B"/>
    <w:rsid w:val="00457334"/>
    <w:rsid w:val="004606B0"/>
    <w:rsid w:val="004621F9"/>
    <w:rsid w:val="004653A2"/>
    <w:rsid w:val="00467BA9"/>
    <w:rsid w:val="004700E6"/>
    <w:rsid w:val="004712E8"/>
    <w:rsid w:val="0048006E"/>
    <w:rsid w:val="00480994"/>
    <w:rsid w:val="00480F41"/>
    <w:rsid w:val="00481F64"/>
    <w:rsid w:val="004835C3"/>
    <w:rsid w:val="0048694B"/>
    <w:rsid w:val="004900D4"/>
    <w:rsid w:val="00491A91"/>
    <w:rsid w:val="00493E28"/>
    <w:rsid w:val="00494C73"/>
    <w:rsid w:val="00496806"/>
    <w:rsid w:val="004A14DB"/>
    <w:rsid w:val="004A2FCB"/>
    <w:rsid w:val="004B0071"/>
    <w:rsid w:val="004B04C3"/>
    <w:rsid w:val="004B0C99"/>
    <w:rsid w:val="004B1575"/>
    <w:rsid w:val="004B4AC3"/>
    <w:rsid w:val="004D1B6D"/>
    <w:rsid w:val="004D225A"/>
    <w:rsid w:val="004D2546"/>
    <w:rsid w:val="004D2D45"/>
    <w:rsid w:val="004D37E7"/>
    <w:rsid w:val="004D3DCE"/>
    <w:rsid w:val="004D5C64"/>
    <w:rsid w:val="004D6A38"/>
    <w:rsid w:val="004D7BBE"/>
    <w:rsid w:val="004E0291"/>
    <w:rsid w:val="004E3F72"/>
    <w:rsid w:val="004E5E6E"/>
    <w:rsid w:val="004E5F80"/>
    <w:rsid w:val="004E60C5"/>
    <w:rsid w:val="004E6B1B"/>
    <w:rsid w:val="004F20B8"/>
    <w:rsid w:val="004F35E0"/>
    <w:rsid w:val="004F5E29"/>
    <w:rsid w:val="00504EDB"/>
    <w:rsid w:val="00506A0C"/>
    <w:rsid w:val="005071FA"/>
    <w:rsid w:val="0051071C"/>
    <w:rsid w:val="00512123"/>
    <w:rsid w:val="0051226E"/>
    <w:rsid w:val="00512B66"/>
    <w:rsid w:val="005152E8"/>
    <w:rsid w:val="00520C71"/>
    <w:rsid w:val="00523C04"/>
    <w:rsid w:val="00526FA3"/>
    <w:rsid w:val="005314F7"/>
    <w:rsid w:val="00533B5A"/>
    <w:rsid w:val="005346C9"/>
    <w:rsid w:val="005349EC"/>
    <w:rsid w:val="00534CB6"/>
    <w:rsid w:val="005359AB"/>
    <w:rsid w:val="00535F54"/>
    <w:rsid w:val="00536B0E"/>
    <w:rsid w:val="005370F8"/>
    <w:rsid w:val="005400B6"/>
    <w:rsid w:val="00540FCD"/>
    <w:rsid w:val="00541866"/>
    <w:rsid w:val="00542F06"/>
    <w:rsid w:val="00546A99"/>
    <w:rsid w:val="0054728F"/>
    <w:rsid w:val="00550358"/>
    <w:rsid w:val="005518E2"/>
    <w:rsid w:val="0055237C"/>
    <w:rsid w:val="00554789"/>
    <w:rsid w:val="00554F79"/>
    <w:rsid w:val="00557318"/>
    <w:rsid w:val="00567170"/>
    <w:rsid w:val="00573036"/>
    <w:rsid w:val="00573F53"/>
    <w:rsid w:val="00574810"/>
    <w:rsid w:val="005807A0"/>
    <w:rsid w:val="0058365F"/>
    <w:rsid w:val="00587DDF"/>
    <w:rsid w:val="00592781"/>
    <w:rsid w:val="00594B93"/>
    <w:rsid w:val="00597C4F"/>
    <w:rsid w:val="00597E06"/>
    <w:rsid w:val="00597ED4"/>
    <w:rsid w:val="005A04B6"/>
    <w:rsid w:val="005A204F"/>
    <w:rsid w:val="005A2D2E"/>
    <w:rsid w:val="005A32CE"/>
    <w:rsid w:val="005A350A"/>
    <w:rsid w:val="005A3819"/>
    <w:rsid w:val="005A464C"/>
    <w:rsid w:val="005A5A13"/>
    <w:rsid w:val="005A7451"/>
    <w:rsid w:val="005A7AF0"/>
    <w:rsid w:val="005B3481"/>
    <w:rsid w:val="005C2112"/>
    <w:rsid w:val="005C2151"/>
    <w:rsid w:val="005C4DD7"/>
    <w:rsid w:val="005C5B4B"/>
    <w:rsid w:val="005D015A"/>
    <w:rsid w:val="005D5FE8"/>
    <w:rsid w:val="005D7DCC"/>
    <w:rsid w:val="005E30CE"/>
    <w:rsid w:val="005E33F2"/>
    <w:rsid w:val="005E46EA"/>
    <w:rsid w:val="005E4E30"/>
    <w:rsid w:val="005E67D1"/>
    <w:rsid w:val="005F51D7"/>
    <w:rsid w:val="005F67F2"/>
    <w:rsid w:val="0060032A"/>
    <w:rsid w:val="006073EB"/>
    <w:rsid w:val="00615834"/>
    <w:rsid w:val="00616727"/>
    <w:rsid w:val="00616E49"/>
    <w:rsid w:val="00617AA0"/>
    <w:rsid w:val="0062147E"/>
    <w:rsid w:val="00630A0D"/>
    <w:rsid w:val="00630BAE"/>
    <w:rsid w:val="00630BBC"/>
    <w:rsid w:val="00631281"/>
    <w:rsid w:val="006317E4"/>
    <w:rsid w:val="00631E45"/>
    <w:rsid w:val="00632889"/>
    <w:rsid w:val="00636486"/>
    <w:rsid w:val="006466A0"/>
    <w:rsid w:val="00646C5C"/>
    <w:rsid w:val="006507C1"/>
    <w:rsid w:val="00651A07"/>
    <w:rsid w:val="00652C8C"/>
    <w:rsid w:val="00654B82"/>
    <w:rsid w:val="00657707"/>
    <w:rsid w:val="00657D51"/>
    <w:rsid w:val="00661D6E"/>
    <w:rsid w:val="00664172"/>
    <w:rsid w:val="00666637"/>
    <w:rsid w:val="00672E56"/>
    <w:rsid w:val="0067596E"/>
    <w:rsid w:val="0067627F"/>
    <w:rsid w:val="00676DFF"/>
    <w:rsid w:val="00677E18"/>
    <w:rsid w:val="00681A2F"/>
    <w:rsid w:val="006843D1"/>
    <w:rsid w:val="00687485"/>
    <w:rsid w:val="00694935"/>
    <w:rsid w:val="006A03F0"/>
    <w:rsid w:val="006A1F2D"/>
    <w:rsid w:val="006A2B16"/>
    <w:rsid w:val="006A4A6C"/>
    <w:rsid w:val="006B2C37"/>
    <w:rsid w:val="006B3DE7"/>
    <w:rsid w:val="006B4102"/>
    <w:rsid w:val="006C1D62"/>
    <w:rsid w:val="006C647F"/>
    <w:rsid w:val="006C684E"/>
    <w:rsid w:val="006C6E35"/>
    <w:rsid w:val="006D2C2D"/>
    <w:rsid w:val="006F0887"/>
    <w:rsid w:val="006F62D8"/>
    <w:rsid w:val="0070293B"/>
    <w:rsid w:val="00707A2B"/>
    <w:rsid w:val="0071100F"/>
    <w:rsid w:val="007110DC"/>
    <w:rsid w:val="00713609"/>
    <w:rsid w:val="007137DE"/>
    <w:rsid w:val="0071547E"/>
    <w:rsid w:val="00716B8E"/>
    <w:rsid w:val="00717724"/>
    <w:rsid w:val="00730C23"/>
    <w:rsid w:val="0073285C"/>
    <w:rsid w:val="0073648D"/>
    <w:rsid w:val="007422CE"/>
    <w:rsid w:val="00742547"/>
    <w:rsid w:val="0074566B"/>
    <w:rsid w:val="007457E5"/>
    <w:rsid w:val="00745A67"/>
    <w:rsid w:val="0074612F"/>
    <w:rsid w:val="00746FA2"/>
    <w:rsid w:val="00747B73"/>
    <w:rsid w:val="007508BC"/>
    <w:rsid w:val="00750FC0"/>
    <w:rsid w:val="00751D27"/>
    <w:rsid w:val="00752690"/>
    <w:rsid w:val="0075282B"/>
    <w:rsid w:val="00753538"/>
    <w:rsid w:val="00753D53"/>
    <w:rsid w:val="00754CC3"/>
    <w:rsid w:val="00761A1B"/>
    <w:rsid w:val="00761CB4"/>
    <w:rsid w:val="00762141"/>
    <w:rsid w:val="00764E7A"/>
    <w:rsid w:val="00765F27"/>
    <w:rsid w:val="007666BB"/>
    <w:rsid w:val="007669E5"/>
    <w:rsid w:val="00770631"/>
    <w:rsid w:val="007732FC"/>
    <w:rsid w:val="00773EC8"/>
    <w:rsid w:val="007751C7"/>
    <w:rsid w:val="007779A0"/>
    <w:rsid w:val="007848F0"/>
    <w:rsid w:val="00786371"/>
    <w:rsid w:val="00786AD3"/>
    <w:rsid w:val="007929B2"/>
    <w:rsid w:val="00792A82"/>
    <w:rsid w:val="00794699"/>
    <w:rsid w:val="00794A18"/>
    <w:rsid w:val="00795324"/>
    <w:rsid w:val="007A0ABA"/>
    <w:rsid w:val="007A2C30"/>
    <w:rsid w:val="007A41E1"/>
    <w:rsid w:val="007A64F0"/>
    <w:rsid w:val="007A6933"/>
    <w:rsid w:val="007A7684"/>
    <w:rsid w:val="007B0858"/>
    <w:rsid w:val="007B127B"/>
    <w:rsid w:val="007B14E5"/>
    <w:rsid w:val="007B213D"/>
    <w:rsid w:val="007B58DB"/>
    <w:rsid w:val="007C0C33"/>
    <w:rsid w:val="007C115E"/>
    <w:rsid w:val="007C1316"/>
    <w:rsid w:val="007C1E9C"/>
    <w:rsid w:val="007C20A8"/>
    <w:rsid w:val="007C4270"/>
    <w:rsid w:val="007C7907"/>
    <w:rsid w:val="007D0B88"/>
    <w:rsid w:val="007D16F1"/>
    <w:rsid w:val="007D1B48"/>
    <w:rsid w:val="007D4BC9"/>
    <w:rsid w:val="007D5587"/>
    <w:rsid w:val="007E147A"/>
    <w:rsid w:val="007E1543"/>
    <w:rsid w:val="007E2DF4"/>
    <w:rsid w:val="007E6329"/>
    <w:rsid w:val="007F5A7F"/>
    <w:rsid w:val="007F6316"/>
    <w:rsid w:val="007F646D"/>
    <w:rsid w:val="007F7175"/>
    <w:rsid w:val="00802057"/>
    <w:rsid w:val="008049B2"/>
    <w:rsid w:val="00806AED"/>
    <w:rsid w:val="00806E4C"/>
    <w:rsid w:val="00810EF6"/>
    <w:rsid w:val="00812CC9"/>
    <w:rsid w:val="00820D7F"/>
    <w:rsid w:val="00822A18"/>
    <w:rsid w:val="00826D6D"/>
    <w:rsid w:val="00831E18"/>
    <w:rsid w:val="00835CF6"/>
    <w:rsid w:val="00836592"/>
    <w:rsid w:val="00837710"/>
    <w:rsid w:val="0084116E"/>
    <w:rsid w:val="00847F82"/>
    <w:rsid w:val="00857CA7"/>
    <w:rsid w:val="00860940"/>
    <w:rsid w:val="00864082"/>
    <w:rsid w:val="00865455"/>
    <w:rsid w:val="00866E8D"/>
    <w:rsid w:val="008670A1"/>
    <w:rsid w:val="008716AF"/>
    <w:rsid w:val="00871A1C"/>
    <w:rsid w:val="00871B92"/>
    <w:rsid w:val="00872D5A"/>
    <w:rsid w:val="00874613"/>
    <w:rsid w:val="00876DB0"/>
    <w:rsid w:val="008801C4"/>
    <w:rsid w:val="008860BE"/>
    <w:rsid w:val="00886AAC"/>
    <w:rsid w:val="00891825"/>
    <w:rsid w:val="00891872"/>
    <w:rsid w:val="0089290C"/>
    <w:rsid w:val="00892FAE"/>
    <w:rsid w:val="00893402"/>
    <w:rsid w:val="00893956"/>
    <w:rsid w:val="008978CB"/>
    <w:rsid w:val="008A1F06"/>
    <w:rsid w:val="008A21A5"/>
    <w:rsid w:val="008A3476"/>
    <w:rsid w:val="008A6EA2"/>
    <w:rsid w:val="008A72D0"/>
    <w:rsid w:val="008A76C0"/>
    <w:rsid w:val="008B0A54"/>
    <w:rsid w:val="008B1D07"/>
    <w:rsid w:val="008B33A5"/>
    <w:rsid w:val="008B38B8"/>
    <w:rsid w:val="008B39D8"/>
    <w:rsid w:val="008B5EFB"/>
    <w:rsid w:val="008C1966"/>
    <w:rsid w:val="008C2954"/>
    <w:rsid w:val="008C2A68"/>
    <w:rsid w:val="008C5881"/>
    <w:rsid w:val="008D16ED"/>
    <w:rsid w:val="008D2413"/>
    <w:rsid w:val="008D24BE"/>
    <w:rsid w:val="008D563C"/>
    <w:rsid w:val="008D6C30"/>
    <w:rsid w:val="008E28EA"/>
    <w:rsid w:val="008F0DB7"/>
    <w:rsid w:val="008F3A18"/>
    <w:rsid w:val="008F6378"/>
    <w:rsid w:val="008F674C"/>
    <w:rsid w:val="008F778A"/>
    <w:rsid w:val="00900B67"/>
    <w:rsid w:val="0090410F"/>
    <w:rsid w:val="00904F71"/>
    <w:rsid w:val="00907603"/>
    <w:rsid w:val="00911DEC"/>
    <w:rsid w:val="00912293"/>
    <w:rsid w:val="009161FE"/>
    <w:rsid w:val="00920C1A"/>
    <w:rsid w:val="009250F7"/>
    <w:rsid w:val="0092786C"/>
    <w:rsid w:val="00933CF9"/>
    <w:rsid w:val="00936B80"/>
    <w:rsid w:val="0093733F"/>
    <w:rsid w:val="00937DC6"/>
    <w:rsid w:val="00940250"/>
    <w:rsid w:val="00940706"/>
    <w:rsid w:val="0094076D"/>
    <w:rsid w:val="0094252D"/>
    <w:rsid w:val="00943025"/>
    <w:rsid w:val="009455AD"/>
    <w:rsid w:val="00947FBD"/>
    <w:rsid w:val="00950D3A"/>
    <w:rsid w:val="00955536"/>
    <w:rsid w:val="00955EE2"/>
    <w:rsid w:val="00956595"/>
    <w:rsid w:val="009603FF"/>
    <w:rsid w:val="00961025"/>
    <w:rsid w:val="00962110"/>
    <w:rsid w:val="009656D0"/>
    <w:rsid w:val="00966902"/>
    <w:rsid w:val="00967FC6"/>
    <w:rsid w:val="00970652"/>
    <w:rsid w:val="00970EA8"/>
    <w:rsid w:val="009742AE"/>
    <w:rsid w:val="0097674B"/>
    <w:rsid w:val="0097761F"/>
    <w:rsid w:val="00977F70"/>
    <w:rsid w:val="00981BEE"/>
    <w:rsid w:val="00981FF2"/>
    <w:rsid w:val="009820E5"/>
    <w:rsid w:val="00982525"/>
    <w:rsid w:val="00983803"/>
    <w:rsid w:val="00984316"/>
    <w:rsid w:val="0098506A"/>
    <w:rsid w:val="00987AEA"/>
    <w:rsid w:val="00993E8F"/>
    <w:rsid w:val="009945D6"/>
    <w:rsid w:val="009952BE"/>
    <w:rsid w:val="0099581B"/>
    <w:rsid w:val="009A4F78"/>
    <w:rsid w:val="009A639D"/>
    <w:rsid w:val="009B1EF2"/>
    <w:rsid w:val="009C1182"/>
    <w:rsid w:val="009C4701"/>
    <w:rsid w:val="009C64E2"/>
    <w:rsid w:val="009D13E5"/>
    <w:rsid w:val="009D5228"/>
    <w:rsid w:val="009D70FA"/>
    <w:rsid w:val="009D7D4B"/>
    <w:rsid w:val="009E0AA8"/>
    <w:rsid w:val="009E2A7A"/>
    <w:rsid w:val="009E4564"/>
    <w:rsid w:val="009E6179"/>
    <w:rsid w:val="009E6837"/>
    <w:rsid w:val="009E74E0"/>
    <w:rsid w:val="009E79EB"/>
    <w:rsid w:val="009E7D14"/>
    <w:rsid w:val="009F0C58"/>
    <w:rsid w:val="009F241A"/>
    <w:rsid w:val="009F59A4"/>
    <w:rsid w:val="00A03B9E"/>
    <w:rsid w:val="00A04598"/>
    <w:rsid w:val="00A067FC"/>
    <w:rsid w:val="00A14451"/>
    <w:rsid w:val="00A15BA2"/>
    <w:rsid w:val="00A15CCF"/>
    <w:rsid w:val="00A16DD7"/>
    <w:rsid w:val="00A21B98"/>
    <w:rsid w:val="00A26321"/>
    <w:rsid w:val="00A3598F"/>
    <w:rsid w:val="00A40981"/>
    <w:rsid w:val="00A40DA7"/>
    <w:rsid w:val="00A448BA"/>
    <w:rsid w:val="00A4491C"/>
    <w:rsid w:val="00A50A14"/>
    <w:rsid w:val="00A526F9"/>
    <w:rsid w:val="00A54A86"/>
    <w:rsid w:val="00A55DB7"/>
    <w:rsid w:val="00A572F3"/>
    <w:rsid w:val="00A626AF"/>
    <w:rsid w:val="00A627F9"/>
    <w:rsid w:val="00A63FBC"/>
    <w:rsid w:val="00A65EE7"/>
    <w:rsid w:val="00A668C9"/>
    <w:rsid w:val="00A70E4D"/>
    <w:rsid w:val="00A73789"/>
    <w:rsid w:val="00A76549"/>
    <w:rsid w:val="00A779D1"/>
    <w:rsid w:val="00A77C98"/>
    <w:rsid w:val="00A8040D"/>
    <w:rsid w:val="00A82D1B"/>
    <w:rsid w:val="00A90AE7"/>
    <w:rsid w:val="00A918A8"/>
    <w:rsid w:val="00A938B4"/>
    <w:rsid w:val="00A9591F"/>
    <w:rsid w:val="00A95D56"/>
    <w:rsid w:val="00A96819"/>
    <w:rsid w:val="00AA0F82"/>
    <w:rsid w:val="00AA2A02"/>
    <w:rsid w:val="00AA3EDB"/>
    <w:rsid w:val="00AA5197"/>
    <w:rsid w:val="00AA6E21"/>
    <w:rsid w:val="00AB391E"/>
    <w:rsid w:val="00AB3BFE"/>
    <w:rsid w:val="00AB7FF2"/>
    <w:rsid w:val="00AC427B"/>
    <w:rsid w:val="00AC7D52"/>
    <w:rsid w:val="00AD2A17"/>
    <w:rsid w:val="00AD3645"/>
    <w:rsid w:val="00AD382B"/>
    <w:rsid w:val="00AD3DA1"/>
    <w:rsid w:val="00AD676E"/>
    <w:rsid w:val="00AE1CFB"/>
    <w:rsid w:val="00AE672B"/>
    <w:rsid w:val="00AF3859"/>
    <w:rsid w:val="00AF3CBC"/>
    <w:rsid w:val="00AF728F"/>
    <w:rsid w:val="00AF7533"/>
    <w:rsid w:val="00B015CF"/>
    <w:rsid w:val="00B067B6"/>
    <w:rsid w:val="00B12836"/>
    <w:rsid w:val="00B13E2A"/>
    <w:rsid w:val="00B1465E"/>
    <w:rsid w:val="00B1484D"/>
    <w:rsid w:val="00B14F5F"/>
    <w:rsid w:val="00B16167"/>
    <w:rsid w:val="00B17923"/>
    <w:rsid w:val="00B208E3"/>
    <w:rsid w:val="00B216BB"/>
    <w:rsid w:val="00B23A94"/>
    <w:rsid w:val="00B2404F"/>
    <w:rsid w:val="00B24389"/>
    <w:rsid w:val="00B244BF"/>
    <w:rsid w:val="00B2512E"/>
    <w:rsid w:val="00B255B3"/>
    <w:rsid w:val="00B26506"/>
    <w:rsid w:val="00B36021"/>
    <w:rsid w:val="00B3659E"/>
    <w:rsid w:val="00B36D27"/>
    <w:rsid w:val="00B3719B"/>
    <w:rsid w:val="00B41E2F"/>
    <w:rsid w:val="00B50FEC"/>
    <w:rsid w:val="00B51546"/>
    <w:rsid w:val="00B5156F"/>
    <w:rsid w:val="00B52ED1"/>
    <w:rsid w:val="00B53486"/>
    <w:rsid w:val="00B54B61"/>
    <w:rsid w:val="00B55C2F"/>
    <w:rsid w:val="00B560DA"/>
    <w:rsid w:val="00B577C5"/>
    <w:rsid w:val="00B604A8"/>
    <w:rsid w:val="00B62CDE"/>
    <w:rsid w:val="00B653CC"/>
    <w:rsid w:val="00B65E45"/>
    <w:rsid w:val="00B666AB"/>
    <w:rsid w:val="00B80E20"/>
    <w:rsid w:val="00B80EA5"/>
    <w:rsid w:val="00B8427E"/>
    <w:rsid w:val="00B93966"/>
    <w:rsid w:val="00B94910"/>
    <w:rsid w:val="00B95FD2"/>
    <w:rsid w:val="00BA0075"/>
    <w:rsid w:val="00BA1422"/>
    <w:rsid w:val="00BA47FE"/>
    <w:rsid w:val="00BA57F9"/>
    <w:rsid w:val="00BA5AD7"/>
    <w:rsid w:val="00BA62A8"/>
    <w:rsid w:val="00BA6824"/>
    <w:rsid w:val="00BB03F5"/>
    <w:rsid w:val="00BB0C3D"/>
    <w:rsid w:val="00BB0EA4"/>
    <w:rsid w:val="00BB1587"/>
    <w:rsid w:val="00BB1B35"/>
    <w:rsid w:val="00BB1B9B"/>
    <w:rsid w:val="00BC5D04"/>
    <w:rsid w:val="00BC6997"/>
    <w:rsid w:val="00BC7416"/>
    <w:rsid w:val="00BD1384"/>
    <w:rsid w:val="00BD2A82"/>
    <w:rsid w:val="00BD67A8"/>
    <w:rsid w:val="00BE2D3A"/>
    <w:rsid w:val="00BE7EF6"/>
    <w:rsid w:val="00BF51E7"/>
    <w:rsid w:val="00BF5669"/>
    <w:rsid w:val="00BF60B9"/>
    <w:rsid w:val="00C00B38"/>
    <w:rsid w:val="00C033C3"/>
    <w:rsid w:val="00C0380A"/>
    <w:rsid w:val="00C03B4A"/>
    <w:rsid w:val="00C1003B"/>
    <w:rsid w:val="00C13CE0"/>
    <w:rsid w:val="00C15863"/>
    <w:rsid w:val="00C20C24"/>
    <w:rsid w:val="00C228E6"/>
    <w:rsid w:val="00C2312B"/>
    <w:rsid w:val="00C2410F"/>
    <w:rsid w:val="00C258B0"/>
    <w:rsid w:val="00C2737A"/>
    <w:rsid w:val="00C303F4"/>
    <w:rsid w:val="00C370EA"/>
    <w:rsid w:val="00C43601"/>
    <w:rsid w:val="00C4365A"/>
    <w:rsid w:val="00C439DA"/>
    <w:rsid w:val="00C440B7"/>
    <w:rsid w:val="00C469F5"/>
    <w:rsid w:val="00C53687"/>
    <w:rsid w:val="00C602DB"/>
    <w:rsid w:val="00C62D62"/>
    <w:rsid w:val="00C64A91"/>
    <w:rsid w:val="00C66BE0"/>
    <w:rsid w:val="00C67D92"/>
    <w:rsid w:val="00C74E87"/>
    <w:rsid w:val="00C759E3"/>
    <w:rsid w:val="00C7689F"/>
    <w:rsid w:val="00C7774B"/>
    <w:rsid w:val="00C777D0"/>
    <w:rsid w:val="00C807F6"/>
    <w:rsid w:val="00C84E82"/>
    <w:rsid w:val="00C8609A"/>
    <w:rsid w:val="00C86F4B"/>
    <w:rsid w:val="00C90D8C"/>
    <w:rsid w:val="00C93FA5"/>
    <w:rsid w:val="00C955BC"/>
    <w:rsid w:val="00C95E05"/>
    <w:rsid w:val="00CA06CA"/>
    <w:rsid w:val="00CA07B7"/>
    <w:rsid w:val="00CB5CB4"/>
    <w:rsid w:val="00CC1F88"/>
    <w:rsid w:val="00CC2203"/>
    <w:rsid w:val="00CC2C9B"/>
    <w:rsid w:val="00CC7A13"/>
    <w:rsid w:val="00CC7F5E"/>
    <w:rsid w:val="00CD0951"/>
    <w:rsid w:val="00CD1B0E"/>
    <w:rsid w:val="00CD215E"/>
    <w:rsid w:val="00CD72AD"/>
    <w:rsid w:val="00CE49E8"/>
    <w:rsid w:val="00CE5F38"/>
    <w:rsid w:val="00CE6A12"/>
    <w:rsid w:val="00CE7501"/>
    <w:rsid w:val="00D000E7"/>
    <w:rsid w:val="00D01A51"/>
    <w:rsid w:val="00D020B6"/>
    <w:rsid w:val="00D02802"/>
    <w:rsid w:val="00D05CA0"/>
    <w:rsid w:val="00D06CB9"/>
    <w:rsid w:val="00D129F6"/>
    <w:rsid w:val="00D12CF9"/>
    <w:rsid w:val="00D1644E"/>
    <w:rsid w:val="00D17470"/>
    <w:rsid w:val="00D176CB"/>
    <w:rsid w:val="00D21ED9"/>
    <w:rsid w:val="00D22925"/>
    <w:rsid w:val="00D22C03"/>
    <w:rsid w:val="00D25EF1"/>
    <w:rsid w:val="00D30CF0"/>
    <w:rsid w:val="00D3246F"/>
    <w:rsid w:val="00D338A9"/>
    <w:rsid w:val="00D34521"/>
    <w:rsid w:val="00D364DD"/>
    <w:rsid w:val="00D36E5D"/>
    <w:rsid w:val="00D3739F"/>
    <w:rsid w:val="00D4341D"/>
    <w:rsid w:val="00D43BD9"/>
    <w:rsid w:val="00D44694"/>
    <w:rsid w:val="00D459B3"/>
    <w:rsid w:val="00D50197"/>
    <w:rsid w:val="00D508C2"/>
    <w:rsid w:val="00D535EC"/>
    <w:rsid w:val="00D55040"/>
    <w:rsid w:val="00D61E3D"/>
    <w:rsid w:val="00D64A7F"/>
    <w:rsid w:val="00D6508E"/>
    <w:rsid w:val="00D71437"/>
    <w:rsid w:val="00D749F1"/>
    <w:rsid w:val="00D75123"/>
    <w:rsid w:val="00D75B18"/>
    <w:rsid w:val="00D770E8"/>
    <w:rsid w:val="00D80252"/>
    <w:rsid w:val="00D81420"/>
    <w:rsid w:val="00D83976"/>
    <w:rsid w:val="00D92AB2"/>
    <w:rsid w:val="00D92B08"/>
    <w:rsid w:val="00D93B8E"/>
    <w:rsid w:val="00D9575A"/>
    <w:rsid w:val="00D96E29"/>
    <w:rsid w:val="00DA1CA7"/>
    <w:rsid w:val="00DA29DD"/>
    <w:rsid w:val="00DA2B1D"/>
    <w:rsid w:val="00DA39B0"/>
    <w:rsid w:val="00DA3AA9"/>
    <w:rsid w:val="00DA44CF"/>
    <w:rsid w:val="00DA6B93"/>
    <w:rsid w:val="00DB0C15"/>
    <w:rsid w:val="00DB2713"/>
    <w:rsid w:val="00DB3F87"/>
    <w:rsid w:val="00DB4A6A"/>
    <w:rsid w:val="00DB6E56"/>
    <w:rsid w:val="00DC0CAF"/>
    <w:rsid w:val="00DC382B"/>
    <w:rsid w:val="00DC47C9"/>
    <w:rsid w:val="00DC5C8E"/>
    <w:rsid w:val="00DC6CCA"/>
    <w:rsid w:val="00DD1F3A"/>
    <w:rsid w:val="00DD29C2"/>
    <w:rsid w:val="00DD3305"/>
    <w:rsid w:val="00DD3554"/>
    <w:rsid w:val="00DD44B0"/>
    <w:rsid w:val="00DD4D60"/>
    <w:rsid w:val="00DD6AC0"/>
    <w:rsid w:val="00DD6D7D"/>
    <w:rsid w:val="00DE60B5"/>
    <w:rsid w:val="00DF2988"/>
    <w:rsid w:val="00DF43E0"/>
    <w:rsid w:val="00DF6D7D"/>
    <w:rsid w:val="00DF6E75"/>
    <w:rsid w:val="00DF7828"/>
    <w:rsid w:val="00E00A12"/>
    <w:rsid w:val="00E01A16"/>
    <w:rsid w:val="00E01E07"/>
    <w:rsid w:val="00E01FBB"/>
    <w:rsid w:val="00E02095"/>
    <w:rsid w:val="00E05BC9"/>
    <w:rsid w:val="00E06DFE"/>
    <w:rsid w:val="00E14821"/>
    <w:rsid w:val="00E14D47"/>
    <w:rsid w:val="00E15A4F"/>
    <w:rsid w:val="00E167D6"/>
    <w:rsid w:val="00E22017"/>
    <w:rsid w:val="00E22D98"/>
    <w:rsid w:val="00E23D37"/>
    <w:rsid w:val="00E256D0"/>
    <w:rsid w:val="00E26734"/>
    <w:rsid w:val="00E300A0"/>
    <w:rsid w:val="00E30B72"/>
    <w:rsid w:val="00E3265B"/>
    <w:rsid w:val="00E33C5A"/>
    <w:rsid w:val="00E34E0D"/>
    <w:rsid w:val="00E3656E"/>
    <w:rsid w:val="00E36DCB"/>
    <w:rsid w:val="00E372F6"/>
    <w:rsid w:val="00E4092B"/>
    <w:rsid w:val="00E451C0"/>
    <w:rsid w:val="00E45625"/>
    <w:rsid w:val="00E46510"/>
    <w:rsid w:val="00E51DD9"/>
    <w:rsid w:val="00E54DC6"/>
    <w:rsid w:val="00E55D7D"/>
    <w:rsid w:val="00E56AB2"/>
    <w:rsid w:val="00E5782E"/>
    <w:rsid w:val="00E63B62"/>
    <w:rsid w:val="00E679D2"/>
    <w:rsid w:val="00E73035"/>
    <w:rsid w:val="00E73BAC"/>
    <w:rsid w:val="00E74044"/>
    <w:rsid w:val="00E7704C"/>
    <w:rsid w:val="00E82444"/>
    <w:rsid w:val="00E8251C"/>
    <w:rsid w:val="00E82620"/>
    <w:rsid w:val="00E82E17"/>
    <w:rsid w:val="00E84BA2"/>
    <w:rsid w:val="00E87794"/>
    <w:rsid w:val="00E9207B"/>
    <w:rsid w:val="00E97E6A"/>
    <w:rsid w:val="00EA2F9D"/>
    <w:rsid w:val="00EA3950"/>
    <w:rsid w:val="00EA4AA9"/>
    <w:rsid w:val="00EA5C97"/>
    <w:rsid w:val="00EA72CC"/>
    <w:rsid w:val="00EB0B88"/>
    <w:rsid w:val="00EB3ACD"/>
    <w:rsid w:val="00EB3EF9"/>
    <w:rsid w:val="00EB5075"/>
    <w:rsid w:val="00EC214A"/>
    <w:rsid w:val="00EC2233"/>
    <w:rsid w:val="00EC25E1"/>
    <w:rsid w:val="00EC31CC"/>
    <w:rsid w:val="00EC6A42"/>
    <w:rsid w:val="00EC6C29"/>
    <w:rsid w:val="00ED04E4"/>
    <w:rsid w:val="00ED0F13"/>
    <w:rsid w:val="00ED261B"/>
    <w:rsid w:val="00ED28CA"/>
    <w:rsid w:val="00ED393D"/>
    <w:rsid w:val="00ED48B5"/>
    <w:rsid w:val="00ED5A7B"/>
    <w:rsid w:val="00EE2843"/>
    <w:rsid w:val="00EE3E23"/>
    <w:rsid w:val="00EE48AC"/>
    <w:rsid w:val="00EE5670"/>
    <w:rsid w:val="00EE6DA0"/>
    <w:rsid w:val="00EF2F57"/>
    <w:rsid w:val="00EF6705"/>
    <w:rsid w:val="00F00A50"/>
    <w:rsid w:val="00F07966"/>
    <w:rsid w:val="00F1033B"/>
    <w:rsid w:val="00F1182B"/>
    <w:rsid w:val="00F128AE"/>
    <w:rsid w:val="00F14041"/>
    <w:rsid w:val="00F16745"/>
    <w:rsid w:val="00F16A08"/>
    <w:rsid w:val="00F16BB8"/>
    <w:rsid w:val="00F17E00"/>
    <w:rsid w:val="00F2098A"/>
    <w:rsid w:val="00F22BFE"/>
    <w:rsid w:val="00F251BA"/>
    <w:rsid w:val="00F25230"/>
    <w:rsid w:val="00F2647D"/>
    <w:rsid w:val="00F26EEA"/>
    <w:rsid w:val="00F27593"/>
    <w:rsid w:val="00F279F3"/>
    <w:rsid w:val="00F3195C"/>
    <w:rsid w:val="00F3312D"/>
    <w:rsid w:val="00F34CE2"/>
    <w:rsid w:val="00F353B6"/>
    <w:rsid w:val="00F35A6A"/>
    <w:rsid w:val="00F36F13"/>
    <w:rsid w:val="00F46EEB"/>
    <w:rsid w:val="00F47B38"/>
    <w:rsid w:val="00F52AA7"/>
    <w:rsid w:val="00F57A9C"/>
    <w:rsid w:val="00F60264"/>
    <w:rsid w:val="00F60893"/>
    <w:rsid w:val="00F6207F"/>
    <w:rsid w:val="00F623FB"/>
    <w:rsid w:val="00F625CA"/>
    <w:rsid w:val="00F65D50"/>
    <w:rsid w:val="00F661E3"/>
    <w:rsid w:val="00F67660"/>
    <w:rsid w:val="00F773E4"/>
    <w:rsid w:val="00F7768A"/>
    <w:rsid w:val="00F83844"/>
    <w:rsid w:val="00F85686"/>
    <w:rsid w:val="00F85C36"/>
    <w:rsid w:val="00F86812"/>
    <w:rsid w:val="00F90A53"/>
    <w:rsid w:val="00F93476"/>
    <w:rsid w:val="00F93C82"/>
    <w:rsid w:val="00F941CF"/>
    <w:rsid w:val="00F95059"/>
    <w:rsid w:val="00FA1A31"/>
    <w:rsid w:val="00FA346C"/>
    <w:rsid w:val="00FA4837"/>
    <w:rsid w:val="00FA55E5"/>
    <w:rsid w:val="00FA56CE"/>
    <w:rsid w:val="00FA6B36"/>
    <w:rsid w:val="00FA7A78"/>
    <w:rsid w:val="00FB1C63"/>
    <w:rsid w:val="00FB2B1C"/>
    <w:rsid w:val="00FB368C"/>
    <w:rsid w:val="00FB4FE7"/>
    <w:rsid w:val="00FB70FF"/>
    <w:rsid w:val="00FB72BF"/>
    <w:rsid w:val="00FC209E"/>
    <w:rsid w:val="00FC2237"/>
    <w:rsid w:val="00FC4266"/>
    <w:rsid w:val="00FD0F7F"/>
    <w:rsid w:val="00FD6EE7"/>
    <w:rsid w:val="00FE05E3"/>
    <w:rsid w:val="00FE0B94"/>
    <w:rsid w:val="00FE212C"/>
    <w:rsid w:val="00FE55E8"/>
    <w:rsid w:val="00FE65DE"/>
    <w:rsid w:val="00FF1542"/>
    <w:rsid w:val="00FF424F"/>
    <w:rsid w:val="00FF7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9BEB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59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3F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B0C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43D6"/>
    <w:pPr>
      <w:spacing w:after="0" w:line="240" w:lineRule="auto"/>
    </w:pPr>
    <w:rPr>
      <w:sz w:val="20"/>
      <w:szCs w:val="20"/>
    </w:rPr>
  </w:style>
  <w:style w:type="character" w:customStyle="1" w:styleId="FootnoteTextChar">
    <w:name w:val="Footnote Text Char"/>
    <w:basedOn w:val="DefaultParagraphFont"/>
    <w:link w:val="FootnoteText"/>
    <w:uiPriority w:val="99"/>
    <w:rsid w:val="002C43D6"/>
    <w:rPr>
      <w:sz w:val="20"/>
      <w:szCs w:val="20"/>
    </w:rPr>
  </w:style>
  <w:style w:type="character" w:styleId="FootnoteReference">
    <w:name w:val="footnote reference"/>
    <w:basedOn w:val="DefaultParagraphFont"/>
    <w:uiPriority w:val="99"/>
    <w:semiHidden/>
    <w:unhideWhenUsed/>
    <w:rsid w:val="002C43D6"/>
    <w:rPr>
      <w:vertAlign w:val="superscript"/>
    </w:rPr>
  </w:style>
  <w:style w:type="paragraph" w:styleId="NormalWeb">
    <w:name w:val="Normal (Web)"/>
    <w:basedOn w:val="Normal"/>
    <w:uiPriority w:val="99"/>
    <w:unhideWhenUsed/>
    <w:rsid w:val="002C4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43D6"/>
    <w:rPr>
      <w:color w:val="0000FF"/>
      <w:u w:val="single"/>
    </w:rPr>
  </w:style>
  <w:style w:type="character" w:customStyle="1" w:styleId="cf01">
    <w:name w:val="cf01"/>
    <w:basedOn w:val="DefaultParagraphFont"/>
    <w:rsid w:val="002C43D6"/>
    <w:rPr>
      <w:rFonts w:ascii="Segoe UI" w:hAnsi="Segoe UI" w:cs="Segoe UI" w:hint="default"/>
      <w:sz w:val="18"/>
      <w:szCs w:val="18"/>
    </w:rPr>
  </w:style>
  <w:style w:type="character" w:styleId="CommentReference">
    <w:name w:val="annotation reference"/>
    <w:basedOn w:val="DefaultParagraphFont"/>
    <w:uiPriority w:val="99"/>
    <w:semiHidden/>
    <w:unhideWhenUsed/>
    <w:rsid w:val="00630BBC"/>
    <w:rPr>
      <w:sz w:val="16"/>
      <w:szCs w:val="16"/>
    </w:rPr>
  </w:style>
  <w:style w:type="paragraph" w:styleId="CommentText">
    <w:name w:val="annotation text"/>
    <w:basedOn w:val="Normal"/>
    <w:link w:val="CommentTextChar"/>
    <w:uiPriority w:val="99"/>
    <w:unhideWhenUsed/>
    <w:rsid w:val="00630BBC"/>
    <w:pPr>
      <w:spacing w:line="240" w:lineRule="auto"/>
    </w:pPr>
    <w:rPr>
      <w:sz w:val="20"/>
      <w:szCs w:val="20"/>
    </w:rPr>
  </w:style>
  <w:style w:type="character" w:customStyle="1" w:styleId="CommentTextChar">
    <w:name w:val="Comment Text Char"/>
    <w:basedOn w:val="DefaultParagraphFont"/>
    <w:link w:val="CommentText"/>
    <w:uiPriority w:val="99"/>
    <w:rsid w:val="00630BBC"/>
    <w:rPr>
      <w:sz w:val="20"/>
      <w:szCs w:val="20"/>
    </w:rPr>
  </w:style>
  <w:style w:type="paragraph" w:styleId="CommentSubject">
    <w:name w:val="annotation subject"/>
    <w:basedOn w:val="CommentText"/>
    <w:next w:val="CommentText"/>
    <w:link w:val="CommentSubjectChar"/>
    <w:uiPriority w:val="99"/>
    <w:semiHidden/>
    <w:unhideWhenUsed/>
    <w:rsid w:val="00630BBC"/>
    <w:rPr>
      <w:b/>
      <w:bCs/>
    </w:rPr>
  </w:style>
  <w:style w:type="character" w:customStyle="1" w:styleId="CommentSubjectChar">
    <w:name w:val="Comment Subject Char"/>
    <w:basedOn w:val="CommentTextChar"/>
    <w:link w:val="CommentSubject"/>
    <w:uiPriority w:val="99"/>
    <w:semiHidden/>
    <w:rsid w:val="00630BBC"/>
    <w:rPr>
      <w:b/>
      <w:bCs/>
      <w:sz w:val="20"/>
      <w:szCs w:val="20"/>
    </w:rPr>
  </w:style>
  <w:style w:type="paragraph" w:styleId="BalloonText">
    <w:name w:val="Balloon Text"/>
    <w:basedOn w:val="Normal"/>
    <w:link w:val="BalloonTextChar"/>
    <w:uiPriority w:val="99"/>
    <w:semiHidden/>
    <w:unhideWhenUsed/>
    <w:rsid w:val="00630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BBC"/>
    <w:rPr>
      <w:rFonts w:ascii="Segoe UI" w:hAnsi="Segoe UI" w:cs="Segoe UI"/>
      <w:sz w:val="18"/>
      <w:szCs w:val="18"/>
    </w:rPr>
  </w:style>
  <w:style w:type="character" w:styleId="UnresolvedMention">
    <w:name w:val="Unresolved Mention"/>
    <w:basedOn w:val="DefaultParagraphFont"/>
    <w:uiPriority w:val="99"/>
    <w:semiHidden/>
    <w:unhideWhenUsed/>
    <w:rsid w:val="004E0291"/>
    <w:rPr>
      <w:color w:val="605E5C"/>
      <w:shd w:val="clear" w:color="auto" w:fill="E1DFDD"/>
    </w:rPr>
  </w:style>
  <w:style w:type="character" w:styleId="FollowedHyperlink">
    <w:name w:val="FollowedHyperlink"/>
    <w:basedOn w:val="DefaultParagraphFont"/>
    <w:uiPriority w:val="99"/>
    <w:semiHidden/>
    <w:unhideWhenUsed/>
    <w:rsid w:val="00A448BA"/>
    <w:rPr>
      <w:color w:val="954F72" w:themeColor="followedHyperlink"/>
      <w:u w:val="single"/>
    </w:rPr>
  </w:style>
  <w:style w:type="paragraph" w:styleId="Header">
    <w:name w:val="header"/>
    <w:basedOn w:val="Normal"/>
    <w:link w:val="HeaderChar"/>
    <w:uiPriority w:val="99"/>
    <w:unhideWhenUsed/>
    <w:rsid w:val="001E0B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1B98"/>
  </w:style>
  <w:style w:type="paragraph" w:styleId="Footer">
    <w:name w:val="footer"/>
    <w:basedOn w:val="Normal"/>
    <w:link w:val="FooterChar"/>
    <w:uiPriority w:val="99"/>
    <w:unhideWhenUsed/>
    <w:rsid w:val="001E0B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1B98"/>
  </w:style>
  <w:style w:type="character" w:customStyle="1" w:styleId="apple-converted-space">
    <w:name w:val="apple-converted-space"/>
    <w:basedOn w:val="DefaultParagraphFont"/>
    <w:rsid w:val="00415C4C"/>
  </w:style>
  <w:style w:type="character" w:customStyle="1" w:styleId="Heading3Char">
    <w:name w:val="Heading 3 Char"/>
    <w:basedOn w:val="DefaultParagraphFont"/>
    <w:link w:val="Heading3"/>
    <w:uiPriority w:val="9"/>
    <w:rsid w:val="00BB0C3D"/>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5359AB"/>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E2A7A"/>
    <w:rPr>
      <w:i/>
      <w:iCs/>
    </w:rPr>
  </w:style>
  <w:style w:type="character" w:customStyle="1" w:styleId="Heading2Char">
    <w:name w:val="Heading 2 Char"/>
    <w:basedOn w:val="DefaultParagraphFont"/>
    <w:link w:val="Heading2"/>
    <w:uiPriority w:val="9"/>
    <w:semiHidden/>
    <w:rsid w:val="00DB3F87"/>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8B39D8"/>
    <w:pPr>
      <w:spacing w:after="0" w:line="240" w:lineRule="auto"/>
    </w:pPr>
  </w:style>
  <w:style w:type="character" w:customStyle="1" w:styleId="publication-article-publication">
    <w:name w:val="publication-article-publication"/>
    <w:basedOn w:val="DefaultParagraphFont"/>
    <w:rsid w:val="00C5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0601">
      <w:bodyDiv w:val="1"/>
      <w:marLeft w:val="0"/>
      <w:marRight w:val="0"/>
      <w:marTop w:val="0"/>
      <w:marBottom w:val="0"/>
      <w:divBdr>
        <w:top w:val="none" w:sz="0" w:space="0" w:color="auto"/>
        <w:left w:val="none" w:sz="0" w:space="0" w:color="auto"/>
        <w:bottom w:val="none" w:sz="0" w:space="0" w:color="auto"/>
        <w:right w:val="none" w:sz="0" w:space="0" w:color="auto"/>
      </w:divBdr>
      <w:divsChild>
        <w:div w:id="1305431578">
          <w:marLeft w:val="0"/>
          <w:marRight w:val="0"/>
          <w:marTop w:val="0"/>
          <w:marBottom w:val="0"/>
          <w:divBdr>
            <w:top w:val="none" w:sz="0" w:space="0" w:color="auto"/>
            <w:left w:val="none" w:sz="0" w:space="0" w:color="auto"/>
            <w:bottom w:val="none" w:sz="0" w:space="0" w:color="auto"/>
            <w:right w:val="none" w:sz="0" w:space="0" w:color="auto"/>
          </w:divBdr>
          <w:divsChild>
            <w:div w:id="1066882296">
              <w:marLeft w:val="0"/>
              <w:marRight w:val="0"/>
              <w:marTop w:val="0"/>
              <w:marBottom w:val="0"/>
              <w:divBdr>
                <w:top w:val="none" w:sz="0" w:space="0" w:color="auto"/>
                <w:left w:val="none" w:sz="0" w:space="0" w:color="auto"/>
                <w:bottom w:val="none" w:sz="0" w:space="0" w:color="auto"/>
                <w:right w:val="none" w:sz="0" w:space="0" w:color="auto"/>
              </w:divBdr>
            </w:div>
          </w:divsChild>
        </w:div>
        <w:div w:id="1304190635">
          <w:marLeft w:val="0"/>
          <w:marRight w:val="0"/>
          <w:marTop w:val="0"/>
          <w:marBottom w:val="0"/>
          <w:divBdr>
            <w:top w:val="none" w:sz="0" w:space="0" w:color="auto"/>
            <w:left w:val="none" w:sz="0" w:space="0" w:color="auto"/>
            <w:bottom w:val="none" w:sz="0" w:space="0" w:color="auto"/>
            <w:right w:val="none" w:sz="0" w:space="0" w:color="auto"/>
          </w:divBdr>
        </w:div>
        <w:div w:id="1489440305">
          <w:marLeft w:val="0"/>
          <w:marRight w:val="0"/>
          <w:marTop w:val="0"/>
          <w:marBottom w:val="0"/>
          <w:divBdr>
            <w:top w:val="none" w:sz="0" w:space="0" w:color="auto"/>
            <w:left w:val="none" w:sz="0" w:space="0" w:color="auto"/>
            <w:bottom w:val="none" w:sz="0" w:space="0" w:color="auto"/>
            <w:right w:val="none" w:sz="0" w:space="0" w:color="auto"/>
          </w:divBdr>
        </w:div>
      </w:divsChild>
    </w:div>
    <w:div w:id="47270881">
      <w:bodyDiv w:val="1"/>
      <w:marLeft w:val="0"/>
      <w:marRight w:val="0"/>
      <w:marTop w:val="0"/>
      <w:marBottom w:val="0"/>
      <w:divBdr>
        <w:top w:val="none" w:sz="0" w:space="0" w:color="auto"/>
        <w:left w:val="none" w:sz="0" w:space="0" w:color="auto"/>
        <w:bottom w:val="none" w:sz="0" w:space="0" w:color="auto"/>
        <w:right w:val="none" w:sz="0" w:space="0" w:color="auto"/>
      </w:divBdr>
    </w:div>
    <w:div w:id="68429589">
      <w:bodyDiv w:val="1"/>
      <w:marLeft w:val="0"/>
      <w:marRight w:val="0"/>
      <w:marTop w:val="0"/>
      <w:marBottom w:val="0"/>
      <w:divBdr>
        <w:top w:val="none" w:sz="0" w:space="0" w:color="auto"/>
        <w:left w:val="none" w:sz="0" w:space="0" w:color="auto"/>
        <w:bottom w:val="none" w:sz="0" w:space="0" w:color="auto"/>
        <w:right w:val="none" w:sz="0" w:space="0" w:color="auto"/>
      </w:divBdr>
      <w:divsChild>
        <w:div w:id="1423062674">
          <w:marLeft w:val="0"/>
          <w:marRight w:val="0"/>
          <w:marTop w:val="0"/>
          <w:marBottom w:val="0"/>
          <w:divBdr>
            <w:top w:val="none" w:sz="0" w:space="0" w:color="auto"/>
            <w:left w:val="none" w:sz="0" w:space="0" w:color="auto"/>
            <w:bottom w:val="none" w:sz="0" w:space="0" w:color="auto"/>
            <w:right w:val="none" w:sz="0" w:space="0" w:color="auto"/>
          </w:divBdr>
          <w:divsChild>
            <w:div w:id="71587922">
              <w:marLeft w:val="0"/>
              <w:marRight w:val="0"/>
              <w:marTop w:val="0"/>
              <w:marBottom w:val="0"/>
              <w:divBdr>
                <w:top w:val="none" w:sz="0" w:space="0" w:color="auto"/>
                <w:left w:val="none" w:sz="0" w:space="0" w:color="auto"/>
                <w:bottom w:val="none" w:sz="0" w:space="0" w:color="auto"/>
                <w:right w:val="none" w:sz="0" w:space="0" w:color="auto"/>
              </w:divBdr>
              <w:divsChild>
                <w:div w:id="4843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2776">
      <w:bodyDiv w:val="1"/>
      <w:marLeft w:val="0"/>
      <w:marRight w:val="0"/>
      <w:marTop w:val="0"/>
      <w:marBottom w:val="0"/>
      <w:divBdr>
        <w:top w:val="none" w:sz="0" w:space="0" w:color="auto"/>
        <w:left w:val="none" w:sz="0" w:space="0" w:color="auto"/>
        <w:bottom w:val="none" w:sz="0" w:space="0" w:color="auto"/>
        <w:right w:val="none" w:sz="0" w:space="0" w:color="auto"/>
      </w:divBdr>
    </w:div>
    <w:div w:id="405537136">
      <w:bodyDiv w:val="1"/>
      <w:marLeft w:val="0"/>
      <w:marRight w:val="0"/>
      <w:marTop w:val="0"/>
      <w:marBottom w:val="0"/>
      <w:divBdr>
        <w:top w:val="none" w:sz="0" w:space="0" w:color="auto"/>
        <w:left w:val="none" w:sz="0" w:space="0" w:color="auto"/>
        <w:bottom w:val="none" w:sz="0" w:space="0" w:color="auto"/>
        <w:right w:val="none" w:sz="0" w:space="0" w:color="auto"/>
      </w:divBdr>
      <w:divsChild>
        <w:div w:id="896862643">
          <w:marLeft w:val="0"/>
          <w:marRight w:val="0"/>
          <w:marTop w:val="0"/>
          <w:marBottom w:val="0"/>
          <w:divBdr>
            <w:top w:val="none" w:sz="0" w:space="0" w:color="auto"/>
            <w:left w:val="none" w:sz="0" w:space="0" w:color="auto"/>
            <w:bottom w:val="none" w:sz="0" w:space="0" w:color="auto"/>
            <w:right w:val="none" w:sz="0" w:space="0" w:color="auto"/>
          </w:divBdr>
          <w:divsChild>
            <w:div w:id="1243686195">
              <w:marLeft w:val="0"/>
              <w:marRight w:val="0"/>
              <w:marTop w:val="0"/>
              <w:marBottom w:val="0"/>
              <w:divBdr>
                <w:top w:val="none" w:sz="0" w:space="0" w:color="auto"/>
                <w:left w:val="none" w:sz="0" w:space="0" w:color="auto"/>
                <w:bottom w:val="none" w:sz="0" w:space="0" w:color="auto"/>
                <w:right w:val="none" w:sz="0" w:space="0" w:color="auto"/>
              </w:divBdr>
              <w:divsChild>
                <w:div w:id="4129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600">
      <w:bodyDiv w:val="1"/>
      <w:marLeft w:val="0"/>
      <w:marRight w:val="0"/>
      <w:marTop w:val="0"/>
      <w:marBottom w:val="0"/>
      <w:divBdr>
        <w:top w:val="none" w:sz="0" w:space="0" w:color="auto"/>
        <w:left w:val="none" w:sz="0" w:space="0" w:color="auto"/>
        <w:bottom w:val="none" w:sz="0" w:space="0" w:color="auto"/>
        <w:right w:val="none" w:sz="0" w:space="0" w:color="auto"/>
      </w:divBdr>
      <w:divsChild>
        <w:div w:id="290593821">
          <w:marLeft w:val="0"/>
          <w:marRight w:val="0"/>
          <w:marTop w:val="0"/>
          <w:marBottom w:val="0"/>
          <w:divBdr>
            <w:top w:val="none" w:sz="0" w:space="0" w:color="auto"/>
            <w:left w:val="none" w:sz="0" w:space="0" w:color="auto"/>
            <w:bottom w:val="none" w:sz="0" w:space="0" w:color="auto"/>
            <w:right w:val="none" w:sz="0" w:space="0" w:color="auto"/>
          </w:divBdr>
          <w:divsChild>
            <w:div w:id="133762753">
              <w:marLeft w:val="0"/>
              <w:marRight w:val="0"/>
              <w:marTop w:val="0"/>
              <w:marBottom w:val="0"/>
              <w:divBdr>
                <w:top w:val="none" w:sz="0" w:space="0" w:color="auto"/>
                <w:left w:val="none" w:sz="0" w:space="0" w:color="auto"/>
                <w:bottom w:val="none" w:sz="0" w:space="0" w:color="auto"/>
                <w:right w:val="none" w:sz="0" w:space="0" w:color="auto"/>
              </w:divBdr>
              <w:divsChild>
                <w:div w:id="2779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2489">
      <w:bodyDiv w:val="1"/>
      <w:marLeft w:val="0"/>
      <w:marRight w:val="0"/>
      <w:marTop w:val="0"/>
      <w:marBottom w:val="0"/>
      <w:divBdr>
        <w:top w:val="none" w:sz="0" w:space="0" w:color="auto"/>
        <w:left w:val="none" w:sz="0" w:space="0" w:color="auto"/>
        <w:bottom w:val="none" w:sz="0" w:space="0" w:color="auto"/>
        <w:right w:val="none" w:sz="0" w:space="0" w:color="auto"/>
      </w:divBdr>
    </w:div>
    <w:div w:id="571693705">
      <w:bodyDiv w:val="1"/>
      <w:marLeft w:val="0"/>
      <w:marRight w:val="0"/>
      <w:marTop w:val="0"/>
      <w:marBottom w:val="0"/>
      <w:divBdr>
        <w:top w:val="none" w:sz="0" w:space="0" w:color="auto"/>
        <w:left w:val="none" w:sz="0" w:space="0" w:color="auto"/>
        <w:bottom w:val="none" w:sz="0" w:space="0" w:color="auto"/>
        <w:right w:val="none" w:sz="0" w:space="0" w:color="auto"/>
      </w:divBdr>
      <w:divsChild>
        <w:div w:id="2013070117">
          <w:marLeft w:val="0"/>
          <w:marRight w:val="0"/>
          <w:marTop w:val="0"/>
          <w:marBottom w:val="0"/>
          <w:divBdr>
            <w:top w:val="none" w:sz="0" w:space="0" w:color="auto"/>
            <w:left w:val="none" w:sz="0" w:space="0" w:color="auto"/>
            <w:bottom w:val="none" w:sz="0" w:space="0" w:color="auto"/>
            <w:right w:val="none" w:sz="0" w:space="0" w:color="auto"/>
          </w:divBdr>
          <w:divsChild>
            <w:div w:id="2077119604">
              <w:marLeft w:val="0"/>
              <w:marRight w:val="0"/>
              <w:marTop w:val="0"/>
              <w:marBottom w:val="0"/>
              <w:divBdr>
                <w:top w:val="none" w:sz="0" w:space="0" w:color="auto"/>
                <w:left w:val="none" w:sz="0" w:space="0" w:color="auto"/>
                <w:bottom w:val="none" w:sz="0" w:space="0" w:color="auto"/>
                <w:right w:val="none" w:sz="0" w:space="0" w:color="auto"/>
              </w:divBdr>
              <w:divsChild>
                <w:div w:id="8856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6351">
      <w:bodyDiv w:val="1"/>
      <w:marLeft w:val="0"/>
      <w:marRight w:val="0"/>
      <w:marTop w:val="0"/>
      <w:marBottom w:val="0"/>
      <w:divBdr>
        <w:top w:val="none" w:sz="0" w:space="0" w:color="auto"/>
        <w:left w:val="none" w:sz="0" w:space="0" w:color="auto"/>
        <w:bottom w:val="none" w:sz="0" w:space="0" w:color="auto"/>
        <w:right w:val="none" w:sz="0" w:space="0" w:color="auto"/>
      </w:divBdr>
    </w:div>
    <w:div w:id="583610169">
      <w:bodyDiv w:val="1"/>
      <w:marLeft w:val="0"/>
      <w:marRight w:val="0"/>
      <w:marTop w:val="0"/>
      <w:marBottom w:val="0"/>
      <w:divBdr>
        <w:top w:val="none" w:sz="0" w:space="0" w:color="auto"/>
        <w:left w:val="none" w:sz="0" w:space="0" w:color="auto"/>
        <w:bottom w:val="none" w:sz="0" w:space="0" w:color="auto"/>
        <w:right w:val="none" w:sz="0" w:space="0" w:color="auto"/>
      </w:divBdr>
      <w:divsChild>
        <w:div w:id="885406932">
          <w:marLeft w:val="0"/>
          <w:marRight w:val="0"/>
          <w:marTop w:val="0"/>
          <w:marBottom w:val="0"/>
          <w:divBdr>
            <w:top w:val="none" w:sz="0" w:space="0" w:color="auto"/>
            <w:left w:val="none" w:sz="0" w:space="0" w:color="auto"/>
            <w:bottom w:val="none" w:sz="0" w:space="0" w:color="auto"/>
            <w:right w:val="none" w:sz="0" w:space="0" w:color="auto"/>
          </w:divBdr>
          <w:divsChild>
            <w:div w:id="348602437">
              <w:marLeft w:val="0"/>
              <w:marRight w:val="0"/>
              <w:marTop w:val="0"/>
              <w:marBottom w:val="0"/>
              <w:divBdr>
                <w:top w:val="none" w:sz="0" w:space="0" w:color="auto"/>
                <w:left w:val="none" w:sz="0" w:space="0" w:color="auto"/>
                <w:bottom w:val="none" w:sz="0" w:space="0" w:color="auto"/>
                <w:right w:val="none" w:sz="0" w:space="0" w:color="auto"/>
              </w:divBdr>
              <w:divsChild>
                <w:div w:id="10811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5621">
      <w:bodyDiv w:val="1"/>
      <w:marLeft w:val="0"/>
      <w:marRight w:val="0"/>
      <w:marTop w:val="0"/>
      <w:marBottom w:val="0"/>
      <w:divBdr>
        <w:top w:val="none" w:sz="0" w:space="0" w:color="auto"/>
        <w:left w:val="none" w:sz="0" w:space="0" w:color="auto"/>
        <w:bottom w:val="none" w:sz="0" w:space="0" w:color="auto"/>
        <w:right w:val="none" w:sz="0" w:space="0" w:color="auto"/>
      </w:divBdr>
    </w:div>
    <w:div w:id="790592652">
      <w:bodyDiv w:val="1"/>
      <w:marLeft w:val="0"/>
      <w:marRight w:val="0"/>
      <w:marTop w:val="0"/>
      <w:marBottom w:val="0"/>
      <w:divBdr>
        <w:top w:val="none" w:sz="0" w:space="0" w:color="auto"/>
        <w:left w:val="none" w:sz="0" w:space="0" w:color="auto"/>
        <w:bottom w:val="none" w:sz="0" w:space="0" w:color="auto"/>
        <w:right w:val="none" w:sz="0" w:space="0" w:color="auto"/>
      </w:divBdr>
    </w:div>
    <w:div w:id="860439915">
      <w:bodyDiv w:val="1"/>
      <w:marLeft w:val="0"/>
      <w:marRight w:val="0"/>
      <w:marTop w:val="0"/>
      <w:marBottom w:val="0"/>
      <w:divBdr>
        <w:top w:val="none" w:sz="0" w:space="0" w:color="auto"/>
        <w:left w:val="none" w:sz="0" w:space="0" w:color="auto"/>
        <w:bottom w:val="none" w:sz="0" w:space="0" w:color="auto"/>
        <w:right w:val="none" w:sz="0" w:space="0" w:color="auto"/>
      </w:divBdr>
      <w:divsChild>
        <w:div w:id="884098151">
          <w:marLeft w:val="0"/>
          <w:marRight w:val="0"/>
          <w:marTop w:val="0"/>
          <w:marBottom w:val="0"/>
          <w:divBdr>
            <w:top w:val="none" w:sz="0" w:space="0" w:color="auto"/>
            <w:left w:val="none" w:sz="0" w:space="0" w:color="auto"/>
            <w:bottom w:val="none" w:sz="0" w:space="0" w:color="auto"/>
            <w:right w:val="none" w:sz="0" w:space="0" w:color="auto"/>
          </w:divBdr>
          <w:divsChild>
            <w:div w:id="1180463170">
              <w:marLeft w:val="0"/>
              <w:marRight w:val="0"/>
              <w:marTop w:val="0"/>
              <w:marBottom w:val="0"/>
              <w:divBdr>
                <w:top w:val="none" w:sz="0" w:space="0" w:color="auto"/>
                <w:left w:val="none" w:sz="0" w:space="0" w:color="auto"/>
                <w:bottom w:val="none" w:sz="0" w:space="0" w:color="auto"/>
                <w:right w:val="none" w:sz="0" w:space="0" w:color="auto"/>
              </w:divBdr>
              <w:divsChild>
                <w:div w:id="553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1912">
      <w:bodyDiv w:val="1"/>
      <w:marLeft w:val="0"/>
      <w:marRight w:val="0"/>
      <w:marTop w:val="0"/>
      <w:marBottom w:val="0"/>
      <w:divBdr>
        <w:top w:val="none" w:sz="0" w:space="0" w:color="auto"/>
        <w:left w:val="none" w:sz="0" w:space="0" w:color="auto"/>
        <w:bottom w:val="none" w:sz="0" w:space="0" w:color="auto"/>
        <w:right w:val="none" w:sz="0" w:space="0" w:color="auto"/>
      </w:divBdr>
      <w:divsChild>
        <w:div w:id="2010137910">
          <w:marLeft w:val="0"/>
          <w:marRight w:val="0"/>
          <w:marTop w:val="0"/>
          <w:marBottom w:val="0"/>
          <w:divBdr>
            <w:top w:val="none" w:sz="0" w:space="0" w:color="auto"/>
            <w:left w:val="none" w:sz="0" w:space="0" w:color="auto"/>
            <w:bottom w:val="none" w:sz="0" w:space="0" w:color="auto"/>
            <w:right w:val="none" w:sz="0" w:space="0" w:color="auto"/>
          </w:divBdr>
          <w:divsChild>
            <w:div w:id="1426656430">
              <w:marLeft w:val="0"/>
              <w:marRight w:val="0"/>
              <w:marTop w:val="0"/>
              <w:marBottom w:val="0"/>
              <w:divBdr>
                <w:top w:val="none" w:sz="0" w:space="0" w:color="auto"/>
                <w:left w:val="none" w:sz="0" w:space="0" w:color="auto"/>
                <w:bottom w:val="none" w:sz="0" w:space="0" w:color="auto"/>
                <w:right w:val="none" w:sz="0" w:space="0" w:color="auto"/>
              </w:divBdr>
              <w:divsChild>
                <w:div w:id="1899781382">
                  <w:marLeft w:val="0"/>
                  <w:marRight w:val="0"/>
                  <w:marTop w:val="0"/>
                  <w:marBottom w:val="0"/>
                  <w:divBdr>
                    <w:top w:val="none" w:sz="0" w:space="0" w:color="auto"/>
                    <w:left w:val="none" w:sz="0" w:space="0" w:color="auto"/>
                    <w:bottom w:val="none" w:sz="0" w:space="0" w:color="auto"/>
                    <w:right w:val="none" w:sz="0" w:space="0" w:color="auto"/>
                  </w:divBdr>
                  <w:divsChild>
                    <w:div w:id="12686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18123">
      <w:bodyDiv w:val="1"/>
      <w:marLeft w:val="0"/>
      <w:marRight w:val="0"/>
      <w:marTop w:val="0"/>
      <w:marBottom w:val="0"/>
      <w:divBdr>
        <w:top w:val="none" w:sz="0" w:space="0" w:color="auto"/>
        <w:left w:val="none" w:sz="0" w:space="0" w:color="auto"/>
        <w:bottom w:val="none" w:sz="0" w:space="0" w:color="auto"/>
        <w:right w:val="none" w:sz="0" w:space="0" w:color="auto"/>
      </w:divBdr>
      <w:divsChild>
        <w:div w:id="1652519228">
          <w:marLeft w:val="0"/>
          <w:marRight w:val="0"/>
          <w:marTop w:val="0"/>
          <w:marBottom w:val="0"/>
          <w:divBdr>
            <w:top w:val="none" w:sz="0" w:space="0" w:color="auto"/>
            <w:left w:val="none" w:sz="0" w:space="0" w:color="auto"/>
            <w:bottom w:val="none" w:sz="0" w:space="0" w:color="auto"/>
            <w:right w:val="none" w:sz="0" w:space="0" w:color="auto"/>
          </w:divBdr>
          <w:divsChild>
            <w:div w:id="992610661">
              <w:marLeft w:val="0"/>
              <w:marRight w:val="0"/>
              <w:marTop w:val="0"/>
              <w:marBottom w:val="0"/>
              <w:divBdr>
                <w:top w:val="none" w:sz="0" w:space="0" w:color="auto"/>
                <w:left w:val="none" w:sz="0" w:space="0" w:color="auto"/>
                <w:bottom w:val="none" w:sz="0" w:space="0" w:color="auto"/>
                <w:right w:val="none" w:sz="0" w:space="0" w:color="auto"/>
              </w:divBdr>
              <w:divsChild>
                <w:div w:id="13628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5455">
      <w:bodyDiv w:val="1"/>
      <w:marLeft w:val="0"/>
      <w:marRight w:val="0"/>
      <w:marTop w:val="0"/>
      <w:marBottom w:val="0"/>
      <w:divBdr>
        <w:top w:val="none" w:sz="0" w:space="0" w:color="auto"/>
        <w:left w:val="none" w:sz="0" w:space="0" w:color="auto"/>
        <w:bottom w:val="none" w:sz="0" w:space="0" w:color="auto"/>
        <w:right w:val="none" w:sz="0" w:space="0" w:color="auto"/>
      </w:divBdr>
    </w:div>
    <w:div w:id="1291133884">
      <w:bodyDiv w:val="1"/>
      <w:marLeft w:val="0"/>
      <w:marRight w:val="0"/>
      <w:marTop w:val="0"/>
      <w:marBottom w:val="0"/>
      <w:divBdr>
        <w:top w:val="none" w:sz="0" w:space="0" w:color="auto"/>
        <w:left w:val="none" w:sz="0" w:space="0" w:color="auto"/>
        <w:bottom w:val="none" w:sz="0" w:space="0" w:color="auto"/>
        <w:right w:val="none" w:sz="0" w:space="0" w:color="auto"/>
      </w:divBdr>
    </w:div>
    <w:div w:id="1432434822">
      <w:bodyDiv w:val="1"/>
      <w:marLeft w:val="0"/>
      <w:marRight w:val="0"/>
      <w:marTop w:val="0"/>
      <w:marBottom w:val="0"/>
      <w:divBdr>
        <w:top w:val="none" w:sz="0" w:space="0" w:color="auto"/>
        <w:left w:val="none" w:sz="0" w:space="0" w:color="auto"/>
        <w:bottom w:val="none" w:sz="0" w:space="0" w:color="auto"/>
        <w:right w:val="none" w:sz="0" w:space="0" w:color="auto"/>
      </w:divBdr>
    </w:div>
    <w:div w:id="1438410277">
      <w:bodyDiv w:val="1"/>
      <w:marLeft w:val="0"/>
      <w:marRight w:val="0"/>
      <w:marTop w:val="0"/>
      <w:marBottom w:val="0"/>
      <w:divBdr>
        <w:top w:val="none" w:sz="0" w:space="0" w:color="auto"/>
        <w:left w:val="none" w:sz="0" w:space="0" w:color="auto"/>
        <w:bottom w:val="none" w:sz="0" w:space="0" w:color="auto"/>
        <w:right w:val="none" w:sz="0" w:space="0" w:color="auto"/>
      </w:divBdr>
      <w:divsChild>
        <w:div w:id="2145614765">
          <w:marLeft w:val="0"/>
          <w:marRight w:val="0"/>
          <w:marTop w:val="0"/>
          <w:marBottom w:val="0"/>
          <w:divBdr>
            <w:top w:val="none" w:sz="0" w:space="0" w:color="auto"/>
            <w:left w:val="none" w:sz="0" w:space="0" w:color="auto"/>
            <w:bottom w:val="none" w:sz="0" w:space="0" w:color="auto"/>
            <w:right w:val="none" w:sz="0" w:space="0" w:color="auto"/>
          </w:divBdr>
          <w:divsChild>
            <w:div w:id="1049572289">
              <w:marLeft w:val="0"/>
              <w:marRight w:val="0"/>
              <w:marTop w:val="0"/>
              <w:marBottom w:val="0"/>
              <w:divBdr>
                <w:top w:val="none" w:sz="0" w:space="0" w:color="auto"/>
                <w:left w:val="none" w:sz="0" w:space="0" w:color="auto"/>
                <w:bottom w:val="none" w:sz="0" w:space="0" w:color="auto"/>
                <w:right w:val="none" w:sz="0" w:space="0" w:color="auto"/>
              </w:divBdr>
              <w:divsChild>
                <w:div w:id="488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4171">
      <w:bodyDiv w:val="1"/>
      <w:marLeft w:val="0"/>
      <w:marRight w:val="0"/>
      <w:marTop w:val="0"/>
      <w:marBottom w:val="0"/>
      <w:divBdr>
        <w:top w:val="none" w:sz="0" w:space="0" w:color="auto"/>
        <w:left w:val="none" w:sz="0" w:space="0" w:color="auto"/>
        <w:bottom w:val="none" w:sz="0" w:space="0" w:color="auto"/>
        <w:right w:val="none" w:sz="0" w:space="0" w:color="auto"/>
      </w:divBdr>
    </w:div>
    <w:div w:id="1579364060">
      <w:bodyDiv w:val="1"/>
      <w:marLeft w:val="0"/>
      <w:marRight w:val="0"/>
      <w:marTop w:val="0"/>
      <w:marBottom w:val="0"/>
      <w:divBdr>
        <w:top w:val="none" w:sz="0" w:space="0" w:color="auto"/>
        <w:left w:val="none" w:sz="0" w:space="0" w:color="auto"/>
        <w:bottom w:val="none" w:sz="0" w:space="0" w:color="auto"/>
        <w:right w:val="none" w:sz="0" w:space="0" w:color="auto"/>
      </w:divBdr>
      <w:divsChild>
        <w:div w:id="1720788296">
          <w:marLeft w:val="0"/>
          <w:marRight w:val="0"/>
          <w:marTop w:val="0"/>
          <w:marBottom w:val="0"/>
          <w:divBdr>
            <w:top w:val="none" w:sz="0" w:space="0" w:color="auto"/>
            <w:left w:val="none" w:sz="0" w:space="0" w:color="auto"/>
            <w:bottom w:val="none" w:sz="0" w:space="0" w:color="auto"/>
            <w:right w:val="none" w:sz="0" w:space="0" w:color="auto"/>
          </w:divBdr>
          <w:divsChild>
            <w:div w:id="1360352748">
              <w:marLeft w:val="0"/>
              <w:marRight w:val="0"/>
              <w:marTop w:val="0"/>
              <w:marBottom w:val="0"/>
              <w:divBdr>
                <w:top w:val="none" w:sz="0" w:space="0" w:color="auto"/>
                <w:left w:val="none" w:sz="0" w:space="0" w:color="auto"/>
                <w:bottom w:val="none" w:sz="0" w:space="0" w:color="auto"/>
                <w:right w:val="none" w:sz="0" w:space="0" w:color="auto"/>
              </w:divBdr>
              <w:divsChild>
                <w:div w:id="6972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1029">
      <w:bodyDiv w:val="1"/>
      <w:marLeft w:val="0"/>
      <w:marRight w:val="0"/>
      <w:marTop w:val="0"/>
      <w:marBottom w:val="0"/>
      <w:divBdr>
        <w:top w:val="none" w:sz="0" w:space="0" w:color="auto"/>
        <w:left w:val="none" w:sz="0" w:space="0" w:color="auto"/>
        <w:bottom w:val="none" w:sz="0" w:space="0" w:color="auto"/>
        <w:right w:val="none" w:sz="0" w:space="0" w:color="auto"/>
      </w:divBdr>
    </w:div>
    <w:div w:id="1792438673">
      <w:bodyDiv w:val="1"/>
      <w:marLeft w:val="0"/>
      <w:marRight w:val="0"/>
      <w:marTop w:val="0"/>
      <w:marBottom w:val="0"/>
      <w:divBdr>
        <w:top w:val="none" w:sz="0" w:space="0" w:color="auto"/>
        <w:left w:val="none" w:sz="0" w:space="0" w:color="auto"/>
        <w:bottom w:val="none" w:sz="0" w:space="0" w:color="auto"/>
        <w:right w:val="none" w:sz="0" w:space="0" w:color="auto"/>
      </w:divBdr>
    </w:div>
    <w:div w:id="1798451292">
      <w:bodyDiv w:val="1"/>
      <w:marLeft w:val="0"/>
      <w:marRight w:val="0"/>
      <w:marTop w:val="0"/>
      <w:marBottom w:val="0"/>
      <w:divBdr>
        <w:top w:val="none" w:sz="0" w:space="0" w:color="auto"/>
        <w:left w:val="none" w:sz="0" w:space="0" w:color="auto"/>
        <w:bottom w:val="none" w:sz="0" w:space="0" w:color="auto"/>
        <w:right w:val="none" w:sz="0" w:space="0" w:color="auto"/>
      </w:divBdr>
    </w:div>
    <w:div w:id="18697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gov.uk/government/publications/the-review-of-intergovernmental-relations" TargetMode="External"/><Relationship Id="rId18" Type="http://schemas.openxmlformats.org/officeDocument/2006/relationships/hyperlink" Target="https://assets.publishing.service.gov.uk/government/uploads/system/uploads/attachment_data/file/1125015/Resources_and_Waste_Provisional_Common_Framework_Command_Paper.pdf" TargetMode="External"/><Relationship Id="rId26" Type="http://schemas.openxmlformats.org/officeDocument/2006/relationships/hyperlink" Target="https://committees.parliament.uk/publications/23089/documents/169122/default/" TargetMode="External"/><Relationship Id="rId39" Type="http://schemas.openxmlformats.org/officeDocument/2006/relationships/hyperlink" Target="https://publications.parliament.uk/pa/bills/cbill/58-03/0011/PBC011_GeneticTechnology_1st-8th_Compilation_08_07_2022.pdf" TargetMode="External"/><Relationship Id="rId21" Type="http://schemas.openxmlformats.org/officeDocument/2006/relationships/hyperlink" Target="https://assets.publishing.service.gov.uk/government/uploads/system/uploads/attachment_data/file/1012074/Hazard_substances_WEB.pdf" TargetMode="External"/><Relationship Id="rId34" Type="http://schemas.openxmlformats.org/officeDocument/2006/relationships/hyperlink" Target="https://greens.scot/sites/default/files/RG%20Letter%20to%20Lindsay%20Hoyle.pdf" TargetMode="External"/><Relationship Id="rId42" Type="http://schemas.openxmlformats.org/officeDocument/2006/relationships/hyperlink" Target="https://assets.publishing.service.gov.uk/government/uploads/system/uploads/attachment_data/file/652285/Joint_Ministerial_Committee_communique.pdf" TargetMode="External"/><Relationship Id="rId47" Type="http://schemas.openxmlformats.org/officeDocument/2006/relationships/hyperlink" Target="https://labour.org.uk/wp-content/uploads/2022/12/Commission-on-the-UKs-Future.pdf" TargetMode="External"/><Relationship Id="rId7" Type="http://schemas.openxmlformats.org/officeDocument/2006/relationships/hyperlink" Target="https://assets.publishing.service.gov.uk/government/uploads/system/uploads/attachment_data/file/316157/MoU_between_the_UK_and_the_Devolved_Administrations.pdf" TargetMode="External"/><Relationship Id="rId2" Type="http://schemas.openxmlformats.org/officeDocument/2006/relationships/hyperlink" Target="https://assets.publishing.service.gov.uk/government/uploads/system/uploads/attachment_data/file/316157/MoU_between_the_UK_and_the_Devolved_Administrations.pdf" TargetMode="External"/><Relationship Id="rId16" Type="http://schemas.openxmlformats.org/officeDocument/2006/relationships/hyperlink" Target="https://assets.publishing.service.gov.uk/government/uploads/system/uploads/attachment_data/file/652285/Joint_Ministerial_Committee_communique.pdf" TargetMode="External"/><Relationship Id="rId29" Type="http://schemas.openxmlformats.org/officeDocument/2006/relationships/hyperlink" Target="https://assets.publishing.service.gov.uk/government/uploads/system/uploads/attachment_data/file/934750/food-and-feed-safety-and-hygiene-proposed-common-framework-command-paper-web-accessible.pdf" TargetMode="External"/><Relationship Id="rId11" Type="http://schemas.openxmlformats.org/officeDocument/2006/relationships/hyperlink" Target="https://assets.publishing.service.gov.uk/government/uploads/system/uploads/attachment_data/file/60985/post-devolution-primary-scotland.pdf" TargetMode="External"/><Relationship Id="rId24" Type="http://schemas.openxmlformats.org/officeDocument/2006/relationships/hyperlink" Target="https://assets.publishing.service.gov.uk/government/uploads/system/uploads/attachment_data/file/934750/food-and-feed-safety-and-hygiene-proposed-common-framework-command-paper-web-accessible.pdf" TargetMode="External"/><Relationship Id="rId32" Type="http://schemas.openxmlformats.org/officeDocument/2006/relationships/hyperlink" Target="https://www.gov.uk/government/publications/process-for-considering-ukim-act-exclusions-in-common-framework-areas/process-for-considering-uk-internal-market-act-exclusions-in-common-framework-areas" TargetMode="External"/><Relationship Id="rId37" Type="http://schemas.openxmlformats.org/officeDocument/2006/relationships/hyperlink" Target="https://www.gov.uk/government/publications/scottish-deposit-return-scheme-uk-internal-market-exclusion/policy-statement-scottish-deposit-return-scheme-uk-internal-market-exclusion" TargetMode="External"/><Relationship Id="rId40" Type="http://schemas.openxmlformats.org/officeDocument/2006/relationships/hyperlink" Target="https://publications.parliament.uk/pa/bills/cbill/58-03/0011/PBC011_GeneticTechnology_1st-8th_Compilation_08_07_2022.pdf" TargetMode="External"/><Relationship Id="rId45" Type="http://schemas.openxmlformats.org/officeDocument/2006/relationships/hyperlink" Target="https://assets.publishing.service.gov.uk/government/uploads/system/uploads/attachment_data/file/1130296/DRS_Government_response_Jan_2023.pdf" TargetMode="External"/><Relationship Id="rId5" Type="http://schemas.openxmlformats.org/officeDocument/2006/relationships/hyperlink" Target="https://orca.cardiff.ac.uk/18919" TargetMode="External"/><Relationship Id="rId15" Type="http://schemas.openxmlformats.org/officeDocument/2006/relationships/hyperlink" Target="https://www.gov.uk/government/publications/joint-ministerial-committee-eu-negotiations-communique-10-oct" TargetMode="External"/><Relationship Id="rId23" Type="http://schemas.openxmlformats.org/officeDocument/2006/relationships/hyperlink" Target="https://assets.publishing.service.gov.uk/government/uploads/system/uploads/attachment_data/file/1125015/Resources_and_Waste_Provisional_Common_Framework_Command_Paper.pdf" TargetMode="External"/><Relationship Id="rId28" Type="http://schemas.openxmlformats.org/officeDocument/2006/relationships/hyperlink" Target="https://assets.publishing.service.gov.uk/government/uploads/system/uploads/attachment_data/file/652285/Joint_Ministerial_Committee_communique.pdf" TargetMode="External"/><Relationship Id="rId36" Type="http://schemas.openxmlformats.org/officeDocument/2006/relationships/hyperlink" Target="https://www.heraldscotland.com/politics/23551748.uk-government-unveil-conditions-consistent-drs-exemption/" TargetMode="External"/><Relationship Id="rId49" Type="http://schemas.openxmlformats.org/officeDocument/2006/relationships/hyperlink" Target="https://www.theguardian.com/politics/2023/may/29/uk-could-break-up-unless-it-is-rebuilt-as-solidarity-union-says-mark-drakeford" TargetMode="External"/><Relationship Id="rId10" Type="http://schemas.openxmlformats.org/officeDocument/2006/relationships/hyperlink" Target="https://www.gov.uk/government/publications/devolution-guidance-notes" TargetMode="External"/><Relationship Id="rId19" Type="http://schemas.openxmlformats.org/officeDocument/2006/relationships/hyperlink" Target="https://assets.publishing.service.gov.uk/government/uploads/system/uploads/attachment_data/file/686991/20180307_FINAL__Frameworks_analysis_for_publication_on_9_March_2018.pdf" TargetMode="External"/><Relationship Id="rId31" Type="http://schemas.openxmlformats.org/officeDocument/2006/relationships/hyperlink" Target="https://assets.publishing.service.gov.uk/government/uploads/system/uploads/attachment_data/file/901225/uk-internal-market-white-paper.pdf" TargetMode="External"/><Relationship Id="rId44" Type="http://schemas.openxmlformats.org/officeDocument/2006/relationships/hyperlink" Target="https://www.gov.uk/government/publications/scottish-deposit-return-scheme-uk-internal-market-exclusion/policy-statement-scottish-deposit-return-scheme-uk-internal-market-exclusion" TargetMode="External"/><Relationship Id="rId4" Type="http://schemas.openxmlformats.org/officeDocument/2006/relationships/hyperlink" Target="https://orca.cardiff.ac.uk/19027" TargetMode="External"/><Relationship Id="rId9" Type="http://schemas.openxmlformats.org/officeDocument/2006/relationships/hyperlink" Target="https://senedd.wales/media/gjfnzsff/cr-ld15390-e.pdf" TargetMode="External"/><Relationship Id="rId14" Type="http://schemas.openxmlformats.org/officeDocument/2006/relationships/hyperlink" Target="https://publications.parliament.uk/pa/ld5802/ldselect/ldconst/142/142.pdf" TargetMode="External"/><Relationship Id="rId22" Type="http://schemas.openxmlformats.org/officeDocument/2006/relationships/hyperlink" Target="https://assets.publishing.service.gov.uk/government/uploads/system/uploads/attachment_data/file/652285/Joint_Ministerial_Committee_communique.pdf" TargetMode="External"/><Relationship Id="rId27" Type="http://schemas.openxmlformats.org/officeDocument/2006/relationships/hyperlink" Target="https://www.gov.uk/government/publications/oim-annual-report/oim-annual-report-on-the-operation-of-the-internal-market-2022-23" TargetMode="External"/><Relationship Id="rId30" Type="http://schemas.openxmlformats.org/officeDocument/2006/relationships/hyperlink" Target="https://assets.publishing.service.gov.uk/government/uploads/system/uploads/attachment_data/file/1125015/Resources_and_Waste_Provisional_Common_Framework_Command_Paper.pdf" TargetMode="External"/><Relationship Id="rId35" Type="http://schemas.openxmlformats.org/officeDocument/2006/relationships/hyperlink" Target="https://www.gov.scot/binaries/content/documents/govscot/publications/correspondence/2023/02/internal-market-act-correspondence/documents/letter-of-28-february-from-the-first-minister-to-prime-minister/letter-of-28-february-from-the-first-minister-to-prime-minister/govscot%3Adocument/FM%2Bto%2BPM%2B-%2BDeposit%2BReturn%2BScheme%2B-%2BFebruary%2B2023.pdf" TargetMode="External"/><Relationship Id="rId43" Type="http://schemas.openxmlformats.org/officeDocument/2006/relationships/hyperlink" Target="https://assets.publishing.service.gov.uk/government/uploads/system/uploads/attachment_data/file/316157/MoU_between_the_UK_and_the_Devolved_Administrations.pdf" TargetMode="External"/><Relationship Id="rId48" Type="http://schemas.openxmlformats.org/officeDocument/2006/relationships/hyperlink" Target="https://ourscottishfuture.org/leaders-to-form-new-alliance-to-change-uk/" TargetMode="External"/><Relationship Id="rId8" Type="http://schemas.openxmlformats.org/officeDocument/2006/relationships/hyperlink" Target="https://www.bennettinstitute.cam.ac.uk/wp-content/uploads/2023/05/Contested-boundaries-devolved-legislative-consent.pdf" TargetMode="External"/><Relationship Id="rId3" Type="http://schemas.openxmlformats.org/officeDocument/2006/relationships/hyperlink" Target="https://assets.publishing.service.gov.uk/government/uploads/system/uploads/attachment_data/file/316157/MoU_between_the_UK_and_the_Devolved_Administrations.pdf" TargetMode="External"/><Relationship Id="rId12" Type="http://schemas.openxmlformats.org/officeDocument/2006/relationships/hyperlink" Target="https://www.parliament.scot/~/media/committ/3548" TargetMode="External"/><Relationship Id="rId17" Type="http://schemas.openxmlformats.org/officeDocument/2006/relationships/hyperlink" Target="https://assets.publishing.service.gov.uk/government/uploads/system/uploads/attachment_data/file/702623/2018-04-24_UKG-DA_IGA_and_Memorandum.pdf" TargetMode="External"/><Relationship Id="rId25" Type="http://schemas.openxmlformats.org/officeDocument/2006/relationships/hyperlink" Target="https://assets.publishing.service.gov.uk/government/uploads/system/uploads/attachment_data/file/925713/Nutrition_related_labelling__composition_and_standards_provisional_common_framework__web_accessible_.pdf" TargetMode="External"/><Relationship Id="rId33" Type="http://schemas.openxmlformats.org/officeDocument/2006/relationships/hyperlink" Target="https://www.parliament.scot/-/media/files/committees/net-zero-energy-and-transport-committee/correspondence/2023/20230418_mingsceb_drs_update.pdf" TargetMode="External"/><Relationship Id="rId38" Type="http://schemas.openxmlformats.org/officeDocument/2006/relationships/hyperlink" Target="https://www.gov.scot/publications/genetic-technologies-precision-breeding-bill-letter-to-uk-government/" TargetMode="External"/><Relationship Id="rId46" Type="http://schemas.openxmlformats.org/officeDocument/2006/relationships/hyperlink" Target="https://assets.publishing.service.gov.uk/government/uploads/system/uploads/attachment_data/file/1046083/The_Review_of_Intergovernmental_Relations.pdf" TargetMode="External"/><Relationship Id="rId20" Type="http://schemas.openxmlformats.org/officeDocument/2006/relationships/hyperlink" Target="https://assets.publishing.service.gov.uk/government/uploads/system/uploads/attachment_data/file/1031808/UK_Common_Frameworks_Analysis_2021.pdf" TargetMode="External"/><Relationship Id="rId41" Type="http://schemas.openxmlformats.org/officeDocument/2006/relationships/hyperlink" Target="https://www.gov.scot/publications/brexit-uk-internal-market-act-devolution/" TargetMode="External"/><Relationship Id="rId1" Type="http://schemas.openxmlformats.org/officeDocument/2006/relationships/hyperlink" Target="https://assets.publishing.service.gov.uk/government/uploads/system/uploads/attachment_data/file/652285/Joint_Ministerial_Committee_communique.pdf" TargetMode="External"/><Relationship Id="rId6" Type="http://schemas.openxmlformats.org/officeDocument/2006/relationships/hyperlink" Target="https://researchbriefings.files.parliament.uk/documents/CBP-8883/CBP-88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6" ma:contentTypeDescription="Create a new document." ma:contentTypeScope="" ma:versionID="4dc968ba7e74dfa967ac3bd63efb7559">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0b0d93be53c380cc82f0809462e7dd3a"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c0728d4-b628-46ac-beb8-1847ad0e6c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ED579-29C0-4C32-838E-BB9DB0A4C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089C3-52C4-4FBE-9840-C6654774EBD3}">
  <ds:schemaRefs>
    <ds:schemaRef ds:uri="2c0728d4-b628-46ac-beb8-1847ad0e6c02"/>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2c43926a-b248-4fb5-8692-7f03bd5c687b"/>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012612A-93F7-4528-A0FD-B2AD112504F3}">
  <ds:schemaRefs>
    <ds:schemaRef ds:uri="http://schemas.microsoft.com/sharepoint/v3/contenttype/forms"/>
  </ds:schemaRefs>
</ds:datastoreItem>
</file>

<file path=customXml/itemProps4.xml><?xml version="1.0" encoding="utf-8"?>
<ds:datastoreItem xmlns:ds="http://schemas.openxmlformats.org/officeDocument/2006/customXml" ds:itemID="{846400A1-2B5C-4B17-B901-F17F3FF800AE}">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36</Pages>
  <Words>11744</Words>
  <Characters>68911</Characters>
  <Application>Microsoft Office Word</Application>
  <DocSecurity>0</DocSecurity>
  <Lines>574</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2023-11-03T16:24:00Z</dcterms:created>
  <dcterms:modified xsi:type="dcterms:W3CDTF">2023-11-15T11:39:00Z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